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24"/>
          <w:vertAlign w:val="subscript"/>
        </w:rPr>
      </w:pPr>
    </w:p>
    <w:p>
      <w:pPr>
        <w:jc w:val="center"/>
        <w:rPr>
          <w:rFonts w:ascii="宋体" w:hAnsi="宋体"/>
          <w:b/>
          <w:color w:val="auto"/>
          <w:sz w:val="76"/>
          <w:szCs w:val="72"/>
          <w:highlight w:val="none"/>
        </w:rPr>
      </w:pPr>
      <w:r>
        <w:rPr>
          <w:rFonts w:hint="eastAsia" w:ascii="宋体" w:hAnsi="宋体"/>
          <w:b/>
          <w:color w:val="auto"/>
          <w:sz w:val="56"/>
          <w:szCs w:val="72"/>
          <w:highlight w:val="none"/>
        </w:rPr>
        <w:t>南宁政府采购服务</w:t>
      </w:r>
    </w:p>
    <w:p>
      <w:pPr>
        <w:jc w:val="center"/>
        <w:rPr>
          <w:rFonts w:ascii="宋体" w:hAnsi="宋体"/>
          <w:b/>
          <w:color w:val="auto"/>
          <w:sz w:val="58"/>
          <w:szCs w:val="72"/>
          <w:highlight w:val="none"/>
        </w:rPr>
      </w:pPr>
    </w:p>
    <w:p>
      <w:pPr>
        <w:jc w:val="center"/>
        <w:rPr>
          <w:rFonts w:ascii="宋体" w:hAnsi="宋体"/>
          <w:b/>
          <w:color w:val="auto"/>
          <w:sz w:val="84"/>
          <w:szCs w:val="84"/>
          <w:highlight w:val="none"/>
        </w:rPr>
      </w:pPr>
      <w:r>
        <w:rPr>
          <w:rFonts w:hint="eastAsia" w:ascii="宋体" w:hAnsi="宋体"/>
          <w:b/>
          <w:color w:val="auto"/>
          <w:sz w:val="84"/>
          <w:szCs w:val="84"/>
          <w:highlight w:val="none"/>
        </w:rPr>
        <w:t>公 开 招 标 文 件</w:t>
      </w:r>
    </w:p>
    <w:p>
      <w:pPr>
        <w:jc w:val="center"/>
        <w:rPr>
          <w:rFonts w:ascii="宋体" w:hAnsi="宋体"/>
          <w:b/>
          <w:color w:val="auto"/>
          <w:sz w:val="56"/>
          <w:szCs w:val="72"/>
          <w:highlight w:val="none"/>
        </w:rPr>
      </w:pPr>
      <w:r>
        <w:rPr>
          <w:rFonts w:hint="eastAsia" w:ascii="宋体" w:hAnsi="宋体"/>
          <w:b/>
          <w:color w:val="auto"/>
          <w:sz w:val="56"/>
          <w:szCs w:val="72"/>
          <w:highlight w:val="none"/>
        </w:rPr>
        <w:t xml:space="preserve"> </w:t>
      </w:r>
    </w:p>
    <w:p>
      <w:pPr>
        <w:pStyle w:val="22"/>
        <w:snapToGrid w:val="0"/>
        <w:ind w:firstLine="708" w:firstLineChars="196"/>
        <w:jc w:val="center"/>
        <w:rPr>
          <w:rFonts w:hAnsi="宋体"/>
          <w:b/>
          <w:bCs/>
          <w:color w:val="auto"/>
          <w:sz w:val="36"/>
          <w:szCs w:val="36"/>
          <w:highlight w:val="none"/>
        </w:rPr>
      </w:pPr>
    </w:p>
    <w:p>
      <w:pPr>
        <w:pStyle w:val="22"/>
        <w:snapToGrid w:val="0"/>
        <w:ind w:firstLine="708" w:firstLineChars="196"/>
        <w:jc w:val="center"/>
        <w:rPr>
          <w:rFonts w:hAnsi="宋体"/>
          <w:b/>
          <w:bCs/>
          <w:color w:val="auto"/>
          <w:sz w:val="36"/>
          <w:szCs w:val="36"/>
          <w:highlight w:val="none"/>
        </w:rPr>
      </w:pPr>
    </w:p>
    <w:p>
      <w:pPr>
        <w:pStyle w:val="22"/>
        <w:snapToGrid w:val="0"/>
        <w:ind w:firstLine="708" w:firstLineChars="196"/>
        <w:jc w:val="center"/>
        <w:rPr>
          <w:rFonts w:hAnsi="宋体"/>
          <w:b/>
          <w:bCs/>
          <w:color w:val="auto"/>
          <w:sz w:val="36"/>
          <w:szCs w:val="36"/>
          <w:highlight w:val="none"/>
        </w:rPr>
      </w:pPr>
    </w:p>
    <w:p>
      <w:pPr>
        <w:pStyle w:val="22"/>
        <w:snapToGrid w:val="0"/>
        <w:ind w:firstLine="708" w:firstLineChars="196"/>
        <w:jc w:val="center"/>
        <w:rPr>
          <w:rFonts w:hAnsi="宋体"/>
          <w:b/>
          <w:bCs/>
          <w:color w:val="auto"/>
          <w:sz w:val="36"/>
          <w:szCs w:val="36"/>
          <w:highlight w:val="none"/>
        </w:rPr>
      </w:pPr>
    </w:p>
    <w:p>
      <w:pPr>
        <w:pStyle w:val="22"/>
        <w:snapToGrid w:val="0"/>
        <w:ind w:firstLine="708" w:firstLineChars="196"/>
        <w:jc w:val="center"/>
        <w:rPr>
          <w:rFonts w:hAnsi="宋体"/>
          <w:b/>
          <w:bCs/>
          <w:color w:val="auto"/>
          <w:sz w:val="36"/>
          <w:szCs w:val="36"/>
          <w:highlight w:val="none"/>
        </w:rPr>
      </w:pPr>
    </w:p>
    <w:p>
      <w:pPr>
        <w:pStyle w:val="22"/>
        <w:snapToGrid w:val="0"/>
        <w:ind w:firstLine="708" w:firstLineChars="196"/>
        <w:jc w:val="center"/>
        <w:rPr>
          <w:rFonts w:hAnsi="宋体"/>
          <w:b/>
          <w:bCs/>
          <w:color w:val="auto"/>
          <w:sz w:val="36"/>
          <w:szCs w:val="36"/>
          <w:highlight w:val="none"/>
        </w:rPr>
      </w:pPr>
    </w:p>
    <w:p>
      <w:pPr>
        <w:pStyle w:val="22"/>
        <w:snapToGrid w:val="0"/>
        <w:ind w:firstLine="708" w:firstLineChars="196"/>
        <w:jc w:val="center"/>
        <w:rPr>
          <w:rFonts w:hAnsi="宋体"/>
          <w:b/>
          <w:bCs/>
          <w:color w:val="auto"/>
          <w:sz w:val="36"/>
          <w:szCs w:val="36"/>
          <w:highlight w:val="none"/>
        </w:rPr>
      </w:pPr>
    </w:p>
    <w:p>
      <w:pPr>
        <w:pStyle w:val="22"/>
        <w:snapToGrid w:val="0"/>
        <w:ind w:firstLine="708" w:firstLineChars="196"/>
        <w:jc w:val="center"/>
        <w:rPr>
          <w:rFonts w:hAnsi="宋体"/>
          <w:b/>
          <w:bCs/>
          <w:color w:val="auto"/>
          <w:sz w:val="36"/>
          <w:szCs w:val="36"/>
          <w:highlight w:val="none"/>
        </w:rPr>
      </w:pPr>
    </w:p>
    <w:p>
      <w:pPr>
        <w:pStyle w:val="22"/>
        <w:tabs>
          <w:tab w:val="left" w:pos="5640"/>
        </w:tabs>
        <w:snapToGrid w:val="0"/>
        <w:spacing w:line="360" w:lineRule="auto"/>
        <w:ind w:left="907" w:leftChars="432" w:firstLine="542" w:firstLineChars="150"/>
        <w:rPr>
          <w:rFonts w:hAnsi="宋体"/>
          <w:b/>
          <w:color w:val="auto"/>
          <w:sz w:val="36"/>
          <w:szCs w:val="36"/>
          <w:highlight w:val="none"/>
        </w:rPr>
      </w:pPr>
      <w:r>
        <w:rPr>
          <w:rFonts w:hint="eastAsia" w:hAnsi="宋体"/>
          <w:b/>
          <w:bCs/>
          <w:color w:val="auto"/>
          <w:sz w:val="36"/>
          <w:szCs w:val="36"/>
          <w:highlight w:val="none"/>
        </w:rPr>
        <w:t>项目名称：</w:t>
      </w:r>
      <w:r>
        <w:rPr>
          <w:rFonts w:hint="eastAsia" w:hAnsi="宋体"/>
          <w:b/>
          <w:color w:val="auto"/>
          <w:sz w:val="28"/>
          <w:szCs w:val="36"/>
          <w:highlight w:val="none"/>
          <w:u w:val="single"/>
        </w:rPr>
        <w:t xml:space="preserve">南宁市政务办公精细化管理系统服务采购  </w:t>
      </w:r>
      <w:r>
        <w:rPr>
          <w:rFonts w:hint="eastAsia" w:hAnsi="宋体"/>
          <w:b/>
          <w:color w:val="auto"/>
          <w:sz w:val="36"/>
          <w:szCs w:val="36"/>
          <w:highlight w:val="none"/>
        </w:rPr>
        <w:t xml:space="preserve"> </w:t>
      </w:r>
    </w:p>
    <w:p>
      <w:pPr>
        <w:pStyle w:val="22"/>
        <w:tabs>
          <w:tab w:val="left" w:pos="5640"/>
        </w:tabs>
        <w:snapToGrid w:val="0"/>
        <w:spacing w:line="360" w:lineRule="auto"/>
        <w:ind w:left="907" w:leftChars="432" w:firstLine="542" w:firstLineChars="150"/>
        <w:rPr>
          <w:rFonts w:hAnsi="宋体"/>
          <w:b/>
          <w:bCs/>
          <w:color w:val="auto"/>
          <w:w w:val="95"/>
          <w:sz w:val="36"/>
          <w:szCs w:val="36"/>
          <w:highlight w:val="none"/>
        </w:rPr>
      </w:pPr>
      <w:r>
        <w:rPr>
          <w:rFonts w:hint="eastAsia" w:hAnsi="宋体"/>
          <w:b/>
          <w:bCs/>
          <w:color w:val="auto"/>
          <w:sz w:val="36"/>
          <w:szCs w:val="36"/>
          <w:highlight w:val="none"/>
        </w:rPr>
        <w:t>项目编号：</w:t>
      </w:r>
      <w:r>
        <w:rPr>
          <w:rFonts w:hint="eastAsia" w:hAnsi="宋体"/>
          <w:b/>
          <w:color w:val="auto"/>
          <w:sz w:val="28"/>
          <w:szCs w:val="36"/>
          <w:highlight w:val="none"/>
          <w:u w:val="single"/>
        </w:rPr>
        <w:t xml:space="preserve">FW(3)2020400GNN  </w:t>
      </w:r>
    </w:p>
    <w:p>
      <w:pPr>
        <w:pStyle w:val="22"/>
        <w:tabs>
          <w:tab w:val="left" w:pos="5640"/>
        </w:tabs>
        <w:snapToGrid w:val="0"/>
        <w:spacing w:line="360" w:lineRule="auto"/>
        <w:ind w:left="907" w:leftChars="432" w:firstLine="542" w:firstLineChars="150"/>
        <w:rPr>
          <w:rFonts w:hAnsi="宋体"/>
          <w:b/>
          <w:bCs/>
          <w:color w:val="auto"/>
          <w:sz w:val="36"/>
          <w:szCs w:val="36"/>
          <w:highlight w:val="none"/>
        </w:rPr>
      </w:pPr>
      <w:r>
        <w:rPr>
          <w:rFonts w:hint="eastAsia" w:hAnsi="宋体"/>
          <w:b/>
          <w:bCs/>
          <w:color w:val="auto"/>
          <w:sz w:val="36"/>
          <w:szCs w:val="36"/>
          <w:highlight w:val="none"/>
        </w:rPr>
        <w:t>审批编号：</w:t>
      </w:r>
      <w:r>
        <w:rPr>
          <w:rFonts w:hint="eastAsia" w:hAnsi="宋体"/>
          <w:b/>
          <w:color w:val="auto"/>
          <w:sz w:val="28"/>
          <w:szCs w:val="36"/>
          <w:highlight w:val="none"/>
          <w:u w:val="single"/>
        </w:rPr>
        <w:t xml:space="preserve">[2020]NCCJA018  </w:t>
      </w:r>
    </w:p>
    <w:p>
      <w:pPr>
        <w:pStyle w:val="22"/>
        <w:snapToGrid w:val="0"/>
        <w:ind w:firstLine="673" w:firstLineChars="196"/>
        <w:jc w:val="center"/>
        <w:rPr>
          <w:rFonts w:hAnsi="宋体"/>
          <w:b/>
          <w:bCs/>
          <w:color w:val="auto"/>
          <w:w w:val="95"/>
          <w:sz w:val="36"/>
          <w:szCs w:val="36"/>
          <w:highlight w:val="none"/>
        </w:rPr>
      </w:pPr>
    </w:p>
    <w:p>
      <w:pPr>
        <w:pStyle w:val="22"/>
        <w:snapToGrid w:val="0"/>
        <w:ind w:firstLine="673" w:firstLineChars="196"/>
        <w:jc w:val="center"/>
        <w:rPr>
          <w:rFonts w:hAnsi="宋体"/>
          <w:b/>
          <w:bCs/>
          <w:color w:val="auto"/>
          <w:w w:val="95"/>
          <w:sz w:val="36"/>
          <w:szCs w:val="36"/>
          <w:highlight w:val="none"/>
        </w:rPr>
      </w:pPr>
    </w:p>
    <w:p>
      <w:pPr>
        <w:pStyle w:val="22"/>
        <w:snapToGrid w:val="0"/>
        <w:spacing w:line="360" w:lineRule="auto"/>
        <w:ind w:firstLine="1068" w:firstLineChars="400"/>
        <w:jc w:val="left"/>
        <w:rPr>
          <w:rFonts w:hAnsi="宋体"/>
          <w:b/>
          <w:color w:val="auto"/>
          <w:sz w:val="28"/>
          <w:szCs w:val="36"/>
          <w:highlight w:val="none"/>
          <w:u w:val="single"/>
        </w:rPr>
      </w:pPr>
      <w:r>
        <w:rPr>
          <w:rFonts w:hint="eastAsia" w:hAnsi="宋体"/>
          <w:b/>
          <w:bCs/>
          <w:color w:val="auto"/>
          <w:w w:val="95"/>
          <w:sz w:val="28"/>
          <w:szCs w:val="36"/>
          <w:highlight w:val="none"/>
        </w:rPr>
        <w:t>采购单位：</w:t>
      </w:r>
      <w:r>
        <w:rPr>
          <w:rFonts w:hint="eastAsia" w:hAnsi="宋体"/>
          <w:b/>
          <w:color w:val="auto"/>
          <w:sz w:val="28"/>
          <w:szCs w:val="36"/>
          <w:highlight w:val="none"/>
          <w:u w:val="single"/>
        </w:rPr>
        <w:t xml:space="preserve"> 南宁市信息网络管理中心 </w:t>
      </w:r>
    </w:p>
    <w:p>
      <w:pPr>
        <w:pStyle w:val="22"/>
        <w:snapToGrid w:val="0"/>
        <w:spacing w:line="360" w:lineRule="auto"/>
        <w:ind w:firstLine="1068" w:firstLineChars="400"/>
        <w:jc w:val="left"/>
        <w:rPr>
          <w:rFonts w:hAnsi="宋体"/>
          <w:b/>
          <w:color w:val="auto"/>
          <w:sz w:val="28"/>
          <w:szCs w:val="36"/>
          <w:highlight w:val="none"/>
          <w:u w:val="single"/>
        </w:rPr>
      </w:pPr>
      <w:r>
        <w:rPr>
          <w:rFonts w:hint="eastAsia" w:hAnsi="宋体"/>
          <w:b/>
          <w:bCs/>
          <w:color w:val="auto"/>
          <w:w w:val="95"/>
          <w:sz w:val="28"/>
          <w:szCs w:val="36"/>
          <w:highlight w:val="none"/>
        </w:rPr>
        <w:t>代理机构：</w:t>
      </w:r>
      <w:r>
        <w:rPr>
          <w:rFonts w:hint="eastAsia" w:hAnsi="宋体"/>
          <w:b/>
          <w:bCs/>
          <w:color w:val="auto"/>
          <w:sz w:val="28"/>
          <w:szCs w:val="36"/>
          <w:highlight w:val="none"/>
          <w:u w:val="single"/>
        </w:rPr>
        <w:t>广西建设工程机电设备招标中心有限公司</w:t>
      </w:r>
    </w:p>
    <w:p>
      <w:pPr>
        <w:pStyle w:val="22"/>
        <w:snapToGrid w:val="0"/>
        <w:spacing w:line="360" w:lineRule="auto"/>
        <w:ind w:firstLine="2601" w:firstLineChars="974"/>
        <w:rPr>
          <w:rFonts w:hAnsi="宋体"/>
          <w:b/>
          <w:color w:val="auto"/>
          <w:w w:val="95"/>
          <w:sz w:val="28"/>
          <w:szCs w:val="36"/>
          <w:highlight w:val="none"/>
        </w:rPr>
      </w:pPr>
      <w:r>
        <w:rPr>
          <w:rFonts w:hint="eastAsia" w:hAnsi="宋体"/>
          <w:b/>
          <w:bCs/>
          <w:color w:val="auto"/>
          <w:w w:val="95"/>
          <w:sz w:val="28"/>
          <w:szCs w:val="36"/>
          <w:highlight w:val="none"/>
        </w:rPr>
        <w:t xml:space="preserve"> </w:t>
      </w:r>
      <w:r>
        <w:rPr>
          <w:rFonts w:hint="eastAsia" w:hAnsi="宋体"/>
          <w:b/>
          <w:color w:val="auto"/>
          <w:sz w:val="28"/>
          <w:szCs w:val="36"/>
          <w:highlight w:val="none"/>
          <w:u w:val="single"/>
        </w:rPr>
        <w:t xml:space="preserve"> 2020 </w:t>
      </w:r>
      <w:r>
        <w:rPr>
          <w:rFonts w:hint="eastAsia" w:hAnsi="宋体"/>
          <w:b/>
          <w:bCs/>
          <w:color w:val="auto"/>
          <w:w w:val="95"/>
          <w:sz w:val="28"/>
          <w:szCs w:val="36"/>
          <w:highlight w:val="none"/>
        </w:rPr>
        <w:t>年</w:t>
      </w:r>
      <w:r>
        <w:rPr>
          <w:rFonts w:hint="eastAsia" w:hAnsi="宋体"/>
          <w:b/>
          <w:color w:val="auto"/>
          <w:sz w:val="28"/>
          <w:szCs w:val="36"/>
          <w:highlight w:val="none"/>
          <w:u w:val="single"/>
        </w:rPr>
        <w:t xml:space="preserve"> </w:t>
      </w:r>
      <w:r>
        <w:rPr>
          <w:rFonts w:hint="eastAsia" w:hAnsi="宋体"/>
          <w:b/>
          <w:color w:val="auto"/>
          <w:sz w:val="28"/>
          <w:szCs w:val="36"/>
          <w:highlight w:val="none"/>
          <w:u w:val="single"/>
          <w:lang w:val="en-US" w:eastAsia="zh-CN"/>
        </w:rPr>
        <w:t>7</w:t>
      </w:r>
      <w:r>
        <w:rPr>
          <w:rFonts w:hint="eastAsia" w:hAnsi="宋体"/>
          <w:b/>
          <w:bCs/>
          <w:color w:val="auto"/>
          <w:w w:val="95"/>
          <w:sz w:val="28"/>
          <w:szCs w:val="36"/>
          <w:highlight w:val="none"/>
        </w:rPr>
        <w:t>月</w:t>
      </w:r>
      <w:ins w:id="0" w:author="NTKO" w:date="2020-07-13T18:09:34Z">
        <w:r>
          <w:rPr>
            <w:rFonts w:hint="eastAsia" w:hAnsi="宋体"/>
            <w:b/>
            <w:color w:val="auto"/>
            <w:sz w:val="28"/>
            <w:szCs w:val="36"/>
            <w:highlight w:val="none"/>
            <w:u w:val="single"/>
            <w:lang w:val="en-US" w:eastAsia="zh-CN"/>
          </w:rPr>
          <w:t>13</w:t>
        </w:r>
      </w:ins>
      <w:bookmarkStart w:id="292" w:name="_GoBack"/>
      <w:bookmarkEnd w:id="292"/>
      <w:r>
        <w:rPr>
          <w:rFonts w:hint="eastAsia" w:hAnsi="宋体"/>
          <w:b/>
          <w:bCs/>
          <w:color w:val="auto"/>
          <w:w w:val="95"/>
          <w:sz w:val="28"/>
          <w:szCs w:val="36"/>
          <w:highlight w:val="none"/>
        </w:rPr>
        <w:t>日</w:t>
      </w:r>
    </w:p>
    <w:p>
      <w:pPr>
        <w:pStyle w:val="22"/>
        <w:snapToGrid w:val="0"/>
        <w:rPr>
          <w:rFonts w:hAnsi="宋体"/>
          <w:b/>
          <w:color w:val="auto"/>
          <w:sz w:val="28"/>
          <w:szCs w:val="28"/>
          <w:highlight w:val="none"/>
        </w:rPr>
      </w:pPr>
    </w:p>
    <w:p>
      <w:pPr>
        <w:rPr>
          <w:color w:val="auto"/>
          <w:highlight w:val="none"/>
        </w:rPr>
      </w:pPr>
    </w:p>
    <w:p>
      <w:pPr>
        <w:rPr>
          <w:color w:val="auto"/>
          <w:highlight w:val="none"/>
        </w:rPr>
      </w:pPr>
    </w:p>
    <w:p>
      <w:pPr>
        <w:rPr>
          <w:color w:val="auto"/>
          <w:highlight w:val="none"/>
        </w:rPr>
      </w:pPr>
    </w:p>
    <w:p>
      <w:pPr>
        <w:pStyle w:val="26"/>
        <w:framePr w:wrap="around" w:vAnchor="text" w:hAnchor="page" w:x="9837" w:y="1"/>
        <w:rPr>
          <w:rStyle w:val="40"/>
          <w:rFonts w:ascii="仿宋" w:hAnsi="仿宋" w:eastAsia="仿宋"/>
          <w:color w:val="auto"/>
          <w:sz w:val="28"/>
          <w:szCs w:val="28"/>
          <w:highlight w:val="none"/>
        </w:rPr>
      </w:pPr>
    </w:p>
    <w:p>
      <w:pPr>
        <w:pStyle w:val="22"/>
        <w:snapToGrid w:val="0"/>
        <w:jc w:val="right"/>
        <w:rPr>
          <w:color w:val="auto"/>
          <w:highlight w:val="none"/>
        </w:rPr>
      </w:pPr>
    </w:p>
    <w:p>
      <w:pPr>
        <w:pStyle w:val="22"/>
        <w:snapToGrid w:val="0"/>
        <w:rPr>
          <w:rFonts w:hAnsi="宋体"/>
          <w:b/>
          <w:color w:val="auto"/>
          <w:sz w:val="28"/>
          <w:szCs w:val="28"/>
          <w:highlight w:val="none"/>
        </w:rPr>
      </w:pPr>
      <w:r>
        <w:rPr>
          <w:rFonts w:hint="eastAsia" w:hAnsi="宋体"/>
          <w:b/>
          <w:color w:val="auto"/>
          <w:sz w:val="28"/>
          <w:szCs w:val="28"/>
          <w:highlight w:val="none"/>
        </w:rPr>
        <w:t xml:space="preserve">            </w:t>
      </w:r>
    </w:p>
    <w:p>
      <w:pPr>
        <w:rPr>
          <w:rFonts w:ascii="宋体" w:cs="宋体"/>
          <w:b/>
          <w:color w:val="auto"/>
          <w:sz w:val="44"/>
          <w:szCs w:val="44"/>
          <w:highlight w:val="none"/>
        </w:rPr>
      </w:pPr>
    </w:p>
    <w:p>
      <w:pPr>
        <w:pStyle w:val="22"/>
        <w:snapToGrid w:val="0"/>
        <w:ind w:right="140"/>
        <w:jc w:val="center"/>
        <w:rPr>
          <w:rFonts w:hAnsi="宋体"/>
          <w:b/>
          <w:color w:val="auto"/>
          <w:sz w:val="44"/>
          <w:szCs w:val="44"/>
          <w:highlight w:val="none"/>
        </w:rPr>
      </w:pPr>
      <w:r>
        <w:rPr>
          <w:rFonts w:hint="eastAsia" w:hAnsi="宋体"/>
          <w:b/>
          <w:color w:val="auto"/>
          <w:sz w:val="44"/>
          <w:szCs w:val="44"/>
          <w:highlight w:val="none"/>
        </w:rPr>
        <w:t>目    录</w:t>
      </w:r>
    </w:p>
    <w:p>
      <w:pPr>
        <w:pStyle w:val="28"/>
        <w:tabs>
          <w:tab w:val="right" w:leader="dot" w:pos="8997"/>
          <w:tab w:val="clear" w:pos="8398"/>
        </w:tabs>
        <w:ind w:firstLine="241"/>
        <w:rPr>
          <w:color w:val="auto"/>
          <w:highlight w:val="none"/>
        </w:rPr>
      </w:pPr>
      <w:r>
        <w:rPr>
          <w:color w:val="auto"/>
          <w:highlight w:val="none"/>
        </w:rPr>
        <w:fldChar w:fldCharType="begin"/>
      </w:r>
      <w:r>
        <w:rPr>
          <w:color w:val="auto"/>
          <w:highlight w:val="none"/>
        </w:rPr>
        <w:instrText xml:space="preserve"> </w:instrText>
      </w:r>
      <w:r>
        <w:rPr>
          <w:rFonts w:hint="eastAsia"/>
          <w:color w:val="auto"/>
          <w:highlight w:val="none"/>
        </w:rPr>
        <w:instrText xml:space="preserve">TOC \o "1-3" \h \z \u</w:instrText>
      </w:r>
      <w:r>
        <w:rPr>
          <w:color w:val="auto"/>
          <w:highlight w:val="none"/>
        </w:rPr>
        <w:instrText xml:space="preserve"> </w:instrText>
      </w:r>
      <w:r>
        <w:rPr>
          <w:color w:val="auto"/>
          <w:highlight w:val="none"/>
        </w:rPr>
        <w:fldChar w:fldCharType="separate"/>
      </w:r>
      <w:r>
        <w:rPr>
          <w:color w:val="auto"/>
          <w:highlight w:val="none"/>
        </w:rPr>
        <w:fldChar w:fldCharType="begin"/>
      </w:r>
      <w:r>
        <w:rPr>
          <w:color w:val="auto"/>
          <w:highlight w:val="none"/>
        </w:rPr>
        <w:instrText xml:space="preserve"> HYPERLINK \l "_Toc4176" </w:instrText>
      </w:r>
      <w:r>
        <w:rPr>
          <w:color w:val="auto"/>
          <w:highlight w:val="none"/>
        </w:rPr>
        <w:fldChar w:fldCharType="separate"/>
      </w:r>
      <w:r>
        <w:rPr>
          <w:rFonts w:hint="eastAsia"/>
          <w:color w:val="auto"/>
          <w:szCs w:val="44"/>
          <w:highlight w:val="none"/>
        </w:rPr>
        <w:t>第一章 公开招标公告</w:t>
      </w:r>
      <w:r>
        <w:rPr>
          <w:color w:val="auto"/>
          <w:highlight w:val="none"/>
        </w:rPr>
        <w:tab/>
      </w:r>
      <w:r>
        <w:rPr>
          <w:color w:val="auto"/>
          <w:highlight w:val="none"/>
        </w:rPr>
        <w:fldChar w:fldCharType="begin"/>
      </w:r>
      <w:r>
        <w:rPr>
          <w:color w:val="auto"/>
          <w:highlight w:val="none"/>
        </w:rPr>
        <w:instrText xml:space="preserve"> PAGEREF _Toc4176 </w:instrText>
      </w:r>
      <w:r>
        <w:rPr>
          <w:color w:val="auto"/>
          <w:highlight w:val="none"/>
        </w:rPr>
        <w:fldChar w:fldCharType="separate"/>
      </w:r>
      <w:r>
        <w:rPr>
          <w:color w:val="auto"/>
          <w:highlight w:val="none"/>
        </w:rPr>
        <w:t>- 2 -</w:t>
      </w:r>
      <w:r>
        <w:rPr>
          <w:color w:val="auto"/>
          <w:highlight w:val="none"/>
        </w:rPr>
        <w:fldChar w:fldCharType="end"/>
      </w:r>
      <w:r>
        <w:rPr>
          <w:color w:val="auto"/>
          <w:highlight w:val="none"/>
        </w:rPr>
        <w:fldChar w:fldCharType="end"/>
      </w:r>
    </w:p>
    <w:p>
      <w:pPr>
        <w:pStyle w:val="28"/>
        <w:tabs>
          <w:tab w:val="right" w:leader="dot" w:pos="8997"/>
          <w:tab w:val="clear" w:pos="8398"/>
        </w:tabs>
        <w:ind w:firstLine="241"/>
        <w:rPr>
          <w:color w:val="auto"/>
          <w:highlight w:val="none"/>
        </w:rPr>
      </w:pPr>
      <w:r>
        <w:rPr>
          <w:color w:val="auto"/>
          <w:highlight w:val="none"/>
        </w:rPr>
        <w:fldChar w:fldCharType="begin"/>
      </w:r>
      <w:r>
        <w:rPr>
          <w:color w:val="auto"/>
          <w:highlight w:val="none"/>
        </w:rPr>
        <w:instrText xml:space="preserve"> HYPERLINK \l "_Toc6367" </w:instrText>
      </w:r>
      <w:r>
        <w:rPr>
          <w:color w:val="auto"/>
          <w:highlight w:val="none"/>
        </w:rPr>
        <w:fldChar w:fldCharType="separate"/>
      </w:r>
      <w:r>
        <w:rPr>
          <w:rFonts w:hint="eastAsia"/>
          <w:color w:val="auto"/>
          <w:szCs w:val="44"/>
          <w:highlight w:val="none"/>
        </w:rPr>
        <w:t>第二章 招标项目采购需求</w:t>
      </w:r>
      <w:r>
        <w:rPr>
          <w:color w:val="auto"/>
          <w:highlight w:val="none"/>
        </w:rPr>
        <w:tab/>
      </w:r>
      <w:r>
        <w:rPr>
          <w:color w:val="auto"/>
          <w:highlight w:val="none"/>
        </w:rPr>
        <w:fldChar w:fldCharType="begin"/>
      </w:r>
      <w:r>
        <w:rPr>
          <w:color w:val="auto"/>
          <w:highlight w:val="none"/>
        </w:rPr>
        <w:instrText xml:space="preserve"> PAGEREF _Toc6367 </w:instrText>
      </w:r>
      <w:r>
        <w:rPr>
          <w:color w:val="auto"/>
          <w:highlight w:val="none"/>
        </w:rPr>
        <w:fldChar w:fldCharType="separate"/>
      </w:r>
      <w:r>
        <w:rPr>
          <w:color w:val="auto"/>
          <w:highlight w:val="none"/>
        </w:rPr>
        <w:t xml:space="preserve">- </w:t>
      </w:r>
      <w:r>
        <w:rPr>
          <w:rFonts w:hint="eastAsia"/>
          <w:color w:val="auto"/>
          <w:highlight w:val="none"/>
          <w:lang w:val="en-US" w:eastAsia="zh-CN"/>
        </w:rPr>
        <w:t>6</w:t>
      </w:r>
      <w:r>
        <w:rPr>
          <w:color w:val="auto"/>
          <w:highlight w:val="none"/>
        </w:rPr>
        <w:t xml:space="preserve"> -</w:t>
      </w:r>
      <w:r>
        <w:rPr>
          <w:color w:val="auto"/>
          <w:highlight w:val="none"/>
        </w:rPr>
        <w:fldChar w:fldCharType="end"/>
      </w:r>
      <w:r>
        <w:rPr>
          <w:color w:val="auto"/>
          <w:highlight w:val="none"/>
        </w:rPr>
        <w:fldChar w:fldCharType="end"/>
      </w:r>
    </w:p>
    <w:p>
      <w:pPr>
        <w:pStyle w:val="28"/>
        <w:tabs>
          <w:tab w:val="right" w:leader="dot" w:pos="8997"/>
          <w:tab w:val="clear" w:pos="8398"/>
        </w:tabs>
        <w:ind w:firstLine="241"/>
        <w:rPr>
          <w:color w:val="auto"/>
          <w:highlight w:val="none"/>
        </w:rPr>
      </w:pPr>
      <w:r>
        <w:rPr>
          <w:color w:val="auto"/>
          <w:highlight w:val="none"/>
        </w:rPr>
        <w:fldChar w:fldCharType="begin"/>
      </w:r>
      <w:r>
        <w:rPr>
          <w:color w:val="auto"/>
          <w:highlight w:val="none"/>
        </w:rPr>
        <w:instrText xml:space="preserve"> HYPERLINK \l "_Toc28684" </w:instrText>
      </w:r>
      <w:r>
        <w:rPr>
          <w:color w:val="auto"/>
          <w:highlight w:val="none"/>
        </w:rPr>
        <w:fldChar w:fldCharType="separate"/>
      </w:r>
      <w:r>
        <w:rPr>
          <w:rFonts w:hint="eastAsia"/>
          <w:color w:val="auto"/>
          <w:szCs w:val="44"/>
          <w:highlight w:val="none"/>
        </w:rPr>
        <w:t>第三章  投标人须知</w:t>
      </w:r>
      <w:r>
        <w:rPr>
          <w:color w:val="auto"/>
          <w:highlight w:val="none"/>
        </w:rPr>
        <w:tab/>
      </w:r>
      <w:r>
        <w:rPr>
          <w:color w:val="auto"/>
          <w:highlight w:val="none"/>
        </w:rPr>
        <w:fldChar w:fldCharType="begin"/>
      </w:r>
      <w:r>
        <w:rPr>
          <w:color w:val="auto"/>
          <w:highlight w:val="none"/>
        </w:rPr>
        <w:instrText xml:space="preserve"> PAGEREF _Toc28684 </w:instrText>
      </w:r>
      <w:r>
        <w:rPr>
          <w:color w:val="auto"/>
          <w:highlight w:val="none"/>
        </w:rPr>
        <w:fldChar w:fldCharType="separate"/>
      </w:r>
      <w:r>
        <w:rPr>
          <w:color w:val="auto"/>
          <w:highlight w:val="none"/>
        </w:rPr>
        <w:t>- 2</w:t>
      </w:r>
      <w:r>
        <w:rPr>
          <w:rFonts w:hint="eastAsia"/>
          <w:color w:val="auto"/>
          <w:highlight w:val="none"/>
          <w:lang w:val="en-US" w:eastAsia="zh-CN"/>
        </w:rPr>
        <w:t>2</w:t>
      </w:r>
      <w:r>
        <w:rPr>
          <w:color w:val="auto"/>
          <w:highlight w:val="none"/>
        </w:rPr>
        <w:t xml:space="preserve"> -</w:t>
      </w:r>
      <w:r>
        <w:rPr>
          <w:color w:val="auto"/>
          <w:highlight w:val="none"/>
        </w:rPr>
        <w:fldChar w:fldCharType="end"/>
      </w:r>
      <w:r>
        <w:rPr>
          <w:color w:val="auto"/>
          <w:highlight w:val="none"/>
        </w:rPr>
        <w:fldChar w:fldCharType="end"/>
      </w:r>
    </w:p>
    <w:p>
      <w:pPr>
        <w:pStyle w:val="28"/>
        <w:tabs>
          <w:tab w:val="right" w:leader="dot" w:pos="8997"/>
          <w:tab w:val="clear" w:pos="8398"/>
        </w:tabs>
        <w:ind w:firstLine="241"/>
        <w:rPr>
          <w:color w:val="auto"/>
          <w:highlight w:val="none"/>
        </w:rPr>
      </w:pPr>
      <w:r>
        <w:rPr>
          <w:color w:val="auto"/>
          <w:highlight w:val="none"/>
        </w:rPr>
        <w:fldChar w:fldCharType="begin"/>
      </w:r>
      <w:r>
        <w:rPr>
          <w:color w:val="auto"/>
          <w:highlight w:val="none"/>
        </w:rPr>
        <w:instrText xml:space="preserve"> HYPERLINK \l "_Toc6368" </w:instrText>
      </w:r>
      <w:r>
        <w:rPr>
          <w:color w:val="auto"/>
          <w:highlight w:val="none"/>
        </w:rPr>
        <w:fldChar w:fldCharType="separate"/>
      </w:r>
      <w:r>
        <w:rPr>
          <w:rFonts w:hint="eastAsia"/>
          <w:color w:val="auto"/>
          <w:szCs w:val="44"/>
          <w:highlight w:val="none"/>
        </w:rPr>
        <w:t>第五章 合同主要条款格式</w:t>
      </w:r>
      <w:r>
        <w:rPr>
          <w:color w:val="auto"/>
          <w:highlight w:val="none"/>
        </w:rPr>
        <w:tab/>
      </w:r>
      <w:r>
        <w:rPr>
          <w:color w:val="auto"/>
          <w:highlight w:val="none"/>
        </w:rPr>
        <w:fldChar w:fldCharType="begin"/>
      </w:r>
      <w:r>
        <w:rPr>
          <w:color w:val="auto"/>
          <w:highlight w:val="none"/>
        </w:rPr>
        <w:instrText xml:space="preserve"> PAGEREF _Toc6368 </w:instrText>
      </w:r>
      <w:r>
        <w:rPr>
          <w:color w:val="auto"/>
          <w:highlight w:val="none"/>
        </w:rPr>
        <w:fldChar w:fldCharType="separate"/>
      </w:r>
      <w:r>
        <w:rPr>
          <w:color w:val="auto"/>
          <w:highlight w:val="none"/>
        </w:rPr>
        <w:t>- 4</w:t>
      </w:r>
      <w:r>
        <w:rPr>
          <w:rFonts w:hint="eastAsia"/>
          <w:color w:val="auto"/>
          <w:highlight w:val="none"/>
          <w:lang w:val="en-US" w:eastAsia="zh-CN"/>
        </w:rPr>
        <w:t>1</w:t>
      </w:r>
      <w:r>
        <w:rPr>
          <w:color w:val="auto"/>
          <w:highlight w:val="none"/>
        </w:rPr>
        <w:t xml:space="preserve"> -</w:t>
      </w:r>
      <w:r>
        <w:rPr>
          <w:color w:val="auto"/>
          <w:highlight w:val="none"/>
        </w:rPr>
        <w:fldChar w:fldCharType="end"/>
      </w:r>
      <w:r>
        <w:rPr>
          <w:color w:val="auto"/>
          <w:highlight w:val="none"/>
        </w:rPr>
        <w:fldChar w:fldCharType="end"/>
      </w:r>
    </w:p>
    <w:p>
      <w:pPr>
        <w:pStyle w:val="28"/>
        <w:tabs>
          <w:tab w:val="right" w:leader="dot" w:pos="8997"/>
          <w:tab w:val="clear" w:pos="8398"/>
        </w:tabs>
        <w:ind w:firstLine="241"/>
        <w:rPr>
          <w:color w:val="auto"/>
          <w:highlight w:val="none"/>
        </w:rPr>
      </w:pPr>
      <w:r>
        <w:rPr>
          <w:color w:val="auto"/>
          <w:highlight w:val="none"/>
        </w:rPr>
        <w:fldChar w:fldCharType="begin"/>
      </w:r>
      <w:r>
        <w:rPr>
          <w:color w:val="auto"/>
          <w:highlight w:val="none"/>
        </w:rPr>
        <w:instrText xml:space="preserve"> HYPERLINK \l "_Toc23334" </w:instrText>
      </w:r>
      <w:r>
        <w:rPr>
          <w:color w:val="auto"/>
          <w:highlight w:val="none"/>
        </w:rPr>
        <w:fldChar w:fldCharType="separate"/>
      </w:r>
      <w:r>
        <w:rPr>
          <w:rFonts w:hint="eastAsia"/>
          <w:color w:val="auto"/>
          <w:szCs w:val="44"/>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_Toc23334 </w:instrText>
      </w:r>
      <w:r>
        <w:rPr>
          <w:color w:val="auto"/>
          <w:highlight w:val="none"/>
        </w:rPr>
        <w:fldChar w:fldCharType="separate"/>
      </w:r>
      <w:r>
        <w:rPr>
          <w:color w:val="auto"/>
          <w:highlight w:val="none"/>
        </w:rPr>
        <w:t>- 4</w:t>
      </w:r>
      <w:r>
        <w:rPr>
          <w:rFonts w:hint="eastAsia"/>
          <w:color w:val="auto"/>
          <w:highlight w:val="none"/>
          <w:lang w:val="en-US" w:eastAsia="zh-CN"/>
        </w:rPr>
        <w:t>9</w:t>
      </w:r>
      <w:r>
        <w:rPr>
          <w:color w:val="auto"/>
          <w:highlight w:val="none"/>
        </w:rPr>
        <w:t xml:space="preserve"> -</w:t>
      </w:r>
      <w:r>
        <w:rPr>
          <w:color w:val="auto"/>
          <w:highlight w:val="none"/>
        </w:rPr>
        <w:fldChar w:fldCharType="end"/>
      </w:r>
      <w:r>
        <w:rPr>
          <w:color w:val="auto"/>
          <w:highlight w:val="none"/>
        </w:rPr>
        <w:fldChar w:fldCharType="end"/>
      </w:r>
    </w:p>
    <w:p>
      <w:pPr>
        <w:pStyle w:val="28"/>
        <w:tabs>
          <w:tab w:val="right" w:leader="dot" w:pos="8997"/>
          <w:tab w:val="clear" w:pos="8398"/>
        </w:tabs>
        <w:ind w:firstLine="241"/>
        <w:rPr>
          <w:color w:val="auto"/>
          <w:highlight w:val="none"/>
        </w:rPr>
      </w:pPr>
      <w:r>
        <w:rPr>
          <w:rFonts w:hint="eastAsia"/>
          <w:color w:val="auto"/>
          <w:highlight w:val="none"/>
        </w:rPr>
        <w:t>第七章 质疑函及投诉书格式</w:t>
      </w:r>
      <w:r>
        <w:rPr>
          <w:color w:val="auto"/>
          <w:highlight w:val="none"/>
        </w:rPr>
        <w:tab/>
      </w:r>
      <w:r>
        <w:rPr>
          <w:color w:val="auto"/>
          <w:highlight w:val="none"/>
        </w:rPr>
        <w:fldChar w:fldCharType="begin"/>
      </w:r>
      <w:r>
        <w:rPr>
          <w:color w:val="auto"/>
          <w:highlight w:val="none"/>
        </w:rPr>
        <w:instrText xml:space="preserve"> PAGEREF _Toc23334 </w:instrText>
      </w:r>
      <w:r>
        <w:rPr>
          <w:color w:val="auto"/>
          <w:highlight w:val="none"/>
        </w:rPr>
        <w:fldChar w:fldCharType="separate"/>
      </w:r>
      <w:r>
        <w:rPr>
          <w:color w:val="auto"/>
          <w:highlight w:val="none"/>
        </w:rPr>
        <w:t xml:space="preserve">- </w:t>
      </w:r>
      <w:r>
        <w:rPr>
          <w:rFonts w:hint="eastAsia"/>
          <w:color w:val="auto"/>
          <w:highlight w:val="none"/>
        </w:rPr>
        <w:t>6</w:t>
      </w:r>
      <w:r>
        <w:rPr>
          <w:rFonts w:hint="eastAsia"/>
          <w:color w:val="auto"/>
          <w:highlight w:val="none"/>
          <w:lang w:val="en-US" w:eastAsia="zh-CN"/>
        </w:rPr>
        <w:t>9</w:t>
      </w:r>
      <w:r>
        <w:rPr>
          <w:color w:val="auto"/>
          <w:highlight w:val="none"/>
        </w:rPr>
        <w:t xml:space="preserve"> -</w:t>
      </w:r>
      <w:r>
        <w:rPr>
          <w:color w:val="auto"/>
          <w:highlight w:val="none"/>
        </w:rPr>
        <w:fldChar w:fldCharType="end"/>
      </w:r>
    </w:p>
    <w:p>
      <w:pPr>
        <w:pStyle w:val="28"/>
        <w:spacing w:line="480" w:lineRule="auto"/>
        <w:ind w:firstLine="241"/>
        <w:rPr>
          <w:color w:val="auto"/>
          <w:highlight w:val="none"/>
        </w:rPr>
      </w:pPr>
      <w:r>
        <w:rPr>
          <w:color w:val="auto"/>
          <w:highlight w:val="none"/>
        </w:rPr>
        <w:fldChar w:fldCharType="end"/>
      </w:r>
      <w:r>
        <w:rPr>
          <w:rFonts w:hint="eastAsia"/>
          <w:color w:val="auto"/>
          <w:highlight w:val="none"/>
        </w:rPr>
        <w:t>附件:中标通知书</w:t>
      </w:r>
    </w:p>
    <w:p>
      <w:pPr>
        <w:rPr>
          <w:rFonts w:ascii="宋体" w:hAnsi="宋体"/>
          <w:color w:val="auto"/>
          <w:sz w:val="30"/>
          <w:highlight w:val="none"/>
        </w:rPr>
      </w:pPr>
    </w:p>
    <w:p>
      <w:pPr>
        <w:rPr>
          <w:rFonts w:ascii="宋体" w:hAnsi="宋体"/>
          <w:color w:val="auto"/>
          <w:sz w:val="30"/>
          <w:highlight w:val="none"/>
        </w:rPr>
      </w:pPr>
    </w:p>
    <w:p>
      <w:pPr>
        <w:rPr>
          <w:rFonts w:ascii="宋体" w:hAnsi="宋体"/>
          <w:color w:val="auto"/>
          <w:sz w:val="30"/>
          <w:highlight w:val="none"/>
        </w:rPr>
      </w:pPr>
    </w:p>
    <w:p>
      <w:pPr>
        <w:rPr>
          <w:rFonts w:ascii="宋体" w:hAnsi="宋体"/>
          <w:color w:val="auto"/>
          <w:sz w:val="30"/>
          <w:highlight w:val="none"/>
        </w:rPr>
      </w:pPr>
    </w:p>
    <w:p>
      <w:pPr>
        <w:rPr>
          <w:rFonts w:ascii="宋体" w:hAnsi="宋体"/>
          <w:color w:val="auto"/>
          <w:sz w:val="30"/>
          <w:highlight w:val="none"/>
        </w:rPr>
      </w:pPr>
    </w:p>
    <w:p>
      <w:pPr>
        <w:rPr>
          <w:rFonts w:ascii="宋体" w:hAnsi="宋体"/>
          <w:color w:val="auto"/>
          <w:sz w:val="30"/>
          <w:highlight w:val="none"/>
        </w:rPr>
      </w:pPr>
    </w:p>
    <w:p>
      <w:pPr>
        <w:rPr>
          <w:rFonts w:ascii="宋体" w:hAnsi="宋体"/>
          <w:color w:val="auto"/>
          <w:sz w:val="30"/>
          <w:highlight w:val="none"/>
        </w:rPr>
      </w:pPr>
    </w:p>
    <w:p>
      <w:pPr>
        <w:rPr>
          <w:rFonts w:ascii="宋体" w:hAnsi="宋体"/>
          <w:color w:val="auto"/>
          <w:sz w:val="30"/>
          <w:highlight w:val="none"/>
        </w:rPr>
      </w:pPr>
    </w:p>
    <w:p>
      <w:pPr>
        <w:rPr>
          <w:rFonts w:ascii="宋体" w:hAnsi="宋体"/>
          <w:color w:val="auto"/>
          <w:sz w:val="30"/>
          <w:highlight w:val="none"/>
        </w:rPr>
      </w:pPr>
    </w:p>
    <w:p>
      <w:pPr>
        <w:rPr>
          <w:rFonts w:ascii="宋体" w:hAnsi="宋体"/>
          <w:color w:val="auto"/>
          <w:sz w:val="30"/>
          <w:highlight w:val="none"/>
        </w:rPr>
      </w:pPr>
    </w:p>
    <w:p>
      <w:pPr>
        <w:rPr>
          <w:rFonts w:ascii="宋体" w:hAnsi="宋体"/>
          <w:color w:val="auto"/>
          <w:sz w:val="30"/>
          <w:highlight w:val="none"/>
        </w:rPr>
      </w:pPr>
    </w:p>
    <w:p>
      <w:pPr>
        <w:pStyle w:val="22"/>
        <w:snapToGrid w:val="0"/>
        <w:jc w:val="center"/>
        <w:outlineLvl w:val="0"/>
        <w:rPr>
          <w:rFonts w:hAnsi="宋体"/>
          <w:color w:val="auto"/>
          <w:highlight w:val="none"/>
        </w:rPr>
      </w:pPr>
      <w:bookmarkStart w:id="0" w:name="_Toc254970489"/>
      <w:bookmarkStart w:id="1" w:name="_Toc254970630"/>
      <w:r>
        <w:rPr>
          <w:rFonts w:hAnsi="宋体"/>
          <w:color w:val="auto"/>
          <w:highlight w:val="none"/>
        </w:rPr>
        <w:br w:type="page"/>
      </w:r>
    </w:p>
    <w:p>
      <w:pPr>
        <w:pStyle w:val="22"/>
        <w:snapToGrid w:val="0"/>
        <w:jc w:val="center"/>
        <w:outlineLvl w:val="0"/>
        <w:rPr>
          <w:rFonts w:hAnsi="宋体"/>
          <w:color w:val="auto"/>
          <w:highlight w:val="none"/>
        </w:rPr>
      </w:pPr>
    </w:p>
    <w:p>
      <w:pPr>
        <w:pStyle w:val="22"/>
        <w:snapToGrid w:val="0"/>
        <w:jc w:val="center"/>
        <w:outlineLvl w:val="0"/>
        <w:rPr>
          <w:rFonts w:hAnsi="宋体"/>
          <w:color w:val="auto"/>
          <w:highlight w:val="none"/>
        </w:rPr>
      </w:pPr>
    </w:p>
    <w:p>
      <w:pPr>
        <w:pStyle w:val="22"/>
        <w:snapToGrid w:val="0"/>
        <w:jc w:val="center"/>
        <w:outlineLvl w:val="0"/>
        <w:rPr>
          <w:rFonts w:hAnsi="宋体"/>
          <w:color w:val="auto"/>
          <w:highlight w:val="none"/>
        </w:rPr>
      </w:pPr>
    </w:p>
    <w:p>
      <w:pPr>
        <w:pStyle w:val="22"/>
        <w:snapToGrid w:val="0"/>
        <w:jc w:val="center"/>
        <w:outlineLvl w:val="0"/>
        <w:rPr>
          <w:rFonts w:hAnsi="宋体"/>
          <w:color w:val="auto"/>
          <w:highlight w:val="none"/>
        </w:rPr>
      </w:pPr>
    </w:p>
    <w:p>
      <w:pPr>
        <w:pStyle w:val="22"/>
        <w:snapToGrid w:val="0"/>
        <w:jc w:val="center"/>
        <w:outlineLvl w:val="0"/>
        <w:rPr>
          <w:rFonts w:hAnsi="宋体"/>
          <w:color w:val="auto"/>
          <w:highlight w:val="none"/>
        </w:rPr>
      </w:pPr>
    </w:p>
    <w:p>
      <w:pPr>
        <w:pStyle w:val="22"/>
        <w:snapToGrid w:val="0"/>
        <w:jc w:val="center"/>
        <w:outlineLvl w:val="0"/>
        <w:rPr>
          <w:rFonts w:hAnsi="宋体"/>
          <w:color w:val="auto"/>
          <w:highlight w:val="none"/>
        </w:rPr>
      </w:pPr>
    </w:p>
    <w:p>
      <w:pPr>
        <w:pStyle w:val="22"/>
        <w:snapToGrid w:val="0"/>
        <w:jc w:val="center"/>
        <w:outlineLvl w:val="0"/>
        <w:rPr>
          <w:rFonts w:hAnsi="宋体"/>
          <w:color w:val="auto"/>
          <w:highlight w:val="none"/>
        </w:rPr>
      </w:pPr>
    </w:p>
    <w:p>
      <w:pPr>
        <w:pStyle w:val="22"/>
        <w:snapToGrid w:val="0"/>
        <w:jc w:val="center"/>
        <w:outlineLvl w:val="0"/>
        <w:rPr>
          <w:rFonts w:hAnsi="宋体"/>
          <w:color w:val="auto"/>
          <w:highlight w:val="none"/>
        </w:rPr>
      </w:pPr>
    </w:p>
    <w:p>
      <w:pPr>
        <w:pStyle w:val="22"/>
        <w:snapToGrid w:val="0"/>
        <w:jc w:val="center"/>
        <w:outlineLvl w:val="0"/>
        <w:rPr>
          <w:rFonts w:hAnsi="宋体"/>
          <w:color w:val="auto"/>
          <w:highlight w:val="none"/>
        </w:rPr>
      </w:pPr>
    </w:p>
    <w:p>
      <w:pPr>
        <w:pStyle w:val="22"/>
        <w:snapToGrid w:val="0"/>
        <w:jc w:val="center"/>
        <w:outlineLvl w:val="0"/>
        <w:rPr>
          <w:rFonts w:hAnsi="宋体"/>
          <w:color w:val="auto"/>
          <w:highlight w:val="none"/>
        </w:rPr>
      </w:pPr>
    </w:p>
    <w:p>
      <w:pPr>
        <w:pStyle w:val="22"/>
        <w:snapToGrid w:val="0"/>
        <w:jc w:val="center"/>
        <w:outlineLvl w:val="0"/>
        <w:rPr>
          <w:rFonts w:hAnsi="宋体"/>
          <w:color w:val="auto"/>
          <w:highlight w:val="none"/>
        </w:rPr>
      </w:pPr>
    </w:p>
    <w:p>
      <w:pPr>
        <w:pStyle w:val="22"/>
        <w:snapToGrid w:val="0"/>
        <w:jc w:val="center"/>
        <w:outlineLvl w:val="0"/>
        <w:rPr>
          <w:rFonts w:hAnsi="宋体"/>
          <w:color w:val="auto"/>
          <w:highlight w:val="none"/>
        </w:rPr>
      </w:pPr>
    </w:p>
    <w:p>
      <w:pPr>
        <w:pStyle w:val="22"/>
        <w:snapToGrid w:val="0"/>
        <w:jc w:val="center"/>
        <w:outlineLvl w:val="0"/>
        <w:rPr>
          <w:rFonts w:hAnsi="宋体"/>
          <w:color w:val="auto"/>
          <w:highlight w:val="none"/>
        </w:rPr>
      </w:pPr>
    </w:p>
    <w:p>
      <w:pPr>
        <w:pStyle w:val="22"/>
        <w:snapToGrid w:val="0"/>
        <w:jc w:val="center"/>
        <w:outlineLvl w:val="0"/>
        <w:rPr>
          <w:rFonts w:hAnsi="宋体"/>
          <w:color w:val="auto"/>
          <w:highlight w:val="none"/>
        </w:rPr>
      </w:pPr>
    </w:p>
    <w:p>
      <w:pPr>
        <w:pStyle w:val="22"/>
        <w:snapToGrid w:val="0"/>
        <w:jc w:val="center"/>
        <w:outlineLvl w:val="0"/>
        <w:rPr>
          <w:rFonts w:hAnsi="宋体"/>
          <w:color w:val="auto"/>
          <w:highlight w:val="none"/>
        </w:rPr>
      </w:pPr>
    </w:p>
    <w:p>
      <w:pPr>
        <w:pStyle w:val="22"/>
        <w:snapToGrid w:val="0"/>
        <w:jc w:val="center"/>
        <w:outlineLvl w:val="0"/>
        <w:rPr>
          <w:rFonts w:hAnsi="宋体"/>
          <w:color w:val="auto"/>
          <w:highlight w:val="none"/>
        </w:rPr>
      </w:pPr>
    </w:p>
    <w:p>
      <w:pPr>
        <w:pStyle w:val="22"/>
        <w:snapToGrid w:val="0"/>
        <w:jc w:val="center"/>
        <w:outlineLvl w:val="0"/>
        <w:rPr>
          <w:rFonts w:hAnsi="宋体"/>
          <w:color w:val="auto"/>
          <w:highlight w:val="none"/>
        </w:rPr>
      </w:pPr>
    </w:p>
    <w:p>
      <w:pPr>
        <w:pStyle w:val="22"/>
        <w:snapToGrid w:val="0"/>
        <w:jc w:val="center"/>
        <w:outlineLvl w:val="0"/>
        <w:rPr>
          <w:rFonts w:hAnsi="宋体"/>
          <w:b/>
          <w:color w:val="auto"/>
          <w:sz w:val="44"/>
          <w:szCs w:val="44"/>
          <w:highlight w:val="none"/>
        </w:rPr>
      </w:pPr>
      <w:bookmarkStart w:id="2" w:name="_Toc4176"/>
      <w:r>
        <w:rPr>
          <w:rFonts w:hint="eastAsia" w:hAnsi="宋体"/>
          <w:b/>
          <w:color w:val="auto"/>
          <w:sz w:val="44"/>
          <w:szCs w:val="44"/>
          <w:highlight w:val="none"/>
        </w:rPr>
        <w:t>第一章 公开招标公告</w:t>
      </w:r>
      <w:bookmarkEnd w:id="0"/>
      <w:bookmarkEnd w:id="1"/>
      <w:bookmarkEnd w:id="2"/>
    </w:p>
    <w:p>
      <w:pPr>
        <w:overflowPunct w:val="0"/>
        <w:autoSpaceDE w:val="0"/>
        <w:autoSpaceDN w:val="0"/>
        <w:adjustRightInd w:val="0"/>
        <w:spacing w:line="400" w:lineRule="exact"/>
        <w:ind w:firstLine="420" w:firstLineChars="200"/>
        <w:jc w:val="center"/>
        <w:rPr>
          <w:rFonts w:ascii="宋体" w:hAnsi="宋体"/>
          <w:b/>
          <w:color w:val="auto"/>
          <w:spacing w:val="-6"/>
          <w:sz w:val="30"/>
          <w:szCs w:val="30"/>
          <w:highlight w:val="none"/>
        </w:rPr>
      </w:pPr>
      <w:r>
        <w:rPr>
          <w:rFonts w:ascii="宋体" w:hAnsi="宋体"/>
          <w:color w:val="auto"/>
          <w:szCs w:val="21"/>
          <w:highlight w:val="none"/>
        </w:rPr>
        <w:br w:type="page"/>
      </w:r>
      <w:r>
        <w:rPr>
          <w:rFonts w:hint="eastAsia" w:ascii="宋体" w:hAnsi="宋体"/>
          <w:b/>
          <w:color w:val="auto"/>
          <w:spacing w:val="-6"/>
          <w:sz w:val="30"/>
          <w:szCs w:val="30"/>
          <w:highlight w:val="none"/>
        </w:rPr>
        <w:t>广西建设工程机电设备招标中心有限公司</w:t>
      </w:r>
    </w:p>
    <w:p>
      <w:pPr>
        <w:overflowPunct w:val="0"/>
        <w:autoSpaceDE w:val="0"/>
        <w:autoSpaceDN w:val="0"/>
        <w:adjustRightInd w:val="0"/>
        <w:spacing w:line="400" w:lineRule="exact"/>
        <w:ind w:firstLine="578" w:firstLineChars="200"/>
        <w:jc w:val="center"/>
        <w:rPr>
          <w:rFonts w:ascii="宋体" w:hAnsi="宋体"/>
          <w:b/>
          <w:color w:val="auto"/>
          <w:spacing w:val="-6"/>
          <w:sz w:val="30"/>
          <w:szCs w:val="30"/>
          <w:highlight w:val="none"/>
        </w:rPr>
      </w:pPr>
      <w:r>
        <w:rPr>
          <w:rFonts w:hint="eastAsia" w:ascii="宋体" w:hAnsi="宋体"/>
          <w:b/>
          <w:color w:val="auto"/>
          <w:spacing w:val="-6"/>
          <w:sz w:val="30"/>
          <w:szCs w:val="30"/>
          <w:highlight w:val="none"/>
        </w:rPr>
        <w:t xml:space="preserve"> 南宁市政务办公精细化管理系统服务采购项目</w:t>
      </w:r>
    </w:p>
    <w:p>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color w:val="auto"/>
          <w:sz w:val="30"/>
          <w:szCs w:val="30"/>
          <w:highlight w:val="none"/>
        </w:rPr>
      </w:pPr>
      <w:r>
        <w:rPr>
          <w:rFonts w:hint="eastAsia" w:ascii="宋体" w:hAnsi="宋体"/>
          <w:b/>
          <w:color w:val="auto"/>
          <w:spacing w:val="-6"/>
          <w:sz w:val="30"/>
          <w:szCs w:val="30"/>
          <w:highlight w:val="none"/>
        </w:rPr>
        <w:t>编号：</w:t>
      </w:r>
      <w:r>
        <w:rPr>
          <w:rFonts w:hint="eastAsia" w:ascii="黑体" w:hAnsi="黑体" w:eastAsia="黑体" w:cs="黑体"/>
          <w:color w:val="auto"/>
          <w:sz w:val="32"/>
          <w:szCs w:val="32"/>
          <w:highlight w:val="none"/>
        </w:rPr>
        <w:t>FW(3)2020400GNN</w:t>
      </w:r>
      <w:r>
        <w:rPr>
          <w:rFonts w:hint="eastAsia" w:ascii="宋体" w:hAnsi="宋体"/>
          <w:b/>
          <w:color w:val="auto"/>
          <w:spacing w:val="-6"/>
          <w:sz w:val="30"/>
          <w:szCs w:val="30"/>
          <w:highlight w:val="none"/>
        </w:rPr>
        <w:t>公开招标公告</w:t>
      </w:r>
    </w:p>
    <w:p>
      <w:pPr>
        <w:pBdr>
          <w:top w:val="single" w:color="auto" w:sz="4" w:space="1"/>
          <w:left w:val="single" w:color="auto" w:sz="4" w:space="4"/>
          <w:bottom w:val="single" w:color="auto" w:sz="4" w:space="1"/>
          <w:right w:val="single" w:color="auto" w:sz="4" w:space="4"/>
        </w:pBd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项目概况</w:t>
      </w:r>
    </w:p>
    <w:p>
      <w:pPr>
        <w:pBdr>
          <w:top w:val="single" w:color="auto" w:sz="4" w:space="1"/>
          <w:left w:val="single" w:color="auto" w:sz="4" w:space="4"/>
          <w:bottom w:val="single" w:color="auto" w:sz="4" w:space="1"/>
          <w:right w:val="single" w:color="auto" w:sz="4" w:space="4"/>
        </w:pBd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 xml:space="preserve"> </w:t>
      </w:r>
      <w:r>
        <w:rPr>
          <w:rFonts w:hint="eastAsia" w:ascii="宋体" w:hAnsi="宋体"/>
          <w:color w:val="auto"/>
          <w:spacing w:val="-6"/>
          <w:sz w:val="24"/>
          <w:highlight w:val="none"/>
          <w:u w:val="single"/>
        </w:rPr>
        <w:t>南宁市政务办公精细化管理系统服务采购</w:t>
      </w:r>
      <w:r>
        <w:rPr>
          <w:rFonts w:hint="eastAsia" w:asciiTheme="minorEastAsia" w:hAnsiTheme="minorEastAsia" w:eastAsiaTheme="minorEastAsia" w:cstheme="minorEastAsia"/>
          <w:color w:val="auto"/>
          <w:sz w:val="24"/>
          <w:szCs w:val="24"/>
          <w:highlight w:val="none"/>
        </w:rPr>
        <w:t xml:space="preserve"> 招标项目的潜在投标人应在</w:t>
      </w:r>
      <w:r>
        <w:rPr>
          <w:rFonts w:hint="eastAsia" w:asciiTheme="minorEastAsia" w:hAnsiTheme="minorEastAsia" w:eastAsiaTheme="minorEastAsia" w:cstheme="minorEastAsia"/>
          <w:color w:val="auto"/>
          <w:sz w:val="24"/>
          <w:szCs w:val="24"/>
          <w:highlight w:val="none"/>
          <w:u w:val="single"/>
        </w:rPr>
        <w:t>南宁市公共资源交易平台(https://www.nnggzy.org.cn/gxnnzbw)的信息公告处</w:t>
      </w:r>
      <w:r>
        <w:rPr>
          <w:rFonts w:hint="eastAsia" w:asciiTheme="minorEastAsia" w:hAnsiTheme="minorEastAsia" w:eastAsiaTheme="minorEastAsia" w:cstheme="minorEastAsia"/>
          <w:color w:val="auto"/>
          <w:sz w:val="24"/>
          <w:szCs w:val="24"/>
          <w:highlight w:val="none"/>
        </w:rPr>
        <w:t>获取招标文件，并于</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2020</w:t>
      </w:r>
      <w:r>
        <w:rPr>
          <w:rFonts w:hint="eastAsia" w:asciiTheme="minorEastAsia" w:hAnsiTheme="minorEastAsia" w:eastAsiaTheme="minorEastAsia" w:cstheme="minorEastAsia"/>
          <w:bCs/>
          <w:color w:val="auto"/>
          <w:sz w:val="24"/>
          <w:szCs w:val="24"/>
          <w:highlight w:val="none"/>
          <w:u w:val="single"/>
        </w:rPr>
        <w:t>年</w:t>
      </w:r>
      <w:r>
        <w:rPr>
          <w:rFonts w:hint="eastAsia" w:asciiTheme="minorEastAsia" w:hAnsiTheme="minorEastAsia" w:eastAsiaTheme="minorEastAsia" w:cstheme="minorEastAsia"/>
          <w:bCs/>
          <w:color w:val="auto"/>
          <w:sz w:val="24"/>
          <w:szCs w:val="24"/>
          <w:highlight w:val="none"/>
          <w:u w:val="single"/>
          <w:lang w:val="en-US" w:eastAsia="zh-CN"/>
        </w:rPr>
        <w:t>8</w:t>
      </w:r>
      <w:r>
        <w:rPr>
          <w:rFonts w:hint="eastAsia" w:asciiTheme="minorEastAsia" w:hAnsiTheme="minorEastAsia" w:eastAsiaTheme="minorEastAsia" w:cstheme="minorEastAsia"/>
          <w:bCs/>
          <w:color w:val="auto"/>
          <w:sz w:val="24"/>
          <w:szCs w:val="24"/>
          <w:highlight w:val="none"/>
          <w:u w:val="single"/>
        </w:rPr>
        <w:t>月</w:t>
      </w:r>
      <w:r>
        <w:rPr>
          <w:rFonts w:hint="eastAsia" w:asciiTheme="minorEastAsia" w:hAnsiTheme="minorEastAsia" w:eastAsiaTheme="minorEastAsia" w:cstheme="minorEastAsia"/>
          <w:bCs/>
          <w:color w:val="auto"/>
          <w:sz w:val="24"/>
          <w:szCs w:val="24"/>
          <w:highlight w:val="none"/>
          <w:u w:val="single"/>
          <w:lang w:val="en-US" w:eastAsia="zh-CN"/>
        </w:rPr>
        <w:t>3</w:t>
      </w:r>
      <w:r>
        <w:rPr>
          <w:rFonts w:hint="eastAsia" w:asciiTheme="minorEastAsia" w:hAnsiTheme="minorEastAsia" w:eastAsiaTheme="minorEastAsia" w:cstheme="minorEastAsia"/>
          <w:bCs/>
          <w:color w:val="auto"/>
          <w:sz w:val="24"/>
          <w:szCs w:val="24"/>
          <w:highlight w:val="none"/>
          <w:u w:val="single"/>
        </w:rPr>
        <w:t>日</w:t>
      </w:r>
      <w:r>
        <w:rPr>
          <w:rFonts w:hint="eastAsia" w:asciiTheme="minorEastAsia" w:hAnsiTheme="minorEastAsia" w:eastAsiaTheme="minorEastAsia" w:cstheme="minorEastAsia"/>
          <w:bCs/>
          <w:color w:val="auto"/>
          <w:sz w:val="24"/>
          <w:szCs w:val="24"/>
          <w:highlight w:val="none"/>
          <w:u w:val="single"/>
          <w:lang w:val="en-US" w:eastAsia="zh-CN"/>
        </w:rPr>
        <w:t>9</w:t>
      </w:r>
      <w:r>
        <w:rPr>
          <w:rFonts w:hint="eastAsia" w:asciiTheme="minorEastAsia" w:hAnsiTheme="minorEastAsia" w:eastAsiaTheme="minorEastAsia" w:cstheme="minorEastAsia"/>
          <w:bCs/>
          <w:color w:val="auto"/>
          <w:sz w:val="24"/>
          <w:szCs w:val="24"/>
          <w:highlight w:val="none"/>
          <w:u w:val="single"/>
        </w:rPr>
        <w:t>点</w:t>
      </w:r>
      <w:r>
        <w:rPr>
          <w:rFonts w:hint="eastAsia" w:asciiTheme="minorEastAsia" w:hAnsiTheme="minorEastAsia" w:eastAsiaTheme="minorEastAsia" w:cstheme="minorEastAsia"/>
          <w:bCs/>
          <w:color w:val="auto"/>
          <w:sz w:val="24"/>
          <w:szCs w:val="24"/>
          <w:highlight w:val="none"/>
          <w:u w:val="single"/>
          <w:lang w:val="en-US" w:eastAsia="zh-CN"/>
        </w:rPr>
        <w:t>30</w:t>
      </w:r>
      <w:r>
        <w:rPr>
          <w:rFonts w:hint="eastAsia" w:asciiTheme="minorEastAsia" w:hAnsiTheme="minorEastAsia" w:eastAsiaTheme="minorEastAsia" w:cstheme="minorEastAsia"/>
          <w:bCs/>
          <w:color w:val="auto"/>
          <w:sz w:val="24"/>
          <w:szCs w:val="24"/>
          <w:highlight w:val="none"/>
          <w:u w:val="single"/>
        </w:rPr>
        <w:t>分（</w:t>
      </w:r>
      <w:r>
        <w:rPr>
          <w:rFonts w:hint="eastAsia" w:asciiTheme="minorEastAsia" w:hAnsiTheme="minorEastAsia" w:eastAsiaTheme="minorEastAsia" w:cstheme="minorEastAsia"/>
          <w:bCs/>
          <w:color w:val="auto"/>
          <w:sz w:val="24"/>
          <w:szCs w:val="24"/>
          <w:highlight w:val="none"/>
        </w:rPr>
        <w:t>北京时间）前递交投标文件</w:t>
      </w:r>
      <w:r>
        <w:rPr>
          <w:rFonts w:hint="eastAsia" w:asciiTheme="minorEastAsia" w:hAnsiTheme="minorEastAsia" w:eastAsiaTheme="minorEastAsia" w:cstheme="minorEastAsia"/>
          <w:color w:val="auto"/>
          <w:sz w:val="24"/>
          <w:szCs w:val="24"/>
          <w:highlight w:val="none"/>
        </w:rPr>
        <w:t>。</w:t>
      </w:r>
    </w:p>
    <w:p>
      <w:pPr>
        <w:rPr>
          <w:rFonts w:hint="eastAsia" w:asciiTheme="minorEastAsia" w:hAnsiTheme="minorEastAsia" w:eastAsiaTheme="minorEastAsia" w:cstheme="minorEastAsia"/>
          <w:color w:val="auto"/>
          <w:sz w:val="24"/>
          <w:szCs w:val="24"/>
          <w:highlight w:val="none"/>
        </w:rPr>
      </w:pPr>
    </w:p>
    <w:p>
      <w:pPr>
        <w:pStyle w:val="4"/>
        <w:spacing w:line="360" w:lineRule="auto"/>
        <w:rPr>
          <w:rFonts w:hint="eastAsia" w:asciiTheme="minorEastAsia" w:hAnsiTheme="minorEastAsia" w:eastAsiaTheme="minorEastAsia" w:cstheme="minorEastAsia"/>
          <w:b w:val="0"/>
          <w:color w:val="auto"/>
          <w:sz w:val="24"/>
          <w:szCs w:val="24"/>
          <w:highlight w:val="none"/>
        </w:rPr>
      </w:pPr>
      <w:bookmarkStart w:id="3" w:name="_Toc28359079"/>
      <w:bookmarkStart w:id="4" w:name="_Toc28359002"/>
      <w:bookmarkStart w:id="5" w:name="_Toc35393621"/>
      <w:bookmarkStart w:id="6" w:name="_Toc35393790"/>
      <w:bookmarkStart w:id="7" w:name="_Hlk24379207"/>
      <w:r>
        <w:rPr>
          <w:rFonts w:hint="eastAsia" w:asciiTheme="minorEastAsia" w:hAnsiTheme="minorEastAsia" w:eastAsiaTheme="minorEastAsia" w:cstheme="minorEastAsia"/>
          <w:b w:val="0"/>
          <w:color w:val="auto"/>
          <w:sz w:val="24"/>
          <w:szCs w:val="24"/>
          <w:highlight w:val="none"/>
        </w:rPr>
        <w:t>一、项目基本情况</w:t>
      </w:r>
      <w:bookmarkEnd w:id="3"/>
      <w:bookmarkEnd w:id="4"/>
      <w:bookmarkEnd w:id="5"/>
      <w:bookmarkEnd w:id="6"/>
    </w:p>
    <w:p>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项目编号</w:t>
      </w:r>
      <w:r>
        <w:rPr>
          <w:rFonts w:hint="eastAsia" w:asciiTheme="minorEastAsia" w:hAnsiTheme="minorEastAsia" w:eastAsiaTheme="minorEastAsia" w:cstheme="minorEastAsia"/>
          <w:color w:val="auto"/>
          <w:sz w:val="24"/>
          <w:szCs w:val="24"/>
          <w:highlight w:val="none"/>
          <w:lang w:eastAsia="zh-CN"/>
        </w:rPr>
        <w:t xml:space="preserve">：FW(3)2020400GNN </w:t>
      </w:r>
      <w:r>
        <w:rPr>
          <w:rFonts w:hint="eastAsia" w:asciiTheme="minorEastAsia" w:hAnsiTheme="minorEastAsia" w:eastAsiaTheme="minorEastAsia" w:cstheme="minorEastAsia"/>
          <w:color w:val="auto"/>
          <w:sz w:val="24"/>
          <w:szCs w:val="24"/>
          <w:highlight w:val="none"/>
        </w:rPr>
        <w:t>（审批编号：[2020]NCCJA018）：</w:t>
      </w:r>
    </w:p>
    <w:p>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b w:val="0"/>
          <w:color w:val="auto"/>
          <w:spacing w:val="0"/>
          <w:sz w:val="24"/>
          <w:szCs w:val="24"/>
          <w:highlight w:val="none"/>
        </w:rPr>
        <w:t>南宁市政务办公精细化管理系统服务采购项目</w:t>
      </w:r>
    </w:p>
    <w:bookmarkEnd w:id="7"/>
    <w:p>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预算金额：264 万元</w:t>
      </w:r>
    </w:p>
    <w:p>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最高限价（如有）：264 万元</w:t>
      </w:r>
    </w:p>
    <w:p>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采购需求：</w:t>
      </w:r>
    </w:p>
    <w:tbl>
      <w:tblPr>
        <w:tblStyle w:val="36"/>
        <w:tblW w:w="8518"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1"/>
        <w:gridCol w:w="4723"/>
        <w:gridCol w:w="1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931" w:type="dxa"/>
            <w:tcBorders>
              <w:top w:val="single" w:color="auto" w:sz="4" w:space="0"/>
              <w:left w:val="single" w:color="auto" w:sz="4" w:space="0"/>
              <w:bottom w:val="single" w:color="auto" w:sz="4" w:space="0"/>
              <w:right w:val="single" w:color="auto" w:sz="4" w:space="0"/>
            </w:tcBorders>
            <w:vAlign w:val="center"/>
          </w:tcPr>
          <w:p>
            <w:pPr>
              <w:snapToGrid w:val="0"/>
              <w:spacing w:line="386" w:lineRule="exact"/>
              <w:ind w:firstLine="480" w:firstLineChars="20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序号</w:t>
            </w:r>
          </w:p>
        </w:tc>
        <w:tc>
          <w:tcPr>
            <w:tcW w:w="4723" w:type="dxa"/>
            <w:tcBorders>
              <w:top w:val="single" w:color="auto" w:sz="4" w:space="0"/>
              <w:left w:val="single" w:color="auto" w:sz="4" w:space="0"/>
              <w:bottom w:val="single" w:color="auto" w:sz="4" w:space="0"/>
              <w:right w:val="single" w:color="auto" w:sz="4" w:space="0"/>
            </w:tcBorders>
            <w:vAlign w:val="center"/>
          </w:tcPr>
          <w:p>
            <w:pPr>
              <w:snapToGrid w:val="0"/>
              <w:spacing w:line="386" w:lineRule="exact"/>
              <w:ind w:firstLine="480" w:firstLineChars="20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服务名称</w:t>
            </w:r>
          </w:p>
        </w:tc>
        <w:tc>
          <w:tcPr>
            <w:tcW w:w="1864" w:type="dxa"/>
            <w:tcBorders>
              <w:top w:val="single" w:color="auto" w:sz="4" w:space="0"/>
              <w:left w:val="single" w:color="auto" w:sz="4" w:space="0"/>
              <w:bottom w:val="single" w:color="auto" w:sz="4" w:space="0"/>
              <w:right w:val="single" w:color="auto" w:sz="4" w:space="0"/>
            </w:tcBorders>
            <w:vAlign w:val="center"/>
          </w:tcPr>
          <w:p>
            <w:pPr>
              <w:snapToGrid w:val="0"/>
              <w:spacing w:line="386" w:lineRule="exact"/>
              <w:ind w:firstLine="480" w:firstLineChars="20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931" w:type="dxa"/>
            <w:tcBorders>
              <w:top w:val="single" w:color="auto" w:sz="4" w:space="0"/>
              <w:left w:val="single" w:color="auto" w:sz="4" w:space="0"/>
              <w:bottom w:val="single" w:color="auto" w:sz="4" w:space="0"/>
              <w:right w:val="single" w:color="auto" w:sz="4" w:space="0"/>
            </w:tcBorders>
          </w:tcPr>
          <w:p>
            <w:pPr>
              <w:snapToGrid w:val="0"/>
              <w:spacing w:line="386" w:lineRule="exact"/>
              <w:ind w:firstLine="480" w:firstLineChars="20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4723" w:type="dxa"/>
            <w:tcBorders>
              <w:top w:val="single" w:color="auto" w:sz="4" w:space="0"/>
              <w:left w:val="single" w:color="auto" w:sz="4" w:space="0"/>
              <w:bottom w:val="single" w:color="auto" w:sz="4" w:space="0"/>
              <w:right w:val="single" w:color="auto" w:sz="4" w:space="0"/>
            </w:tcBorders>
          </w:tcPr>
          <w:p>
            <w:pPr>
              <w:snapToGrid w:val="0"/>
              <w:spacing w:line="386" w:lineRule="exact"/>
              <w:rPr>
                <w:rFonts w:asciiTheme="minorEastAsia" w:hAnsiTheme="minorEastAsia" w:eastAsiaTheme="minorEastAsia"/>
                <w:color w:val="auto"/>
                <w:sz w:val="24"/>
                <w:highlight w:val="none"/>
              </w:rPr>
            </w:pPr>
            <w:r>
              <w:rPr>
                <w:rFonts w:hint="eastAsia" w:ascii="宋体" w:hAnsi="宋体"/>
                <w:color w:val="auto"/>
                <w:spacing w:val="-6"/>
                <w:sz w:val="24"/>
                <w:highlight w:val="none"/>
                <w:u w:val="single"/>
              </w:rPr>
              <w:t>南宁市政务办公精细化管理系统服务采购</w:t>
            </w:r>
          </w:p>
        </w:tc>
        <w:tc>
          <w:tcPr>
            <w:tcW w:w="1864" w:type="dxa"/>
            <w:tcBorders>
              <w:top w:val="single" w:color="auto" w:sz="4" w:space="0"/>
              <w:left w:val="single" w:color="auto" w:sz="4" w:space="0"/>
              <w:bottom w:val="single" w:color="auto" w:sz="4" w:space="0"/>
              <w:right w:val="single" w:color="auto" w:sz="4" w:space="0"/>
            </w:tcBorders>
          </w:tcPr>
          <w:p>
            <w:pPr>
              <w:snapToGrid w:val="0"/>
              <w:spacing w:line="386" w:lineRule="exact"/>
              <w:ind w:firstLine="480" w:firstLineChars="20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1项</w:t>
            </w:r>
          </w:p>
        </w:tc>
      </w:tr>
    </w:tbl>
    <w:p>
      <w:pPr>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如需进一步了解详细内容，详见招标文件。</w:t>
      </w:r>
    </w:p>
    <w:p>
      <w:pPr>
        <w:ind w:firstLine="480" w:firstLineChars="20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合同履行期限：自合同签订之日起20个日历日内交付第一批建设成果：完成本系统的深化设计方案、交付本项目各系统软件原型、系统全部软件开发、部署、上线试运行。项目其余建设内容于合同签订之日起80个日历日内全部交付：通过相关测试、完成考核验收并提供服务。</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w:t>
      </w:r>
      <w:r>
        <w:rPr>
          <w:rFonts w:hint="eastAsia" w:asciiTheme="minorEastAsia" w:hAnsiTheme="minorEastAsia" w:eastAsiaTheme="minorEastAsia" w:cstheme="minorEastAsia"/>
          <w:color w:val="auto"/>
          <w:sz w:val="24"/>
          <w:szCs w:val="24"/>
          <w:highlight w:val="none"/>
          <w:lang w:eastAsia="zh-CN"/>
        </w:rPr>
        <w:t>不</w:t>
      </w:r>
      <w:r>
        <w:rPr>
          <w:rFonts w:hint="eastAsia" w:asciiTheme="minorEastAsia" w:hAnsiTheme="minorEastAsia" w:eastAsiaTheme="minorEastAsia" w:cstheme="minorEastAsia"/>
          <w:color w:val="auto"/>
          <w:sz w:val="24"/>
          <w:szCs w:val="24"/>
          <w:highlight w:val="none"/>
        </w:rPr>
        <w:t>接受联合体投标。</w:t>
      </w:r>
    </w:p>
    <w:p>
      <w:pPr>
        <w:pStyle w:val="4"/>
        <w:spacing w:line="360" w:lineRule="auto"/>
        <w:rPr>
          <w:rFonts w:hint="eastAsia" w:asciiTheme="minorEastAsia" w:hAnsiTheme="minorEastAsia" w:eastAsiaTheme="minorEastAsia" w:cstheme="minorEastAsia"/>
          <w:b w:val="0"/>
          <w:color w:val="auto"/>
          <w:sz w:val="24"/>
          <w:szCs w:val="24"/>
          <w:highlight w:val="none"/>
        </w:rPr>
      </w:pPr>
      <w:bookmarkStart w:id="8" w:name="_Toc28359003"/>
      <w:bookmarkStart w:id="9" w:name="_Toc35393791"/>
      <w:bookmarkStart w:id="10" w:name="_Toc35393622"/>
      <w:bookmarkStart w:id="11" w:name="_Toc28359080"/>
      <w:r>
        <w:rPr>
          <w:rFonts w:hint="eastAsia" w:asciiTheme="minorEastAsia" w:hAnsiTheme="minorEastAsia" w:eastAsiaTheme="minorEastAsia" w:cstheme="minorEastAsia"/>
          <w:b w:val="0"/>
          <w:color w:val="auto"/>
          <w:sz w:val="24"/>
          <w:szCs w:val="24"/>
          <w:highlight w:val="none"/>
        </w:rPr>
        <w:t>二、申请人的资格要求：</w:t>
      </w:r>
      <w:bookmarkEnd w:id="8"/>
      <w:bookmarkEnd w:id="9"/>
      <w:bookmarkEnd w:id="10"/>
      <w:bookmarkEnd w:id="11"/>
    </w:p>
    <w:p>
      <w:pPr>
        <w:snapToGrid w:val="0"/>
        <w:ind w:firstLine="480" w:firstLineChars="200"/>
        <w:rPr>
          <w:rFonts w:asciiTheme="minorEastAsia" w:hAnsiTheme="minorEastAsia" w:eastAsiaTheme="minorEastAsia"/>
          <w:color w:val="auto"/>
          <w:sz w:val="24"/>
          <w:highlight w:val="none"/>
        </w:rPr>
      </w:pPr>
      <w:bookmarkStart w:id="12" w:name="_Toc35393792"/>
      <w:bookmarkStart w:id="13" w:name="_Toc35393623"/>
      <w:bookmarkStart w:id="14" w:name="_Toc28359081"/>
      <w:bookmarkStart w:id="15" w:name="_Toc28359004"/>
      <w:r>
        <w:rPr>
          <w:rFonts w:hint="eastAsia" w:asciiTheme="minorEastAsia" w:hAnsiTheme="minorEastAsia" w:eastAsiaTheme="minorEastAsia"/>
          <w:color w:val="auto"/>
          <w:sz w:val="24"/>
          <w:highlight w:val="none"/>
        </w:rPr>
        <w:t>1、符合《中华人民共和国政府采购法》第二十二条规定的资格条件。</w:t>
      </w:r>
    </w:p>
    <w:p>
      <w:pPr>
        <w:snapToGrid w:val="0"/>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2、在中华人民共和国境内注册，具有能力提供本次服务的供应商。</w:t>
      </w:r>
    </w:p>
    <w:p>
      <w:pPr>
        <w:snapToGrid w:val="0"/>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pPr>
        <w:snapToGrid w:val="0"/>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4、本项目不接受联合体投标。</w:t>
      </w:r>
    </w:p>
    <w:p>
      <w:pPr>
        <w:pStyle w:val="4"/>
        <w:spacing w:line="360" w:lineRule="auto"/>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color w:val="auto"/>
          <w:sz w:val="24"/>
          <w:szCs w:val="24"/>
          <w:highlight w:val="none"/>
        </w:rPr>
        <w:t>三、获取招标文件</w:t>
      </w:r>
      <w:bookmarkEnd w:id="12"/>
      <w:bookmarkEnd w:id="13"/>
      <w:bookmarkEnd w:id="14"/>
      <w:bookmarkEnd w:id="15"/>
    </w:p>
    <w:p>
      <w:pPr>
        <w:spacing w:line="360" w:lineRule="auto"/>
        <w:ind w:firstLine="54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时间：自本公告发布之时起至提交投标文件截止时间前；</w:t>
      </w:r>
    </w:p>
    <w:p>
      <w:pPr>
        <w:spacing w:line="360" w:lineRule="auto"/>
        <w:ind w:firstLine="54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地点：南宁市公共资源交易平台(https://www.nnggzy.org.cn/gxnnzbw)的信息公告处；</w:t>
      </w:r>
    </w:p>
    <w:p>
      <w:pPr>
        <w:spacing w:line="360" w:lineRule="auto"/>
        <w:ind w:firstLine="54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方式：由潜在投标人自行在南宁市公共资源交易平台(https://www.nnggzy.org.cn/gxnnzbw)的信息公告处下载采购文件；</w:t>
      </w:r>
    </w:p>
    <w:p>
      <w:pPr>
        <w:spacing w:line="360" w:lineRule="auto"/>
        <w:ind w:firstLine="54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售价：招标文件售价每本0元。 </w:t>
      </w:r>
    </w:p>
    <w:p>
      <w:pPr>
        <w:pStyle w:val="4"/>
        <w:spacing w:line="360" w:lineRule="auto"/>
        <w:rPr>
          <w:rFonts w:hint="eastAsia" w:asciiTheme="minorEastAsia" w:hAnsiTheme="minorEastAsia" w:eastAsiaTheme="minorEastAsia" w:cstheme="minorEastAsia"/>
          <w:b w:val="0"/>
          <w:color w:val="auto"/>
          <w:sz w:val="24"/>
          <w:szCs w:val="24"/>
          <w:highlight w:val="none"/>
        </w:rPr>
      </w:pPr>
      <w:bookmarkStart w:id="16" w:name="_Toc28359005"/>
      <w:bookmarkStart w:id="17" w:name="_Toc28359082"/>
      <w:bookmarkStart w:id="18" w:name="_Toc35393793"/>
      <w:bookmarkStart w:id="19" w:name="_Toc35393624"/>
      <w:r>
        <w:rPr>
          <w:rFonts w:hint="eastAsia" w:asciiTheme="minorEastAsia" w:hAnsiTheme="minorEastAsia" w:eastAsiaTheme="minorEastAsia" w:cstheme="minorEastAsia"/>
          <w:b w:val="0"/>
          <w:color w:val="auto"/>
          <w:sz w:val="24"/>
          <w:szCs w:val="24"/>
          <w:highlight w:val="none"/>
        </w:rPr>
        <w:t>四、提交投标文件</w:t>
      </w:r>
      <w:bookmarkEnd w:id="16"/>
      <w:bookmarkEnd w:id="17"/>
      <w:r>
        <w:rPr>
          <w:rFonts w:hint="eastAsia" w:asciiTheme="minorEastAsia" w:hAnsiTheme="minorEastAsia" w:eastAsiaTheme="minorEastAsia" w:cstheme="minorEastAsia"/>
          <w:b w:val="0"/>
          <w:color w:val="auto"/>
          <w:sz w:val="24"/>
          <w:szCs w:val="24"/>
          <w:highlight w:val="none"/>
        </w:rPr>
        <w:t>截止时间、开标时间和地点</w:t>
      </w:r>
      <w:bookmarkEnd w:id="18"/>
      <w:bookmarkEnd w:id="19"/>
    </w:p>
    <w:p>
      <w:pPr>
        <w:snapToGrid w:val="0"/>
        <w:spacing w:line="360" w:lineRule="auto"/>
        <w:ind w:firstLine="480" w:firstLineChars="200"/>
        <w:jc w:val="left"/>
        <w:rPr>
          <w:rFonts w:hint="eastAsia" w:ascii="宋体" w:hAnsi="宋体"/>
          <w:color w:val="auto"/>
          <w:sz w:val="24"/>
          <w:szCs w:val="24"/>
          <w:highlight w:val="none"/>
        </w:rPr>
      </w:pPr>
      <w:bookmarkStart w:id="20" w:name="_Toc28359084"/>
      <w:bookmarkStart w:id="21" w:name="_Toc35393625"/>
      <w:bookmarkStart w:id="22" w:name="_Toc35393794"/>
      <w:bookmarkStart w:id="23" w:name="_Toc28359007"/>
      <w:r>
        <w:rPr>
          <w:rFonts w:hint="eastAsia" w:ascii="宋体" w:hAnsi="宋体"/>
          <w:color w:val="auto"/>
          <w:sz w:val="24"/>
          <w:szCs w:val="24"/>
          <w:highlight w:val="none"/>
        </w:rPr>
        <w:t>1、投标文件递交截止时间（</w:t>
      </w:r>
      <w:r>
        <w:rPr>
          <w:rFonts w:hint="eastAsia" w:hAnsi="宋体"/>
          <w:color w:val="auto"/>
          <w:sz w:val="24"/>
          <w:szCs w:val="24"/>
          <w:highlight w:val="none"/>
        </w:rPr>
        <w:t>投标截止时间</w:t>
      </w:r>
      <w:r>
        <w:rPr>
          <w:rFonts w:hint="eastAsia" w:ascii="宋体" w:hAnsi="宋体"/>
          <w:color w:val="auto"/>
          <w:sz w:val="24"/>
          <w:szCs w:val="24"/>
          <w:highlight w:val="none"/>
        </w:rPr>
        <w:t>）、开标时间：2020年8月3日9点30分</w:t>
      </w:r>
    </w:p>
    <w:p>
      <w:pPr>
        <w:widowControl/>
        <w:spacing w:line="360" w:lineRule="auto"/>
        <w:ind w:firstLine="480" w:firstLineChars="200"/>
        <w:jc w:val="left"/>
        <w:rPr>
          <w:rFonts w:hint="eastAsia" w:ascii="宋体" w:hAnsi="宋体"/>
          <w:color w:val="auto"/>
          <w:sz w:val="24"/>
          <w:szCs w:val="24"/>
          <w:highlight w:val="none"/>
        </w:rPr>
      </w:pPr>
      <w:r>
        <w:rPr>
          <w:rFonts w:hint="eastAsia" w:ascii="仿宋" w:hAnsi="仿宋" w:eastAsia="仿宋" w:cs="宋体"/>
          <w:color w:val="auto"/>
          <w:sz w:val="24"/>
          <w:szCs w:val="24"/>
          <w:highlight w:val="none"/>
        </w:rPr>
        <w:t>2、</w:t>
      </w:r>
      <w:r>
        <w:rPr>
          <w:rFonts w:hint="eastAsia" w:ascii="宋体" w:hAnsi="宋体"/>
          <w:color w:val="auto"/>
          <w:sz w:val="24"/>
          <w:szCs w:val="24"/>
          <w:highlight w:val="none"/>
        </w:rPr>
        <w:t>递交方式：</w:t>
      </w:r>
      <w:r>
        <w:rPr>
          <w:rFonts w:hint="eastAsia"/>
          <w:color w:val="auto"/>
          <w:sz w:val="24"/>
          <w:szCs w:val="24"/>
          <w:highlight w:val="none"/>
        </w:rPr>
        <w:t>根据南宁市财政局《关于做好疫情防控期间政府采购工作有关事项的通知》（南财采〔2020〕12号）要求，</w:t>
      </w:r>
      <w:r>
        <w:rPr>
          <w:rFonts w:hint="eastAsia" w:ascii="宋体" w:hAnsi="宋体"/>
          <w:color w:val="auto"/>
          <w:sz w:val="24"/>
          <w:szCs w:val="24"/>
          <w:highlight w:val="none"/>
        </w:rPr>
        <w:t>本项目实行“不见面”开标方式，</w:t>
      </w:r>
      <w:r>
        <w:rPr>
          <w:rFonts w:hint="eastAsia" w:ascii="宋体" w:hAnsi="宋体"/>
          <w:b/>
          <w:color w:val="auto"/>
          <w:sz w:val="24"/>
          <w:szCs w:val="24"/>
          <w:highlight w:val="none"/>
        </w:rPr>
        <w:t>本项目的投标文件</w:t>
      </w:r>
      <w:r>
        <w:rPr>
          <w:rFonts w:hint="eastAsia" w:ascii="宋体" w:hAnsi="宋体"/>
          <w:b/>
          <w:color w:val="auto"/>
          <w:sz w:val="24"/>
          <w:szCs w:val="24"/>
          <w:highlight w:val="none"/>
          <w:lang w:val="en-US" w:eastAsia="zh-CN"/>
        </w:rPr>
        <w:t>原则上应</w:t>
      </w:r>
      <w:r>
        <w:rPr>
          <w:rFonts w:hint="eastAsia" w:ascii="宋体" w:hAnsi="宋体"/>
          <w:b/>
          <w:color w:val="auto"/>
          <w:sz w:val="24"/>
          <w:szCs w:val="24"/>
          <w:highlight w:val="none"/>
        </w:rPr>
        <w:t>通过邮寄快递的方式送达</w:t>
      </w:r>
      <w:r>
        <w:rPr>
          <w:rFonts w:hint="eastAsia" w:ascii="宋体" w:hAnsi="宋体"/>
          <w:color w:val="auto"/>
          <w:sz w:val="24"/>
          <w:szCs w:val="24"/>
          <w:highlight w:val="none"/>
        </w:rPr>
        <w:t>。</w:t>
      </w:r>
    </w:p>
    <w:p>
      <w:pPr>
        <w:widowControl/>
        <w:spacing w:line="360" w:lineRule="auto"/>
        <w:ind w:firstLine="360" w:firstLineChars="150"/>
        <w:jc w:val="left"/>
        <w:rPr>
          <w:rFonts w:hint="eastAsia"/>
          <w:color w:val="auto"/>
          <w:sz w:val="24"/>
          <w:szCs w:val="24"/>
          <w:highlight w:val="none"/>
        </w:rPr>
      </w:pPr>
      <w:r>
        <w:rPr>
          <w:rFonts w:hint="eastAsia" w:ascii="宋体" w:hAnsi="宋体"/>
          <w:color w:val="auto"/>
          <w:sz w:val="24"/>
          <w:szCs w:val="24"/>
          <w:highlight w:val="none"/>
        </w:rPr>
        <w:t>（1）</w:t>
      </w:r>
      <w:r>
        <w:rPr>
          <w:rFonts w:hint="eastAsia"/>
          <w:color w:val="auto"/>
          <w:sz w:val="24"/>
          <w:szCs w:val="24"/>
          <w:highlight w:val="none"/>
        </w:rPr>
        <w:t>接收邮寄快递包裹的时间为工作日</w:t>
      </w:r>
      <w:r>
        <w:rPr>
          <w:rFonts w:hint="eastAsia"/>
          <w:color w:val="auto"/>
          <w:sz w:val="24"/>
          <w:szCs w:val="24"/>
          <w:highlight w:val="none"/>
          <w:lang w:val="en-US" w:eastAsia="zh-CN"/>
        </w:rPr>
        <w:t>8</w:t>
      </w:r>
      <w:r>
        <w:rPr>
          <w:rFonts w:hint="eastAsia"/>
          <w:color w:val="auto"/>
          <w:sz w:val="24"/>
          <w:szCs w:val="24"/>
          <w:highlight w:val="none"/>
        </w:rPr>
        <w:t>：</w:t>
      </w:r>
      <w:r>
        <w:rPr>
          <w:color w:val="auto"/>
          <w:sz w:val="24"/>
          <w:szCs w:val="24"/>
          <w:highlight w:val="none"/>
        </w:rPr>
        <w:t>00</w:t>
      </w:r>
      <w:r>
        <w:rPr>
          <w:rFonts w:hint="eastAsia"/>
          <w:color w:val="auto"/>
          <w:sz w:val="24"/>
          <w:szCs w:val="24"/>
          <w:highlight w:val="none"/>
        </w:rPr>
        <w:t>～</w:t>
      </w:r>
      <w:r>
        <w:rPr>
          <w:color w:val="auto"/>
          <w:sz w:val="24"/>
          <w:szCs w:val="24"/>
          <w:highlight w:val="none"/>
        </w:rPr>
        <w:t>1</w:t>
      </w:r>
      <w:r>
        <w:rPr>
          <w:rFonts w:hint="eastAsia"/>
          <w:color w:val="auto"/>
          <w:sz w:val="24"/>
          <w:szCs w:val="24"/>
          <w:highlight w:val="none"/>
          <w:lang w:val="en-US" w:eastAsia="zh-CN"/>
        </w:rPr>
        <w:t>8</w:t>
      </w:r>
      <w:r>
        <w:rPr>
          <w:rFonts w:hint="eastAsia"/>
          <w:color w:val="auto"/>
          <w:sz w:val="24"/>
          <w:szCs w:val="24"/>
          <w:highlight w:val="none"/>
        </w:rPr>
        <w:t>：</w:t>
      </w:r>
      <w:r>
        <w:rPr>
          <w:color w:val="auto"/>
          <w:sz w:val="24"/>
          <w:szCs w:val="24"/>
          <w:highlight w:val="none"/>
        </w:rPr>
        <w:t>00</w:t>
      </w:r>
      <w:r>
        <w:rPr>
          <w:rFonts w:hint="eastAsia"/>
          <w:color w:val="auto"/>
          <w:sz w:val="24"/>
          <w:szCs w:val="24"/>
          <w:highlight w:val="none"/>
        </w:rPr>
        <w:t>。投标文件必须在投标截止时间前送达。采购代理机构签收邮寄包裹的时间即为投标人投标文件的送达时间，逾期送达的投标文件无效，后果由投标人自行承担。</w:t>
      </w:r>
    </w:p>
    <w:p>
      <w:pPr>
        <w:widowControl/>
        <w:spacing w:line="360" w:lineRule="auto"/>
        <w:ind w:firstLine="360" w:firstLineChars="150"/>
        <w:jc w:val="left"/>
        <w:rPr>
          <w:rFonts w:hint="eastAsia"/>
          <w:color w:val="auto"/>
          <w:sz w:val="24"/>
          <w:szCs w:val="24"/>
          <w:highlight w:val="none"/>
        </w:rPr>
      </w:pPr>
      <w:r>
        <w:rPr>
          <w:rFonts w:hint="eastAsia"/>
          <w:color w:val="auto"/>
          <w:sz w:val="24"/>
          <w:szCs w:val="24"/>
          <w:highlight w:val="none"/>
        </w:rPr>
        <w:t>（2）采购代理机构将在投标截止时间前一小时（即</w:t>
      </w:r>
      <w:r>
        <w:rPr>
          <w:color w:val="auto"/>
          <w:sz w:val="24"/>
          <w:szCs w:val="24"/>
          <w:highlight w:val="none"/>
        </w:rPr>
        <w:t>8</w:t>
      </w:r>
      <w:r>
        <w:rPr>
          <w:rFonts w:hint="eastAsia"/>
          <w:color w:val="auto"/>
          <w:sz w:val="24"/>
          <w:szCs w:val="24"/>
          <w:highlight w:val="none"/>
        </w:rPr>
        <w:t>时</w:t>
      </w:r>
      <w:r>
        <w:rPr>
          <w:color w:val="auto"/>
          <w:sz w:val="24"/>
          <w:szCs w:val="24"/>
          <w:highlight w:val="none"/>
        </w:rPr>
        <w:t>30</w:t>
      </w:r>
      <w:r>
        <w:rPr>
          <w:rFonts w:hint="eastAsia"/>
          <w:color w:val="auto"/>
          <w:sz w:val="24"/>
          <w:szCs w:val="24"/>
          <w:highlight w:val="none"/>
        </w:rPr>
        <w:t>分）统一将收到的投标文件运送至南宁市公共资源交易中心，以确保本项目能在投标截止（开标）时间准时开标。投标人应充分预留投标文件邮寄、送达所需要的时间。为确保疫情防控期间邮寄包裹能及时送达，应选择邮寄运送时间有保障的快递公司寄送投标文件，并尽量在投标截止日期</w:t>
      </w:r>
      <w:r>
        <w:rPr>
          <w:color w:val="auto"/>
          <w:sz w:val="24"/>
          <w:szCs w:val="24"/>
          <w:highlight w:val="none"/>
        </w:rPr>
        <w:t>1</w:t>
      </w:r>
      <w:r>
        <w:rPr>
          <w:rFonts w:hint="eastAsia"/>
          <w:color w:val="auto"/>
          <w:sz w:val="24"/>
          <w:szCs w:val="24"/>
          <w:highlight w:val="none"/>
        </w:rPr>
        <w:t>日前送达。</w:t>
      </w:r>
    </w:p>
    <w:p>
      <w:pPr>
        <w:widowControl/>
        <w:spacing w:line="360" w:lineRule="auto"/>
        <w:ind w:firstLine="360" w:firstLineChars="150"/>
        <w:jc w:val="left"/>
        <w:rPr>
          <w:rFonts w:hint="eastAsia"/>
          <w:color w:val="auto"/>
          <w:sz w:val="24"/>
          <w:szCs w:val="24"/>
          <w:highlight w:val="none"/>
        </w:rPr>
      </w:pPr>
      <w:r>
        <w:rPr>
          <w:rFonts w:hint="eastAsia"/>
          <w:color w:val="auto"/>
          <w:sz w:val="24"/>
          <w:szCs w:val="24"/>
          <w:highlight w:val="none"/>
        </w:rPr>
        <w:t>（3）投标人在按照招标文件的要求装订、密封好投标文件后，应使用不透明、防水的邮寄袋（或箱）再次包裹已密封好的投标文件，并在邮寄袋（或箱）上粘牢</w:t>
      </w:r>
      <w:r>
        <w:rPr>
          <w:rFonts w:hint="eastAsia"/>
          <w:b/>
          <w:color w:val="auto"/>
          <w:sz w:val="24"/>
          <w:szCs w:val="24"/>
          <w:highlight w:val="none"/>
        </w:rPr>
        <w:t>注明项目名称、项目编号、有效的电子邮箱</w:t>
      </w:r>
      <w:r>
        <w:rPr>
          <w:rFonts w:hint="eastAsia"/>
          <w:color w:val="auto"/>
          <w:sz w:val="24"/>
          <w:szCs w:val="24"/>
          <w:highlight w:val="none"/>
        </w:rPr>
        <w:t>等内容的纸质表格（表格格式详见附件），如投标文件在运送过程中发生破损、受潮等情况，后果由投标人自行承担。</w:t>
      </w:r>
    </w:p>
    <w:p>
      <w:pPr>
        <w:widowControl/>
        <w:spacing w:line="360" w:lineRule="auto"/>
        <w:ind w:firstLine="360" w:firstLineChars="150"/>
        <w:jc w:val="left"/>
        <w:rPr>
          <w:rFonts w:hint="eastAsia"/>
          <w:color w:val="auto"/>
          <w:sz w:val="24"/>
          <w:szCs w:val="24"/>
          <w:highlight w:val="none"/>
        </w:rPr>
      </w:pPr>
      <w:r>
        <w:rPr>
          <w:rFonts w:hint="eastAsia"/>
          <w:color w:val="auto"/>
          <w:sz w:val="24"/>
          <w:szCs w:val="24"/>
          <w:highlight w:val="none"/>
        </w:rPr>
        <w:t>（4）采购代理机构工作人员在收到投标文件的邮寄包裹后，第一时间按照投标人在邮寄包裹上所预留的电子邮箱告知投标文件收件情况，请投标人务必确保所预留的电子邮箱的有效性，并注意查收邮件。</w:t>
      </w:r>
    </w:p>
    <w:p>
      <w:pPr>
        <w:widowControl/>
        <w:spacing w:line="360" w:lineRule="auto"/>
        <w:ind w:firstLine="240" w:firstLineChars="100"/>
        <w:jc w:val="left"/>
        <w:rPr>
          <w:rFonts w:hint="default" w:eastAsia="宋体"/>
          <w:color w:val="auto"/>
          <w:sz w:val="24"/>
          <w:szCs w:val="24"/>
          <w:highlight w:val="none"/>
          <w:lang w:val="en-US" w:eastAsia="zh-CN"/>
        </w:rPr>
      </w:pPr>
      <w:r>
        <w:rPr>
          <w:rFonts w:hint="eastAsia"/>
          <w:color w:val="auto"/>
          <w:sz w:val="24"/>
          <w:szCs w:val="24"/>
          <w:highlight w:val="none"/>
        </w:rPr>
        <w:t>（5）投标文件邮寄地址：南宁市纬武路165号</w:t>
      </w:r>
      <w:r>
        <w:rPr>
          <w:rFonts w:hint="eastAsia"/>
          <w:color w:val="auto"/>
          <w:sz w:val="24"/>
          <w:szCs w:val="24"/>
          <w:highlight w:val="none"/>
          <w:lang w:val="en-US" w:eastAsia="zh-CN"/>
        </w:rPr>
        <w:t>206办公室</w:t>
      </w:r>
    </w:p>
    <w:p>
      <w:pPr>
        <w:widowControl/>
        <w:spacing w:line="360" w:lineRule="auto"/>
        <w:ind w:firstLine="1200" w:firstLineChars="500"/>
        <w:jc w:val="left"/>
        <w:rPr>
          <w:rFonts w:hint="default" w:ascii="宋体" w:hAnsi="宋体" w:eastAsia="宋体" w:cs="Arial"/>
          <w:color w:val="auto"/>
          <w:sz w:val="24"/>
          <w:szCs w:val="24"/>
          <w:highlight w:val="none"/>
          <w:lang w:val="en-US" w:eastAsia="zh-CN"/>
        </w:rPr>
      </w:pPr>
      <w:r>
        <w:rPr>
          <w:rFonts w:hint="eastAsia" w:ascii="宋体" w:hAnsi="宋体" w:cs="Arial"/>
          <w:color w:val="auto"/>
          <w:sz w:val="24"/>
          <w:szCs w:val="24"/>
          <w:highlight w:val="none"/>
        </w:rPr>
        <w:t>收件人：</w:t>
      </w:r>
      <w:r>
        <w:rPr>
          <w:rFonts w:hint="eastAsia" w:ascii="宋体" w:hAnsi="宋体" w:cs="Arial"/>
          <w:color w:val="auto"/>
          <w:sz w:val="24"/>
          <w:szCs w:val="24"/>
          <w:highlight w:val="none"/>
          <w:lang w:val="en-US" w:eastAsia="zh-CN"/>
        </w:rPr>
        <w:t>周剑</w:t>
      </w:r>
    </w:p>
    <w:p>
      <w:pPr>
        <w:widowControl/>
        <w:spacing w:line="360" w:lineRule="auto"/>
        <w:ind w:firstLine="1080" w:firstLineChars="450"/>
        <w:jc w:val="left"/>
        <w:rPr>
          <w:rFonts w:hint="eastAsia" w:ascii="宋体" w:hAnsi="宋体" w:cs="Arial"/>
          <w:color w:val="auto"/>
          <w:sz w:val="24"/>
          <w:szCs w:val="24"/>
          <w:highlight w:val="none"/>
          <w:lang w:val="en-US" w:eastAsia="zh-CN"/>
        </w:rPr>
      </w:pPr>
      <w:r>
        <w:rPr>
          <w:rFonts w:hint="eastAsia" w:ascii="宋体" w:hAnsi="宋体" w:cs="Arial"/>
          <w:color w:val="auto"/>
          <w:sz w:val="24"/>
          <w:szCs w:val="24"/>
          <w:highlight w:val="none"/>
        </w:rPr>
        <w:t>联系电话：</w:t>
      </w:r>
      <w:r>
        <w:rPr>
          <w:rFonts w:ascii="宋体" w:hAnsi="宋体" w:cs="Arial"/>
          <w:color w:val="auto"/>
          <w:sz w:val="24"/>
          <w:szCs w:val="24"/>
          <w:highlight w:val="none"/>
        </w:rPr>
        <w:t>0771-</w:t>
      </w:r>
      <w:r>
        <w:rPr>
          <w:rFonts w:hint="eastAsia" w:ascii="宋体" w:hAnsi="宋体" w:cs="Arial"/>
          <w:color w:val="auto"/>
          <w:sz w:val="24"/>
          <w:szCs w:val="24"/>
          <w:highlight w:val="none"/>
          <w:lang w:val="en-US" w:eastAsia="zh-CN"/>
        </w:rPr>
        <w:t>2807659</w:t>
      </w:r>
    </w:p>
    <w:p>
      <w:pPr>
        <w:widowControl/>
        <w:spacing w:line="360" w:lineRule="auto"/>
        <w:ind w:firstLine="360" w:firstLineChars="150"/>
        <w:jc w:val="left"/>
        <w:rPr>
          <w:rFonts w:hint="default" w:eastAsia="宋体"/>
          <w:color w:val="auto"/>
          <w:sz w:val="24"/>
          <w:szCs w:val="24"/>
          <w:highlight w:val="none"/>
          <w:lang w:val="en-US" w:eastAsia="zh-CN"/>
        </w:rPr>
      </w:pPr>
      <w:r>
        <w:rPr>
          <w:rFonts w:hint="eastAsia" w:eastAsia="宋体"/>
          <w:color w:val="auto"/>
          <w:sz w:val="24"/>
          <w:szCs w:val="24"/>
          <w:highlight w:val="none"/>
          <w:lang w:val="en-US" w:eastAsia="zh-CN"/>
        </w:rPr>
        <w:t>3、</w:t>
      </w:r>
      <w:r>
        <w:rPr>
          <w:rFonts w:hint="eastAsia" w:eastAsia="宋体"/>
          <w:color w:val="auto"/>
          <w:sz w:val="24"/>
          <w:szCs w:val="24"/>
          <w:highlight w:val="none"/>
        </w:rPr>
        <w:t>开标地点:南宁市良庆区玉洞大道33号（青少年活动中心旁）市民中心9楼南宁市公共资源交易中心开标厅（具体安排详见9楼电子大屏幕场地安排表）)</w:t>
      </w:r>
    </w:p>
    <w:p>
      <w:pPr>
        <w:pStyle w:val="4"/>
        <w:spacing w:line="360" w:lineRule="auto"/>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color w:val="auto"/>
          <w:sz w:val="24"/>
          <w:szCs w:val="24"/>
          <w:highlight w:val="none"/>
        </w:rPr>
        <w:t>五、公告期限</w:t>
      </w:r>
      <w:bookmarkEnd w:id="20"/>
      <w:bookmarkEnd w:id="21"/>
      <w:bookmarkEnd w:id="22"/>
      <w:bookmarkEnd w:id="23"/>
    </w:p>
    <w:p>
      <w:pPr>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自本公告发布之日起5个工作日。</w:t>
      </w:r>
    </w:p>
    <w:p>
      <w:pPr>
        <w:pStyle w:val="4"/>
        <w:spacing w:line="360" w:lineRule="auto"/>
        <w:rPr>
          <w:rFonts w:hint="eastAsia" w:asciiTheme="minorEastAsia" w:hAnsiTheme="minorEastAsia" w:eastAsiaTheme="minorEastAsia" w:cstheme="minorEastAsia"/>
          <w:b w:val="0"/>
          <w:color w:val="auto"/>
          <w:sz w:val="24"/>
          <w:szCs w:val="24"/>
          <w:highlight w:val="none"/>
        </w:rPr>
      </w:pPr>
      <w:bookmarkStart w:id="24" w:name="_Toc35393795"/>
      <w:bookmarkStart w:id="25" w:name="_Toc35393626"/>
      <w:r>
        <w:rPr>
          <w:rFonts w:hint="eastAsia" w:asciiTheme="minorEastAsia" w:hAnsiTheme="minorEastAsia" w:eastAsiaTheme="minorEastAsia" w:cstheme="minorEastAsia"/>
          <w:b w:val="0"/>
          <w:color w:val="auto"/>
          <w:sz w:val="24"/>
          <w:szCs w:val="24"/>
          <w:highlight w:val="none"/>
        </w:rPr>
        <w:t>六、其他补充事宜</w:t>
      </w:r>
      <w:bookmarkEnd w:id="24"/>
      <w:bookmarkEnd w:id="25"/>
    </w:p>
    <w:p>
      <w:pPr>
        <w:pStyle w:val="99"/>
        <w:ind w:left="495"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1.投标保证金：</w:t>
      </w:r>
    </w:p>
    <w:p>
      <w:pPr>
        <w:pStyle w:val="99"/>
        <w:ind w:left="495"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根据《南宁市财政局关于推进政府采购“放管服”工作和深化改革有关内容的通知》（南财采[2019]27号）规定，本项目不需要提交投标保证金。</w:t>
      </w:r>
    </w:p>
    <w:p>
      <w:pPr>
        <w:pStyle w:val="99"/>
        <w:ind w:left="495"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2.网上查询地址</w:t>
      </w:r>
    </w:p>
    <w:p>
      <w:pPr>
        <w:pStyle w:val="99"/>
        <w:ind w:left="495"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中国政府采购网、广西壮族自治区政府采购网、南宁政府采购网、南宁市公共资源交易中心网、广西招标网</w:t>
      </w:r>
    </w:p>
    <w:p>
      <w:pPr>
        <w:pStyle w:val="99"/>
        <w:ind w:left="495" w:firstLine="0" w:firstLineChars="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3.本项目需要落实的政府采购政策</w:t>
      </w:r>
      <w:r>
        <w:rPr>
          <w:rFonts w:hint="eastAsia" w:asciiTheme="minorEastAsia" w:hAnsiTheme="minorEastAsia" w:eastAsiaTheme="minorEastAsia" w:cstheme="minorEastAsia"/>
          <w:color w:val="auto"/>
          <w:sz w:val="24"/>
          <w:szCs w:val="24"/>
          <w:highlight w:val="none"/>
          <w:lang w:eastAsia="zh-CN"/>
        </w:rPr>
        <w:t>：</w:t>
      </w:r>
    </w:p>
    <w:p>
      <w:pPr>
        <w:snapToGrid w:val="0"/>
        <w:spacing w:line="386" w:lineRule="exact"/>
        <w:ind w:firstLine="480" w:firstLineChars="200"/>
        <w:jc w:val="left"/>
        <w:rPr>
          <w:rFonts w:asciiTheme="minorEastAsia" w:hAnsiTheme="minorEastAsia" w:eastAsiaTheme="minorEastAsia"/>
          <w:color w:val="auto"/>
          <w:sz w:val="24"/>
          <w:highlight w:val="none"/>
        </w:rPr>
      </w:pPr>
      <w:bookmarkStart w:id="26" w:name="_Toc35393796"/>
      <w:bookmarkStart w:id="27" w:name="_Toc35393627"/>
      <w:bookmarkStart w:id="28" w:name="_Toc28359085"/>
      <w:bookmarkStart w:id="29" w:name="_Toc28359008"/>
      <w:r>
        <w:rPr>
          <w:rFonts w:hint="eastAsia" w:asciiTheme="minorEastAsia" w:hAnsiTheme="minorEastAsia" w:eastAsiaTheme="minorEastAsia"/>
          <w:color w:val="auto"/>
          <w:sz w:val="24"/>
          <w:highlight w:val="none"/>
        </w:rPr>
        <w:t>本项目需要落实的政府采购政策：《政府采购促进中小企业发展暂行办法》（财库[2011]181号）、《关于政府采购支持监狱企业发展有关问题的通知》(财库[2014]68号)、《关于促进残疾人就业政府采购政策的通知》(财库〔2017〕141号)，评审时残疾人福利性单位、小型和微型企业产品的价格给予6%的扣除。监狱企业视同小型和微型企业，其产品在评审时给予相同的价格扣除。残疾人福利性单位属于小型、微型企业的，不重复享受政策。节能产品、环境标志产品依据品目清单和认证证书实施政府优先采购和强制采购。（财库〔2019〕9号）</w:t>
      </w:r>
    </w:p>
    <w:p>
      <w:pPr>
        <w:snapToGrid w:val="0"/>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为帮助中小微企业解决资金周转或融资困难问题，南宁市政府采购试行政府采购信用融资制度，为中小企业参与政府采购活动提供金融服务。中标供应商可凭政府采购合同申请政府采购信用融资，具体办理要求与办理方式，详见南宁市公共资源交易中心网“政府采购信用融资”专栏。</w:t>
      </w:r>
    </w:p>
    <w:p>
      <w:pPr>
        <w:pStyle w:val="4"/>
        <w:spacing w:line="360" w:lineRule="auto"/>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color w:val="auto"/>
          <w:sz w:val="24"/>
          <w:szCs w:val="24"/>
          <w:highlight w:val="none"/>
        </w:rPr>
        <w:t>七、对本次招标提出询问，请按以下方式联系。</w:t>
      </w:r>
      <w:bookmarkEnd w:id="26"/>
      <w:bookmarkEnd w:id="27"/>
      <w:bookmarkEnd w:id="28"/>
      <w:bookmarkEnd w:id="29"/>
    </w:p>
    <w:p>
      <w:pPr>
        <w:widowControl/>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1.采购人信息</w:t>
      </w:r>
    </w:p>
    <w:p>
      <w:pPr>
        <w:spacing w:line="360" w:lineRule="auto"/>
        <w:ind w:left="1079" w:leftChars="371" w:hanging="300" w:hangingChars="125"/>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名 称：</w:t>
      </w:r>
      <w:r>
        <w:rPr>
          <w:rFonts w:hint="eastAsia" w:asciiTheme="minorEastAsia" w:hAnsiTheme="minorEastAsia" w:eastAsiaTheme="minorEastAsia" w:cstheme="minorEastAsia"/>
          <w:color w:val="auto"/>
          <w:sz w:val="24"/>
          <w:szCs w:val="24"/>
          <w:highlight w:val="none"/>
          <w:u w:val="single"/>
        </w:rPr>
        <w:t>　南宁市信息网络管理中心　</w:t>
      </w:r>
    </w:p>
    <w:p>
      <w:pPr>
        <w:spacing w:line="360" w:lineRule="auto"/>
        <w:ind w:left="1079" w:leftChars="371" w:hanging="300" w:hangingChars="125"/>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w:t>
      </w:r>
      <w:r>
        <w:rPr>
          <w:rFonts w:hint="eastAsia" w:ascii="宋体" w:hAnsi="宋体"/>
          <w:color w:val="auto"/>
          <w:sz w:val="24"/>
          <w:highlight w:val="none"/>
          <w:u w:val="single"/>
        </w:rPr>
        <w:t>南宁市</w:t>
      </w:r>
      <w:r>
        <w:rPr>
          <w:rFonts w:ascii="宋体" w:hAnsi="宋体"/>
          <w:color w:val="auto"/>
          <w:sz w:val="24"/>
          <w:highlight w:val="none"/>
          <w:u w:val="single"/>
        </w:rPr>
        <w:t>青秀区桂春路</w:t>
      </w:r>
      <w:r>
        <w:rPr>
          <w:rFonts w:hint="eastAsia" w:ascii="宋体" w:hAnsi="宋体"/>
          <w:color w:val="auto"/>
          <w:sz w:val="24"/>
          <w:highlight w:val="none"/>
          <w:u w:val="single"/>
        </w:rPr>
        <w:t>南</w:t>
      </w:r>
      <w:r>
        <w:rPr>
          <w:rFonts w:ascii="宋体" w:hAnsi="宋体"/>
          <w:color w:val="auto"/>
          <w:sz w:val="24"/>
          <w:highlight w:val="none"/>
          <w:u w:val="single"/>
        </w:rPr>
        <w:t>一里</w:t>
      </w:r>
      <w:r>
        <w:rPr>
          <w:rFonts w:hint="eastAsia" w:ascii="宋体" w:hAnsi="宋体"/>
          <w:color w:val="auto"/>
          <w:sz w:val="24"/>
          <w:highlight w:val="none"/>
          <w:u w:val="single"/>
        </w:rPr>
        <w:t>1号</w:t>
      </w:r>
      <w:r>
        <w:rPr>
          <w:rFonts w:hint="eastAsia" w:asciiTheme="minorEastAsia" w:hAnsiTheme="minorEastAsia" w:eastAsiaTheme="minorEastAsia" w:cstheme="minorEastAsia"/>
          <w:color w:val="auto"/>
          <w:sz w:val="24"/>
          <w:szCs w:val="24"/>
          <w:highlight w:val="none"/>
          <w:u w:val="single"/>
        </w:rPr>
        <w:t>　</w:t>
      </w:r>
    </w:p>
    <w:p>
      <w:pPr>
        <w:spacing w:line="360" w:lineRule="auto"/>
        <w:ind w:left="1079" w:leftChars="371" w:hanging="300" w:hangingChars="125"/>
        <w:jc w:val="lef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联系方式：</w:t>
      </w:r>
      <w:r>
        <w:rPr>
          <w:rFonts w:ascii="宋体" w:hAnsi="宋体"/>
          <w:color w:val="auto"/>
          <w:sz w:val="24"/>
          <w:highlight w:val="none"/>
          <w:u w:val="single"/>
        </w:rPr>
        <w:t>0771-5772522</w:t>
      </w:r>
      <w:r>
        <w:rPr>
          <w:rFonts w:hint="eastAsia" w:asciiTheme="minorEastAsia" w:hAnsiTheme="minorEastAsia" w:eastAsiaTheme="minorEastAsia" w:cstheme="minorEastAsia"/>
          <w:color w:val="auto"/>
          <w:sz w:val="24"/>
          <w:szCs w:val="24"/>
          <w:highlight w:val="none"/>
          <w:u w:val="single"/>
        </w:rPr>
        <w:t xml:space="preserve"> </w:t>
      </w:r>
      <w:bookmarkStart w:id="30" w:name="_Toc28359086"/>
      <w:bookmarkStart w:id="31" w:name="_Toc28359009"/>
    </w:p>
    <w:p>
      <w:pPr>
        <w:spacing w:line="360" w:lineRule="auto"/>
        <w:ind w:left="1079" w:leftChars="371" w:hanging="300" w:hangingChars="125"/>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2.采购代理机构信息</w:t>
      </w:r>
      <w:bookmarkEnd w:id="30"/>
      <w:bookmarkEnd w:id="31"/>
    </w:p>
    <w:p>
      <w:pPr>
        <w:spacing w:line="360" w:lineRule="auto"/>
        <w:ind w:firstLine="720" w:firstLineChars="3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名 称：</w:t>
      </w:r>
      <w:r>
        <w:rPr>
          <w:rFonts w:hint="eastAsia" w:asciiTheme="minorEastAsia" w:hAnsiTheme="minorEastAsia" w:eastAsiaTheme="minorEastAsia" w:cstheme="minorEastAsia"/>
          <w:color w:val="auto"/>
          <w:sz w:val="24"/>
          <w:szCs w:val="24"/>
          <w:highlight w:val="none"/>
          <w:u w:val="single"/>
        </w:rPr>
        <w:t>广西建设工程机电设备招标中心有限公司　</w:t>
      </w:r>
    </w:p>
    <w:p>
      <w:pPr>
        <w:spacing w:line="360" w:lineRule="auto"/>
        <w:ind w:firstLine="720" w:firstLineChars="3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　址：</w:t>
      </w:r>
      <w:r>
        <w:rPr>
          <w:rFonts w:hint="eastAsia" w:asciiTheme="minorEastAsia" w:hAnsiTheme="minorEastAsia" w:eastAsiaTheme="minorEastAsia"/>
          <w:color w:val="auto"/>
          <w:sz w:val="24"/>
          <w:highlight w:val="none"/>
          <w:u w:val="single"/>
        </w:rPr>
        <w:t>南宁市纬武路165号</w:t>
      </w:r>
      <w:r>
        <w:rPr>
          <w:rFonts w:hint="eastAsia" w:asciiTheme="minorEastAsia" w:hAnsiTheme="minorEastAsia" w:eastAsiaTheme="minorEastAsia" w:cstheme="minorEastAsia"/>
          <w:color w:val="auto"/>
          <w:sz w:val="24"/>
          <w:szCs w:val="24"/>
          <w:highlight w:val="none"/>
          <w:u w:val="single"/>
        </w:rPr>
        <w:t>　</w:t>
      </w:r>
    </w:p>
    <w:p>
      <w:pPr>
        <w:spacing w:line="360" w:lineRule="auto"/>
        <w:ind w:firstLine="720" w:firstLineChars="3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联系方式：</w:t>
      </w:r>
      <w:bookmarkStart w:id="32" w:name="_Toc28359010"/>
      <w:bookmarkStart w:id="33" w:name="_Toc28359087"/>
      <w:r>
        <w:rPr>
          <w:rFonts w:hint="eastAsia" w:asciiTheme="minorEastAsia" w:hAnsiTheme="minorEastAsia" w:eastAsiaTheme="minorEastAsia" w:cstheme="minorEastAsia"/>
          <w:color w:val="auto"/>
          <w:sz w:val="24"/>
          <w:szCs w:val="24"/>
          <w:highlight w:val="none"/>
          <w:u w:val="single"/>
        </w:rPr>
        <w:t>　0771-2807659　</w:t>
      </w:r>
    </w:p>
    <w:p>
      <w:pPr>
        <w:spacing w:line="360" w:lineRule="auto"/>
        <w:ind w:firstLine="720" w:firstLineChars="30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3.项目联系方式</w:t>
      </w:r>
      <w:bookmarkEnd w:id="32"/>
      <w:bookmarkEnd w:id="33"/>
    </w:p>
    <w:p>
      <w:pPr>
        <w:pStyle w:val="22"/>
        <w:spacing w:line="360" w:lineRule="auto"/>
        <w:ind w:firstLine="720" w:firstLineChars="3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项目联系人：</w:t>
      </w:r>
      <w:r>
        <w:rPr>
          <w:rFonts w:hint="eastAsia" w:asciiTheme="minorEastAsia" w:hAnsiTheme="minorEastAsia" w:eastAsiaTheme="minorEastAsia"/>
          <w:color w:val="auto"/>
          <w:sz w:val="24"/>
          <w:highlight w:val="none"/>
          <w:u w:val="single"/>
        </w:rPr>
        <w:t>周剑</w:t>
      </w:r>
    </w:p>
    <w:p>
      <w:pPr>
        <w:snapToGrid w:val="0"/>
        <w:ind w:firstLine="720" w:firstLineChars="300"/>
        <w:rPr>
          <w:rFonts w:ascii="宋体" w:hAnsi="宋体"/>
          <w:color w:val="auto"/>
          <w:highlight w:val="none"/>
        </w:rPr>
      </w:pPr>
      <w:r>
        <w:rPr>
          <w:rFonts w:hint="eastAsia" w:asciiTheme="minorEastAsia" w:hAnsiTheme="minorEastAsia" w:eastAsiaTheme="minorEastAsia" w:cstheme="minorEastAsia"/>
          <w:color w:val="auto"/>
          <w:sz w:val="24"/>
          <w:szCs w:val="24"/>
          <w:highlight w:val="none"/>
        </w:rPr>
        <w:t>电　话：</w:t>
      </w:r>
      <w:r>
        <w:rPr>
          <w:rFonts w:hint="eastAsia" w:asciiTheme="minorEastAsia" w:hAnsiTheme="minorEastAsia" w:eastAsiaTheme="minorEastAsia"/>
          <w:color w:val="auto"/>
          <w:sz w:val="24"/>
          <w:highlight w:val="none"/>
          <w:u w:val="single"/>
        </w:rPr>
        <w:t>0771-2807659</w:t>
      </w:r>
      <w:r>
        <w:rPr>
          <w:rFonts w:hint="eastAsia" w:asciiTheme="minorEastAsia" w:hAnsiTheme="minorEastAsia" w:eastAsiaTheme="minorEastAsia" w:cstheme="minorEastAsia"/>
          <w:color w:val="auto"/>
          <w:sz w:val="24"/>
          <w:szCs w:val="24"/>
          <w:highlight w:val="none"/>
          <w:u w:val="single"/>
        </w:rPr>
        <w:t>　</w:t>
      </w:r>
    </w:p>
    <w:p>
      <w:pPr>
        <w:snapToGrid w:val="0"/>
        <w:jc w:val="center"/>
        <w:rPr>
          <w:rFonts w:ascii="宋体" w:hAnsi="宋体"/>
          <w:color w:val="auto"/>
          <w:highlight w:val="none"/>
        </w:rPr>
      </w:pPr>
    </w:p>
    <w:p>
      <w:pPr>
        <w:snapToGrid w:val="0"/>
        <w:jc w:val="center"/>
        <w:rPr>
          <w:rFonts w:ascii="宋体" w:hAnsi="宋体"/>
          <w:color w:val="auto"/>
          <w:highlight w:val="none"/>
        </w:rPr>
      </w:pPr>
    </w:p>
    <w:p>
      <w:pPr>
        <w:snapToGrid w:val="0"/>
        <w:jc w:val="center"/>
        <w:rPr>
          <w:rFonts w:ascii="宋体" w:hAnsi="宋体"/>
          <w:color w:val="auto"/>
          <w:highlight w:val="none"/>
        </w:rPr>
      </w:pPr>
    </w:p>
    <w:p>
      <w:pPr>
        <w:snapToGrid w:val="0"/>
        <w:jc w:val="center"/>
        <w:rPr>
          <w:rFonts w:ascii="宋体" w:hAnsi="宋体"/>
          <w:color w:val="auto"/>
          <w:highlight w:val="none"/>
        </w:rPr>
      </w:pPr>
    </w:p>
    <w:p>
      <w:pPr>
        <w:widowControl/>
        <w:snapToGrid/>
        <w:jc w:val="left"/>
        <w:rPr>
          <w:rFonts w:ascii="宋体" w:hAnsi="宋体"/>
          <w:color w:val="auto"/>
          <w:highlight w:val="none"/>
        </w:rPr>
      </w:pPr>
    </w:p>
    <w:p>
      <w:pPr>
        <w:snapToGrid w:val="0"/>
        <w:jc w:val="center"/>
        <w:rPr>
          <w:rFonts w:ascii="宋体" w:hAnsi="宋体"/>
          <w:color w:val="auto"/>
          <w:highlight w:val="none"/>
        </w:rPr>
      </w:pPr>
    </w:p>
    <w:p>
      <w:pPr>
        <w:snapToGrid w:val="0"/>
        <w:jc w:val="center"/>
        <w:outlineLvl w:val="0"/>
        <w:rPr>
          <w:rFonts w:ascii="宋体" w:hAnsi="宋体"/>
          <w:b/>
          <w:color w:val="auto"/>
          <w:sz w:val="44"/>
          <w:szCs w:val="44"/>
          <w:highlight w:val="none"/>
        </w:rPr>
      </w:pPr>
      <w:r>
        <w:rPr>
          <w:rFonts w:hint="eastAsia" w:ascii="宋体" w:hAnsi="宋体"/>
          <w:b/>
          <w:color w:val="auto"/>
          <w:sz w:val="44"/>
          <w:szCs w:val="44"/>
          <w:highlight w:val="none"/>
        </w:rPr>
        <w:t xml:space="preserve">   </w:t>
      </w:r>
      <w:bookmarkStart w:id="34" w:name="_Toc6367"/>
      <w:r>
        <w:rPr>
          <w:rFonts w:hint="eastAsia" w:ascii="宋体" w:hAnsi="宋体"/>
          <w:b/>
          <w:color w:val="auto"/>
          <w:sz w:val="44"/>
          <w:szCs w:val="44"/>
          <w:highlight w:val="none"/>
        </w:rPr>
        <w:t xml:space="preserve">第二章 </w:t>
      </w:r>
      <w:r>
        <w:rPr>
          <w:rFonts w:hint="eastAsia" w:ascii="宋体" w:hAnsi="宋体"/>
          <w:b/>
          <w:bCs/>
          <w:color w:val="auto"/>
          <w:sz w:val="44"/>
          <w:szCs w:val="44"/>
          <w:highlight w:val="none"/>
        </w:rPr>
        <w:t>招</w:t>
      </w:r>
      <w:r>
        <w:rPr>
          <w:rFonts w:hint="eastAsia" w:ascii="宋体" w:hAnsi="宋体"/>
          <w:b/>
          <w:color w:val="auto"/>
          <w:sz w:val="44"/>
          <w:szCs w:val="44"/>
          <w:highlight w:val="none"/>
        </w:rPr>
        <w:t>标项目采购需求</w:t>
      </w:r>
      <w:bookmarkEnd w:id="34"/>
    </w:p>
    <w:p>
      <w:pPr>
        <w:ind w:firstLine="431"/>
        <w:jc w:val="center"/>
        <w:rPr>
          <w:rFonts w:ascii="宋体" w:hAnsi="宋体"/>
          <w:b/>
          <w:color w:val="auto"/>
          <w:sz w:val="32"/>
          <w:szCs w:val="32"/>
          <w:highlight w:val="none"/>
        </w:rPr>
      </w:pPr>
    </w:p>
    <w:p>
      <w:pPr>
        <w:rPr>
          <w:rFonts w:ascii="宋体" w:hAnsi="宋体"/>
          <w:color w:val="auto"/>
          <w:highlight w:val="none"/>
        </w:rPr>
      </w:pPr>
      <w:r>
        <w:rPr>
          <w:rFonts w:ascii="宋体" w:hAnsi="宋体"/>
          <w:color w:val="auto"/>
          <w:highlight w:val="none"/>
        </w:rPr>
        <w:br w:type="page"/>
      </w:r>
    </w:p>
    <w:p>
      <w:pPr>
        <w:spacing w:line="360" w:lineRule="auto"/>
        <w:ind w:right="220" w:rightChars="105"/>
        <w:rPr>
          <w:rFonts w:ascii="宋体" w:hAnsi="宋体"/>
          <w:b/>
          <w:color w:val="auto"/>
          <w:sz w:val="24"/>
          <w:highlight w:val="none"/>
        </w:rPr>
      </w:pPr>
      <w:r>
        <w:rPr>
          <w:rFonts w:hint="eastAsia" w:ascii="宋体" w:hAnsi="宋体"/>
          <w:b/>
          <w:color w:val="auto"/>
          <w:sz w:val="24"/>
          <w:highlight w:val="none"/>
        </w:rPr>
        <w:t>说明：</w:t>
      </w:r>
    </w:p>
    <w:p>
      <w:pPr>
        <w:spacing w:line="360" w:lineRule="auto"/>
        <w:ind w:right="220" w:rightChars="105"/>
        <w:rPr>
          <w:rFonts w:ascii="宋体" w:hAnsi="宋体"/>
          <w:b/>
          <w:color w:val="auto"/>
          <w:highlight w:val="none"/>
        </w:rPr>
      </w:pPr>
      <w:r>
        <w:rPr>
          <w:rFonts w:hint="eastAsia" w:ascii="宋体" w:hAnsi="宋体"/>
          <w:b/>
          <w:color w:val="auto"/>
          <w:sz w:val="24"/>
          <w:highlight w:val="none"/>
        </w:rPr>
        <w:t>1、本服务需求一览表中标注</w:t>
      </w:r>
      <w:r>
        <w:rPr>
          <w:rFonts w:hint="eastAsia" w:ascii="宋体" w:hAnsi="宋体"/>
          <w:b/>
          <w:color w:val="auto"/>
          <w:highlight w:val="none"/>
        </w:rPr>
        <w:t>★号的部分为实质性要求和条件。</w:t>
      </w:r>
    </w:p>
    <w:p>
      <w:pPr>
        <w:spacing w:line="360" w:lineRule="auto"/>
        <w:ind w:right="220" w:rightChars="105"/>
        <w:rPr>
          <w:rFonts w:ascii="宋体" w:hAnsi="宋体"/>
          <w:b/>
          <w:color w:val="auto"/>
          <w:sz w:val="24"/>
          <w:highlight w:val="none"/>
        </w:rPr>
      </w:pPr>
      <w:r>
        <w:rPr>
          <w:rFonts w:hint="eastAsia" w:ascii="宋体" w:hAnsi="宋体"/>
          <w:b/>
          <w:color w:val="auto"/>
          <w:sz w:val="24"/>
          <w:highlight w:val="none"/>
        </w:rPr>
        <w:t>2、本服务需求一览表中内容如与第五章“合同条款及格式”相关条款不一致的。以本表为准。</w:t>
      </w:r>
    </w:p>
    <w:p>
      <w:pPr>
        <w:spacing w:line="360" w:lineRule="auto"/>
        <w:ind w:right="220" w:rightChars="105"/>
        <w:rPr>
          <w:rFonts w:ascii="宋体" w:hAnsi="宋体"/>
          <w:b/>
          <w:color w:val="auto"/>
          <w:sz w:val="24"/>
          <w:highlight w:val="none"/>
        </w:rPr>
      </w:pPr>
    </w:p>
    <w:tbl>
      <w:tblPr>
        <w:tblStyle w:val="36"/>
        <w:tblW w:w="970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2743"/>
        <w:gridCol w:w="840"/>
        <w:gridCol w:w="55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54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Ansi="宋体"/>
                <w:color w:val="auto"/>
                <w:szCs w:val="21"/>
                <w:highlight w:val="none"/>
              </w:rPr>
            </w:pPr>
            <w:r>
              <w:rPr>
                <w:rFonts w:hint="eastAsia" w:hAnsi="宋体"/>
                <w:color w:val="auto"/>
                <w:szCs w:val="21"/>
                <w:highlight w:val="none"/>
              </w:rPr>
              <w:t>项号</w:t>
            </w:r>
          </w:p>
        </w:tc>
        <w:tc>
          <w:tcPr>
            <w:tcW w:w="27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Ansi="宋体"/>
                <w:color w:val="auto"/>
                <w:szCs w:val="21"/>
                <w:highlight w:val="none"/>
              </w:rPr>
            </w:pPr>
            <w:r>
              <w:rPr>
                <w:rFonts w:hint="eastAsia" w:ascii="宋体" w:hAnsi="宋体"/>
                <w:color w:val="auto"/>
                <w:szCs w:val="21"/>
                <w:highlight w:val="none"/>
              </w:rPr>
              <w:t>服务名称</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Ansi="宋体"/>
                <w:color w:val="auto"/>
                <w:highlight w:val="none"/>
              </w:rPr>
            </w:pPr>
            <w:r>
              <w:rPr>
                <w:rFonts w:hint="eastAsia" w:hAnsi="宋体"/>
                <w:color w:val="auto"/>
                <w:highlight w:val="none"/>
              </w:rPr>
              <w:t>数量</w:t>
            </w:r>
          </w:p>
        </w:tc>
        <w:tc>
          <w:tcPr>
            <w:tcW w:w="55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Ansi="宋体"/>
                <w:color w:val="auto"/>
                <w:highlight w:val="none"/>
              </w:rPr>
            </w:pPr>
            <w:r>
              <w:rPr>
                <w:rFonts w:hint="eastAsia" w:ascii="宋体" w:hAnsi="宋体"/>
                <w:color w:val="auto"/>
                <w:szCs w:val="21"/>
                <w:highlight w:val="none"/>
              </w:rPr>
              <w:t>服务内容及要求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1</w:t>
            </w:r>
          </w:p>
        </w:tc>
        <w:tc>
          <w:tcPr>
            <w:tcW w:w="274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olor w:val="auto"/>
                <w:szCs w:val="21"/>
                <w:highlight w:val="none"/>
              </w:rPr>
            </w:pPr>
            <w:r>
              <w:rPr>
                <w:rFonts w:hint="eastAsia" w:ascii="宋体" w:hAnsi="宋体"/>
                <w:color w:val="auto"/>
                <w:spacing w:val="-6"/>
                <w:sz w:val="24"/>
                <w:highlight w:val="none"/>
                <w:u w:val="single"/>
              </w:rPr>
              <w:t>南宁市政务办公精细化管理系统服务采购</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auto"/>
                <w:szCs w:val="21"/>
                <w:highlight w:val="none"/>
              </w:rPr>
            </w:pPr>
            <w:r>
              <w:rPr>
                <w:rFonts w:ascii="宋体" w:hAnsi="宋体"/>
                <w:color w:val="auto"/>
                <w:szCs w:val="21"/>
                <w:highlight w:val="none"/>
              </w:rPr>
              <w:t>1项</w:t>
            </w:r>
          </w:p>
        </w:tc>
        <w:tc>
          <w:tcPr>
            <w:tcW w:w="5575"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olor w:val="auto"/>
                <w:szCs w:val="21"/>
                <w:highlight w:val="none"/>
              </w:rPr>
            </w:pPr>
            <w:r>
              <w:rPr>
                <w:rFonts w:hint="eastAsia" w:ascii="宋体" w:hAnsi="宋体"/>
                <w:color w:val="auto"/>
                <w:szCs w:val="21"/>
                <w:highlight w:val="none"/>
              </w:rPr>
              <w:t>根据各使用单位的单位发文流程、单位收文流程、单位收文流程（传阅文）、单位用章申请流程、单位内部发文流程，购买南宁市政务办公精细化管理系统服务，通过在南宁市电子政务云平台部署一套国产化的政务办公系统，提供</w:t>
            </w:r>
            <w:r>
              <w:rPr>
                <w:rFonts w:ascii="宋体" w:hAnsi="宋体"/>
                <w:color w:val="auto"/>
                <w:szCs w:val="21"/>
                <w:highlight w:val="none"/>
              </w:rPr>
              <w:t>7</w:t>
            </w:r>
            <w:r>
              <w:rPr>
                <w:rFonts w:hint="eastAsia" w:ascii="宋体" w:hAnsi="宋体"/>
                <w:color w:val="auto"/>
                <w:szCs w:val="21"/>
                <w:highlight w:val="none"/>
              </w:rPr>
              <w:t>个基础功能、</w:t>
            </w:r>
            <w:r>
              <w:rPr>
                <w:rFonts w:ascii="宋体" w:hAnsi="宋体"/>
                <w:color w:val="auto"/>
                <w:szCs w:val="21"/>
                <w:highlight w:val="none"/>
              </w:rPr>
              <w:t>10</w:t>
            </w:r>
            <w:r>
              <w:rPr>
                <w:rFonts w:hint="eastAsia" w:ascii="宋体" w:hAnsi="宋体"/>
                <w:color w:val="auto"/>
                <w:szCs w:val="21"/>
                <w:highlight w:val="none"/>
              </w:rPr>
              <w:t>大应用模块、</w:t>
            </w:r>
            <w:r>
              <w:rPr>
                <w:rFonts w:ascii="宋体" w:hAnsi="宋体"/>
                <w:color w:val="auto"/>
                <w:szCs w:val="21"/>
                <w:highlight w:val="none"/>
              </w:rPr>
              <w:t>5</w:t>
            </w:r>
            <w:r>
              <w:rPr>
                <w:rFonts w:hint="eastAsia" w:ascii="宋体" w:hAnsi="宋体"/>
                <w:color w:val="auto"/>
                <w:szCs w:val="21"/>
                <w:highlight w:val="none"/>
              </w:rPr>
              <w:t>家单位个性化需求，可应用于移动端、</w:t>
            </w:r>
            <w:r>
              <w:rPr>
                <w:rFonts w:ascii="宋体" w:hAnsi="宋体"/>
                <w:color w:val="auto"/>
                <w:szCs w:val="21"/>
                <w:highlight w:val="none"/>
              </w:rPr>
              <w:t>PC</w:t>
            </w:r>
            <w:r>
              <w:rPr>
                <w:rFonts w:hint="eastAsia" w:ascii="宋体" w:hAnsi="宋体"/>
                <w:color w:val="auto"/>
                <w:szCs w:val="21"/>
                <w:highlight w:val="none"/>
              </w:rPr>
              <w:t>端两个平台，产品性能满足信息技术创新需求，适配国产主流基础软硬件，符合国家相关标准规范。系统部署在政府专网按安全等级保护第三级进行防护，部署在政务外网按安全等级保护第二级进行防护。</w:t>
            </w:r>
          </w:p>
          <w:p>
            <w:pPr>
              <w:spacing w:line="320" w:lineRule="exact"/>
              <w:ind w:firstLine="422" w:firstLineChars="200"/>
              <w:rPr>
                <w:rFonts w:ascii="宋体" w:hAnsi="宋体"/>
                <w:color w:val="auto"/>
                <w:szCs w:val="21"/>
                <w:highlight w:val="none"/>
              </w:rPr>
            </w:pPr>
            <w:r>
              <w:rPr>
                <w:rFonts w:hint="eastAsia" w:ascii="宋体" w:hAnsi="宋体"/>
                <w:b/>
                <w:color w:val="auto"/>
                <w:szCs w:val="21"/>
                <w:highlight w:val="none"/>
              </w:rPr>
              <w:t>★</w:t>
            </w:r>
            <w:r>
              <w:rPr>
                <w:rFonts w:hint="eastAsia" w:ascii="宋体" w:hAnsi="宋体"/>
                <w:color w:val="auto"/>
                <w:szCs w:val="21"/>
                <w:highlight w:val="none"/>
              </w:rPr>
              <w:t>一</w:t>
            </w:r>
            <w:r>
              <w:rPr>
                <w:rFonts w:ascii="宋体" w:hAnsi="宋体"/>
                <w:color w:val="auto"/>
                <w:szCs w:val="21"/>
                <w:highlight w:val="none"/>
              </w:rPr>
              <w:t>、7个基础功能</w:t>
            </w:r>
          </w:p>
          <w:p>
            <w:pPr>
              <w:spacing w:line="320" w:lineRule="exact"/>
              <w:ind w:firstLine="420" w:firstLineChars="200"/>
              <w:rPr>
                <w:rFonts w:ascii="宋体" w:hAnsi="宋体"/>
                <w:color w:val="auto"/>
                <w:szCs w:val="21"/>
                <w:highlight w:val="none"/>
              </w:rPr>
            </w:pPr>
            <w:r>
              <w:rPr>
                <w:rFonts w:hint="eastAsia" w:ascii="宋体" w:hAnsi="宋体"/>
                <w:color w:val="auto"/>
                <w:szCs w:val="21"/>
                <w:highlight w:val="none"/>
              </w:rPr>
              <w:t>通过南宁市政务办公精细化管理系统，为单位用户提供基础的信息管理和功能管理服务，主要包括如下内容。</w:t>
            </w:r>
          </w:p>
          <w:p>
            <w:pPr>
              <w:spacing w:line="320" w:lineRule="exact"/>
              <w:ind w:firstLine="420" w:firstLineChars="200"/>
              <w:rPr>
                <w:rFonts w:ascii="宋体" w:hAnsi="宋体"/>
                <w:color w:val="auto"/>
                <w:szCs w:val="21"/>
                <w:highlight w:val="none"/>
              </w:rPr>
            </w:pPr>
            <w:r>
              <w:rPr>
                <w:rFonts w:hint="eastAsia" w:ascii="宋体" w:hAnsi="宋体"/>
                <w:color w:val="auto"/>
                <w:szCs w:val="21"/>
                <w:highlight w:val="none"/>
              </w:rPr>
              <w:t>统一用户管理：包括身份管理、统一认证、安全审计、集成服务功能。</w:t>
            </w:r>
          </w:p>
          <w:p>
            <w:pPr>
              <w:spacing w:line="320" w:lineRule="exact"/>
              <w:ind w:firstLine="420" w:firstLineChars="200"/>
              <w:rPr>
                <w:rFonts w:ascii="宋体" w:hAnsi="宋体"/>
                <w:color w:val="auto"/>
                <w:szCs w:val="21"/>
                <w:highlight w:val="none"/>
              </w:rPr>
            </w:pPr>
            <w:r>
              <w:rPr>
                <w:rFonts w:hint="eastAsia" w:ascii="宋体" w:hAnsi="宋体"/>
                <w:color w:val="auto"/>
                <w:szCs w:val="21"/>
                <w:highlight w:val="none"/>
              </w:rPr>
              <w:t>即时通讯服务：包括群组管理、用户信息管理、消息发送接口、应用消息接口功能。</w:t>
            </w:r>
          </w:p>
          <w:p>
            <w:pPr>
              <w:spacing w:line="320" w:lineRule="exact"/>
              <w:ind w:firstLine="420" w:firstLineChars="200"/>
              <w:rPr>
                <w:rFonts w:ascii="宋体" w:hAnsi="宋体"/>
                <w:color w:val="auto"/>
                <w:szCs w:val="21"/>
                <w:highlight w:val="none"/>
              </w:rPr>
            </w:pPr>
            <w:r>
              <w:rPr>
                <w:rFonts w:hint="eastAsia" w:ascii="宋体" w:hAnsi="宋体"/>
                <w:color w:val="auto"/>
                <w:szCs w:val="21"/>
                <w:highlight w:val="none"/>
              </w:rPr>
              <w:t>短信服务：包括短信服务管理、短信发送接口、应用消息接口、发送统计、发送数量限制功能。</w:t>
            </w:r>
          </w:p>
          <w:p>
            <w:pPr>
              <w:spacing w:line="320" w:lineRule="exact"/>
              <w:ind w:firstLine="420" w:firstLineChars="200"/>
              <w:rPr>
                <w:rFonts w:ascii="宋体" w:hAnsi="宋体"/>
                <w:color w:val="auto"/>
                <w:szCs w:val="21"/>
                <w:highlight w:val="none"/>
              </w:rPr>
            </w:pPr>
            <w:r>
              <w:rPr>
                <w:rFonts w:hint="eastAsia" w:ascii="宋体" w:hAnsi="宋体"/>
                <w:color w:val="auto"/>
                <w:szCs w:val="21"/>
                <w:highlight w:val="none"/>
              </w:rPr>
              <w:t>公文交换服务：包括内部单位通讯录管理、外部发文接口、外部收文接口功能。</w:t>
            </w:r>
          </w:p>
          <w:p>
            <w:pPr>
              <w:spacing w:line="320" w:lineRule="exact"/>
              <w:ind w:firstLine="420" w:firstLineChars="200"/>
              <w:rPr>
                <w:rFonts w:ascii="宋体" w:hAnsi="宋体"/>
                <w:color w:val="auto"/>
                <w:szCs w:val="21"/>
                <w:highlight w:val="none"/>
              </w:rPr>
            </w:pPr>
            <w:r>
              <w:rPr>
                <w:rFonts w:hint="eastAsia" w:ascii="宋体" w:hAnsi="宋体"/>
                <w:color w:val="auto"/>
                <w:szCs w:val="21"/>
                <w:highlight w:val="none"/>
              </w:rPr>
              <w:t>服务管理：包括服务注册、服务代理功能。</w:t>
            </w:r>
          </w:p>
          <w:p>
            <w:pPr>
              <w:spacing w:line="320" w:lineRule="exact"/>
              <w:ind w:firstLine="420" w:firstLineChars="200"/>
              <w:rPr>
                <w:rFonts w:ascii="宋体" w:hAnsi="宋体"/>
                <w:color w:val="auto"/>
                <w:szCs w:val="21"/>
                <w:highlight w:val="none"/>
              </w:rPr>
            </w:pPr>
            <w:r>
              <w:rPr>
                <w:rFonts w:hint="eastAsia" w:ascii="宋体" w:hAnsi="宋体"/>
                <w:color w:val="auto"/>
                <w:szCs w:val="21"/>
                <w:highlight w:val="none"/>
              </w:rPr>
              <w:t>文档服务：包括文档预览接口、文档编辑、文档检索、文档存取、存储空间管理功能。</w:t>
            </w:r>
          </w:p>
          <w:p>
            <w:pPr>
              <w:spacing w:line="320" w:lineRule="exact"/>
              <w:ind w:firstLine="420" w:firstLineChars="200"/>
              <w:rPr>
                <w:rFonts w:ascii="宋体" w:hAnsi="宋体"/>
                <w:color w:val="auto"/>
                <w:szCs w:val="21"/>
                <w:highlight w:val="none"/>
              </w:rPr>
            </w:pPr>
            <w:r>
              <w:rPr>
                <w:rFonts w:hint="eastAsia" w:ascii="宋体" w:hAnsi="宋体"/>
                <w:color w:val="auto"/>
                <w:szCs w:val="21"/>
                <w:highlight w:val="none"/>
              </w:rPr>
              <w:t>会议管理：包括会议室预定会议跟踪、会议管理等功能。</w:t>
            </w:r>
          </w:p>
          <w:p>
            <w:pPr>
              <w:spacing w:line="320" w:lineRule="exact"/>
              <w:ind w:firstLine="422" w:firstLineChars="200"/>
              <w:rPr>
                <w:rFonts w:ascii="宋体" w:hAnsi="宋体"/>
                <w:color w:val="auto"/>
                <w:szCs w:val="21"/>
                <w:highlight w:val="none"/>
              </w:rPr>
            </w:pPr>
            <w:r>
              <w:rPr>
                <w:rFonts w:hint="eastAsia" w:ascii="宋体" w:hAnsi="宋体"/>
                <w:b/>
                <w:color w:val="auto"/>
                <w:szCs w:val="21"/>
                <w:highlight w:val="none"/>
              </w:rPr>
              <w:t>★</w:t>
            </w:r>
            <w:r>
              <w:rPr>
                <w:rFonts w:hint="eastAsia" w:ascii="宋体" w:hAnsi="宋体"/>
                <w:color w:val="auto"/>
                <w:szCs w:val="21"/>
                <w:highlight w:val="none"/>
              </w:rPr>
              <w:t>二</w:t>
            </w:r>
            <w:r>
              <w:rPr>
                <w:rFonts w:ascii="宋体" w:hAnsi="宋体"/>
                <w:color w:val="auto"/>
                <w:szCs w:val="21"/>
                <w:highlight w:val="none"/>
              </w:rPr>
              <w:t>、10大应用模块</w:t>
            </w:r>
          </w:p>
          <w:p>
            <w:pPr>
              <w:spacing w:line="320" w:lineRule="exact"/>
              <w:ind w:firstLine="420" w:firstLineChars="200"/>
              <w:rPr>
                <w:rFonts w:ascii="宋体" w:hAnsi="宋体"/>
                <w:color w:val="auto"/>
                <w:szCs w:val="21"/>
                <w:highlight w:val="none"/>
              </w:rPr>
            </w:pPr>
            <w:r>
              <w:rPr>
                <w:rFonts w:hint="eastAsia" w:ascii="宋体" w:hAnsi="宋体"/>
                <w:color w:val="auto"/>
                <w:szCs w:val="21"/>
                <w:highlight w:val="none"/>
              </w:rPr>
              <w:t>通过南宁市政务办公精细化管理系统，开发用户需求应用模块，主要包括如下内容。</w:t>
            </w:r>
          </w:p>
          <w:p>
            <w:pPr>
              <w:spacing w:line="320" w:lineRule="exact"/>
              <w:ind w:firstLine="420" w:firstLineChars="200"/>
              <w:rPr>
                <w:rFonts w:ascii="宋体" w:hAnsi="宋体"/>
                <w:color w:val="auto"/>
                <w:szCs w:val="21"/>
                <w:highlight w:val="none"/>
              </w:rPr>
            </w:pPr>
            <w:r>
              <w:rPr>
                <w:rFonts w:hint="eastAsia" w:ascii="宋体" w:hAnsi="宋体"/>
                <w:color w:val="auto"/>
                <w:szCs w:val="21"/>
                <w:highlight w:val="none"/>
              </w:rPr>
              <w:t>发文管理：包括发文管理待办、发文模板、发文追踪、发文查询、发文代理功能。</w:t>
            </w:r>
          </w:p>
          <w:p>
            <w:pPr>
              <w:spacing w:line="320" w:lineRule="exact"/>
              <w:ind w:firstLine="420" w:firstLineChars="200"/>
              <w:rPr>
                <w:rFonts w:ascii="宋体" w:hAnsi="宋体"/>
                <w:color w:val="auto"/>
                <w:szCs w:val="21"/>
                <w:highlight w:val="none"/>
              </w:rPr>
            </w:pPr>
            <w:r>
              <w:rPr>
                <w:rFonts w:hint="eastAsia" w:ascii="宋体" w:hAnsi="宋体"/>
                <w:color w:val="auto"/>
                <w:szCs w:val="21"/>
                <w:highlight w:val="none"/>
              </w:rPr>
              <w:t>收文管理：包括收文待办、收文追踪、收文查询、收文代理、收文转任务、收文转发文功能。</w:t>
            </w:r>
          </w:p>
          <w:p>
            <w:pPr>
              <w:spacing w:line="320" w:lineRule="exact"/>
              <w:ind w:firstLine="420" w:firstLineChars="200"/>
              <w:rPr>
                <w:rFonts w:ascii="宋体" w:hAnsi="宋体"/>
                <w:color w:val="auto"/>
                <w:szCs w:val="21"/>
                <w:highlight w:val="none"/>
              </w:rPr>
            </w:pPr>
            <w:r>
              <w:rPr>
                <w:rFonts w:hint="eastAsia" w:ascii="宋体" w:hAnsi="宋体"/>
                <w:color w:val="auto"/>
                <w:szCs w:val="21"/>
                <w:highlight w:val="none"/>
              </w:rPr>
              <w:t>通知公告：包括公告分类管理、公告编写、公告查看、公告查询功能。</w:t>
            </w:r>
          </w:p>
          <w:p>
            <w:pPr>
              <w:spacing w:line="320" w:lineRule="exact"/>
              <w:ind w:firstLine="420" w:firstLineChars="200"/>
              <w:rPr>
                <w:rFonts w:ascii="宋体" w:hAnsi="宋体"/>
                <w:color w:val="auto"/>
                <w:szCs w:val="21"/>
                <w:highlight w:val="none"/>
              </w:rPr>
            </w:pPr>
            <w:r>
              <w:rPr>
                <w:rFonts w:hint="eastAsia" w:ascii="宋体" w:hAnsi="宋体"/>
                <w:color w:val="auto"/>
                <w:szCs w:val="21"/>
                <w:highlight w:val="none"/>
              </w:rPr>
              <w:t>行程管理：包括行程发布、行程查询、行程提醒功能。</w:t>
            </w:r>
          </w:p>
          <w:p>
            <w:pPr>
              <w:spacing w:line="320" w:lineRule="exact"/>
              <w:ind w:firstLine="420" w:firstLineChars="200"/>
              <w:rPr>
                <w:rFonts w:ascii="宋体" w:hAnsi="宋体"/>
                <w:color w:val="auto"/>
                <w:szCs w:val="21"/>
                <w:highlight w:val="none"/>
              </w:rPr>
            </w:pPr>
            <w:r>
              <w:rPr>
                <w:rFonts w:hint="eastAsia" w:ascii="宋体" w:hAnsi="宋体"/>
                <w:color w:val="auto"/>
                <w:szCs w:val="21"/>
                <w:highlight w:val="none"/>
              </w:rPr>
              <w:t>工作邮件：包括邮件编写、收件箱、发件箱、邮件草稿功能。</w:t>
            </w:r>
          </w:p>
          <w:p>
            <w:pPr>
              <w:spacing w:line="320" w:lineRule="exact"/>
              <w:ind w:firstLine="420" w:firstLineChars="200"/>
              <w:rPr>
                <w:rFonts w:ascii="宋体" w:hAnsi="宋体"/>
                <w:color w:val="auto"/>
                <w:szCs w:val="21"/>
                <w:highlight w:val="none"/>
              </w:rPr>
            </w:pPr>
            <w:r>
              <w:rPr>
                <w:rFonts w:hint="eastAsia" w:ascii="宋体" w:hAnsi="宋体"/>
                <w:color w:val="auto"/>
                <w:szCs w:val="21"/>
                <w:highlight w:val="none"/>
              </w:rPr>
              <w:t>任务管理：包括任务新建、任务分解、任务回复、任务查询、任务预警告警功能。</w:t>
            </w:r>
          </w:p>
          <w:p>
            <w:pPr>
              <w:spacing w:line="320" w:lineRule="exact"/>
              <w:ind w:firstLine="420" w:firstLineChars="200"/>
              <w:rPr>
                <w:rFonts w:ascii="宋体" w:hAnsi="宋体"/>
                <w:color w:val="auto"/>
                <w:szCs w:val="21"/>
                <w:highlight w:val="none"/>
              </w:rPr>
            </w:pPr>
            <w:r>
              <w:rPr>
                <w:rFonts w:hint="eastAsia" w:ascii="宋体" w:hAnsi="宋体"/>
                <w:color w:val="auto"/>
                <w:szCs w:val="21"/>
                <w:highlight w:val="none"/>
              </w:rPr>
              <w:t>重点工作台账：包括新建台账、添加任务、台账查询、收文转台账功能。</w:t>
            </w:r>
          </w:p>
          <w:p>
            <w:pPr>
              <w:spacing w:line="320" w:lineRule="exact"/>
              <w:ind w:firstLine="420" w:firstLineChars="200"/>
              <w:rPr>
                <w:rFonts w:ascii="宋体" w:hAnsi="宋体"/>
                <w:color w:val="auto"/>
                <w:szCs w:val="21"/>
                <w:highlight w:val="none"/>
              </w:rPr>
            </w:pPr>
            <w:r>
              <w:rPr>
                <w:rFonts w:hint="eastAsia" w:ascii="宋体" w:hAnsi="宋体"/>
                <w:color w:val="auto"/>
                <w:szCs w:val="21"/>
                <w:highlight w:val="none"/>
              </w:rPr>
              <w:t>消息提醒：包括定时提醒任务、定时提醒应用接口、消息发送查询功能。</w:t>
            </w:r>
          </w:p>
          <w:p>
            <w:pPr>
              <w:spacing w:line="320" w:lineRule="exact"/>
              <w:ind w:firstLine="420" w:firstLineChars="200"/>
              <w:rPr>
                <w:rFonts w:ascii="宋体" w:hAnsi="宋体"/>
                <w:color w:val="auto"/>
                <w:szCs w:val="21"/>
                <w:highlight w:val="none"/>
              </w:rPr>
            </w:pPr>
            <w:r>
              <w:rPr>
                <w:rFonts w:hint="eastAsia" w:ascii="宋体" w:hAnsi="宋体"/>
                <w:color w:val="auto"/>
                <w:szCs w:val="21"/>
                <w:highlight w:val="none"/>
              </w:rPr>
              <w:t>个人工作台：包括个人信息维护、工作代理设置、工作代理交接、提醒消息查询功能。</w:t>
            </w:r>
          </w:p>
          <w:p>
            <w:pPr>
              <w:spacing w:line="320" w:lineRule="exact"/>
              <w:ind w:firstLine="420" w:firstLineChars="200"/>
              <w:rPr>
                <w:rFonts w:ascii="宋体" w:hAnsi="宋体"/>
                <w:color w:val="auto"/>
                <w:szCs w:val="21"/>
                <w:highlight w:val="none"/>
              </w:rPr>
            </w:pPr>
            <w:r>
              <w:rPr>
                <w:rFonts w:hint="eastAsia" w:ascii="宋体" w:hAnsi="宋体"/>
                <w:color w:val="auto"/>
                <w:szCs w:val="21"/>
                <w:highlight w:val="none"/>
              </w:rPr>
              <w:t>移动客户端平台还包括用户登录认证、即时通讯客户端、通讯录管理、政务办公、消息提醒功能内容。</w:t>
            </w:r>
          </w:p>
          <w:p>
            <w:pPr>
              <w:spacing w:line="320" w:lineRule="exact"/>
              <w:ind w:firstLine="422" w:firstLineChars="200"/>
              <w:rPr>
                <w:rFonts w:ascii="宋体" w:hAnsi="宋体"/>
                <w:color w:val="auto"/>
                <w:szCs w:val="21"/>
                <w:highlight w:val="none"/>
              </w:rPr>
            </w:pPr>
            <w:r>
              <w:rPr>
                <w:rFonts w:hint="eastAsia" w:ascii="宋体" w:hAnsi="宋体"/>
                <w:b/>
                <w:color w:val="auto"/>
                <w:szCs w:val="21"/>
                <w:highlight w:val="none"/>
              </w:rPr>
              <w:t>★</w:t>
            </w:r>
            <w:r>
              <w:rPr>
                <w:rFonts w:hint="eastAsia" w:ascii="宋体" w:hAnsi="宋体"/>
                <w:color w:val="auto"/>
                <w:szCs w:val="21"/>
                <w:highlight w:val="none"/>
              </w:rPr>
              <w:t>三</w:t>
            </w:r>
            <w:r>
              <w:rPr>
                <w:rFonts w:ascii="宋体" w:hAnsi="宋体"/>
                <w:color w:val="auto"/>
                <w:szCs w:val="21"/>
                <w:highlight w:val="none"/>
              </w:rPr>
              <w:t>、5家单位个性化需求</w:t>
            </w:r>
          </w:p>
          <w:p>
            <w:pPr>
              <w:spacing w:line="320" w:lineRule="exact"/>
              <w:ind w:firstLine="420" w:firstLineChars="200"/>
              <w:rPr>
                <w:rFonts w:ascii="宋体" w:hAnsi="宋体"/>
                <w:color w:val="auto"/>
                <w:szCs w:val="21"/>
                <w:highlight w:val="none"/>
              </w:rPr>
            </w:pPr>
            <w:r>
              <w:rPr>
                <w:rFonts w:hint="eastAsia" w:ascii="宋体" w:hAnsi="宋体"/>
                <w:color w:val="auto"/>
                <w:szCs w:val="21"/>
                <w:highlight w:val="none"/>
              </w:rPr>
              <w:t>在</w:t>
            </w:r>
            <w:r>
              <w:rPr>
                <w:rFonts w:ascii="宋体" w:hAnsi="宋体"/>
                <w:color w:val="auto"/>
                <w:szCs w:val="21"/>
                <w:highlight w:val="none"/>
              </w:rPr>
              <w:t>7</w:t>
            </w:r>
            <w:r>
              <w:rPr>
                <w:rFonts w:hint="eastAsia" w:ascii="宋体" w:hAnsi="宋体"/>
                <w:color w:val="auto"/>
                <w:szCs w:val="21"/>
                <w:highlight w:val="none"/>
              </w:rPr>
              <w:t>个基础功能和</w:t>
            </w:r>
            <w:r>
              <w:rPr>
                <w:rFonts w:ascii="宋体" w:hAnsi="宋体"/>
                <w:color w:val="auto"/>
                <w:szCs w:val="21"/>
                <w:highlight w:val="none"/>
              </w:rPr>
              <w:t>10</w:t>
            </w:r>
            <w:r>
              <w:rPr>
                <w:rFonts w:hint="eastAsia" w:ascii="宋体" w:hAnsi="宋体"/>
                <w:color w:val="auto"/>
                <w:szCs w:val="21"/>
                <w:highlight w:val="none"/>
              </w:rPr>
              <w:t>大应用模块的基础上，满足各单位个性化需求，实现中共南宁市委办公室、市交通运输局、市医保局、市北部湾办、市粮食和储备局个性化需求，满足各类型用户使用需求。</w:t>
            </w:r>
          </w:p>
          <w:p>
            <w:pPr>
              <w:spacing w:line="320" w:lineRule="exact"/>
              <w:ind w:firstLine="420" w:firstLineChars="200"/>
              <w:rPr>
                <w:rFonts w:ascii="宋体" w:hAnsi="宋体"/>
                <w:color w:val="auto"/>
                <w:szCs w:val="21"/>
                <w:highlight w:val="none"/>
              </w:rPr>
            </w:pPr>
            <w:r>
              <w:rPr>
                <w:rFonts w:hint="eastAsia" w:ascii="宋体" w:hAnsi="宋体"/>
                <w:color w:val="auto"/>
                <w:szCs w:val="21"/>
                <w:highlight w:val="none"/>
              </w:rPr>
              <w:t>（1）中共南宁市委办公室：</w:t>
            </w:r>
          </w:p>
          <w:p>
            <w:pPr>
              <w:spacing w:line="320" w:lineRule="exact"/>
              <w:ind w:firstLine="420" w:firstLineChars="200"/>
              <w:rPr>
                <w:rFonts w:ascii="宋体" w:hAnsi="宋体"/>
                <w:color w:val="auto"/>
                <w:szCs w:val="21"/>
                <w:highlight w:val="none"/>
              </w:rPr>
            </w:pPr>
            <w:r>
              <w:rPr>
                <w:rFonts w:hint="eastAsia" w:ascii="宋体" w:hAnsi="宋体" w:cs="宋体"/>
                <w:color w:val="auto"/>
                <w:kern w:val="0"/>
                <w:szCs w:val="28"/>
                <w:highlight w:val="none"/>
              </w:rPr>
              <w:t>发文管理：包含联合发文功能、语音提示、短信提醒、常用语升级改造、操作权限控制、导入正文功能、退文功能、查看权限控制功能增加和优化开发。</w:t>
            </w:r>
          </w:p>
          <w:p>
            <w:pPr>
              <w:spacing w:line="320" w:lineRule="exact"/>
              <w:ind w:firstLine="420" w:firstLineChars="200"/>
              <w:rPr>
                <w:rFonts w:ascii="宋体" w:hAnsi="宋体" w:cs="宋体"/>
                <w:color w:val="auto"/>
                <w:kern w:val="0"/>
                <w:szCs w:val="28"/>
                <w:highlight w:val="none"/>
              </w:rPr>
            </w:pPr>
            <w:r>
              <w:rPr>
                <w:rFonts w:hint="eastAsia" w:ascii="宋体" w:hAnsi="宋体" w:cs="宋体"/>
                <w:color w:val="auto"/>
                <w:kern w:val="0"/>
                <w:szCs w:val="28"/>
                <w:highlight w:val="none"/>
              </w:rPr>
              <w:t>收文管理：包含授权功能、收文转发文功能、预告功能、会签个性化功能、拟办意见修订历史功能、办文操作界面定制、便签备注功能、参考附件功能、预警功能、增加合法合规审查环节、联合办文功能增加和优化开发。</w:t>
            </w:r>
          </w:p>
          <w:p>
            <w:pPr>
              <w:spacing w:line="320" w:lineRule="exact"/>
              <w:ind w:firstLine="420" w:firstLineChars="200"/>
              <w:rPr>
                <w:rFonts w:ascii="宋体" w:hAnsi="宋体" w:cs="宋体"/>
                <w:color w:val="auto"/>
                <w:kern w:val="0"/>
                <w:szCs w:val="28"/>
                <w:highlight w:val="none"/>
              </w:rPr>
            </w:pPr>
            <w:r>
              <w:rPr>
                <w:rFonts w:hint="eastAsia" w:ascii="宋体" w:hAnsi="宋体" w:cs="宋体"/>
                <w:color w:val="auto"/>
                <w:kern w:val="0"/>
                <w:szCs w:val="28"/>
                <w:highlight w:val="none"/>
              </w:rPr>
              <w:t>内部文件办理：包含增加多文件审批流程增加和优化开发。</w:t>
            </w:r>
          </w:p>
          <w:p>
            <w:pPr>
              <w:spacing w:line="320" w:lineRule="exact"/>
              <w:ind w:firstLine="420" w:firstLineChars="200"/>
              <w:rPr>
                <w:rFonts w:ascii="宋体" w:hAnsi="宋体" w:cs="宋体"/>
                <w:color w:val="auto"/>
                <w:kern w:val="0"/>
                <w:szCs w:val="28"/>
                <w:highlight w:val="none"/>
              </w:rPr>
            </w:pPr>
            <w:r>
              <w:rPr>
                <w:rFonts w:hint="eastAsia" w:ascii="宋体" w:hAnsi="宋体" w:cs="宋体"/>
                <w:color w:val="auto"/>
                <w:kern w:val="0"/>
                <w:szCs w:val="28"/>
                <w:highlight w:val="none"/>
              </w:rPr>
              <w:t>移动端个性定制：包含文件传输功能、移动端备注便签功能个性化定制、圈阅功能、APN网络专线、APN网络专线安全防护功能增加和优化开发、提供移动办公系统终端设备支撑服务。</w:t>
            </w:r>
          </w:p>
          <w:p>
            <w:pPr>
              <w:spacing w:line="320" w:lineRule="exact"/>
              <w:ind w:firstLine="420" w:firstLineChars="200"/>
              <w:rPr>
                <w:rFonts w:ascii="宋体" w:hAnsi="宋体" w:cs="宋体"/>
                <w:color w:val="auto"/>
                <w:kern w:val="0"/>
                <w:szCs w:val="28"/>
                <w:highlight w:val="none"/>
              </w:rPr>
            </w:pPr>
            <w:r>
              <w:rPr>
                <w:rFonts w:hint="eastAsia" w:ascii="宋体" w:hAnsi="宋体" w:cs="宋体"/>
                <w:color w:val="auto"/>
                <w:kern w:val="0"/>
                <w:szCs w:val="28"/>
                <w:highlight w:val="none"/>
              </w:rPr>
              <w:t>（2）市交通运输局：</w:t>
            </w:r>
          </w:p>
          <w:p>
            <w:pPr>
              <w:spacing w:line="320" w:lineRule="exact"/>
              <w:ind w:firstLine="420" w:firstLineChars="200"/>
              <w:rPr>
                <w:rFonts w:ascii="宋体" w:hAnsi="宋体" w:cs="宋体"/>
                <w:color w:val="auto"/>
                <w:kern w:val="0"/>
                <w:szCs w:val="28"/>
                <w:highlight w:val="none"/>
              </w:rPr>
            </w:pPr>
            <w:r>
              <w:rPr>
                <w:rFonts w:hint="eastAsia" w:ascii="宋体" w:hAnsi="宋体" w:cs="宋体"/>
                <w:color w:val="auto"/>
                <w:kern w:val="0"/>
                <w:szCs w:val="28"/>
                <w:highlight w:val="none"/>
              </w:rPr>
              <w:t>发文管理：包含调整发文笺、发文权限个性化控制、电子印章、发文流程定制、传阅反馈功能增加和优化开发。</w:t>
            </w:r>
          </w:p>
          <w:p>
            <w:pPr>
              <w:spacing w:line="320" w:lineRule="exact"/>
              <w:ind w:firstLine="420" w:firstLineChars="200"/>
              <w:rPr>
                <w:rFonts w:ascii="宋体" w:hAnsi="宋体" w:cs="宋体"/>
                <w:color w:val="auto"/>
                <w:kern w:val="0"/>
                <w:szCs w:val="28"/>
                <w:highlight w:val="none"/>
              </w:rPr>
            </w:pPr>
            <w:r>
              <w:rPr>
                <w:rFonts w:hint="eastAsia" w:ascii="宋体" w:hAnsi="宋体" w:cs="宋体"/>
                <w:color w:val="auto"/>
                <w:kern w:val="0"/>
                <w:szCs w:val="28"/>
                <w:highlight w:val="none"/>
              </w:rPr>
              <w:t>（3）市医保局：</w:t>
            </w:r>
          </w:p>
          <w:p>
            <w:pPr>
              <w:spacing w:line="320" w:lineRule="exact"/>
              <w:ind w:firstLine="420" w:firstLineChars="200"/>
              <w:rPr>
                <w:rFonts w:ascii="宋体" w:hAnsi="宋体" w:cs="宋体"/>
                <w:color w:val="auto"/>
                <w:kern w:val="0"/>
                <w:szCs w:val="28"/>
                <w:highlight w:val="none"/>
              </w:rPr>
            </w:pPr>
            <w:r>
              <w:rPr>
                <w:rFonts w:hint="eastAsia" w:ascii="宋体" w:hAnsi="宋体" w:cs="宋体"/>
                <w:color w:val="auto"/>
                <w:kern w:val="0"/>
                <w:szCs w:val="28"/>
                <w:highlight w:val="none"/>
              </w:rPr>
              <w:t>发文管理：文号个性化定制，新增符合单位特点的多个编号格式。</w:t>
            </w:r>
          </w:p>
          <w:p>
            <w:pPr>
              <w:spacing w:line="320" w:lineRule="exact"/>
              <w:ind w:firstLine="420" w:firstLineChars="200"/>
              <w:rPr>
                <w:rFonts w:ascii="宋体" w:hAnsi="宋体" w:cs="宋体"/>
                <w:color w:val="auto"/>
                <w:kern w:val="0"/>
                <w:szCs w:val="28"/>
                <w:highlight w:val="none"/>
              </w:rPr>
            </w:pPr>
            <w:r>
              <w:rPr>
                <w:rFonts w:hint="eastAsia" w:ascii="宋体" w:hAnsi="宋体" w:cs="宋体"/>
                <w:color w:val="auto"/>
                <w:kern w:val="0"/>
                <w:szCs w:val="28"/>
                <w:highlight w:val="none"/>
              </w:rPr>
              <w:t>收文管理：包含办文功能优化、文件查看权限、收文追踪定制、催办功能定制、自定义用户分组功能、自编号功能、预警功能增加和优化开发。</w:t>
            </w:r>
          </w:p>
          <w:p>
            <w:pPr>
              <w:spacing w:line="320" w:lineRule="exact"/>
              <w:ind w:firstLine="420" w:firstLineChars="200"/>
              <w:rPr>
                <w:rFonts w:ascii="宋体" w:hAnsi="宋体" w:cs="宋体"/>
                <w:color w:val="auto"/>
                <w:kern w:val="0"/>
                <w:szCs w:val="28"/>
                <w:highlight w:val="none"/>
              </w:rPr>
            </w:pPr>
            <w:r>
              <w:rPr>
                <w:rFonts w:hint="eastAsia" w:ascii="宋体" w:hAnsi="宋体" w:cs="宋体"/>
                <w:color w:val="auto"/>
                <w:kern w:val="0"/>
                <w:szCs w:val="28"/>
                <w:highlight w:val="none"/>
              </w:rPr>
              <w:t>消息提醒：APP消息提醒内增加一个全部已读功能。</w:t>
            </w:r>
          </w:p>
          <w:p>
            <w:pPr>
              <w:spacing w:line="320" w:lineRule="exact"/>
              <w:ind w:firstLine="420" w:firstLineChars="200"/>
              <w:rPr>
                <w:rFonts w:ascii="宋体" w:hAnsi="宋体" w:cs="宋体"/>
                <w:color w:val="auto"/>
                <w:kern w:val="0"/>
                <w:szCs w:val="28"/>
                <w:highlight w:val="none"/>
              </w:rPr>
            </w:pPr>
            <w:r>
              <w:rPr>
                <w:rFonts w:hint="eastAsia" w:ascii="宋体" w:hAnsi="宋体" w:cs="宋体"/>
                <w:color w:val="auto"/>
                <w:kern w:val="0"/>
                <w:szCs w:val="28"/>
                <w:highlight w:val="none"/>
              </w:rPr>
              <w:t>（4）市北部湾办：</w:t>
            </w:r>
          </w:p>
          <w:p>
            <w:pPr>
              <w:spacing w:line="320" w:lineRule="exact"/>
              <w:ind w:firstLine="420" w:firstLineChars="200"/>
              <w:rPr>
                <w:rFonts w:ascii="宋体" w:hAnsi="宋体" w:cs="宋体"/>
                <w:color w:val="auto"/>
                <w:kern w:val="0"/>
                <w:szCs w:val="28"/>
                <w:highlight w:val="none"/>
              </w:rPr>
            </w:pPr>
            <w:r>
              <w:rPr>
                <w:rFonts w:hint="eastAsia" w:ascii="宋体" w:hAnsi="宋体" w:cs="宋体"/>
                <w:color w:val="auto"/>
                <w:kern w:val="0"/>
                <w:szCs w:val="28"/>
                <w:highlight w:val="none"/>
              </w:rPr>
              <w:t>权限控制：系统管理员设置收文、发文由用户权限，支持按科室内部查看、全部查看两种权限。</w:t>
            </w:r>
          </w:p>
          <w:p>
            <w:pPr>
              <w:spacing w:line="320" w:lineRule="exact"/>
              <w:ind w:firstLine="420" w:firstLineChars="200"/>
              <w:rPr>
                <w:rFonts w:ascii="宋体" w:hAnsi="宋体" w:cs="宋体"/>
                <w:color w:val="auto"/>
                <w:kern w:val="0"/>
                <w:szCs w:val="28"/>
                <w:highlight w:val="none"/>
              </w:rPr>
            </w:pPr>
            <w:r>
              <w:rPr>
                <w:rFonts w:hint="eastAsia" w:ascii="宋体" w:hAnsi="宋体" w:cs="宋体"/>
                <w:color w:val="auto"/>
                <w:kern w:val="0"/>
                <w:szCs w:val="28"/>
                <w:highlight w:val="none"/>
              </w:rPr>
              <w:t>发文管理：发文流转过程中，科室负责人、核稿人、领导用户可根据需要修改发文标题。</w:t>
            </w:r>
          </w:p>
          <w:p>
            <w:pPr>
              <w:spacing w:line="320" w:lineRule="exact"/>
              <w:ind w:firstLine="420" w:firstLineChars="200"/>
              <w:rPr>
                <w:rFonts w:ascii="宋体" w:hAnsi="宋体" w:cs="宋体"/>
                <w:color w:val="auto"/>
                <w:kern w:val="0"/>
                <w:szCs w:val="28"/>
                <w:highlight w:val="none"/>
              </w:rPr>
            </w:pPr>
            <w:r>
              <w:rPr>
                <w:rFonts w:hint="eastAsia" w:ascii="宋体" w:hAnsi="宋体" w:cs="宋体"/>
                <w:color w:val="auto"/>
                <w:kern w:val="0"/>
                <w:szCs w:val="28"/>
                <w:highlight w:val="none"/>
              </w:rPr>
              <w:t>通讯录：系统管理员将通讯录的用户角色隐藏，只有管理员可查看、修改用户角色。</w:t>
            </w:r>
          </w:p>
          <w:p>
            <w:pPr>
              <w:spacing w:line="320" w:lineRule="exact"/>
              <w:ind w:firstLine="420" w:firstLineChars="200"/>
              <w:rPr>
                <w:rFonts w:ascii="宋体" w:hAnsi="宋体" w:cs="宋体"/>
                <w:color w:val="auto"/>
                <w:kern w:val="0"/>
                <w:szCs w:val="28"/>
                <w:highlight w:val="none"/>
              </w:rPr>
            </w:pPr>
            <w:r>
              <w:rPr>
                <w:rFonts w:hint="eastAsia" w:ascii="宋体" w:hAnsi="宋体" w:cs="宋体"/>
                <w:color w:val="auto"/>
                <w:kern w:val="0"/>
                <w:szCs w:val="28"/>
                <w:highlight w:val="none"/>
              </w:rPr>
              <w:t>首页：分开展示收文传阅件和收文待办，系统首页增加主要领导讲话栏目。</w:t>
            </w:r>
          </w:p>
          <w:p>
            <w:pPr>
              <w:spacing w:line="320" w:lineRule="exact"/>
              <w:ind w:firstLine="420" w:firstLineChars="200"/>
              <w:rPr>
                <w:rFonts w:ascii="宋体" w:hAnsi="宋体" w:cs="宋体"/>
                <w:color w:val="auto"/>
                <w:kern w:val="0"/>
                <w:szCs w:val="28"/>
                <w:highlight w:val="none"/>
              </w:rPr>
            </w:pPr>
            <w:r>
              <w:rPr>
                <w:rFonts w:hint="eastAsia" w:ascii="宋体" w:hAnsi="宋体" w:cs="宋体"/>
                <w:color w:val="auto"/>
                <w:kern w:val="0"/>
                <w:szCs w:val="28"/>
                <w:highlight w:val="none"/>
              </w:rPr>
              <w:t>（5）市粮食和储备局：</w:t>
            </w:r>
          </w:p>
          <w:p>
            <w:pPr>
              <w:spacing w:line="320" w:lineRule="exact"/>
              <w:ind w:firstLine="420" w:firstLineChars="200"/>
              <w:rPr>
                <w:rFonts w:ascii="宋体" w:hAnsi="宋体" w:cs="宋体"/>
                <w:color w:val="auto"/>
                <w:kern w:val="0"/>
                <w:szCs w:val="28"/>
                <w:highlight w:val="none"/>
              </w:rPr>
            </w:pPr>
            <w:r>
              <w:rPr>
                <w:rFonts w:hint="eastAsia" w:ascii="宋体" w:hAnsi="宋体" w:cs="宋体"/>
                <w:color w:val="auto"/>
                <w:kern w:val="0"/>
                <w:szCs w:val="28"/>
                <w:highlight w:val="none"/>
              </w:rPr>
              <w:t>发文管理：签发环节支持多选用户。管理员能对流程实施增删操作，可处理修改意见等。</w:t>
            </w:r>
          </w:p>
          <w:p>
            <w:pPr>
              <w:spacing w:line="320" w:lineRule="exact"/>
              <w:ind w:firstLine="420" w:firstLineChars="200"/>
              <w:rPr>
                <w:rFonts w:ascii="宋体" w:hAnsi="宋体" w:cs="宋体"/>
                <w:color w:val="auto"/>
                <w:kern w:val="0"/>
                <w:szCs w:val="28"/>
                <w:highlight w:val="none"/>
              </w:rPr>
            </w:pPr>
            <w:r>
              <w:rPr>
                <w:rFonts w:hint="eastAsia" w:ascii="宋体" w:hAnsi="宋体" w:cs="宋体"/>
                <w:color w:val="auto"/>
                <w:kern w:val="0"/>
                <w:szCs w:val="28"/>
                <w:highlight w:val="none"/>
              </w:rPr>
              <w:t>收文管理：签发环节支持多选用户。管理员能对流程实施增删操作，可处理修改意见等。</w:t>
            </w:r>
          </w:p>
          <w:p>
            <w:pPr>
              <w:spacing w:line="320" w:lineRule="exact"/>
              <w:ind w:firstLine="420" w:firstLineChars="200"/>
              <w:rPr>
                <w:rFonts w:ascii="宋体" w:hAnsi="宋体" w:cs="宋体"/>
                <w:color w:val="auto"/>
                <w:kern w:val="0"/>
                <w:szCs w:val="28"/>
                <w:highlight w:val="none"/>
              </w:rPr>
            </w:pPr>
            <w:r>
              <w:rPr>
                <w:rFonts w:hint="eastAsia" w:ascii="宋体" w:hAnsi="宋体" w:cs="宋体"/>
                <w:color w:val="auto"/>
                <w:kern w:val="0"/>
                <w:szCs w:val="28"/>
                <w:highlight w:val="none"/>
              </w:rPr>
              <w:t>消息提醒：消息转发给其他用户的各项流程中，用户等待中会接受即时通讯消息提醒。</w:t>
            </w:r>
          </w:p>
          <w:p>
            <w:pPr>
              <w:spacing w:line="320" w:lineRule="exact"/>
              <w:ind w:firstLine="420" w:firstLineChars="200"/>
              <w:rPr>
                <w:rFonts w:ascii="宋体" w:hAnsi="宋体"/>
                <w:color w:val="auto"/>
                <w:szCs w:val="21"/>
                <w:highlight w:val="none"/>
              </w:rPr>
            </w:pPr>
            <w:r>
              <w:rPr>
                <w:rFonts w:hint="eastAsia" w:ascii="宋体" w:hAnsi="宋体" w:cs="宋体"/>
                <w:color w:val="auto"/>
                <w:kern w:val="0"/>
                <w:szCs w:val="28"/>
                <w:highlight w:val="none"/>
              </w:rPr>
              <w:t>首页：首页增加通知公告的显示栏。</w:t>
            </w:r>
          </w:p>
          <w:p>
            <w:pPr>
              <w:spacing w:line="320" w:lineRule="exact"/>
              <w:ind w:firstLine="420" w:firstLineChars="200"/>
              <w:rPr>
                <w:rFonts w:ascii="宋体" w:hAnsi="宋体"/>
                <w:color w:val="auto"/>
                <w:szCs w:val="21"/>
                <w:highlight w:val="none"/>
              </w:rPr>
            </w:pPr>
            <w:r>
              <w:rPr>
                <w:rFonts w:hint="eastAsia" w:ascii="宋体" w:hAnsi="宋体"/>
                <w:color w:val="auto"/>
                <w:szCs w:val="21"/>
                <w:highlight w:val="none"/>
              </w:rPr>
              <w:t>系统应具备良好扩展性，在使用单位、使用用户不断增加时，通过新增硬件设备（主机、存储），实现平台性能稳定，应用响应迅速不卡顿。使用单位可以通过平台定制单位个性应用（后简称第三方应用）。平台为第三方应用提供统一的用户管理、应用管理。单位用户可以在平台注册第三方应用，通过平台提供的接口，以多种方式接入。</w:t>
            </w:r>
          </w:p>
          <w:p>
            <w:pPr>
              <w:spacing w:line="320" w:lineRule="exact"/>
              <w:ind w:firstLine="420" w:firstLineChars="200"/>
              <w:rPr>
                <w:rFonts w:ascii="宋体" w:hAnsi="宋体"/>
                <w:color w:val="auto"/>
                <w:szCs w:val="21"/>
                <w:highlight w:val="none"/>
              </w:rPr>
            </w:pPr>
            <w:r>
              <w:rPr>
                <w:rFonts w:hint="eastAsia" w:ascii="宋体" w:hAnsi="宋体"/>
                <w:color w:val="auto"/>
                <w:szCs w:val="21"/>
                <w:highlight w:val="none"/>
              </w:rPr>
              <w:t>四</w:t>
            </w:r>
            <w:r>
              <w:rPr>
                <w:rFonts w:ascii="宋体" w:hAnsi="宋体"/>
                <w:color w:val="auto"/>
                <w:szCs w:val="21"/>
                <w:highlight w:val="none"/>
              </w:rPr>
              <w:t>、其他要求</w:t>
            </w:r>
          </w:p>
          <w:p>
            <w:pPr>
              <w:ind w:firstLine="422" w:firstLineChars="200"/>
              <w:rPr>
                <w:color w:val="auto"/>
                <w:highlight w:val="none"/>
              </w:rPr>
            </w:pPr>
            <w:r>
              <w:rPr>
                <w:rFonts w:hint="eastAsia" w:ascii="宋体" w:hAnsi="宋体"/>
                <w:b/>
                <w:color w:val="auto"/>
                <w:szCs w:val="21"/>
                <w:highlight w:val="none"/>
              </w:rPr>
              <w:t>★</w:t>
            </w:r>
            <w:r>
              <w:rPr>
                <w:rFonts w:hint="eastAsia" w:ascii="宋体" w:hAnsi="宋体"/>
                <w:color w:val="auto"/>
                <w:szCs w:val="21"/>
                <w:highlight w:val="none"/>
              </w:rPr>
              <w:t>1、</w:t>
            </w:r>
            <w:r>
              <w:rPr>
                <w:rFonts w:hint="eastAsia"/>
                <w:color w:val="auto"/>
                <w:highlight w:val="none"/>
              </w:rPr>
              <w:t>中标供应商须在服务期内分别对采购人及项目各使用单位免费开展不少于</w:t>
            </w:r>
            <w:r>
              <w:rPr>
                <w:color w:val="auto"/>
                <w:highlight w:val="none"/>
              </w:rPr>
              <w:t>1</w:t>
            </w:r>
            <w:r>
              <w:rPr>
                <w:rFonts w:hint="eastAsia"/>
                <w:color w:val="auto"/>
                <w:highlight w:val="none"/>
              </w:rPr>
              <w:t>次集中现场培训（具体培训人数、时间及地点由采购人确定），并在项目实施和维护过程中根据实际工作要求对相关人员进行免费技术指导。</w:t>
            </w:r>
          </w:p>
          <w:p>
            <w:pPr>
              <w:spacing w:line="320" w:lineRule="exact"/>
              <w:ind w:firstLine="420" w:firstLineChars="200"/>
              <w:rPr>
                <w:rFonts w:ascii="宋体" w:hAnsi="宋体"/>
                <w:color w:val="auto"/>
                <w:szCs w:val="21"/>
                <w:highlight w:val="none"/>
              </w:rPr>
            </w:pPr>
            <w:r>
              <w:rPr>
                <w:rFonts w:hint="eastAsia" w:ascii="宋体" w:hAnsi="宋体"/>
                <w:color w:val="auto"/>
                <w:szCs w:val="21"/>
                <w:highlight w:val="none"/>
              </w:rPr>
              <w:t>2、系统验收时以</w:t>
            </w:r>
            <w:r>
              <w:rPr>
                <w:rFonts w:ascii="宋体" w:hAnsi="宋体"/>
                <w:color w:val="auto"/>
                <w:szCs w:val="21"/>
                <w:highlight w:val="none"/>
              </w:rPr>
              <w:t>上</w:t>
            </w:r>
            <w:r>
              <w:rPr>
                <w:rFonts w:hint="eastAsia" w:ascii="宋体" w:hAnsi="宋体"/>
                <w:color w:val="auto"/>
                <w:szCs w:val="21"/>
                <w:highlight w:val="none"/>
              </w:rPr>
              <w:t>基础功能、</w:t>
            </w:r>
            <w:r>
              <w:rPr>
                <w:rFonts w:ascii="宋体" w:hAnsi="宋体"/>
                <w:color w:val="auto"/>
                <w:szCs w:val="21"/>
                <w:highlight w:val="none"/>
              </w:rPr>
              <w:t>应用模块和个性化需求</w:t>
            </w:r>
            <w:r>
              <w:rPr>
                <w:rFonts w:hint="eastAsia" w:ascii="宋体" w:hAnsi="宋体"/>
                <w:color w:val="auto"/>
                <w:szCs w:val="21"/>
                <w:highlight w:val="none"/>
              </w:rPr>
              <w:t>的服务内容为准。此外，服务承接人与购买主体商议后，可根据实际情况调整具体服务内容。</w:t>
            </w:r>
          </w:p>
          <w:p>
            <w:pPr>
              <w:spacing w:line="320" w:lineRule="exact"/>
              <w:ind w:firstLine="420" w:firstLineChars="200"/>
              <w:rPr>
                <w:rFonts w:ascii="宋体" w:hAnsi="宋体"/>
                <w:color w:val="auto"/>
                <w:szCs w:val="21"/>
                <w:highlight w:val="none"/>
              </w:rPr>
            </w:pPr>
            <w:r>
              <w:rPr>
                <w:rFonts w:hint="eastAsia" w:ascii="宋体" w:hAnsi="宋体"/>
                <w:color w:val="auto"/>
                <w:szCs w:val="21"/>
                <w:highlight w:val="none"/>
              </w:rPr>
              <w:t>3、投标人需对APP端</w:t>
            </w:r>
            <w:r>
              <w:rPr>
                <w:rFonts w:hint="eastAsia"/>
                <w:color w:val="auto"/>
                <w:szCs w:val="21"/>
                <w:highlight w:val="none"/>
              </w:rPr>
              <w:t>手写签批、在线编辑、即时通讯等重点功能进行现场演示。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商务条款</w:t>
            </w:r>
          </w:p>
        </w:tc>
        <w:tc>
          <w:tcPr>
            <w:tcW w:w="9158" w:type="dxa"/>
            <w:gridSpan w:val="3"/>
            <w:tcBorders>
              <w:top w:val="single" w:color="auto" w:sz="4" w:space="0"/>
              <w:left w:val="single" w:color="auto" w:sz="4" w:space="0"/>
              <w:bottom w:val="single" w:color="auto" w:sz="4" w:space="0"/>
              <w:right w:val="single" w:color="auto" w:sz="4" w:space="0"/>
            </w:tcBorders>
          </w:tcPr>
          <w:p>
            <w:pPr>
              <w:widowControl/>
              <w:shd w:val="clear" w:color="auto" w:fill="FFFFFF"/>
              <w:spacing w:line="330" w:lineRule="atLeast"/>
              <w:rPr>
                <w:rFonts w:ascii="宋体" w:hAnsi="宋体"/>
                <w:color w:val="auto"/>
                <w:szCs w:val="21"/>
                <w:highlight w:val="none"/>
              </w:rPr>
            </w:pPr>
            <w:r>
              <w:rPr>
                <w:rFonts w:hint="eastAsia" w:ascii="宋体" w:hAnsi="宋体"/>
                <w:b/>
                <w:bCs/>
                <w:color w:val="auto"/>
                <w:szCs w:val="21"/>
                <w:highlight w:val="none"/>
              </w:rPr>
              <w:t>一、合同签订期</w:t>
            </w:r>
            <w:r>
              <w:rPr>
                <w:rFonts w:hint="eastAsia" w:ascii="宋体" w:hAnsi="宋体"/>
                <w:color w:val="auto"/>
                <w:szCs w:val="21"/>
                <w:highlight w:val="none"/>
              </w:rPr>
              <w:t>：自中标通知书发出之日起</w:t>
            </w:r>
            <w:r>
              <w:rPr>
                <w:rFonts w:ascii="宋体" w:hAnsi="宋体"/>
                <w:color w:val="auto"/>
                <w:szCs w:val="21"/>
                <w:highlight w:val="none"/>
                <w:u w:val="single"/>
              </w:rPr>
              <w:t>7</w:t>
            </w:r>
            <w:r>
              <w:rPr>
                <w:rFonts w:hint="eastAsia" w:ascii="宋体" w:hAnsi="宋体"/>
                <w:color w:val="auto"/>
                <w:szCs w:val="21"/>
                <w:highlight w:val="none"/>
              </w:rPr>
              <w:t>日内。</w:t>
            </w:r>
          </w:p>
          <w:p>
            <w:pPr>
              <w:spacing w:line="360" w:lineRule="auto"/>
              <w:rPr>
                <w:rFonts w:ascii="宋体" w:hAnsi="宋体"/>
                <w:bCs/>
                <w:color w:val="auto"/>
                <w:szCs w:val="21"/>
                <w:highlight w:val="none"/>
              </w:rPr>
            </w:pPr>
            <w:r>
              <w:rPr>
                <w:rFonts w:hint="eastAsia" w:ascii="宋体" w:hAnsi="宋体"/>
                <w:b/>
                <w:color w:val="auto"/>
                <w:szCs w:val="21"/>
                <w:highlight w:val="none"/>
              </w:rPr>
              <w:t>★</w:t>
            </w:r>
            <w:r>
              <w:rPr>
                <w:rFonts w:hint="eastAsia" w:ascii="宋体" w:hAnsi="宋体"/>
                <w:b/>
                <w:bCs/>
                <w:color w:val="auto"/>
                <w:szCs w:val="21"/>
                <w:highlight w:val="none"/>
              </w:rPr>
              <w:t>二、提交服务成果时间</w:t>
            </w:r>
            <w:r>
              <w:rPr>
                <w:rFonts w:hint="eastAsia" w:ascii="宋体" w:hAnsi="宋体"/>
                <w:bCs/>
                <w:color w:val="auto"/>
                <w:szCs w:val="21"/>
                <w:highlight w:val="none"/>
              </w:rPr>
              <w:t>：</w:t>
            </w:r>
            <w:r>
              <w:rPr>
                <w:rFonts w:hint="eastAsia"/>
                <w:color w:val="auto"/>
                <w:highlight w:val="none"/>
              </w:rPr>
              <w:t>自合同签订之日起2</w:t>
            </w:r>
            <w:r>
              <w:rPr>
                <w:color w:val="auto"/>
                <w:highlight w:val="none"/>
              </w:rPr>
              <w:t>0</w:t>
            </w:r>
            <w:r>
              <w:rPr>
                <w:rFonts w:hint="eastAsia"/>
                <w:color w:val="auto"/>
                <w:highlight w:val="none"/>
              </w:rPr>
              <w:t>个日历日内交付第一批建设成果：完成本系统的深化设计方案、交付本项目各系统软件原型、系统全部软件开发、部署、上线试运行。</w:t>
            </w:r>
            <w:r>
              <w:rPr>
                <w:rFonts w:hint="eastAsia" w:ascii="宋体" w:hAnsi="宋体"/>
                <w:bCs/>
                <w:color w:val="auto"/>
                <w:szCs w:val="21"/>
                <w:highlight w:val="none"/>
              </w:rPr>
              <w:t>项目其余建设内容于合同签订之日起80</w:t>
            </w:r>
            <w:r>
              <w:rPr>
                <w:rFonts w:hint="eastAsia"/>
                <w:color w:val="auto"/>
                <w:highlight w:val="none"/>
              </w:rPr>
              <w:t>个日历日</w:t>
            </w:r>
            <w:r>
              <w:rPr>
                <w:rFonts w:hint="eastAsia" w:ascii="宋体" w:hAnsi="宋体"/>
                <w:bCs/>
                <w:color w:val="auto"/>
                <w:szCs w:val="21"/>
                <w:highlight w:val="none"/>
              </w:rPr>
              <w:t>内全部交付：</w:t>
            </w:r>
            <w:r>
              <w:rPr>
                <w:rFonts w:hint="eastAsia"/>
                <w:color w:val="auto"/>
                <w:highlight w:val="none"/>
              </w:rPr>
              <w:t>通过相关测试、完成</w:t>
            </w:r>
            <w:r>
              <w:rPr>
                <w:color w:val="auto"/>
                <w:highlight w:val="none"/>
              </w:rPr>
              <w:t>考核</w:t>
            </w:r>
            <w:r>
              <w:rPr>
                <w:rFonts w:hint="eastAsia"/>
                <w:color w:val="auto"/>
                <w:highlight w:val="none"/>
              </w:rPr>
              <w:t>验收并</w:t>
            </w:r>
            <w:r>
              <w:rPr>
                <w:color w:val="auto"/>
                <w:highlight w:val="none"/>
              </w:rPr>
              <w:t>提供服务</w:t>
            </w:r>
            <w:r>
              <w:rPr>
                <w:rFonts w:hint="eastAsia"/>
                <w:color w:val="auto"/>
                <w:highlight w:val="none"/>
              </w:rPr>
              <w:t>。</w:t>
            </w:r>
          </w:p>
          <w:p>
            <w:pPr>
              <w:widowControl/>
              <w:shd w:val="clear" w:color="auto" w:fill="FFFFFF"/>
              <w:spacing w:line="330" w:lineRule="atLeast"/>
              <w:rPr>
                <w:rFonts w:ascii="宋体" w:hAnsi="宋体"/>
                <w:color w:val="auto"/>
                <w:szCs w:val="21"/>
                <w:highlight w:val="none"/>
              </w:rPr>
            </w:pPr>
            <w:bookmarkStart w:id="35" w:name="OLE_LINK3"/>
            <w:bookmarkStart w:id="36" w:name="OLE_LINK2"/>
            <w:r>
              <w:rPr>
                <w:rFonts w:hint="eastAsia" w:ascii="宋体" w:hAnsi="宋体"/>
                <w:b/>
                <w:color w:val="auto"/>
                <w:szCs w:val="21"/>
                <w:highlight w:val="none"/>
              </w:rPr>
              <w:t>★</w:t>
            </w:r>
            <w:bookmarkEnd w:id="35"/>
            <w:bookmarkEnd w:id="36"/>
            <w:r>
              <w:rPr>
                <w:rFonts w:hint="eastAsia" w:ascii="宋体" w:hAnsi="宋体"/>
                <w:b/>
                <w:bCs/>
                <w:color w:val="auto"/>
                <w:szCs w:val="21"/>
                <w:highlight w:val="none"/>
              </w:rPr>
              <w:t>三</w:t>
            </w:r>
            <w:r>
              <w:rPr>
                <w:rFonts w:ascii="宋体" w:hAnsi="宋体"/>
                <w:b/>
                <w:bCs/>
                <w:color w:val="auto"/>
                <w:szCs w:val="21"/>
                <w:highlight w:val="none"/>
              </w:rPr>
              <w:t>、</w:t>
            </w:r>
            <w:r>
              <w:rPr>
                <w:rFonts w:hint="eastAsia" w:ascii="宋体" w:hAnsi="宋体"/>
                <w:b/>
                <w:bCs/>
                <w:color w:val="auto"/>
                <w:szCs w:val="21"/>
                <w:highlight w:val="none"/>
              </w:rPr>
              <w:t>服务期限</w:t>
            </w:r>
            <w:r>
              <w:rPr>
                <w:rFonts w:hint="eastAsia" w:ascii="宋体" w:hAnsi="宋体"/>
                <w:color w:val="auto"/>
                <w:szCs w:val="21"/>
                <w:highlight w:val="none"/>
              </w:rPr>
              <w:t>：</w:t>
            </w:r>
            <w:r>
              <w:rPr>
                <w:rFonts w:hint="eastAsia"/>
                <w:color w:val="auto"/>
                <w:highlight w:val="none"/>
              </w:rPr>
              <w:t>服务期</w:t>
            </w:r>
            <w:r>
              <w:rPr>
                <w:color w:val="auto"/>
                <w:highlight w:val="none"/>
              </w:rPr>
              <w:t>2</w:t>
            </w:r>
            <w:r>
              <w:rPr>
                <w:rFonts w:hint="eastAsia"/>
                <w:color w:val="auto"/>
                <w:highlight w:val="none"/>
              </w:rPr>
              <w:t>年（自完成系统部署并通过试运行及考核验收之日起算，以365天为一年）。</w:t>
            </w:r>
          </w:p>
          <w:p>
            <w:pPr>
              <w:spacing w:line="360" w:lineRule="auto"/>
              <w:rPr>
                <w:rFonts w:ascii="宋体" w:hAnsi="宋体" w:cs="宋体"/>
                <w:color w:val="auto"/>
                <w:szCs w:val="21"/>
                <w:highlight w:val="none"/>
              </w:rPr>
            </w:pPr>
            <w:r>
              <w:rPr>
                <w:rFonts w:hint="eastAsia" w:ascii="宋体" w:hAnsi="宋体"/>
                <w:b/>
                <w:bCs/>
                <w:color w:val="auto"/>
                <w:szCs w:val="21"/>
                <w:highlight w:val="none"/>
              </w:rPr>
              <w:t>四、服务地点</w:t>
            </w:r>
            <w:r>
              <w:rPr>
                <w:rFonts w:hint="eastAsia" w:ascii="宋体" w:hAnsi="宋体"/>
                <w:bCs/>
                <w:color w:val="auto"/>
                <w:szCs w:val="21"/>
                <w:highlight w:val="none"/>
              </w:rPr>
              <w:t>：</w:t>
            </w:r>
            <w:r>
              <w:rPr>
                <w:rFonts w:hint="eastAsia" w:ascii="宋体" w:hAnsi="宋体"/>
                <w:bCs/>
                <w:color w:val="auto"/>
                <w:szCs w:val="21"/>
                <w:highlight w:val="none"/>
                <w:u w:val="single"/>
              </w:rPr>
              <w:t>南宁市</w:t>
            </w:r>
            <w:r>
              <w:rPr>
                <w:rFonts w:hint="eastAsia" w:ascii="宋体" w:hAnsi="宋体" w:cs="宋体"/>
                <w:color w:val="auto"/>
                <w:szCs w:val="21"/>
                <w:highlight w:val="none"/>
              </w:rPr>
              <w:t>（采购人指定地点）</w:t>
            </w:r>
          </w:p>
          <w:p>
            <w:pPr>
              <w:spacing w:line="360" w:lineRule="auto"/>
              <w:rPr>
                <w:rFonts w:ascii="宋体" w:hAnsi="宋体" w:cs="宋体"/>
                <w:b/>
                <w:bCs/>
                <w:color w:val="auto"/>
                <w:szCs w:val="21"/>
                <w:highlight w:val="none"/>
              </w:rPr>
            </w:pPr>
            <w:r>
              <w:rPr>
                <w:rFonts w:hint="eastAsia" w:ascii="宋体" w:hAnsi="宋体"/>
                <w:b/>
                <w:color w:val="auto"/>
                <w:szCs w:val="21"/>
                <w:highlight w:val="none"/>
              </w:rPr>
              <w:t>五</w:t>
            </w:r>
            <w:r>
              <w:rPr>
                <w:rFonts w:hint="eastAsia" w:ascii="宋体" w:hAnsi="宋体"/>
                <w:b/>
                <w:bCs/>
                <w:color w:val="auto"/>
                <w:szCs w:val="21"/>
                <w:highlight w:val="none"/>
              </w:rPr>
              <w:t>、</w:t>
            </w:r>
            <w:r>
              <w:rPr>
                <w:rFonts w:hint="eastAsia" w:ascii="宋体" w:hAnsi="宋体" w:cs="宋体"/>
                <w:b/>
                <w:bCs/>
                <w:color w:val="auto"/>
                <w:szCs w:val="21"/>
                <w:highlight w:val="none"/>
              </w:rPr>
              <w:t>服务要求：</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质量保证期：自</w:t>
            </w:r>
            <w:r>
              <w:rPr>
                <w:rFonts w:hint="eastAsia"/>
                <w:color w:val="auto"/>
                <w:highlight w:val="none"/>
              </w:rPr>
              <w:t>完成系统部署并通过试运行及考核验收</w:t>
            </w:r>
            <w:r>
              <w:rPr>
                <w:rFonts w:hint="eastAsia" w:ascii="宋体" w:hAnsi="宋体" w:cs="宋体"/>
                <w:color w:val="auto"/>
                <w:szCs w:val="21"/>
                <w:highlight w:val="none"/>
              </w:rPr>
              <w:t>之日起至服务期限届满之日止。</w:t>
            </w:r>
          </w:p>
          <w:p>
            <w:pPr>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质保期内</w:t>
            </w:r>
            <w:r>
              <w:rPr>
                <w:rFonts w:hint="eastAsia"/>
                <w:color w:val="auto"/>
                <w:highlight w:val="none"/>
              </w:rPr>
              <w:t>中标供应商</w:t>
            </w:r>
            <w:r>
              <w:rPr>
                <w:rFonts w:hint="eastAsia" w:ascii="宋体" w:hAnsi="宋体" w:cs="宋体"/>
                <w:color w:val="auto"/>
                <w:szCs w:val="21"/>
                <w:highlight w:val="none"/>
              </w:rPr>
              <w:t>免费进行业务系统升级</w:t>
            </w:r>
            <w:r>
              <w:rPr>
                <w:rFonts w:ascii="宋体" w:hAnsi="宋体" w:cs="宋体"/>
                <w:color w:val="auto"/>
                <w:szCs w:val="21"/>
                <w:highlight w:val="none"/>
              </w:rPr>
              <w:t>、</w:t>
            </w:r>
            <w:r>
              <w:rPr>
                <w:rFonts w:hint="eastAsia" w:ascii="宋体" w:hAnsi="宋体" w:cs="宋体"/>
                <w:color w:val="auto"/>
                <w:szCs w:val="21"/>
                <w:highlight w:val="none"/>
              </w:rPr>
              <w:t>完善和优化。</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hint="eastAsia"/>
                <w:color w:val="auto"/>
                <w:highlight w:val="none"/>
              </w:rPr>
              <w:t>中标供应商须承诺在重大节日、重大活动期间提供服务保障工作。</w:t>
            </w:r>
          </w:p>
          <w:p>
            <w:pPr>
              <w:ind w:firstLine="420" w:firstLineChars="200"/>
              <w:rPr>
                <w:color w:val="auto"/>
                <w:highlight w:val="none"/>
              </w:rPr>
            </w:pPr>
            <w:r>
              <w:rPr>
                <w:rFonts w:hint="eastAsia"/>
                <w:color w:val="auto"/>
                <w:highlight w:val="none"/>
              </w:rPr>
              <w:t>4、供应商须在投标时提供详细的技术方案、实施方案及</w:t>
            </w:r>
            <w:r>
              <w:rPr>
                <w:color w:val="auto"/>
                <w:highlight w:val="none"/>
              </w:rPr>
              <w:t>售后服务方案</w:t>
            </w:r>
            <w:r>
              <w:rPr>
                <w:rFonts w:hint="eastAsia"/>
                <w:color w:val="auto"/>
                <w:highlight w:val="none"/>
              </w:rPr>
              <w:t>，中标供应商应在此基础上结合对实际情况编制完整全面、符合实际、合理可行的项目深化设计方案，方案通过采购人审核通过后方可实施。</w:t>
            </w:r>
          </w:p>
          <w:p>
            <w:pPr>
              <w:ind w:firstLine="420" w:firstLineChars="200"/>
              <w:rPr>
                <w:color w:val="auto"/>
                <w:highlight w:val="none"/>
              </w:rPr>
            </w:pPr>
            <w:r>
              <w:rPr>
                <w:rFonts w:hint="eastAsia"/>
                <w:color w:val="auto"/>
                <w:highlight w:val="none"/>
              </w:rPr>
              <w:t>5、中标供应商在提供服务前应提供实施过程的工作内容和方法、工作日程表等进度计划方案，并在征得采购人的认可和同意后，中标供应商应立即开始严格按照进度计划方案执行。进度计划方案至少应包括到项目组人员、提供服务具体内容、应用系统上线、技术培训等等内容。自实施工作一开始，采购人有权指定本单位技术人员参与中标供应商的实施、诊断及解决遇到的问题等各项工作。</w:t>
            </w:r>
          </w:p>
          <w:p>
            <w:pPr>
              <w:ind w:firstLine="422" w:firstLineChars="200"/>
              <w:rPr>
                <w:color w:val="auto"/>
                <w:highlight w:val="none"/>
              </w:rPr>
            </w:pPr>
            <w:r>
              <w:rPr>
                <w:rFonts w:hint="eastAsia" w:ascii="宋体" w:hAnsi="宋体"/>
                <w:b/>
                <w:color w:val="auto"/>
                <w:szCs w:val="21"/>
                <w:highlight w:val="none"/>
              </w:rPr>
              <w:t>★</w:t>
            </w:r>
            <w:r>
              <w:rPr>
                <w:rFonts w:hint="eastAsia"/>
                <w:color w:val="auto"/>
                <w:highlight w:val="none"/>
              </w:rPr>
              <w:t>6、本项目软件开发要求在南宁市电子政务云平台的基础上，结合本项目建设需求进行系统开发。同时，提供的</w:t>
            </w:r>
            <w:r>
              <w:rPr>
                <w:color w:val="auto"/>
                <w:highlight w:val="none"/>
              </w:rPr>
              <w:t>服务</w:t>
            </w:r>
            <w:r>
              <w:rPr>
                <w:rFonts w:hint="eastAsia"/>
                <w:color w:val="auto"/>
                <w:highlight w:val="none"/>
              </w:rPr>
              <w:t>必须达到采购方关于功能性要求和易用性评价标准。各功能模块达到采购人的要求，如达不到要求，需进行整改完善。</w:t>
            </w:r>
          </w:p>
          <w:p>
            <w:pPr>
              <w:ind w:firstLine="420" w:firstLineChars="200"/>
              <w:rPr>
                <w:color w:val="auto"/>
                <w:szCs w:val="21"/>
                <w:highlight w:val="none"/>
              </w:rPr>
            </w:pPr>
            <w:r>
              <w:rPr>
                <w:rFonts w:hint="eastAsia" w:ascii="宋体" w:hAnsi="宋体" w:cs="宋体"/>
                <w:color w:val="auto"/>
                <w:szCs w:val="21"/>
                <w:highlight w:val="none"/>
              </w:rPr>
              <w:t>★</w:t>
            </w:r>
            <w:r>
              <w:rPr>
                <w:color w:val="auto"/>
                <w:szCs w:val="21"/>
                <w:highlight w:val="none"/>
              </w:rPr>
              <w:t>7</w:t>
            </w:r>
            <w:r>
              <w:rPr>
                <w:rFonts w:hint="eastAsia"/>
                <w:color w:val="auto"/>
                <w:szCs w:val="21"/>
                <w:highlight w:val="none"/>
              </w:rPr>
              <w:t>、</w:t>
            </w:r>
            <w:r>
              <w:rPr>
                <w:rFonts w:hint="eastAsia"/>
                <w:color w:val="auto"/>
                <w:highlight w:val="none"/>
              </w:rPr>
              <w:t>中标</w:t>
            </w:r>
            <w:r>
              <w:rPr>
                <w:rFonts w:hint="eastAsia" w:ascii="宋体" w:hAnsi="宋体" w:cs="宋体"/>
                <w:color w:val="auto"/>
                <w:szCs w:val="21"/>
                <w:highlight w:val="none"/>
              </w:rPr>
              <w:t>供应商提供</w:t>
            </w:r>
            <w:r>
              <w:rPr>
                <w:rFonts w:ascii="宋体" w:hAnsi="宋体" w:cs="宋体"/>
                <w:color w:val="auto"/>
                <w:szCs w:val="21"/>
                <w:highlight w:val="none"/>
              </w:rPr>
              <w:t>7*24小时通过远程、电话、E-mail等方式为用户提供完善技术支持服</w:t>
            </w:r>
            <w:r>
              <w:rPr>
                <w:rFonts w:hint="eastAsia" w:ascii="宋体" w:hAnsi="宋体" w:cs="宋体"/>
                <w:color w:val="auto"/>
                <w:szCs w:val="21"/>
                <w:highlight w:val="none"/>
              </w:rPr>
              <w:t>务；</w:t>
            </w:r>
          </w:p>
          <w:p>
            <w:pPr>
              <w:ind w:firstLine="420" w:firstLineChars="200"/>
              <w:rPr>
                <w:color w:val="auto"/>
                <w:highlight w:val="none"/>
              </w:rPr>
            </w:pPr>
            <w:r>
              <w:rPr>
                <w:rFonts w:hint="eastAsia" w:ascii="宋体" w:hAnsi="宋体" w:cs="宋体"/>
                <w:color w:val="auto"/>
                <w:szCs w:val="21"/>
                <w:highlight w:val="none"/>
              </w:rPr>
              <w:t>★</w:t>
            </w:r>
            <w:r>
              <w:rPr>
                <w:color w:val="auto"/>
                <w:highlight w:val="none"/>
              </w:rPr>
              <w:t>8</w:t>
            </w:r>
            <w:r>
              <w:rPr>
                <w:rFonts w:hint="eastAsia"/>
                <w:color w:val="auto"/>
                <w:highlight w:val="none"/>
              </w:rPr>
              <w:t>、故障</w:t>
            </w:r>
            <w:r>
              <w:rPr>
                <w:color w:val="auto"/>
                <w:highlight w:val="none"/>
              </w:rPr>
              <w:t>响应时间：</w:t>
            </w:r>
            <w:r>
              <w:rPr>
                <w:rFonts w:hint="eastAsia"/>
                <w:color w:val="auto"/>
                <w:highlight w:val="none"/>
              </w:rPr>
              <w:t>系统出现故障时，接到处理问题通知后，中标供应商技术人员</w:t>
            </w:r>
            <w:r>
              <w:rPr>
                <w:color w:val="auto"/>
                <w:highlight w:val="none"/>
              </w:rPr>
              <w:t>3</w:t>
            </w:r>
            <w:r>
              <w:rPr>
                <w:rFonts w:hint="eastAsia"/>
                <w:color w:val="auto"/>
                <w:highlight w:val="none"/>
              </w:rPr>
              <w:t>0分钟内做出响应并开始处理，对系统故障进行排查</w:t>
            </w:r>
            <w:r>
              <w:rPr>
                <w:color w:val="auto"/>
                <w:highlight w:val="none"/>
              </w:rPr>
              <w:t>处理</w:t>
            </w:r>
            <w:r>
              <w:rPr>
                <w:rFonts w:hint="eastAsia"/>
                <w:color w:val="auto"/>
                <w:highlight w:val="none"/>
              </w:rPr>
              <w:t>；简单</w:t>
            </w:r>
            <w:r>
              <w:rPr>
                <w:color w:val="auto"/>
                <w:highlight w:val="none"/>
              </w:rPr>
              <w:t>故障</w:t>
            </w:r>
            <w:r>
              <w:rPr>
                <w:rFonts w:hint="eastAsia"/>
                <w:color w:val="auto"/>
                <w:highlight w:val="none"/>
              </w:rPr>
              <w:t>4小时</w:t>
            </w:r>
            <w:r>
              <w:rPr>
                <w:color w:val="auto"/>
                <w:highlight w:val="none"/>
              </w:rPr>
              <w:t>内</w:t>
            </w:r>
            <w:r>
              <w:rPr>
                <w:rFonts w:hint="eastAsia"/>
                <w:color w:val="auto"/>
                <w:highlight w:val="none"/>
              </w:rPr>
              <w:t>解决</w:t>
            </w:r>
            <w:r>
              <w:rPr>
                <w:color w:val="auto"/>
                <w:highlight w:val="none"/>
              </w:rPr>
              <w:t>；</w:t>
            </w:r>
            <w:r>
              <w:rPr>
                <w:rFonts w:hint="eastAsia"/>
                <w:color w:val="auto"/>
                <w:highlight w:val="none"/>
              </w:rPr>
              <w:t>涉及系统紧急故障，系统调优问题需在</w:t>
            </w:r>
            <w:r>
              <w:rPr>
                <w:color w:val="auto"/>
                <w:highlight w:val="none"/>
              </w:rPr>
              <w:t>8</w:t>
            </w:r>
            <w:r>
              <w:rPr>
                <w:rFonts w:hint="eastAsia"/>
                <w:color w:val="auto"/>
                <w:highlight w:val="none"/>
              </w:rPr>
              <w:t>小时内解决故障并恢复系统运行。若中标供应商如未能在</w:t>
            </w:r>
            <w:r>
              <w:rPr>
                <w:color w:val="auto"/>
                <w:highlight w:val="none"/>
              </w:rPr>
              <w:t>8</w:t>
            </w:r>
            <w:r>
              <w:rPr>
                <w:rFonts w:hint="eastAsia"/>
                <w:color w:val="auto"/>
                <w:highlight w:val="none"/>
              </w:rPr>
              <w:t>小时内及时解决处理故障，恢复系统运行，影响了采购人业务工作开展，所有损失及后果均由中标供应商承担。</w:t>
            </w:r>
          </w:p>
          <w:p>
            <w:pPr>
              <w:ind w:firstLine="420" w:firstLineChars="200"/>
              <w:rPr>
                <w:color w:val="auto"/>
                <w:highlight w:val="none"/>
              </w:rPr>
            </w:pPr>
            <w:r>
              <w:rPr>
                <w:rFonts w:hint="eastAsia" w:ascii="宋体" w:hAnsi="宋体" w:cs="宋体"/>
                <w:color w:val="auto"/>
                <w:szCs w:val="21"/>
                <w:highlight w:val="none"/>
              </w:rPr>
              <w:t>★</w:t>
            </w:r>
            <w:r>
              <w:rPr>
                <w:color w:val="auto"/>
                <w:highlight w:val="none"/>
              </w:rPr>
              <w:t>9</w:t>
            </w:r>
            <w:r>
              <w:rPr>
                <w:rFonts w:hint="eastAsia"/>
                <w:color w:val="auto"/>
                <w:highlight w:val="none"/>
              </w:rPr>
              <w:t>、服务期工作主要包括系统服务、服务考核及验收等。在服务期内，当行业标准、技术规范发生改变时，中标供应商须免费调整相关内容，</w:t>
            </w:r>
            <w:r>
              <w:rPr>
                <w:color w:val="auto"/>
                <w:highlight w:val="none"/>
              </w:rPr>
              <w:t>配合采购</w:t>
            </w:r>
            <w:r>
              <w:rPr>
                <w:rFonts w:hint="eastAsia"/>
                <w:color w:val="auto"/>
                <w:highlight w:val="none"/>
              </w:rPr>
              <w:t>人</w:t>
            </w:r>
            <w:r>
              <w:rPr>
                <w:color w:val="auto"/>
                <w:highlight w:val="none"/>
              </w:rPr>
              <w:t>完成相关任务</w:t>
            </w:r>
            <w:r>
              <w:rPr>
                <w:rFonts w:hint="eastAsia"/>
                <w:color w:val="auto"/>
                <w:highlight w:val="none"/>
              </w:rPr>
              <w:t>。</w:t>
            </w:r>
          </w:p>
          <w:p>
            <w:pPr>
              <w:ind w:firstLine="420" w:firstLineChars="200"/>
              <w:rPr>
                <w:color w:val="auto"/>
                <w:highlight w:val="none"/>
              </w:rPr>
            </w:pPr>
            <w:r>
              <w:rPr>
                <w:rFonts w:hint="eastAsia" w:ascii="宋体" w:hAnsi="宋体" w:cs="宋体"/>
                <w:color w:val="auto"/>
                <w:szCs w:val="21"/>
                <w:highlight w:val="none"/>
              </w:rPr>
              <w:t>★</w:t>
            </w:r>
            <w:r>
              <w:rPr>
                <w:color w:val="auto"/>
                <w:highlight w:val="none"/>
              </w:rPr>
              <w:t>10</w:t>
            </w:r>
            <w:r>
              <w:rPr>
                <w:rFonts w:hint="eastAsia"/>
                <w:color w:val="auto"/>
                <w:highlight w:val="none"/>
              </w:rPr>
              <w:t>、中标供应商每季度对系统运行状况进行1次的评估，并出具巡检报告。</w:t>
            </w:r>
          </w:p>
          <w:p>
            <w:pPr>
              <w:widowControl/>
              <w:shd w:val="clear" w:color="auto" w:fill="FFFFFF"/>
              <w:spacing w:line="330" w:lineRule="atLeast"/>
              <w:rPr>
                <w:rFonts w:ascii="宋体" w:hAnsi="宋体"/>
                <w:b/>
                <w:bCs/>
                <w:color w:val="auto"/>
                <w:szCs w:val="21"/>
                <w:highlight w:val="none"/>
              </w:rPr>
            </w:pPr>
            <w:r>
              <w:rPr>
                <w:rFonts w:hint="eastAsia" w:ascii="宋体" w:hAnsi="宋体" w:cs="宋体"/>
                <w:b/>
                <w:bCs/>
                <w:color w:val="auto"/>
                <w:szCs w:val="21"/>
                <w:highlight w:val="none"/>
              </w:rPr>
              <w:t>六、</w:t>
            </w:r>
            <w:r>
              <w:rPr>
                <w:rFonts w:hint="eastAsia" w:ascii="宋体" w:hAnsi="宋体"/>
                <w:b/>
                <w:bCs/>
                <w:color w:val="auto"/>
                <w:szCs w:val="21"/>
                <w:highlight w:val="none"/>
              </w:rPr>
              <w:t>服务人员要求：</w:t>
            </w:r>
          </w:p>
          <w:p>
            <w:pPr>
              <w:ind w:firstLine="420" w:firstLineChars="200"/>
              <w:rPr>
                <w:color w:val="auto"/>
                <w:highlight w:val="none"/>
              </w:rPr>
            </w:pPr>
            <w:r>
              <w:rPr>
                <w:rFonts w:hint="eastAsia" w:ascii="宋体" w:hAnsi="宋体" w:cs="宋体"/>
                <w:color w:val="auto"/>
                <w:szCs w:val="21"/>
                <w:highlight w:val="none"/>
              </w:rPr>
              <w:t>★</w:t>
            </w:r>
            <w:r>
              <w:rPr>
                <w:rFonts w:hint="eastAsia"/>
                <w:color w:val="auto"/>
                <w:szCs w:val="21"/>
                <w:highlight w:val="none"/>
              </w:rPr>
              <w:t>1、</w:t>
            </w:r>
            <w:r>
              <w:rPr>
                <w:rFonts w:hint="eastAsia"/>
                <w:color w:val="auto"/>
                <w:highlight w:val="none"/>
              </w:rPr>
              <w:t>中标供应商</w:t>
            </w:r>
            <w:r>
              <w:rPr>
                <w:rFonts w:hint="eastAsia"/>
                <w:color w:val="auto"/>
                <w:szCs w:val="21"/>
                <w:highlight w:val="none"/>
              </w:rPr>
              <w:t>服务期内提供至少5名</w:t>
            </w:r>
            <w:r>
              <w:rPr>
                <w:color w:val="auto"/>
                <w:szCs w:val="21"/>
                <w:highlight w:val="none"/>
              </w:rPr>
              <w:t>在职</w:t>
            </w:r>
            <w:r>
              <w:rPr>
                <w:rFonts w:hint="eastAsia"/>
                <w:color w:val="auto"/>
                <w:szCs w:val="21"/>
                <w:highlight w:val="none"/>
              </w:rPr>
              <w:t>固定</w:t>
            </w:r>
            <w:r>
              <w:rPr>
                <w:rFonts w:hint="eastAsia"/>
                <w:color w:val="auto"/>
                <w:highlight w:val="none"/>
              </w:rPr>
              <w:t>运维人员进行驻场服务（服务地点由采购人指定），提供</w:t>
            </w:r>
            <w:r>
              <w:rPr>
                <w:color w:val="auto"/>
                <w:highlight w:val="none"/>
              </w:rPr>
              <w:t>7</w:t>
            </w:r>
            <w:r>
              <w:rPr>
                <w:rFonts w:hint="eastAsia"/>
                <w:color w:val="auto"/>
                <w:highlight w:val="none"/>
              </w:rPr>
              <w:t>×</w:t>
            </w:r>
            <w:r>
              <w:rPr>
                <w:color w:val="auto"/>
                <w:highlight w:val="none"/>
              </w:rPr>
              <w:t>8</w:t>
            </w:r>
            <w:r>
              <w:rPr>
                <w:rFonts w:hint="eastAsia"/>
                <w:color w:val="auto"/>
                <w:highlight w:val="none"/>
              </w:rPr>
              <w:t>小时技术服务支持（响应时提供运维人员名册、最近一个季度或近半年连续三个月社保缴纳证明材料)。</w:t>
            </w:r>
          </w:p>
          <w:p>
            <w:pPr>
              <w:ind w:firstLine="420" w:firstLineChars="200"/>
              <w:rPr>
                <w:color w:val="auto"/>
                <w:highlight w:val="none"/>
              </w:rPr>
            </w:pPr>
            <w:r>
              <w:rPr>
                <w:rFonts w:hint="eastAsia"/>
                <w:color w:val="auto"/>
                <w:highlight w:val="none"/>
              </w:rPr>
              <w:t>2、驻场人员</w:t>
            </w:r>
            <w:r>
              <w:rPr>
                <w:color w:val="auto"/>
                <w:highlight w:val="none"/>
              </w:rPr>
              <w:t>和实施人员</w:t>
            </w:r>
            <w:r>
              <w:rPr>
                <w:rFonts w:hint="eastAsia"/>
                <w:color w:val="auto"/>
                <w:highlight w:val="none"/>
              </w:rPr>
              <w:t>必须与响应时一致，服务期间如有人员变动必须经过采购人审批许可，替换的人员所具备的资质不得低于原人员的资质。同时所有人员工作过程中所需要的一切工具、仪表设备、办公用品等均由中标供应商自行负责。</w:t>
            </w:r>
          </w:p>
          <w:p>
            <w:pPr>
              <w:ind w:firstLine="420" w:firstLineChars="200"/>
              <w:rPr>
                <w:color w:val="auto"/>
                <w:highlight w:val="none"/>
              </w:rPr>
            </w:pPr>
            <w:r>
              <w:rPr>
                <w:color w:val="auto"/>
                <w:highlight w:val="none"/>
              </w:rPr>
              <w:t>3</w:t>
            </w:r>
            <w:r>
              <w:rPr>
                <w:rFonts w:hint="eastAsia"/>
                <w:color w:val="auto"/>
                <w:highlight w:val="none"/>
              </w:rPr>
              <w:t>、中标供应商须安排不少于</w:t>
            </w:r>
            <w:r>
              <w:rPr>
                <w:color w:val="auto"/>
                <w:highlight w:val="none"/>
              </w:rPr>
              <w:t>10</w:t>
            </w:r>
            <w:r>
              <w:rPr>
                <w:rFonts w:hint="eastAsia"/>
                <w:color w:val="auto"/>
                <w:highlight w:val="none"/>
              </w:rPr>
              <w:t>人的技术团队驻采购人现场开展需求调研、系统部署、标准规范编制、数据分析处理等工作，且供应商必须在投标时提供详细的项目技术团队实施人员花名册。中标供应商在实施项目的过程中所派驻的实施人员身份及数量必须与投标时一致，采购人将现场核实。</w:t>
            </w:r>
          </w:p>
          <w:p>
            <w:pPr>
              <w:rPr>
                <w:b/>
                <w:color w:val="auto"/>
                <w:highlight w:val="none"/>
              </w:rPr>
            </w:pPr>
            <w:r>
              <w:rPr>
                <w:rFonts w:hint="eastAsia" w:ascii="宋体" w:hAnsi="宋体" w:cs="宋体"/>
                <w:b/>
                <w:bCs/>
                <w:color w:val="auto"/>
                <w:szCs w:val="21"/>
                <w:highlight w:val="none"/>
              </w:rPr>
              <w:t>七</w:t>
            </w:r>
            <w:r>
              <w:rPr>
                <w:rFonts w:hint="eastAsia"/>
                <w:b/>
                <w:color w:val="auto"/>
                <w:highlight w:val="none"/>
              </w:rPr>
              <w:t>、其他要求：</w:t>
            </w:r>
          </w:p>
          <w:p>
            <w:pPr>
              <w:spacing w:line="360" w:lineRule="auto"/>
              <w:ind w:firstLine="315" w:firstLineChars="150"/>
              <w:rPr>
                <w:rFonts w:ascii="宋体" w:hAnsi="宋体" w:cs="宋体"/>
                <w:b/>
                <w:bCs/>
                <w:color w:val="auto"/>
                <w:szCs w:val="21"/>
                <w:highlight w:val="none"/>
              </w:rPr>
            </w:pPr>
            <w:r>
              <w:rPr>
                <w:rFonts w:hint="eastAsia" w:ascii="宋体" w:hAnsi="宋体" w:cs="宋体"/>
                <w:color w:val="auto"/>
                <w:szCs w:val="21"/>
                <w:highlight w:val="none"/>
              </w:rPr>
              <w:t>★</w:t>
            </w:r>
            <w:r>
              <w:rPr>
                <w:rFonts w:hint="eastAsia" w:ascii="宋体" w:hAnsi="宋体" w:cs="宋体"/>
                <w:b/>
                <w:bCs/>
                <w:color w:val="auto"/>
                <w:szCs w:val="21"/>
                <w:highlight w:val="none"/>
              </w:rPr>
              <w:t>1、投标报价：</w:t>
            </w:r>
          </w:p>
          <w:p>
            <w:pPr>
              <w:ind w:firstLine="420" w:firstLineChars="200"/>
              <w:rPr>
                <w:color w:val="auto"/>
                <w:highlight w:val="none"/>
              </w:rPr>
            </w:pPr>
            <w:r>
              <w:rPr>
                <w:rFonts w:hint="eastAsia"/>
                <w:color w:val="auto"/>
                <w:highlight w:val="none"/>
              </w:rPr>
              <w:t>报价必须含以下部分，包括：</w:t>
            </w:r>
          </w:p>
          <w:p>
            <w:pPr>
              <w:ind w:firstLine="420" w:firstLineChars="200"/>
              <w:rPr>
                <w:color w:val="auto"/>
                <w:highlight w:val="none"/>
              </w:rPr>
            </w:pPr>
            <w:r>
              <w:rPr>
                <w:rFonts w:hint="eastAsia"/>
                <w:color w:val="auto"/>
                <w:highlight w:val="none"/>
              </w:rPr>
              <w:t>（</w:t>
            </w:r>
            <w:r>
              <w:rPr>
                <w:color w:val="auto"/>
                <w:highlight w:val="none"/>
              </w:rPr>
              <w:t>1</w:t>
            </w:r>
            <w:r>
              <w:rPr>
                <w:rFonts w:hint="eastAsia"/>
                <w:color w:val="auto"/>
                <w:highlight w:val="none"/>
              </w:rPr>
              <w:t>）服务的价格；</w:t>
            </w:r>
          </w:p>
          <w:p>
            <w:pPr>
              <w:ind w:firstLine="420" w:firstLineChars="200"/>
              <w:rPr>
                <w:color w:val="auto"/>
                <w:highlight w:val="none"/>
              </w:rPr>
            </w:pPr>
            <w:r>
              <w:rPr>
                <w:rFonts w:hint="eastAsia"/>
                <w:color w:val="auto"/>
                <w:highlight w:val="none"/>
              </w:rPr>
              <w:t>（2）必要的保险费用和各项税费；</w:t>
            </w:r>
          </w:p>
          <w:p>
            <w:pPr>
              <w:ind w:firstLine="420" w:firstLineChars="200"/>
              <w:rPr>
                <w:color w:val="auto"/>
                <w:highlight w:val="none"/>
              </w:rPr>
            </w:pPr>
            <w:r>
              <w:rPr>
                <w:rFonts w:hint="eastAsia"/>
                <w:color w:val="auto"/>
                <w:highlight w:val="none"/>
              </w:rPr>
              <w:t>（</w:t>
            </w:r>
            <w:r>
              <w:rPr>
                <w:color w:val="auto"/>
                <w:highlight w:val="none"/>
              </w:rPr>
              <w:t>3</w:t>
            </w:r>
            <w:r>
              <w:rPr>
                <w:rFonts w:hint="eastAsia"/>
                <w:color w:val="auto"/>
                <w:highlight w:val="none"/>
              </w:rPr>
              <w:t>）安装费用（包括但各类软件、系统等的安装、集成、试运行等费用）；</w:t>
            </w:r>
          </w:p>
          <w:p>
            <w:pPr>
              <w:ind w:firstLine="420" w:firstLineChars="200"/>
              <w:rPr>
                <w:color w:val="auto"/>
                <w:highlight w:val="none"/>
              </w:rPr>
            </w:pPr>
            <w:r>
              <w:rPr>
                <w:rFonts w:hint="eastAsia"/>
                <w:color w:val="auto"/>
                <w:highlight w:val="none"/>
              </w:rPr>
              <w:t>（</w:t>
            </w:r>
            <w:r>
              <w:rPr>
                <w:color w:val="auto"/>
                <w:highlight w:val="none"/>
              </w:rPr>
              <w:t>4</w:t>
            </w:r>
            <w:r>
              <w:rPr>
                <w:rFonts w:hint="eastAsia"/>
                <w:color w:val="auto"/>
                <w:highlight w:val="none"/>
              </w:rPr>
              <w:t>）培训费用（包括但场地费、教材等）；</w:t>
            </w:r>
          </w:p>
          <w:p>
            <w:pPr>
              <w:ind w:firstLine="420" w:firstLineChars="200"/>
              <w:rPr>
                <w:color w:val="auto"/>
                <w:highlight w:val="none"/>
              </w:rPr>
            </w:pPr>
            <w:r>
              <w:rPr>
                <w:rFonts w:hint="eastAsia"/>
                <w:color w:val="auto"/>
                <w:highlight w:val="none"/>
              </w:rPr>
              <w:t>（</w:t>
            </w:r>
            <w:r>
              <w:rPr>
                <w:color w:val="auto"/>
                <w:highlight w:val="none"/>
              </w:rPr>
              <w:t>5</w:t>
            </w:r>
            <w:r>
              <w:rPr>
                <w:rFonts w:hint="eastAsia"/>
                <w:color w:val="auto"/>
                <w:highlight w:val="none"/>
              </w:rPr>
              <w:t>）与各类相关系统对接的费用（含第三方接口费）；</w:t>
            </w:r>
          </w:p>
          <w:p>
            <w:pPr>
              <w:ind w:firstLine="420" w:firstLineChars="200"/>
              <w:rPr>
                <w:color w:val="auto"/>
                <w:highlight w:val="none"/>
              </w:rPr>
            </w:pPr>
            <w:r>
              <w:rPr>
                <w:rFonts w:hint="eastAsia"/>
                <w:color w:val="auto"/>
                <w:highlight w:val="none"/>
              </w:rPr>
              <w:t>（</w:t>
            </w:r>
            <w:r>
              <w:rPr>
                <w:color w:val="auto"/>
                <w:highlight w:val="none"/>
              </w:rPr>
              <w:t>6</w:t>
            </w:r>
            <w:r>
              <w:rPr>
                <w:rFonts w:hint="eastAsia"/>
                <w:color w:val="auto"/>
                <w:highlight w:val="none"/>
              </w:rPr>
              <w:t>）包括项目验收各项费用；</w:t>
            </w:r>
          </w:p>
          <w:p>
            <w:pPr>
              <w:ind w:firstLine="420" w:firstLineChars="200"/>
              <w:rPr>
                <w:color w:val="auto"/>
                <w:highlight w:val="none"/>
              </w:rPr>
            </w:pPr>
            <w:r>
              <w:rPr>
                <w:rFonts w:hint="eastAsia"/>
                <w:color w:val="auto"/>
                <w:highlight w:val="none"/>
              </w:rPr>
              <w:t>（</w:t>
            </w:r>
            <w:r>
              <w:rPr>
                <w:color w:val="auto"/>
                <w:highlight w:val="none"/>
              </w:rPr>
              <w:t>7</w:t>
            </w:r>
            <w:r>
              <w:rPr>
                <w:rFonts w:hint="eastAsia"/>
                <w:color w:val="auto"/>
                <w:highlight w:val="none"/>
              </w:rPr>
              <w:t>）其他费用（包括但不限于运输、装卸、软件开发、软件部署、调试、技术支持、售后服务、检测、更新升级等费用）。</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w:t>
            </w:r>
            <w:r>
              <w:rPr>
                <w:rFonts w:ascii="宋体" w:hAnsi="宋体" w:cs="宋体"/>
                <w:b/>
                <w:bCs/>
                <w:color w:val="auto"/>
                <w:szCs w:val="21"/>
                <w:highlight w:val="none"/>
              </w:rPr>
              <w:t>、绩效考核</w:t>
            </w:r>
            <w:r>
              <w:rPr>
                <w:rFonts w:hint="eastAsia" w:ascii="宋体" w:hAnsi="宋体" w:cs="宋体"/>
                <w:b/>
                <w:bCs/>
                <w:color w:val="auto"/>
                <w:szCs w:val="21"/>
                <w:highlight w:val="none"/>
              </w:rPr>
              <w:t>与</w:t>
            </w:r>
            <w:r>
              <w:rPr>
                <w:rFonts w:ascii="宋体" w:hAnsi="宋体" w:cs="宋体"/>
                <w:b/>
                <w:bCs/>
                <w:color w:val="auto"/>
                <w:szCs w:val="21"/>
                <w:highlight w:val="none"/>
              </w:rPr>
              <w:t>验收</w:t>
            </w:r>
            <w:r>
              <w:rPr>
                <w:rFonts w:hint="eastAsia" w:ascii="宋体" w:hAnsi="宋体" w:cs="宋体"/>
                <w:b/>
                <w:bCs/>
                <w:color w:val="auto"/>
                <w:szCs w:val="21"/>
                <w:highlight w:val="none"/>
              </w:rPr>
              <w:t>：</w:t>
            </w:r>
          </w:p>
          <w:p>
            <w:pPr>
              <w:ind w:firstLine="560"/>
              <w:rPr>
                <w:color w:val="auto"/>
                <w:highlight w:val="none"/>
              </w:rPr>
            </w:pPr>
            <w:r>
              <w:rPr>
                <w:rFonts w:hint="eastAsia"/>
                <w:color w:val="auto"/>
                <w:highlight w:val="none"/>
              </w:rPr>
              <w:t>绩效考核验收内容包括系统部署后通过试运行证实所有性能、功能、安全指标达到要求以及非软件成果（全部有关系统说明书、需求规格说明书、测试记录、用户手册、测试分析报告、系统操作手册、安装部署文档、软件工具清单、需求分析说明、需求及实施变更说明、系统维护说明、系统培训资料等）等服务内容。</w:t>
            </w:r>
            <w:r>
              <w:rPr>
                <w:color w:val="auto"/>
                <w:highlight w:val="none"/>
              </w:rPr>
              <w:t>绩效考核内容分为</w:t>
            </w:r>
            <w:r>
              <w:rPr>
                <w:rFonts w:hint="eastAsia"/>
                <w:color w:val="auto"/>
                <w:highlight w:val="none"/>
              </w:rPr>
              <w:t>建设期</w:t>
            </w:r>
            <w:r>
              <w:rPr>
                <w:color w:val="auto"/>
                <w:highlight w:val="none"/>
              </w:rPr>
              <w:t>考核和</w:t>
            </w:r>
            <w:r>
              <w:rPr>
                <w:rFonts w:hint="eastAsia"/>
                <w:color w:val="auto"/>
                <w:highlight w:val="none"/>
              </w:rPr>
              <w:t>服务期</w:t>
            </w:r>
            <w:r>
              <w:rPr>
                <w:color w:val="auto"/>
                <w:highlight w:val="none"/>
              </w:rPr>
              <w:t>考核。建设期考核主要内容为</w:t>
            </w:r>
            <w:r>
              <w:rPr>
                <w:rFonts w:hint="eastAsia"/>
                <w:color w:val="auto"/>
                <w:highlight w:val="none"/>
              </w:rPr>
              <w:t>功能指标、</w:t>
            </w:r>
            <w:r>
              <w:rPr>
                <w:color w:val="auto"/>
                <w:highlight w:val="none"/>
              </w:rPr>
              <w:t>性能指标</w:t>
            </w:r>
            <w:r>
              <w:rPr>
                <w:rFonts w:hint="eastAsia"/>
                <w:color w:val="auto"/>
                <w:highlight w:val="none"/>
              </w:rPr>
              <w:t>和部分</w:t>
            </w:r>
            <w:r>
              <w:rPr>
                <w:color w:val="auto"/>
                <w:highlight w:val="none"/>
              </w:rPr>
              <w:t>安全</w:t>
            </w:r>
            <w:r>
              <w:rPr>
                <w:rFonts w:hint="eastAsia"/>
                <w:color w:val="auto"/>
                <w:highlight w:val="none"/>
              </w:rPr>
              <w:t>指标</w:t>
            </w:r>
            <w:r>
              <w:rPr>
                <w:color w:val="auto"/>
                <w:highlight w:val="none"/>
              </w:rPr>
              <w:t>，按时按质完成</w:t>
            </w:r>
            <w:r>
              <w:rPr>
                <w:rFonts w:hint="eastAsia"/>
                <w:color w:val="auto"/>
                <w:highlight w:val="none"/>
              </w:rPr>
              <w:t>功能</w:t>
            </w:r>
            <w:r>
              <w:rPr>
                <w:color w:val="auto"/>
                <w:highlight w:val="none"/>
              </w:rPr>
              <w:t>建设工作</w:t>
            </w:r>
            <w:r>
              <w:rPr>
                <w:rFonts w:hint="eastAsia"/>
                <w:color w:val="auto"/>
                <w:highlight w:val="none"/>
              </w:rPr>
              <w:t>。服务期考核主要内容为功能指标、性能指标和</w:t>
            </w:r>
            <w:r>
              <w:rPr>
                <w:color w:val="auto"/>
                <w:highlight w:val="none"/>
              </w:rPr>
              <w:t>安全指标</w:t>
            </w:r>
            <w:r>
              <w:rPr>
                <w:rFonts w:hint="eastAsia"/>
                <w:color w:val="auto"/>
                <w:highlight w:val="none"/>
              </w:rPr>
              <w:t>（详见南宁市政务办公精细化管理系统考核方案）。</w:t>
            </w:r>
          </w:p>
          <w:p>
            <w:pPr>
              <w:rPr>
                <w:b/>
                <w:bCs/>
                <w:color w:val="auto"/>
                <w:highlight w:val="none"/>
              </w:rPr>
            </w:pPr>
            <w:r>
              <w:rPr>
                <w:rFonts w:hint="eastAsia"/>
                <w:color w:val="auto"/>
                <w:highlight w:val="none"/>
              </w:rPr>
              <w:t>★</w:t>
            </w:r>
            <w:r>
              <w:rPr>
                <w:b/>
                <w:bCs/>
                <w:color w:val="auto"/>
                <w:highlight w:val="none"/>
              </w:rPr>
              <w:t xml:space="preserve"> 3</w:t>
            </w:r>
            <w:r>
              <w:rPr>
                <w:rFonts w:hint="eastAsia"/>
                <w:b/>
                <w:bCs/>
                <w:color w:val="auto"/>
                <w:highlight w:val="none"/>
              </w:rPr>
              <w:t>、付款方式：</w:t>
            </w:r>
          </w:p>
          <w:p>
            <w:pPr>
              <w:ind w:firstLine="420" w:firstLineChars="200"/>
              <w:rPr>
                <w:rFonts w:ascii="宋体" w:hAnsi="宋体" w:cs="宋体"/>
                <w:color w:val="auto"/>
                <w:szCs w:val="21"/>
                <w:highlight w:val="none"/>
              </w:rPr>
            </w:pPr>
            <w:r>
              <w:rPr>
                <w:rFonts w:hint="eastAsia"/>
                <w:color w:val="auto"/>
                <w:highlight w:val="none"/>
              </w:rPr>
              <w:t>合同签订并完成系统的深化设计方案后，支付合同款项的</w:t>
            </w:r>
            <w:r>
              <w:rPr>
                <w:color w:val="auto"/>
                <w:highlight w:val="none"/>
              </w:rPr>
              <w:t>3</w:t>
            </w:r>
            <w:r>
              <w:rPr>
                <w:rFonts w:hint="eastAsia"/>
                <w:color w:val="auto"/>
                <w:highlight w:val="none"/>
              </w:rPr>
              <w:t>0%；完成系统开发、部署并通过试运行及考核验收后，支付合同款项的</w:t>
            </w:r>
            <w:r>
              <w:rPr>
                <w:color w:val="auto"/>
                <w:highlight w:val="none"/>
              </w:rPr>
              <w:t>3</w:t>
            </w:r>
            <w:r>
              <w:rPr>
                <w:rFonts w:hint="eastAsia"/>
                <w:color w:val="auto"/>
                <w:highlight w:val="none"/>
              </w:rPr>
              <w:t>0%；在第一年服务期完成并通过考核后，支付合同款项的20%；在第二年</w:t>
            </w:r>
            <w:r>
              <w:rPr>
                <w:color w:val="auto"/>
                <w:highlight w:val="none"/>
              </w:rPr>
              <w:t>服务</w:t>
            </w:r>
            <w:r>
              <w:rPr>
                <w:rFonts w:hint="eastAsia"/>
                <w:color w:val="auto"/>
                <w:highlight w:val="none"/>
              </w:rPr>
              <w:t>期完成</w:t>
            </w:r>
            <w:r>
              <w:rPr>
                <w:color w:val="auto"/>
                <w:highlight w:val="none"/>
              </w:rPr>
              <w:t>并通过考核后</w:t>
            </w:r>
            <w:r>
              <w:rPr>
                <w:rFonts w:hint="eastAsia"/>
                <w:color w:val="auto"/>
                <w:highlight w:val="none"/>
              </w:rPr>
              <w:t>，</w:t>
            </w:r>
            <w:r>
              <w:rPr>
                <w:color w:val="auto"/>
                <w:highlight w:val="none"/>
              </w:rPr>
              <w:t>支付</w:t>
            </w:r>
            <w:r>
              <w:rPr>
                <w:rFonts w:hint="eastAsia"/>
                <w:color w:val="auto"/>
                <w:highlight w:val="none"/>
              </w:rPr>
              <w:t>当年服务费用即合同款项的20%</w:t>
            </w:r>
            <w:r>
              <w:rPr>
                <w:rFonts w:hint="eastAsia" w:ascii="宋体" w:hAnsi="宋体" w:cs="宋体"/>
                <w:color w:val="auto"/>
                <w:szCs w:val="21"/>
                <w:highlight w:val="none"/>
              </w:rPr>
              <w:t>。</w:t>
            </w:r>
          </w:p>
          <w:p>
            <w:pPr>
              <w:ind w:firstLine="315" w:firstLineChars="15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b/>
                <w:color w:val="auto"/>
                <w:szCs w:val="21"/>
                <w:highlight w:val="none"/>
              </w:rPr>
              <w:t>4</w:t>
            </w:r>
            <w:r>
              <w:rPr>
                <w:rFonts w:hint="eastAsia" w:ascii="宋体" w:hAnsi="宋体" w:cs="宋体"/>
                <w:b/>
                <w:color w:val="auto"/>
                <w:szCs w:val="21"/>
                <w:highlight w:val="none"/>
              </w:rPr>
              <w:t>、保密要求</w:t>
            </w:r>
            <w:r>
              <w:rPr>
                <w:rFonts w:hint="eastAsia" w:ascii="宋体" w:hAnsi="宋体" w:cs="宋体"/>
                <w:color w:val="auto"/>
                <w:szCs w:val="21"/>
                <w:highlight w:val="none"/>
              </w:rPr>
              <w:t>：</w:t>
            </w:r>
          </w:p>
          <w:p>
            <w:pPr>
              <w:ind w:firstLine="420" w:firstLineChars="200"/>
              <w:rPr>
                <w:rFonts w:ascii="宋体" w:hAnsi="宋体"/>
                <w:color w:val="auto"/>
                <w:szCs w:val="21"/>
                <w:highlight w:val="none"/>
              </w:rPr>
            </w:pPr>
            <w:r>
              <w:rPr>
                <w:rFonts w:hint="eastAsia"/>
                <w:color w:val="auto"/>
                <w:highlight w:val="none"/>
              </w:rPr>
              <w:t>中标</w:t>
            </w:r>
            <w:r>
              <w:rPr>
                <w:rFonts w:hint="eastAsia" w:ascii="宋体" w:hAnsi="宋体" w:cs="宋体"/>
                <w:color w:val="auto"/>
                <w:szCs w:val="21"/>
                <w:highlight w:val="none"/>
              </w:rPr>
              <w:t>供应商必须与</w:t>
            </w:r>
            <w:r>
              <w:rPr>
                <w:rFonts w:ascii="宋体" w:hAnsi="宋体" w:cs="宋体"/>
                <w:color w:val="auto"/>
                <w:szCs w:val="21"/>
                <w:highlight w:val="none"/>
              </w:rPr>
              <w:t>采购人</w:t>
            </w:r>
            <w:r>
              <w:rPr>
                <w:rFonts w:hint="eastAsia" w:ascii="宋体" w:hAnsi="宋体" w:cs="宋体"/>
                <w:color w:val="auto"/>
                <w:szCs w:val="21"/>
                <w:highlight w:val="none"/>
              </w:rPr>
              <w:t>签订</w:t>
            </w:r>
            <w:r>
              <w:rPr>
                <w:rFonts w:ascii="宋体" w:hAnsi="宋体" w:cs="宋体"/>
                <w:color w:val="auto"/>
                <w:szCs w:val="21"/>
                <w:highlight w:val="none"/>
              </w:rPr>
              <w:t>保密协议，</w:t>
            </w:r>
            <w:r>
              <w:rPr>
                <w:rFonts w:hint="eastAsia" w:ascii="宋体" w:hAnsi="宋体" w:cs="宋体"/>
                <w:color w:val="auto"/>
                <w:szCs w:val="21"/>
                <w:highlight w:val="none"/>
              </w:rPr>
              <w:t>严格遵守采购人各项管理规定，在任何情况下，禁止复制、传播、引用及所接触到的各类业务数据、工作措施等信息，如出现业务数据、涉密数据泄漏，采购人上报采购办及相关部门按规定进行处理，并将追究</w:t>
            </w:r>
            <w:r>
              <w:rPr>
                <w:rFonts w:hint="eastAsia"/>
                <w:color w:val="auto"/>
                <w:highlight w:val="none"/>
              </w:rPr>
              <w:t>中标</w:t>
            </w:r>
            <w:r>
              <w:rPr>
                <w:rFonts w:hint="eastAsia" w:ascii="宋体" w:hAnsi="宋体" w:cs="宋体"/>
                <w:color w:val="auto"/>
                <w:szCs w:val="21"/>
                <w:highlight w:val="none"/>
              </w:rPr>
              <w:t>供应商相关法律责任。</w:t>
            </w:r>
          </w:p>
        </w:tc>
      </w:tr>
    </w:tbl>
    <w:p>
      <w:pPr>
        <w:pStyle w:val="22"/>
        <w:tabs>
          <w:tab w:val="left" w:pos="455"/>
        </w:tabs>
        <w:rPr>
          <w:bCs/>
          <w:color w:val="auto"/>
          <w:sz w:val="24"/>
          <w:highlight w:val="none"/>
        </w:rPr>
      </w:pPr>
    </w:p>
    <w:p>
      <w:pPr>
        <w:pStyle w:val="22"/>
        <w:tabs>
          <w:tab w:val="left" w:pos="455"/>
        </w:tabs>
        <w:rPr>
          <w:color w:val="auto"/>
          <w:sz w:val="28"/>
          <w:szCs w:val="28"/>
          <w:highlight w:val="none"/>
        </w:rPr>
      </w:pPr>
      <w:r>
        <w:rPr>
          <w:rFonts w:hint="eastAsia"/>
          <w:bCs/>
          <w:color w:val="auto"/>
          <w:sz w:val="28"/>
          <w:szCs w:val="28"/>
          <w:highlight w:val="none"/>
        </w:rPr>
        <w:t>附件：</w:t>
      </w:r>
      <w:r>
        <w:rPr>
          <w:rFonts w:hint="eastAsia"/>
          <w:color w:val="auto"/>
          <w:sz w:val="28"/>
          <w:szCs w:val="28"/>
          <w:highlight w:val="none"/>
        </w:rPr>
        <w:t>南宁市政务办公精细化管理系统考核方案</w:t>
      </w:r>
    </w:p>
    <w:p>
      <w:pPr>
        <w:pStyle w:val="4"/>
        <w:tabs>
          <w:tab w:val="left" w:pos="420"/>
        </w:tabs>
        <w:rPr>
          <w:color w:val="auto"/>
          <w:highlight w:val="none"/>
        </w:rPr>
      </w:pPr>
      <w:r>
        <w:rPr>
          <w:rFonts w:hint="eastAsia"/>
          <w:color w:val="auto"/>
          <w:highlight w:val="none"/>
        </w:rPr>
        <w:t>南宁市政务办公精细化管理系统考核方案</w:t>
      </w:r>
    </w:p>
    <w:p>
      <w:pPr>
        <w:pStyle w:val="4"/>
        <w:numPr>
          <w:ilvl w:val="1"/>
          <w:numId w:val="1"/>
        </w:numPr>
        <w:rPr>
          <w:color w:val="auto"/>
          <w:highlight w:val="none"/>
        </w:rPr>
      </w:pPr>
      <w:bookmarkStart w:id="37" w:name="_Toc36475594"/>
      <w:bookmarkStart w:id="38" w:name="_Toc8588"/>
      <w:bookmarkStart w:id="39" w:name="_Toc29419"/>
      <w:bookmarkStart w:id="40" w:name="_Toc2424"/>
      <w:bookmarkStart w:id="41" w:name="_Toc5185"/>
      <w:bookmarkStart w:id="42" w:name="_Toc35367185"/>
      <w:bookmarkStart w:id="43" w:name="_Toc23862"/>
      <w:bookmarkStart w:id="44" w:name="_Toc6243"/>
      <w:bookmarkStart w:id="45" w:name="_Toc4768"/>
      <w:r>
        <w:rPr>
          <w:rFonts w:hint="eastAsia"/>
          <w:color w:val="auto"/>
          <w:highlight w:val="none"/>
        </w:rPr>
        <w:t>考核对象</w:t>
      </w:r>
      <w:bookmarkEnd w:id="37"/>
      <w:bookmarkEnd w:id="38"/>
      <w:bookmarkEnd w:id="39"/>
      <w:bookmarkEnd w:id="40"/>
      <w:bookmarkEnd w:id="41"/>
      <w:bookmarkEnd w:id="42"/>
      <w:bookmarkEnd w:id="43"/>
      <w:bookmarkEnd w:id="44"/>
      <w:bookmarkEnd w:id="45"/>
    </w:p>
    <w:p>
      <w:pPr>
        <w:ind w:firstLine="560"/>
        <w:rPr>
          <w:color w:val="auto"/>
          <w:highlight w:val="none"/>
        </w:rPr>
      </w:pPr>
      <w:r>
        <w:rPr>
          <w:rFonts w:hint="eastAsia"/>
          <w:color w:val="auto"/>
          <w:highlight w:val="none"/>
        </w:rPr>
        <w:t>南宁市政务办公精细化管理系统。</w:t>
      </w:r>
    </w:p>
    <w:p>
      <w:pPr>
        <w:pStyle w:val="4"/>
        <w:numPr>
          <w:ilvl w:val="1"/>
          <w:numId w:val="1"/>
        </w:numPr>
        <w:rPr>
          <w:color w:val="auto"/>
          <w:highlight w:val="none"/>
        </w:rPr>
      </w:pPr>
      <w:bookmarkStart w:id="46" w:name="_Toc1781"/>
      <w:bookmarkStart w:id="47" w:name="_Toc6089"/>
      <w:bookmarkStart w:id="48" w:name="_Toc7725"/>
      <w:bookmarkStart w:id="49" w:name="_Toc35367186"/>
      <w:bookmarkStart w:id="50" w:name="_Toc26318"/>
      <w:bookmarkStart w:id="51" w:name="_Toc28088"/>
      <w:bookmarkStart w:id="52" w:name="_Toc36475595"/>
      <w:bookmarkStart w:id="53" w:name="_Toc5722"/>
      <w:bookmarkStart w:id="54" w:name="_Toc8581"/>
      <w:r>
        <w:rPr>
          <w:rFonts w:hint="eastAsia"/>
          <w:color w:val="auto"/>
          <w:highlight w:val="none"/>
        </w:rPr>
        <w:t>项目内容</w:t>
      </w:r>
      <w:bookmarkEnd w:id="46"/>
      <w:bookmarkEnd w:id="47"/>
      <w:bookmarkEnd w:id="48"/>
      <w:bookmarkEnd w:id="49"/>
      <w:bookmarkEnd w:id="50"/>
      <w:bookmarkEnd w:id="51"/>
      <w:bookmarkEnd w:id="52"/>
      <w:bookmarkEnd w:id="53"/>
      <w:bookmarkEnd w:id="54"/>
    </w:p>
    <w:p>
      <w:pPr>
        <w:ind w:firstLine="560"/>
        <w:rPr>
          <w:color w:val="auto"/>
          <w:highlight w:val="none"/>
        </w:rPr>
      </w:pPr>
      <w:r>
        <w:rPr>
          <w:rFonts w:hint="eastAsia"/>
          <w:color w:val="auto"/>
          <w:highlight w:val="none"/>
        </w:rPr>
        <w:t>根据各使用单位的单位发文流程、单位收文流程、单位收文流程（传阅文）、单位用章申请流程、单位内部发文流程，购买南宁市政务办公精细化管理系统服务，通过在南宁市电子政务云平台部署一个国产化的政务办公系统，提供</w:t>
      </w:r>
      <w:r>
        <w:rPr>
          <w:color w:val="auto"/>
          <w:szCs w:val="28"/>
          <w:highlight w:val="none"/>
        </w:rPr>
        <w:t>7</w:t>
      </w:r>
      <w:r>
        <w:rPr>
          <w:rFonts w:hint="eastAsia"/>
          <w:color w:val="auto"/>
          <w:szCs w:val="28"/>
          <w:highlight w:val="none"/>
        </w:rPr>
        <w:t>个基础功能、</w:t>
      </w:r>
      <w:r>
        <w:rPr>
          <w:color w:val="auto"/>
          <w:szCs w:val="28"/>
          <w:highlight w:val="none"/>
        </w:rPr>
        <w:t>10</w:t>
      </w:r>
      <w:r>
        <w:rPr>
          <w:rFonts w:hint="eastAsia"/>
          <w:color w:val="auto"/>
          <w:szCs w:val="28"/>
          <w:highlight w:val="none"/>
        </w:rPr>
        <w:t>大应用模块、</w:t>
      </w:r>
      <w:r>
        <w:rPr>
          <w:rFonts w:hint="eastAsia"/>
          <w:color w:val="auto"/>
          <w:highlight w:val="none"/>
        </w:rPr>
        <w:t>5家单位个性化需求，可应用于移动端、PC端两个平台，产品性能满足信息技术</w:t>
      </w:r>
      <w:r>
        <w:rPr>
          <w:color w:val="auto"/>
          <w:highlight w:val="none"/>
        </w:rPr>
        <w:t>创新</w:t>
      </w:r>
      <w:r>
        <w:rPr>
          <w:rFonts w:hint="eastAsia"/>
          <w:color w:val="auto"/>
          <w:highlight w:val="none"/>
        </w:rPr>
        <w:t>需求，适配国产主流基础软硬件，符合国家相关标准规范。部署在政务内网按安全等级保护第三级进行防护，部署在政务外网按安全等级保护第二级进行防护。</w:t>
      </w:r>
    </w:p>
    <w:p>
      <w:pPr>
        <w:pStyle w:val="5"/>
        <w:numPr>
          <w:ilvl w:val="2"/>
          <w:numId w:val="1"/>
        </w:numPr>
        <w:rPr>
          <w:color w:val="auto"/>
          <w:highlight w:val="none"/>
        </w:rPr>
      </w:pPr>
      <w:r>
        <w:rPr>
          <w:color w:val="auto"/>
          <w:highlight w:val="none"/>
        </w:rPr>
        <w:t>7</w:t>
      </w:r>
      <w:r>
        <w:rPr>
          <w:rFonts w:hint="eastAsia"/>
          <w:color w:val="auto"/>
          <w:highlight w:val="none"/>
        </w:rPr>
        <w:t>个基</w:t>
      </w:r>
      <w:bookmarkStart w:id="55" w:name="_Toc4926"/>
      <w:bookmarkStart w:id="56" w:name="_Toc26580"/>
      <w:bookmarkStart w:id="57" w:name="_Toc35367187"/>
      <w:bookmarkStart w:id="58" w:name="_Toc28644"/>
      <w:bookmarkStart w:id="59" w:name="_Toc17223"/>
      <w:bookmarkStart w:id="60" w:name="_Toc32520"/>
      <w:bookmarkStart w:id="61" w:name="_Toc36475596"/>
      <w:bookmarkStart w:id="62" w:name="_Toc25828"/>
      <w:bookmarkStart w:id="63" w:name="_Toc13965"/>
      <w:r>
        <w:rPr>
          <w:rFonts w:hint="eastAsia"/>
          <w:color w:val="auto"/>
          <w:highlight w:val="none"/>
        </w:rPr>
        <w:t>础功能</w:t>
      </w:r>
      <w:bookmarkEnd w:id="55"/>
      <w:bookmarkEnd w:id="56"/>
      <w:bookmarkEnd w:id="57"/>
      <w:bookmarkEnd w:id="58"/>
      <w:bookmarkEnd w:id="59"/>
      <w:bookmarkEnd w:id="60"/>
      <w:bookmarkEnd w:id="61"/>
      <w:bookmarkEnd w:id="62"/>
      <w:bookmarkEnd w:id="63"/>
    </w:p>
    <w:p>
      <w:pPr>
        <w:ind w:firstLine="560"/>
        <w:rPr>
          <w:color w:val="auto"/>
          <w:highlight w:val="none"/>
        </w:rPr>
      </w:pPr>
      <w:r>
        <w:rPr>
          <w:rFonts w:hint="eastAsia"/>
          <w:color w:val="auto"/>
          <w:szCs w:val="28"/>
          <w:highlight w:val="none"/>
        </w:rPr>
        <w:t>通过</w:t>
      </w:r>
      <w:r>
        <w:rPr>
          <w:rFonts w:hint="eastAsia"/>
          <w:color w:val="auto"/>
          <w:highlight w:val="none"/>
        </w:rPr>
        <w:t>南宁市政务办公精细化管理系统，为单位用户提供基础的信息管理和功能管理服务，主要包括如下内容。</w:t>
      </w:r>
    </w:p>
    <w:p>
      <w:pPr>
        <w:numPr>
          <w:ilvl w:val="0"/>
          <w:numId w:val="2"/>
        </w:numPr>
        <w:tabs>
          <w:tab w:val="left" w:pos="420"/>
        </w:tabs>
        <w:adjustRightInd w:val="0"/>
        <w:spacing w:line="360" w:lineRule="auto"/>
        <w:ind w:firstLine="420" w:firstLineChars="200"/>
        <w:rPr>
          <w:color w:val="auto"/>
          <w:highlight w:val="none"/>
        </w:rPr>
      </w:pPr>
      <w:r>
        <w:rPr>
          <w:rFonts w:hint="eastAsia"/>
          <w:color w:val="auto"/>
          <w:highlight w:val="none"/>
        </w:rPr>
        <w:t>统一用户管理：包括身份管理、统一认证、安全审计、集成服务功能。</w:t>
      </w:r>
    </w:p>
    <w:p>
      <w:pPr>
        <w:numPr>
          <w:ilvl w:val="0"/>
          <w:numId w:val="2"/>
        </w:numPr>
        <w:tabs>
          <w:tab w:val="left" w:pos="420"/>
        </w:tabs>
        <w:adjustRightInd w:val="0"/>
        <w:spacing w:line="360" w:lineRule="auto"/>
        <w:ind w:firstLine="420" w:firstLineChars="200"/>
        <w:rPr>
          <w:color w:val="auto"/>
          <w:highlight w:val="none"/>
        </w:rPr>
      </w:pPr>
      <w:r>
        <w:rPr>
          <w:rFonts w:hint="eastAsia"/>
          <w:color w:val="auto"/>
          <w:highlight w:val="none"/>
        </w:rPr>
        <w:t>即时通讯服务：包括群组管理、用户信息管理、消息发送接口、应用消息接口功能。</w:t>
      </w:r>
    </w:p>
    <w:p>
      <w:pPr>
        <w:numPr>
          <w:ilvl w:val="0"/>
          <w:numId w:val="2"/>
        </w:numPr>
        <w:tabs>
          <w:tab w:val="left" w:pos="420"/>
        </w:tabs>
        <w:adjustRightInd w:val="0"/>
        <w:spacing w:line="360" w:lineRule="auto"/>
        <w:ind w:firstLine="420" w:firstLineChars="200"/>
        <w:rPr>
          <w:color w:val="auto"/>
          <w:highlight w:val="none"/>
        </w:rPr>
      </w:pPr>
      <w:r>
        <w:rPr>
          <w:rFonts w:hint="eastAsia"/>
          <w:color w:val="auto"/>
          <w:highlight w:val="none"/>
        </w:rPr>
        <w:t>短信服务：包括短信服务管理、短信发送接口、应用消息接口、发送统计、发送数量限制功能。</w:t>
      </w:r>
    </w:p>
    <w:p>
      <w:pPr>
        <w:numPr>
          <w:ilvl w:val="0"/>
          <w:numId w:val="2"/>
        </w:numPr>
        <w:tabs>
          <w:tab w:val="left" w:pos="420"/>
        </w:tabs>
        <w:adjustRightInd w:val="0"/>
        <w:spacing w:line="360" w:lineRule="auto"/>
        <w:ind w:firstLine="420" w:firstLineChars="200"/>
        <w:rPr>
          <w:color w:val="auto"/>
          <w:highlight w:val="none"/>
        </w:rPr>
      </w:pPr>
      <w:r>
        <w:rPr>
          <w:rFonts w:hint="eastAsia"/>
          <w:color w:val="auto"/>
          <w:highlight w:val="none"/>
        </w:rPr>
        <w:t>公文交换服务：包括内部单位通讯录管理、外部发文接口、外部收文接口功能。</w:t>
      </w:r>
    </w:p>
    <w:p>
      <w:pPr>
        <w:numPr>
          <w:ilvl w:val="0"/>
          <w:numId w:val="2"/>
        </w:numPr>
        <w:tabs>
          <w:tab w:val="left" w:pos="420"/>
        </w:tabs>
        <w:adjustRightInd w:val="0"/>
        <w:spacing w:line="360" w:lineRule="auto"/>
        <w:ind w:firstLine="420" w:firstLineChars="200"/>
        <w:rPr>
          <w:color w:val="auto"/>
          <w:highlight w:val="none"/>
        </w:rPr>
      </w:pPr>
      <w:r>
        <w:rPr>
          <w:rFonts w:hint="eastAsia"/>
          <w:color w:val="auto"/>
          <w:highlight w:val="none"/>
        </w:rPr>
        <w:t>服务管理：包括服务注册、服务代理功能。</w:t>
      </w:r>
    </w:p>
    <w:p>
      <w:pPr>
        <w:numPr>
          <w:ilvl w:val="0"/>
          <w:numId w:val="2"/>
        </w:numPr>
        <w:tabs>
          <w:tab w:val="left" w:pos="420"/>
        </w:tabs>
        <w:adjustRightInd w:val="0"/>
        <w:spacing w:line="360" w:lineRule="auto"/>
        <w:ind w:firstLine="420" w:firstLineChars="200"/>
        <w:rPr>
          <w:color w:val="auto"/>
          <w:highlight w:val="none"/>
        </w:rPr>
      </w:pPr>
      <w:r>
        <w:rPr>
          <w:rFonts w:hint="eastAsia"/>
          <w:color w:val="auto"/>
          <w:highlight w:val="none"/>
        </w:rPr>
        <w:t>文档服务：包括文档预览接口、文档编辑、文档检索、文档存取、存储空间管理功能。</w:t>
      </w:r>
    </w:p>
    <w:p>
      <w:pPr>
        <w:numPr>
          <w:ilvl w:val="0"/>
          <w:numId w:val="2"/>
        </w:numPr>
        <w:tabs>
          <w:tab w:val="left" w:pos="420"/>
        </w:tabs>
        <w:adjustRightInd w:val="0"/>
        <w:spacing w:line="360" w:lineRule="auto"/>
        <w:ind w:firstLine="420" w:firstLineChars="200"/>
        <w:rPr>
          <w:color w:val="auto"/>
          <w:highlight w:val="none"/>
        </w:rPr>
      </w:pPr>
      <w:r>
        <w:rPr>
          <w:rFonts w:hint="eastAsia"/>
          <w:color w:val="auto"/>
          <w:highlight w:val="none"/>
        </w:rPr>
        <w:t>会议管理：包括会议室预定</w:t>
      </w:r>
      <w:r>
        <w:rPr>
          <w:color w:val="auto"/>
          <w:highlight w:val="none"/>
        </w:rPr>
        <w:t>会议跟踪、</w:t>
      </w:r>
      <w:r>
        <w:rPr>
          <w:rFonts w:hint="eastAsia"/>
          <w:color w:val="auto"/>
          <w:highlight w:val="none"/>
        </w:rPr>
        <w:t>会议管理等功能。</w:t>
      </w:r>
    </w:p>
    <w:p>
      <w:pPr>
        <w:pStyle w:val="5"/>
        <w:numPr>
          <w:ilvl w:val="2"/>
          <w:numId w:val="1"/>
        </w:numPr>
        <w:rPr>
          <w:color w:val="auto"/>
          <w:highlight w:val="none"/>
        </w:rPr>
      </w:pPr>
      <w:bookmarkStart w:id="64" w:name="_Toc23590"/>
      <w:bookmarkStart w:id="65" w:name="_Toc2272"/>
      <w:bookmarkStart w:id="66" w:name="_Toc6757"/>
      <w:bookmarkStart w:id="67" w:name="_Toc35367188"/>
      <w:bookmarkStart w:id="68" w:name="_Toc2730"/>
      <w:bookmarkStart w:id="69" w:name="_Toc10369"/>
      <w:bookmarkStart w:id="70" w:name="_Toc28134"/>
      <w:bookmarkStart w:id="71" w:name="_Toc30916"/>
      <w:bookmarkStart w:id="72" w:name="_Toc36475597"/>
      <w:r>
        <w:rPr>
          <w:color w:val="auto"/>
          <w:highlight w:val="none"/>
        </w:rPr>
        <w:t>10</w:t>
      </w:r>
      <w:r>
        <w:rPr>
          <w:rFonts w:hint="eastAsia"/>
          <w:color w:val="auto"/>
          <w:highlight w:val="none"/>
        </w:rPr>
        <w:t>大应用模块</w:t>
      </w:r>
      <w:bookmarkEnd w:id="64"/>
      <w:bookmarkEnd w:id="65"/>
      <w:bookmarkEnd w:id="66"/>
      <w:bookmarkEnd w:id="67"/>
      <w:bookmarkEnd w:id="68"/>
      <w:bookmarkEnd w:id="69"/>
      <w:bookmarkEnd w:id="70"/>
      <w:bookmarkEnd w:id="71"/>
      <w:bookmarkEnd w:id="72"/>
    </w:p>
    <w:p>
      <w:pPr>
        <w:ind w:firstLine="560"/>
        <w:rPr>
          <w:color w:val="auto"/>
          <w:highlight w:val="none"/>
        </w:rPr>
      </w:pPr>
      <w:r>
        <w:rPr>
          <w:rFonts w:hint="eastAsia"/>
          <w:color w:val="auto"/>
          <w:szCs w:val="28"/>
          <w:highlight w:val="none"/>
        </w:rPr>
        <w:t>通过</w:t>
      </w:r>
      <w:r>
        <w:rPr>
          <w:rFonts w:hint="eastAsia"/>
          <w:color w:val="auto"/>
          <w:highlight w:val="none"/>
        </w:rPr>
        <w:t>南宁市政务办公精细化管理系统，开发用户需求应用模块，主要包括如下内容。</w:t>
      </w:r>
    </w:p>
    <w:p>
      <w:pPr>
        <w:tabs>
          <w:tab w:val="left" w:pos="420"/>
        </w:tabs>
        <w:ind w:firstLine="560"/>
        <w:rPr>
          <w:color w:val="auto"/>
          <w:highlight w:val="none"/>
        </w:rPr>
      </w:pPr>
      <w:r>
        <w:rPr>
          <w:rFonts w:hint="eastAsia"/>
          <w:color w:val="auto"/>
          <w:highlight w:val="none"/>
        </w:rPr>
        <w:t>（1）发文管理：包括发文管理待办、发文模板、发文追踪、发文查询、发文代理功能。</w:t>
      </w:r>
    </w:p>
    <w:p>
      <w:pPr>
        <w:tabs>
          <w:tab w:val="left" w:pos="420"/>
        </w:tabs>
        <w:ind w:firstLine="560"/>
        <w:rPr>
          <w:color w:val="auto"/>
          <w:highlight w:val="none"/>
        </w:rPr>
      </w:pPr>
      <w:r>
        <w:rPr>
          <w:rFonts w:hint="eastAsia"/>
          <w:color w:val="auto"/>
          <w:highlight w:val="none"/>
        </w:rPr>
        <w:t>（2）收文管理：包括收文待办、收文追踪、收文查询、收文代理、收文转任务、收文转发文功能。</w:t>
      </w:r>
    </w:p>
    <w:p>
      <w:pPr>
        <w:tabs>
          <w:tab w:val="left" w:pos="420"/>
        </w:tabs>
        <w:ind w:firstLine="560"/>
        <w:rPr>
          <w:color w:val="auto"/>
          <w:highlight w:val="none"/>
        </w:rPr>
      </w:pPr>
      <w:r>
        <w:rPr>
          <w:rFonts w:hint="eastAsia"/>
          <w:color w:val="auto"/>
          <w:highlight w:val="none"/>
        </w:rPr>
        <w:t>（3）通知公告：包括公告分类管理、公告编写、公告查看、公告查询功能。</w:t>
      </w:r>
    </w:p>
    <w:p>
      <w:pPr>
        <w:tabs>
          <w:tab w:val="left" w:pos="420"/>
        </w:tabs>
        <w:ind w:firstLine="560"/>
        <w:rPr>
          <w:color w:val="auto"/>
          <w:highlight w:val="none"/>
        </w:rPr>
      </w:pPr>
      <w:r>
        <w:rPr>
          <w:rFonts w:hint="eastAsia"/>
          <w:color w:val="auto"/>
          <w:highlight w:val="none"/>
        </w:rPr>
        <w:t>（4）行程管理：包括行程发布、行程查询、行程提醒功能。</w:t>
      </w:r>
    </w:p>
    <w:p>
      <w:pPr>
        <w:tabs>
          <w:tab w:val="left" w:pos="420"/>
        </w:tabs>
        <w:ind w:firstLine="560"/>
        <w:rPr>
          <w:color w:val="auto"/>
          <w:highlight w:val="none"/>
        </w:rPr>
      </w:pPr>
      <w:r>
        <w:rPr>
          <w:rFonts w:hint="eastAsia"/>
          <w:color w:val="auto"/>
          <w:highlight w:val="none"/>
        </w:rPr>
        <w:t>（5）工作邮件：包括邮件编写、收件箱、发件箱、邮件草稿功能。</w:t>
      </w:r>
    </w:p>
    <w:p>
      <w:pPr>
        <w:tabs>
          <w:tab w:val="left" w:pos="420"/>
        </w:tabs>
        <w:ind w:firstLine="560"/>
        <w:rPr>
          <w:color w:val="auto"/>
          <w:highlight w:val="none"/>
        </w:rPr>
      </w:pPr>
      <w:r>
        <w:rPr>
          <w:rFonts w:hint="eastAsia"/>
          <w:color w:val="auto"/>
          <w:highlight w:val="none"/>
        </w:rPr>
        <w:t>（6）任务管理：包括任务新建、任务分解、任务回复、任务查询、任务预警告警功能。</w:t>
      </w:r>
    </w:p>
    <w:p>
      <w:pPr>
        <w:tabs>
          <w:tab w:val="left" w:pos="420"/>
        </w:tabs>
        <w:ind w:firstLine="560"/>
        <w:rPr>
          <w:color w:val="auto"/>
          <w:highlight w:val="none"/>
        </w:rPr>
      </w:pPr>
      <w:r>
        <w:rPr>
          <w:rFonts w:hint="eastAsia"/>
          <w:color w:val="auto"/>
          <w:highlight w:val="none"/>
        </w:rPr>
        <w:t>（7）重点工作台账：包括新建台账、添加任务、台账查询、收文转台账功能。</w:t>
      </w:r>
    </w:p>
    <w:p>
      <w:pPr>
        <w:tabs>
          <w:tab w:val="left" w:pos="420"/>
        </w:tabs>
        <w:ind w:firstLine="560"/>
        <w:rPr>
          <w:color w:val="auto"/>
          <w:highlight w:val="none"/>
        </w:rPr>
      </w:pPr>
      <w:r>
        <w:rPr>
          <w:rFonts w:hint="eastAsia"/>
          <w:color w:val="auto"/>
          <w:highlight w:val="none"/>
        </w:rPr>
        <w:t>（8）消息提醒：包括定时提醒任务、定时提醒应用接口、消息发送查询功能。</w:t>
      </w:r>
    </w:p>
    <w:p>
      <w:pPr>
        <w:tabs>
          <w:tab w:val="left" w:pos="420"/>
        </w:tabs>
        <w:ind w:firstLine="560"/>
        <w:rPr>
          <w:color w:val="auto"/>
          <w:highlight w:val="none"/>
        </w:rPr>
      </w:pPr>
      <w:r>
        <w:rPr>
          <w:rFonts w:hint="eastAsia"/>
          <w:color w:val="auto"/>
          <w:highlight w:val="none"/>
        </w:rPr>
        <w:t>（9）个人工作台：包括个人信息维护、工作代理设置、工作代理交接、提醒消息查询功能。</w:t>
      </w:r>
    </w:p>
    <w:p>
      <w:pPr>
        <w:tabs>
          <w:tab w:val="left" w:pos="420"/>
        </w:tabs>
        <w:ind w:firstLine="560"/>
        <w:rPr>
          <w:color w:val="auto"/>
          <w:highlight w:val="none"/>
        </w:rPr>
      </w:pPr>
      <w:r>
        <w:rPr>
          <w:rFonts w:hint="eastAsia"/>
          <w:color w:val="auto"/>
          <w:highlight w:val="none"/>
        </w:rPr>
        <w:t>（10）移动客户端平台还包括用户登录认证、即时通讯客户端、通讯录管理、政务办公、消息提醒功能内容。</w:t>
      </w:r>
    </w:p>
    <w:p>
      <w:pPr>
        <w:pStyle w:val="5"/>
        <w:numPr>
          <w:ilvl w:val="2"/>
          <w:numId w:val="1"/>
        </w:numPr>
        <w:rPr>
          <w:color w:val="auto"/>
          <w:highlight w:val="none"/>
        </w:rPr>
      </w:pPr>
      <w:bookmarkStart w:id="73" w:name="_Toc35367189"/>
      <w:bookmarkStart w:id="74" w:name="_Toc27567"/>
      <w:bookmarkStart w:id="75" w:name="_Toc110"/>
      <w:bookmarkStart w:id="76" w:name="_Toc4268"/>
      <w:bookmarkStart w:id="77" w:name="_Toc30286"/>
      <w:bookmarkStart w:id="78" w:name="_Toc36475598"/>
      <w:bookmarkStart w:id="79" w:name="_Toc16532"/>
      <w:bookmarkStart w:id="80" w:name="_Toc6556"/>
      <w:bookmarkStart w:id="81" w:name="_Toc13540"/>
      <w:r>
        <w:rPr>
          <w:rFonts w:hint="eastAsia"/>
          <w:color w:val="auto"/>
          <w:highlight w:val="none"/>
        </w:rPr>
        <w:t>5家单位个性化需求</w:t>
      </w:r>
      <w:bookmarkEnd w:id="73"/>
      <w:bookmarkEnd w:id="74"/>
      <w:bookmarkEnd w:id="75"/>
      <w:bookmarkEnd w:id="76"/>
      <w:bookmarkEnd w:id="77"/>
      <w:bookmarkEnd w:id="78"/>
      <w:bookmarkEnd w:id="79"/>
      <w:bookmarkEnd w:id="80"/>
      <w:bookmarkEnd w:id="81"/>
    </w:p>
    <w:p>
      <w:pPr>
        <w:ind w:firstLine="560"/>
        <w:rPr>
          <w:color w:val="auto"/>
          <w:highlight w:val="none"/>
        </w:rPr>
      </w:pPr>
      <w:r>
        <w:rPr>
          <w:rFonts w:hint="eastAsia"/>
          <w:color w:val="auto"/>
          <w:highlight w:val="none"/>
        </w:rPr>
        <w:t>在</w:t>
      </w:r>
      <w:r>
        <w:rPr>
          <w:color w:val="auto"/>
          <w:highlight w:val="none"/>
        </w:rPr>
        <w:t>7</w:t>
      </w:r>
      <w:r>
        <w:rPr>
          <w:rFonts w:hint="eastAsia"/>
          <w:color w:val="auto"/>
          <w:highlight w:val="none"/>
        </w:rPr>
        <w:t>个基础功能和</w:t>
      </w:r>
      <w:r>
        <w:rPr>
          <w:color w:val="auto"/>
          <w:highlight w:val="none"/>
        </w:rPr>
        <w:t>10</w:t>
      </w:r>
      <w:r>
        <w:rPr>
          <w:rFonts w:hint="eastAsia"/>
          <w:color w:val="auto"/>
          <w:highlight w:val="none"/>
        </w:rPr>
        <w:t>大应用模块的基础上，满足各单位个性化需求，实现中共南宁市委办公室、市交通运输局、市医保局、市北部湾办、市粮食和储备局个性化需求，满足各类型用户使用需求。</w:t>
      </w:r>
    </w:p>
    <w:p>
      <w:pPr>
        <w:ind w:firstLine="560"/>
        <w:rPr>
          <w:color w:val="auto"/>
          <w:highlight w:val="none"/>
        </w:rPr>
      </w:pPr>
      <w:r>
        <w:rPr>
          <w:rFonts w:hint="eastAsia"/>
          <w:color w:val="auto"/>
          <w:highlight w:val="none"/>
        </w:rPr>
        <w:t>系统应具备良好扩展性，在使用单位、使用用户不断增加时，通过新增硬件设备（主机、存储），实现平台性能稳定，应用响应迅速不卡顿。使用单位可以通过平台定制单位个性应用（后简称第三方应用）。平台为第三方应用提供统一的用户管理、应用管理。单位用户可以在平台注册第三方应用，通过平台提供的接口，以多种方式接入。</w:t>
      </w:r>
    </w:p>
    <w:p>
      <w:pPr>
        <w:pStyle w:val="4"/>
        <w:numPr>
          <w:ilvl w:val="1"/>
          <w:numId w:val="1"/>
        </w:numPr>
        <w:rPr>
          <w:color w:val="auto"/>
          <w:highlight w:val="none"/>
        </w:rPr>
      </w:pPr>
      <w:bookmarkStart w:id="82" w:name="_Toc7520"/>
      <w:bookmarkStart w:id="83" w:name="_Toc3520"/>
      <w:bookmarkStart w:id="84" w:name="_Toc15483"/>
      <w:bookmarkStart w:id="85" w:name="_Toc36475599"/>
      <w:bookmarkStart w:id="86" w:name="_Toc541"/>
      <w:bookmarkStart w:id="87" w:name="_Toc25004"/>
      <w:bookmarkStart w:id="88" w:name="_Toc28760"/>
      <w:bookmarkStart w:id="89" w:name="_Toc26541"/>
      <w:bookmarkStart w:id="90" w:name="_Toc35367190"/>
      <w:r>
        <w:rPr>
          <w:rFonts w:hint="eastAsia"/>
          <w:color w:val="auto"/>
          <w:highlight w:val="none"/>
        </w:rPr>
        <w:t>项目服务期限</w:t>
      </w:r>
      <w:bookmarkEnd w:id="82"/>
      <w:bookmarkEnd w:id="83"/>
      <w:bookmarkEnd w:id="84"/>
      <w:bookmarkEnd w:id="85"/>
      <w:bookmarkEnd w:id="86"/>
      <w:bookmarkEnd w:id="87"/>
      <w:bookmarkEnd w:id="88"/>
      <w:bookmarkEnd w:id="89"/>
      <w:bookmarkEnd w:id="90"/>
    </w:p>
    <w:p>
      <w:pPr>
        <w:ind w:firstLine="560"/>
        <w:rPr>
          <w:color w:val="auto"/>
          <w:highlight w:val="none"/>
        </w:rPr>
      </w:pPr>
      <w:r>
        <w:rPr>
          <w:rFonts w:hint="eastAsia"/>
          <w:color w:val="auto"/>
          <w:highlight w:val="none"/>
        </w:rPr>
        <w:t>服务期为共2年。</w:t>
      </w:r>
    </w:p>
    <w:p>
      <w:pPr>
        <w:pStyle w:val="4"/>
        <w:numPr>
          <w:ilvl w:val="1"/>
          <w:numId w:val="1"/>
        </w:numPr>
        <w:rPr>
          <w:color w:val="auto"/>
          <w:highlight w:val="none"/>
        </w:rPr>
      </w:pPr>
      <w:bookmarkStart w:id="91" w:name="_Toc35367191"/>
      <w:bookmarkStart w:id="92" w:name="_Toc3986"/>
      <w:bookmarkStart w:id="93" w:name="_Toc28126"/>
      <w:bookmarkStart w:id="94" w:name="_Toc27743"/>
      <w:bookmarkStart w:id="95" w:name="_Toc15089"/>
      <w:bookmarkStart w:id="96" w:name="_Toc30351"/>
      <w:bookmarkStart w:id="97" w:name="_Toc29528"/>
      <w:bookmarkStart w:id="98" w:name="_Toc36475600"/>
      <w:bookmarkStart w:id="99" w:name="_Toc6745"/>
      <w:r>
        <w:rPr>
          <w:rFonts w:hint="eastAsia"/>
          <w:color w:val="auto"/>
          <w:highlight w:val="none"/>
        </w:rPr>
        <w:t>参与单位</w:t>
      </w:r>
      <w:bookmarkEnd w:id="91"/>
      <w:bookmarkEnd w:id="92"/>
      <w:bookmarkEnd w:id="93"/>
      <w:bookmarkEnd w:id="94"/>
      <w:bookmarkEnd w:id="95"/>
      <w:bookmarkEnd w:id="96"/>
      <w:bookmarkEnd w:id="97"/>
      <w:bookmarkEnd w:id="98"/>
      <w:bookmarkEnd w:id="99"/>
    </w:p>
    <w:p>
      <w:pPr>
        <w:ind w:firstLine="560"/>
        <w:rPr>
          <w:color w:val="auto"/>
          <w:highlight w:val="none"/>
        </w:rPr>
      </w:pPr>
      <w:r>
        <w:rPr>
          <w:rFonts w:hint="eastAsia"/>
          <w:color w:val="auto"/>
          <w:highlight w:val="none"/>
        </w:rPr>
        <w:t>购买主体：南宁市信息网络</w:t>
      </w:r>
      <w:r>
        <w:rPr>
          <w:color w:val="auto"/>
          <w:highlight w:val="none"/>
        </w:rPr>
        <w:t>管理中心</w:t>
      </w:r>
    </w:p>
    <w:p>
      <w:pPr>
        <w:ind w:firstLine="560"/>
        <w:rPr>
          <w:color w:val="auto"/>
          <w:highlight w:val="none"/>
        </w:rPr>
      </w:pPr>
      <w:r>
        <w:rPr>
          <w:rFonts w:hint="eastAsia"/>
          <w:color w:val="auto"/>
          <w:highlight w:val="none"/>
        </w:rPr>
        <w:t>服务承接人：</w:t>
      </w:r>
    </w:p>
    <w:p>
      <w:pPr>
        <w:pStyle w:val="4"/>
        <w:numPr>
          <w:ilvl w:val="1"/>
          <w:numId w:val="1"/>
        </w:numPr>
        <w:rPr>
          <w:color w:val="auto"/>
          <w:highlight w:val="none"/>
        </w:rPr>
      </w:pPr>
      <w:bookmarkStart w:id="100" w:name="_Toc1193"/>
      <w:bookmarkStart w:id="101" w:name="_Toc22681"/>
      <w:bookmarkStart w:id="102" w:name="_Toc5230"/>
      <w:bookmarkStart w:id="103" w:name="_Toc18334"/>
      <w:bookmarkStart w:id="104" w:name="_Toc35367192"/>
      <w:bookmarkStart w:id="105" w:name="_Toc3332"/>
      <w:bookmarkStart w:id="106" w:name="_Toc19727"/>
      <w:bookmarkStart w:id="107" w:name="_Toc36475601"/>
      <w:bookmarkStart w:id="108" w:name="_Toc4340"/>
      <w:r>
        <w:rPr>
          <w:rFonts w:hint="eastAsia"/>
          <w:color w:val="auto"/>
          <w:highlight w:val="none"/>
        </w:rPr>
        <w:t>服务阶段完成情况</w:t>
      </w:r>
      <w:bookmarkEnd w:id="100"/>
      <w:bookmarkEnd w:id="101"/>
      <w:bookmarkEnd w:id="102"/>
      <w:bookmarkEnd w:id="103"/>
      <w:bookmarkEnd w:id="104"/>
      <w:bookmarkEnd w:id="105"/>
      <w:bookmarkEnd w:id="106"/>
      <w:bookmarkEnd w:id="107"/>
      <w:bookmarkEnd w:id="108"/>
    </w:p>
    <w:p>
      <w:pPr>
        <w:ind w:firstLine="560"/>
        <w:rPr>
          <w:color w:val="auto"/>
          <w:highlight w:val="none"/>
        </w:rPr>
      </w:pPr>
      <w:r>
        <w:rPr>
          <w:rFonts w:hint="eastAsia"/>
          <w:color w:val="auto"/>
          <w:highlight w:val="none"/>
        </w:rPr>
        <w:t>根据服务实施具体情况详细描述，其中应包含需求调研、系统开发、系统部署、等保测评、系统试运行及用户培训、投入正式运行、系统服务等阶段描述。</w:t>
      </w:r>
    </w:p>
    <w:p>
      <w:pPr>
        <w:pStyle w:val="4"/>
        <w:numPr>
          <w:ilvl w:val="1"/>
          <w:numId w:val="1"/>
        </w:numPr>
        <w:rPr>
          <w:rFonts w:ascii="宋体" w:hAnsi="宋体" w:cs="宋体"/>
          <w:color w:val="auto"/>
          <w:highlight w:val="none"/>
        </w:rPr>
      </w:pPr>
      <w:bookmarkStart w:id="109" w:name="_Toc25367"/>
      <w:bookmarkStart w:id="110" w:name="_Toc35367193"/>
      <w:bookmarkStart w:id="111" w:name="_Toc36475602"/>
      <w:bookmarkStart w:id="112" w:name="_Toc31073"/>
      <w:bookmarkStart w:id="113" w:name="_Toc9862"/>
      <w:bookmarkStart w:id="114" w:name="_Toc30900"/>
      <w:bookmarkStart w:id="115" w:name="_Toc22685"/>
      <w:bookmarkStart w:id="116" w:name="_Toc21419"/>
      <w:bookmarkStart w:id="117" w:name="_Toc19937"/>
      <w:r>
        <w:rPr>
          <w:rFonts w:hint="eastAsia" w:ascii="宋体" w:hAnsi="宋体" w:cs="宋体"/>
          <w:color w:val="auto"/>
          <w:highlight w:val="none"/>
        </w:rPr>
        <w:t>履约验收</w:t>
      </w:r>
      <w:bookmarkEnd w:id="109"/>
      <w:bookmarkEnd w:id="110"/>
      <w:bookmarkEnd w:id="111"/>
      <w:bookmarkEnd w:id="112"/>
      <w:bookmarkEnd w:id="113"/>
      <w:bookmarkEnd w:id="114"/>
      <w:bookmarkEnd w:id="115"/>
      <w:bookmarkEnd w:id="116"/>
      <w:bookmarkEnd w:id="117"/>
    </w:p>
    <w:p>
      <w:pPr>
        <w:ind w:firstLine="560"/>
        <w:rPr>
          <w:color w:val="auto"/>
          <w:highlight w:val="none"/>
        </w:rPr>
      </w:pPr>
      <w:r>
        <w:rPr>
          <w:rFonts w:hint="eastAsia" w:ascii="宋体" w:hAnsi="宋体" w:cs="宋体"/>
          <w:color w:val="auto"/>
          <w:highlight w:val="none"/>
        </w:rPr>
        <w:t>履约验收</w:t>
      </w:r>
      <w:r>
        <w:rPr>
          <w:rFonts w:hint="eastAsia"/>
          <w:color w:val="auto"/>
          <w:highlight w:val="none"/>
        </w:rPr>
        <w:t>是服务的收尾工作。通过系统的</w:t>
      </w:r>
      <w:r>
        <w:rPr>
          <w:rFonts w:hint="eastAsia" w:ascii="宋体" w:hAnsi="宋体" w:cs="宋体"/>
          <w:color w:val="auto"/>
          <w:highlight w:val="none"/>
        </w:rPr>
        <w:t>履约验收</w:t>
      </w:r>
      <w:r>
        <w:rPr>
          <w:rFonts w:hint="eastAsia"/>
          <w:color w:val="auto"/>
          <w:highlight w:val="none"/>
        </w:rPr>
        <w:t>可以检验所购买的服务是否实现了目标要求，从而确认服务是否满足使用单位需要，判断是否可以支付购买资金。</w:t>
      </w:r>
    </w:p>
    <w:p>
      <w:pPr>
        <w:ind w:firstLine="560"/>
        <w:rPr>
          <w:color w:val="auto"/>
          <w:highlight w:val="none"/>
        </w:rPr>
      </w:pPr>
      <w:r>
        <w:rPr>
          <w:rFonts w:hint="eastAsia" w:ascii="宋体" w:hAnsi="宋体" w:cs="宋体"/>
          <w:color w:val="auto"/>
          <w:highlight w:val="none"/>
        </w:rPr>
        <w:t>履约验收是服务承接人经历试运行阶段后，在提出履约验收申请基础上的一个重要流程，</w:t>
      </w:r>
      <w:r>
        <w:rPr>
          <w:rFonts w:hint="eastAsia"/>
          <w:color w:val="auto"/>
          <w:highlight w:val="none"/>
        </w:rPr>
        <w:t>由购买主体组织成立项目验收小组，可由采购主体</w:t>
      </w:r>
      <w:r>
        <w:rPr>
          <w:color w:val="auto"/>
          <w:highlight w:val="none"/>
        </w:rPr>
        <w:t>、</w:t>
      </w:r>
      <w:r>
        <w:rPr>
          <w:rFonts w:hint="eastAsia"/>
          <w:color w:val="auto"/>
          <w:highlight w:val="none"/>
        </w:rPr>
        <w:t>监理</w:t>
      </w:r>
      <w:r>
        <w:rPr>
          <w:color w:val="auto"/>
          <w:highlight w:val="none"/>
        </w:rPr>
        <w:t>单位、</w:t>
      </w:r>
      <w:r>
        <w:rPr>
          <w:rFonts w:hint="eastAsia"/>
          <w:color w:val="auto"/>
          <w:highlight w:val="none"/>
        </w:rPr>
        <w:t>使用单位、专家组成，召开考核验收会，对项目进行全面考核检查，合格后出具考核结果通报。考核的主要内容有：系统功能指标、性能指标、安全</w:t>
      </w:r>
      <w:r>
        <w:rPr>
          <w:color w:val="auto"/>
          <w:highlight w:val="none"/>
        </w:rPr>
        <w:t>指标</w:t>
      </w:r>
      <w:r>
        <w:rPr>
          <w:rFonts w:hint="eastAsia"/>
          <w:color w:val="auto"/>
          <w:highlight w:val="none"/>
        </w:rPr>
        <w:t>、系统使用情况意见（由使用单位提供）、文档资料整理情况。对照正式合同文件对服务进行核对。验收结束后服务承接人需提交服务所购买的南宁市政务办公精细化管理系统和非软件成果（全部有关系统说明书、需求规格说明书、测试记录、用户手册、测试分析报告、系统操作手册、安装部署文档、软件工具清单、需求分析说明、需求及实施变更说明、系统维护说明、系统培训资料等）的电子版和纸质版。</w:t>
      </w:r>
    </w:p>
    <w:p>
      <w:pPr>
        <w:pStyle w:val="4"/>
        <w:numPr>
          <w:ilvl w:val="1"/>
          <w:numId w:val="1"/>
        </w:numPr>
        <w:rPr>
          <w:color w:val="auto"/>
          <w:highlight w:val="none"/>
        </w:rPr>
      </w:pPr>
      <w:bookmarkStart w:id="118" w:name="_Toc36475603"/>
      <w:bookmarkStart w:id="119" w:name="_Toc27366"/>
      <w:bookmarkStart w:id="120" w:name="_Toc12183"/>
      <w:bookmarkStart w:id="121" w:name="_Toc20431"/>
      <w:bookmarkStart w:id="122" w:name="_Toc31327"/>
      <w:bookmarkStart w:id="123" w:name="_Toc35367194"/>
      <w:bookmarkStart w:id="124" w:name="_Toc32717"/>
      <w:bookmarkStart w:id="125" w:name="_Toc26968"/>
      <w:bookmarkStart w:id="126" w:name="_Toc29043"/>
      <w:r>
        <w:rPr>
          <w:rFonts w:hint="eastAsia"/>
          <w:color w:val="auto"/>
          <w:highlight w:val="none"/>
        </w:rPr>
        <w:t>考核指标</w:t>
      </w:r>
      <w:bookmarkEnd w:id="118"/>
      <w:bookmarkEnd w:id="119"/>
      <w:bookmarkEnd w:id="120"/>
      <w:bookmarkEnd w:id="121"/>
      <w:bookmarkEnd w:id="122"/>
      <w:bookmarkEnd w:id="123"/>
      <w:bookmarkEnd w:id="124"/>
      <w:bookmarkEnd w:id="125"/>
      <w:bookmarkEnd w:id="126"/>
    </w:p>
    <w:p>
      <w:pPr>
        <w:pStyle w:val="5"/>
        <w:numPr>
          <w:ilvl w:val="2"/>
          <w:numId w:val="1"/>
        </w:numPr>
        <w:rPr>
          <w:color w:val="auto"/>
          <w:highlight w:val="none"/>
        </w:rPr>
      </w:pPr>
      <w:bookmarkStart w:id="127" w:name="_Toc35367195"/>
      <w:bookmarkStart w:id="128" w:name="_Toc30420"/>
      <w:bookmarkStart w:id="129" w:name="_Toc13574"/>
      <w:bookmarkStart w:id="130" w:name="_Toc14994"/>
      <w:bookmarkStart w:id="131" w:name="_Toc31269"/>
      <w:bookmarkStart w:id="132" w:name="_Toc36475604"/>
      <w:bookmarkStart w:id="133" w:name="_Toc28486"/>
      <w:bookmarkStart w:id="134" w:name="_Toc30297"/>
      <w:bookmarkStart w:id="135" w:name="_Toc2378"/>
      <w:r>
        <w:rPr>
          <w:rFonts w:hint="eastAsia"/>
          <w:color w:val="auto"/>
          <w:highlight w:val="none"/>
        </w:rPr>
        <w:t>功能指标</w:t>
      </w:r>
      <w:bookmarkEnd w:id="127"/>
      <w:bookmarkEnd w:id="128"/>
      <w:bookmarkEnd w:id="129"/>
      <w:bookmarkEnd w:id="130"/>
      <w:bookmarkEnd w:id="131"/>
      <w:bookmarkEnd w:id="132"/>
      <w:bookmarkEnd w:id="133"/>
      <w:bookmarkEnd w:id="134"/>
      <w:bookmarkEnd w:id="135"/>
      <w:r>
        <w:rPr>
          <w:rFonts w:hint="eastAsia"/>
          <w:color w:val="auto"/>
          <w:highlight w:val="none"/>
        </w:rPr>
        <w:t>（功能</w:t>
      </w:r>
      <w:r>
        <w:rPr>
          <w:color w:val="auto"/>
          <w:highlight w:val="none"/>
        </w:rPr>
        <w:t>指标</w:t>
      </w:r>
      <w:r>
        <w:rPr>
          <w:rFonts w:hint="eastAsia"/>
          <w:color w:val="auto"/>
          <w:highlight w:val="none"/>
        </w:rPr>
        <w:t>100分，占40%</w:t>
      </w:r>
      <w:r>
        <w:rPr>
          <w:color w:val="auto"/>
          <w:highlight w:val="none"/>
        </w:rPr>
        <w:t>权重</w:t>
      </w:r>
      <w:r>
        <w:rPr>
          <w:rFonts w:hint="eastAsia"/>
          <w:color w:val="auto"/>
          <w:highlight w:val="none"/>
        </w:rPr>
        <w:t>）</w:t>
      </w:r>
    </w:p>
    <w:p>
      <w:pPr>
        <w:numPr>
          <w:ilvl w:val="0"/>
          <w:numId w:val="3"/>
        </w:numPr>
        <w:adjustRightInd w:val="0"/>
        <w:spacing w:line="360" w:lineRule="auto"/>
        <w:ind w:firstLine="420" w:firstLineChars="200"/>
        <w:rPr>
          <w:color w:val="auto"/>
          <w:highlight w:val="none"/>
        </w:rPr>
      </w:pPr>
      <w:r>
        <w:rPr>
          <w:color w:val="auto"/>
          <w:highlight w:val="none"/>
        </w:rPr>
        <w:t>7</w:t>
      </w:r>
      <w:r>
        <w:rPr>
          <w:rFonts w:hint="eastAsia"/>
          <w:color w:val="auto"/>
          <w:highlight w:val="none"/>
        </w:rPr>
        <w:t>个基础功能（满分40分）</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34"/>
        <w:gridCol w:w="1124"/>
        <w:gridCol w:w="4263"/>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296" w:type="dxa"/>
            <w:gridSpan w:val="5"/>
            <w:vAlign w:val="center"/>
          </w:tcPr>
          <w:p>
            <w:pPr>
              <w:tabs>
                <w:tab w:val="left" w:pos="420"/>
              </w:tabs>
              <w:spacing w:line="300" w:lineRule="exact"/>
              <w:rPr>
                <w:rFonts w:ascii="宋体" w:hAnsi="宋体" w:cs="宋体"/>
                <w:b/>
                <w:bCs/>
                <w:color w:val="auto"/>
                <w:szCs w:val="28"/>
                <w:highlight w:val="none"/>
              </w:rPr>
            </w:pPr>
            <w:bookmarkStart w:id="136" w:name="OLE_LINK1"/>
            <w:r>
              <w:rPr>
                <w:rFonts w:hint="eastAsia" w:ascii="宋体" w:hAnsi="宋体" w:cs="宋体"/>
                <w:b/>
                <w:bCs/>
                <w:color w:val="auto"/>
                <w:szCs w:val="28"/>
                <w:highlight w:val="none"/>
              </w:rPr>
              <w:t>基础功能服务内容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4" w:type="dxa"/>
            <w:vAlign w:val="center"/>
          </w:tcPr>
          <w:p>
            <w:pPr>
              <w:tabs>
                <w:tab w:val="left" w:pos="420"/>
              </w:tabs>
              <w:spacing w:line="300" w:lineRule="exact"/>
              <w:rPr>
                <w:rFonts w:ascii="宋体" w:hAnsi="宋体" w:cs="宋体"/>
                <w:b/>
                <w:bCs/>
                <w:color w:val="auto"/>
                <w:szCs w:val="28"/>
                <w:highlight w:val="none"/>
              </w:rPr>
            </w:pPr>
            <w:r>
              <w:rPr>
                <w:rFonts w:hint="eastAsia" w:ascii="宋体" w:hAnsi="宋体" w:cs="宋体"/>
                <w:b/>
                <w:bCs/>
                <w:color w:val="auto"/>
                <w:szCs w:val="28"/>
                <w:highlight w:val="none"/>
              </w:rPr>
              <w:t>序号</w:t>
            </w:r>
          </w:p>
        </w:tc>
        <w:tc>
          <w:tcPr>
            <w:tcW w:w="1134" w:type="dxa"/>
            <w:vAlign w:val="center"/>
          </w:tcPr>
          <w:p>
            <w:pPr>
              <w:tabs>
                <w:tab w:val="left" w:pos="420"/>
              </w:tabs>
              <w:spacing w:line="300" w:lineRule="exact"/>
              <w:rPr>
                <w:rFonts w:ascii="宋体" w:hAnsi="宋体" w:cs="宋体"/>
                <w:b/>
                <w:bCs/>
                <w:color w:val="auto"/>
                <w:szCs w:val="28"/>
                <w:highlight w:val="none"/>
              </w:rPr>
            </w:pPr>
            <w:r>
              <w:rPr>
                <w:rFonts w:hint="eastAsia" w:ascii="宋体" w:hAnsi="宋体" w:cs="宋体"/>
                <w:b/>
                <w:bCs/>
                <w:color w:val="auto"/>
                <w:szCs w:val="28"/>
                <w:highlight w:val="none"/>
              </w:rPr>
              <w:t>基础功能</w:t>
            </w:r>
          </w:p>
        </w:tc>
        <w:tc>
          <w:tcPr>
            <w:tcW w:w="1124" w:type="dxa"/>
            <w:vAlign w:val="center"/>
          </w:tcPr>
          <w:p>
            <w:pPr>
              <w:tabs>
                <w:tab w:val="left" w:pos="420"/>
              </w:tabs>
              <w:spacing w:line="300" w:lineRule="exact"/>
              <w:rPr>
                <w:rFonts w:ascii="宋体" w:hAnsi="宋体" w:cs="宋体"/>
                <w:b/>
                <w:bCs/>
                <w:color w:val="auto"/>
                <w:szCs w:val="28"/>
                <w:highlight w:val="none"/>
              </w:rPr>
            </w:pPr>
            <w:r>
              <w:rPr>
                <w:rFonts w:hint="eastAsia" w:ascii="宋体" w:hAnsi="宋体" w:cs="宋体"/>
                <w:b/>
                <w:bCs/>
                <w:color w:val="auto"/>
                <w:szCs w:val="28"/>
                <w:highlight w:val="none"/>
              </w:rPr>
              <w:t>服务内容</w:t>
            </w:r>
          </w:p>
        </w:tc>
        <w:tc>
          <w:tcPr>
            <w:tcW w:w="4263" w:type="dxa"/>
            <w:vAlign w:val="center"/>
          </w:tcPr>
          <w:p>
            <w:pPr>
              <w:tabs>
                <w:tab w:val="left" w:pos="420"/>
              </w:tabs>
              <w:spacing w:line="300" w:lineRule="exact"/>
              <w:rPr>
                <w:rFonts w:ascii="宋体" w:hAnsi="宋体" w:cs="宋体"/>
                <w:b/>
                <w:bCs/>
                <w:color w:val="auto"/>
                <w:szCs w:val="28"/>
                <w:highlight w:val="none"/>
              </w:rPr>
            </w:pPr>
            <w:r>
              <w:rPr>
                <w:rFonts w:hint="eastAsia" w:ascii="宋体" w:hAnsi="宋体" w:cs="宋体"/>
                <w:b/>
                <w:bCs/>
                <w:color w:val="auto"/>
                <w:szCs w:val="28"/>
                <w:highlight w:val="none"/>
              </w:rPr>
              <w:t>详细服务说明</w:t>
            </w:r>
          </w:p>
        </w:tc>
        <w:tc>
          <w:tcPr>
            <w:tcW w:w="1071" w:type="dxa"/>
            <w:vAlign w:val="center"/>
          </w:tcPr>
          <w:p>
            <w:pPr>
              <w:tabs>
                <w:tab w:val="left" w:pos="420"/>
              </w:tabs>
              <w:spacing w:line="300" w:lineRule="exact"/>
              <w:jc w:val="center"/>
              <w:rPr>
                <w:rFonts w:ascii="宋体" w:hAnsi="宋体" w:cs="宋体"/>
                <w:b/>
                <w:bCs/>
                <w:color w:val="auto"/>
                <w:szCs w:val="28"/>
                <w:highlight w:val="none"/>
              </w:rPr>
            </w:pPr>
            <w:r>
              <w:rPr>
                <w:rFonts w:hint="eastAsia" w:ascii="宋体" w:hAnsi="宋体" w:cs="宋体"/>
                <w:b/>
                <w:bCs/>
                <w:color w:val="auto"/>
                <w:szCs w:val="28"/>
                <w:highlight w:val="none"/>
              </w:rPr>
              <w:t>分值设置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pPr>
              <w:widowControl/>
              <w:spacing w:line="300" w:lineRule="exact"/>
              <w:textAlignment w:val="center"/>
              <w:rPr>
                <w:rFonts w:ascii="宋体" w:hAnsi="宋体" w:cs="宋体"/>
                <w:bCs/>
                <w:color w:val="auto"/>
                <w:szCs w:val="28"/>
                <w:highlight w:val="none"/>
              </w:rPr>
            </w:pPr>
            <w:r>
              <w:rPr>
                <w:rFonts w:hint="eastAsia" w:ascii="宋体" w:hAnsi="宋体" w:cs="宋体"/>
                <w:bCs/>
                <w:color w:val="auto"/>
                <w:kern w:val="0"/>
                <w:szCs w:val="28"/>
                <w:highlight w:val="none"/>
              </w:rPr>
              <w:t>1</w:t>
            </w:r>
          </w:p>
        </w:tc>
        <w:tc>
          <w:tcPr>
            <w:tcW w:w="1134" w:type="dxa"/>
            <w:vMerge w:val="restart"/>
            <w:vAlign w:val="center"/>
          </w:tcPr>
          <w:p>
            <w:pPr>
              <w:tabs>
                <w:tab w:val="left" w:pos="420"/>
              </w:tabs>
              <w:spacing w:line="300" w:lineRule="exact"/>
              <w:rPr>
                <w:rFonts w:ascii="宋体" w:hAnsi="宋体" w:cs="宋体"/>
                <w:bCs/>
                <w:color w:val="auto"/>
                <w:szCs w:val="28"/>
                <w:highlight w:val="none"/>
              </w:rPr>
            </w:pPr>
            <w:r>
              <w:rPr>
                <w:rFonts w:hint="eastAsia" w:ascii="宋体" w:hAnsi="宋体" w:cs="宋体"/>
                <w:bCs/>
                <w:color w:val="auto"/>
                <w:szCs w:val="28"/>
                <w:highlight w:val="none"/>
              </w:rPr>
              <w:t>统一用户管理</w:t>
            </w:r>
          </w:p>
        </w:tc>
        <w:tc>
          <w:tcPr>
            <w:tcW w:w="1124" w:type="dxa"/>
            <w:vAlign w:val="center"/>
          </w:tcPr>
          <w:p>
            <w:pPr>
              <w:widowControl/>
              <w:spacing w:line="300" w:lineRule="exact"/>
              <w:textAlignment w:val="center"/>
              <w:rPr>
                <w:rFonts w:ascii="宋体" w:hAnsi="宋体" w:cs="宋体"/>
                <w:bCs/>
                <w:color w:val="auto"/>
                <w:szCs w:val="28"/>
                <w:highlight w:val="none"/>
              </w:rPr>
            </w:pPr>
            <w:r>
              <w:rPr>
                <w:rFonts w:hint="eastAsia" w:ascii="宋体" w:hAnsi="宋体" w:cs="宋体"/>
                <w:bCs/>
                <w:color w:val="auto"/>
                <w:kern w:val="0"/>
                <w:szCs w:val="28"/>
                <w:highlight w:val="none"/>
              </w:rPr>
              <w:t>身份管理</w:t>
            </w:r>
          </w:p>
        </w:tc>
        <w:tc>
          <w:tcPr>
            <w:tcW w:w="4263" w:type="dxa"/>
            <w:vAlign w:val="center"/>
          </w:tcPr>
          <w:p>
            <w:pPr>
              <w:widowControl/>
              <w:spacing w:line="300" w:lineRule="exact"/>
              <w:rPr>
                <w:rFonts w:ascii="宋体" w:hAnsi="宋体" w:cs="宋体"/>
                <w:bCs/>
                <w:color w:val="auto"/>
                <w:szCs w:val="28"/>
                <w:highlight w:val="none"/>
              </w:rPr>
            </w:pPr>
            <w:r>
              <w:rPr>
                <w:rFonts w:hint="eastAsia" w:ascii="宋体" w:hAnsi="宋体" w:cs="宋体"/>
                <w:color w:val="auto"/>
                <w:szCs w:val="28"/>
                <w:highlight w:val="none"/>
              </w:rPr>
              <w:t>包含用户管理、组织管理、角色管理、密码管理、分级策略、数据同步等。</w:t>
            </w:r>
          </w:p>
        </w:tc>
        <w:tc>
          <w:tcPr>
            <w:tcW w:w="1071" w:type="dxa"/>
            <w:vAlign w:val="center"/>
          </w:tcPr>
          <w:p>
            <w:pPr>
              <w:widowControl/>
              <w:spacing w:line="300" w:lineRule="exact"/>
              <w:jc w:val="center"/>
              <w:rPr>
                <w:rFonts w:ascii="宋体" w:hAnsi="宋体" w:cs="宋体"/>
                <w:color w:val="auto"/>
                <w:szCs w:val="28"/>
                <w:highlight w:val="none"/>
              </w:rPr>
            </w:pPr>
            <w:r>
              <w:rPr>
                <w:rFonts w:hint="eastAsia" w:ascii="宋体" w:hAnsi="宋体" w:cs="宋体"/>
                <w:color w:val="auto"/>
                <w:szCs w:val="2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704" w:type="dxa"/>
            <w:vMerge w:val="continue"/>
            <w:vAlign w:val="center"/>
          </w:tcPr>
          <w:p>
            <w:pPr>
              <w:widowControl/>
              <w:spacing w:line="300" w:lineRule="exact"/>
              <w:textAlignment w:val="center"/>
              <w:rPr>
                <w:rFonts w:ascii="宋体" w:hAnsi="宋体" w:cs="宋体"/>
                <w:bCs/>
                <w:color w:val="auto"/>
                <w:kern w:val="0"/>
                <w:szCs w:val="28"/>
                <w:highlight w:val="none"/>
              </w:rPr>
            </w:pPr>
          </w:p>
        </w:tc>
        <w:tc>
          <w:tcPr>
            <w:tcW w:w="1134" w:type="dxa"/>
            <w:vMerge w:val="continue"/>
            <w:vAlign w:val="center"/>
          </w:tcPr>
          <w:p>
            <w:pPr>
              <w:tabs>
                <w:tab w:val="left" w:pos="420"/>
              </w:tabs>
              <w:spacing w:line="300" w:lineRule="exact"/>
              <w:rPr>
                <w:rFonts w:ascii="宋体" w:hAnsi="宋体" w:cs="宋体"/>
                <w:bCs/>
                <w:color w:val="auto"/>
                <w:szCs w:val="28"/>
                <w:highlight w:val="none"/>
              </w:rPr>
            </w:pPr>
          </w:p>
        </w:tc>
        <w:tc>
          <w:tcPr>
            <w:tcW w:w="1124" w:type="dxa"/>
            <w:vAlign w:val="center"/>
          </w:tcPr>
          <w:p>
            <w:pPr>
              <w:widowControl/>
              <w:spacing w:line="300" w:lineRule="exact"/>
              <w:textAlignment w:val="center"/>
              <w:rPr>
                <w:rFonts w:ascii="宋体" w:hAnsi="宋体" w:cs="宋体"/>
                <w:b/>
                <w:bCs/>
                <w:color w:val="auto"/>
                <w:szCs w:val="28"/>
                <w:highlight w:val="none"/>
              </w:rPr>
            </w:pPr>
            <w:r>
              <w:rPr>
                <w:rFonts w:hint="eastAsia" w:ascii="宋体" w:hAnsi="宋体" w:cs="宋体"/>
                <w:color w:val="auto"/>
                <w:kern w:val="0"/>
                <w:szCs w:val="28"/>
                <w:highlight w:val="none"/>
              </w:rPr>
              <w:t>统一认证</w:t>
            </w:r>
          </w:p>
        </w:tc>
        <w:tc>
          <w:tcPr>
            <w:tcW w:w="4263" w:type="dxa"/>
            <w:vAlign w:val="center"/>
          </w:tcPr>
          <w:p>
            <w:pPr>
              <w:widowControl/>
              <w:spacing w:line="300" w:lineRule="exact"/>
              <w:rPr>
                <w:rFonts w:ascii="宋体" w:hAnsi="宋体" w:cs="宋体"/>
                <w:b/>
                <w:bCs/>
                <w:color w:val="auto"/>
                <w:szCs w:val="28"/>
                <w:highlight w:val="none"/>
              </w:rPr>
            </w:pPr>
            <w:r>
              <w:rPr>
                <w:rFonts w:hint="eastAsia" w:ascii="宋体" w:hAnsi="宋体" w:cs="宋体"/>
                <w:color w:val="auto"/>
                <w:szCs w:val="28"/>
                <w:highlight w:val="none"/>
              </w:rPr>
              <w:t>包含单点登录、认证策略、Tonken管理。</w:t>
            </w:r>
          </w:p>
        </w:tc>
        <w:tc>
          <w:tcPr>
            <w:tcW w:w="1071" w:type="dxa"/>
            <w:vAlign w:val="center"/>
          </w:tcPr>
          <w:p>
            <w:pPr>
              <w:widowControl/>
              <w:spacing w:line="560" w:lineRule="exact"/>
              <w:jc w:val="center"/>
              <w:rPr>
                <w:rFonts w:ascii="宋体" w:hAnsi="宋体" w:cs="宋体"/>
                <w:color w:val="auto"/>
                <w:szCs w:val="28"/>
                <w:highlight w:val="none"/>
              </w:rPr>
            </w:pPr>
            <w:r>
              <w:rPr>
                <w:rFonts w:hint="eastAsia" w:ascii="宋体" w:hAnsi="宋体" w:cs="宋体"/>
                <w:color w:val="auto"/>
                <w:szCs w:val="2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704" w:type="dxa"/>
            <w:vMerge w:val="continue"/>
            <w:vAlign w:val="center"/>
          </w:tcPr>
          <w:p>
            <w:pPr>
              <w:widowControl/>
              <w:spacing w:line="300" w:lineRule="exact"/>
              <w:textAlignment w:val="center"/>
              <w:rPr>
                <w:rFonts w:ascii="宋体" w:hAnsi="宋体" w:cs="宋体"/>
                <w:bCs/>
                <w:color w:val="auto"/>
                <w:kern w:val="0"/>
                <w:szCs w:val="28"/>
                <w:highlight w:val="none"/>
              </w:rPr>
            </w:pPr>
          </w:p>
        </w:tc>
        <w:tc>
          <w:tcPr>
            <w:tcW w:w="1134" w:type="dxa"/>
            <w:vMerge w:val="continue"/>
            <w:vAlign w:val="center"/>
          </w:tcPr>
          <w:p>
            <w:pPr>
              <w:tabs>
                <w:tab w:val="left" w:pos="420"/>
              </w:tabs>
              <w:spacing w:line="300" w:lineRule="exact"/>
              <w:rPr>
                <w:rFonts w:ascii="宋体" w:hAnsi="宋体" w:cs="宋体"/>
                <w:bCs/>
                <w:color w:val="auto"/>
                <w:szCs w:val="28"/>
                <w:highlight w:val="none"/>
              </w:rPr>
            </w:pPr>
          </w:p>
        </w:tc>
        <w:tc>
          <w:tcPr>
            <w:tcW w:w="1124" w:type="dxa"/>
            <w:vAlign w:val="center"/>
          </w:tcPr>
          <w:p>
            <w:pPr>
              <w:widowControl/>
              <w:spacing w:line="300" w:lineRule="exact"/>
              <w:textAlignment w:val="center"/>
              <w:rPr>
                <w:rFonts w:ascii="宋体" w:hAnsi="宋体" w:cs="宋体"/>
                <w:b/>
                <w:bCs/>
                <w:color w:val="auto"/>
                <w:szCs w:val="28"/>
                <w:highlight w:val="none"/>
              </w:rPr>
            </w:pPr>
            <w:r>
              <w:rPr>
                <w:rFonts w:hint="eastAsia" w:ascii="宋体" w:hAnsi="宋体" w:cs="宋体"/>
                <w:color w:val="auto"/>
                <w:kern w:val="0"/>
                <w:szCs w:val="28"/>
                <w:highlight w:val="none"/>
              </w:rPr>
              <w:t>安全审计</w:t>
            </w:r>
          </w:p>
        </w:tc>
        <w:tc>
          <w:tcPr>
            <w:tcW w:w="4263" w:type="dxa"/>
            <w:vAlign w:val="center"/>
          </w:tcPr>
          <w:p>
            <w:pPr>
              <w:widowControl/>
              <w:spacing w:line="300" w:lineRule="exact"/>
              <w:rPr>
                <w:rFonts w:ascii="宋体" w:hAnsi="宋体" w:cs="宋体"/>
                <w:b/>
                <w:bCs/>
                <w:color w:val="auto"/>
                <w:szCs w:val="28"/>
                <w:highlight w:val="none"/>
              </w:rPr>
            </w:pPr>
            <w:r>
              <w:rPr>
                <w:rFonts w:hint="eastAsia" w:ascii="宋体" w:hAnsi="宋体" w:cs="宋体"/>
                <w:color w:val="auto"/>
                <w:szCs w:val="28"/>
                <w:highlight w:val="none"/>
              </w:rPr>
              <w:t>包含管理审计、行为审计、审计报表。只有平台审计员才能使用。</w:t>
            </w:r>
          </w:p>
        </w:tc>
        <w:tc>
          <w:tcPr>
            <w:tcW w:w="1071" w:type="dxa"/>
            <w:vAlign w:val="center"/>
          </w:tcPr>
          <w:p>
            <w:pPr>
              <w:widowControl/>
              <w:spacing w:line="300" w:lineRule="exact"/>
              <w:jc w:val="center"/>
              <w:rPr>
                <w:rFonts w:ascii="宋体" w:hAnsi="宋体" w:cs="宋体"/>
                <w:color w:val="auto"/>
                <w:szCs w:val="28"/>
                <w:highlight w:val="none"/>
              </w:rPr>
            </w:pPr>
            <w:r>
              <w:rPr>
                <w:rFonts w:ascii="宋体" w:hAnsi="宋体" w:cs="宋体"/>
                <w:color w:val="auto"/>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704" w:type="dxa"/>
            <w:vMerge w:val="continue"/>
            <w:vAlign w:val="center"/>
          </w:tcPr>
          <w:p>
            <w:pPr>
              <w:widowControl/>
              <w:spacing w:line="300" w:lineRule="exact"/>
              <w:textAlignment w:val="center"/>
              <w:rPr>
                <w:rFonts w:ascii="宋体" w:hAnsi="宋体" w:cs="宋体"/>
                <w:bCs/>
                <w:color w:val="auto"/>
                <w:kern w:val="0"/>
                <w:szCs w:val="28"/>
                <w:highlight w:val="none"/>
              </w:rPr>
            </w:pPr>
          </w:p>
        </w:tc>
        <w:tc>
          <w:tcPr>
            <w:tcW w:w="1134" w:type="dxa"/>
            <w:vMerge w:val="continue"/>
            <w:vAlign w:val="center"/>
          </w:tcPr>
          <w:p>
            <w:pPr>
              <w:tabs>
                <w:tab w:val="left" w:pos="420"/>
              </w:tabs>
              <w:spacing w:line="300" w:lineRule="exact"/>
              <w:rPr>
                <w:rFonts w:ascii="宋体" w:hAnsi="宋体" w:cs="宋体"/>
                <w:bCs/>
                <w:color w:val="auto"/>
                <w:szCs w:val="28"/>
                <w:highlight w:val="none"/>
              </w:rPr>
            </w:pPr>
          </w:p>
        </w:tc>
        <w:tc>
          <w:tcPr>
            <w:tcW w:w="1124" w:type="dxa"/>
            <w:vAlign w:val="center"/>
          </w:tcPr>
          <w:p>
            <w:pPr>
              <w:widowControl/>
              <w:spacing w:line="300" w:lineRule="exact"/>
              <w:textAlignment w:val="center"/>
              <w:rPr>
                <w:rFonts w:ascii="宋体" w:hAnsi="宋体" w:cs="宋体"/>
                <w:b/>
                <w:bCs/>
                <w:color w:val="auto"/>
                <w:szCs w:val="28"/>
                <w:highlight w:val="none"/>
              </w:rPr>
            </w:pPr>
            <w:r>
              <w:rPr>
                <w:rFonts w:hint="eastAsia" w:ascii="宋体" w:hAnsi="宋体" w:cs="宋体"/>
                <w:color w:val="auto"/>
                <w:kern w:val="0"/>
                <w:szCs w:val="28"/>
                <w:highlight w:val="none"/>
              </w:rPr>
              <w:t>集成服务</w:t>
            </w:r>
          </w:p>
        </w:tc>
        <w:tc>
          <w:tcPr>
            <w:tcW w:w="4263" w:type="dxa"/>
            <w:vAlign w:val="center"/>
          </w:tcPr>
          <w:p>
            <w:pPr>
              <w:widowControl/>
              <w:spacing w:line="300" w:lineRule="exact"/>
              <w:rPr>
                <w:rFonts w:ascii="宋体" w:hAnsi="宋体" w:cs="宋体"/>
                <w:b/>
                <w:bCs/>
                <w:color w:val="auto"/>
                <w:szCs w:val="28"/>
                <w:highlight w:val="none"/>
              </w:rPr>
            </w:pPr>
            <w:r>
              <w:rPr>
                <w:rFonts w:hint="eastAsia" w:ascii="宋体" w:hAnsi="宋体" w:cs="宋体"/>
                <w:color w:val="auto"/>
                <w:szCs w:val="28"/>
                <w:highlight w:val="none"/>
              </w:rPr>
              <w:t>包含第三方认证API，集成第三方系统的短信认证服务，人脸识别认证服务。</w:t>
            </w:r>
          </w:p>
        </w:tc>
        <w:tc>
          <w:tcPr>
            <w:tcW w:w="1071" w:type="dxa"/>
            <w:vAlign w:val="center"/>
          </w:tcPr>
          <w:p>
            <w:pPr>
              <w:widowControl/>
              <w:spacing w:line="300" w:lineRule="exact"/>
              <w:jc w:val="center"/>
              <w:rPr>
                <w:rFonts w:ascii="宋体" w:hAnsi="宋体" w:cs="宋体"/>
                <w:color w:val="auto"/>
                <w:szCs w:val="28"/>
                <w:highlight w:val="none"/>
              </w:rPr>
            </w:pPr>
            <w:r>
              <w:rPr>
                <w:rFonts w:ascii="宋体" w:hAnsi="宋体" w:cs="宋体"/>
                <w:color w:val="auto"/>
                <w:szCs w:val="2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04" w:type="dxa"/>
            <w:vMerge w:val="restart"/>
            <w:vAlign w:val="center"/>
          </w:tcPr>
          <w:p>
            <w:pPr>
              <w:widowControl/>
              <w:spacing w:line="300" w:lineRule="exact"/>
              <w:textAlignment w:val="center"/>
              <w:rPr>
                <w:rFonts w:ascii="宋体" w:hAnsi="宋体" w:cs="宋体"/>
                <w:bCs/>
                <w:color w:val="auto"/>
                <w:kern w:val="0"/>
                <w:szCs w:val="28"/>
                <w:highlight w:val="none"/>
              </w:rPr>
            </w:pPr>
            <w:r>
              <w:rPr>
                <w:rFonts w:hint="eastAsia" w:ascii="宋体" w:hAnsi="宋体" w:cs="宋体"/>
                <w:bCs/>
                <w:color w:val="auto"/>
                <w:kern w:val="0"/>
                <w:szCs w:val="28"/>
                <w:highlight w:val="none"/>
              </w:rPr>
              <w:t>2</w:t>
            </w:r>
          </w:p>
        </w:tc>
        <w:tc>
          <w:tcPr>
            <w:tcW w:w="1134" w:type="dxa"/>
            <w:vMerge w:val="restart"/>
            <w:vAlign w:val="center"/>
          </w:tcPr>
          <w:p>
            <w:pPr>
              <w:tabs>
                <w:tab w:val="left" w:pos="420"/>
              </w:tabs>
              <w:spacing w:line="300" w:lineRule="exact"/>
              <w:rPr>
                <w:rFonts w:ascii="宋体" w:hAnsi="宋体" w:cs="宋体"/>
                <w:bCs/>
                <w:color w:val="auto"/>
                <w:szCs w:val="28"/>
                <w:highlight w:val="none"/>
              </w:rPr>
            </w:pPr>
            <w:r>
              <w:rPr>
                <w:rFonts w:hint="eastAsia" w:ascii="宋体" w:hAnsi="宋体" w:cs="宋体"/>
                <w:bCs/>
                <w:color w:val="auto"/>
                <w:szCs w:val="28"/>
                <w:highlight w:val="none"/>
              </w:rPr>
              <w:t>即时通讯服务</w:t>
            </w:r>
          </w:p>
        </w:tc>
        <w:tc>
          <w:tcPr>
            <w:tcW w:w="1124" w:type="dxa"/>
            <w:vAlign w:val="center"/>
          </w:tcPr>
          <w:p>
            <w:pPr>
              <w:widowControl/>
              <w:spacing w:line="30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群组管理</w:t>
            </w:r>
          </w:p>
        </w:tc>
        <w:tc>
          <w:tcPr>
            <w:tcW w:w="4263" w:type="dxa"/>
            <w:vAlign w:val="center"/>
          </w:tcPr>
          <w:p>
            <w:pPr>
              <w:widowControl/>
              <w:spacing w:line="300" w:lineRule="exact"/>
              <w:rPr>
                <w:rFonts w:ascii="宋体" w:hAnsi="宋体" w:cs="宋体"/>
                <w:color w:val="auto"/>
                <w:szCs w:val="28"/>
                <w:highlight w:val="none"/>
              </w:rPr>
            </w:pPr>
            <w:r>
              <w:rPr>
                <w:rFonts w:hint="eastAsia" w:ascii="宋体" w:hAnsi="宋体" w:cs="宋体"/>
                <w:color w:val="auto"/>
                <w:szCs w:val="28"/>
                <w:highlight w:val="none"/>
              </w:rPr>
              <w:t>在移动端显示单位创建的群，群内用户可以在移动端接收群消息，并回复。</w:t>
            </w:r>
          </w:p>
        </w:tc>
        <w:tc>
          <w:tcPr>
            <w:tcW w:w="1071" w:type="dxa"/>
            <w:vAlign w:val="center"/>
          </w:tcPr>
          <w:p>
            <w:pPr>
              <w:widowControl/>
              <w:spacing w:line="300" w:lineRule="exact"/>
              <w:jc w:val="center"/>
              <w:rPr>
                <w:rFonts w:ascii="宋体" w:hAnsi="宋体" w:cs="宋体"/>
                <w:color w:val="auto"/>
                <w:szCs w:val="28"/>
                <w:highlight w:val="none"/>
              </w:rPr>
            </w:pPr>
            <w:r>
              <w:rPr>
                <w:rFonts w:hint="eastAsia" w:ascii="宋体" w:hAnsi="宋体" w:cs="宋体"/>
                <w:color w:val="auto"/>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04" w:type="dxa"/>
            <w:vMerge w:val="continue"/>
            <w:vAlign w:val="center"/>
          </w:tcPr>
          <w:p>
            <w:pPr>
              <w:widowControl/>
              <w:spacing w:line="300" w:lineRule="exact"/>
              <w:textAlignment w:val="center"/>
              <w:rPr>
                <w:rFonts w:ascii="宋体" w:hAnsi="宋体" w:cs="宋体"/>
                <w:bCs/>
                <w:color w:val="auto"/>
                <w:kern w:val="0"/>
                <w:szCs w:val="28"/>
                <w:highlight w:val="none"/>
              </w:rPr>
            </w:pPr>
          </w:p>
        </w:tc>
        <w:tc>
          <w:tcPr>
            <w:tcW w:w="1134" w:type="dxa"/>
            <w:vMerge w:val="continue"/>
            <w:vAlign w:val="center"/>
          </w:tcPr>
          <w:p>
            <w:pPr>
              <w:tabs>
                <w:tab w:val="left" w:pos="420"/>
              </w:tabs>
              <w:spacing w:line="300" w:lineRule="exact"/>
              <w:rPr>
                <w:rFonts w:ascii="宋体" w:hAnsi="宋体" w:cs="宋体"/>
                <w:bCs/>
                <w:color w:val="auto"/>
                <w:szCs w:val="28"/>
                <w:highlight w:val="none"/>
              </w:rPr>
            </w:pPr>
          </w:p>
        </w:tc>
        <w:tc>
          <w:tcPr>
            <w:tcW w:w="1124" w:type="dxa"/>
            <w:vAlign w:val="center"/>
          </w:tcPr>
          <w:p>
            <w:pPr>
              <w:widowControl/>
              <w:spacing w:line="30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用户信息管理</w:t>
            </w:r>
          </w:p>
        </w:tc>
        <w:tc>
          <w:tcPr>
            <w:tcW w:w="4263" w:type="dxa"/>
            <w:vAlign w:val="center"/>
          </w:tcPr>
          <w:p>
            <w:pPr>
              <w:widowControl/>
              <w:spacing w:line="300" w:lineRule="exact"/>
              <w:rPr>
                <w:rFonts w:ascii="宋体" w:hAnsi="宋体" w:cs="宋体"/>
                <w:color w:val="auto"/>
                <w:szCs w:val="28"/>
                <w:highlight w:val="none"/>
              </w:rPr>
            </w:pPr>
            <w:r>
              <w:rPr>
                <w:rFonts w:hint="eastAsia" w:ascii="宋体" w:hAnsi="宋体" w:cs="宋体"/>
                <w:color w:val="auto"/>
                <w:szCs w:val="28"/>
                <w:highlight w:val="none"/>
              </w:rPr>
              <w:t>由单位管理员使用，单位管理员按照单位人员批量创建单位IM账号，同步单位人员信息到IM后台。</w:t>
            </w:r>
          </w:p>
        </w:tc>
        <w:tc>
          <w:tcPr>
            <w:tcW w:w="1071" w:type="dxa"/>
            <w:vAlign w:val="center"/>
          </w:tcPr>
          <w:p>
            <w:pPr>
              <w:widowControl/>
              <w:spacing w:line="300" w:lineRule="exact"/>
              <w:jc w:val="center"/>
              <w:rPr>
                <w:rFonts w:ascii="宋体" w:hAnsi="宋体" w:cs="宋体"/>
                <w:color w:val="auto"/>
                <w:szCs w:val="28"/>
                <w:highlight w:val="none"/>
              </w:rPr>
            </w:pPr>
            <w:r>
              <w:rPr>
                <w:rFonts w:ascii="宋体" w:hAnsi="宋体" w:cs="宋体"/>
                <w:color w:val="auto"/>
                <w:szCs w:val="2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04" w:type="dxa"/>
            <w:vMerge w:val="continue"/>
            <w:vAlign w:val="center"/>
          </w:tcPr>
          <w:p>
            <w:pPr>
              <w:widowControl/>
              <w:spacing w:line="300" w:lineRule="exact"/>
              <w:textAlignment w:val="center"/>
              <w:rPr>
                <w:rFonts w:ascii="宋体" w:hAnsi="宋体" w:cs="宋体"/>
                <w:bCs/>
                <w:color w:val="auto"/>
                <w:kern w:val="0"/>
                <w:szCs w:val="28"/>
                <w:highlight w:val="none"/>
              </w:rPr>
            </w:pPr>
          </w:p>
        </w:tc>
        <w:tc>
          <w:tcPr>
            <w:tcW w:w="1134" w:type="dxa"/>
            <w:vMerge w:val="continue"/>
            <w:vAlign w:val="center"/>
          </w:tcPr>
          <w:p>
            <w:pPr>
              <w:tabs>
                <w:tab w:val="left" w:pos="420"/>
              </w:tabs>
              <w:spacing w:line="300" w:lineRule="exact"/>
              <w:rPr>
                <w:rFonts w:ascii="宋体" w:hAnsi="宋体" w:cs="宋体"/>
                <w:bCs/>
                <w:color w:val="auto"/>
                <w:szCs w:val="28"/>
                <w:highlight w:val="none"/>
              </w:rPr>
            </w:pPr>
          </w:p>
        </w:tc>
        <w:tc>
          <w:tcPr>
            <w:tcW w:w="1124" w:type="dxa"/>
            <w:vAlign w:val="center"/>
          </w:tcPr>
          <w:p>
            <w:pPr>
              <w:widowControl/>
              <w:spacing w:line="30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消息发送接口</w:t>
            </w:r>
          </w:p>
        </w:tc>
        <w:tc>
          <w:tcPr>
            <w:tcW w:w="4263" w:type="dxa"/>
            <w:vAlign w:val="center"/>
          </w:tcPr>
          <w:p>
            <w:pPr>
              <w:widowControl/>
              <w:spacing w:line="300" w:lineRule="exact"/>
              <w:rPr>
                <w:rFonts w:ascii="宋体" w:hAnsi="宋体" w:cs="宋体"/>
                <w:color w:val="auto"/>
                <w:szCs w:val="28"/>
                <w:highlight w:val="none"/>
              </w:rPr>
            </w:pPr>
            <w:r>
              <w:rPr>
                <w:rFonts w:hint="eastAsia" w:ascii="宋体" w:hAnsi="宋体" w:cs="宋体"/>
                <w:color w:val="auto"/>
                <w:szCs w:val="28"/>
                <w:highlight w:val="none"/>
              </w:rPr>
              <w:t>通过后台给移动客户端IM用户发送消息</w:t>
            </w:r>
          </w:p>
        </w:tc>
        <w:tc>
          <w:tcPr>
            <w:tcW w:w="1071" w:type="dxa"/>
            <w:vAlign w:val="center"/>
          </w:tcPr>
          <w:p>
            <w:pPr>
              <w:widowControl/>
              <w:spacing w:line="300" w:lineRule="exact"/>
              <w:jc w:val="center"/>
              <w:rPr>
                <w:rFonts w:ascii="宋体" w:hAnsi="宋体" w:cs="宋体"/>
                <w:color w:val="auto"/>
                <w:szCs w:val="28"/>
                <w:highlight w:val="none"/>
              </w:rPr>
            </w:pPr>
            <w:r>
              <w:rPr>
                <w:rFonts w:hint="eastAsia" w:ascii="宋体" w:hAnsi="宋体" w:cs="宋体"/>
                <w:color w:val="auto"/>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704" w:type="dxa"/>
            <w:vMerge w:val="continue"/>
            <w:vAlign w:val="center"/>
          </w:tcPr>
          <w:p>
            <w:pPr>
              <w:widowControl/>
              <w:spacing w:line="300" w:lineRule="exact"/>
              <w:textAlignment w:val="center"/>
              <w:rPr>
                <w:rFonts w:ascii="宋体" w:hAnsi="宋体" w:cs="宋体"/>
                <w:bCs/>
                <w:color w:val="auto"/>
                <w:kern w:val="0"/>
                <w:szCs w:val="28"/>
                <w:highlight w:val="none"/>
              </w:rPr>
            </w:pPr>
          </w:p>
        </w:tc>
        <w:tc>
          <w:tcPr>
            <w:tcW w:w="1134" w:type="dxa"/>
            <w:vMerge w:val="continue"/>
            <w:vAlign w:val="center"/>
          </w:tcPr>
          <w:p>
            <w:pPr>
              <w:tabs>
                <w:tab w:val="left" w:pos="420"/>
              </w:tabs>
              <w:spacing w:line="300" w:lineRule="exact"/>
              <w:rPr>
                <w:rFonts w:ascii="宋体" w:hAnsi="宋体" w:cs="宋体"/>
                <w:bCs/>
                <w:color w:val="auto"/>
                <w:szCs w:val="28"/>
                <w:highlight w:val="none"/>
              </w:rPr>
            </w:pPr>
          </w:p>
        </w:tc>
        <w:tc>
          <w:tcPr>
            <w:tcW w:w="1124" w:type="dxa"/>
            <w:vAlign w:val="center"/>
          </w:tcPr>
          <w:p>
            <w:pPr>
              <w:widowControl/>
              <w:spacing w:line="30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应用消息接口</w:t>
            </w:r>
          </w:p>
        </w:tc>
        <w:tc>
          <w:tcPr>
            <w:tcW w:w="4263" w:type="dxa"/>
            <w:vAlign w:val="center"/>
          </w:tcPr>
          <w:p>
            <w:pPr>
              <w:widowControl/>
              <w:spacing w:line="300" w:lineRule="exact"/>
              <w:rPr>
                <w:rFonts w:ascii="宋体" w:hAnsi="宋体" w:cs="宋体"/>
                <w:color w:val="auto"/>
                <w:szCs w:val="28"/>
                <w:highlight w:val="none"/>
              </w:rPr>
            </w:pPr>
            <w:r>
              <w:rPr>
                <w:rFonts w:hint="eastAsia" w:ascii="宋体" w:hAnsi="宋体" w:cs="宋体"/>
                <w:color w:val="auto"/>
                <w:szCs w:val="28"/>
                <w:highlight w:val="none"/>
              </w:rPr>
              <w:t>后台应用调用消息发送子系统提供的接口，实现应用对用户的消息提示，预警提示。</w:t>
            </w:r>
          </w:p>
        </w:tc>
        <w:tc>
          <w:tcPr>
            <w:tcW w:w="1071" w:type="dxa"/>
            <w:vAlign w:val="center"/>
          </w:tcPr>
          <w:p>
            <w:pPr>
              <w:widowControl/>
              <w:spacing w:line="300" w:lineRule="exact"/>
              <w:jc w:val="center"/>
              <w:rPr>
                <w:rFonts w:ascii="宋体" w:hAnsi="宋体" w:cs="宋体"/>
                <w:color w:val="auto"/>
                <w:szCs w:val="28"/>
                <w:highlight w:val="none"/>
              </w:rPr>
            </w:pPr>
            <w:r>
              <w:rPr>
                <w:rFonts w:ascii="宋体" w:hAnsi="宋体" w:cs="宋体"/>
                <w:color w:val="auto"/>
                <w:szCs w:val="2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704" w:type="dxa"/>
            <w:vMerge w:val="restart"/>
            <w:vAlign w:val="center"/>
          </w:tcPr>
          <w:p>
            <w:pPr>
              <w:widowControl/>
              <w:spacing w:line="300" w:lineRule="exact"/>
              <w:textAlignment w:val="center"/>
              <w:rPr>
                <w:rFonts w:ascii="宋体" w:hAnsi="宋体" w:cs="宋体"/>
                <w:bCs/>
                <w:color w:val="auto"/>
                <w:kern w:val="0"/>
                <w:szCs w:val="28"/>
                <w:highlight w:val="none"/>
              </w:rPr>
            </w:pPr>
            <w:r>
              <w:rPr>
                <w:rFonts w:hint="eastAsia" w:ascii="宋体" w:hAnsi="宋体" w:cs="宋体"/>
                <w:bCs/>
                <w:color w:val="auto"/>
                <w:kern w:val="0"/>
                <w:szCs w:val="28"/>
                <w:highlight w:val="none"/>
              </w:rPr>
              <w:t>3</w:t>
            </w:r>
          </w:p>
        </w:tc>
        <w:tc>
          <w:tcPr>
            <w:tcW w:w="1134" w:type="dxa"/>
            <w:vMerge w:val="restart"/>
            <w:vAlign w:val="center"/>
          </w:tcPr>
          <w:p>
            <w:pPr>
              <w:widowControl/>
              <w:spacing w:line="300" w:lineRule="exact"/>
              <w:textAlignment w:val="center"/>
              <w:rPr>
                <w:rFonts w:ascii="宋体" w:hAnsi="宋体" w:cs="宋体"/>
                <w:bCs/>
                <w:color w:val="auto"/>
                <w:szCs w:val="28"/>
                <w:highlight w:val="none"/>
              </w:rPr>
            </w:pPr>
            <w:r>
              <w:rPr>
                <w:rFonts w:hint="eastAsia" w:ascii="宋体" w:hAnsi="宋体" w:cs="宋体"/>
                <w:bCs/>
                <w:color w:val="auto"/>
                <w:kern w:val="0"/>
                <w:szCs w:val="28"/>
                <w:highlight w:val="none"/>
              </w:rPr>
              <w:t>短信服务</w:t>
            </w:r>
          </w:p>
        </w:tc>
        <w:tc>
          <w:tcPr>
            <w:tcW w:w="1124" w:type="dxa"/>
            <w:vAlign w:val="center"/>
          </w:tcPr>
          <w:p>
            <w:pPr>
              <w:widowControl/>
              <w:spacing w:line="30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短信发送接口</w:t>
            </w:r>
          </w:p>
        </w:tc>
        <w:tc>
          <w:tcPr>
            <w:tcW w:w="4263" w:type="dxa"/>
            <w:vAlign w:val="center"/>
          </w:tcPr>
          <w:p>
            <w:pPr>
              <w:widowControl/>
              <w:spacing w:line="300" w:lineRule="exact"/>
              <w:rPr>
                <w:rFonts w:ascii="宋体" w:hAnsi="宋体" w:cs="宋体"/>
                <w:color w:val="auto"/>
                <w:szCs w:val="28"/>
                <w:highlight w:val="none"/>
              </w:rPr>
            </w:pPr>
            <w:r>
              <w:rPr>
                <w:rFonts w:hint="eastAsia" w:ascii="宋体" w:hAnsi="宋体" w:cs="宋体"/>
                <w:color w:val="auto"/>
                <w:szCs w:val="28"/>
                <w:highlight w:val="none"/>
              </w:rPr>
              <w:t>通过后台给ISP短信网关发送短信，支持群发，支持分段消息（大于140字的消息自动分段发送）。将消息发送给多个用户或者单位群。</w:t>
            </w:r>
          </w:p>
        </w:tc>
        <w:tc>
          <w:tcPr>
            <w:tcW w:w="1071" w:type="dxa"/>
            <w:vAlign w:val="center"/>
          </w:tcPr>
          <w:p>
            <w:pPr>
              <w:widowControl/>
              <w:spacing w:line="300" w:lineRule="exact"/>
              <w:jc w:val="center"/>
              <w:rPr>
                <w:rFonts w:ascii="宋体" w:hAnsi="宋体" w:cs="宋体"/>
                <w:color w:val="auto"/>
                <w:szCs w:val="28"/>
                <w:highlight w:val="none"/>
              </w:rPr>
            </w:pPr>
            <w:r>
              <w:rPr>
                <w:rFonts w:ascii="宋体" w:hAnsi="宋体" w:cs="宋体"/>
                <w:color w:val="auto"/>
                <w:szCs w:val="2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704" w:type="dxa"/>
            <w:vMerge w:val="continue"/>
            <w:vAlign w:val="center"/>
          </w:tcPr>
          <w:p>
            <w:pPr>
              <w:widowControl/>
              <w:spacing w:line="300" w:lineRule="exact"/>
              <w:textAlignment w:val="center"/>
              <w:rPr>
                <w:rFonts w:ascii="宋体" w:hAnsi="宋体" w:cs="宋体"/>
                <w:bCs/>
                <w:color w:val="auto"/>
                <w:kern w:val="0"/>
                <w:szCs w:val="28"/>
                <w:highlight w:val="none"/>
              </w:rPr>
            </w:pPr>
          </w:p>
        </w:tc>
        <w:tc>
          <w:tcPr>
            <w:tcW w:w="1134" w:type="dxa"/>
            <w:vMerge w:val="continue"/>
            <w:vAlign w:val="center"/>
          </w:tcPr>
          <w:p>
            <w:pPr>
              <w:tabs>
                <w:tab w:val="left" w:pos="420"/>
              </w:tabs>
              <w:spacing w:line="300" w:lineRule="exact"/>
              <w:rPr>
                <w:rFonts w:ascii="宋体" w:hAnsi="宋体" w:cs="宋体"/>
                <w:bCs/>
                <w:color w:val="auto"/>
                <w:szCs w:val="28"/>
                <w:highlight w:val="none"/>
              </w:rPr>
            </w:pPr>
          </w:p>
        </w:tc>
        <w:tc>
          <w:tcPr>
            <w:tcW w:w="1124" w:type="dxa"/>
            <w:vAlign w:val="center"/>
          </w:tcPr>
          <w:p>
            <w:pPr>
              <w:widowControl/>
              <w:spacing w:line="30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应用消息接口</w:t>
            </w:r>
          </w:p>
        </w:tc>
        <w:tc>
          <w:tcPr>
            <w:tcW w:w="4263" w:type="dxa"/>
            <w:vAlign w:val="center"/>
          </w:tcPr>
          <w:p>
            <w:pPr>
              <w:widowControl/>
              <w:spacing w:line="300" w:lineRule="exact"/>
              <w:rPr>
                <w:rFonts w:ascii="宋体" w:hAnsi="宋体" w:cs="宋体"/>
                <w:color w:val="auto"/>
                <w:szCs w:val="28"/>
                <w:highlight w:val="none"/>
              </w:rPr>
            </w:pPr>
            <w:r>
              <w:rPr>
                <w:rFonts w:hint="eastAsia" w:ascii="宋体" w:hAnsi="宋体" w:cs="宋体"/>
                <w:color w:val="auto"/>
                <w:szCs w:val="28"/>
                <w:highlight w:val="none"/>
              </w:rPr>
              <w:t>后台应用调用消息发送子系统提供的接口，实现应用对用户的消息提示，预警提示</w:t>
            </w:r>
          </w:p>
        </w:tc>
        <w:tc>
          <w:tcPr>
            <w:tcW w:w="1071" w:type="dxa"/>
            <w:vAlign w:val="center"/>
          </w:tcPr>
          <w:p>
            <w:pPr>
              <w:widowControl/>
              <w:spacing w:line="300" w:lineRule="exact"/>
              <w:jc w:val="center"/>
              <w:rPr>
                <w:rFonts w:ascii="宋体" w:hAnsi="宋体" w:cs="宋体"/>
                <w:color w:val="auto"/>
                <w:szCs w:val="28"/>
                <w:highlight w:val="none"/>
              </w:rPr>
            </w:pPr>
            <w:r>
              <w:rPr>
                <w:rFonts w:ascii="宋体" w:hAnsi="宋体" w:cs="宋体"/>
                <w:color w:val="auto"/>
                <w:szCs w:val="2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04" w:type="dxa"/>
            <w:vMerge w:val="continue"/>
            <w:vAlign w:val="center"/>
          </w:tcPr>
          <w:p>
            <w:pPr>
              <w:widowControl/>
              <w:spacing w:line="300" w:lineRule="exact"/>
              <w:textAlignment w:val="center"/>
              <w:rPr>
                <w:rFonts w:ascii="宋体" w:hAnsi="宋体" w:cs="宋体"/>
                <w:bCs/>
                <w:color w:val="auto"/>
                <w:kern w:val="0"/>
                <w:szCs w:val="28"/>
                <w:highlight w:val="none"/>
              </w:rPr>
            </w:pPr>
          </w:p>
        </w:tc>
        <w:tc>
          <w:tcPr>
            <w:tcW w:w="1134" w:type="dxa"/>
            <w:vMerge w:val="continue"/>
            <w:vAlign w:val="center"/>
          </w:tcPr>
          <w:p>
            <w:pPr>
              <w:tabs>
                <w:tab w:val="left" w:pos="420"/>
              </w:tabs>
              <w:spacing w:line="300" w:lineRule="exact"/>
              <w:rPr>
                <w:rFonts w:ascii="宋体" w:hAnsi="宋体" w:cs="宋体"/>
                <w:bCs/>
                <w:color w:val="auto"/>
                <w:szCs w:val="28"/>
                <w:highlight w:val="none"/>
              </w:rPr>
            </w:pPr>
          </w:p>
        </w:tc>
        <w:tc>
          <w:tcPr>
            <w:tcW w:w="1124" w:type="dxa"/>
            <w:vAlign w:val="center"/>
          </w:tcPr>
          <w:p>
            <w:pPr>
              <w:widowControl/>
              <w:spacing w:line="30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发送统计</w:t>
            </w:r>
          </w:p>
        </w:tc>
        <w:tc>
          <w:tcPr>
            <w:tcW w:w="4263" w:type="dxa"/>
            <w:vAlign w:val="center"/>
          </w:tcPr>
          <w:p>
            <w:pPr>
              <w:widowControl/>
              <w:spacing w:line="300" w:lineRule="exact"/>
              <w:rPr>
                <w:rFonts w:ascii="宋体" w:hAnsi="宋体" w:cs="宋体"/>
                <w:color w:val="auto"/>
                <w:szCs w:val="28"/>
                <w:highlight w:val="none"/>
              </w:rPr>
            </w:pPr>
            <w:r>
              <w:rPr>
                <w:rFonts w:hint="eastAsia" w:ascii="宋体" w:hAnsi="宋体" w:cs="宋体"/>
                <w:color w:val="auto"/>
                <w:szCs w:val="28"/>
                <w:highlight w:val="none"/>
              </w:rPr>
              <w:t>按照单位，单位用户统计移动短信发送条数，发送记录，形成短信发送统计报表。</w:t>
            </w:r>
          </w:p>
        </w:tc>
        <w:tc>
          <w:tcPr>
            <w:tcW w:w="1071" w:type="dxa"/>
            <w:vAlign w:val="center"/>
          </w:tcPr>
          <w:p>
            <w:pPr>
              <w:widowControl/>
              <w:spacing w:line="300" w:lineRule="exact"/>
              <w:jc w:val="center"/>
              <w:rPr>
                <w:rFonts w:ascii="宋体" w:hAnsi="宋体" w:cs="宋体"/>
                <w:color w:val="auto"/>
                <w:szCs w:val="28"/>
                <w:highlight w:val="none"/>
              </w:rPr>
            </w:pPr>
            <w:r>
              <w:rPr>
                <w:rFonts w:hint="eastAsia" w:ascii="宋体" w:hAnsi="宋体" w:cs="宋体"/>
                <w:color w:val="auto"/>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04" w:type="dxa"/>
            <w:vMerge w:val="continue"/>
            <w:vAlign w:val="center"/>
          </w:tcPr>
          <w:p>
            <w:pPr>
              <w:widowControl/>
              <w:spacing w:line="300" w:lineRule="exact"/>
              <w:textAlignment w:val="center"/>
              <w:rPr>
                <w:rFonts w:ascii="宋体" w:hAnsi="宋体" w:cs="宋体"/>
                <w:bCs/>
                <w:color w:val="auto"/>
                <w:kern w:val="0"/>
                <w:szCs w:val="28"/>
                <w:highlight w:val="none"/>
              </w:rPr>
            </w:pPr>
          </w:p>
        </w:tc>
        <w:tc>
          <w:tcPr>
            <w:tcW w:w="1134" w:type="dxa"/>
            <w:vMerge w:val="continue"/>
            <w:vAlign w:val="center"/>
          </w:tcPr>
          <w:p>
            <w:pPr>
              <w:tabs>
                <w:tab w:val="left" w:pos="420"/>
              </w:tabs>
              <w:spacing w:line="300" w:lineRule="exact"/>
              <w:rPr>
                <w:rFonts w:ascii="宋体" w:hAnsi="宋体" w:cs="宋体"/>
                <w:bCs/>
                <w:color w:val="auto"/>
                <w:szCs w:val="28"/>
                <w:highlight w:val="none"/>
              </w:rPr>
            </w:pPr>
          </w:p>
        </w:tc>
        <w:tc>
          <w:tcPr>
            <w:tcW w:w="1124" w:type="dxa"/>
            <w:vAlign w:val="center"/>
          </w:tcPr>
          <w:p>
            <w:pPr>
              <w:widowControl/>
              <w:spacing w:line="30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发送数量限制</w:t>
            </w:r>
          </w:p>
        </w:tc>
        <w:tc>
          <w:tcPr>
            <w:tcW w:w="4263" w:type="dxa"/>
            <w:vAlign w:val="center"/>
          </w:tcPr>
          <w:p>
            <w:pPr>
              <w:widowControl/>
              <w:spacing w:line="300" w:lineRule="exact"/>
              <w:rPr>
                <w:rFonts w:ascii="宋体" w:hAnsi="宋体" w:cs="宋体"/>
                <w:color w:val="auto"/>
                <w:szCs w:val="28"/>
                <w:highlight w:val="none"/>
              </w:rPr>
            </w:pPr>
            <w:r>
              <w:rPr>
                <w:rFonts w:hint="eastAsia" w:ascii="宋体" w:hAnsi="宋体" w:cs="宋体"/>
                <w:color w:val="auto"/>
                <w:szCs w:val="28"/>
                <w:highlight w:val="none"/>
              </w:rPr>
              <w:t>设置单位，单位用户发送短信的上限，到达上限后，短信发送服务停止。</w:t>
            </w:r>
          </w:p>
        </w:tc>
        <w:tc>
          <w:tcPr>
            <w:tcW w:w="1071" w:type="dxa"/>
            <w:vAlign w:val="center"/>
          </w:tcPr>
          <w:p>
            <w:pPr>
              <w:widowControl/>
              <w:spacing w:line="300" w:lineRule="exact"/>
              <w:jc w:val="center"/>
              <w:rPr>
                <w:rFonts w:ascii="宋体" w:hAnsi="宋体" w:cs="宋体"/>
                <w:color w:val="auto"/>
                <w:szCs w:val="28"/>
                <w:highlight w:val="none"/>
              </w:rPr>
            </w:pPr>
            <w:r>
              <w:rPr>
                <w:rFonts w:hint="eastAsia" w:ascii="宋体" w:hAnsi="宋体" w:cs="宋体"/>
                <w:color w:val="auto"/>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04" w:type="dxa"/>
            <w:vMerge w:val="restart"/>
            <w:vAlign w:val="center"/>
          </w:tcPr>
          <w:p>
            <w:pPr>
              <w:widowControl/>
              <w:spacing w:line="300" w:lineRule="exact"/>
              <w:textAlignment w:val="center"/>
              <w:rPr>
                <w:rFonts w:ascii="宋体" w:hAnsi="宋体" w:cs="宋体"/>
                <w:bCs/>
                <w:color w:val="auto"/>
                <w:kern w:val="0"/>
                <w:szCs w:val="28"/>
                <w:highlight w:val="none"/>
              </w:rPr>
            </w:pPr>
            <w:r>
              <w:rPr>
                <w:rFonts w:hint="eastAsia" w:ascii="宋体" w:hAnsi="宋体" w:cs="宋体"/>
                <w:bCs/>
                <w:color w:val="auto"/>
                <w:kern w:val="0"/>
                <w:szCs w:val="28"/>
                <w:highlight w:val="none"/>
              </w:rPr>
              <w:t>4</w:t>
            </w:r>
          </w:p>
        </w:tc>
        <w:tc>
          <w:tcPr>
            <w:tcW w:w="1134" w:type="dxa"/>
            <w:vMerge w:val="restart"/>
            <w:vAlign w:val="center"/>
          </w:tcPr>
          <w:p>
            <w:pPr>
              <w:widowControl/>
              <w:spacing w:line="300" w:lineRule="exact"/>
              <w:textAlignment w:val="center"/>
              <w:rPr>
                <w:rFonts w:ascii="宋体" w:hAnsi="宋体" w:cs="宋体"/>
                <w:bCs/>
                <w:color w:val="auto"/>
                <w:szCs w:val="28"/>
                <w:highlight w:val="none"/>
              </w:rPr>
            </w:pPr>
            <w:r>
              <w:rPr>
                <w:rFonts w:hint="eastAsia" w:ascii="宋体" w:hAnsi="宋体" w:cs="宋体"/>
                <w:bCs/>
                <w:color w:val="auto"/>
                <w:kern w:val="0"/>
                <w:szCs w:val="28"/>
                <w:highlight w:val="none"/>
              </w:rPr>
              <w:t>公文交换服务</w:t>
            </w:r>
          </w:p>
        </w:tc>
        <w:tc>
          <w:tcPr>
            <w:tcW w:w="1124" w:type="dxa"/>
            <w:vAlign w:val="center"/>
          </w:tcPr>
          <w:p>
            <w:pPr>
              <w:widowControl/>
              <w:spacing w:line="30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内部单位通讯录管理</w:t>
            </w:r>
          </w:p>
        </w:tc>
        <w:tc>
          <w:tcPr>
            <w:tcW w:w="4263" w:type="dxa"/>
            <w:vAlign w:val="center"/>
          </w:tcPr>
          <w:p>
            <w:pPr>
              <w:widowControl/>
              <w:spacing w:line="300" w:lineRule="exact"/>
              <w:rPr>
                <w:rFonts w:ascii="宋体" w:hAnsi="宋体" w:cs="宋体"/>
                <w:color w:val="auto"/>
                <w:szCs w:val="28"/>
                <w:highlight w:val="none"/>
              </w:rPr>
            </w:pPr>
            <w:r>
              <w:rPr>
                <w:rFonts w:hint="eastAsia" w:ascii="宋体" w:hAnsi="宋体" w:cs="宋体"/>
                <w:color w:val="auto"/>
                <w:szCs w:val="28"/>
                <w:highlight w:val="none"/>
              </w:rPr>
              <w:t>由平台管理员维护接入平台的单位信息。</w:t>
            </w:r>
          </w:p>
        </w:tc>
        <w:tc>
          <w:tcPr>
            <w:tcW w:w="1071" w:type="dxa"/>
            <w:vAlign w:val="center"/>
          </w:tcPr>
          <w:p>
            <w:pPr>
              <w:widowControl/>
              <w:spacing w:line="300" w:lineRule="exact"/>
              <w:jc w:val="center"/>
              <w:rPr>
                <w:rFonts w:ascii="宋体" w:hAnsi="宋体" w:cs="宋体"/>
                <w:color w:val="auto"/>
                <w:szCs w:val="28"/>
                <w:highlight w:val="none"/>
              </w:rPr>
            </w:pPr>
            <w:r>
              <w:rPr>
                <w:rFonts w:hint="eastAsia" w:ascii="宋体" w:hAnsi="宋体" w:cs="宋体"/>
                <w:color w:val="auto"/>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04" w:type="dxa"/>
            <w:vMerge w:val="continue"/>
            <w:vAlign w:val="center"/>
          </w:tcPr>
          <w:p>
            <w:pPr>
              <w:widowControl/>
              <w:spacing w:line="300" w:lineRule="exact"/>
              <w:textAlignment w:val="center"/>
              <w:rPr>
                <w:rFonts w:ascii="宋体" w:hAnsi="宋体" w:cs="宋体"/>
                <w:bCs/>
                <w:color w:val="auto"/>
                <w:kern w:val="0"/>
                <w:szCs w:val="28"/>
                <w:highlight w:val="none"/>
              </w:rPr>
            </w:pPr>
          </w:p>
        </w:tc>
        <w:tc>
          <w:tcPr>
            <w:tcW w:w="1134" w:type="dxa"/>
            <w:vMerge w:val="continue"/>
            <w:vAlign w:val="center"/>
          </w:tcPr>
          <w:p>
            <w:pPr>
              <w:tabs>
                <w:tab w:val="left" w:pos="420"/>
              </w:tabs>
              <w:spacing w:line="300" w:lineRule="exact"/>
              <w:rPr>
                <w:rFonts w:ascii="宋体" w:hAnsi="宋体" w:cs="宋体"/>
                <w:bCs/>
                <w:color w:val="auto"/>
                <w:szCs w:val="28"/>
                <w:highlight w:val="none"/>
              </w:rPr>
            </w:pPr>
          </w:p>
        </w:tc>
        <w:tc>
          <w:tcPr>
            <w:tcW w:w="1124" w:type="dxa"/>
            <w:vAlign w:val="center"/>
          </w:tcPr>
          <w:p>
            <w:pPr>
              <w:widowControl/>
              <w:spacing w:line="30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外部发文接口</w:t>
            </w:r>
          </w:p>
        </w:tc>
        <w:tc>
          <w:tcPr>
            <w:tcW w:w="4263" w:type="dxa"/>
            <w:vAlign w:val="center"/>
          </w:tcPr>
          <w:p>
            <w:pPr>
              <w:widowControl/>
              <w:spacing w:line="300" w:lineRule="exact"/>
              <w:rPr>
                <w:rFonts w:ascii="宋体" w:hAnsi="宋体" w:cs="宋体"/>
                <w:color w:val="auto"/>
                <w:szCs w:val="28"/>
                <w:highlight w:val="none"/>
              </w:rPr>
            </w:pPr>
            <w:r>
              <w:rPr>
                <w:rFonts w:hint="eastAsia" w:ascii="宋体" w:hAnsi="宋体" w:cs="宋体"/>
                <w:color w:val="auto"/>
                <w:szCs w:val="28"/>
                <w:highlight w:val="none"/>
              </w:rPr>
              <w:t>支持公文</w:t>
            </w:r>
            <w:r>
              <w:rPr>
                <w:rFonts w:ascii="宋体" w:hAnsi="宋体" w:cs="宋体"/>
                <w:color w:val="auto"/>
                <w:szCs w:val="28"/>
                <w:highlight w:val="none"/>
              </w:rPr>
              <w:t>交换服务接口，为政务办公应用提供发文服务</w:t>
            </w:r>
            <w:r>
              <w:rPr>
                <w:rFonts w:hint="eastAsia" w:ascii="宋体" w:hAnsi="宋体" w:cs="宋体"/>
                <w:color w:val="auto"/>
                <w:szCs w:val="28"/>
                <w:highlight w:val="none"/>
              </w:rPr>
              <w:t>。</w:t>
            </w:r>
          </w:p>
        </w:tc>
        <w:tc>
          <w:tcPr>
            <w:tcW w:w="1071" w:type="dxa"/>
            <w:vAlign w:val="center"/>
          </w:tcPr>
          <w:p>
            <w:pPr>
              <w:widowControl/>
              <w:spacing w:line="300" w:lineRule="exact"/>
              <w:jc w:val="center"/>
              <w:rPr>
                <w:rFonts w:ascii="宋体" w:hAnsi="宋体" w:cs="宋体"/>
                <w:color w:val="auto"/>
                <w:szCs w:val="28"/>
                <w:highlight w:val="none"/>
              </w:rPr>
            </w:pPr>
            <w:r>
              <w:rPr>
                <w:rFonts w:hint="eastAsia" w:ascii="宋体" w:hAnsi="宋体" w:cs="宋体"/>
                <w:color w:val="auto"/>
                <w:szCs w:val="2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04" w:type="dxa"/>
            <w:vMerge w:val="continue"/>
            <w:vAlign w:val="center"/>
          </w:tcPr>
          <w:p>
            <w:pPr>
              <w:widowControl/>
              <w:spacing w:line="300" w:lineRule="exact"/>
              <w:textAlignment w:val="center"/>
              <w:rPr>
                <w:rFonts w:ascii="宋体" w:hAnsi="宋体" w:cs="宋体"/>
                <w:bCs/>
                <w:color w:val="auto"/>
                <w:kern w:val="0"/>
                <w:szCs w:val="28"/>
                <w:highlight w:val="none"/>
              </w:rPr>
            </w:pPr>
          </w:p>
        </w:tc>
        <w:tc>
          <w:tcPr>
            <w:tcW w:w="1134" w:type="dxa"/>
            <w:vMerge w:val="continue"/>
            <w:vAlign w:val="center"/>
          </w:tcPr>
          <w:p>
            <w:pPr>
              <w:tabs>
                <w:tab w:val="left" w:pos="420"/>
              </w:tabs>
              <w:spacing w:line="300" w:lineRule="exact"/>
              <w:rPr>
                <w:rFonts w:ascii="宋体" w:hAnsi="宋体" w:cs="宋体"/>
                <w:bCs/>
                <w:color w:val="auto"/>
                <w:szCs w:val="28"/>
                <w:highlight w:val="none"/>
              </w:rPr>
            </w:pPr>
          </w:p>
        </w:tc>
        <w:tc>
          <w:tcPr>
            <w:tcW w:w="1124" w:type="dxa"/>
            <w:vAlign w:val="center"/>
          </w:tcPr>
          <w:p>
            <w:pPr>
              <w:widowControl/>
              <w:spacing w:line="30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外部收文接口</w:t>
            </w:r>
          </w:p>
        </w:tc>
        <w:tc>
          <w:tcPr>
            <w:tcW w:w="4263" w:type="dxa"/>
            <w:vAlign w:val="center"/>
          </w:tcPr>
          <w:p>
            <w:pPr>
              <w:widowControl/>
              <w:spacing w:line="300" w:lineRule="exact"/>
              <w:rPr>
                <w:rFonts w:ascii="宋体" w:hAnsi="宋体" w:cs="宋体"/>
                <w:color w:val="auto"/>
                <w:szCs w:val="28"/>
                <w:highlight w:val="none"/>
              </w:rPr>
            </w:pPr>
            <w:r>
              <w:rPr>
                <w:rFonts w:hint="eastAsia" w:ascii="宋体" w:hAnsi="宋体" w:cs="宋体"/>
                <w:color w:val="auto"/>
                <w:szCs w:val="28"/>
                <w:highlight w:val="none"/>
              </w:rPr>
              <w:t>支持公文</w:t>
            </w:r>
            <w:r>
              <w:rPr>
                <w:rFonts w:ascii="宋体" w:hAnsi="宋体" w:cs="宋体"/>
                <w:color w:val="auto"/>
                <w:szCs w:val="28"/>
                <w:highlight w:val="none"/>
              </w:rPr>
              <w:t>交换服务接口，为政务办公应用提供</w:t>
            </w:r>
            <w:r>
              <w:rPr>
                <w:rFonts w:hint="eastAsia" w:ascii="宋体" w:hAnsi="宋体" w:cs="宋体"/>
                <w:color w:val="auto"/>
                <w:szCs w:val="28"/>
                <w:highlight w:val="none"/>
              </w:rPr>
              <w:t>收</w:t>
            </w:r>
            <w:r>
              <w:rPr>
                <w:rFonts w:ascii="宋体" w:hAnsi="宋体" w:cs="宋体"/>
                <w:color w:val="auto"/>
                <w:szCs w:val="28"/>
                <w:highlight w:val="none"/>
              </w:rPr>
              <w:t>文服务</w:t>
            </w:r>
            <w:r>
              <w:rPr>
                <w:rFonts w:hint="eastAsia" w:ascii="宋体" w:hAnsi="宋体" w:cs="宋体"/>
                <w:color w:val="auto"/>
                <w:szCs w:val="28"/>
                <w:highlight w:val="none"/>
              </w:rPr>
              <w:t>。</w:t>
            </w:r>
          </w:p>
        </w:tc>
        <w:tc>
          <w:tcPr>
            <w:tcW w:w="1071" w:type="dxa"/>
            <w:vAlign w:val="center"/>
          </w:tcPr>
          <w:p>
            <w:pPr>
              <w:widowControl/>
              <w:spacing w:line="300" w:lineRule="exact"/>
              <w:jc w:val="center"/>
              <w:rPr>
                <w:rFonts w:ascii="宋体" w:hAnsi="宋体" w:cs="宋体"/>
                <w:color w:val="auto"/>
                <w:szCs w:val="28"/>
                <w:highlight w:val="none"/>
              </w:rPr>
            </w:pPr>
            <w:r>
              <w:rPr>
                <w:rFonts w:hint="eastAsia" w:ascii="宋体" w:hAnsi="宋体" w:cs="宋体"/>
                <w:color w:val="auto"/>
                <w:szCs w:val="2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04" w:type="dxa"/>
            <w:vMerge w:val="restart"/>
            <w:vAlign w:val="center"/>
          </w:tcPr>
          <w:p>
            <w:pPr>
              <w:widowControl/>
              <w:spacing w:line="300" w:lineRule="exact"/>
              <w:textAlignment w:val="center"/>
              <w:rPr>
                <w:rFonts w:ascii="宋体" w:hAnsi="宋体" w:cs="宋体"/>
                <w:bCs/>
                <w:color w:val="auto"/>
                <w:kern w:val="0"/>
                <w:szCs w:val="28"/>
                <w:highlight w:val="none"/>
              </w:rPr>
            </w:pPr>
            <w:r>
              <w:rPr>
                <w:rFonts w:hint="eastAsia" w:ascii="宋体" w:hAnsi="宋体" w:cs="宋体"/>
                <w:bCs/>
                <w:color w:val="auto"/>
                <w:kern w:val="0"/>
                <w:szCs w:val="28"/>
                <w:highlight w:val="none"/>
              </w:rPr>
              <w:t>5</w:t>
            </w:r>
          </w:p>
        </w:tc>
        <w:tc>
          <w:tcPr>
            <w:tcW w:w="1134" w:type="dxa"/>
            <w:vMerge w:val="restart"/>
            <w:vAlign w:val="center"/>
          </w:tcPr>
          <w:p>
            <w:pPr>
              <w:tabs>
                <w:tab w:val="left" w:pos="420"/>
              </w:tabs>
              <w:spacing w:line="300" w:lineRule="exact"/>
              <w:rPr>
                <w:rFonts w:ascii="宋体" w:hAnsi="宋体" w:cs="宋体"/>
                <w:bCs/>
                <w:color w:val="auto"/>
                <w:szCs w:val="28"/>
                <w:highlight w:val="none"/>
              </w:rPr>
            </w:pPr>
            <w:r>
              <w:rPr>
                <w:rFonts w:hint="eastAsia" w:ascii="宋体" w:hAnsi="宋体" w:cs="宋体"/>
                <w:bCs/>
                <w:color w:val="auto"/>
                <w:szCs w:val="28"/>
                <w:highlight w:val="none"/>
              </w:rPr>
              <w:t>服务管理</w:t>
            </w:r>
          </w:p>
        </w:tc>
        <w:tc>
          <w:tcPr>
            <w:tcW w:w="1124" w:type="dxa"/>
            <w:vAlign w:val="center"/>
          </w:tcPr>
          <w:p>
            <w:pPr>
              <w:widowControl/>
              <w:spacing w:line="30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服务注册</w:t>
            </w:r>
          </w:p>
        </w:tc>
        <w:tc>
          <w:tcPr>
            <w:tcW w:w="4263" w:type="dxa"/>
            <w:vAlign w:val="center"/>
          </w:tcPr>
          <w:p>
            <w:pPr>
              <w:widowControl/>
              <w:spacing w:line="300" w:lineRule="exact"/>
              <w:rPr>
                <w:rFonts w:ascii="宋体" w:hAnsi="宋体" w:cs="宋体"/>
                <w:color w:val="auto"/>
                <w:szCs w:val="28"/>
                <w:highlight w:val="none"/>
              </w:rPr>
            </w:pPr>
            <w:r>
              <w:rPr>
                <w:rFonts w:hint="eastAsia" w:ascii="宋体" w:hAnsi="宋体" w:cs="宋体"/>
                <w:color w:val="auto"/>
                <w:szCs w:val="28"/>
                <w:highlight w:val="none"/>
              </w:rPr>
              <w:t>登记服务在平台内部署的IP，端口，接口URL，参数，返回值等基础信息。由平台管理员负责维护。</w:t>
            </w:r>
          </w:p>
        </w:tc>
        <w:tc>
          <w:tcPr>
            <w:tcW w:w="1071" w:type="dxa"/>
            <w:vAlign w:val="center"/>
          </w:tcPr>
          <w:p>
            <w:pPr>
              <w:widowControl/>
              <w:spacing w:line="300" w:lineRule="exact"/>
              <w:jc w:val="center"/>
              <w:rPr>
                <w:rFonts w:ascii="宋体" w:hAnsi="宋体" w:cs="宋体"/>
                <w:color w:val="auto"/>
                <w:szCs w:val="28"/>
                <w:highlight w:val="none"/>
              </w:rPr>
            </w:pPr>
            <w:r>
              <w:rPr>
                <w:rFonts w:hint="eastAsia" w:ascii="宋体" w:hAnsi="宋体" w:cs="宋体"/>
                <w:color w:val="auto"/>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04" w:type="dxa"/>
            <w:vMerge w:val="continue"/>
            <w:vAlign w:val="center"/>
          </w:tcPr>
          <w:p>
            <w:pPr>
              <w:widowControl/>
              <w:spacing w:line="300" w:lineRule="exact"/>
              <w:textAlignment w:val="center"/>
              <w:rPr>
                <w:rFonts w:ascii="宋体" w:hAnsi="宋体" w:cs="宋体"/>
                <w:bCs/>
                <w:color w:val="auto"/>
                <w:kern w:val="0"/>
                <w:szCs w:val="28"/>
                <w:highlight w:val="none"/>
              </w:rPr>
            </w:pPr>
          </w:p>
        </w:tc>
        <w:tc>
          <w:tcPr>
            <w:tcW w:w="1134" w:type="dxa"/>
            <w:vMerge w:val="continue"/>
            <w:vAlign w:val="center"/>
          </w:tcPr>
          <w:p>
            <w:pPr>
              <w:tabs>
                <w:tab w:val="left" w:pos="420"/>
              </w:tabs>
              <w:spacing w:line="300" w:lineRule="exact"/>
              <w:rPr>
                <w:rFonts w:ascii="宋体" w:hAnsi="宋体" w:cs="宋体"/>
                <w:bCs/>
                <w:color w:val="auto"/>
                <w:szCs w:val="28"/>
                <w:highlight w:val="none"/>
              </w:rPr>
            </w:pPr>
          </w:p>
        </w:tc>
        <w:tc>
          <w:tcPr>
            <w:tcW w:w="1124" w:type="dxa"/>
            <w:vAlign w:val="center"/>
          </w:tcPr>
          <w:p>
            <w:pPr>
              <w:widowControl/>
              <w:spacing w:line="30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服务代理</w:t>
            </w:r>
          </w:p>
        </w:tc>
        <w:tc>
          <w:tcPr>
            <w:tcW w:w="4263" w:type="dxa"/>
            <w:vAlign w:val="center"/>
          </w:tcPr>
          <w:p>
            <w:pPr>
              <w:widowControl/>
              <w:spacing w:line="300" w:lineRule="exact"/>
              <w:rPr>
                <w:rFonts w:ascii="宋体" w:hAnsi="宋体" w:cs="宋体"/>
                <w:color w:val="auto"/>
                <w:szCs w:val="28"/>
                <w:highlight w:val="none"/>
              </w:rPr>
            </w:pPr>
            <w:r>
              <w:rPr>
                <w:rFonts w:hint="eastAsia" w:ascii="宋体" w:hAnsi="宋体" w:cs="宋体"/>
                <w:color w:val="auto"/>
                <w:szCs w:val="28"/>
                <w:highlight w:val="none"/>
              </w:rPr>
              <w:t>针对单位个性应用（第三方应用），需要调用内部服务，对第三方应用客户端提供，由服务管理提供统一的调用入口。</w:t>
            </w:r>
          </w:p>
        </w:tc>
        <w:tc>
          <w:tcPr>
            <w:tcW w:w="1071" w:type="dxa"/>
            <w:vAlign w:val="center"/>
          </w:tcPr>
          <w:p>
            <w:pPr>
              <w:widowControl/>
              <w:spacing w:line="300" w:lineRule="exact"/>
              <w:jc w:val="center"/>
              <w:rPr>
                <w:rFonts w:ascii="宋体" w:hAnsi="宋体" w:cs="宋体"/>
                <w:color w:val="auto"/>
                <w:szCs w:val="28"/>
                <w:highlight w:val="none"/>
              </w:rPr>
            </w:pPr>
            <w:r>
              <w:rPr>
                <w:rFonts w:hint="eastAsia" w:ascii="宋体" w:hAnsi="宋体" w:cs="宋体"/>
                <w:color w:val="auto"/>
                <w:szCs w:val="2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04" w:type="dxa"/>
            <w:vMerge w:val="restart"/>
            <w:vAlign w:val="center"/>
          </w:tcPr>
          <w:p>
            <w:pPr>
              <w:widowControl/>
              <w:spacing w:line="300" w:lineRule="exact"/>
              <w:textAlignment w:val="center"/>
              <w:rPr>
                <w:rFonts w:ascii="宋体" w:hAnsi="宋体" w:cs="宋体"/>
                <w:bCs/>
                <w:color w:val="auto"/>
                <w:kern w:val="0"/>
                <w:szCs w:val="28"/>
                <w:highlight w:val="none"/>
              </w:rPr>
            </w:pPr>
            <w:r>
              <w:rPr>
                <w:rFonts w:hint="eastAsia" w:ascii="宋体" w:hAnsi="宋体" w:cs="宋体"/>
                <w:bCs/>
                <w:color w:val="auto"/>
                <w:kern w:val="0"/>
                <w:szCs w:val="28"/>
                <w:highlight w:val="none"/>
              </w:rPr>
              <w:t>6</w:t>
            </w:r>
          </w:p>
        </w:tc>
        <w:tc>
          <w:tcPr>
            <w:tcW w:w="1134" w:type="dxa"/>
            <w:vMerge w:val="restart"/>
            <w:vAlign w:val="center"/>
          </w:tcPr>
          <w:p>
            <w:pPr>
              <w:tabs>
                <w:tab w:val="left" w:pos="420"/>
              </w:tabs>
              <w:spacing w:line="300" w:lineRule="exact"/>
              <w:rPr>
                <w:rFonts w:ascii="宋体" w:hAnsi="宋体" w:cs="宋体"/>
                <w:bCs/>
                <w:color w:val="auto"/>
                <w:szCs w:val="28"/>
                <w:highlight w:val="none"/>
              </w:rPr>
            </w:pPr>
            <w:r>
              <w:rPr>
                <w:rFonts w:hint="eastAsia" w:ascii="宋体" w:hAnsi="宋体" w:cs="宋体"/>
                <w:bCs/>
                <w:color w:val="auto"/>
                <w:szCs w:val="28"/>
                <w:highlight w:val="none"/>
              </w:rPr>
              <w:t>文档服务</w:t>
            </w:r>
          </w:p>
        </w:tc>
        <w:tc>
          <w:tcPr>
            <w:tcW w:w="1124" w:type="dxa"/>
            <w:vAlign w:val="center"/>
          </w:tcPr>
          <w:p>
            <w:pPr>
              <w:widowControl/>
              <w:spacing w:line="30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文档预览接口</w:t>
            </w:r>
          </w:p>
        </w:tc>
        <w:tc>
          <w:tcPr>
            <w:tcW w:w="4263" w:type="dxa"/>
            <w:vAlign w:val="center"/>
          </w:tcPr>
          <w:p>
            <w:pPr>
              <w:widowControl/>
              <w:spacing w:line="300" w:lineRule="exact"/>
              <w:rPr>
                <w:rFonts w:ascii="宋体" w:hAnsi="宋体" w:cs="宋体"/>
                <w:color w:val="auto"/>
                <w:szCs w:val="28"/>
                <w:highlight w:val="none"/>
              </w:rPr>
            </w:pPr>
            <w:r>
              <w:rPr>
                <w:rFonts w:hint="eastAsia" w:ascii="宋体" w:hAnsi="宋体" w:cs="宋体"/>
                <w:color w:val="auto"/>
                <w:szCs w:val="28"/>
                <w:highlight w:val="none"/>
              </w:rPr>
              <w:t>实现浏览器端文档在线查看，在线打印。</w:t>
            </w:r>
          </w:p>
        </w:tc>
        <w:tc>
          <w:tcPr>
            <w:tcW w:w="1071" w:type="dxa"/>
            <w:vAlign w:val="center"/>
          </w:tcPr>
          <w:p>
            <w:pPr>
              <w:widowControl/>
              <w:spacing w:line="300" w:lineRule="exact"/>
              <w:jc w:val="center"/>
              <w:rPr>
                <w:rFonts w:ascii="宋体" w:hAnsi="宋体" w:cs="宋体"/>
                <w:color w:val="auto"/>
                <w:szCs w:val="28"/>
                <w:highlight w:val="none"/>
              </w:rPr>
            </w:pPr>
            <w:r>
              <w:rPr>
                <w:rFonts w:hint="eastAsia" w:ascii="宋体" w:hAnsi="宋体" w:cs="宋体"/>
                <w:color w:val="auto"/>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704" w:type="dxa"/>
            <w:vMerge w:val="continue"/>
            <w:vAlign w:val="center"/>
          </w:tcPr>
          <w:p>
            <w:pPr>
              <w:widowControl/>
              <w:spacing w:line="300" w:lineRule="exact"/>
              <w:textAlignment w:val="center"/>
              <w:rPr>
                <w:rFonts w:ascii="宋体" w:hAnsi="宋体" w:cs="宋体"/>
                <w:bCs/>
                <w:color w:val="auto"/>
                <w:kern w:val="0"/>
                <w:szCs w:val="28"/>
                <w:highlight w:val="none"/>
              </w:rPr>
            </w:pPr>
          </w:p>
        </w:tc>
        <w:tc>
          <w:tcPr>
            <w:tcW w:w="1134" w:type="dxa"/>
            <w:vMerge w:val="continue"/>
            <w:vAlign w:val="center"/>
          </w:tcPr>
          <w:p>
            <w:pPr>
              <w:tabs>
                <w:tab w:val="left" w:pos="420"/>
              </w:tabs>
              <w:spacing w:line="300" w:lineRule="exact"/>
              <w:rPr>
                <w:rFonts w:ascii="宋体" w:hAnsi="宋体" w:cs="宋体"/>
                <w:bCs/>
                <w:color w:val="auto"/>
                <w:szCs w:val="28"/>
                <w:highlight w:val="none"/>
              </w:rPr>
            </w:pPr>
          </w:p>
        </w:tc>
        <w:tc>
          <w:tcPr>
            <w:tcW w:w="1124" w:type="dxa"/>
            <w:vAlign w:val="center"/>
          </w:tcPr>
          <w:p>
            <w:pPr>
              <w:widowControl/>
              <w:spacing w:line="30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文档编辑</w:t>
            </w:r>
          </w:p>
        </w:tc>
        <w:tc>
          <w:tcPr>
            <w:tcW w:w="4263" w:type="dxa"/>
            <w:vAlign w:val="center"/>
          </w:tcPr>
          <w:p>
            <w:pPr>
              <w:widowControl/>
              <w:spacing w:line="300" w:lineRule="exact"/>
              <w:rPr>
                <w:rFonts w:ascii="宋体" w:hAnsi="宋体" w:cs="宋体"/>
                <w:color w:val="auto"/>
                <w:szCs w:val="28"/>
                <w:highlight w:val="none"/>
              </w:rPr>
            </w:pPr>
            <w:r>
              <w:rPr>
                <w:rFonts w:hint="eastAsia" w:ascii="宋体" w:hAnsi="宋体" w:cs="宋体"/>
                <w:color w:val="auto"/>
                <w:szCs w:val="28"/>
                <w:highlight w:val="none"/>
              </w:rPr>
              <w:t>实现浏览器端文档在线编辑，在线打印。</w:t>
            </w:r>
          </w:p>
        </w:tc>
        <w:tc>
          <w:tcPr>
            <w:tcW w:w="1071" w:type="dxa"/>
            <w:vAlign w:val="center"/>
          </w:tcPr>
          <w:p>
            <w:pPr>
              <w:widowControl/>
              <w:spacing w:line="300" w:lineRule="exact"/>
              <w:jc w:val="center"/>
              <w:rPr>
                <w:rFonts w:ascii="宋体" w:hAnsi="宋体" w:cs="宋体"/>
                <w:color w:val="auto"/>
                <w:szCs w:val="28"/>
                <w:highlight w:val="none"/>
              </w:rPr>
            </w:pPr>
            <w:r>
              <w:rPr>
                <w:rFonts w:ascii="宋体" w:hAnsi="宋体" w:cs="宋体"/>
                <w:color w:val="auto"/>
                <w:szCs w:val="2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04" w:type="dxa"/>
            <w:vMerge w:val="continue"/>
            <w:vAlign w:val="center"/>
          </w:tcPr>
          <w:p>
            <w:pPr>
              <w:widowControl/>
              <w:spacing w:line="300" w:lineRule="exact"/>
              <w:textAlignment w:val="center"/>
              <w:rPr>
                <w:rFonts w:ascii="宋体" w:hAnsi="宋体" w:cs="宋体"/>
                <w:bCs/>
                <w:color w:val="auto"/>
                <w:kern w:val="0"/>
                <w:szCs w:val="28"/>
                <w:highlight w:val="none"/>
              </w:rPr>
            </w:pPr>
          </w:p>
        </w:tc>
        <w:tc>
          <w:tcPr>
            <w:tcW w:w="1134" w:type="dxa"/>
            <w:vMerge w:val="continue"/>
            <w:vAlign w:val="center"/>
          </w:tcPr>
          <w:p>
            <w:pPr>
              <w:tabs>
                <w:tab w:val="left" w:pos="420"/>
              </w:tabs>
              <w:spacing w:line="300" w:lineRule="exact"/>
              <w:rPr>
                <w:rFonts w:ascii="宋体" w:hAnsi="宋体" w:cs="宋体"/>
                <w:bCs/>
                <w:color w:val="auto"/>
                <w:szCs w:val="28"/>
                <w:highlight w:val="none"/>
              </w:rPr>
            </w:pPr>
          </w:p>
        </w:tc>
        <w:tc>
          <w:tcPr>
            <w:tcW w:w="1124" w:type="dxa"/>
            <w:vAlign w:val="center"/>
          </w:tcPr>
          <w:p>
            <w:pPr>
              <w:widowControl/>
              <w:spacing w:line="30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文档检索</w:t>
            </w:r>
          </w:p>
        </w:tc>
        <w:tc>
          <w:tcPr>
            <w:tcW w:w="4263" w:type="dxa"/>
            <w:vAlign w:val="center"/>
          </w:tcPr>
          <w:p>
            <w:pPr>
              <w:widowControl/>
              <w:spacing w:line="300" w:lineRule="exact"/>
              <w:rPr>
                <w:rFonts w:ascii="宋体" w:hAnsi="宋体" w:cs="宋体"/>
                <w:color w:val="auto"/>
                <w:szCs w:val="28"/>
                <w:highlight w:val="none"/>
              </w:rPr>
            </w:pPr>
            <w:r>
              <w:rPr>
                <w:rFonts w:hint="eastAsia" w:ascii="宋体" w:hAnsi="宋体" w:cs="宋体"/>
                <w:color w:val="auto"/>
                <w:szCs w:val="28"/>
                <w:highlight w:val="none"/>
              </w:rPr>
              <w:t>文档搜索支持单位所有收文，发文，公告正文，附件文件的全文搜索。</w:t>
            </w:r>
          </w:p>
        </w:tc>
        <w:tc>
          <w:tcPr>
            <w:tcW w:w="1071" w:type="dxa"/>
            <w:vAlign w:val="center"/>
          </w:tcPr>
          <w:p>
            <w:pPr>
              <w:widowControl/>
              <w:spacing w:line="300" w:lineRule="exact"/>
              <w:jc w:val="center"/>
              <w:rPr>
                <w:rFonts w:ascii="宋体" w:hAnsi="宋体" w:cs="宋体"/>
                <w:color w:val="auto"/>
                <w:szCs w:val="28"/>
                <w:highlight w:val="none"/>
              </w:rPr>
            </w:pPr>
            <w:r>
              <w:rPr>
                <w:rFonts w:hint="eastAsia" w:ascii="宋体" w:hAnsi="宋体" w:cs="宋体"/>
                <w:color w:val="auto"/>
                <w:szCs w:val="2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704" w:type="dxa"/>
            <w:vMerge w:val="continue"/>
            <w:vAlign w:val="center"/>
          </w:tcPr>
          <w:p>
            <w:pPr>
              <w:widowControl/>
              <w:spacing w:line="300" w:lineRule="exact"/>
              <w:textAlignment w:val="center"/>
              <w:rPr>
                <w:rFonts w:ascii="宋体" w:hAnsi="宋体" w:cs="宋体"/>
                <w:bCs/>
                <w:color w:val="auto"/>
                <w:kern w:val="0"/>
                <w:szCs w:val="28"/>
                <w:highlight w:val="none"/>
              </w:rPr>
            </w:pPr>
          </w:p>
        </w:tc>
        <w:tc>
          <w:tcPr>
            <w:tcW w:w="1134" w:type="dxa"/>
            <w:vMerge w:val="continue"/>
            <w:vAlign w:val="center"/>
          </w:tcPr>
          <w:p>
            <w:pPr>
              <w:tabs>
                <w:tab w:val="left" w:pos="420"/>
              </w:tabs>
              <w:spacing w:line="300" w:lineRule="exact"/>
              <w:rPr>
                <w:rFonts w:ascii="宋体" w:hAnsi="宋体" w:cs="宋体"/>
                <w:bCs/>
                <w:color w:val="auto"/>
                <w:szCs w:val="28"/>
                <w:highlight w:val="none"/>
              </w:rPr>
            </w:pPr>
          </w:p>
        </w:tc>
        <w:tc>
          <w:tcPr>
            <w:tcW w:w="1124" w:type="dxa"/>
            <w:vAlign w:val="center"/>
          </w:tcPr>
          <w:p>
            <w:pPr>
              <w:widowControl/>
              <w:spacing w:line="30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文档存取</w:t>
            </w:r>
          </w:p>
        </w:tc>
        <w:tc>
          <w:tcPr>
            <w:tcW w:w="4263" w:type="dxa"/>
            <w:vAlign w:val="center"/>
          </w:tcPr>
          <w:p>
            <w:pPr>
              <w:widowControl/>
              <w:spacing w:line="300" w:lineRule="exact"/>
              <w:rPr>
                <w:rFonts w:ascii="宋体" w:hAnsi="宋体" w:cs="宋体"/>
                <w:color w:val="auto"/>
                <w:szCs w:val="28"/>
                <w:highlight w:val="none"/>
              </w:rPr>
            </w:pPr>
            <w:r>
              <w:rPr>
                <w:rFonts w:hint="eastAsia" w:ascii="宋体" w:hAnsi="宋体" w:cs="宋体"/>
                <w:color w:val="auto"/>
                <w:szCs w:val="28"/>
                <w:highlight w:val="none"/>
              </w:rPr>
              <w:t>提供文档上传服务，通过MIME报文将文件上传到平台。平台返回资源URL，后续应用通过资源URL获取文件。</w:t>
            </w:r>
          </w:p>
        </w:tc>
        <w:tc>
          <w:tcPr>
            <w:tcW w:w="1071" w:type="dxa"/>
            <w:vAlign w:val="center"/>
          </w:tcPr>
          <w:p>
            <w:pPr>
              <w:widowControl/>
              <w:spacing w:line="300" w:lineRule="exact"/>
              <w:jc w:val="center"/>
              <w:rPr>
                <w:rFonts w:ascii="宋体" w:hAnsi="宋体" w:cs="宋体"/>
                <w:color w:val="auto"/>
                <w:szCs w:val="28"/>
                <w:highlight w:val="none"/>
              </w:rPr>
            </w:pPr>
            <w:r>
              <w:rPr>
                <w:rFonts w:ascii="宋体" w:hAnsi="宋体" w:cs="宋体"/>
                <w:color w:val="auto"/>
                <w:szCs w:val="2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704" w:type="dxa"/>
            <w:vMerge w:val="continue"/>
            <w:vAlign w:val="center"/>
          </w:tcPr>
          <w:p>
            <w:pPr>
              <w:widowControl/>
              <w:spacing w:line="300" w:lineRule="exact"/>
              <w:textAlignment w:val="center"/>
              <w:rPr>
                <w:rFonts w:ascii="宋体" w:hAnsi="宋体" w:cs="宋体"/>
                <w:bCs/>
                <w:color w:val="auto"/>
                <w:kern w:val="0"/>
                <w:szCs w:val="28"/>
                <w:highlight w:val="none"/>
              </w:rPr>
            </w:pPr>
          </w:p>
        </w:tc>
        <w:tc>
          <w:tcPr>
            <w:tcW w:w="1134" w:type="dxa"/>
            <w:vMerge w:val="continue"/>
            <w:vAlign w:val="center"/>
          </w:tcPr>
          <w:p>
            <w:pPr>
              <w:tabs>
                <w:tab w:val="left" w:pos="420"/>
              </w:tabs>
              <w:spacing w:line="300" w:lineRule="exact"/>
              <w:rPr>
                <w:rFonts w:ascii="宋体" w:hAnsi="宋体" w:cs="宋体"/>
                <w:bCs/>
                <w:color w:val="auto"/>
                <w:szCs w:val="28"/>
                <w:highlight w:val="none"/>
              </w:rPr>
            </w:pPr>
          </w:p>
        </w:tc>
        <w:tc>
          <w:tcPr>
            <w:tcW w:w="1124" w:type="dxa"/>
            <w:vAlign w:val="center"/>
          </w:tcPr>
          <w:p>
            <w:pPr>
              <w:widowControl/>
              <w:spacing w:line="30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存储空间管理</w:t>
            </w:r>
          </w:p>
        </w:tc>
        <w:tc>
          <w:tcPr>
            <w:tcW w:w="4263" w:type="dxa"/>
            <w:vAlign w:val="center"/>
          </w:tcPr>
          <w:p>
            <w:pPr>
              <w:widowControl/>
              <w:spacing w:line="300" w:lineRule="exact"/>
              <w:rPr>
                <w:rFonts w:ascii="宋体" w:hAnsi="宋体" w:cs="宋体"/>
                <w:color w:val="auto"/>
                <w:szCs w:val="28"/>
                <w:highlight w:val="none"/>
              </w:rPr>
            </w:pPr>
            <w:r>
              <w:rPr>
                <w:rFonts w:hint="eastAsia" w:ascii="宋体" w:hAnsi="宋体" w:cs="宋体"/>
                <w:color w:val="auto"/>
                <w:szCs w:val="28"/>
                <w:highlight w:val="none"/>
              </w:rPr>
              <w:t>通过文档存取接口，统一控制平台各个应用文件的上传，实现各单位存储空间的实时监控。</w:t>
            </w:r>
          </w:p>
        </w:tc>
        <w:tc>
          <w:tcPr>
            <w:tcW w:w="1071" w:type="dxa"/>
            <w:vAlign w:val="center"/>
          </w:tcPr>
          <w:p>
            <w:pPr>
              <w:widowControl/>
              <w:spacing w:line="300" w:lineRule="exact"/>
              <w:jc w:val="center"/>
              <w:rPr>
                <w:rFonts w:ascii="宋体" w:hAnsi="宋体" w:cs="宋体"/>
                <w:color w:val="auto"/>
                <w:szCs w:val="28"/>
                <w:highlight w:val="none"/>
              </w:rPr>
            </w:pPr>
            <w:r>
              <w:rPr>
                <w:rFonts w:ascii="宋体" w:hAnsi="宋体" w:cs="宋体"/>
                <w:color w:val="auto"/>
                <w:szCs w:val="2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pPr>
              <w:widowControl/>
              <w:spacing w:line="300" w:lineRule="exact"/>
              <w:textAlignment w:val="center"/>
              <w:rPr>
                <w:rFonts w:ascii="宋体" w:hAnsi="宋体" w:cs="宋体"/>
                <w:bCs/>
                <w:color w:val="auto"/>
                <w:kern w:val="0"/>
                <w:szCs w:val="28"/>
                <w:highlight w:val="none"/>
              </w:rPr>
            </w:pPr>
            <w:r>
              <w:rPr>
                <w:rFonts w:hint="eastAsia" w:ascii="宋体" w:hAnsi="宋体" w:cs="宋体"/>
                <w:bCs/>
                <w:color w:val="auto"/>
                <w:kern w:val="0"/>
                <w:szCs w:val="28"/>
                <w:highlight w:val="none"/>
              </w:rPr>
              <w:t>7</w:t>
            </w:r>
          </w:p>
        </w:tc>
        <w:tc>
          <w:tcPr>
            <w:tcW w:w="1134" w:type="dxa"/>
            <w:vMerge w:val="restart"/>
            <w:vAlign w:val="center"/>
          </w:tcPr>
          <w:p>
            <w:pPr>
              <w:tabs>
                <w:tab w:val="left" w:pos="420"/>
              </w:tabs>
              <w:spacing w:line="300" w:lineRule="exact"/>
              <w:rPr>
                <w:rFonts w:ascii="宋体" w:hAnsi="宋体" w:cs="宋体"/>
                <w:bCs/>
                <w:color w:val="auto"/>
                <w:szCs w:val="28"/>
                <w:highlight w:val="none"/>
              </w:rPr>
            </w:pPr>
            <w:r>
              <w:rPr>
                <w:rFonts w:hint="eastAsia" w:ascii="宋体" w:hAnsi="宋体" w:cs="宋体"/>
                <w:bCs/>
                <w:color w:val="auto"/>
                <w:szCs w:val="28"/>
                <w:highlight w:val="none"/>
              </w:rPr>
              <w:t>会议</w:t>
            </w:r>
            <w:r>
              <w:rPr>
                <w:rFonts w:ascii="宋体" w:hAnsi="宋体" w:cs="宋体"/>
                <w:bCs/>
                <w:color w:val="auto"/>
                <w:szCs w:val="28"/>
                <w:highlight w:val="none"/>
              </w:rPr>
              <w:t>管理</w:t>
            </w:r>
          </w:p>
        </w:tc>
        <w:tc>
          <w:tcPr>
            <w:tcW w:w="1124" w:type="dxa"/>
            <w:vAlign w:val="center"/>
          </w:tcPr>
          <w:p>
            <w:pPr>
              <w:widowControl/>
              <w:spacing w:line="30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会议室</w:t>
            </w:r>
            <w:r>
              <w:rPr>
                <w:rFonts w:ascii="宋体" w:hAnsi="宋体" w:cs="宋体"/>
                <w:color w:val="auto"/>
                <w:kern w:val="0"/>
                <w:szCs w:val="28"/>
                <w:highlight w:val="none"/>
              </w:rPr>
              <w:t>预定</w:t>
            </w:r>
          </w:p>
        </w:tc>
        <w:tc>
          <w:tcPr>
            <w:tcW w:w="4263" w:type="dxa"/>
            <w:vAlign w:val="center"/>
          </w:tcPr>
          <w:p>
            <w:pPr>
              <w:widowControl/>
              <w:spacing w:line="300" w:lineRule="exact"/>
              <w:rPr>
                <w:rFonts w:ascii="宋体" w:hAnsi="宋体" w:cs="宋体"/>
                <w:color w:val="auto"/>
                <w:szCs w:val="28"/>
                <w:highlight w:val="none"/>
              </w:rPr>
            </w:pPr>
            <w:r>
              <w:rPr>
                <w:rFonts w:hint="eastAsia" w:ascii="宋体" w:hAnsi="宋体" w:cs="宋体"/>
                <w:color w:val="auto"/>
                <w:szCs w:val="28"/>
                <w:highlight w:val="none"/>
              </w:rPr>
              <w:t>实现</w:t>
            </w:r>
            <w:r>
              <w:rPr>
                <w:rFonts w:ascii="宋体" w:hAnsi="宋体" w:cs="宋体"/>
                <w:color w:val="auto"/>
                <w:szCs w:val="28"/>
                <w:highlight w:val="none"/>
              </w:rPr>
              <w:t>对已有会议室的预定</w:t>
            </w:r>
            <w:r>
              <w:rPr>
                <w:rFonts w:hint="eastAsia" w:ascii="宋体" w:hAnsi="宋体" w:cs="宋体"/>
                <w:color w:val="auto"/>
                <w:szCs w:val="28"/>
                <w:highlight w:val="none"/>
              </w:rPr>
              <w:t>、</w:t>
            </w:r>
            <w:r>
              <w:rPr>
                <w:rFonts w:ascii="宋体" w:hAnsi="宋体" w:cs="宋体"/>
                <w:color w:val="auto"/>
                <w:szCs w:val="28"/>
                <w:highlight w:val="none"/>
              </w:rPr>
              <w:t>申请等</w:t>
            </w:r>
            <w:r>
              <w:rPr>
                <w:rFonts w:hint="eastAsia" w:ascii="宋体" w:hAnsi="宋体" w:cs="宋体"/>
                <w:color w:val="auto"/>
                <w:szCs w:val="28"/>
                <w:highlight w:val="none"/>
              </w:rPr>
              <w:t>。</w:t>
            </w:r>
          </w:p>
        </w:tc>
        <w:tc>
          <w:tcPr>
            <w:tcW w:w="1071" w:type="dxa"/>
            <w:vAlign w:val="center"/>
          </w:tcPr>
          <w:p>
            <w:pPr>
              <w:widowControl/>
              <w:spacing w:line="300" w:lineRule="exact"/>
              <w:jc w:val="center"/>
              <w:rPr>
                <w:rFonts w:ascii="宋体" w:hAnsi="宋体" w:cs="宋体"/>
                <w:color w:val="auto"/>
                <w:szCs w:val="28"/>
                <w:highlight w:val="none"/>
              </w:rPr>
            </w:pPr>
            <w:r>
              <w:rPr>
                <w:rFonts w:hint="eastAsia" w:ascii="宋体" w:hAnsi="宋体" w:cs="宋体"/>
                <w:color w:val="auto"/>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4" w:type="dxa"/>
            <w:vMerge w:val="continue"/>
            <w:vAlign w:val="center"/>
          </w:tcPr>
          <w:p>
            <w:pPr>
              <w:widowControl/>
              <w:spacing w:line="300" w:lineRule="exact"/>
              <w:textAlignment w:val="center"/>
              <w:rPr>
                <w:rFonts w:ascii="宋体" w:hAnsi="宋体" w:cs="宋体"/>
                <w:bCs/>
                <w:color w:val="auto"/>
                <w:kern w:val="0"/>
                <w:szCs w:val="28"/>
                <w:highlight w:val="none"/>
              </w:rPr>
            </w:pPr>
          </w:p>
        </w:tc>
        <w:tc>
          <w:tcPr>
            <w:tcW w:w="1134" w:type="dxa"/>
            <w:vMerge w:val="continue"/>
            <w:vAlign w:val="center"/>
          </w:tcPr>
          <w:p>
            <w:pPr>
              <w:tabs>
                <w:tab w:val="left" w:pos="420"/>
              </w:tabs>
              <w:spacing w:line="300" w:lineRule="exact"/>
              <w:rPr>
                <w:rFonts w:ascii="宋体" w:hAnsi="宋体" w:cs="宋体"/>
                <w:bCs/>
                <w:color w:val="auto"/>
                <w:szCs w:val="28"/>
                <w:highlight w:val="none"/>
              </w:rPr>
            </w:pPr>
          </w:p>
        </w:tc>
        <w:tc>
          <w:tcPr>
            <w:tcW w:w="1124" w:type="dxa"/>
            <w:vAlign w:val="center"/>
          </w:tcPr>
          <w:p>
            <w:pPr>
              <w:widowControl/>
              <w:spacing w:line="30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会议</w:t>
            </w:r>
            <w:r>
              <w:rPr>
                <w:rFonts w:ascii="宋体" w:hAnsi="宋体" w:cs="宋体"/>
                <w:color w:val="auto"/>
                <w:kern w:val="0"/>
                <w:szCs w:val="28"/>
                <w:highlight w:val="none"/>
              </w:rPr>
              <w:t>追踪</w:t>
            </w:r>
          </w:p>
        </w:tc>
        <w:tc>
          <w:tcPr>
            <w:tcW w:w="4263" w:type="dxa"/>
            <w:vAlign w:val="center"/>
          </w:tcPr>
          <w:p>
            <w:pPr>
              <w:widowControl/>
              <w:spacing w:line="300" w:lineRule="exact"/>
              <w:rPr>
                <w:rFonts w:ascii="宋体" w:hAnsi="宋体" w:cs="宋体"/>
                <w:color w:val="auto"/>
                <w:szCs w:val="28"/>
                <w:highlight w:val="none"/>
              </w:rPr>
            </w:pPr>
            <w:r>
              <w:rPr>
                <w:rFonts w:hint="eastAsia" w:ascii="宋体" w:hAnsi="宋体" w:cs="宋体"/>
                <w:color w:val="auto"/>
                <w:szCs w:val="28"/>
                <w:highlight w:val="none"/>
              </w:rPr>
              <w:t>实现查询</w:t>
            </w:r>
            <w:r>
              <w:rPr>
                <w:rFonts w:ascii="宋体" w:hAnsi="宋体" w:cs="宋体"/>
                <w:color w:val="auto"/>
                <w:szCs w:val="28"/>
                <w:highlight w:val="none"/>
              </w:rPr>
              <w:t>所有会议室的使用情况</w:t>
            </w:r>
            <w:r>
              <w:rPr>
                <w:rFonts w:hint="eastAsia" w:ascii="宋体" w:hAnsi="宋体" w:cs="宋体"/>
                <w:color w:val="auto"/>
                <w:szCs w:val="28"/>
                <w:highlight w:val="none"/>
              </w:rPr>
              <w:t>。</w:t>
            </w:r>
          </w:p>
        </w:tc>
        <w:tc>
          <w:tcPr>
            <w:tcW w:w="1071" w:type="dxa"/>
            <w:vAlign w:val="center"/>
          </w:tcPr>
          <w:p>
            <w:pPr>
              <w:widowControl/>
              <w:spacing w:line="300" w:lineRule="exact"/>
              <w:jc w:val="center"/>
              <w:rPr>
                <w:rFonts w:ascii="宋体" w:hAnsi="宋体" w:cs="宋体"/>
                <w:color w:val="auto"/>
                <w:szCs w:val="28"/>
                <w:highlight w:val="none"/>
              </w:rPr>
            </w:pPr>
            <w:r>
              <w:rPr>
                <w:rFonts w:hint="eastAsia" w:ascii="宋体" w:hAnsi="宋体" w:cs="宋体"/>
                <w:color w:val="auto"/>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04" w:type="dxa"/>
            <w:vMerge w:val="continue"/>
            <w:vAlign w:val="center"/>
          </w:tcPr>
          <w:p>
            <w:pPr>
              <w:widowControl/>
              <w:spacing w:line="300" w:lineRule="exact"/>
              <w:textAlignment w:val="center"/>
              <w:rPr>
                <w:rFonts w:ascii="宋体" w:hAnsi="宋体" w:cs="宋体"/>
                <w:bCs/>
                <w:color w:val="auto"/>
                <w:kern w:val="0"/>
                <w:szCs w:val="28"/>
                <w:highlight w:val="none"/>
              </w:rPr>
            </w:pPr>
          </w:p>
        </w:tc>
        <w:tc>
          <w:tcPr>
            <w:tcW w:w="1134" w:type="dxa"/>
            <w:vMerge w:val="continue"/>
            <w:vAlign w:val="center"/>
          </w:tcPr>
          <w:p>
            <w:pPr>
              <w:tabs>
                <w:tab w:val="left" w:pos="420"/>
              </w:tabs>
              <w:spacing w:line="300" w:lineRule="exact"/>
              <w:rPr>
                <w:rFonts w:ascii="宋体" w:hAnsi="宋体" w:cs="宋体"/>
                <w:bCs/>
                <w:color w:val="auto"/>
                <w:szCs w:val="28"/>
                <w:highlight w:val="none"/>
              </w:rPr>
            </w:pPr>
          </w:p>
        </w:tc>
        <w:tc>
          <w:tcPr>
            <w:tcW w:w="1124" w:type="dxa"/>
            <w:vAlign w:val="center"/>
          </w:tcPr>
          <w:p>
            <w:pPr>
              <w:widowControl/>
              <w:spacing w:line="30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会议</w:t>
            </w:r>
            <w:r>
              <w:rPr>
                <w:rFonts w:ascii="宋体" w:hAnsi="宋体" w:cs="宋体"/>
                <w:color w:val="auto"/>
                <w:kern w:val="0"/>
                <w:szCs w:val="28"/>
                <w:highlight w:val="none"/>
              </w:rPr>
              <w:t>管理</w:t>
            </w:r>
          </w:p>
        </w:tc>
        <w:tc>
          <w:tcPr>
            <w:tcW w:w="4263" w:type="dxa"/>
            <w:vAlign w:val="center"/>
          </w:tcPr>
          <w:p>
            <w:pPr>
              <w:widowControl/>
              <w:spacing w:line="300" w:lineRule="exact"/>
              <w:rPr>
                <w:rFonts w:ascii="宋体" w:hAnsi="宋体" w:cs="宋体"/>
                <w:color w:val="auto"/>
                <w:szCs w:val="28"/>
                <w:highlight w:val="none"/>
              </w:rPr>
            </w:pPr>
            <w:r>
              <w:rPr>
                <w:rFonts w:hint="eastAsia" w:ascii="宋体" w:hAnsi="宋体" w:cs="宋体"/>
                <w:color w:val="auto"/>
                <w:szCs w:val="28"/>
                <w:highlight w:val="none"/>
              </w:rPr>
              <w:t>包括</w:t>
            </w:r>
            <w:r>
              <w:rPr>
                <w:rFonts w:ascii="宋体" w:hAnsi="宋体" w:cs="宋体"/>
                <w:color w:val="auto"/>
                <w:szCs w:val="28"/>
                <w:highlight w:val="none"/>
              </w:rPr>
              <w:t>预定</w:t>
            </w:r>
            <w:r>
              <w:rPr>
                <w:rFonts w:hint="eastAsia" w:ascii="宋体" w:hAnsi="宋体" w:cs="宋体"/>
                <w:color w:val="auto"/>
                <w:szCs w:val="28"/>
                <w:highlight w:val="none"/>
              </w:rPr>
              <w:t>时间、</w:t>
            </w:r>
            <w:r>
              <w:rPr>
                <w:rFonts w:ascii="宋体" w:hAnsi="宋体" w:cs="宋体"/>
                <w:color w:val="auto"/>
                <w:szCs w:val="28"/>
                <w:highlight w:val="none"/>
              </w:rPr>
              <w:t>设置参会人员、主持人设定</w:t>
            </w:r>
            <w:r>
              <w:rPr>
                <w:rFonts w:hint="eastAsia" w:ascii="宋体" w:hAnsi="宋体" w:cs="宋体"/>
                <w:color w:val="auto"/>
                <w:szCs w:val="28"/>
                <w:highlight w:val="none"/>
              </w:rPr>
              <w:t>等。</w:t>
            </w:r>
          </w:p>
        </w:tc>
        <w:tc>
          <w:tcPr>
            <w:tcW w:w="1071" w:type="dxa"/>
            <w:vAlign w:val="center"/>
          </w:tcPr>
          <w:p>
            <w:pPr>
              <w:widowControl/>
              <w:spacing w:line="300" w:lineRule="exact"/>
              <w:jc w:val="center"/>
              <w:rPr>
                <w:rFonts w:ascii="宋体" w:hAnsi="宋体" w:cs="宋体"/>
                <w:color w:val="auto"/>
                <w:szCs w:val="28"/>
                <w:highlight w:val="none"/>
              </w:rPr>
            </w:pPr>
            <w:r>
              <w:rPr>
                <w:rFonts w:hint="eastAsia" w:ascii="宋体" w:hAnsi="宋体" w:cs="宋体"/>
                <w:color w:val="auto"/>
                <w:szCs w:val="2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5" w:type="dxa"/>
            <w:gridSpan w:val="4"/>
            <w:vAlign w:val="center"/>
          </w:tcPr>
          <w:p>
            <w:pPr>
              <w:tabs>
                <w:tab w:val="left" w:pos="420"/>
              </w:tabs>
              <w:spacing w:line="300" w:lineRule="exact"/>
              <w:rPr>
                <w:rFonts w:ascii="宋体" w:hAnsi="宋体" w:cs="宋体"/>
                <w:b/>
                <w:bCs/>
                <w:color w:val="auto"/>
                <w:szCs w:val="28"/>
                <w:highlight w:val="none"/>
              </w:rPr>
            </w:pPr>
            <w:r>
              <w:rPr>
                <w:rFonts w:hint="eastAsia" w:ascii="宋体" w:hAnsi="宋体" w:cs="宋体"/>
                <w:color w:val="auto"/>
                <w:szCs w:val="28"/>
                <w:highlight w:val="none"/>
              </w:rPr>
              <w:t>备注：项目验收时以基础功能的服务内容为准。此外，服务承接人与购买主体商议后，可根据实际情况调整具体服务内容。</w:t>
            </w:r>
          </w:p>
        </w:tc>
        <w:tc>
          <w:tcPr>
            <w:tcW w:w="1071" w:type="dxa"/>
            <w:vAlign w:val="center"/>
          </w:tcPr>
          <w:p>
            <w:pPr>
              <w:tabs>
                <w:tab w:val="left" w:pos="420"/>
              </w:tabs>
              <w:spacing w:line="300" w:lineRule="exact"/>
              <w:jc w:val="center"/>
              <w:rPr>
                <w:rFonts w:ascii="宋体" w:hAnsi="宋体" w:cs="宋体"/>
                <w:color w:val="auto"/>
                <w:szCs w:val="28"/>
                <w:highlight w:val="none"/>
              </w:rPr>
            </w:pPr>
            <w:r>
              <w:rPr>
                <w:rFonts w:hint="eastAsia" w:ascii="宋体" w:hAnsi="宋体" w:cs="宋体"/>
                <w:color w:val="auto"/>
                <w:szCs w:val="28"/>
                <w:highlight w:val="none"/>
              </w:rPr>
              <w:t>40</w:t>
            </w:r>
          </w:p>
        </w:tc>
      </w:tr>
      <w:bookmarkEnd w:id="136"/>
    </w:tbl>
    <w:p>
      <w:pPr>
        <w:numPr>
          <w:ilvl w:val="0"/>
          <w:numId w:val="3"/>
        </w:numPr>
        <w:adjustRightInd w:val="0"/>
        <w:spacing w:line="360" w:lineRule="auto"/>
        <w:ind w:firstLine="420" w:firstLineChars="200"/>
        <w:rPr>
          <w:color w:val="auto"/>
          <w:highlight w:val="none"/>
        </w:rPr>
      </w:pPr>
      <w:r>
        <w:rPr>
          <w:color w:val="auto"/>
          <w:highlight w:val="none"/>
        </w:rPr>
        <w:t>10</w:t>
      </w:r>
      <w:r>
        <w:rPr>
          <w:rFonts w:hint="eastAsia"/>
          <w:color w:val="auto"/>
          <w:highlight w:val="none"/>
        </w:rPr>
        <w:t>大应用模块（满分40分）</w:t>
      </w:r>
    </w:p>
    <w:tbl>
      <w:tblPr>
        <w:tblStyle w:val="36"/>
        <w:tblW w:w="8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14"/>
        <w:gridCol w:w="1374"/>
        <w:gridCol w:w="4327"/>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8851" w:type="dxa"/>
            <w:gridSpan w:val="5"/>
            <w:vAlign w:val="center"/>
          </w:tcPr>
          <w:p>
            <w:pPr>
              <w:widowControl/>
              <w:spacing w:line="320" w:lineRule="exact"/>
              <w:jc w:val="left"/>
              <w:textAlignment w:val="center"/>
              <w:rPr>
                <w:rFonts w:ascii="宋体" w:hAnsi="宋体" w:cs="宋体"/>
                <w:b/>
                <w:bCs/>
                <w:color w:val="auto"/>
                <w:kern w:val="0"/>
                <w:szCs w:val="28"/>
                <w:highlight w:val="none"/>
              </w:rPr>
            </w:pPr>
            <w:r>
              <w:rPr>
                <w:rFonts w:hint="eastAsia" w:ascii="宋体" w:hAnsi="宋体" w:cs="宋体"/>
                <w:b/>
                <w:bCs/>
                <w:color w:val="auto"/>
                <w:kern w:val="0"/>
                <w:szCs w:val="28"/>
                <w:highlight w:val="none"/>
              </w:rPr>
              <w:t>应用模块服务内容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993" w:type="dxa"/>
            <w:vAlign w:val="center"/>
          </w:tcPr>
          <w:p>
            <w:pPr>
              <w:widowControl/>
              <w:spacing w:line="320" w:lineRule="exact"/>
              <w:textAlignment w:val="center"/>
              <w:rPr>
                <w:rFonts w:ascii="宋体" w:hAnsi="宋体" w:cs="宋体"/>
                <w:b/>
                <w:bCs/>
                <w:color w:val="auto"/>
                <w:kern w:val="0"/>
                <w:szCs w:val="28"/>
                <w:highlight w:val="none"/>
              </w:rPr>
            </w:pPr>
            <w:r>
              <w:rPr>
                <w:rFonts w:hint="eastAsia" w:ascii="宋体" w:hAnsi="宋体" w:cs="宋体"/>
                <w:b/>
                <w:bCs/>
                <w:color w:val="auto"/>
                <w:kern w:val="0"/>
                <w:szCs w:val="28"/>
                <w:highlight w:val="none"/>
              </w:rPr>
              <w:t>序号</w:t>
            </w:r>
          </w:p>
        </w:tc>
        <w:tc>
          <w:tcPr>
            <w:tcW w:w="814" w:type="dxa"/>
            <w:vAlign w:val="center"/>
          </w:tcPr>
          <w:p>
            <w:pPr>
              <w:widowControl/>
              <w:spacing w:line="320" w:lineRule="exact"/>
              <w:textAlignment w:val="center"/>
              <w:rPr>
                <w:rFonts w:ascii="宋体" w:hAnsi="宋体" w:cs="宋体"/>
                <w:b/>
                <w:bCs/>
                <w:color w:val="auto"/>
                <w:kern w:val="0"/>
                <w:szCs w:val="28"/>
                <w:highlight w:val="none"/>
              </w:rPr>
            </w:pPr>
            <w:r>
              <w:rPr>
                <w:rFonts w:hint="eastAsia" w:ascii="宋体" w:hAnsi="宋体" w:cs="宋体"/>
                <w:b/>
                <w:bCs/>
                <w:color w:val="auto"/>
                <w:kern w:val="0"/>
                <w:szCs w:val="28"/>
                <w:highlight w:val="none"/>
              </w:rPr>
              <w:t>应用模块</w:t>
            </w:r>
          </w:p>
        </w:tc>
        <w:tc>
          <w:tcPr>
            <w:tcW w:w="1374" w:type="dxa"/>
            <w:vAlign w:val="center"/>
          </w:tcPr>
          <w:p>
            <w:pPr>
              <w:widowControl/>
              <w:spacing w:line="320" w:lineRule="exact"/>
              <w:textAlignment w:val="center"/>
              <w:rPr>
                <w:rFonts w:ascii="宋体" w:hAnsi="宋体" w:cs="宋体"/>
                <w:b/>
                <w:bCs/>
                <w:color w:val="auto"/>
                <w:kern w:val="0"/>
                <w:szCs w:val="28"/>
                <w:highlight w:val="none"/>
              </w:rPr>
            </w:pPr>
            <w:r>
              <w:rPr>
                <w:rFonts w:hint="eastAsia" w:ascii="宋体" w:hAnsi="宋体" w:cs="宋体"/>
                <w:b/>
                <w:bCs/>
                <w:color w:val="auto"/>
                <w:kern w:val="0"/>
                <w:szCs w:val="28"/>
                <w:highlight w:val="none"/>
              </w:rPr>
              <w:t>服务内容</w:t>
            </w:r>
          </w:p>
        </w:tc>
        <w:tc>
          <w:tcPr>
            <w:tcW w:w="4327" w:type="dxa"/>
            <w:vAlign w:val="center"/>
          </w:tcPr>
          <w:p>
            <w:pPr>
              <w:widowControl/>
              <w:spacing w:line="320" w:lineRule="exact"/>
              <w:textAlignment w:val="center"/>
              <w:rPr>
                <w:rFonts w:ascii="宋体" w:hAnsi="宋体" w:cs="宋体"/>
                <w:b/>
                <w:bCs/>
                <w:color w:val="auto"/>
                <w:kern w:val="0"/>
                <w:szCs w:val="28"/>
                <w:highlight w:val="none"/>
              </w:rPr>
            </w:pPr>
            <w:r>
              <w:rPr>
                <w:rFonts w:hint="eastAsia" w:ascii="宋体" w:hAnsi="宋体" w:cs="宋体"/>
                <w:b/>
                <w:bCs/>
                <w:color w:val="auto"/>
                <w:kern w:val="0"/>
                <w:szCs w:val="28"/>
                <w:highlight w:val="none"/>
              </w:rPr>
              <w:t>详细服务说明</w:t>
            </w:r>
          </w:p>
        </w:tc>
        <w:tc>
          <w:tcPr>
            <w:tcW w:w="1343" w:type="dxa"/>
            <w:vAlign w:val="center"/>
          </w:tcPr>
          <w:p>
            <w:pPr>
              <w:widowControl/>
              <w:spacing w:line="320" w:lineRule="exact"/>
              <w:jc w:val="center"/>
              <w:textAlignment w:val="center"/>
              <w:rPr>
                <w:rFonts w:ascii="宋体" w:hAnsi="宋体" w:cs="宋体"/>
                <w:b/>
                <w:bCs/>
                <w:color w:val="auto"/>
                <w:kern w:val="0"/>
                <w:szCs w:val="28"/>
                <w:highlight w:val="none"/>
              </w:rPr>
            </w:pPr>
            <w:r>
              <w:rPr>
                <w:rFonts w:hint="eastAsia" w:ascii="宋体" w:hAnsi="宋体" w:cs="宋体"/>
                <w:b/>
                <w:bCs/>
                <w:color w:val="auto"/>
                <w:kern w:val="0"/>
                <w:szCs w:val="28"/>
                <w:highlight w:val="none"/>
              </w:rPr>
              <w:t>分值设置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vMerge w:val="restart"/>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1</w:t>
            </w:r>
          </w:p>
        </w:tc>
        <w:tc>
          <w:tcPr>
            <w:tcW w:w="814" w:type="dxa"/>
            <w:vMerge w:val="restart"/>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发文管理</w:t>
            </w:r>
          </w:p>
        </w:tc>
        <w:tc>
          <w:tcPr>
            <w:tcW w:w="1374" w:type="dxa"/>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发文查询</w:t>
            </w:r>
          </w:p>
        </w:tc>
        <w:tc>
          <w:tcPr>
            <w:tcW w:w="4327" w:type="dxa"/>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由单位用户使用，各科室人员从发文待办页面进入新建发文。提供新建发文操作。</w:t>
            </w:r>
          </w:p>
        </w:tc>
        <w:tc>
          <w:tcPr>
            <w:tcW w:w="1343" w:type="dxa"/>
            <w:vAlign w:val="center"/>
          </w:tcPr>
          <w:p>
            <w:pPr>
              <w:widowControl/>
              <w:spacing w:line="320" w:lineRule="exact"/>
              <w:jc w:val="center"/>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vMerge w:val="continue"/>
            <w:vAlign w:val="center"/>
          </w:tcPr>
          <w:p>
            <w:pPr>
              <w:widowControl/>
              <w:spacing w:line="320" w:lineRule="exact"/>
              <w:textAlignment w:val="center"/>
              <w:rPr>
                <w:rFonts w:ascii="宋体" w:hAnsi="宋体" w:cs="宋体"/>
                <w:color w:val="auto"/>
                <w:kern w:val="0"/>
                <w:szCs w:val="28"/>
                <w:highlight w:val="none"/>
              </w:rPr>
            </w:pPr>
          </w:p>
        </w:tc>
        <w:tc>
          <w:tcPr>
            <w:tcW w:w="814" w:type="dxa"/>
            <w:vMerge w:val="continue"/>
            <w:vAlign w:val="center"/>
          </w:tcPr>
          <w:p>
            <w:pPr>
              <w:widowControl/>
              <w:spacing w:line="320" w:lineRule="exact"/>
              <w:textAlignment w:val="center"/>
              <w:rPr>
                <w:rFonts w:ascii="宋体" w:hAnsi="宋体" w:cs="宋体"/>
                <w:color w:val="auto"/>
                <w:kern w:val="0"/>
                <w:szCs w:val="28"/>
                <w:highlight w:val="none"/>
              </w:rPr>
            </w:pPr>
          </w:p>
        </w:tc>
        <w:tc>
          <w:tcPr>
            <w:tcW w:w="1374" w:type="dxa"/>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发文代理</w:t>
            </w:r>
          </w:p>
        </w:tc>
        <w:tc>
          <w:tcPr>
            <w:tcW w:w="4327" w:type="dxa"/>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由管理员按照国家规定负责维护单位对外发文的发文模板。</w:t>
            </w:r>
          </w:p>
        </w:tc>
        <w:tc>
          <w:tcPr>
            <w:tcW w:w="1343" w:type="dxa"/>
            <w:vAlign w:val="center"/>
          </w:tcPr>
          <w:p>
            <w:pPr>
              <w:widowControl/>
              <w:spacing w:line="320" w:lineRule="exact"/>
              <w:jc w:val="center"/>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vMerge w:val="continue"/>
            <w:vAlign w:val="center"/>
          </w:tcPr>
          <w:p>
            <w:pPr>
              <w:widowControl/>
              <w:spacing w:line="320" w:lineRule="exact"/>
              <w:textAlignment w:val="center"/>
              <w:rPr>
                <w:rFonts w:ascii="宋体" w:hAnsi="宋体" w:cs="宋体"/>
                <w:color w:val="auto"/>
                <w:kern w:val="0"/>
                <w:szCs w:val="28"/>
                <w:highlight w:val="none"/>
              </w:rPr>
            </w:pPr>
          </w:p>
        </w:tc>
        <w:tc>
          <w:tcPr>
            <w:tcW w:w="814" w:type="dxa"/>
            <w:vMerge w:val="continue"/>
            <w:vAlign w:val="center"/>
          </w:tcPr>
          <w:p>
            <w:pPr>
              <w:widowControl/>
              <w:spacing w:line="320" w:lineRule="exact"/>
              <w:textAlignment w:val="center"/>
              <w:rPr>
                <w:rFonts w:ascii="宋体" w:hAnsi="宋体" w:cs="宋体"/>
                <w:color w:val="auto"/>
                <w:kern w:val="0"/>
                <w:szCs w:val="28"/>
                <w:highlight w:val="none"/>
              </w:rPr>
            </w:pPr>
          </w:p>
        </w:tc>
        <w:tc>
          <w:tcPr>
            <w:tcW w:w="1374" w:type="dxa"/>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发文查询</w:t>
            </w:r>
          </w:p>
        </w:tc>
        <w:tc>
          <w:tcPr>
            <w:tcW w:w="4327" w:type="dxa"/>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用于单位用户，查询本人经办过的发文。按照经办时间，发文标题提供模糊查询。</w:t>
            </w:r>
          </w:p>
        </w:tc>
        <w:tc>
          <w:tcPr>
            <w:tcW w:w="1343" w:type="dxa"/>
            <w:vAlign w:val="center"/>
          </w:tcPr>
          <w:p>
            <w:pPr>
              <w:widowControl/>
              <w:spacing w:line="320" w:lineRule="exact"/>
              <w:jc w:val="center"/>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vMerge w:val="continue"/>
            <w:vAlign w:val="center"/>
          </w:tcPr>
          <w:p>
            <w:pPr>
              <w:widowControl/>
              <w:spacing w:line="320" w:lineRule="exact"/>
              <w:textAlignment w:val="center"/>
              <w:rPr>
                <w:rFonts w:ascii="宋体" w:hAnsi="宋体" w:cs="宋体"/>
                <w:color w:val="auto"/>
                <w:kern w:val="0"/>
                <w:szCs w:val="28"/>
                <w:highlight w:val="none"/>
              </w:rPr>
            </w:pPr>
          </w:p>
        </w:tc>
        <w:tc>
          <w:tcPr>
            <w:tcW w:w="814" w:type="dxa"/>
            <w:vMerge w:val="continue"/>
            <w:vAlign w:val="center"/>
          </w:tcPr>
          <w:p>
            <w:pPr>
              <w:widowControl/>
              <w:spacing w:line="320" w:lineRule="exact"/>
              <w:textAlignment w:val="center"/>
              <w:rPr>
                <w:rFonts w:ascii="宋体" w:hAnsi="宋体" w:cs="宋体"/>
                <w:color w:val="auto"/>
                <w:kern w:val="0"/>
                <w:szCs w:val="28"/>
                <w:highlight w:val="none"/>
              </w:rPr>
            </w:pPr>
          </w:p>
        </w:tc>
        <w:tc>
          <w:tcPr>
            <w:tcW w:w="1374" w:type="dxa"/>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发文代理</w:t>
            </w:r>
          </w:p>
        </w:tc>
        <w:tc>
          <w:tcPr>
            <w:tcW w:w="4327" w:type="dxa"/>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用于单位所有用户，均可查询本单位对外发文内容。查询提供按照发文标题（模糊匹配）、文号（模糊匹配）、发文时间，发文部门。</w:t>
            </w:r>
          </w:p>
        </w:tc>
        <w:tc>
          <w:tcPr>
            <w:tcW w:w="1343" w:type="dxa"/>
            <w:vAlign w:val="center"/>
          </w:tcPr>
          <w:p>
            <w:pPr>
              <w:widowControl/>
              <w:spacing w:line="320" w:lineRule="exact"/>
              <w:jc w:val="center"/>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vMerge w:val="continue"/>
            <w:vAlign w:val="center"/>
          </w:tcPr>
          <w:p>
            <w:pPr>
              <w:widowControl/>
              <w:spacing w:line="320" w:lineRule="exact"/>
              <w:textAlignment w:val="center"/>
              <w:rPr>
                <w:rFonts w:ascii="宋体" w:hAnsi="宋体" w:cs="宋体"/>
                <w:color w:val="auto"/>
                <w:kern w:val="0"/>
                <w:szCs w:val="28"/>
                <w:highlight w:val="none"/>
              </w:rPr>
            </w:pPr>
          </w:p>
        </w:tc>
        <w:tc>
          <w:tcPr>
            <w:tcW w:w="814" w:type="dxa"/>
            <w:vMerge w:val="continue"/>
            <w:vAlign w:val="center"/>
          </w:tcPr>
          <w:p>
            <w:pPr>
              <w:widowControl/>
              <w:spacing w:line="320" w:lineRule="exact"/>
              <w:textAlignment w:val="center"/>
              <w:rPr>
                <w:rFonts w:ascii="宋体" w:hAnsi="宋体" w:cs="宋体"/>
                <w:color w:val="auto"/>
                <w:kern w:val="0"/>
                <w:szCs w:val="28"/>
                <w:highlight w:val="none"/>
              </w:rPr>
            </w:pPr>
          </w:p>
        </w:tc>
        <w:tc>
          <w:tcPr>
            <w:tcW w:w="1374" w:type="dxa"/>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发文查询</w:t>
            </w:r>
          </w:p>
        </w:tc>
        <w:tc>
          <w:tcPr>
            <w:tcW w:w="4327" w:type="dxa"/>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用于单位用户在出差期间，不能使用政务办公系统，无法处理发文。用户通过设置代理人，将本人办理的流程环节，交代理人去处理。</w:t>
            </w:r>
          </w:p>
        </w:tc>
        <w:tc>
          <w:tcPr>
            <w:tcW w:w="1343" w:type="dxa"/>
            <w:vAlign w:val="center"/>
          </w:tcPr>
          <w:p>
            <w:pPr>
              <w:widowControl/>
              <w:spacing w:line="320" w:lineRule="exact"/>
              <w:jc w:val="center"/>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vMerge w:val="restart"/>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2</w:t>
            </w:r>
          </w:p>
        </w:tc>
        <w:tc>
          <w:tcPr>
            <w:tcW w:w="814" w:type="dxa"/>
            <w:vMerge w:val="restart"/>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收文管理</w:t>
            </w:r>
          </w:p>
        </w:tc>
        <w:tc>
          <w:tcPr>
            <w:tcW w:w="1374" w:type="dxa"/>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收文待办</w:t>
            </w:r>
          </w:p>
        </w:tc>
        <w:tc>
          <w:tcPr>
            <w:tcW w:w="4327" w:type="dxa"/>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收文待办仅限于办公室人员使用。用于登记来文内容。在收文待办中新建收文，发起收文处理流程。</w:t>
            </w:r>
          </w:p>
        </w:tc>
        <w:tc>
          <w:tcPr>
            <w:tcW w:w="1343" w:type="dxa"/>
            <w:vAlign w:val="center"/>
          </w:tcPr>
          <w:p>
            <w:pPr>
              <w:widowControl/>
              <w:spacing w:line="320" w:lineRule="exact"/>
              <w:jc w:val="center"/>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vMerge w:val="continue"/>
            <w:vAlign w:val="center"/>
          </w:tcPr>
          <w:p>
            <w:pPr>
              <w:widowControl/>
              <w:spacing w:line="320" w:lineRule="exact"/>
              <w:textAlignment w:val="center"/>
              <w:rPr>
                <w:rFonts w:ascii="宋体" w:hAnsi="宋体" w:cs="宋体"/>
                <w:color w:val="auto"/>
                <w:kern w:val="0"/>
                <w:szCs w:val="28"/>
                <w:highlight w:val="none"/>
              </w:rPr>
            </w:pPr>
          </w:p>
        </w:tc>
        <w:tc>
          <w:tcPr>
            <w:tcW w:w="814" w:type="dxa"/>
            <w:vMerge w:val="continue"/>
            <w:vAlign w:val="center"/>
          </w:tcPr>
          <w:p>
            <w:pPr>
              <w:widowControl/>
              <w:spacing w:line="320" w:lineRule="exact"/>
              <w:textAlignment w:val="center"/>
              <w:rPr>
                <w:rFonts w:ascii="宋体" w:hAnsi="宋体" w:cs="宋体"/>
                <w:color w:val="auto"/>
                <w:kern w:val="0"/>
                <w:szCs w:val="28"/>
                <w:highlight w:val="none"/>
              </w:rPr>
            </w:pPr>
          </w:p>
        </w:tc>
        <w:tc>
          <w:tcPr>
            <w:tcW w:w="1374" w:type="dxa"/>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收文追踪</w:t>
            </w:r>
          </w:p>
        </w:tc>
        <w:tc>
          <w:tcPr>
            <w:tcW w:w="4327" w:type="dxa"/>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用于单位用户，查询本人经办过的收文。按照经办时间，文件标题提供模糊查询。</w:t>
            </w:r>
          </w:p>
        </w:tc>
        <w:tc>
          <w:tcPr>
            <w:tcW w:w="1343" w:type="dxa"/>
            <w:vAlign w:val="center"/>
          </w:tcPr>
          <w:p>
            <w:pPr>
              <w:widowControl/>
              <w:spacing w:line="320" w:lineRule="exact"/>
              <w:jc w:val="center"/>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vMerge w:val="continue"/>
            <w:vAlign w:val="center"/>
          </w:tcPr>
          <w:p>
            <w:pPr>
              <w:widowControl/>
              <w:spacing w:line="320" w:lineRule="exact"/>
              <w:textAlignment w:val="center"/>
              <w:rPr>
                <w:rFonts w:ascii="宋体" w:hAnsi="宋体" w:cs="宋体"/>
                <w:color w:val="auto"/>
                <w:kern w:val="0"/>
                <w:szCs w:val="28"/>
                <w:highlight w:val="none"/>
              </w:rPr>
            </w:pPr>
          </w:p>
        </w:tc>
        <w:tc>
          <w:tcPr>
            <w:tcW w:w="814" w:type="dxa"/>
            <w:vMerge w:val="continue"/>
            <w:vAlign w:val="center"/>
          </w:tcPr>
          <w:p>
            <w:pPr>
              <w:widowControl/>
              <w:spacing w:line="320" w:lineRule="exact"/>
              <w:textAlignment w:val="center"/>
              <w:rPr>
                <w:rFonts w:ascii="宋体" w:hAnsi="宋体" w:cs="宋体"/>
                <w:color w:val="auto"/>
                <w:kern w:val="0"/>
                <w:szCs w:val="28"/>
                <w:highlight w:val="none"/>
              </w:rPr>
            </w:pPr>
          </w:p>
        </w:tc>
        <w:tc>
          <w:tcPr>
            <w:tcW w:w="1374" w:type="dxa"/>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收文查询</w:t>
            </w:r>
          </w:p>
        </w:tc>
        <w:tc>
          <w:tcPr>
            <w:tcW w:w="4327" w:type="dxa"/>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用于单位所有用户，均可查询本单位收文内容。查询提供按照发文标题（模糊匹配）、文号（模糊匹配）、收文文时间，经办部门。</w:t>
            </w:r>
          </w:p>
        </w:tc>
        <w:tc>
          <w:tcPr>
            <w:tcW w:w="1343" w:type="dxa"/>
            <w:vAlign w:val="center"/>
          </w:tcPr>
          <w:p>
            <w:pPr>
              <w:widowControl/>
              <w:spacing w:line="320" w:lineRule="exact"/>
              <w:jc w:val="center"/>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vMerge w:val="continue"/>
            <w:vAlign w:val="center"/>
          </w:tcPr>
          <w:p>
            <w:pPr>
              <w:widowControl/>
              <w:spacing w:line="320" w:lineRule="exact"/>
              <w:textAlignment w:val="center"/>
              <w:rPr>
                <w:rFonts w:ascii="宋体" w:hAnsi="宋体" w:cs="宋体"/>
                <w:color w:val="auto"/>
                <w:kern w:val="0"/>
                <w:szCs w:val="28"/>
                <w:highlight w:val="none"/>
              </w:rPr>
            </w:pPr>
          </w:p>
        </w:tc>
        <w:tc>
          <w:tcPr>
            <w:tcW w:w="814" w:type="dxa"/>
            <w:vMerge w:val="continue"/>
            <w:vAlign w:val="center"/>
          </w:tcPr>
          <w:p>
            <w:pPr>
              <w:widowControl/>
              <w:spacing w:line="320" w:lineRule="exact"/>
              <w:textAlignment w:val="center"/>
              <w:rPr>
                <w:rFonts w:ascii="宋体" w:hAnsi="宋体" w:cs="宋体"/>
                <w:color w:val="auto"/>
                <w:kern w:val="0"/>
                <w:szCs w:val="28"/>
                <w:highlight w:val="none"/>
              </w:rPr>
            </w:pPr>
          </w:p>
        </w:tc>
        <w:tc>
          <w:tcPr>
            <w:tcW w:w="1374" w:type="dxa"/>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收文代理</w:t>
            </w:r>
          </w:p>
        </w:tc>
        <w:tc>
          <w:tcPr>
            <w:tcW w:w="4327" w:type="dxa"/>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用于单位用户在出差期间，不能使用政务办公系统，无法处理收文。用户通过设置代理人，将本人办理的流程环节，交代理人去处理。</w:t>
            </w:r>
          </w:p>
        </w:tc>
        <w:tc>
          <w:tcPr>
            <w:tcW w:w="1343" w:type="dxa"/>
            <w:vAlign w:val="center"/>
          </w:tcPr>
          <w:p>
            <w:pPr>
              <w:widowControl/>
              <w:spacing w:line="320" w:lineRule="exact"/>
              <w:jc w:val="center"/>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vMerge w:val="continue"/>
            <w:vAlign w:val="center"/>
          </w:tcPr>
          <w:p>
            <w:pPr>
              <w:widowControl/>
              <w:spacing w:line="320" w:lineRule="exact"/>
              <w:textAlignment w:val="center"/>
              <w:rPr>
                <w:rFonts w:ascii="宋体" w:hAnsi="宋体" w:cs="宋体"/>
                <w:color w:val="auto"/>
                <w:kern w:val="0"/>
                <w:szCs w:val="28"/>
                <w:highlight w:val="none"/>
              </w:rPr>
            </w:pPr>
          </w:p>
        </w:tc>
        <w:tc>
          <w:tcPr>
            <w:tcW w:w="814" w:type="dxa"/>
            <w:vMerge w:val="continue"/>
            <w:vAlign w:val="center"/>
          </w:tcPr>
          <w:p>
            <w:pPr>
              <w:widowControl/>
              <w:spacing w:line="320" w:lineRule="exact"/>
              <w:textAlignment w:val="center"/>
              <w:rPr>
                <w:rFonts w:ascii="宋体" w:hAnsi="宋体" w:cs="宋体"/>
                <w:color w:val="auto"/>
                <w:kern w:val="0"/>
                <w:szCs w:val="28"/>
                <w:highlight w:val="none"/>
              </w:rPr>
            </w:pPr>
          </w:p>
        </w:tc>
        <w:tc>
          <w:tcPr>
            <w:tcW w:w="1374" w:type="dxa"/>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收文转任务</w:t>
            </w:r>
          </w:p>
        </w:tc>
        <w:tc>
          <w:tcPr>
            <w:tcW w:w="4327" w:type="dxa"/>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提供收文转任务操作，将单位收文中的标题，转为任务信息的标题，收文附件，转为任务信息附件，然后发起新任务。</w:t>
            </w:r>
          </w:p>
        </w:tc>
        <w:tc>
          <w:tcPr>
            <w:tcW w:w="1343" w:type="dxa"/>
            <w:vAlign w:val="center"/>
          </w:tcPr>
          <w:p>
            <w:pPr>
              <w:widowControl/>
              <w:spacing w:line="320" w:lineRule="exact"/>
              <w:jc w:val="center"/>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vMerge w:val="continue"/>
            <w:vAlign w:val="center"/>
          </w:tcPr>
          <w:p>
            <w:pPr>
              <w:widowControl/>
              <w:spacing w:line="320" w:lineRule="exact"/>
              <w:textAlignment w:val="center"/>
              <w:rPr>
                <w:rFonts w:ascii="宋体" w:hAnsi="宋体" w:cs="宋体"/>
                <w:color w:val="auto"/>
                <w:kern w:val="0"/>
                <w:szCs w:val="28"/>
                <w:highlight w:val="none"/>
              </w:rPr>
            </w:pPr>
          </w:p>
        </w:tc>
        <w:tc>
          <w:tcPr>
            <w:tcW w:w="814" w:type="dxa"/>
            <w:vMerge w:val="continue"/>
            <w:vAlign w:val="center"/>
          </w:tcPr>
          <w:p>
            <w:pPr>
              <w:widowControl/>
              <w:spacing w:line="320" w:lineRule="exact"/>
              <w:textAlignment w:val="center"/>
              <w:rPr>
                <w:rFonts w:ascii="宋体" w:hAnsi="宋体" w:cs="宋体"/>
                <w:color w:val="auto"/>
                <w:kern w:val="0"/>
                <w:szCs w:val="28"/>
                <w:highlight w:val="none"/>
              </w:rPr>
            </w:pPr>
          </w:p>
        </w:tc>
        <w:tc>
          <w:tcPr>
            <w:tcW w:w="1374" w:type="dxa"/>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收文转发文</w:t>
            </w:r>
          </w:p>
        </w:tc>
        <w:tc>
          <w:tcPr>
            <w:tcW w:w="4327" w:type="dxa"/>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提供收文转发文操作，将单位收文中的标题，转为发文信息的标题，收文附件，转为发文附件，然后发起新发文流程。</w:t>
            </w:r>
          </w:p>
        </w:tc>
        <w:tc>
          <w:tcPr>
            <w:tcW w:w="1343" w:type="dxa"/>
            <w:vAlign w:val="center"/>
          </w:tcPr>
          <w:p>
            <w:pPr>
              <w:widowControl/>
              <w:spacing w:line="320" w:lineRule="exact"/>
              <w:jc w:val="center"/>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vMerge w:val="restart"/>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3</w:t>
            </w:r>
          </w:p>
        </w:tc>
        <w:tc>
          <w:tcPr>
            <w:tcW w:w="814" w:type="dxa"/>
            <w:vMerge w:val="restart"/>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通知公告</w:t>
            </w:r>
          </w:p>
        </w:tc>
        <w:tc>
          <w:tcPr>
            <w:tcW w:w="1374" w:type="dxa"/>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公告分类管理</w:t>
            </w:r>
          </w:p>
        </w:tc>
        <w:tc>
          <w:tcPr>
            <w:tcW w:w="4327" w:type="dxa"/>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由单位管理员负责维护公告分类。为公告提供一级分类。管理员可以新增，修改，删除分类内容。</w:t>
            </w:r>
          </w:p>
        </w:tc>
        <w:tc>
          <w:tcPr>
            <w:tcW w:w="1343" w:type="dxa"/>
            <w:vAlign w:val="center"/>
          </w:tcPr>
          <w:p>
            <w:pPr>
              <w:widowControl/>
              <w:spacing w:line="320" w:lineRule="exact"/>
              <w:jc w:val="center"/>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vMerge w:val="continue"/>
            <w:vAlign w:val="center"/>
          </w:tcPr>
          <w:p>
            <w:pPr>
              <w:widowControl/>
              <w:spacing w:line="320" w:lineRule="exact"/>
              <w:textAlignment w:val="center"/>
              <w:rPr>
                <w:rFonts w:ascii="宋体" w:hAnsi="宋体" w:cs="宋体"/>
                <w:color w:val="auto"/>
                <w:kern w:val="0"/>
                <w:szCs w:val="28"/>
                <w:highlight w:val="none"/>
              </w:rPr>
            </w:pPr>
          </w:p>
        </w:tc>
        <w:tc>
          <w:tcPr>
            <w:tcW w:w="814" w:type="dxa"/>
            <w:vMerge w:val="continue"/>
            <w:vAlign w:val="center"/>
          </w:tcPr>
          <w:p>
            <w:pPr>
              <w:widowControl/>
              <w:spacing w:line="320" w:lineRule="exact"/>
              <w:textAlignment w:val="center"/>
              <w:rPr>
                <w:rFonts w:ascii="宋体" w:hAnsi="宋体" w:cs="宋体"/>
                <w:color w:val="auto"/>
                <w:kern w:val="0"/>
                <w:szCs w:val="28"/>
                <w:highlight w:val="none"/>
              </w:rPr>
            </w:pPr>
          </w:p>
        </w:tc>
        <w:tc>
          <w:tcPr>
            <w:tcW w:w="1374" w:type="dxa"/>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公告编写</w:t>
            </w:r>
          </w:p>
        </w:tc>
        <w:tc>
          <w:tcPr>
            <w:tcW w:w="4327" w:type="dxa"/>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由单位用户使用，新建公告，选择新建公告的类别（新闻、外链，文件）后，进入分类公告编辑页面。</w:t>
            </w:r>
          </w:p>
        </w:tc>
        <w:tc>
          <w:tcPr>
            <w:tcW w:w="1343" w:type="dxa"/>
            <w:vAlign w:val="center"/>
          </w:tcPr>
          <w:p>
            <w:pPr>
              <w:widowControl/>
              <w:spacing w:line="320" w:lineRule="exact"/>
              <w:jc w:val="center"/>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vMerge w:val="continue"/>
            <w:vAlign w:val="center"/>
          </w:tcPr>
          <w:p>
            <w:pPr>
              <w:widowControl/>
              <w:spacing w:line="320" w:lineRule="exact"/>
              <w:textAlignment w:val="center"/>
              <w:rPr>
                <w:rFonts w:ascii="宋体" w:hAnsi="宋体" w:cs="宋体"/>
                <w:color w:val="auto"/>
                <w:kern w:val="0"/>
                <w:szCs w:val="28"/>
                <w:highlight w:val="none"/>
              </w:rPr>
            </w:pPr>
          </w:p>
        </w:tc>
        <w:tc>
          <w:tcPr>
            <w:tcW w:w="814" w:type="dxa"/>
            <w:vMerge w:val="continue"/>
            <w:vAlign w:val="center"/>
          </w:tcPr>
          <w:p>
            <w:pPr>
              <w:widowControl/>
              <w:spacing w:line="320" w:lineRule="exact"/>
              <w:textAlignment w:val="center"/>
              <w:rPr>
                <w:rFonts w:ascii="宋体" w:hAnsi="宋体" w:cs="宋体"/>
                <w:color w:val="auto"/>
                <w:kern w:val="0"/>
                <w:szCs w:val="28"/>
                <w:highlight w:val="none"/>
              </w:rPr>
            </w:pPr>
          </w:p>
        </w:tc>
        <w:tc>
          <w:tcPr>
            <w:tcW w:w="1374" w:type="dxa"/>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公告查看</w:t>
            </w:r>
          </w:p>
        </w:tc>
        <w:tc>
          <w:tcPr>
            <w:tcW w:w="4327" w:type="dxa"/>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单位用户可以在登录后首页、公告查询页面查看公告。</w:t>
            </w:r>
          </w:p>
        </w:tc>
        <w:tc>
          <w:tcPr>
            <w:tcW w:w="1343" w:type="dxa"/>
            <w:vAlign w:val="center"/>
          </w:tcPr>
          <w:p>
            <w:pPr>
              <w:widowControl/>
              <w:spacing w:line="320" w:lineRule="exact"/>
              <w:jc w:val="center"/>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vMerge w:val="continue"/>
            <w:vAlign w:val="center"/>
          </w:tcPr>
          <w:p>
            <w:pPr>
              <w:widowControl/>
              <w:spacing w:line="320" w:lineRule="exact"/>
              <w:textAlignment w:val="center"/>
              <w:rPr>
                <w:rFonts w:ascii="宋体" w:hAnsi="宋体" w:cs="宋体"/>
                <w:color w:val="auto"/>
                <w:kern w:val="0"/>
                <w:szCs w:val="28"/>
                <w:highlight w:val="none"/>
              </w:rPr>
            </w:pPr>
          </w:p>
        </w:tc>
        <w:tc>
          <w:tcPr>
            <w:tcW w:w="814" w:type="dxa"/>
            <w:vMerge w:val="continue"/>
            <w:vAlign w:val="center"/>
          </w:tcPr>
          <w:p>
            <w:pPr>
              <w:widowControl/>
              <w:spacing w:line="320" w:lineRule="exact"/>
              <w:textAlignment w:val="center"/>
              <w:rPr>
                <w:rFonts w:ascii="宋体" w:hAnsi="宋体" w:cs="宋体"/>
                <w:color w:val="auto"/>
                <w:kern w:val="0"/>
                <w:szCs w:val="28"/>
                <w:highlight w:val="none"/>
              </w:rPr>
            </w:pPr>
          </w:p>
        </w:tc>
        <w:tc>
          <w:tcPr>
            <w:tcW w:w="1374" w:type="dxa"/>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公告查询</w:t>
            </w:r>
          </w:p>
        </w:tc>
        <w:tc>
          <w:tcPr>
            <w:tcW w:w="4327" w:type="dxa"/>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通过公告标题（模糊查询），发布时间，查询公告内容，结果集列表显示。</w:t>
            </w:r>
          </w:p>
        </w:tc>
        <w:tc>
          <w:tcPr>
            <w:tcW w:w="1343" w:type="dxa"/>
            <w:vAlign w:val="center"/>
          </w:tcPr>
          <w:p>
            <w:pPr>
              <w:widowControl/>
              <w:spacing w:line="320" w:lineRule="exact"/>
              <w:jc w:val="center"/>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vMerge w:val="restart"/>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4</w:t>
            </w:r>
          </w:p>
        </w:tc>
        <w:tc>
          <w:tcPr>
            <w:tcW w:w="814" w:type="dxa"/>
            <w:vMerge w:val="restart"/>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行程管理</w:t>
            </w:r>
          </w:p>
        </w:tc>
        <w:tc>
          <w:tcPr>
            <w:tcW w:w="1374" w:type="dxa"/>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行程发布</w:t>
            </w:r>
          </w:p>
        </w:tc>
        <w:tc>
          <w:tcPr>
            <w:tcW w:w="4327" w:type="dxa"/>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由单位用户使用，用户输入行程时间范围，行程说明，点击页面保存完成发布。</w:t>
            </w:r>
          </w:p>
        </w:tc>
        <w:tc>
          <w:tcPr>
            <w:tcW w:w="1343" w:type="dxa"/>
            <w:vAlign w:val="center"/>
          </w:tcPr>
          <w:p>
            <w:pPr>
              <w:widowControl/>
              <w:spacing w:line="320" w:lineRule="exact"/>
              <w:jc w:val="center"/>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vMerge w:val="continue"/>
            <w:vAlign w:val="center"/>
          </w:tcPr>
          <w:p>
            <w:pPr>
              <w:widowControl/>
              <w:spacing w:line="320" w:lineRule="exact"/>
              <w:textAlignment w:val="center"/>
              <w:rPr>
                <w:rFonts w:ascii="宋体" w:hAnsi="宋体" w:cs="宋体"/>
                <w:color w:val="auto"/>
                <w:kern w:val="0"/>
                <w:szCs w:val="28"/>
                <w:highlight w:val="none"/>
              </w:rPr>
            </w:pPr>
          </w:p>
        </w:tc>
        <w:tc>
          <w:tcPr>
            <w:tcW w:w="814" w:type="dxa"/>
            <w:vMerge w:val="continue"/>
            <w:vAlign w:val="center"/>
          </w:tcPr>
          <w:p>
            <w:pPr>
              <w:widowControl/>
              <w:spacing w:line="320" w:lineRule="exact"/>
              <w:textAlignment w:val="center"/>
              <w:rPr>
                <w:rFonts w:ascii="宋体" w:hAnsi="宋体" w:cs="宋体"/>
                <w:color w:val="auto"/>
                <w:kern w:val="0"/>
                <w:szCs w:val="28"/>
                <w:highlight w:val="none"/>
              </w:rPr>
            </w:pPr>
          </w:p>
        </w:tc>
        <w:tc>
          <w:tcPr>
            <w:tcW w:w="1374" w:type="dxa"/>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行程查询</w:t>
            </w:r>
          </w:p>
        </w:tc>
        <w:tc>
          <w:tcPr>
            <w:tcW w:w="4327" w:type="dxa"/>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提供日历视图，查看，查询单位各部门人员的行程安排。</w:t>
            </w:r>
          </w:p>
        </w:tc>
        <w:tc>
          <w:tcPr>
            <w:tcW w:w="1343" w:type="dxa"/>
            <w:vAlign w:val="center"/>
          </w:tcPr>
          <w:p>
            <w:pPr>
              <w:widowControl/>
              <w:spacing w:line="320" w:lineRule="exact"/>
              <w:jc w:val="center"/>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vMerge w:val="continue"/>
            <w:vAlign w:val="center"/>
          </w:tcPr>
          <w:p>
            <w:pPr>
              <w:widowControl/>
              <w:spacing w:line="320" w:lineRule="exact"/>
              <w:textAlignment w:val="center"/>
              <w:rPr>
                <w:rFonts w:ascii="宋体" w:hAnsi="宋体" w:cs="宋体"/>
                <w:color w:val="auto"/>
                <w:kern w:val="0"/>
                <w:szCs w:val="28"/>
                <w:highlight w:val="none"/>
              </w:rPr>
            </w:pPr>
          </w:p>
        </w:tc>
        <w:tc>
          <w:tcPr>
            <w:tcW w:w="814" w:type="dxa"/>
            <w:vMerge w:val="continue"/>
            <w:vAlign w:val="center"/>
          </w:tcPr>
          <w:p>
            <w:pPr>
              <w:widowControl/>
              <w:spacing w:line="320" w:lineRule="exact"/>
              <w:textAlignment w:val="center"/>
              <w:rPr>
                <w:rFonts w:ascii="宋体" w:hAnsi="宋体" w:cs="宋体"/>
                <w:color w:val="auto"/>
                <w:kern w:val="0"/>
                <w:szCs w:val="28"/>
                <w:highlight w:val="none"/>
              </w:rPr>
            </w:pPr>
          </w:p>
        </w:tc>
        <w:tc>
          <w:tcPr>
            <w:tcW w:w="1374" w:type="dxa"/>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行程提醒</w:t>
            </w:r>
          </w:p>
        </w:tc>
        <w:tc>
          <w:tcPr>
            <w:tcW w:w="4327" w:type="dxa"/>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在行程发布时，可以选择即时通讯提醒，短信提醒等提醒方式，在行程时间将到达时，向单位用户移动端发送提醒消息。</w:t>
            </w:r>
          </w:p>
        </w:tc>
        <w:tc>
          <w:tcPr>
            <w:tcW w:w="1343" w:type="dxa"/>
            <w:vAlign w:val="center"/>
          </w:tcPr>
          <w:p>
            <w:pPr>
              <w:widowControl/>
              <w:spacing w:line="320" w:lineRule="exact"/>
              <w:jc w:val="center"/>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vMerge w:val="restart"/>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5</w:t>
            </w:r>
          </w:p>
        </w:tc>
        <w:tc>
          <w:tcPr>
            <w:tcW w:w="814" w:type="dxa"/>
            <w:vMerge w:val="restart"/>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工作邮件</w:t>
            </w:r>
          </w:p>
        </w:tc>
        <w:tc>
          <w:tcPr>
            <w:tcW w:w="1374" w:type="dxa"/>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邮件编写</w:t>
            </w:r>
          </w:p>
        </w:tc>
        <w:tc>
          <w:tcPr>
            <w:tcW w:w="4327" w:type="dxa"/>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由单位用户使用，单位用户编写邮件，邮件基本信息为：标题，正文，附件。编写好的邮件自动存为邮件草稿。</w:t>
            </w:r>
          </w:p>
        </w:tc>
        <w:tc>
          <w:tcPr>
            <w:tcW w:w="1343" w:type="dxa"/>
            <w:vAlign w:val="center"/>
          </w:tcPr>
          <w:p>
            <w:pPr>
              <w:widowControl/>
              <w:spacing w:line="320" w:lineRule="exact"/>
              <w:jc w:val="center"/>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vMerge w:val="continue"/>
            <w:vAlign w:val="center"/>
          </w:tcPr>
          <w:p>
            <w:pPr>
              <w:widowControl/>
              <w:spacing w:line="320" w:lineRule="exact"/>
              <w:textAlignment w:val="center"/>
              <w:rPr>
                <w:rFonts w:ascii="宋体" w:hAnsi="宋体" w:cs="宋体"/>
                <w:color w:val="auto"/>
                <w:kern w:val="0"/>
                <w:szCs w:val="28"/>
                <w:highlight w:val="none"/>
              </w:rPr>
            </w:pPr>
          </w:p>
        </w:tc>
        <w:tc>
          <w:tcPr>
            <w:tcW w:w="814" w:type="dxa"/>
            <w:vMerge w:val="continue"/>
            <w:vAlign w:val="center"/>
          </w:tcPr>
          <w:p>
            <w:pPr>
              <w:widowControl/>
              <w:spacing w:line="320" w:lineRule="exact"/>
              <w:textAlignment w:val="center"/>
              <w:rPr>
                <w:rFonts w:ascii="宋体" w:hAnsi="宋体" w:cs="宋体"/>
                <w:color w:val="auto"/>
                <w:kern w:val="0"/>
                <w:szCs w:val="28"/>
                <w:highlight w:val="none"/>
              </w:rPr>
            </w:pPr>
          </w:p>
        </w:tc>
        <w:tc>
          <w:tcPr>
            <w:tcW w:w="1374" w:type="dxa"/>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收件箱</w:t>
            </w:r>
          </w:p>
        </w:tc>
        <w:tc>
          <w:tcPr>
            <w:tcW w:w="4327" w:type="dxa"/>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提供邮件按照标题（模糊查询）、发送人，发送时间进行查询检索。</w:t>
            </w:r>
          </w:p>
        </w:tc>
        <w:tc>
          <w:tcPr>
            <w:tcW w:w="1343" w:type="dxa"/>
            <w:vAlign w:val="center"/>
          </w:tcPr>
          <w:p>
            <w:pPr>
              <w:widowControl/>
              <w:spacing w:line="320" w:lineRule="exact"/>
              <w:jc w:val="center"/>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vMerge w:val="continue"/>
            <w:vAlign w:val="center"/>
          </w:tcPr>
          <w:p>
            <w:pPr>
              <w:widowControl/>
              <w:spacing w:line="320" w:lineRule="exact"/>
              <w:textAlignment w:val="center"/>
              <w:rPr>
                <w:rFonts w:ascii="宋体" w:hAnsi="宋体" w:cs="宋体"/>
                <w:color w:val="auto"/>
                <w:kern w:val="0"/>
                <w:szCs w:val="28"/>
                <w:highlight w:val="none"/>
              </w:rPr>
            </w:pPr>
          </w:p>
        </w:tc>
        <w:tc>
          <w:tcPr>
            <w:tcW w:w="814" w:type="dxa"/>
            <w:vMerge w:val="continue"/>
            <w:vAlign w:val="center"/>
          </w:tcPr>
          <w:p>
            <w:pPr>
              <w:widowControl/>
              <w:spacing w:line="320" w:lineRule="exact"/>
              <w:textAlignment w:val="center"/>
              <w:rPr>
                <w:rFonts w:ascii="宋体" w:hAnsi="宋体" w:cs="宋体"/>
                <w:color w:val="auto"/>
                <w:kern w:val="0"/>
                <w:szCs w:val="28"/>
                <w:highlight w:val="none"/>
              </w:rPr>
            </w:pPr>
          </w:p>
        </w:tc>
        <w:tc>
          <w:tcPr>
            <w:tcW w:w="1374" w:type="dxa"/>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发件箱</w:t>
            </w:r>
          </w:p>
        </w:tc>
        <w:tc>
          <w:tcPr>
            <w:tcW w:w="4327" w:type="dxa"/>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提供邮件按照标题（模糊查询）、接收人，发送时间进行查询检索。</w:t>
            </w:r>
          </w:p>
        </w:tc>
        <w:tc>
          <w:tcPr>
            <w:tcW w:w="1343" w:type="dxa"/>
            <w:vAlign w:val="center"/>
          </w:tcPr>
          <w:p>
            <w:pPr>
              <w:widowControl/>
              <w:spacing w:line="320" w:lineRule="exact"/>
              <w:jc w:val="center"/>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vMerge w:val="continue"/>
            <w:vAlign w:val="center"/>
          </w:tcPr>
          <w:p>
            <w:pPr>
              <w:widowControl/>
              <w:spacing w:line="320" w:lineRule="exact"/>
              <w:textAlignment w:val="center"/>
              <w:rPr>
                <w:rFonts w:ascii="宋体" w:hAnsi="宋体" w:cs="宋体"/>
                <w:color w:val="auto"/>
                <w:kern w:val="0"/>
                <w:szCs w:val="28"/>
                <w:highlight w:val="none"/>
              </w:rPr>
            </w:pPr>
          </w:p>
        </w:tc>
        <w:tc>
          <w:tcPr>
            <w:tcW w:w="814" w:type="dxa"/>
            <w:vMerge w:val="continue"/>
            <w:vAlign w:val="center"/>
          </w:tcPr>
          <w:p>
            <w:pPr>
              <w:widowControl/>
              <w:spacing w:line="320" w:lineRule="exact"/>
              <w:textAlignment w:val="center"/>
              <w:rPr>
                <w:rFonts w:ascii="宋体" w:hAnsi="宋体" w:cs="宋体"/>
                <w:color w:val="auto"/>
                <w:kern w:val="0"/>
                <w:szCs w:val="28"/>
                <w:highlight w:val="none"/>
              </w:rPr>
            </w:pPr>
          </w:p>
        </w:tc>
        <w:tc>
          <w:tcPr>
            <w:tcW w:w="1374" w:type="dxa"/>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邮件草稿</w:t>
            </w:r>
          </w:p>
        </w:tc>
        <w:tc>
          <w:tcPr>
            <w:tcW w:w="4327" w:type="dxa"/>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可以在邮件草稿，删除，新增邮件。</w:t>
            </w:r>
          </w:p>
        </w:tc>
        <w:tc>
          <w:tcPr>
            <w:tcW w:w="1343" w:type="dxa"/>
            <w:vAlign w:val="center"/>
          </w:tcPr>
          <w:p>
            <w:pPr>
              <w:widowControl/>
              <w:spacing w:line="320" w:lineRule="exact"/>
              <w:jc w:val="center"/>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vMerge w:val="restart"/>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6</w:t>
            </w:r>
          </w:p>
        </w:tc>
        <w:tc>
          <w:tcPr>
            <w:tcW w:w="814" w:type="dxa"/>
            <w:vMerge w:val="restart"/>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任务管理</w:t>
            </w:r>
          </w:p>
        </w:tc>
        <w:tc>
          <w:tcPr>
            <w:tcW w:w="1374" w:type="dxa"/>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任务新建</w:t>
            </w:r>
          </w:p>
        </w:tc>
        <w:tc>
          <w:tcPr>
            <w:tcW w:w="4327" w:type="dxa"/>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由单位用户发起，编写任务说明。</w:t>
            </w:r>
          </w:p>
        </w:tc>
        <w:tc>
          <w:tcPr>
            <w:tcW w:w="1343" w:type="dxa"/>
            <w:vAlign w:val="center"/>
          </w:tcPr>
          <w:p>
            <w:pPr>
              <w:widowControl/>
              <w:spacing w:line="320" w:lineRule="exact"/>
              <w:jc w:val="center"/>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vMerge w:val="continue"/>
            <w:vAlign w:val="center"/>
          </w:tcPr>
          <w:p>
            <w:pPr>
              <w:widowControl/>
              <w:spacing w:line="320" w:lineRule="exact"/>
              <w:textAlignment w:val="center"/>
              <w:rPr>
                <w:rFonts w:ascii="宋体" w:hAnsi="宋体" w:cs="宋体"/>
                <w:color w:val="auto"/>
                <w:kern w:val="0"/>
                <w:szCs w:val="28"/>
                <w:highlight w:val="none"/>
              </w:rPr>
            </w:pPr>
          </w:p>
        </w:tc>
        <w:tc>
          <w:tcPr>
            <w:tcW w:w="814" w:type="dxa"/>
            <w:vMerge w:val="continue"/>
            <w:vAlign w:val="center"/>
          </w:tcPr>
          <w:p>
            <w:pPr>
              <w:widowControl/>
              <w:spacing w:line="320" w:lineRule="exact"/>
              <w:textAlignment w:val="center"/>
              <w:rPr>
                <w:rFonts w:ascii="宋体" w:hAnsi="宋体" w:cs="宋体"/>
                <w:color w:val="auto"/>
                <w:kern w:val="0"/>
                <w:szCs w:val="28"/>
                <w:highlight w:val="none"/>
              </w:rPr>
            </w:pPr>
          </w:p>
        </w:tc>
        <w:tc>
          <w:tcPr>
            <w:tcW w:w="1374" w:type="dxa"/>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任务分解</w:t>
            </w:r>
          </w:p>
        </w:tc>
        <w:tc>
          <w:tcPr>
            <w:tcW w:w="4327" w:type="dxa"/>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任务接收人可以继续将任务指派给其他人员，新增任务责任人，编写指派说明。</w:t>
            </w:r>
          </w:p>
        </w:tc>
        <w:tc>
          <w:tcPr>
            <w:tcW w:w="1343" w:type="dxa"/>
            <w:vAlign w:val="center"/>
          </w:tcPr>
          <w:p>
            <w:pPr>
              <w:widowControl/>
              <w:spacing w:line="320" w:lineRule="exact"/>
              <w:jc w:val="center"/>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vMerge w:val="continue"/>
            <w:vAlign w:val="center"/>
          </w:tcPr>
          <w:p>
            <w:pPr>
              <w:widowControl/>
              <w:spacing w:line="320" w:lineRule="exact"/>
              <w:textAlignment w:val="center"/>
              <w:rPr>
                <w:rFonts w:ascii="宋体" w:hAnsi="宋体" w:cs="宋体"/>
                <w:color w:val="auto"/>
                <w:kern w:val="0"/>
                <w:szCs w:val="28"/>
                <w:highlight w:val="none"/>
              </w:rPr>
            </w:pPr>
          </w:p>
        </w:tc>
        <w:tc>
          <w:tcPr>
            <w:tcW w:w="814" w:type="dxa"/>
            <w:vMerge w:val="continue"/>
            <w:vAlign w:val="center"/>
          </w:tcPr>
          <w:p>
            <w:pPr>
              <w:widowControl/>
              <w:spacing w:line="320" w:lineRule="exact"/>
              <w:textAlignment w:val="center"/>
              <w:rPr>
                <w:rFonts w:ascii="宋体" w:hAnsi="宋体" w:cs="宋体"/>
                <w:color w:val="auto"/>
                <w:kern w:val="0"/>
                <w:szCs w:val="28"/>
                <w:highlight w:val="none"/>
              </w:rPr>
            </w:pPr>
          </w:p>
        </w:tc>
        <w:tc>
          <w:tcPr>
            <w:tcW w:w="1374" w:type="dxa"/>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任务回复</w:t>
            </w:r>
          </w:p>
        </w:tc>
        <w:tc>
          <w:tcPr>
            <w:tcW w:w="4327" w:type="dxa"/>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任务责任人填写任务回复，可以上传附件文件。</w:t>
            </w:r>
          </w:p>
        </w:tc>
        <w:tc>
          <w:tcPr>
            <w:tcW w:w="1343" w:type="dxa"/>
            <w:vAlign w:val="center"/>
          </w:tcPr>
          <w:p>
            <w:pPr>
              <w:widowControl/>
              <w:spacing w:line="320" w:lineRule="exact"/>
              <w:jc w:val="center"/>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vMerge w:val="continue"/>
            <w:vAlign w:val="center"/>
          </w:tcPr>
          <w:p>
            <w:pPr>
              <w:widowControl/>
              <w:spacing w:line="320" w:lineRule="exact"/>
              <w:textAlignment w:val="center"/>
              <w:rPr>
                <w:rFonts w:ascii="宋体" w:hAnsi="宋体" w:cs="宋体"/>
                <w:color w:val="auto"/>
                <w:kern w:val="0"/>
                <w:szCs w:val="28"/>
                <w:highlight w:val="none"/>
              </w:rPr>
            </w:pPr>
          </w:p>
        </w:tc>
        <w:tc>
          <w:tcPr>
            <w:tcW w:w="814" w:type="dxa"/>
            <w:vMerge w:val="continue"/>
            <w:vAlign w:val="center"/>
          </w:tcPr>
          <w:p>
            <w:pPr>
              <w:widowControl/>
              <w:spacing w:line="320" w:lineRule="exact"/>
              <w:textAlignment w:val="center"/>
              <w:rPr>
                <w:rFonts w:ascii="宋体" w:hAnsi="宋体" w:cs="宋体"/>
                <w:color w:val="auto"/>
                <w:kern w:val="0"/>
                <w:szCs w:val="28"/>
                <w:highlight w:val="none"/>
              </w:rPr>
            </w:pPr>
          </w:p>
        </w:tc>
        <w:tc>
          <w:tcPr>
            <w:tcW w:w="1374" w:type="dxa"/>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任务查询</w:t>
            </w:r>
          </w:p>
        </w:tc>
        <w:tc>
          <w:tcPr>
            <w:tcW w:w="4327" w:type="dxa"/>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单位用户可以查询单位所有任务信息。</w:t>
            </w:r>
          </w:p>
        </w:tc>
        <w:tc>
          <w:tcPr>
            <w:tcW w:w="1343" w:type="dxa"/>
            <w:vAlign w:val="center"/>
          </w:tcPr>
          <w:p>
            <w:pPr>
              <w:widowControl/>
              <w:spacing w:line="320" w:lineRule="exact"/>
              <w:jc w:val="center"/>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vMerge w:val="continue"/>
            <w:vAlign w:val="center"/>
          </w:tcPr>
          <w:p>
            <w:pPr>
              <w:widowControl/>
              <w:spacing w:line="320" w:lineRule="exact"/>
              <w:textAlignment w:val="center"/>
              <w:rPr>
                <w:rFonts w:ascii="宋体" w:hAnsi="宋体" w:cs="宋体"/>
                <w:color w:val="auto"/>
                <w:kern w:val="0"/>
                <w:szCs w:val="28"/>
                <w:highlight w:val="none"/>
              </w:rPr>
            </w:pPr>
          </w:p>
        </w:tc>
        <w:tc>
          <w:tcPr>
            <w:tcW w:w="814" w:type="dxa"/>
            <w:vMerge w:val="continue"/>
            <w:vAlign w:val="center"/>
          </w:tcPr>
          <w:p>
            <w:pPr>
              <w:widowControl/>
              <w:spacing w:line="320" w:lineRule="exact"/>
              <w:textAlignment w:val="center"/>
              <w:rPr>
                <w:rFonts w:ascii="宋体" w:hAnsi="宋体" w:cs="宋体"/>
                <w:color w:val="auto"/>
                <w:kern w:val="0"/>
                <w:szCs w:val="28"/>
                <w:highlight w:val="none"/>
              </w:rPr>
            </w:pPr>
          </w:p>
        </w:tc>
        <w:tc>
          <w:tcPr>
            <w:tcW w:w="1374" w:type="dxa"/>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任务预警告警</w:t>
            </w:r>
          </w:p>
        </w:tc>
        <w:tc>
          <w:tcPr>
            <w:tcW w:w="4327" w:type="dxa"/>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由单位管理员设置任务的预警，告警时间。</w:t>
            </w:r>
          </w:p>
        </w:tc>
        <w:tc>
          <w:tcPr>
            <w:tcW w:w="1343" w:type="dxa"/>
            <w:vAlign w:val="center"/>
          </w:tcPr>
          <w:p>
            <w:pPr>
              <w:widowControl/>
              <w:spacing w:line="320" w:lineRule="exact"/>
              <w:jc w:val="center"/>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vMerge w:val="restart"/>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7</w:t>
            </w:r>
          </w:p>
        </w:tc>
        <w:tc>
          <w:tcPr>
            <w:tcW w:w="814" w:type="dxa"/>
            <w:vMerge w:val="restart"/>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重点工作台账</w:t>
            </w:r>
          </w:p>
        </w:tc>
        <w:tc>
          <w:tcPr>
            <w:tcW w:w="1374" w:type="dxa"/>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新建台账</w:t>
            </w:r>
          </w:p>
        </w:tc>
        <w:tc>
          <w:tcPr>
            <w:tcW w:w="4327" w:type="dxa"/>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由办公室人员负责维护台账记录。</w:t>
            </w:r>
          </w:p>
        </w:tc>
        <w:tc>
          <w:tcPr>
            <w:tcW w:w="1343" w:type="dxa"/>
            <w:vAlign w:val="center"/>
          </w:tcPr>
          <w:p>
            <w:pPr>
              <w:widowControl/>
              <w:spacing w:line="320" w:lineRule="exact"/>
              <w:jc w:val="center"/>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vMerge w:val="continue"/>
            <w:vAlign w:val="center"/>
          </w:tcPr>
          <w:p>
            <w:pPr>
              <w:widowControl/>
              <w:spacing w:line="320" w:lineRule="exact"/>
              <w:textAlignment w:val="center"/>
              <w:rPr>
                <w:rFonts w:ascii="宋体" w:hAnsi="宋体" w:cs="宋体"/>
                <w:color w:val="auto"/>
                <w:kern w:val="0"/>
                <w:szCs w:val="28"/>
                <w:highlight w:val="none"/>
              </w:rPr>
            </w:pPr>
          </w:p>
        </w:tc>
        <w:tc>
          <w:tcPr>
            <w:tcW w:w="814" w:type="dxa"/>
            <w:vMerge w:val="continue"/>
            <w:vAlign w:val="center"/>
          </w:tcPr>
          <w:p>
            <w:pPr>
              <w:widowControl/>
              <w:spacing w:line="320" w:lineRule="exact"/>
              <w:textAlignment w:val="center"/>
              <w:rPr>
                <w:rFonts w:ascii="宋体" w:hAnsi="宋体" w:cs="宋体"/>
                <w:color w:val="auto"/>
                <w:kern w:val="0"/>
                <w:szCs w:val="28"/>
                <w:highlight w:val="none"/>
              </w:rPr>
            </w:pPr>
          </w:p>
        </w:tc>
        <w:tc>
          <w:tcPr>
            <w:tcW w:w="1374" w:type="dxa"/>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添加任务</w:t>
            </w:r>
          </w:p>
        </w:tc>
        <w:tc>
          <w:tcPr>
            <w:tcW w:w="4327" w:type="dxa"/>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由台账责任人使用，责任部门接收任务后，可以将工作分解到部门任务，将部门任务关联到对应工作台账。</w:t>
            </w:r>
          </w:p>
        </w:tc>
        <w:tc>
          <w:tcPr>
            <w:tcW w:w="1343" w:type="dxa"/>
            <w:vAlign w:val="center"/>
          </w:tcPr>
          <w:p>
            <w:pPr>
              <w:widowControl/>
              <w:spacing w:line="320" w:lineRule="exact"/>
              <w:jc w:val="center"/>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vMerge w:val="continue"/>
            <w:vAlign w:val="center"/>
          </w:tcPr>
          <w:p>
            <w:pPr>
              <w:widowControl/>
              <w:spacing w:line="320" w:lineRule="exact"/>
              <w:textAlignment w:val="center"/>
              <w:rPr>
                <w:rFonts w:ascii="宋体" w:hAnsi="宋体" w:cs="宋体"/>
                <w:color w:val="auto"/>
                <w:kern w:val="0"/>
                <w:szCs w:val="28"/>
                <w:highlight w:val="none"/>
              </w:rPr>
            </w:pPr>
          </w:p>
        </w:tc>
        <w:tc>
          <w:tcPr>
            <w:tcW w:w="814" w:type="dxa"/>
            <w:vMerge w:val="continue"/>
            <w:vAlign w:val="center"/>
          </w:tcPr>
          <w:p>
            <w:pPr>
              <w:widowControl/>
              <w:spacing w:line="320" w:lineRule="exact"/>
              <w:textAlignment w:val="center"/>
              <w:rPr>
                <w:rFonts w:ascii="宋体" w:hAnsi="宋体" w:cs="宋体"/>
                <w:color w:val="auto"/>
                <w:kern w:val="0"/>
                <w:szCs w:val="28"/>
                <w:highlight w:val="none"/>
              </w:rPr>
            </w:pPr>
          </w:p>
        </w:tc>
        <w:tc>
          <w:tcPr>
            <w:tcW w:w="1374" w:type="dxa"/>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台账查询</w:t>
            </w:r>
          </w:p>
        </w:tc>
        <w:tc>
          <w:tcPr>
            <w:tcW w:w="4327" w:type="dxa"/>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单位用户可以查询单位所有台账信息。</w:t>
            </w:r>
          </w:p>
        </w:tc>
        <w:tc>
          <w:tcPr>
            <w:tcW w:w="1343" w:type="dxa"/>
            <w:vAlign w:val="center"/>
          </w:tcPr>
          <w:p>
            <w:pPr>
              <w:widowControl/>
              <w:spacing w:line="320" w:lineRule="exact"/>
              <w:jc w:val="center"/>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vMerge w:val="continue"/>
            <w:vAlign w:val="center"/>
          </w:tcPr>
          <w:p>
            <w:pPr>
              <w:widowControl/>
              <w:spacing w:line="320" w:lineRule="exact"/>
              <w:textAlignment w:val="center"/>
              <w:rPr>
                <w:rFonts w:ascii="宋体" w:hAnsi="宋体" w:cs="宋体"/>
                <w:color w:val="auto"/>
                <w:kern w:val="0"/>
                <w:szCs w:val="28"/>
                <w:highlight w:val="none"/>
              </w:rPr>
            </w:pPr>
          </w:p>
        </w:tc>
        <w:tc>
          <w:tcPr>
            <w:tcW w:w="814" w:type="dxa"/>
            <w:vMerge w:val="continue"/>
            <w:vAlign w:val="center"/>
          </w:tcPr>
          <w:p>
            <w:pPr>
              <w:widowControl/>
              <w:spacing w:line="320" w:lineRule="exact"/>
              <w:textAlignment w:val="center"/>
              <w:rPr>
                <w:rFonts w:ascii="宋体" w:hAnsi="宋体" w:cs="宋体"/>
                <w:color w:val="auto"/>
                <w:kern w:val="0"/>
                <w:szCs w:val="28"/>
                <w:highlight w:val="none"/>
              </w:rPr>
            </w:pPr>
          </w:p>
        </w:tc>
        <w:tc>
          <w:tcPr>
            <w:tcW w:w="1374" w:type="dxa"/>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收文转台账</w:t>
            </w:r>
          </w:p>
        </w:tc>
        <w:tc>
          <w:tcPr>
            <w:tcW w:w="4327" w:type="dxa"/>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系统提供从收文转台账的操作，办公室人员将单位收文转为单位重点工作台账。</w:t>
            </w:r>
          </w:p>
        </w:tc>
        <w:tc>
          <w:tcPr>
            <w:tcW w:w="1343" w:type="dxa"/>
            <w:vAlign w:val="center"/>
          </w:tcPr>
          <w:p>
            <w:pPr>
              <w:widowControl/>
              <w:spacing w:line="320" w:lineRule="exact"/>
              <w:jc w:val="center"/>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vMerge w:val="restart"/>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8</w:t>
            </w:r>
          </w:p>
        </w:tc>
        <w:tc>
          <w:tcPr>
            <w:tcW w:w="814" w:type="dxa"/>
            <w:vMerge w:val="restart"/>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消息提醒</w:t>
            </w:r>
          </w:p>
        </w:tc>
        <w:tc>
          <w:tcPr>
            <w:tcW w:w="1374" w:type="dxa"/>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定时提醒任务</w:t>
            </w:r>
          </w:p>
        </w:tc>
        <w:tc>
          <w:tcPr>
            <w:tcW w:w="4327" w:type="dxa"/>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由应用按照服务接口形式，生成定期消息提醒的任务记录，由服务负责定时检索，按时间设定发送消息提醒。</w:t>
            </w:r>
          </w:p>
        </w:tc>
        <w:tc>
          <w:tcPr>
            <w:tcW w:w="1343" w:type="dxa"/>
            <w:vAlign w:val="center"/>
          </w:tcPr>
          <w:p>
            <w:pPr>
              <w:widowControl/>
              <w:spacing w:line="320" w:lineRule="exact"/>
              <w:jc w:val="center"/>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vMerge w:val="continue"/>
            <w:vAlign w:val="center"/>
          </w:tcPr>
          <w:p>
            <w:pPr>
              <w:widowControl/>
              <w:spacing w:line="320" w:lineRule="exact"/>
              <w:textAlignment w:val="center"/>
              <w:rPr>
                <w:rFonts w:ascii="宋体" w:hAnsi="宋体" w:cs="宋体"/>
                <w:color w:val="auto"/>
                <w:kern w:val="0"/>
                <w:szCs w:val="28"/>
                <w:highlight w:val="none"/>
              </w:rPr>
            </w:pPr>
          </w:p>
        </w:tc>
        <w:tc>
          <w:tcPr>
            <w:tcW w:w="814" w:type="dxa"/>
            <w:vMerge w:val="continue"/>
            <w:vAlign w:val="center"/>
          </w:tcPr>
          <w:p>
            <w:pPr>
              <w:widowControl/>
              <w:spacing w:line="320" w:lineRule="exact"/>
              <w:textAlignment w:val="center"/>
              <w:rPr>
                <w:rFonts w:ascii="宋体" w:hAnsi="宋体" w:cs="宋体"/>
                <w:color w:val="auto"/>
                <w:kern w:val="0"/>
                <w:szCs w:val="28"/>
                <w:highlight w:val="none"/>
              </w:rPr>
            </w:pPr>
          </w:p>
        </w:tc>
        <w:tc>
          <w:tcPr>
            <w:tcW w:w="1374" w:type="dxa"/>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定时提醒应用接口</w:t>
            </w:r>
          </w:p>
        </w:tc>
        <w:tc>
          <w:tcPr>
            <w:tcW w:w="4327" w:type="dxa"/>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调用定时提醒服务接口。</w:t>
            </w:r>
          </w:p>
        </w:tc>
        <w:tc>
          <w:tcPr>
            <w:tcW w:w="1343" w:type="dxa"/>
            <w:vAlign w:val="center"/>
          </w:tcPr>
          <w:p>
            <w:pPr>
              <w:widowControl/>
              <w:spacing w:line="320" w:lineRule="exact"/>
              <w:jc w:val="center"/>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vMerge w:val="continue"/>
            <w:vAlign w:val="center"/>
          </w:tcPr>
          <w:p>
            <w:pPr>
              <w:widowControl/>
              <w:spacing w:line="320" w:lineRule="exact"/>
              <w:textAlignment w:val="center"/>
              <w:rPr>
                <w:rFonts w:ascii="宋体" w:hAnsi="宋体" w:cs="宋体"/>
                <w:color w:val="auto"/>
                <w:kern w:val="0"/>
                <w:szCs w:val="28"/>
                <w:highlight w:val="none"/>
              </w:rPr>
            </w:pPr>
          </w:p>
        </w:tc>
        <w:tc>
          <w:tcPr>
            <w:tcW w:w="814" w:type="dxa"/>
            <w:vMerge w:val="continue"/>
            <w:vAlign w:val="center"/>
          </w:tcPr>
          <w:p>
            <w:pPr>
              <w:widowControl/>
              <w:spacing w:line="320" w:lineRule="exact"/>
              <w:textAlignment w:val="center"/>
              <w:rPr>
                <w:rFonts w:ascii="宋体" w:hAnsi="宋体" w:cs="宋体"/>
                <w:color w:val="auto"/>
                <w:kern w:val="0"/>
                <w:szCs w:val="28"/>
                <w:highlight w:val="none"/>
              </w:rPr>
            </w:pPr>
          </w:p>
        </w:tc>
        <w:tc>
          <w:tcPr>
            <w:tcW w:w="1374" w:type="dxa"/>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消息发送查询</w:t>
            </w:r>
          </w:p>
        </w:tc>
        <w:tc>
          <w:tcPr>
            <w:tcW w:w="4327" w:type="dxa"/>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查询用户发送消息情况。</w:t>
            </w:r>
          </w:p>
        </w:tc>
        <w:tc>
          <w:tcPr>
            <w:tcW w:w="1343" w:type="dxa"/>
            <w:vAlign w:val="center"/>
          </w:tcPr>
          <w:p>
            <w:pPr>
              <w:widowControl/>
              <w:spacing w:line="320" w:lineRule="exact"/>
              <w:jc w:val="center"/>
              <w:textAlignment w:val="center"/>
              <w:rPr>
                <w:rFonts w:ascii="宋体" w:hAnsi="宋体" w:cs="宋体"/>
                <w:color w:val="auto"/>
                <w:kern w:val="0"/>
                <w:szCs w:val="28"/>
                <w:highlight w:val="none"/>
              </w:rPr>
            </w:pPr>
            <w:r>
              <w:rPr>
                <w:rFonts w:ascii="宋体" w:hAnsi="宋体" w:cs="宋体"/>
                <w:color w:val="auto"/>
                <w:kern w:val="0"/>
                <w:szCs w:val="28"/>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vMerge w:val="restart"/>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9</w:t>
            </w:r>
          </w:p>
        </w:tc>
        <w:tc>
          <w:tcPr>
            <w:tcW w:w="814" w:type="dxa"/>
            <w:vMerge w:val="restart"/>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个人工作台</w:t>
            </w:r>
          </w:p>
        </w:tc>
        <w:tc>
          <w:tcPr>
            <w:tcW w:w="1374" w:type="dxa"/>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个人信息维护</w:t>
            </w:r>
          </w:p>
        </w:tc>
        <w:tc>
          <w:tcPr>
            <w:tcW w:w="4327" w:type="dxa"/>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由单位用户使用，修改个人基本信息：姓名，手机号码，办公室电话，登录密码等。</w:t>
            </w:r>
          </w:p>
        </w:tc>
        <w:tc>
          <w:tcPr>
            <w:tcW w:w="1343" w:type="dxa"/>
            <w:vAlign w:val="center"/>
          </w:tcPr>
          <w:p>
            <w:pPr>
              <w:widowControl/>
              <w:spacing w:line="320" w:lineRule="exact"/>
              <w:jc w:val="center"/>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vMerge w:val="continue"/>
            <w:vAlign w:val="center"/>
          </w:tcPr>
          <w:p>
            <w:pPr>
              <w:widowControl/>
              <w:spacing w:line="320" w:lineRule="exact"/>
              <w:textAlignment w:val="center"/>
              <w:rPr>
                <w:rFonts w:ascii="宋体" w:hAnsi="宋体" w:cs="宋体"/>
                <w:color w:val="auto"/>
                <w:kern w:val="0"/>
                <w:szCs w:val="28"/>
                <w:highlight w:val="none"/>
              </w:rPr>
            </w:pPr>
          </w:p>
        </w:tc>
        <w:tc>
          <w:tcPr>
            <w:tcW w:w="814" w:type="dxa"/>
            <w:vMerge w:val="continue"/>
            <w:vAlign w:val="center"/>
          </w:tcPr>
          <w:p>
            <w:pPr>
              <w:widowControl/>
              <w:spacing w:line="320" w:lineRule="exact"/>
              <w:textAlignment w:val="center"/>
              <w:rPr>
                <w:rFonts w:ascii="宋体" w:hAnsi="宋体" w:cs="宋体"/>
                <w:color w:val="auto"/>
                <w:kern w:val="0"/>
                <w:szCs w:val="28"/>
                <w:highlight w:val="none"/>
              </w:rPr>
            </w:pPr>
          </w:p>
        </w:tc>
        <w:tc>
          <w:tcPr>
            <w:tcW w:w="1374" w:type="dxa"/>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工作代理设置</w:t>
            </w:r>
          </w:p>
        </w:tc>
        <w:tc>
          <w:tcPr>
            <w:tcW w:w="4327" w:type="dxa"/>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设置个人工作代理，代理人设置完成后，单位的发文，收文流程中当前用户经办工作，会出现在代理人的待办列表中，代理人可以替用户处理。</w:t>
            </w:r>
          </w:p>
        </w:tc>
        <w:tc>
          <w:tcPr>
            <w:tcW w:w="1343" w:type="dxa"/>
            <w:vAlign w:val="center"/>
          </w:tcPr>
          <w:p>
            <w:pPr>
              <w:widowControl/>
              <w:spacing w:line="320" w:lineRule="exact"/>
              <w:jc w:val="center"/>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vMerge w:val="continue"/>
            <w:vAlign w:val="center"/>
          </w:tcPr>
          <w:p>
            <w:pPr>
              <w:widowControl/>
              <w:spacing w:line="320" w:lineRule="exact"/>
              <w:textAlignment w:val="center"/>
              <w:rPr>
                <w:rFonts w:ascii="宋体" w:hAnsi="宋体" w:cs="宋体"/>
                <w:color w:val="auto"/>
                <w:kern w:val="0"/>
                <w:szCs w:val="28"/>
                <w:highlight w:val="none"/>
              </w:rPr>
            </w:pPr>
          </w:p>
        </w:tc>
        <w:tc>
          <w:tcPr>
            <w:tcW w:w="814" w:type="dxa"/>
            <w:vMerge w:val="continue"/>
            <w:vAlign w:val="center"/>
          </w:tcPr>
          <w:p>
            <w:pPr>
              <w:widowControl/>
              <w:spacing w:line="320" w:lineRule="exact"/>
              <w:textAlignment w:val="center"/>
              <w:rPr>
                <w:rFonts w:ascii="宋体" w:hAnsi="宋体" w:cs="宋体"/>
                <w:color w:val="auto"/>
                <w:kern w:val="0"/>
                <w:szCs w:val="28"/>
                <w:highlight w:val="none"/>
              </w:rPr>
            </w:pPr>
          </w:p>
        </w:tc>
        <w:tc>
          <w:tcPr>
            <w:tcW w:w="1374" w:type="dxa"/>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个人关注</w:t>
            </w:r>
          </w:p>
        </w:tc>
        <w:tc>
          <w:tcPr>
            <w:tcW w:w="4327" w:type="dxa"/>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用户可以在系统内多个应用增加个人关注：重点工作台账查询，任务查询，发文查询，收文查询。</w:t>
            </w:r>
          </w:p>
        </w:tc>
        <w:tc>
          <w:tcPr>
            <w:tcW w:w="1343" w:type="dxa"/>
            <w:vAlign w:val="center"/>
          </w:tcPr>
          <w:p>
            <w:pPr>
              <w:widowControl/>
              <w:spacing w:line="320" w:lineRule="exact"/>
              <w:jc w:val="center"/>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vMerge w:val="continue"/>
            <w:vAlign w:val="center"/>
          </w:tcPr>
          <w:p>
            <w:pPr>
              <w:widowControl/>
              <w:spacing w:line="320" w:lineRule="exact"/>
              <w:textAlignment w:val="center"/>
              <w:rPr>
                <w:rFonts w:ascii="宋体" w:hAnsi="宋体" w:cs="宋体"/>
                <w:color w:val="auto"/>
                <w:kern w:val="0"/>
                <w:szCs w:val="28"/>
                <w:highlight w:val="none"/>
              </w:rPr>
            </w:pPr>
          </w:p>
        </w:tc>
        <w:tc>
          <w:tcPr>
            <w:tcW w:w="814" w:type="dxa"/>
            <w:vMerge w:val="continue"/>
            <w:vAlign w:val="center"/>
          </w:tcPr>
          <w:p>
            <w:pPr>
              <w:widowControl/>
              <w:spacing w:line="320" w:lineRule="exact"/>
              <w:textAlignment w:val="center"/>
              <w:rPr>
                <w:rFonts w:ascii="宋体" w:hAnsi="宋体" w:cs="宋体"/>
                <w:color w:val="auto"/>
                <w:kern w:val="0"/>
                <w:szCs w:val="28"/>
                <w:highlight w:val="none"/>
              </w:rPr>
            </w:pPr>
          </w:p>
        </w:tc>
        <w:tc>
          <w:tcPr>
            <w:tcW w:w="1374" w:type="dxa"/>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个人群组</w:t>
            </w:r>
          </w:p>
        </w:tc>
        <w:tc>
          <w:tcPr>
            <w:tcW w:w="4327" w:type="dxa"/>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在很多业务处理界面中，需要做人员选择，为加快人员选择的过程，为用户提供个人群组功能。</w:t>
            </w:r>
          </w:p>
        </w:tc>
        <w:tc>
          <w:tcPr>
            <w:tcW w:w="1343" w:type="dxa"/>
            <w:vAlign w:val="center"/>
          </w:tcPr>
          <w:p>
            <w:pPr>
              <w:widowControl/>
              <w:spacing w:line="320" w:lineRule="exact"/>
              <w:jc w:val="center"/>
              <w:textAlignment w:val="center"/>
              <w:rPr>
                <w:rFonts w:ascii="宋体" w:hAnsi="宋体" w:cs="宋体"/>
                <w:color w:val="auto"/>
                <w:kern w:val="0"/>
                <w:szCs w:val="28"/>
                <w:highlight w:val="none"/>
              </w:rPr>
            </w:pPr>
            <w:r>
              <w:rPr>
                <w:rFonts w:ascii="宋体" w:hAnsi="宋体" w:cs="宋体"/>
                <w:color w:val="auto"/>
                <w:kern w:val="0"/>
                <w:szCs w:val="28"/>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vMerge w:val="continue"/>
            <w:vAlign w:val="center"/>
          </w:tcPr>
          <w:p>
            <w:pPr>
              <w:widowControl/>
              <w:spacing w:line="320" w:lineRule="exact"/>
              <w:textAlignment w:val="center"/>
              <w:rPr>
                <w:rFonts w:ascii="宋体" w:hAnsi="宋体" w:cs="宋体"/>
                <w:color w:val="auto"/>
                <w:kern w:val="0"/>
                <w:szCs w:val="28"/>
                <w:highlight w:val="none"/>
              </w:rPr>
            </w:pPr>
          </w:p>
        </w:tc>
        <w:tc>
          <w:tcPr>
            <w:tcW w:w="814" w:type="dxa"/>
            <w:vMerge w:val="continue"/>
            <w:vAlign w:val="center"/>
          </w:tcPr>
          <w:p>
            <w:pPr>
              <w:widowControl/>
              <w:spacing w:line="320" w:lineRule="exact"/>
              <w:textAlignment w:val="center"/>
              <w:rPr>
                <w:rFonts w:ascii="宋体" w:hAnsi="宋体" w:cs="宋体"/>
                <w:color w:val="auto"/>
                <w:kern w:val="0"/>
                <w:szCs w:val="28"/>
                <w:highlight w:val="none"/>
              </w:rPr>
            </w:pPr>
          </w:p>
        </w:tc>
        <w:tc>
          <w:tcPr>
            <w:tcW w:w="1374" w:type="dxa"/>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提醒消息查询</w:t>
            </w:r>
          </w:p>
        </w:tc>
        <w:tc>
          <w:tcPr>
            <w:tcW w:w="4327" w:type="dxa"/>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针对系统发给本人的提醒消息，可以从此处查询查看到。</w:t>
            </w:r>
          </w:p>
        </w:tc>
        <w:tc>
          <w:tcPr>
            <w:tcW w:w="1343" w:type="dxa"/>
            <w:vAlign w:val="center"/>
          </w:tcPr>
          <w:p>
            <w:pPr>
              <w:widowControl/>
              <w:spacing w:line="320" w:lineRule="exact"/>
              <w:jc w:val="center"/>
              <w:textAlignment w:val="center"/>
              <w:rPr>
                <w:rFonts w:ascii="宋体" w:hAnsi="宋体" w:cs="宋体"/>
                <w:color w:val="auto"/>
                <w:kern w:val="0"/>
                <w:szCs w:val="28"/>
                <w:highlight w:val="none"/>
              </w:rPr>
            </w:pPr>
            <w:r>
              <w:rPr>
                <w:rFonts w:ascii="宋体" w:hAnsi="宋体" w:cs="宋体"/>
                <w:color w:val="auto"/>
                <w:kern w:val="0"/>
                <w:szCs w:val="28"/>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vMerge w:val="restart"/>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10</w:t>
            </w:r>
          </w:p>
        </w:tc>
        <w:tc>
          <w:tcPr>
            <w:tcW w:w="814" w:type="dxa"/>
            <w:vMerge w:val="restart"/>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移动客户端</w:t>
            </w:r>
          </w:p>
        </w:tc>
        <w:tc>
          <w:tcPr>
            <w:tcW w:w="1374" w:type="dxa"/>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用户登录认证</w:t>
            </w:r>
          </w:p>
        </w:tc>
        <w:tc>
          <w:tcPr>
            <w:tcW w:w="4327" w:type="dxa"/>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移动端用户采用用户名，密码登录认证，认证完成后，后台生成临时通讯会话。</w:t>
            </w:r>
          </w:p>
        </w:tc>
        <w:tc>
          <w:tcPr>
            <w:tcW w:w="1343" w:type="dxa"/>
            <w:vAlign w:val="center"/>
          </w:tcPr>
          <w:p>
            <w:pPr>
              <w:widowControl/>
              <w:spacing w:line="320" w:lineRule="exact"/>
              <w:jc w:val="center"/>
              <w:textAlignment w:val="center"/>
              <w:rPr>
                <w:rFonts w:ascii="宋体" w:hAnsi="宋体" w:cs="宋体"/>
                <w:color w:val="auto"/>
                <w:kern w:val="0"/>
                <w:szCs w:val="28"/>
                <w:highlight w:val="none"/>
              </w:rPr>
            </w:pPr>
            <w:r>
              <w:rPr>
                <w:rFonts w:ascii="宋体" w:hAnsi="宋体" w:cs="宋体"/>
                <w:color w:val="auto"/>
                <w:kern w:val="0"/>
                <w:szCs w:val="28"/>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vMerge w:val="continue"/>
            <w:vAlign w:val="center"/>
          </w:tcPr>
          <w:p>
            <w:pPr>
              <w:widowControl/>
              <w:spacing w:line="320" w:lineRule="exact"/>
              <w:textAlignment w:val="center"/>
              <w:rPr>
                <w:rFonts w:ascii="宋体" w:hAnsi="宋体" w:cs="宋体"/>
                <w:color w:val="auto"/>
                <w:kern w:val="0"/>
                <w:szCs w:val="28"/>
                <w:highlight w:val="none"/>
              </w:rPr>
            </w:pPr>
          </w:p>
        </w:tc>
        <w:tc>
          <w:tcPr>
            <w:tcW w:w="814" w:type="dxa"/>
            <w:vMerge w:val="continue"/>
            <w:vAlign w:val="center"/>
          </w:tcPr>
          <w:p>
            <w:pPr>
              <w:widowControl/>
              <w:spacing w:line="320" w:lineRule="exact"/>
              <w:textAlignment w:val="center"/>
              <w:rPr>
                <w:rFonts w:ascii="宋体" w:hAnsi="宋体" w:cs="宋体"/>
                <w:color w:val="auto"/>
                <w:kern w:val="0"/>
                <w:szCs w:val="28"/>
                <w:highlight w:val="none"/>
              </w:rPr>
            </w:pPr>
          </w:p>
        </w:tc>
        <w:tc>
          <w:tcPr>
            <w:tcW w:w="1374" w:type="dxa"/>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即时通讯客户端</w:t>
            </w:r>
          </w:p>
        </w:tc>
        <w:tc>
          <w:tcPr>
            <w:tcW w:w="4327" w:type="dxa"/>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集成网易云信IM服务SDK，为移动端用户提供消息发送，群组建立，群发消息，消息接收显示等功能。</w:t>
            </w:r>
          </w:p>
        </w:tc>
        <w:tc>
          <w:tcPr>
            <w:tcW w:w="1343" w:type="dxa"/>
            <w:vAlign w:val="center"/>
          </w:tcPr>
          <w:p>
            <w:pPr>
              <w:widowControl/>
              <w:spacing w:line="320" w:lineRule="exact"/>
              <w:jc w:val="center"/>
              <w:textAlignment w:val="center"/>
              <w:rPr>
                <w:rFonts w:ascii="宋体" w:hAnsi="宋体" w:cs="宋体"/>
                <w:color w:val="auto"/>
                <w:kern w:val="0"/>
                <w:szCs w:val="28"/>
                <w:highlight w:val="none"/>
              </w:rPr>
            </w:pPr>
            <w:r>
              <w:rPr>
                <w:rFonts w:ascii="宋体" w:hAnsi="宋体" w:cs="宋体"/>
                <w:color w:val="auto"/>
                <w:kern w:val="0"/>
                <w:szCs w:val="28"/>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vMerge w:val="continue"/>
            <w:vAlign w:val="center"/>
          </w:tcPr>
          <w:p>
            <w:pPr>
              <w:widowControl/>
              <w:spacing w:line="320" w:lineRule="exact"/>
              <w:textAlignment w:val="center"/>
              <w:rPr>
                <w:rFonts w:ascii="宋体" w:hAnsi="宋体" w:cs="宋体"/>
                <w:color w:val="auto"/>
                <w:kern w:val="0"/>
                <w:szCs w:val="28"/>
                <w:highlight w:val="none"/>
              </w:rPr>
            </w:pPr>
          </w:p>
        </w:tc>
        <w:tc>
          <w:tcPr>
            <w:tcW w:w="814" w:type="dxa"/>
            <w:vMerge w:val="continue"/>
            <w:vAlign w:val="center"/>
          </w:tcPr>
          <w:p>
            <w:pPr>
              <w:widowControl/>
              <w:spacing w:line="320" w:lineRule="exact"/>
              <w:textAlignment w:val="center"/>
              <w:rPr>
                <w:rFonts w:ascii="宋体" w:hAnsi="宋体" w:cs="宋体"/>
                <w:color w:val="auto"/>
                <w:kern w:val="0"/>
                <w:szCs w:val="28"/>
                <w:highlight w:val="none"/>
              </w:rPr>
            </w:pPr>
          </w:p>
        </w:tc>
        <w:tc>
          <w:tcPr>
            <w:tcW w:w="1374" w:type="dxa"/>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通讯录管理</w:t>
            </w:r>
          </w:p>
        </w:tc>
        <w:tc>
          <w:tcPr>
            <w:tcW w:w="4327" w:type="dxa"/>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集成政务办公后台网易云信IM群组管理，单位通讯录管理，提供本单位通讯IM用户列表，查询。</w:t>
            </w:r>
          </w:p>
        </w:tc>
        <w:tc>
          <w:tcPr>
            <w:tcW w:w="1343" w:type="dxa"/>
            <w:vAlign w:val="center"/>
          </w:tcPr>
          <w:p>
            <w:pPr>
              <w:widowControl/>
              <w:spacing w:line="320" w:lineRule="exact"/>
              <w:jc w:val="center"/>
              <w:textAlignment w:val="center"/>
              <w:rPr>
                <w:rFonts w:ascii="宋体" w:hAnsi="宋体" w:cs="宋体"/>
                <w:color w:val="auto"/>
                <w:kern w:val="0"/>
                <w:szCs w:val="28"/>
                <w:highlight w:val="none"/>
              </w:rPr>
            </w:pPr>
            <w:r>
              <w:rPr>
                <w:rFonts w:ascii="宋体" w:hAnsi="宋体" w:cs="宋体"/>
                <w:color w:val="auto"/>
                <w:kern w:val="0"/>
                <w:szCs w:val="28"/>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vMerge w:val="continue"/>
            <w:vAlign w:val="center"/>
          </w:tcPr>
          <w:p>
            <w:pPr>
              <w:widowControl/>
              <w:spacing w:line="320" w:lineRule="exact"/>
              <w:textAlignment w:val="center"/>
              <w:rPr>
                <w:rFonts w:ascii="宋体" w:hAnsi="宋体" w:cs="宋体"/>
                <w:color w:val="auto"/>
                <w:kern w:val="0"/>
                <w:szCs w:val="28"/>
                <w:highlight w:val="none"/>
              </w:rPr>
            </w:pPr>
          </w:p>
        </w:tc>
        <w:tc>
          <w:tcPr>
            <w:tcW w:w="814" w:type="dxa"/>
            <w:vMerge w:val="continue"/>
            <w:vAlign w:val="center"/>
          </w:tcPr>
          <w:p>
            <w:pPr>
              <w:widowControl/>
              <w:spacing w:line="320" w:lineRule="exact"/>
              <w:textAlignment w:val="center"/>
              <w:rPr>
                <w:rFonts w:ascii="宋体" w:hAnsi="宋体" w:cs="宋体"/>
                <w:color w:val="auto"/>
                <w:kern w:val="0"/>
                <w:szCs w:val="28"/>
                <w:highlight w:val="none"/>
              </w:rPr>
            </w:pPr>
          </w:p>
        </w:tc>
        <w:tc>
          <w:tcPr>
            <w:tcW w:w="1374" w:type="dxa"/>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政务办公</w:t>
            </w:r>
          </w:p>
        </w:tc>
        <w:tc>
          <w:tcPr>
            <w:tcW w:w="4327" w:type="dxa"/>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查看、审批、访问子系统功能。</w:t>
            </w:r>
          </w:p>
        </w:tc>
        <w:tc>
          <w:tcPr>
            <w:tcW w:w="1343" w:type="dxa"/>
            <w:vAlign w:val="center"/>
          </w:tcPr>
          <w:p>
            <w:pPr>
              <w:widowControl/>
              <w:spacing w:line="320" w:lineRule="exact"/>
              <w:jc w:val="center"/>
              <w:textAlignment w:val="center"/>
              <w:rPr>
                <w:rFonts w:ascii="宋体" w:hAnsi="宋体" w:cs="宋体"/>
                <w:color w:val="auto"/>
                <w:kern w:val="0"/>
                <w:szCs w:val="28"/>
                <w:highlight w:val="none"/>
              </w:rPr>
            </w:pPr>
            <w:r>
              <w:rPr>
                <w:rFonts w:ascii="宋体" w:hAnsi="宋体" w:cs="宋体"/>
                <w:color w:val="auto"/>
                <w:kern w:val="0"/>
                <w:szCs w:val="28"/>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vMerge w:val="continue"/>
            <w:vAlign w:val="center"/>
          </w:tcPr>
          <w:p>
            <w:pPr>
              <w:widowControl/>
              <w:spacing w:line="320" w:lineRule="exact"/>
              <w:textAlignment w:val="center"/>
              <w:rPr>
                <w:rFonts w:ascii="宋体" w:hAnsi="宋体" w:cs="宋体"/>
                <w:color w:val="auto"/>
                <w:kern w:val="0"/>
                <w:szCs w:val="28"/>
                <w:highlight w:val="none"/>
              </w:rPr>
            </w:pPr>
          </w:p>
        </w:tc>
        <w:tc>
          <w:tcPr>
            <w:tcW w:w="814" w:type="dxa"/>
            <w:vMerge w:val="continue"/>
            <w:vAlign w:val="center"/>
          </w:tcPr>
          <w:p>
            <w:pPr>
              <w:widowControl/>
              <w:spacing w:line="320" w:lineRule="exact"/>
              <w:textAlignment w:val="center"/>
              <w:rPr>
                <w:rFonts w:ascii="宋体" w:hAnsi="宋体" w:cs="宋体"/>
                <w:color w:val="auto"/>
                <w:kern w:val="0"/>
                <w:szCs w:val="28"/>
                <w:highlight w:val="none"/>
              </w:rPr>
            </w:pPr>
          </w:p>
        </w:tc>
        <w:tc>
          <w:tcPr>
            <w:tcW w:w="1374" w:type="dxa"/>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消息提醒</w:t>
            </w:r>
          </w:p>
        </w:tc>
        <w:tc>
          <w:tcPr>
            <w:tcW w:w="4327" w:type="dxa"/>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集成政务办公后台网易云信IM移动端SDK，为移动端提供实时的消息服务，接收IM后台服务消息，为移动端提供消息送达提示。</w:t>
            </w:r>
          </w:p>
        </w:tc>
        <w:tc>
          <w:tcPr>
            <w:tcW w:w="1343" w:type="dxa"/>
            <w:vAlign w:val="center"/>
          </w:tcPr>
          <w:p>
            <w:pPr>
              <w:widowControl/>
              <w:spacing w:line="320" w:lineRule="exact"/>
              <w:jc w:val="center"/>
              <w:textAlignment w:val="center"/>
              <w:rPr>
                <w:rFonts w:ascii="宋体" w:hAnsi="宋体" w:cs="宋体"/>
                <w:color w:val="auto"/>
                <w:kern w:val="0"/>
                <w:szCs w:val="28"/>
                <w:highlight w:val="none"/>
              </w:rPr>
            </w:pPr>
            <w:r>
              <w:rPr>
                <w:rFonts w:ascii="宋体" w:hAnsi="宋体" w:cs="宋体"/>
                <w:color w:val="auto"/>
                <w:kern w:val="0"/>
                <w:szCs w:val="28"/>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08" w:type="dxa"/>
            <w:gridSpan w:val="4"/>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备注：项目验收时以应用模块的服务内容为准。此外，服务承接人与购买主体商议后，可根据实际情况调整具体服务内容。</w:t>
            </w:r>
          </w:p>
        </w:tc>
        <w:tc>
          <w:tcPr>
            <w:tcW w:w="1343" w:type="dxa"/>
            <w:vAlign w:val="center"/>
          </w:tcPr>
          <w:p>
            <w:pPr>
              <w:widowControl/>
              <w:spacing w:line="320" w:lineRule="exact"/>
              <w:jc w:val="center"/>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40</w:t>
            </w:r>
          </w:p>
        </w:tc>
      </w:tr>
    </w:tbl>
    <w:p>
      <w:pPr>
        <w:numPr>
          <w:ilvl w:val="0"/>
          <w:numId w:val="3"/>
        </w:numPr>
        <w:adjustRightInd w:val="0"/>
        <w:spacing w:line="360" w:lineRule="auto"/>
        <w:ind w:firstLine="420" w:firstLineChars="200"/>
        <w:rPr>
          <w:color w:val="auto"/>
          <w:highlight w:val="none"/>
        </w:rPr>
      </w:pPr>
      <w:r>
        <w:rPr>
          <w:rFonts w:hint="eastAsia"/>
          <w:color w:val="auto"/>
          <w:highlight w:val="none"/>
        </w:rPr>
        <w:t>5家单位个性化需求（满分</w:t>
      </w:r>
      <w:r>
        <w:rPr>
          <w:color w:val="auto"/>
          <w:highlight w:val="none"/>
        </w:rPr>
        <w:t>20</w:t>
      </w:r>
      <w:r>
        <w:rPr>
          <w:rFonts w:hint="eastAsia"/>
          <w:color w:val="auto"/>
          <w:highlight w:val="none"/>
        </w:rPr>
        <w:t>分）</w:t>
      </w:r>
    </w:p>
    <w:tbl>
      <w:tblPr>
        <w:tblStyle w:val="36"/>
        <w:tblW w:w="5257" w:type="pct"/>
        <w:tblInd w:w="-289"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079"/>
        <w:gridCol w:w="925"/>
        <w:gridCol w:w="1422"/>
        <w:gridCol w:w="4742"/>
        <w:gridCol w:w="1312"/>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3" w:hRule="atLeast"/>
          <w:tblHeader/>
        </w:trPr>
        <w:tc>
          <w:tcPr>
            <w:tcW w:w="4307" w:type="pct"/>
            <w:gridSpan w:val="4"/>
            <w:tcBorders>
              <w:bottom w:val="single" w:color="000000" w:sz="8" w:space="0"/>
              <w:right w:val="single" w:color="auto" w:sz="4" w:space="0"/>
            </w:tcBorders>
            <w:tcMar>
              <w:top w:w="15" w:type="dxa"/>
              <w:left w:w="15" w:type="dxa"/>
              <w:right w:w="15" w:type="dxa"/>
            </w:tcMar>
            <w:vAlign w:val="center"/>
          </w:tcPr>
          <w:p>
            <w:pPr>
              <w:widowControl/>
              <w:spacing w:line="320" w:lineRule="exact"/>
              <w:jc w:val="center"/>
              <w:textAlignment w:val="center"/>
              <w:rPr>
                <w:rFonts w:ascii="宋体" w:hAnsi="宋体" w:cs="宋体"/>
                <w:b/>
                <w:bCs/>
                <w:color w:val="auto"/>
                <w:kern w:val="0"/>
                <w:szCs w:val="28"/>
                <w:highlight w:val="none"/>
              </w:rPr>
            </w:pPr>
            <w:r>
              <w:rPr>
                <w:rFonts w:hint="eastAsia" w:ascii="宋体" w:hAnsi="宋体" w:cs="宋体"/>
                <w:b/>
                <w:bCs/>
                <w:color w:val="auto"/>
                <w:kern w:val="0"/>
                <w:szCs w:val="28"/>
                <w:highlight w:val="none"/>
              </w:rPr>
              <w:t>单位个性化需求服务内容</w:t>
            </w:r>
          </w:p>
        </w:tc>
        <w:tc>
          <w:tcPr>
            <w:tcW w:w="693" w:type="pct"/>
            <w:tcBorders>
              <w:top w:val="single" w:color="auto" w:sz="4" w:space="0"/>
              <w:left w:val="single" w:color="auto" w:sz="4" w:space="0"/>
              <w:bottom w:val="single" w:color="auto" w:sz="4" w:space="0"/>
            </w:tcBorders>
            <w:vAlign w:val="center"/>
          </w:tcPr>
          <w:p>
            <w:pPr>
              <w:widowControl/>
              <w:spacing w:line="320" w:lineRule="exact"/>
              <w:jc w:val="center"/>
              <w:textAlignment w:val="center"/>
              <w:rPr>
                <w:rFonts w:ascii="宋体" w:hAnsi="宋体" w:cs="宋体"/>
                <w:b/>
                <w:bCs/>
                <w:color w:val="auto"/>
                <w:kern w:val="0"/>
                <w:szCs w:val="28"/>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3" w:hRule="atLeast"/>
          <w:tblHeader/>
        </w:trPr>
        <w:tc>
          <w:tcPr>
            <w:tcW w:w="569" w:type="pct"/>
            <w:tcBorders>
              <w:bottom w:val="single" w:color="000000" w:sz="8" w:space="0"/>
              <w:right w:val="single" w:color="000000" w:sz="8" w:space="0"/>
            </w:tcBorders>
            <w:tcMar>
              <w:top w:w="15" w:type="dxa"/>
              <w:left w:w="15" w:type="dxa"/>
              <w:right w:w="15" w:type="dxa"/>
            </w:tcMar>
            <w:vAlign w:val="center"/>
          </w:tcPr>
          <w:p>
            <w:pPr>
              <w:widowControl/>
              <w:spacing w:line="320" w:lineRule="exact"/>
              <w:jc w:val="center"/>
              <w:textAlignment w:val="center"/>
              <w:rPr>
                <w:rFonts w:ascii="宋体" w:hAnsi="宋体" w:cs="宋体"/>
                <w:b/>
                <w:bCs/>
                <w:color w:val="auto"/>
                <w:kern w:val="0"/>
                <w:szCs w:val="28"/>
                <w:highlight w:val="none"/>
              </w:rPr>
            </w:pPr>
            <w:r>
              <w:rPr>
                <w:rFonts w:hint="eastAsia" w:ascii="宋体" w:hAnsi="宋体" w:cs="宋体"/>
                <w:b/>
                <w:bCs/>
                <w:color w:val="auto"/>
                <w:kern w:val="0"/>
                <w:szCs w:val="28"/>
                <w:highlight w:val="none"/>
              </w:rPr>
              <w:t>序号</w:t>
            </w:r>
          </w:p>
        </w:tc>
        <w:tc>
          <w:tcPr>
            <w:tcW w:w="488" w:type="pct"/>
            <w:tcBorders>
              <w:left w:val="nil"/>
              <w:bottom w:val="single" w:color="000000" w:sz="8" w:space="0"/>
              <w:right w:val="single" w:color="000000" w:sz="8" w:space="0"/>
            </w:tcBorders>
            <w:tcMar>
              <w:top w:w="15" w:type="dxa"/>
              <w:left w:w="15" w:type="dxa"/>
              <w:right w:w="15" w:type="dxa"/>
            </w:tcMar>
            <w:vAlign w:val="center"/>
          </w:tcPr>
          <w:p>
            <w:pPr>
              <w:widowControl/>
              <w:spacing w:line="320" w:lineRule="exact"/>
              <w:jc w:val="center"/>
              <w:textAlignment w:val="center"/>
              <w:rPr>
                <w:rFonts w:ascii="宋体" w:hAnsi="宋体" w:cs="宋体"/>
                <w:b/>
                <w:bCs/>
                <w:color w:val="auto"/>
                <w:kern w:val="0"/>
                <w:szCs w:val="28"/>
                <w:highlight w:val="none"/>
              </w:rPr>
            </w:pPr>
            <w:r>
              <w:rPr>
                <w:rFonts w:hint="eastAsia" w:ascii="宋体" w:hAnsi="宋体" w:cs="宋体"/>
                <w:b/>
                <w:bCs/>
                <w:color w:val="auto"/>
                <w:kern w:val="0"/>
                <w:szCs w:val="28"/>
                <w:highlight w:val="none"/>
              </w:rPr>
              <w:t>单位个性化需求</w:t>
            </w:r>
          </w:p>
        </w:tc>
        <w:tc>
          <w:tcPr>
            <w:tcW w:w="750" w:type="pct"/>
            <w:tcBorders>
              <w:left w:val="nil"/>
              <w:bottom w:val="single" w:color="000000" w:sz="8" w:space="0"/>
              <w:right w:val="single" w:color="000000" w:sz="8" w:space="0"/>
            </w:tcBorders>
            <w:tcMar>
              <w:top w:w="15" w:type="dxa"/>
              <w:left w:w="15" w:type="dxa"/>
              <w:right w:w="15" w:type="dxa"/>
            </w:tcMar>
            <w:vAlign w:val="center"/>
          </w:tcPr>
          <w:p>
            <w:pPr>
              <w:widowControl/>
              <w:spacing w:line="320" w:lineRule="exact"/>
              <w:jc w:val="center"/>
              <w:textAlignment w:val="center"/>
              <w:rPr>
                <w:rFonts w:ascii="宋体" w:hAnsi="宋体" w:cs="宋体"/>
                <w:b/>
                <w:bCs/>
                <w:color w:val="auto"/>
                <w:kern w:val="0"/>
                <w:szCs w:val="28"/>
                <w:highlight w:val="none"/>
              </w:rPr>
            </w:pPr>
            <w:r>
              <w:rPr>
                <w:rFonts w:hint="eastAsia" w:ascii="宋体" w:hAnsi="宋体" w:cs="宋体"/>
                <w:b/>
                <w:bCs/>
                <w:color w:val="auto"/>
                <w:kern w:val="0"/>
                <w:szCs w:val="28"/>
                <w:highlight w:val="none"/>
              </w:rPr>
              <w:t>服务内容</w:t>
            </w:r>
          </w:p>
        </w:tc>
        <w:tc>
          <w:tcPr>
            <w:tcW w:w="2501" w:type="pct"/>
            <w:tcBorders>
              <w:left w:val="nil"/>
              <w:bottom w:val="single" w:color="000000" w:sz="8" w:space="0"/>
              <w:right w:val="single" w:color="auto" w:sz="4" w:space="0"/>
            </w:tcBorders>
            <w:tcMar>
              <w:top w:w="15" w:type="dxa"/>
              <w:left w:w="15" w:type="dxa"/>
              <w:right w:w="15" w:type="dxa"/>
            </w:tcMar>
            <w:vAlign w:val="center"/>
          </w:tcPr>
          <w:p>
            <w:pPr>
              <w:widowControl/>
              <w:spacing w:line="320" w:lineRule="exact"/>
              <w:jc w:val="center"/>
              <w:textAlignment w:val="center"/>
              <w:rPr>
                <w:rFonts w:ascii="宋体" w:hAnsi="宋体" w:cs="宋体"/>
                <w:b/>
                <w:bCs/>
                <w:color w:val="auto"/>
                <w:kern w:val="0"/>
                <w:szCs w:val="28"/>
                <w:highlight w:val="none"/>
              </w:rPr>
            </w:pPr>
            <w:r>
              <w:rPr>
                <w:rFonts w:hint="eastAsia" w:ascii="宋体" w:hAnsi="宋体" w:cs="宋体"/>
                <w:b/>
                <w:bCs/>
                <w:color w:val="auto"/>
                <w:kern w:val="0"/>
                <w:szCs w:val="28"/>
                <w:highlight w:val="none"/>
              </w:rPr>
              <w:t>详细服务说明</w:t>
            </w:r>
          </w:p>
        </w:tc>
        <w:tc>
          <w:tcPr>
            <w:tcW w:w="693" w:type="pct"/>
            <w:tcBorders>
              <w:top w:val="single" w:color="auto" w:sz="4" w:space="0"/>
              <w:left w:val="single" w:color="auto" w:sz="4" w:space="0"/>
              <w:bottom w:val="single" w:color="auto" w:sz="4" w:space="0"/>
            </w:tcBorders>
            <w:vAlign w:val="center"/>
          </w:tcPr>
          <w:p>
            <w:pPr>
              <w:widowControl/>
              <w:spacing w:line="320" w:lineRule="exact"/>
              <w:jc w:val="center"/>
              <w:textAlignment w:val="center"/>
              <w:rPr>
                <w:rFonts w:ascii="宋体" w:hAnsi="宋体" w:cs="宋体"/>
                <w:b/>
                <w:bCs/>
                <w:color w:val="auto"/>
                <w:kern w:val="0"/>
                <w:szCs w:val="28"/>
                <w:highlight w:val="none"/>
              </w:rPr>
            </w:pPr>
            <w:r>
              <w:rPr>
                <w:rFonts w:hint="eastAsia" w:ascii="宋体" w:hAnsi="宋体" w:cs="宋体"/>
                <w:b/>
                <w:bCs/>
                <w:color w:val="auto"/>
                <w:kern w:val="0"/>
                <w:szCs w:val="28"/>
                <w:highlight w:val="none"/>
              </w:rPr>
              <w:t>分值设置</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3" w:hRule="atLeast"/>
        </w:trPr>
        <w:tc>
          <w:tcPr>
            <w:tcW w:w="569" w:type="pct"/>
            <w:vMerge w:val="restart"/>
            <w:tcBorders>
              <w:top w:val="nil"/>
              <w:bottom w:val="single" w:color="000000" w:sz="8" w:space="0"/>
              <w:right w:val="single" w:color="000000" w:sz="8" w:space="0"/>
            </w:tcBorders>
            <w:tcMar>
              <w:top w:w="15" w:type="dxa"/>
              <w:left w:w="15" w:type="dxa"/>
              <w:right w:w="15" w:type="dxa"/>
            </w:tcMar>
            <w:vAlign w:val="center"/>
          </w:tcPr>
          <w:p>
            <w:pPr>
              <w:widowControl/>
              <w:spacing w:line="320" w:lineRule="exact"/>
              <w:jc w:val="center"/>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1</w:t>
            </w:r>
          </w:p>
        </w:tc>
        <w:tc>
          <w:tcPr>
            <w:tcW w:w="488" w:type="pct"/>
            <w:vMerge w:val="restart"/>
            <w:tcBorders>
              <w:top w:val="nil"/>
              <w:left w:val="nil"/>
              <w:bottom w:val="single" w:color="000000" w:sz="8" w:space="0"/>
              <w:right w:val="single" w:color="000000" w:sz="8" w:space="0"/>
            </w:tcBorders>
            <w:tcMar>
              <w:top w:w="15" w:type="dxa"/>
              <w:left w:w="15" w:type="dxa"/>
              <w:right w:w="15" w:type="dxa"/>
            </w:tcMar>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中共南宁市委办公室个性化需求</w:t>
            </w:r>
          </w:p>
        </w:tc>
        <w:tc>
          <w:tcPr>
            <w:tcW w:w="750" w:type="pct"/>
            <w:tcBorders>
              <w:top w:val="nil"/>
              <w:left w:val="nil"/>
              <w:bottom w:val="single" w:color="000000" w:sz="8" w:space="0"/>
              <w:right w:val="single" w:color="000000" w:sz="8" w:space="0"/>
            </w:tcBorders>
            <w:tcMar>
              <w:top w:w="15" w:type="dxa"/>
              <w:left w:w="15" w:type="dxa"/>
              <w:right w:w="15" w:type="dxa"/>
            </w:tcMar>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发文管理</w:t>
            </w:r>
          </w:p>
        </w:tc>
        <w:tc>
          <w:tcPr>
            <w:tcW w:w="2501" w:type="pct"/>
            <w:tcBorders>
              <w:top w:val="nil"/>
              <w:left w:val="nil"/>
              <w:bottom w:val="single" w:color="000000" w:sz="8" w:space="0"/>
              <w:right w:val="single" w:color="auto" w:sz="4" w:space="0"/>
            </w:tcBorders>
            <w:tcMar>
              <w:top w:w="15" w:type="dxa"/>
              <w:left w:w="15" w:type="dxa"/>
              <w:right w:w="15" w:type="dxa"/>
            </w:tcMar>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包含联合发文功能、语音提示、短信提醒、常用语升级改造、操作权限控制、导入正文功能、退文功能、查看权限控制功能增加和优化开发。</w:t>
            </w:r>
          </w:p>
        </w:tc>
        <w:tc>
          <w:tcPr>
            <w:tcW w:w="693" w:type="pct"/>
            <w:tcBorders>
              <w:top w:val="single" w:color="auto" w:sz="4" w:space="0"/>
              <w:left w:val="single" w:color="auto" w:sz="4" w:space="0"/>
              <w:bottom w:val="single" w:color="auto" w:sz="4" w:space="0"/>
            </w:tcBorders>
            <w:vAlign w:val="center"/>
          </w:tcPr>
          <w:p>
            <w:pPr>
              <w:widowControl/>
              <w:spacing w:line="320" w:lineRule="exact"/>
              <w:jc w:val="center"/>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3" w:hRule="atLeast"/>
        </w:trPr>
        <w:tc>
          <w:tcPr>
            <w:tcW w:w="569" w:type="pct"/>
            <w:vMerge w:val="continue"/>
            <w:tcBorders>
              <w:top w:val="nil"/>
              <w:bottom w:val="single" w:color="000000" w:sz="8" w:space="0"/>
              <w:right w:val="single" w:color="000000" w:sz="8" w:space="0"/>
            </w:tcBorders>
            <w:tcMar>
              <w:top w:w="15" w:type="dxa"/>
              <w:left w:w="15" w:type="dxa"/>
              <w:right w:w="15" w:type="dxa"/>
            </w:tcMar>
            <w:vAlign w:val="center"/>
          </w:tcPr>
          <w:p>
            <w:pPr>
              <w:widowControl/>
              <w:spacing w:line="320" w:lineRule="exact"/>
              <w:jc w:val="center"/>
              <w:textAlignment w:val="center"/>
              <w:rPr>
                <w:rFonts w:ascii="宋体" w:hAnsi="宋体" w:cs="宋体"/>
                <w:color w:val="auto"/>
                <w:kern w:val="0"/>
                <w:szCs w:val="28"/>
                <w:highlight w:val="none"/>
              </w:rPr>
            </w:pPr>
          </w:p>
        </w:tc>
        <w:tc>
          <w:tcPr>
            <w:tcW w:w="488" w:type="pct"/>
            <w:vMerge w:val="continue"/>
            <w:tcBorders>
              <w:top w:val="nil"/>
              <w:left w:val="nil"/>
              <w:bottom w:val="single" w:color="000000" w:sz="8" w:space="0"/>
              <w:right w:val="single" w:color="000000" w:sz="8" w:space="0"/>
            </w:tcBorders>
            <w:tcMar>
              <w:top w:w="15" w:type="dxa"/>
              <w:left w:w="15" w:type="dxa"/>
              <w:right w:w="15" w:type="dxa"/>
            </w:tcMar>
            <w:vAlign w:val="center"/>
          </w:tcPr>
          <w:p>
            <w:pPr>
              <w:widowControl/>
              <w:spacing w:line="320" w:lineRule="exact"/>
              <w:textAlignment w:val="center"/>
              <w:rPr>
                <w:rFonts w:ascii="宋体" w:hAnsi="宋体" w:cs="宋体"/>
                <w:color w:val="auto"/>
                <w:kern w:val="0"/>
                <w:szCs w:val="28"/>
                <w:highlight w:val="none"/>
              </w:rPr>
            </w:pPr>
          </w:p>
        </w:tc>
        <w:tc>
          <w:tcPr>
            <w:tcW w:w="750" w:type="pct"/>
            <w:tcBorders>
              <w:top w:val="nil"/>
              <w:left w:val="nil"/>
              <w:bottom w:val="single" w:color="000000" w:sz="8" w:space="0"/>
              <w:right w:val="single" w:color="000000" w:sz="8" w:space="0"/>
            </w:tcBorders>
            <w:tcMar>
              <w:top w:w="15" w:type="dxa"/>
              <w:left w:w="15" w:type="dxa"/>
              <w:right w:w="15" w:type="dxa"/>
            </w:tcMar>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收文管理</w:t>
            </w:r>
          </w:p>
        </w:tc>
        <w:tc>
          <w:tcPr>
            <w:tcW w:w="2501" w:type="pct"/>
            <w:tcBorders>
              <w:top w:val="nil"/>
              <w:left w:val="nil"/>
              <w:bottom w:val="single" w:color="000000" w:sz="8" w:space="0"/>
              <w:right w:val="single" w:color="auto" w:sz="4" w:space="0"/>
            </w:tcBorders>
            <w:tcMar>
              <w:top w:w="15" w:type="dxa"/>
              <w:left w:w="15" w:type="dxa"/>
              <w:right w:w="15" w:type="dxa"/>
            </w:tcMar>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包含授权功能、收文转发文功能、预告功能、会签个性化功能、拟办意见修订历史功能、办文操作界面定制、便签备注功能、参考附件功能、预警功能、增加合法合规审查环节、联合办文功能增加和优化开发。</w:t>
            </w:r>
          </w:p>
        </w:tc>
        <w:tc>
          <w:tcPr>
            <w:tcW w:w="693" w:type="pct"/>
            <w:tcBorders>
              <w:top w:val="single" w:color="auto" w:sz="4" w:space="0"/>
              <w:left w:val="single" w:color="auto" w:sz="4" w:space="0"/>
              <w:bottom w:val="single" w:color="auto" w:sz="4" w:space="0"/>
            </w:tcBorders>
            <w:vAlign w:val="center"/>
          </w:tcPr>
          <w:p>
            <w:pPr>
              <w:widowControl/>
              <w:spacing w:line="320" w:lineRule="exact"/>
              <w:jc w:val="center"/>
              <w:textAlignment w:val="center"/>
              <w:rPr>
                <w:rFonts w:ascii="宋体" w:hAnsi="宋体" w:cs="宋体"/>
                <w:color w:val="auto"/>
                <w:kern w:val="0"/>
                <w:szCs w:val="28"/>
                <w:highlight w:val="none"/>
              </w:rPr>
            </w:pPr>
            <w:r>
              <w:rPr>
                <w:rFonts w:ascii="宋体" w:hAnsi="宋体" w:cs="宋体"/>
                <w:color w:val="auto"/>
                <w:kern w:val="0"/>
                <w:szCs w:val="28"/>
                <w:highlight w:val="none"/>
              </w:rPr>
              <w:t>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3" w:hRule="atLeast"/>
        </w:trPr>
        <w:tc>
          <w:tcPr>
            <w:tcW w:w="569" w:type="pct"/>
            <w:vMerge w:val="continue"/>
            <w:tcBorders>
              <w:top w:val="nil"/>
              <w:bottom w:val="single" w:color="000000" w:sz="8" w:space="0"/>
              <w:right w:val="single" w:color="000000" w:sz="8" w:space="0"/>
            </w:tcBorders>
            <w:tcMar>
              <w:top w:w="15" w:type="dxa"/>
              <w:left w:w="15" w:type="dxa"/>
              <w:right w:w="15" w:type="dxa"/>
            </w:tcMar>
            <w:vAlign w:val="center"/>
          </w:tcPr>
          <w:p>
            <w:pPr>
              <w:widowControl/>
              <w:spacing w:line="320" w:lineRule="exact"/>
              <w:jc w:val="center"/>
              <w:textAlignment w:val="center"/>
              <w:rPr>
                <w:rFonts w:ascii="宋体" w:hAnsi="宋体" w:cs="宋体"/>
                <w:color w:val="auto"/>
                <w:kern w:val="0"/>
                <w:szCs w:val="28"/>
                <w:highlight w:val="none"/>
              </w:rPr>
            </w:pPr>
          </w:p>
        </w:tc>
        <w:tc>
          <w:tcPr>
            <w:tcW w:w="488" w:type="pct"/>
            <w:vMerge w:val="continue"/>
            <w:tcBorders>
              <w:top w:val="nil"/>
              <w:left w:val="nil"/>
              <w:bottom w:val="single" w:color="000000" w:sz="8" w:space="0"/>
              <w:right w:val="single" w:color="000000" w:sz="8" w:space="0"/>
            </w:tcBorders>
            <w:tcMar>
              <w:top w:w="15" w:type="dxa"/>
              <w:left w:w="15" w:type="dxa"/>
              <w:right w:w="15" w:type="dxa"/>
            </w:tcMar>
            <w:vAlign w:val="center"/>
          </w:tcPr>
          <w:p>
            <w:pPr>
              <w:widowControl/>
              <w:spacing w:line="320" w:lineRule="exact"/>
              <w:textAlignment w:val="center"/>
              <w:rPr>
                <w:rFonts w:ascii="宋体" w:hAnsi="宋体" w:cs="宋体"/>
                <w:color w:val="auto"/>
                <w:kern w:val="0"/>
                <w:szCs w:val="28"/>
                <w:highlight w:val="none"/>
              </w:rPr>
            </w:pPr>
          </w:p>
        </w:tc>
        <w:tc>
          <w:tcPr>
            <w:tcW w:w="750" w:type="pct"/>
            <w:tcBorders>
              <w:top w:val="nil"/>
              <w:left w:val="nil"/>
              <w:bottom w:val="single" w:color="000000" w:sz="8" w:space="0"/>
              <w:right w:val="single" w:color="000000" w:sz="8" w:space="0"/>
            </w:tcBorders>
            <w:tcMar>
              <w:top w:w="15" w:type="dxa"/>
              <w:left w:w="15" w:type="dxa"/>
              <w:right w:w="15" w:type="dxa"/>
            </w:tcMar>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内部文件办理</w:t>
            </w:r>
          </w:p>
        </w:tc>
        <w:tc>
          <w:tcPr>
            <w:tcW w:w="2501" w:type="pct"/>
            <w:tcBorders>
              <w:top w:val="nil"/>
              <w:left w:val="nil"/>
              <w:bottom w:val="single" w:color="000000" w:sz="8" w:space="0"/>
              <w:right w:val="single" w:color="auto" w:sz="4" w:space="0"/>
            </w:tcBorders>
            <w:tcMar>
              <w:top w:w="15" w:type="dxa"/>
              <w:left w:w="15" w:type="dxa"/>
              <w:right w:w="15" w:type="dxa"/>
            </w:tcMar>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包含增加多文件审批流程增加和优化开发。</w:t>
            </w:r>
          </w:p>
        </w:tc>
        <w:tc>
          <w:tcPr>
            <w:tcW w:w="693" w:type="pct"/>
            <w:tcBorders>
              <w:top w:val="single" w:color="auto" w:sz="4" w:space="0"/>
              <w:left w:val="single" w:color="auto" w:sz="4" w:space="0"/>
              <w:bottom w:val="single" w:color="auto" w:sz="4" w:space="0"/>
            </w:tcBorders>
            <w:vAlign w:val="center"/>
          </w:tcPr>
          <w:p>
            <w:pPr>
              <w:widowControl/>
              <w:spacing w:line="320" w:lineRule="exact"/>
              <w:jc w:val="center"/>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3" w:hRule="atLeast"/>
        </w:trPr>
        <w:tc>
          <w:tcPr>
            <w:tcW w:w="569" w:type="pct"/>
            <w:vMerge w:val="continue"/>
            <w:tcBorders>
              <w:top w:val="nil"/>
              <w:bottom w:val="single" w:color="000000" w:sz="8" w:space="0"/>
              <w:right w:val="single" w:color="000000" w:sz="8" w:space="0"/>
            </w:tcBorders>
            <w:tcMar>
              <w:top w:w="15" w:type="dxa"/>
              <w:left w:w="15" w:type="dxa"/>
              <w:right w:w="15" w:type="dxa"/>
            </w:tcMar>
            <w:vAlign w:val="center"/>
          </w:tcPr>
          <w:p>
            <w:pPr>
              <w:widowControl/>
              <w:spacing w:line="320" w:lineRule="exact"/>
              <w:jc w:val="center"/>
              <w:textAlignment w:val="center"/>
              <w:rPr>
                <w:rFonts w:ascii="宋体" w:hAnsi="宋体" w:cs="宋体"/>
                <w:color w:val="auto"/>
                <w:kern w:val="0"/>
                <w:szCs w:val="28"/>
                <w:highlight w:val="none"/>
              </w:rPr>
            </w:pPr>
          </w:p>
        </w:tc>
        <w:tc>
          <w:tcPr>
            <w:tcW w:w="488" w:type="pct"/>
            <w:vMerge w:val="continue"/>
            <w:tcBorders>
              <w:top w:val="nil"/>
              <w:left w:val="nil"/>
              <w:bottom w:val="single" w:color="000000" w:sz="8" w:space="0"/>
              <w:right w:val="single" w:color="000000" w:sz="8" w:space="0"/>
            </w:tcBorders>
            <w:tcMar>
              <w:top w:w="15" w:type="dxa"/>
              <w:left w:w="15" w:type="dxa"/>
              <w:right w:w="15" w:type="dxa"/>
            </w:tcMar>
            <w:vAlign w:val="center"/>
          </w:tcPr>
          <w:p>
            <w:pPr>
              <w:widowControl/>
              <w:spacing w:line="320" w:lineRule="exact"/>
              <w:textAlignment w:val="center"/>
              <w:rPr>
                <w:rFonts w:ascii="宋体" w:hAnsi="宋体" w:cs="宋体"/>
                <w:color w:val="auto"/>
                <w:kern w:val="0"/>
                <w:szCs w:val="28"/>
                <w:highlight w:val="none"/>
              </w:rPr>
            </w:pPr>
          </w:p>
        </w:tc>
        <w:tc>
          <w:tcPr>
            <w:tcW w:w="750" w:type="pct"/>
            <w:tcBorders>
              <w:top w:val="nil"/>
              <w:left w:val="nil"/>
              <w:bottom w:val="single" w:color="000000" w:sz="8" w:space="0"/>
              <w:right w:val="single" w:color="000000" w:sz="8" w:space="0"/>
            </w:tcBorders>
            <w:tcMar>
              <w:top w:w="15" w:type="dxa"/>
              <w:left w:w="15" w:type="dxa"/>
              <w:right w:w="15" w:type="dxa"/>
            </w:tcMar>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移动端个性定制</w:t>
            </w:r>
          </w:p>
        </w:tc>
        <w:tc>
          <w:tcPr>
            <w:tcW w:w="2501" w:type="pct"/>
            <w:tcBorders>
              <w:top w:val="nil"/>
              <w:left w:val="nil"/>
              <w:bottom w:val="single" w:color="000000" w:sz="8" w:space="0"/>
              <w:right w:val="single" w:color="auto" w:sz="4" w:space="0"/>
            </w:tcBorders>
            <w:tcMar>
              <w:top w:w="15" w:type="dxa"/>
              <w:left w:w="15" w:type="dxa"/>
              <w:right w:w="15" w:type="dxa"/>
            </w:tcMar>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包含文件传输功能、移动端备注便签功能个性化定制、圈阅功能、APN网络专线、APN网络专线安全防护功能增加和优化开发、提供移动办公系统终端设备支撑服务。</w:t>
            </w:r>
          </w:p>
        </w:tc>
        <w:tc>
          <w:tcPr>
            <w:tcW w:w="693" w:type="pct"/>
            <w:tcBorders>
              <w:top w:val="single" w:color="auto" w:sz="4" w:space="0"/>
              <w:left w:val="single" w:color="auto" w:sz="4" w:space="0"/>
              <w:bottom w:val="single" w:color="auto" w:sz="4" w:space="0"/>
            </w:tcBorders>
            <w:vAlign w:val="center"/>
          </w:tcPr>
          <w:p>
            <w:pPr>
              <w:widowControl/>
              <w:spacing w:line="320" w:lineRule="exact"/>
              <w:jc w:val="center"/>
              <w:textAlignment w:val="center"/>
              <w:rPr>
                <w:rFonts w:ascii="宋体" w:hAnsi="宋体" w:cs="宋体"/>
                <w:color w:val="auto"/>
                <w:kern w:val="0"/>
                <w:szCs w:val="28"/>
                <w:highlight w:val="none"/>
              </w:rPr>
            </w:pPr>
            <w:r>
              <w:rPr>
                <w:rFonts w:ascii="宋体" w:hAnsi="宋体" w:cs="宋体"/>
                <w:color w:val="auto"/>
                <w:kern w:val="0"/>
                <w:szCs w:val="28"/>
                <w:highlight w:val="none"/>
              </w:rPr>
              <w:t>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3" w:hRule="atLeast"/>
        </w:trPr>
        <w:tc>
          <w:tcPr>
            <w:tcW w:w="569" w:type="pct"/>
            <w:tcBorders>
              <w:top w:val="nil"/>
              <w:bottom w:val="single" w:color="000000" w:sz="8" w:space="0"/>
              <w:right w:val="single" w:color="000000" w:sz="8" w:space="0"/>
            </w:tcBorders>
            <w:tcMar>
              <w:top w:w="15" w:type="dxa"/>
              <w:left w:w="15" w:type="dxa"/>
              <w:right w:w="15" w:type="dxa"/>
            </w:tcMar>
            <w:vAlign w:val="center"/>
          </w:tcPr>
          <w:p>
            <w:pPr>
              <w:widowControl/>
              <w:spacing w:line="320" w:lineRule="exact"/>
              <w:jc w:val="center"/>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2</w:t>
            </w:r>
          </w:p>
        </w:tc>
        <w:tc>
          <w:tcPr>
            <w:tcW w:w="488" w:type="pct"/>
            <w:tcBorders>
              <w:top w:val="nil"/>
              <w:left w:val="nil"/>
              <w:bottom w:val="single" w:color="000000" w:sz="8" w:space="0"/>
              <w:right w:val="single" w:color="000000" w:sz="8" w:space="0"/>
            </w:tcBorders>
            <w:tcMar>
              <w:top w:w="15" w:type="dxa"/>
              <w:left w:w="15" w:type="dxa"/>
              <w:right w:w="15" w:type="dxa"/>
            </w:tcMar>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市交通运输局个性化需求</w:t>
            </w:r>
          </w:p>
        </w:tc>
        <w:tc>
          <w:tcPr>
            <w:tcW w:w="750" w:type="pct"/>
            <w:tcBorders>
              <w:top w:val="nil"/>
              <w:left w:val="nil"/>
              <w:bottom w:val="single" w:color="000000" w:sz="8" w:space="0"/>
              <w:right w:val="single" w:color="000000" w:sz="8" w:space="0"/>
            </w:tcBorders>
            <w:tcMar>
              <w:top w:w="15" w:type="dxa"/>
              <w:left w:w="15" w:type="dxa"/>
              <w:right w:w="15" w:type="dxa"/>
            </w:tcMar>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发文管理</w:t>
            </w:r>
          </w:p>
        </w:tc>
        <w:tc>
          <w:tcPr>
            <w:tcW w:w="2501" w:type="pct"/>
            <w:tcBorders>
              <w:top w:val="nil"/>
              <w:left w:val="nil"/>
              <w:bottom w:val="single" w:color="000000" w:sz="8" w:space="0"/>
              <w:right w:val="single" w:color="auto" w:sz="4" w:space="0"/>
            </w:tcBorders>
            <w:tcMar>
              <w:top w:w="15" w:type="dxa"/>
              <w:left w:w="15" w:type="dxa"/>
              <w:right w:w="15" w:type="dxa"/>
            </w:tcMar>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包含调整发文笺、发文权限个性化控制、电子印章、发文流程定制、传阅反馈功能增加和优化开发。</w:t>
            </w:r>
          </w:p>
        </w:tc>
        <w:tc>
          <w:tcPr>
            <w:tcW w:w="693" w:type="pct"/>
            <w:tcBorders>
              <w:top w:val="single" w:color="auto" w:sz="4" w:space="0"/>
              <w:left w:val="single" w:color="auto" w:sz="4" w:space="0"/>
              <w:bottom w:val="single" w:color="auto" w:sz="4" w:space="0"/>
            </w:tcBorders>
            <w:vAlign w:val="center"/>
          </w:tcPr>
          <w:p>
            <w:pPr>
              <w:widowControl/>
              <w:spacing w:line="320" w:lineRule="exact"/>
              <w:jc w:val="center"/>
              <w:textAlignment w:val="center"/>
              <w:rPr>
                <w:rFonts w:ascii="宋体" w:hAnsi="宋体" w:cs="宋体"/>
                <w:color w:val="auto"/>
                <w:kern w:val="0"/>
                <w:szCs w:val="28"/>
                <w:highlight w:val="none"/>
              </w:rPr>
            </w:pPr>
            <w:r>
              <w:rPr>
                <w:rFonts w:ascii="宋体" w:hAnsi="宋体" w:cs="宋体"/>
                <w:color w:val="auto"/>
                <w:kern w:val="0"/>
                <w:szCs w:val="28"/>
                <w:highlight w:val="none"/>
              </w:rPr>
              <w:t>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3" w:hRule="atLeast"/>
        </w:trPr>
        <w:tc>
          <w:tcPr>
            <w:tcW w:w="569" w:type="pct"/>
            <w:vMerge w:val="restart"/>
            <w:tcBorders>
              <w:top w:val="nil"/>
              <w:bottom w:val="single" w:color="000000" w:sz="8" w:space="0"/>
              <w:right w:val="single" w:color="000000" w:sz="8" w:space="0"/>
            </w:tcBorders>
            <w:tcMar>
              <w:top w:w="15" w:type="dxa"/>
              <w:left w:w="15" w:type="dxa"/>
              <w:right w:w="15" w:type="dxa"/>
            </w:tcMar>
            <w:vAlign w:val="center"/>
          </w:tcPr>
          <w:p>
            <w:pPr>
              <w:widowControl/>
              <w:spacing w:line="320" w:lineRule="exact"/>
              <w:jc w:val="center"/>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3</w:t>
            </w:r>
          </w:p>
        </w:tc>
        <w:tc>
          <w:tcPr>
            <w:tcW w:w="488" w:type="pct"/>
            <w:vMerge w:val="restart"/>
            <w:tcBorders>
              <w:top w:val="nil"/>
              <w:left w:val="nil"/>
              <w:bottom w:val="single" w:color="000000" w:sz="8" w:space="0"/>
              <w:right w:val="single" w:color="000000" w:sz="8" w:space="0"/>
            </w:tcBorders>
            <w:tcMar>
              <w:top w:w="15" w:type="dxa"/>
              <w:left w:w="15" w:type="dxa"/>
              <w:right w:w="15" w:type="dxa"/>
            </w:tcMar>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市医保局个性化需求</w:t>
            </w:r>
          </w:p>
        </w:tc>
        <w:tc>
          <w:tcPr>
            <w:tcW w:w="750" w:type="pct"/>
            <w:tcBorders>
              <w:top w:val="nil"/>
              <w:left w:val="nil"/>
              <w:bottom w:val="single" w:color="000000" w:sz="8" w:space="0"/>
              <w:right w:val="single" w:color="000000" w:sz="8" w:space="0"/>
            </w:tcBorders>
            <w:tcMar>
              <w:top w:w="15" w:type="dxa"/>
              <w:left w:w="15" w:type="dxa"/>
              <w:right w:w="15" w:type="dxa"/>
            </w:tcMar>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发文管理</w:t>
            </w:r>
          </w:p>
        </w:tc>
        <w:tc>
          <w:tcPr>
            <w:tcW w:w="2501" w:type="pct"/>
            <w:tcBorders>
              <w:top w:val="nil"/>
              <w:left w:val="nil"/>
              <w:bottom w:val="single" w:color="000000" w:sz="8" w:space="0"/>
              <w:right w:val="single" w:color="auto" w:sz="4" w:space="0"/>
            </w:tcBorders>
            <w:tcMar>
              <w:top w:w="15" w:type="dxa"/>
              <w:left w:w="15" w:type="dxa"/>
              <w:right w:w="15" w:type="dxa"/>
            </w:tcMar>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文号个性化定制，新增符合单位特点的多个编号格式。</w:t>
            </w:r>
          </w:p>
        </w:tc>
        <w:tc>
          <w:tcPr>
            <w:tcW w:w="693" w:type="pct"/>
            <w:tcBorders>
              <w:top w:val="single" w:color="auto" w:sz="4" w:space="0"/>
              <w:left w:val="single" w:color="auto" w:sz="4" w:space="0"/>
              <w:bottom w:val="single" w:color="auto" w:sz="4" w:space="0"/>
            </w:tcBorders>
            <w:vAlign w:val="center"/>
          </w:tcPr>
          <w:p>
            <w:pPr>
              <w:widowControl/>
              <w:spacing w:line="320" w:lineRule="exact"/>
              <w:jc w:val="center"/>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3" w:hRule="atLeast"/>
        </w:trPr>
        <w:tc>
          <w:tcPr>
            <w:tcW w:w="569" w:type="pct"/>
            <w:vMerge w:val="continue"/>
            <w:tcBorders>
              <w:top w:val="nil"/>
              <w:bottom w:val="single" w:color="000000" w:sz="8" w:space="0"/>
              <w:right w:val="single" w:color="000000" w:sz="8" w:space="0"/>
            </w:tcBorders>
            <w:tcMar>
              <w:top w:w="15" w:type="dxa"/>
              <w:left w:w="15" w:type="dxa"/>
              <w:right w:w="15" w:type="dxa"/>
            </w:tcMar>
            <w:vAlign w:val="center"/>
          </w:tcPr>
          <w:p>
            <w:pPr>
              <w:widowControl/>
              <w:spacing w:line="320" w:lineRule="exact"/>
              <w:jc w:val="center"/>
              <w:textAlignment w:val="center"/>
              <w:rPr>
                <w:rFonts w:ascii="宋体" w:hAnsi="宋体" w:cs="宋体"/>
                <w:color w:val="auto"/>
                <w:kern w:val="0"/>
                <w:szCs w:val="28"/>
                <w:highlight w:val="none"/>
              </w:rPr>
            </w:pPr>
          </w:p>
        </w:tc>
        <w:tc>
          <w:tcPr>
            <w:tcW w:w="488" w:type="pct"/>
            <w:vMerge w:val="continue"/>
            <w:tcBorders>
              <w:top w:val="nil"/>
              <w:left w:val="nil"/>
              <w:bottom w:val="single" w:color="000000" w:sz="8" w:space="0"/>
              <w:right w:val="single" w:color="000000" w:sz="8" w:space="0"/>
            </w:tcBorders>
            <w:tcMar>
              <w:top w:w="15" w:type="dxa"/>
              <w:left w:w="15" w:type="dxa"/>
              <w:right w:w="15" w:type="dxa"/>
            </w:tcMar>
            <w:vAlign w:val="center"/>
          </w:tcPr>
          <w:p>
            <w:pPr>
              <w:widowControl/>
              <w:spacing w:line="320" w:lineRule="exact"/>
              <w:textAlignment w:val="center"/>
              <w:rPr>
                <w:rFonts w:ascii="宋体" w:hAnsi="宋体" w:cs="宋体"/>
                <w:color w:val="auto"/>
                <w:kern w:val="0"/>
                <w:szCs w:val="28"/>
                <w:highlight w:val="none"/>
              </w:rPr>
            </w:pPr>
          </w:p>
        </w:tc>
        <w:tc>
          <w:tcPr>
            <w:tcW w:w="750" w:type="pct"/>
            <w:tcBorders>
              <w:top w:val="nil"/>
              <w:left w:val="nil"/>
              <w:bottom w:val="single" w:color="000000" w:sz="8" w:space="0"/>
              <w:right w:val="single" w:color="000000" w:sz="8" w:space="0"/>
            </w:tcBorders>
            <w:tcMar>
              <w:top w:w="15" w:type="dxa"/>
              <w:left w:w="15" w:type="dxa"/>
              <w:right w:w="15" w:type="dxa"/>
            </w:tcMar>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收文管理</w:t>
            </w:r>
          </w:p>
        </w:tc>
        <w:tc>
          <w:tcPr>
            <w:tcW w:w="2501" w:type="pct"/>
            <w:tcBorders>
              <w:top w:val="nil"/>
              <w:left w:val="nil"/>
              <w:bottom w:val="single" w:color="000000" w:sz="8" w:space="0"/>
              <w:right w:val="single" w:color="auto" w:sz="4" w:space="0"/>
            </w:tcBorders>
            <w:tcMar>
              <w:top w:w="15" w:type="dxa"/>
              <w:left w:w="15" w:type="dxa"/>
              <w:right w:w="15" w:type="dxa"/>
            </w:tcMar>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包含办文功能优化、文件查看权限、收文追踪定制、催办功能定制、自定义用户分组功能、自编号功能、预警功能增加和优化开发。</w:t>
            </w:r>
          </w:p>
        </w:tc>
        <w:tc>
          <w:tcPr>
            <w:tcW w:w="693" w:type="pct"/>
            <w:tcBorders>
              <w:top w:val="single" w:color="auto" w:sz="4" w:space="0"/>
              <w:left w:val="single" w:color="auto" w:sz="4" w:space="0"/>
              <w:bottom w:val="single" w:color="auto" w:sz="4" w:space="0"/>
            </w:tcBorders>
            <w:vAlign w:val="center"/>
          </w:tcPr>
          <w:p>
            <w:pPr>
              <w:widowControl/>
              <w:spacing w:line="320" w:lineRule="exact"/>
              <w:jc w:val="center"/>
              <w:textAlignment w:val="center"/>
              <w:rPr>
                <w:rFonts w:ascii="宋体" w:hAnsi="宋体" w:cs="宋体"/>
                <w:color w:val="auto"/>
                <w:kern w:val="0"/>
                <w:szCs w:val="28"/>
                <w:highlight w:val="none"/>
              </w:rPr>
            </w:pPr>
            <w:r>
              <w:rPr>
                <w:rFonts w:ascii="宋体" w:hAnsi="宋体" w:cs="宋体"/>
                <w:color w:val="auto"/>
                <w:kern w:val="0"/>
                <w:szCs w:val="28"/>
                <w:highlight w:val="none"/>
              </w:rPr>
              <w:t>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3" w:hRule="atLeast"/>
        </w:trPr>
        <w:tc>
          <w:tcPr>
            <w:tcW w:w="569" w:type="pct"/>
            <w:vMerge w:val="continue"/>
            <w:tcBorders>
              <w:top w:val="nil"/>
              <w:bottom w:val="single" w:color="000000" w:sz="8" w:space="0"/>
              <w:right w:val="single" w:color="000000" w:sz="8" w:space="0"/>
            </w:tcBorders>
            <w:tcMar>
              <w:top w:w="15" w:type="dxa"/>
              <w:left w:w="15" w:type="dxa"/>
              <w:right w:w="15" w:type="dxa"/>
            </w:tcMar>
            <w:vAlign w:val="center"/>
          </w:tcPr>
          <w:p>
            <w:pPr>
              <w:widowControl/>
              <w:spacing w:line="320" w:lineRule="exact"/>
              <w:jc w:val="center"/>
              <w:textAlignment w:val="center"/>
              <w:rPr>
                <w:rFonts w:ascii="宋体" w:hAnsi="宋体" w:cs="宋体"/>
                <w:color w:val="auto"/>
                <w:kern w:val="0"/>
                <w:szCs w:val="28"/>
                <w:highlight w:val="none"/>
              </w:rPr>
            </w:pPr>
          </w:p>
        </w:tc>
        <w:tc>
          <w:tcPr>
            <w:tcW w:w="488" w:type="pct"/>
            <w:vMerge w:val="continue"/>
            <w:tcBorders>
              <w:top w:val="nil"/>
              <w:left w:val="nil"/>
              <w:bottom w:val="single" w:color="000000" w:sz="8" w:space="0"/>
              <w:right w:val="single" w:color="000000" w:sz="8" w:space="0"/>
            </w:tcBorders>
            <w:tcMar>
              <w:top w:w="15" w:type="dxa"/>
              <w:left w:w="15" w:type="dxa"/>
              <w:right w:w="15" w:type="dxa"/>
            </w:tcMar>
            <w:vAlign w:val="center"/>
          </w:tcPr>
          <w:p>
            <w:pPr>
              <w:widowControl/>
              <w:spacing w:line="320" w:lineRule="exact"/>
              <w:textAlignment w:val="center"/>
              <w:rPr>
                <w:rFonts w:ascii="宋体" w:hAnsi="宋体" w:cs="宋体"/>
                <w:color w:val="auto"/>
                <w:kern w:val="0"/>
                <w:szCs w:val="28"/>
                <w:highlight w:val="none"/>
              </w:rPr>
            </w:pPr>
          </w:p>
        </w:tc>
        <w:tc>
          <w:tcPr>
            <w:tcW w:w="750" w:type="pct"/>
            <w:tcBorders>
              <w:top w:val="nil"/>
              <w:left w:val="nil"/>
              <w:bottom w:val="single" w:color="000000" w:sz="8" w:space="0"/>
              <w:right w:val="single" w:color="000000" w:sz="8" w:space="0"/>
            </w:tcBorders>
            <w:tcMar>
              <w:top w:w="15" w:type="dxa"/>
              <w:left w:w="15" w:type="dxa"/>
              <w:right w:w="15" w:type="dxa"/>
            </w:tcMar>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消息提醒</w:t>
            </w:r>
          </w:p>
        </w:tc>
        <w:tc>
          <w:tcPr>
            <w:tcW w:w="2501" w:type="pct"/>
            <w:tcBorders>
              <w:top w:val="nil"/>
              <w:left w:val="nil"/>
              <w:bottom w:val="single" w:color="000000" w:sz="8" w:space="0"/>
              <w:right w:val="single" w:color="auto" w:sz="4" w:space="0"/>
            </w:tcBorders>
            <w:tcMar>
              <w:top w:w="15" w:type="dxa"/>
              <w:left w:w="15" w:type="dxa"/>
              <w:right w:w="15" w:type="dxa"/>
            </w:tcMar>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APP消息提醒内增加一个全部已读功能。</w:t>
            </w:r>
          </w:p>
        </w:tc>
        <w:tc>
          <w:tcPr>
            <w:tcW w:w="693" w:type="pct"/>
            <w:tcBorders>
              <w:top w:val="single" w:color="auto" w:sz="4" w:space="0"/>
              <w:left w:val="single" w:color="auto" w:sz="4" w:space="0"/>
              <w:bottom w:val="single" w:color="auto" w:sz="4" w:space="0"/>
            </w:tcBorders>
            <w:vAlign w:val="center"/>
          </w:tcPr>
          <w:p>
            <w:pPr>
              <w:widowControl/>
              <w:spacing w:line="320" w:lineRule="exact"/>
              <w:jc w:val="center"/>
              <w:textAlignment w:val="center"/>
              <w:rPr>
                <w:rFonts w:ascii="宋体" w:hAnsi="宋体" w:cs="宋体"/>
                <w:color w:val="auto"/>
                <w:kern w:val="0"/>
                <w:szCs w:val="28"/>
                <w:highlight w:val="none"/>
              </w:rPr>
            </w:pPr>
            <w:r>
              <w:rPr>
                <w:rFonts w:ascii="宋体" w:hAnsi="宋体" w:cs="宋体"/>
                <w:color w:val="auto"/>
                <w:kern w:val="0"/>
                <w:szCs w:val="28"/>
                <w:highlight w:val="none"/>
              </w:rPr>
              <w:t>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3" w:hRule="atLeast"/>
        </w:trPr>
        <w:tc>
          <w:tcPr>
            <w:tcW w:w="569" w:type="pct"/>
            <w:vMerge w:val="restart"/>
            <w:tcBorders>
              <w:top w:val="nil"/>
              <w:bottom w:val="single" w:color="000000" w:sz="8" w:space="0"/>
              <w:right w:val="single" w:color="000000" w:sz="8" w:space="0"/>
            </w:tcBorders>
            <w:tcMar>
              <w:top w:w="15" w:type="dxa"/>
              <w:left w:w="15" w:type="dxa"/>
              <w:right w:w="15" w:type="dxa"/>
            </w:tcMar>
            <w:vAlign w:val="center"/>
          </w:tcPr>
          <w:p>
            <w:pPr>
              <w:widowControl/>
              <w:spacing w:line="320" w:lineRule="exact"/>
              <w:jc w:val="center"/>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4</w:t>
            </w:r>
          </w:p>
        </w:tc>
        <w:tc>
          <w:tcPr>
            <w:tcW w:w="488" w:type="pct"/>
            <w:vMerge w:val="restart"/>
            <w:tcBorders>
              <w:top w:val="nil"/>
              <w:left w:val="nil"/>
              <w:bottom w:val="single" w:color="000000" w:sz="8" w:space="0"/>
              <w:right w:val="single" w:color="000000" w:sz="8" w:space="0"/>
            </w:tcBorders>
            <w:tcMar>
              <w:top w:w="15" w:type="dxa"/>
              <w:left w:w="15" w:type="dxa"/>
              <w:right w:w="15" w:type="dxa"/>
            </w:tcMar>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市北部湾办个性化需求</w:t>
            </w:r>
          </w:p>
        </w:tc>
        <w:tc>
          <w:tcPr>
            <w:tcW w:w="750" w:type="pct"/>
            <w:tcBorders>
              <w:top w:val="nil"/>
              <w:left w:val="nil"/>
              <w:bottom w:val="single" w:color="000000" w:sz="8" w:space="0"/>
              <w:right w:val="single" w:color="000000" w:sz="8" w:space="0"/>
            </w:tcBorders>
            <w:tcMar>
              <w:top w:w="15" w:type="dxa"/>
              <w:left w:w="15" w:type="dxa"/>
              <w:right w:w="15" w:type="dxa"/>
            </w:tcMar>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权限控制</w:t>
            </w:r>
          </w:p>
        </w:tc>
        <w:tc>
          <w:tcPr>
            <w:tcW w:w="2501" w:type="pct"/>
            <w:tcBorders>
              <w:top w:val="nil"/>
              <w:left w:val="nil"/>
              <w:bottom w:val="single" w:color="000000" w:sz="8" w:space="0"/>
              <w:right w:val="single" w:color="auto" w:sz="4" w:space="0"/>
            </w:tcBorders>
            <w:tcMar>
              <w:top w:w="15" w:type="dxa"/>
              <w:left w:w="15" w:type="dxa"/>
              <w:right w:w="15" w:type="dxa"/>
            </w:tcMar>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系统管理员设置收文、发文由用户权限，支持按科室内部查看、全部查看两种权限。</w:t>
            </w:r>
          </w:p>
        </w:tc>
        <w:tc>
          <w:tcPr>
            <w:tcW w:w="693" w:type="pct"/>
            <w:tcBorders>
              <w:top w:val="single" w:color="auto" w:sz="4" w:space="0"/>
              <w:left w:val="single" w:color="auto" w:sz="4" w:space="0"/>
              <w:bottom w:val="single" w:color="auto" w:sz="4" w:space="0"/>
            </w:tcBorders>
            <w:vAlign w:val="center"/>
          </w:tcPr>
          <w:p>
            <w:pPr>
              <w:widowControl/>
              <w:spacing w:line="320" w:lineRule="exact"/>
              <w:jc w:val="center"/>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3" w:hRule="atLeast"/>
        </w:trPr>
        <w:tc>
          <w:tcPr>
            <w:tcW w:w="569" w:type="pct"/>
            <w:vMerge w:val="continue"/>
            <w:tcBorders>
              <w:top w:val="nil"/>
              <w:bottom w:val="single" w:color="000000" w:sz="8" w:space="0"/>
              <w:right w:val="single" w:color="000000" w:sz="8" w:space="0"/>
            </w:tcBorders>
            <w:tcMar>
              <w:top w:w="15" w:type="dxa"/>
              <w:left w:w="15" w:type="dxa"/>
              <w:right w:w="15" w:type="dxa"/>
            </w:tcMar>
            <w:vAlign w:val="center"/>
          </w:tcPr>
          <w:p>
            <w:pPr>
              <w:widowControl/>
              <w:spacing w:line="320" w:lineRule="exact"/>
              <w:jc w:val="center"/>
              <w:textAlignment w:val="center"/>
              <w:rPr>
                <w:rFonts w:ascii="宋体" w:hAnsi="宋体" w:cs="宋体"/>
                <w:color w:val="auto"/>
                <w:kern w:val="0"/>
                <w:szCs w:val="28"/>
                <w:highlight w:val="none"/>
              </w:rPr>
            </w:pPr>
          </w:p>
        </w:tc>
        <w:tc>
          <w:tcPr>
            <w:tcW w:w="488" w:type="pct"/>
            <w:vMerge w:val="continue"/>
            <w:tcBorders>
              <w:top w:val="nil"/>
              <w:left w:val="nil"/>
              <w:bottom w:val="single" w:color="000000" w:sz="8" w:space="0"/>
              <w:right w:val="single" w:color="000000" w:sz="8" w:space="0"/>
            </w:tcBorders>
            <w:tcMar>
              <w:top w:w="15" w:type="dxa"/>
              <w:left w:w="15" w:type="dxa"/>
              <w:right w:w="15" w:type="dxa"/>
            </w:tcMar>
            <w:vAlign w:val="center"/>
          </w:tcPr>
          <w:p>
            <w:pPr>
              <w:widowControl/>
              <w:spacing w:line="320" w:lineRule="exact"/>
              <w:textAlignment w:val="center"/>
              <w:rPr>
                <w:rFonts w:ascii="宋体" w:hAnsi="宋体" w:cs="宋体"/>
                <w:color w:val="auto"/>
                <w:kern w:val="0"/>
                <w:szCs w:val="28"/>
                <w:highlight w:val="none"/>
              </w:rPr>
            </w:pPr>
          </w:p>
        </w:tc>
        <w:tc>
          <w:tcPr>
            <w:tcW w:w="750" w:type="pct"/>
            <w:tcBorders>
              <w:top w:val="nil"/>
              <w:left w:val="nil"/>
              <w:bottom w:val="single" w:color="000000" w:sz="8" w:space="0"/>
              <w:right w:val="single" w:color="000000" w:sz="8" w:space="0"/>
            </w:tcBorders>
            <w:tcMar>
              <w:top w:w="15" w:type="dxa"/>
              <w:left w:w="15" w:type="dxa"/>
              <w:right w:w="15" w:type="dxa"/>
            </w:tcMar>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发文管理</w:t>
            </w:r>
          </w:p>
        </w:tc>
        <w:tc>
          <w:tcPr>
            <w:tcW w:w="2501" w:type="pct"/>
            <w:tcBorders>
              <w:top w:val="nil"/>
              <w:left w:val="nil"/>
              <w:bottom w:val="single" w:color="000000" w:sz="8" w:space="0"/>
              <w:right w:val="single" w:color="auto" w:sz="4" w:space="0"/>
            </w:tcBorders>
            <w:tcMar>
              <w:top w:w="15" w:type="dxa"/>
              <w:left w:w="15" w:type="dxa"/>
              <w:right w:w="15" w:type="dxa"/>
            </w:tcMar>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发文流转过程中，科室负责人、核稿人、领导用户可根据需要修改发文标题。</w:t>
            </w:r>
          </w:p>
        </w:tc>
        <w:tc>
          <w:tcPr>
            <w:tcW w:w="693" w:type="pct"/>
            <w:tcBorders>
              <w:top w:val="single" w:color="auto" w:sz="4" w:space="0"/>
              <w:left w:val="single" w:color="auto" w:sz="4" w:space="0"/>
              <w:bottom w:val="single" w:color="auto" w:sz="4" w:space="0"/>
            </w:tcBorders>
            <w:vAlign w:val="center"/>
          </w:tcPr>
          <w:p>
            <w:pPr>
              <w:widowControl/>
              <w:spacing w:line="320" w:lineRule="exact"/>
              <w:jc w:val="center"/>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3" w:hRule="atLeast"/>
        </w:trPr>
        <w:tc>
          <w:tcPr>
            <w:tcW w:w="569" w:type="pct"/>
            <w:vMerge w:val="continue"/>
            <w:tcBorders>
              <w:top w:val="nil"/>
              <w:bottom w:val="single" w:color="000000" w:sz="8" w:space="0"/>
              <w:right w:val="single" w:color="000000" w:sz="8" w:space="0"/>
            </w:tcBorders>
            <w:tcMar>
              <w:top w:w="15" w:type="dxa"/>
              <w:left w:w="15" w:type="dxa"/>
              <w:right w:w="15" w:type="dxa"/>
            </w:tcMar>
            <w:vAlign w:val="center"/>
          </w:tcPr>
          <w:p>
            <w:pPr>
              <w:widowControl/>
              <w:spacing w:line="320" w:lineRule="exact"/>
              <w:jc w:val="center"/>
              <w:textAlignment w:val="center"/>
              <w:rPr>
                <w:rFonts w:ascii="宋体" w:hAnsi="宋体" w:cs="宋体"/>
                <w:color w:val="auto"/>
                <w:kern w:val="0"/>
                <w:szCs w:val="28"/>
                <w:highlight w:val="none"/>
              </w:rPr>
            </w:pPr>
          </w:p>
        </w:tc>
        <w:tc>
          <w:tcPr>
            <w:tcW w:w="488" w:type="pct"/>
            <w:vMerge w:val="continue"/>
            <w:tcBorders>
              <w:top w:val="nil"/>
              <w:left w:val="nil"/>
              <w:bottom w:val="single" w:color="000000" w:sz="8" w:space="0"/>
              <w:right w:val="single" w:color="000000" w:sz="8" w:space="0"/>
            </w:tcBorders>
            <w:tcMar>
              <w:top w:w="15" w:type="dxa"/>
              <w:left w:w="15" w:type="dxa"/>
              <w:right w:w="15" w:type="dxa"/>
            </w:tcMar>
            <w:vAlign w:val="center"/>
          </w:tcPr>
          <w:p>
            <w:pPr>
              <w:widowControl/>
              <w:spacing w:line="320" w:lineRule="exact"/>
              <w:textAlignment w:val="center"/>
              <w:rPr>
                <w:rFonts w:ascii="宋体" w:hAnsi="宋体" w:cs="宋体"/>
                <w:color w:val="auto"/>
                <w:kern w:val="0"/>
                <w:szCs w:val="28"/>
                <w:highlight w:val="none"/>
              </w:rPr>
            </w:pPr>
          </w:p>
        </w:tc>
        <w:tc>
          <w:tcPr>
            <w:tcW w:w="750" w:type="pct"/>
            <w:tcBorders>
              <w:top w:val="nil"/>
              <w:left w:val="nil"/>
              <w:bottom w:val="single" w:color="000000" w:sz="8" w:space="0"/>
              <w:right w:val="single" w:color="000000" w:sz="8" w:space="0"/>
            </w:tcBorders>
            <w:tcMar>
              <w:top w:w="15" w:type="dxa"/>
              <w:left w:w="15" w:type="dxa"/>
              <w:right w:w="15" w:type="dxa"/>
            </w:tcMar>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通讯录</w:t>
            </w:r>
          </w:p>
        </w:tc>
        <w:tc>
          <w:tcPr>
            <w:tcW w:w="2501" w:type="pct"/>
            <w:tcBorders>
              <w:top w:val="nil"/>
              <w:left w:val="nil"/>
              <w:bottom w:val="single" w:color="000000" w:sz="8" w:space="0"/>
              <w:right w:val="single" w:color="auto" w:sz="4" w:space="0"/>
            </w:tcBorders>
            <w:tcMar>
              <w:top w:w="15" w:type="dxa"/>
              <w:left w:w="15" w:type="dxa"/>
              <w:right w:w="15" w:type="dxa"/>
            </w:tcMar>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系统管理员将通讯录的用户角色隐藏，只有管理员可查看、修改用户角色。</w:t>
            </w:r>
          </w:p>
        </w:tc>
        <w:tc>
          <w:tcPr>
            <w:tcW w:w="693" w:type="pct"/>
            <w:tcBorders>
              <w:top w:val="single" w:color="auto" w:sz="4" w:space="0"/>
              <w:left w:val="single" w:color="auto" w:sz="4" w:space="0"/>
              <w:bottom w:val="single" w:color="auto" w:sz="4" w:space="0"/>
            </w:tcBorders>
            <w:vAlign w:val="center"/>
          </w:tcPr>
          <w:p>
            <w:pPr>
              <w:widowControl/>
              <w:spacing w:line="320" w:lineRule="exact"/>
              <w:jc w:val="center"/>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3" w:hRule="atLeast"/>
        </w:trPr>
        <w:tc>
          <w:tcPr>
            <w:tcW w:w="569" w:type="pct"/>
            <w:vMerge w:val="continue"/>
            <w:tcBorders>
              <w:top w:val="nil"/>
              <w:bottom w:val="single" w:color="000000" w:sz="8" w:space="0"/>
              <w:right w:val="single" w:color="000000" w:sz="8" w:space="0"/>
            </w:tcBorders>
            <w:tcMar>
              <w:top w:w="15" w:type="dxa"/>
              <w:left w:w="15" w:type="dxa"/>
              <w:right w:w="15" w:type="dxa"/>
            </w:tcMar>
            <w:vAlign w:val="center"/>
          </w:tcPr>
          <w:p>
            <w:pPr>
              <w:widowControl/>
              <w:spacing w:line="320" w:lineRule="exact"/>
              <w:jc w:val="center"/>
              <w:textAlignment w:val="center"/>
              <w:rPr>
                <w:rFonts w:ascii="宋体" w:hAnsi="宋体" w:cs="宋体"/>
                <w:color w:val="auto"/>
                <w:kern w:val="0"/>
                <w:szCs w:val="28"/>
                <w:highlight w:val="none"/>
              </w:rPr>
            </w:pPr>
          </w:p>
        </w:tc>
        <w:tc>
          <w:tcPr>
            <w:tcW w:w="488" w:type="pct"/>
            <w:vMerge w:val="continue"/>
            <w:tcBorders>
              <w:top w:val="nil"/>
              <w:left w:val="nil"/>
              <w:bottom w:val="single" w:color="000000" w:sz="8" w:space="0"/>
              <w:right w:val="single" w:color="000000" w:sz="8" w:space="0"/>
            </w:tcBorders>
            <w:tcMar>
              <w:top w:w="15" w:type="dxa"/>
              <w:left w:w="15" w:type="dxa"/>
              <w:right w:w="15" w:type="dxa"/>
            </w:tcMar>
            <w:vAlign w:val="center"/>
          </w:tcPr>
          <w:p>
            <w:pPr>
              <w:widowControl/>
              <w:spacing w:line="320" w:lineRule="exact"/>
              <w:textAlignment w:val="center"/>
              <w:rPr>
                <w:rFonts w:ascii="宋体" w:hAnsi="宋体" w:cs="宋体"/>
                <w:color w:val="auto"/>
                <w:kern w:val="0"/>
                <w:szCs w:val="28"/>
                <w:highlight w:val="none"/>
              </w:rPr>
            </w:pPr>
          </w:p>
        </w:tc>
        <w:tc>
          <w:tcPr>
            <w:tcW w:w="750" w:type="pct"/>
            <w:tcBorders>
              <w:top w:val="nil"/>
              <w:left w:val="nil"/>
              <w:bottom w:val="single" w:color="000000" w:sz="8" w:space="0"/>
              <w:right w:val="single" w:color="000000" w:sz="8" w:space="0"/>
            </w:tcBorders>
            <w:tcMar>
              <w:top w:w="15" w:type="dxa"/>
              <w:left w:w="15" w:type="dxa"/>
              <w:right w:w="15" w:type="dxa"/>
            </w:tcMar>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首页</w:t>
            </w:r>
          </w:p>
        </w:tc>
        <w:tc>
          <w:tcPr>
            <w:tcW w:w="2501" w:type="pct"/>
            <w:tcBorders>
              <w:top w:val="nil"/>
              <w:left w:val="nil"/>
              <w:bottom w:val="single" w:color="000000" w:sz="8" w:space="0"/>
              <w:right w:val="single" w:color="auto" w:sz="4" w:space="0"/>
            </w:tcBorders>
            <w:tcMar>
              <w:top w:w="15" w:type="dxa"/>
              <w:left w:w="15" w:type="dxa"/>
              <w:right w:w="15" w:type="dxa"/>
            </w:tcMar>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分开展示收文传阅件和收文待办，系统首页增加主要领导讲话栏目。</w:t>
            </w:r>
          </w:p>
        </w:tc>
        <w:tc>
          <w:tcPr>
            <w:tcW w:w="693" w:type="pct"/>
            <w:tcBorders>
              <w:top w:val="single" w:color="auto" w:sz="4" w:space="0"/>
              <w:left w:val="single" w:color="auto" w:sz="4" w:space="0"/>
              <w:bottom w:val="single" w:color="auto" w:sz="4" w:space="0"/>
            </w:tcBorders>
            <w:vAlign w:val="center"/>
          </w:tcPr>
          <w:p>
            <w:pPr>
              <w:widowControl/>
              <w:spacing w:line="320" w:lineRule="exact"/>
              <w:jc w:val="center"/>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3" w:hRule="atLeast"/>
        </w:trPr>
        <w:tc>
          <w:tcPr>
            <w:tcW w:w="569" w:type="pct"/>
            <w:vMerge w:val="restart"/>
            <w:tcBorders>
              <w:top w:val="nil"/>
              <w:bottom w:val="single" w:color="000000" w:sz="8" w:space="0"/>
              <w:right w:val="single" w:color="000000" w:sz="8" w:space="0"/>
            </w:tcBorders>
            <w:tcMar>
              <w:top w:w="15" w:type="dxa"/>
              <w:left w:w="15" w:type="dxa"/>
              <w:right w:w="15" w:type="dxa"/>
            </w:tcMar>
            <w:vAlign w:val="center"/>
          </w:tcPr>
          <w:p>
            <w:pPr>
              <w:widowControl/>
              <w:spacing w:line="320" w:lineRule="exact"/>
              <w:jc w:val="center"/>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5</w:t>
            </w:r>
          </w:p>
        </w:tc>
        <w:tc>
          <w:tcPr>
            <w:tcW w:w="488" w:type="pct"/>
            <w:vMerge w:val="restart"/>
            <w:tcBorders>
              <w:top w:val="nil"/>
              <w:left w:val="nil"/>
              <w:bottom w:val="single" w:color="000000" w:sz="8" w:space="0"/>
              <w:right w:val="single" w:color="000000" w:sz="8" w:space="0"/>
            </w:tcBorders>
            <w:tcMar>
              <w:top w:w="15" w:type="dxa"/>
              <w:left w:w="15" w:type="dxa"/>
              <w:right w:w="15" w:type="dxa"/>
            </w:tcMar>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市粮食和储备局个性化需求</w:t>
            </w:r>
          </w:p>
        </w:tc>
        <w:tc>
          <w:tcPr>
            <w:tcW w:w="750" w:type="pct"/>
            <w:tcBorders>
              <w:top w:val="nil"/>
              <w:left w:val="nil"/>
              <w:bottom w:val="single" w:color="000000" w:sz="8" w:space="0"/>
              <w:right w:val="single" w:color="000000" w:sz="8" w:space="0"/>
            </w:tcBorders>
            <w:tcMar>
              <w:top w:w="15" w:type="dxa"/>
              <w:left w:w="15" w:type="dxa"/>
              <w:right w:w="15" w:type="dxa"/>
            </w:tcMar>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发文管理</w:t>
            </w:r>
          </w:p>
        </w:tc>
        <w:tc>
          <w:tcPr>
            <w:tcW w:w="2501" w:type="pct"/>
            <w:tcBorders>
              <w:top w:val="nil"/>
              <w:left w:val="nil"/>
              <w:bottom w:val="single" w:color="000000" w:sz="8" w:space="0"/>
              <w:right w:val="single" w:color="auto" w:sz="4" w:space="0"/>
            </w:tcBorders>
            <w:tcMar>
              <w:top w:w="15" w:type="dxa"/>
              <w:left w:w="15" w:type="dxa"/>
              <w:right w:w="15" w:type="dxa"/>
            </w:tcMar>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签发环节支持多选用户。管理员能对流程实施增删操作，可处理修改意见等。</w:t>
            </w:r>
          </w:p>
        </w:tc>
        <w:tc>
          <w:tcPr>
            <w:tcW w:w="693" w:type="pct"/>
            <w:tcBorders>
              <w:top w:val="single" w:color="auto" w:sz="4" w:space="0"/>
              <w:left w:val="single" w:color="auto" w:sz="4" w:space="0"/>
              <w:bottom w:val="single" w:color="auto" w:sz="4" w:space="0"/>
            </w:tcBorders>
            <w:vAlign w:val="center"/>
          </w:tcPr>
          <w:p>
            <w:pPr>
              <w:widowControl/>
              <w:spacing w:line="320" w:lineRule="exact"/>
              <w:jc w:val="center"/>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3" w:hRule="atLeast"/>
        </w:trPr>
        <w:tc>
          <w:tcPr>
            <w:tcW w:w="569" w:type="pct"/>
            <w:vMerge w:val="continue"/>
            <w:tcBorders>
              <w:top w:val="nil"/>
              <w:bottom w:val="single" w:color="000000" w:sz="8" w:space="0"/>
              <w:right w:val="single" w:color="000000" w:sz="8" w:space="0"/>
            </w:tcBorders>
            <w:tcMar>
              <w:top w:w="15" w:type="dxa"/>
              <w:left w:w="15" w:type="dxa"/>
              <w:right w:w="15" w:type="dxa"/>
            </w:tcMar>
            <w:vAlign w:val="center"/>
          </w:tcPr>
          <w:p>
            <w:pPr>
              <w:widowControl/>
              <w:spacing w:line="320" w:lineRule="exact"/>
              <w:jc w:val="center"/>
              <w:textAlignment w:val="center"/>
              <w:rPr>
                <w:rFonts w:ascii="宋体" w:hAnsi="宋体" w:cs="宋体"/>
                <w:color w:val="auto"/>
                <w:kern w:val="0"/>
                <w:szCs w:val="28"/>
                <w:highlight w:val="none"/>
              </w:rPr>
            </w:pPr>
          </w:p>
        </w:tc>
        <w:tc>
          <w:tcPr>
            <w:tcW w:w="488" w:type="pct"/>
            <w:vMerge w:val="continue"/>
            <w:tcBorders>
              <w:top w:val="nil"/>
              <w:left w:val="nil"/>
              <w:bottom w:val="single" w:color="000000" w:sz="8" w:space="0"/>
              <w:right w:val="single" w:color="000000" w:sz="8" w:space="0"/>
            </w:tcBorders>
            <w:tcMar>
              <w:top w:w="15" w:type="dxa"/>
              <w:left w:w="15" w:type="dxa"/>
              <w:right w:w="15" w:type="dxa"/>
            </w:tcMar>
            <w:vAlign w:val="center"/>
          </w:tcPr>
          <w:p>
            <w:pPr>
              <w:widowControl/>
              <w:spacing w:line="320" w:lineRule="exact"/>
              <w:textAlignment w:val="center"/>
              <w:rPr>
                <w:rFonts w:ascii="宋体" w:hAnsi="宋体" w:cs="宋体"/>
                <w:color w:val="auto"/>
                <w:kern w:val="0"/>
                <w:szCs w:val="28"/>
                <w:highlight w:val="none"/>
              </w:rPr>
            </w:pPr>
          </w:p>
        </w:tc>
        <w:tc>
          <w:tcPr>
            <w:tcW w:w="750" w:type="pct"/>
            <w:tcBorders>
              <w:top w:val="nil"/>
              <w:left w:val="nil"/>
              <w:bottom w:val="single" w:color="000000" w:sz="8" w:space="0"/>
              <w:right w:val="single" w:color="000000" w:sz="8" w:space="0"/>
            </w:tcBorders>
            <w:tcMar>
              <w:top w:w="15" w:type="dxa"/>
              <w:left w:w="15" w:type="dxa"/>
              <w:right w:w="15" w:type="dxa"/>
            </w:tcMar>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收文管理</w:t>
            </w:r>
          </w:p>
        </w:tc>
        <w:tc>
          <w:tcPr>
            <w:tcW w:w="2501" w:type="pct"/>
            <w:tcBorders>
              <w:top w:val="nil"/>
              <w:left w:val="nil"/>
              <w:bottom w:val="single" w:color="000000" w:sz="8" w:space="0"/>
              <w:right w:val="single" w:color="auto" w:sz="4" w:space="0"/>
            </w:tcBorders>
            <w:tcMar>
              <w:top w:w="15" w:type="dxa"/>
              <w:left w:w="15" w:type="dxa"/>
              <w:right w:w="15" w:type="dxa"/>
            </w:tcMar>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筛选分类、文件排序定制、待办定制、通知公告定制</w:t>
            </w:r>
          </w:p>
        </w:tc>
        <w:tc>
          <w:tcPr>
            <w:tcW w:w="693" w:type="pct"/>
            <w:tcBorders>
              <w:top w:val="single" w:color="auto" w:sz="4" w:space="0"/>
              <w:left w:val="single" w:color="auto" w:sz="4" w:space="0"/>
              <w:bottom w:val="single" w:color="auto" w:sz="4" w:space="0"/>
            </w:tcBorders>
            <w:vAlign w:val="center"/>
          </w:tcPr>
          <w:p>
            <w:pPr>
              <w:widowControl/>
              <w:spacing w:line="320" w:lineRule="exact"/>
              <w:jc w:val="center"/>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3" w:hRule="atLeast"/>
        </w:trPr>
        <w:tc>
          <w:tcPr>
            <w:tcW w:w="569" w:type="pct"/>
            <w:vMerge w:val="continue"/>
            <w:tcBorders>
              <w:top w:val="nil"/>
              <w:bottom w:val="single" w:color="000000" w:sz="8" w:space="0"/>
              <w:right w:val="single" w:color="000000" w:sz="8" w:space="0"/>
            </w:tcBorders>
            <w:tcMar>
              <w:top w:w="15" w:type="dxa"/>
              <w:left w:w="15" w:type="dxa"/>
              <w:right w:w="15" w:type="dxa"/>
            </w:tcMar>
            <w:vAlign w:val="center"/>
          </w:tcPr>
          <w:p>
            <w:pPr>
              <w:widowControl/>
              <w:spacing w:line="320" w:lineRule="exact"/>
              <w:jc w:val="center"/>
              <w:textAlignment w:val="center"/>
              <w:rPr>
                <w:rFonts w:ascii="宋体" w:hAnsi="宋体" w:cs="宋体"/>
                <w:color w:val="auto"/>
                <w:kern w:val="0"/>
                <w:szCs w:val="28"/>
                <w:highlight w:val="none"/>
              </w:rPr>
            </w:pPr>
          </w:p>
        </w:tc>
        <w:tc>
          <w:tcPr>
            <w:tcW w:w="488" w:type="pct"/>
            <w:vMerge w:val="continue"/>
            <w:tcBorders>
              <w:top w:val="nil"/>
              <w:left w:val="nil"/>
              <w:bottom w:val="single" w:color="000000" w:sz="8" w:space="0"/>
              <w:right w:val="single" w:color="000000" w:sz="8" w:space="0"/>
            </w:tcBorders>
            <w:tcMar>
              <w:top w:w="15" w:type="dxa"/>
              <w:left w:w="15" w:type="dxa"/>
              <w:right w:w="15" w:type="dxa"/>
            </w:tcMar>
            <w:vAlign w:val="center"/>
          </w:tcPr>
          <w:p>
            <w:pPr>
              <w:widowControl/>
              <w:spacing w:line="320" w:lineRule="exact"/>
              <w:textAlignment w:val="center"/>
              <w:rPr>
                <w:rFonts w:ascii="宋体" w:hAnsi="宋体" w:cs="宋体"/>
                <w:color w:val="auto"/>
                <w:kern w:val="0"/>
                <w:szCs w:val="28"/>
                <w:highlight w:val="none"/>
              </w:rPr>
            </w:pPr>
          </w:p>
        </w:tc>
        <w:tc>
          <w:tcPr>
            <w:tcW w:w="750" w:type="pct"/>
            <w:tcBorders>
              <w:top w:val="nil"/>
              <w:left w:val="nil"/>
              <w:bottom w:val="single" w:color="000000" w:sz="8" w:space="0"/>
              <w:right w:val="single" w:color="000000" w:sz="8" w:space="0"/>
            </w:tcBorders>
            <w:tcMar>
              <w:top w:w="15" w:type="dxa"/>
              <w:left w:w="15" w:type="dxa"/>
              <w:right w:w="15" w:type="dxa"/>
            </w:tcMar>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消息提醒</w:t>
            </w:r>
          </w:p>
        </w:tc>
        <w:tc>
          <w:tcPr>
            <w:tcW w:w="2501" w:type="pct"/>
            <w:tcBorders>
              <w:top w:val="nil"/>
              <w:left w:val="nil"/>
              <w:bottom w:val="single" w:color="000000" w:sz="8" w:space="0"/>
              <w:right w:val="single" w:color="auto" w:sz="4" w:space="0"/>
            </w:tcBorders>
            <w:tcMar>
              <w:top w:w="15" w:type="dxa"/>
              <w:left w:w="15" w:type="dxa"/>
              <w:right w:w="15" w:type="dxa"/>
            </w:tcMar>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消息转发给其他用户的各项流程中，用户等待中会接受即时通讯消息提醒。</w:t>
            </w:r>
          </w:p>
        </w:tc>
        <w:tc>
          <w:tcPr>
            <w:tcW w:w="693" w:type="pct"/>
            <w:tcBorders>
              <w:top w:val="single" w:color="auto" w:sz="4" w:space="0"/>
              <w:left w:val="single" w:color="auto" w:sz="4" w:space="0"/>
              <w:bottom w:val="single" w:color="auto" w:sz="4" w:space="0"/>
            </w:tcBorders>
            <w:vAlign w:val="center"/>
          </w:tcPr>
          <w:p>
            <w:pPr>
              <w:widowControl/>
              <w:spacing w:line="320" w:lineRule="exact"/>
              <w:jc w:val="center"/>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3" w:hRule="atLeast"/>
        </w:trPr>
        <w:tc>
          <w:tcPr>
            <w:tcW w:w="569" w:type="pct"/>
            <w:vMerge w:val="continue"/>
            <w:tcBorders>
              <w:top w:val="nil"/>
              <w:bottom w:val="single" w:color="000000" w:sz="8" w:space="0"/>
              <w:right w:val="single" w:color="000000" w:sz="8" w:space="0"/>
            </w:tcBorders>
            <w:tcMar>
              <w:top w:w="15" w:type="dxa"/>
              <w:left w:w="15" w:type="dxa"/>
              <w:right w:w="15" w:type="dxa"/>
            </w:tcMar>
            <w:vAlign w:val="center"/>
          </w:tcPr>
          <w:p>
            <w:pPr>
              <w:widowControl/>
              <w:spacing w:line="320" w:lineRule="exact"/>
              <w:jc w:val="center"/>
              <w:textAlignment w:val="center"/>
              <w:rPr>
                <w:rFonts w:ascii="宋体" w:hAnsi="宋体" w:cs="宋体"/>
                <w:color w:val="auto"/>
                <w:kern w:val="0"/>
                <w:szCs w:val="28"/>
                <w:highlight w:val="none"/>
              </w:rPr>
            </w:pPr>
          </w:p>
        </w:tc>
        <w:tc>
          <w:tcPr>
            <w:tcW w:w="488" w:type="pct"/>
            <w:vMerge w:val="continue"/>
            <w:tcBorders>
              <w:top w:val="nil"/>
              <w:left w:val="nil"/>
              <w:bottom w:val="single" w:color="000000" w:sz="8" w:space="0"/>
              <w:right w:val="single" w:color="000000" w:sz="8" w:space="0"/>
            </w:tcBorders>
            <w:tcMar>
              <w:top w:w="15" w:type="dxa"/>
              <w:left w:w="15" w:type="dxa"/>
              <w:right w:w="15" w:type="dxa"/>
            </w:tcMar>
            <w:vAlign w:val="center"/>
          </w:tcPr>
          <w:p>
            <w:pPr>
              <w:widowControl/>
              <w:spacing w:line="320" w:lineRule="exact"/>
              <w:textAlignment w:val="center"/>
              <w:rPr>
                <w:rFonts w:ascii="宋体" w:hAnsi="宋体" w:cs="宋体"/>
                <w:color w:val="auto"/>
                <w:kern w:val="0"/>
                <w:szCs w:val="28"/>
                <w:highlight w:val="none"/>
              </w:rPr>
            </w:pPr>
          </w:p>
        </w:tc>
        <w:tc>
          <w:tcPr>
            <w:tcW w:w="750" w:type="pct"/>
            <w:tcBorders>
              <w:top w:val="nil"/>
              <w:left w:val="nil"/>
              <w:bottom w:val="single" w:color="000000" w:sz="8" w:space="0"/>
              <w:right w:val="single" w:color="000000" w:sz="8" w:space="0"/>
            </w:tcBorders>
            <w:tcMar>
              <w:top w:w="15" w:type="dxa"/>
              <w:left w:w="15" w:type="dxa"/>
              <w:right w:w="15" w:type="dxa"/>
            </w:tcMar>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首页</w:t>
            </w:r>
          </w:p>
        </w:tc>
        <w:tc>
          <w:tcPr>
            <w:tcW w:w="2501" w:type="pct"/>
            <w:tcBorders>
              <w:top w:val="nil"/>
              <w:left w:val="nil"/>
              <w:bottom w:val="single" w:color="000000" w:sz="8" w:space="0"/>
              <w:right w:val="single" w:color="auto" w:sz="4" w:space="0"/>
            </w:tcBorders>
            <w:tcMar>
              <w:top w:w="15" w:type="dxa"/>
              <w:left w:w="15" w:type="dxa"/>
              <w:right w:w="15" w:type="dxa"/>
            </w:tcMar>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首页增加通知公告的显示栏。</w:t>
            </w:r>
          </w:p>
        </w:tc>
        <w:tc>
          <w:tcPr>
            <w:tcW w:w="693" w:type="pct"/>
            <w:tcBorders>
              <w:top w:val="single" w:color="auto" w:sz="4" w:space="0"/>
              <w:left w:val="single" w:color="auto" w:sz="4" w:space="0"/>
              <w:bottom w:val="single" w:color="auto" w:sz="4" w:space="0"/>
            </w:tcBorders>
            <w:vAlign w:val="center"/>
          </w:tcPr>
          <w:p>
            <w:pPr>
              <w:widowControl/>
              <w:spacing w:line="320" w:lineRule="exact"/>
              <w:jc w:val="center"/>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3" w:hRule="atLeast"/>
        </w:trPr>
        <w:tc>
          <w:tcPr>
            <w:tcW w:w="4307" w:type="pct"/>
            <w:gridSpan w:val="4"/>
            <w:tcBorders>
              <w:top w:val="nil"/>
              <w:right w:val="single" w:color="auto" w:sz="4" w:space="0"/>
            </w:tcBorders>
            <w:tcMar>
              <w:top w:w="15" w:type="dxa"/>
              <w:left w:w="15" w:type="dxa"/>
              <w:right w:w="15" w:type="dxa"/>
            </w:tcMar>
            <w:vAlign w:val="center"/>
          </w:tcPr>
          <w:p>
            <w:pPr>
              <w:widowControl/>
              <w:spacing w:line="320" w:lineRule="exact"/>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备注：项目验收时以单位个性化需求的服务内容为准。此外，服务承接人与购买主体商议后，可根据实际情况调整具体服务内容。</w:t>
            </w:r>
          </w:p>
        </w:tc>
        <w:tc>
          <w:tcPr>
            <w:tcW w:w="693" w:type="pct"/>
            <w:tcBorders>
              <w:top w:val="single" w:color="auto" w:sz="4" w:space="0"/>
              <w:left w:val="single" w:color="auto" w:sz="4" w:space="0"/>
              <w:bottom w:val="single" w:color="auto" w:sz="4" w:space="0"/>
            </w:tcBorders>
            <w:vAlign w:val="center"/>
          </w:tcPr>
          <w:p>
            <w:pPr>
              <w:widowControl/>
              <w:spacing w:line="320" w:lineRule="exact"/>
              <w:jc w:val="center"/>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20</w:t>
            </w:r>
          </w:p>
        </w:tc>
      </w:tr>
    </w:tbl>
    <w:p>
      <w:pPr>
        <w:rPr>
          <w:color w:val="auto"/>
          <w:highlight w:val="none"/>
        </w:rPr>
      </w:pPr>
    </w:p>
    <w:p>
      <w:pPr>
        <w:pStyle w:val="5"/>
        <w:numPr>
          <w:ilvl w:val="2"/>
          <w:numId w:val="1"/>
        </w:numPr>
        <w:rPr>
          <w:color w:val="auto"/>
          <w:highlight w:val="none"/>
        </w:rPr>
      </w:pPr>
      <w:bookmarkStart w:id="137" w:name="_Toc28337"/>
      <w:bookmarkStart w:id="138" w:name="_Toc30817"/>
      <w:bookmarkStart w:id="139" w:name="_Toc35367196"/>
      <w:bookmarkStart w:id="140" w:name="_Toc30015"/>
      <w:bookmarkStart w:id="141" w:name="_Toc36475605"/>
      <w:bookmarkStart w:id="142" w:name="_Toc10667"/>
      <w:bookmarkStart w:id="143" w:name="_Toc31067"/>
      <w:bookmarkStart w:id="144" w:name="_Toc24580"/>
      <w:bookmarkStart w:id="145" w:name="_Toc18237"/>
      <w:r>
        <w:rPr>
          <w:rFonts w:hint="eastAsia"/>
          <w:color w:val="auto"/>
          <w:highlight w:val="none"/>
        </w:rPr>
        <w:t>性能指标</w:t>
      </w:r>
      <w:bookmarkEnd w:id="137"/>
      <w:bookmarkEnd w:id="138"/>
      <w:bookmarkEnd w:id="139"/>
      <w:bookmarkEnd w:id="140"/>
      <w:bookmarkEnd w:id="141"/>
      <w:bookmarkEnd w:id="142"/>
      <w:bookmarkEnd w:id="143"/>
      <w:bookmarkEnd w:id="144"/>
      <w:bookmarkEnd w:id="145"/>
      <w:r>
        <w:rPr>
          <w:rFonts w:hint="eastAsia"/>
          <w:color w:val="auto"/>
          <w:highlight w:val="none"/>
        </w:rPr>
        <w:t>（性能</w:t>
      </w:r>
      <w:r>
        <w:rPr>
          <w:color w:val="auto"/>
          <w:highlight w:val="none"/>
        </w:rPr>
        <w:t>指标</w:t>
      </w:r>
      <w:r>
        <w:rPr>
          <w:rFonts w:hint="eastAsia"/>
          <w:color w:val="auto"/>
          <w:highlight w:val="none"/>
        </w:rPr>
        <w:t>100分，占40</w:t>
      </w:r>
      <w:r>
        <w:rPr>
          <w:color w:val="auto"/>
          <w:highlight w:val="none"/>
        </w:rPr>
        <w:t>%</w:t>
      </w:r>
      <w:r>
        <w:rPr>
          <w:rFonts w:hint="eastAsia"/>
          <w:color w:val="auto"/>
          <w:highlight w:val="none"/>
        </w:rPr>
        <w:t>权重）</w:t>
      </w:r>
    </w:p>
    <w:p>
      <w:pPr>
        <w:numPr>
          <w:ilvl w:val="0"/>
          <w:numId w:val="4"/>
        </w:numPr>
        <w:adjustRightInd w:val="0"/>
        <w:spacing w:line="360" w:lineRule="auto"/>
        <w:ind w:firstLine="560"/>
        <w:rPr>
          <w:color w:val="auto"/>
          <w:highlight w:val="none"/>
        </w:rPr>
      </w:pPr>
      <w:r>
        <w:rPr>
          <w:rFonts w:hint="eastAsia"/>
          <w:color w:val="auto"/>
          <w:highlight w:val="none"/>
        </w:rPr>
        <w:t>采用构件化和面向对象的技术，具有灵活的扩展性和良好的可移植性。（5分）</w:t>
      </w:r>
    </w:p>
    <w:p>
      <w:pPr>
        <w:numPr>
          <w:ilvl w:val="0"/>
          <w:numId w:val="4"/>
        </w:numPr>
        <w:adjustRightInd w:val="0"/>
        <w:spacing w:line="360" w:lineRule="auto"/>
        <w:ind w:firstLine="420" w:firstLineChars="200"/>
        <w:rPr>
          <w:color w:val="auto"/>
          <w:highlight w:val="none"/>
        </w:rPr>
      </w:pPr>
      <w:r>
        <w:rPr>
          <w:rFonts w:hint="eastAsia"/>
          <w:color w:val="auto"/>
          <w:highlight w:val="none"/>
        </w:rPr>
        <w:t>系统能够连续7×24小时提供服务，系统稳定性要达到99.9%；须保证数据的一致、完整和准确。（5分）</w:t>
      </w:r>
    </w:p>
    <w:p>
      <w:pPr>
        <w:numPr>
          <w:ilvl w:val="0"/>
          <w:numId w:val="4"/>
        </w:numPr>
        <w:adjustRightInd w:val="0"/>
        <w:spacing w:line="360" w:lineRule="auto"/>
        <w:ind w:firstLine="420" w:firstLineChars="200"/>
        <w:rPr>
          <w:color w:val="auto"/>
          <w:highlight w:val="none"/>
        </w:rPr>
      </w:pPr>
      <w:r>
        <w:rPr>
          <w:rFonts w:hint="eastAsia"/>
          <w:color w:val="auto"/>
          <w:highlight w:val="none"/>
        </w:rPr>
        <w:t>系统查询的响应时间&lt;3秒。（5分）</w:t>
      </w:r>
    </w:p>
    <w:p>
      <w:pPr>
        <w:numPr>
          <w:ilvl w:val="0"/>
          <w:numId w:val="4"/>
        </w:numPr>
        <w:adjustRightInd w:val="0"/>
        <w:spacing w:line="360" w:lineRule="auto"/>
        <w:ind w:firstLine="420" w:firstLineChars="200"/>
        <w:rPr>
          <w:color w:val="auto"/>
          <w:highlight w:val="none"/>
        </w:rPr>
      </w:pPr>
      <w:r>
        <w:rPr>
          <w:rFonts w:hint="eastAsia"/>
          <w:color w:val="auto"/>
          <w:highlight w:val="none"/>
        </w:rPr>
        <w:t>网络稳定的环境下，操作性界面单一操作的系统响应时间&lt;5秒。（5分）</w:t>
      </w:r>
    </w:p>
    <w:p>
      <w:pPr>
        <w:numPr>
          <w:ilvl w:val="0"/>
          <w:numId w:val="4"/>
        </w:numPr>
        <w:adjustRightInd w:val="0"/>
        <w:spacing w:line="360" w:lineRule="auto"/>
        <w:ind w:firstLine="420" w:firstLineChars="200"/>
        <w:rPr>
          <w:color w:val="auto"/>
          <w:highlight w:val="none"/>
        </w:rPr>
      </w:pPr>
      <w:r>
        <w:rPr>
          <w:rFonts w:hint="eastAsia"/>
          <w:color w:val="auto"/>
          <w:highlight w:val="none"/>
        </w:rPr>
        <w:t>统计、报表查询等响应时间&lt;4秒。（10分）</w:t>
      </w:r>
    </w:p>
    <w:p>
      <w:pPr>
        <w:numPr>
          <w:ilvl w:val="0"/>
          <w:numId w:val="4"/>
        </w:numPr>
        <w:adjustRightInd w:val="0"/>
        <w:spacing w:line="360" w:lineRule="auto"/>
        <w:ind w:firstLine="420" w:firstLineChars="200"/>
        <w:rPr>
          <w:color w:val="auto"/>
          <w:highlight w:val="none"/>
        </w:rPr>
      </w:pPr>
      <w:r>
        <w:rPr>
          <w:rFonts w:hint="eastAsia"/>
          <w:color w:val="auto"/>
          <w:highlight w:val="none"/>
        </w:rPr>
        <w:t>提供本地化服务，服务问题响应时间&lt;30分钟。（10分）</w:t>
      </w:r>
    </w:p>
    <w:p>
      <w:pPr>
        <w:numPr>
          <w:ilvl w:val="0"/>
          <w:numId w:val="4"/>
        </w:numPr>
        <w:adjustRightInd w:val="0"/>
        <w:spacing w:line="360" w:lineRule="auto"/>
        <w:ind w:firstLine="420" w:firstLineChars="200"/>
        <w:rPr>
          <w:color w:val="auto"/>
          <w:highlight w:val="none"/>
        </w:rPr>
      </w:pPr>
      <w:r>
        <w:rPr>
          <w:rFonts w:hint="eastAsia"/>
          <w:color w:val="auto"/>
          <w:highlight w:val="none"/>
        </w:rPr>
        <w:t>具备支持15000用户管理的能力。（10分）</w:t>
      </w:r>
    </w:p>
    <w:p>
      <w:pPr>
        <w:numPr>
          <w:ilvl w:val="0"/>
          <w:numId w:val="4"/>
        </w:numPr>
        <w:adjustRightInd w:val="0"/>
        <w:spacing w:line="360" w:lineRule="auto"/>
        <w:ind w:firstLine="420" w:firstLineChars="200"/>
        <w:rPr>
          <w:color w:val="auto"/>
          <w:highlight w:val="none"/>
        </w:rPr>
      </w:pPr>
      <w:r>
        <w:rPr>
          <w:rFonts w:hint="eastAsia"/>
          <w:color w:val="auto"/>
          <w:highlight w:val="none"/>
        </w:rPr>
        <w:t>具备支持1500人能同时访问系统且不崩溃，同时提交压力测试报告。（10分）</w:t>
      </w:r>
    </w:p>
    <w:p>
      <w:pPr>
        <w:numPr>
          <w:ilvl w:val="0"/>
          <w:numId w:val="4"/>
        </w:numPr>
        <w:adjustRightInd w:val="0"/>
        <w:spacing w:line="360" w:lineRule="auto"/>
        <w:ind w:firstLine="420" w:firstLineChars="200"/>
        <w:rPr>
          <w:color w:val="auto"/>
          <w:highlight w:val="none"/>
        </w:rPr>
      </w:pPr>
      <w:r>
        <w:rPr>
          <w:rFonts w:hint="eastAsia"/>
          <w:color w:val="auto"/>
          <w:highlight w:val="none"/>
        </w:rPr>
        <w:t>项目各系统间通信采用加密通信协议，并采用安全码、可变参数等方式加强数据安全验证。（10分）</w:t>
      </w:r>
    </w:p>
    <w:p>
      <w:pPr>
        <w:numPr>
          <w:ilvl w:val="0"/>
          <w:numId w:val="4"/>
        </w:numPr>
        <w:adjustRightInd w:val="0"/>
        <w:spacing w:line="360" w:lineRule="auto"/>
        <w:ind w:firstLine="420" w:firstLineChars="200"/>
        <w:rPr>
          <w:color w:val="auto"/>
          <w:highlight w:val="none"/>
        </w:rPr>
      </w:pPr>
      <w:r>
        <w:rPr>
          <w:rFonts w:hint="eastAsia"/>
          <w:color w:val="auto"/>
          <w:highlight w:val="none"/>
        </w:rPr>
        <w:t>系统PC端支持当前主流浏览器。（5分）</w:t>
      </w:r>
    </w:p>
    <w:p>
      <w:pPr>
        <w:numPr>
          <w:ilvl w:val="0"/>
          <w:numId w:val="4"/>
        </w:numPr>
        <w:adjustRightInd w:val="0"/>
        <w:spacing w:line="360" w:lineRule="auto"/>
        <w:ind w:firstLine="420" w:firstLineChars="200"/>
        <w:rPr>
          <w:color w:val="auto"/>
          <w:highlight w:val="none"/>
        </w:rPr>
      </w:pPr>
      <w:r>
        <w:rPr>
          <w:rFonts w:hint="eastAsia"/>
          <w:color w:val="auto"/>
          <w:highlight w:val="none"/>
        </w:rPr>
        <w:t>系统PC端系统在线编辑文档采用第三方插件，支持WPS。（5分）</w:t>
      </w:r>
    </w:p>
    <w:p>
      <w:pPr>
        <w:numPr>
          <w:ilvl w:val="0"/>
          <w:numId w:val="4"/>
        </w:numPr>
        <w:adjustRightInd w:val="0"/>
        <w:spacing w:line="360" w:lineRule="auto"/>
        <w:ind w:firstLine="560"/>
        <w:rPr>
          <w:color w:val="auto"/>
          <w:highlight w:val="none"/>
        </w:rPr>
      </w:pPr>
      <w:r>
        <w:rPr>
          <w:rFonts w:hint="eastAsia"/>
          <w:color w:val="auto"/>
          <w:highlight w:val="none"/>
        </w:rPr>
        <w:t>系统性能满足信息技术</w:t>
      </w:r>
      <w:r>
        <w:rPr>
          <w:color w:val="auto"/>
          <w:highlight w:val="none"/>
        </w:rPr>
        <w:t>创新</w:t>
      </w:r>
      <w:r>
        <w:rPr>
          <w:rFonts w:hint="eastAsia"/>
          <w:color w:val="auto"/>
          <w:highlight w:val="none"/>
        </w:rPr>
        <w:t>需求，适配国产主流基础软硬件，符合国家相关标准规范，</w:t>
      </w:r>
      <w:r>
        <w:rPr>
          <w:color w:val="auto"/>
          <w:highlight w:val="none"/>
        </w:rPr>
        <w:t>可</w:t>
      </w:r>
      <w:r>
        <w:rPr>
          <w:rFonts w:hint="eastAsia"/>
          <w:color w:val="auto"/>
          <w:highlight w:val="none"/>
        </w:rPr>
        <w:t>实现</w:t>
      </w:r>
      <w:r>
        <w:rPr>
          <w:color w:val="auto"/>
          <w:highlight w:val="none"/>
        </w:rPr>
        <w:t>无缝</w:t>
      </w:r>
      <w:r>
        <w:rPr>
          <w:rFonts w:hint="eastAsia"/>
          <w:color w:val="auto"/>
          <w:highlight w:val="none"/>
        </w:rPr>
        <w:t>对接（10分）。</w:t>
      </w:r>
    </w:p>
    <w:p>
      <w:pPr>
        <w:numPr>
          <w:ilvl w:val="0"/>
          <w:numId w:val="4"/>
        </w:numPr>
        <w:adjustRightInd w:val="0"/>
        <w:spacing w:line="360" w:lineRule="auto"/>
        <w:ind w:firstLine="560"/>
        <w:rPr>
          <w:color w:val="auto"/>
          <w:highlight w:val="none"/>
        </w:rPr>
      </w:pPr>
      <w:r>
        <w:rPr>
          <w:rFonts w:hint="eastAsia"/>
          <w:color w:val="auto"/>
          <w:highlight w:val="none"/>
        </w:rPr>
        <w:t>系统能通过第三方软件测试，</w:t>
      </w:r>
      <w:r>
        <w:rPr>
          <w:color w:val="auto"/>
          <w:highlight w:val="none"/>
        </w:rPr>
        <w:t>出具测评报告</w:t>
      </w:r>
      <w:r>
        <w:rPr>
          <w:rFonts w:hint="eastAsia"/>
          <w:color w:val="auto"/>
          <w:highlight w:val="none"/>
        </w:rPr>
        <w:t>。（10分）</w:t>
      </w:r>
    </w:p>
    <w:p>
      <w:pPr>
        <w:pStyle w:val="5"/>
        <w:numPr>
          <w:ilvl w:val="2"/>
          <w:numId w:val="1"/>
        </w:numPr>
        <w:rPr>
          <w:color w:val="auto"/>
          <w:highlight w:val="none"/>
        </w:rPr>
      </w:pPr>
      <w:bookmarkStart w:id="146" w:name="_Toc36475606"/>
      <w:bookmarkStart w:id="147" w:name="_Toc28069"/>
      <w:bookmarkStart w:id="148" w:name="_Toc11828"/>
      <w:r>
        <w:rPr>
          <w:rFonts w:hint="eastAsia"/>
          <w:color w:val="auto"/>
          <w:highlight w:val="none"/>
        </w:rPr>
        <w:t>安全指标</w:t>
      </w:r>
      <w:bookmarkEnd w:id="146"/>
      <w:bookmarkEnd w:id="147"/>
      <w:bookmarkEnd w:id="148"/>
      <w:r>
        <w:rPr>
          <w:rFonts w:hint="eastAsia"/>
          <w:color w:val="auto"/>
          <w:highlight w:val="none"/>
        </w:rPr>
        <w:t>（安全</w:t>
      </w:r>
      <w:r>
        <w:rPr>
          <w:color w:val="auto"/>
          <w:highlight w:val="none"/>
        </w:rPr>
        <w:t>指标</w:t>
      </w:r>
      <w:r>
        <w:rPr>
          <w:rFonts w:hint="eastAsia"/>
          <w:color w:val="auto"/>
          <w:highlight w:val="none"/>
        </w:rPr>
        <w:t>100分，占20</w:t>
      </w:r>
      <w:r>
        <w:rPr>
          <w:color w:val="auto"/>
          <w:highlight w:val="none"/>
        </w:rPr>
        <w:t>%权重</w:t>
      </w:r>
      <w:r>
        <w:rPr>
          <w:rFonts w:hint="eastAsia"/>
          <w:color w:val="auto"/>
          <w:highlight w:val="none"/>
        </w:rPr>
        <w:t>）</w:t>
      </w:r>
    </w:p>
    <w:p>
      <w:pPr>
        <w:pStyle w:val="2"/>
        <w:ind w:firstLine="420" w:firstLineChars="200"/>
        <w:rPr>
          <w:color w:val="auto"/>
          <w:sz w:val="21"/>
          <w:szCs w:val="21"/>
          <w:highlight w:val="none"/>
        </w:rPr>
      </w:pPr>
      <w:r>
        <w:rPr>
          <w:rFonts w:hint="eastAsia"/>
          <w:color w:val="auto"/>
          <w:sz w:val="21"/>
          <w:szCs w:val="21"/>
          <w:highlight w:val="none"/>
        </w:rPr>
        <w:t>系统部署在南宁市电子政务网络中心机房，部署在政府专网按安全等级保护第三级进行防护，部署在政务外网按安全等级保护第二级进行防护，保障应用系统的信息安全。系统在完成等保测评后提供等保测评报告（三级等保测评报告</w:t>
      </w:r>
      <w:r>
        <w:rPr>
          <w:color w:val="auto"/>
          <w:sz w:val="21"/>
          <w:szCs w:val="21"/>
          <w:highlight w:val="none"/>
        </w:rPr>
        <w:t>30</w:t>
      </w:r>
      <w:r>
        <w:rPr>
          <w:rFonts w:hint="eastAsia"/>
          <w:color w:val="auto"/>
          <w:sz w:val="21"/>
          <w:szCs w:val="21"/>
          <w:highlight w:val="none"/>
        </w:rPr>
        <w:t>分，二级等保测评报告</w:t>
      </w:r>
      <w:r>
        <w:rPr>
          <w:color w:val="auto"/>
          <w:sz w:val="21"/>
          <w:szCs w:val="21"/>
          <w:highlight w:val="none"/>
        </w:rPr>
        <w:t>20</w:t>
      </w:r>
      <w:r>
        <w:rPr>
          <w:rFonts w:hint="eastAsia"/>
          <w:color w:val="auto"/>
          <w:sz w:val="21"/>
          <w:szCs w:val="21"/>
          <w:highlight w:val="none"/>
        </w:rPr>
        <w:t>分）。主机（含主机操作系统）、存储、网络的安全由服务提供方负责（安全保障</w:t>
      </w:r>
      <w:r>
        <w:rPr>
          <w:color w:val="auto"/>
          <w:sz w:val="21"/>
          <w:szCs w:val="21"/>
          <w:highlight w:val="none"/>
        </w:rPr>
        <w:t>20</w:t>
      </w:r>
      <w:r>
        <w:rPr>
          <w:rFonts w:hint="eastAsia"/>
          <w:color w:val="auto"/>
          <w:sz w:val="21"/>
          <w:szCs w:val="21"/>
          <w:highlight w:val="none"/>
        </w:rPr>
        <w:t>分，服务期内系统运行正常，无安全事件发生30分）。</w:t>
      </w:r>
      <w:bookmarkStart w:id="149" w:name="_Toc5483"/>
      <w:bookmarkStart w:id="150" w:name="_Toc14704"/>
      <w:bookmarkStart w:id="151" w:name="_Toc28200"/>
      <w:bookmarkStart w:id="152" w:name="_Toc35367197"/>
      <w:bookmarkStart w:id="153" w:name="_Toc17039"/>
      <w:bookmarkStart w:id="154" w:name="_Toc18275"/>
    </w:p>
    <w:p>
      <w:pPr>
        <w:pStyle w:val="4"/>
        <w:numPr>
          <w:ilvl w:val="1"/>
          <w:numId w:val="1"/>
        </w:numPr>
        <w:rPr>
          <w:color w:val="auto"/>
          <w:highlight w:val="none"/>
        </w:rPr>
      </w:pPr>
      <w:bookmarkStart w:id="155" w:name="_Toc36475607"/>
      <w:bookmarkStart w:id="156" w:name="_Toc11034"/>
      <w:bookmarkStart w:id="157" w:name="_Toc25168"/>
      <w:r>
        <w:rPr>
          <w:rFonts w:hint="eastAsia"/>
          <w:color w:val="auto"/>
          <w:highlight w:val="none"/>
        </w:rPr>
        <w:t>考核方式</w:t>
      </w:r>
      <w:bookmarkEnd w:id="149"/>
      <w:bookmarkEnd w:id="150"/>
      <w:bookmarkEnd w:id="151"/>
      <w:bookmarkEnd w:id="152"/>
      <w:bookmarkEnd w:id="153"/>
      <w:bookmarkEnd w:id="154"/>
      <w:bookmarkEnd w:id="155"/>
      <w:bookmarkEnd w:id="156"/>
      <w:bookmarkEnd w:id="157"/>
    </w:p>
    <w:p>
      <w:pPr>
        <w:ind w:firstLine="560"/>
        <w:rPr>
          <w:color w:val="auto"/>
          <w:highlight w:val="none"/>
        </w:rPr>
      </w:pPr>
      <w:r>
        <w:rPr>
          <w:rFonts w:hint="eastAsia"/>
          <w:color w:val="auto"/>
          <w:highlight w:val="none"/>
        </w:rPr>
        <w:t>在考核前，服务承接人须提交关于系统功能指标、性能指标和</w:t>
      </w:r>
      <w:r>
        <w:rPr>
          <w:color w:val="auto"/>
          <w:highlight w:val="none"/>
        </w:rPr>
        <w:t>安全指标</w:t>
      </w:r>
      <w:r>
        <w:rPr>
          <w:rFonts w:hint="eastAsia"/>
          <w:color w:val="auto"/>
          <w:highlight w:val="none"/>
        </w:rPr>
        <w:t>的自评报告、系统使用情况意见（由使用单位提供）给购买主体。由购买主体组织成立项目验收小组，可由采购</w:t>
      </w:r>
      <w:r>
        <w:rPr>
          <w:color w:val="auto"/>
          <w:highlight w:val="none"/>
        </w:rPr>
        <w:t>主体、</w:t>
      </w:r>
      <w:r>
        <w:rPr>
          <w:rFonts w:hint="eastAsia"/>
          <w:color w:val="auto"/>
          <w:highlight w:val="none"/>
        </w:rPr>
        <w:t>监理</w:t>
      </w:r>
      <w:r>
        <w:rPr>
          <w:color w:val="auto"/>
          <w:highlight w:val="none"/>
        </w:rPr>
        <w:t>单位、</w:t>
      </w:r>
      <w:r>
        <w:rPr>
          <w:rFonts w:hint="eastAsia"/>
          <w:color w:val="auto"/>
          <w:highlight w:val="none"/>
        </w:rPr>
        <w:t>使用单位、专家组成。项目验收小组负责召开考核验收会，由专家组成员对自评报告进行审定并实地检查（采取审阅档案资料、查阅机构相关记录、现场考察、随机访问和服务对象抽取访问等方式），对服务承接人提供的服务采用百分制进行分级评分考核，服务项目的综合考核评估结果分2个等次，85分(含85分)以上为合格、85分以下为不合格。在考核评估结束后，向使用单位通报评估结果。</w:t>
      </w:r>
    </w:p>
    <w:p>
      <w:pPr>
        <w:ind w:firstLine="560"/>
        <w:rPr>
          <w:color w:val="auto"/>
          <w:highlight w:val="none"/>
        </w:rPr>
      </w:pPr>
      <w:r>
        <w:rPr>
          <w:rFonts w:hint="eastAsia"/>
          <w:color w:val="auto"/>
          <w:highlight w:val="none"/>
        </w:rPr>
        <w:t>计分方法：</w:t>
      </w:r>
    </w:p>
    <w:p>
      <w:pPr>
        <w:ind w:firstLine="560"/>
        <w:rPr>
          <w:color w:val="auto"/>
          <w:highlight w:val="none"/>
        </w:rPr>
      </w:pPr>
      <w:r>
        <w:rPr>
          <w:rFonts w:hint="eastAsia"/>
          <w:color w:val="auto"/>
          <w:highlight w:val="none"/>
        </w:rPr>
        <w:t>总分=</w:t>
      </w:r>
      <w:r>
        <w:rPr>
          <w:color w:val="auto"/>
          <w:highlight w:val="none"/>
        </w:rPr>
        <w:t>功能指标得分*40%+</w:t>
      </w:r>
      <w:r>
        <w:rPr>
          <w:rFonts w:hint="eastAsia"/>
          <w:color w:val="auto"/>
          <w:highlight w:val="none"/>
        </w:rPr>
        <w:t>性能指标</w:t>
      </w:r>
      <w:r>
        <w:rPr>
          <w:color w:val="auto"/>
          <w:highlight w:val="none"/>
        </w:rPr>
        <w:t>得分*40%+安全指标得分*20%</w:t>
      </w:r>
    </w:p>
    <w:p>
      <w:pPr>
        <w:ind w:firstLine="560"/>
        <w:rPr>
          <w:color w:val="auto"/>
          <w:highlight w:val="none"/>
        </w:rPr>
      </w:pPr>
      <w:r>
        <w:rPr>
          <w:rFonts w:hint="eastAsia"/>
          <w:color w:val="auto"/>
          <w:highlight w:val="none"/>
        </w:rPr>
        <w:t>考核评估结果为合格的，给予服务主体全额支付服务费用。考核评估结果不合格的，督促服务主体继续优化服务成果。</w:t>
      </w:r>
    </w:p>
    <w:p>
      <w:pPr>
        <w:ind w:firstLine="560"/>
        <w:rPr>
          <w:color w:val="auto"/>
          <w:highlight w:val="none"/>
        </w:rPr>
      </w:pPr>
    </w:p>
    <w:p>
      <w:pPr>
        <w:pStyle w:val="4"/>
        <w:numPr>
          <w:ilvl w:val="1"/>
          <w:numId w:val="1"/>
        </w:numPr>
        <w:rPr>
          <w:color w:val="auto"/>
          <w:highlight w:val="none"/>
        </w:rPr>
      </w:pPr>
      <w:bookmarkStart w:id="158" w:name="_Toc1398"/>
      <w:bookmarkStart w:id="159" w:name="_Toc35367198"/>
      <w:bookmarkStart w:id="160" w:name="_Toc18211"/>
      <w:bookmarkStart w:id="161" w:name="_Toc11522"/>
      <w:bookmarkStart w:id="162" w:name="_Toc7941"/>
      <w:bookmarkStart w:id="163" w:name="_Toc1500"/>
      <w:bookmarkStart w:id="164" w:name="_Toc19291"/>
      <w:bookmarkStart w:id="165" w:name="_Toc36475608"/>
      <w:bookmarkStart w:id="166" w:name="_Toc23108"/>
      <w:r>
        <w:rPr>
          <w:rFonts w:hint="eastAsia"/>
          <w:color w:val="auto"/>
          <w:highlight w:val="none"/>
        </w:rPr>
        <w:t>考核人员</w:t>
      </w:r>
      <w:bookmarkEnd w:id="158"/>
      <w:bookmarkEnd w:id="159"/>
      <w:bookmarkEnd w:id="160"/>
      <w:bookmarkEnd w:id="161"/>
      <w:bookmarkEnd w:id="162"/>
      <w:bookmarkEnd w:id="163"/>
      <w:bookmarkEnd w:id="164"/>
      <w:bookmarkEnd w:id="165"/>
      <w:bookmarkEnd w:id="166"/>
    </w:p>
    <w:tbl>
      <w:tblPr>
        <w:tblStyle w:val="36"/>
        <w:tblW w:w="88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0"/>
        <w:gridCol w:w="1466"/>
        <w:gridCol w:w="2233"/>
        <w:gridCol w:w="2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320" w:type="dxa"/>
            <w:vAlign w:val="center"/>
          </w:tcPr>
          <w:p>
            <w:pPr>
              <w:pStyle w:val="114"/>
              <w:spacing w:after="78"/>
              <w:ind w:firstLine="0" w:firstLineChars="0"/>
              <w:jc w:val="center"/>
              <w:rPr>
                <w:rFonts w:eastAsia="宋体" w:cs="宋体"/>
                <w:b/>
                <w:bCs/>
                <w:color w:val="auto"/>
                <w:sz w:val="21"/>
                <w:szCs w:val="21"/>
                <w:highlight w:val="none"/>
              </w:rPr>
            </w:pPr>
            <w:bookmarkStart w:id="167" w:name="_Toc23289"/>
            <w:bookmarkStart w:id="168" w:name="_Toc30533"/>
            <w:bookmarkStart w:id="169" w:name="_Toc15630"/>
            <w:bookmarkStart w:id="170" w:name="_Toc18473"/>
            <w:bookmarkStart w:id="171" w:name="_Toc13604"/>
            <w:r>
              <w:rPr>
                <w:rFonts w:hint="eastAsia" w:eastAsia="宋体" w:cs="宋体"/>
                <w:b/>
                <w:bCs/>
                <w:color w:val="auto"/>
                <w:sz w:val="21"/>
                <w:szCs w:val="21"/>
                <w:highlight w:val="none"/>
              </w:rPr>
              <w:t>分组</w:t>
            </w:r>
            <w:bookmarkEnd w:id="167"/>
            <w:bookmarkEnd w:id="168"/>
            <w:bookmarkEnd w:id="169"/>
            <w:bookmarkEnd w:id="170"/>
            <w:bookmarkEnd w:id="171"/>
          </w:p>
        </w:tc>
        <w:tc>
          <w:tcPr>
            <w:tcW w:w="1466" w:type="dxa"/>
            <w:vAlign w:val="center"/>
          </w:tcPr>
          <w:p>
            <w:pPr>
              <w:pStyle w:val="114"/>
              <w:spacing w:after="78"/>
              <w:ind w:firstLine="0" w:firstLineChars="0"/>
              <w:jc w:val="center"/>
              <w:rPr>
                <w:rFonts w:eastAsia="宋体" w:cs="宋体"/>
                <w:b/>
                <w:bCs/>
                <w:color w:val="auto"/>
                <w:sz w:val="21"/>
                <w:szCs w:val="21"/>
                <w:highlight w:val="none"/>
              </w:rPr>
            </w:pPr>
            <w:bookmarkStart w:id="172" w:name="_Toc8279"/>
            <w:bookmarkStart w:id="173" w:name="_Toc32032"/>
            <w:bookmarkStart w:id="174" w:name="_Toc774"/>
            <w:bookmarkStart w:id="175" w:name="_Toc31097"/>
            <w:bookmarkStart w:id="176" w:name="_Toc21151"/>
            <w:r>
              <w:rPr>
                <w:rFonts w:hint="eastAsia" w:eastAsia="宋体" w:cs="宋体"/>
                <w:b/>
                <w:bCs/>
                <w:color w:val="auto"/>
                <w:sz w:val="21"/>
                <w:szCs w:val="21"/>
                <w:highlight w:val="none"/>
              </w:rPr>
              <w:t>姓名</w:t>
            </w:r>
            <w:bookmarkEnd w:id="172"/>
            <w:bookmarkEnd w:id="173"/>
            <w:bookmarkEnd w:id="174"/>
            <w:bookmarkEnd w:id="175"/>
            <w:bookmarkEnd w:id="176"/>
          </w:p>
        </w:tc>
        <w:tc>
          <w:tcPr>
            <w:tcW w:w="2233" w:type="dxa"/>
            <w:vAlign w:val="center"/>
          </w:tcPr>
          <w:p>
            <w:pPr>
              <w:pStyle w:val="114"/>
              <w:spacing w:after="78"/>
              <w:ind w:firstLine="0" w:firstLineChars="0"/>
              <w:jc w:val="center"/>
              <w:rPr>
                <w:rFonts w:eastAsia="宋体" w:cs="宋体"/>
                <w:b/>
                <w:bCs/>
                <w:color w:val="auto"/>
                <w:sz w:val="21"/>
                <w:szCs w:val="21"/>
                <w:highlight w:val="none"/>
              </w:rPr>
            </w:pPr>
            <w:bookmarkStart w:id="177" w:name="_Toc9780"/>
            <w:bookmarkStart w:id="178" w:name="_Toc9058"/>
            <w:bookmarkStart w:id="179" w:name="_Toc5659"/>
            <w:bookmarkStart w:id="180" w:name="_Toc7482"/>
            <w:bookmarkStart w:id="181" w:name="_Toc13457"/>
            <w:r>
              <w:rPr>
                <w:rFonts w:hint="eastAsia" w:eastAsia="宋体" w:cs="宋体"/>
                <w:b/>
                <w:bCs/>
                <w:color w:val="auto"/>
                <w:sz w:val="21"/>
                <w:szCs w:val="21"/>
                <w:highlight w:val="none"/>
              </w:rPr>
              <w:t>职位、职称</w:t>
            </w:r>
            <w:bookmarkEnd w:id="177"/>
            <w:bookmarkEnd w:id="178"/>
            <w:bookmarkEnd w:id="179"/>
            <w:bookmarkEnd w:id="180"/>
            <w:bookmarkEnd w:id="181"/>
          </w:p>
        </w:tc>
        <w:tc>
          <w:tcPr>
            <w:tcW w:w="2834" w:type="dxa"/>
            <w:vAlign w:val="center"/>
          </w:tcPr>
          <w:p>
            <w:pPr>
              <w:pStyle w:val="114"/>
              <w:spacing w:after="78"/>
              <w:ind w:firstLine="0" w:firstLineChars="0"/>
              <w:jc w:val="center"/>
              <w:rPr>
                <w:rFonts w:eastAsia="宋体" w:cs="宋体"/>
                <w:b/>
                <w:bCs/>
                <w:color w:val="auto"/>
                <w:sz w:val="21"/>
                <w:szCs w:val="21"/>
                <w:highlight w:val="none"/>
              </w:rPr>
            </w:pPr>
            <w:bookmarkStart w:id="182" w:name="_Toc30532"/>
            <w:bookmarkStart w:id="183" w:name="_Toc3111"/>
            <w:bookmarkStart w:id="184" w:name="_Toc479"/>
            <w:bookmarkStart w:id="185" w:name="_Toc29587"/>
            <w:bookmarkStart w:id="186" w:name="_Toc338"/>
            <w:r>
              <w:rPr>
                <w:rFonts w:hint="eastAsia" w:eastAsia="宋体" w:cs="宋体"/>
                <w:b/>
                <w:bCs/>
                <w:color w:val="auto"/>
                <w:sz w:val="21"/>
                <w:szCs w:val="21"/>
                <w:highlight w:val="none"/>
              </w:rPr>
              <w:t>职责</w:t>
            </w:r>
            <w:bookmarkEnd w:id="182"/>
            <w:bookmarkEnd w:id="183"/>
            <w:bookmarkEnd w:id="184"/>
            <w:bookmarkEnd w:id="185"/>
            <w:bookmarkEnd w:id="18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0" w:type="dxa"/>
            <w:vMerge w:val="restart"/>
            <w:vAlign w:val="center"/>
          </w:tcPr>
          <w:p>
            <w:pPr>
              <w:pStyle w:val="114"/>
              <w:spacing w:after="78"/>
              <w:ind w:firstLine="0" w:firstLineChars="0"/>
              <w:jc w:val="center"/>
              <w:rPr>
                <w:rFonts w:eastAsia="宋体" w:cs="宋体"/>
                <w:color w:val="auto"/>
                <w:sz w:val="21"/>
                <w:szCs w:val="21"/>
                <w:highlight w:val="none"/>
              </w:rPr>
            </w:pPr>
            <w:bookmarkStart w:id="187" w:name="_Toc27925"/>
            <w:bookmarkStart w:id="188" w:name="_Toc8347"/>
            <w:bookmarkStart w:id="189" w:name="_Toc4178"/>
            <w:bookmarkStart w:id="190" w:name="_Toc18536"/>
            <w:bookmarkStart w:id="191" w:name="_Toc25001"/>
            <w:r>
              <w:rPr>
                <w:rFonts w:hint="eastAsia" w:eastAsia="宋体" w:cs="宋体"/>
                <w:color w:val="auto"/>
                <w:sz w:val="21"/>
                <w:szCs w:val="21"/>
                <w:highlight w:val="none"/>
              </w:rPr>
              <w:t>考核专家组</w:t>
            </w:r>
            <w:bookmarkEnd w:id="187"/>
            <w:bookmarkEnd w:id="188"/>
            <w:bookmarkEnd w:id="189"/>
            <w:bookmarkEnd w:id="190"/>
            <w:bookmarkEnd w:id="191"/>
          </w:p>
        </w:tc>
        <w:tc>
          <w:tcPr>
            <w:tcW w:w="1466" w:type="dxa"/>
            <w:vAlign w:val="center"/>
          </w:tcPr>
          <w:p>
            <w:pPr>
              <w:pStyle w:val="114"/>
              <w:spacing w:after="78"/>
              <w:ind w:firstLine="0" w:firstLineChars="0"/>
              <w:jc w:val="center"/>
              <w:rPr>
                <w:rFonts w:eastAsia="宋体" w:cs="宋体"/>
                <w:color w:val="auto"/>
                <w:sz w:val="21"/>
                <w:szCs w:val="21"/>
                <w:highlight w:val="none"/>
              </w:rPr>
            </w:pPr>
          </w:p>
        </w:tc>
        <w:tc>
          <w:tcPr>
            <w:tcW w:w="2233" w:type="dxa"/>
            <w:vAlign w:val="center"/>
          </w:tcPr>
          <w:p>
            <w:pPr>
              <w:pStyle w:val="114"/>
              <w:spacing w:after="78"/>
              <w:ind w:firstLine="0" w:firstLineChars="0"/>
              <w:jc w:val="center"/>
              <w:rPr>
                <w:rFonts w:eastAsia="宋体" w:cs="宋体"/>
                <w:color w:val="auto"/>
                <w:sz w:val="21"/>
                <w:szCs w:val="21"/>
                <w:highlight w:val="none"/>
              </w:rPr>
            </w:pPr>
          </w:p>
        </w:tc>
        <w:tc>
          <w:tcPr>
            <w:tcW w:w="2834" w:type="dxa"/>
            <w:vMerge w:val="restart"/>
            <w:vAlign w:val="center"/>
          </w:tcPr>
          <w:p>
            <w:pPr>
              <w:pStyle w:val="114"/>
              <w:spacing w:after="78"/>
              <w:ind w:firstLine="0" w:firstLineChars="0"/>
              <w:jc w:val="center"/>
              <w:rPr>
                <w:rFonts w:eastAsia="宋体" w:cs="宋体"/>
                <w:color w:val="auto"/>
                <w:sz w:val="21"/>
                <w:szCs w:val="21"/>
                <w:highlight w:val="none"/>
              </w:rPr>
            </w:pPr>
            <w:bookmarkStart w:id="192" w:name="_Toc11457"/>
            <w:bookmarkStart w:id="193" w:name="_Toc10873"/>
            <w:bookmarkStart w:id="194" w:name="_Toc21955"/>
            <w:bookmarkStart w:id="195" w:name="_Toc13142"/>
            <w:bookmarkStart w:id="196" w:name="_Toc31622"/>
            <w:r>
              <w:rPr>
                <w:rFonts w:hint="eastAsia" w:eastAsia="宋体" w:cs="宋体"/>
                <w:color w:val="auto"/>
                <w:sz w:val="21"/>
                <w:szCs w:val="21"/>
                <w:highlight w:val="none"/>
              </w:rPr>
              <w:t>负责专项考核工作</w:t>
            </w:r>
            <w:bookmarkEnd w:id="192"/>
            <w:bookmarkEnd w:id="193"/>
            <w:bookmarkEnd w:id="194"/>
            <w:bookmarkEnd w:id="195"/>
            <w:bookmarkEnd w:id="19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0" w:type="dxa"/>
            <w:vMerge w:val="continue"/>
            <w:vAlign w:val="center"/>
          </w:tcPr>
          <w:p>
            <w:pPr>
              <w:pStyle w:val="114"/>
              <w:spacing w:after="78"/>
              <w:ind w:firstLine="0" w:firstLineChars="0"/>
              <w:jc w:val="center"/>
              <w:rPr>
                <w:rFonts w:eastAsia="宋体" w:cs="宋体"/>
                <w:color w:val="auto"/>
                <w:sz w:val="21"/>
                <w:szCs w:val="21"/>
                <w:highlight w:val="none"/>
              </w:rPr>
            </w:pPr>
          </w:p>
        </w:tc>
        <w:tc>
          <w:tcPr>
            <w:tcW w:w="1466" w:type="dxa"/>
            <w:vAlign w:val="center"/>
          </w:tcPr>
          <w:p>
            <w:pPr>
              <w:pStyle w:val="114"/>
              <w:spacing w:after="78"/>
              <w:ind w:firstLine="0" w:firstLineChars="0"/>
              <w:jc w:val="center"/>
              <w:rPr>
                <w:rFonts w:eastAsia="宋体" w:cs="宋体"/>
                <w:color w:val="auto"/>
                <w:sz w:val="21"/>
                <w:szCs w:val="21"/>
                <w:highlight w:val="none"/>
              </w:rPr>
            </w:pPr>
          </w:p>
        </w:tc>
        <w:tc>
          <w:tcPr>
            <w:tcW w:w="2233" w:type="dxa"/>
            <w:vAlign w:val="center"/>
          </w:tcPr>
          <w:p>
            <w:pPr>
              <w:pStyle w:val="114"/>
              <w:spacing w:after="78"/>
              <w:ind w:firstLine="0" w:firstLineChars="0"/>
              <w:jc w:val="center"/>
              <w:rPr>
                <w:rFonts w:eastAsia="宋体" w:cs="宋体"/>
                <w:color w:val="auto"/>
                <w:sz w:val="21"/>
                <w:szCs w:val="21"/>
                <w:highlight w:val="none"/>
              </w:rPr>
            </w:pPr>
          </w:p>
        </w:tc>
        <w:tc>
          <w:tcPr>
            <w:tcW w:w="2834" w:type="dxa"/>
            <w:vMerge w:val="continue"/>
            <w:vAlign w:val="center"/>
          </w:tcPr>
          <w:p>
            <w:pPr>
              <w:pStyle w:val="114"/>
              <w:spacing w:after="78"/>
              <w:ind w:firstLine="0" w:firstLineChars="0"/>
              <w:jc w:val="center"/>
              <w:rPr>
                <w:rFonts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0" w:type="dxa"/>
            <w:vMerge w:val="restart"/>
            <w:vAlign w:val="center"/>
          </w:tcPr>
          <w:p>
            <w:pPr>
              <w:pStyle w:val="114"/>
              <w:spacing w:after="78"/>
              <w:ind w:firstLine="0" w:firstLineChars="0"/>
              <w:jc w:val="center"/>
              <w:rPr>
                <w:rFonts w:eastAsia="宋体" w:cs="宋体"/>
                <w:color w:val="auto"/>
                <w:sz w:val="21"/>
                <w:szCs w:val="21"/>
                <w:highlight w:val="none"/>
              </w:rPr>
            </w:pPr>
            <w:bookmarkStart w:id="197" w:name="_Toc32267"/>
            <w:bookmarkStart w:id="198" w:name="_Toc20084"/>
            <w:r>
              <w:rPr>
                <w:rFonts w:hint="eastAsia" w:eastAsia="宋体" w:cs="宋体"/>
                <w:color w:val="auto"/>
                <w:sz w:val="21"/>
                <w:szCs w:val="21"/>
                <w:highlight w:val="none"/>
              </w:rPr>
              <w:t>购买主体</w:t>
            </w:r>
            <w:bookmarkEnd w:id="197"/>
            <w:bookmarkEnd w:id="198"/>
          </w:p>
        </w:tc>
        <w:tc>
          <w:tcPr>
            <w:tcW w:w="1466" w:type="dxa"/>
            <w:vAlign w:val="center"/>
          </w:tcPr>
          <w:p>
            <w:pPr>
              <w:pStyle w:val="114"/>
              <w:spacing w:after="78"/>
              <w:ind w:firstLine="0" w:firstLineChars="0"/>
              <w:jc w:val="center"/>
              <w:rPr>
                <w:rFonts w:eastAsia="宋体" w:cs="宋体"/>
                <w:color w:val="auto"/>
                <w:sz w:val="21"/>
                <w:szCs w:val="21"/>
                <w:highlight w:val="none"/>
              </w:rPr>
            </w:pPr>
          </w:p>
        </w:tc>
        <w:tc>
          <w:tcPr>
            <w:tcW w:w="2233" w:type="dxa"/>
            <w:vAlign w:val="center"/>
          </w:tcPr>
          <w:p>
            <w:pPr>
              <w:pStyle w:val="114"/>
              <w:spacing w:after="78"/>
              <w:ind w:firstLine="0" w:firstLineChars="0"/>
              <w:jc w:val="center"/>
              <w:rPr>
                <w:rFonts w:eastAsia="宋体" w:cs="宋体"/>
                <w:color w:val="auto"/>
                <w:sz w:val="21"/>
                <w:szCs w:val="21"/>
                <w:highlight w:val="none"/>
              </w:rPr>
            </w:pPr>
          </w:p>
        </w:tc>
        <w:tc>
          <w:tcPr>
            <w:tcW w:w="2834" w:type="dxa"/>
            <w:vMerge w:val="restart"/>
            <w:vAlign w:val="center"/>
          </w:tcPr>
          <w:p>
            <w:pPr>
              <w:pStyle w:val="114"/>
              <w:spacing w:after="78"/>
              <w:ind w:firstLine="0" w:firstLineChars="0"/>
              <w:jc w:val="center"/>
              <w:rPr>
                <w:rFonts w:eastAsia="宋体" w:cs="宋体"/>
                <w:color w:val="auto"/>
                <w:sz w:val="21"/>
                <w:szCs w:val="21"/>
                <w:highlight w:val="none"/>
              </w:rPr>
            </w:pPr>
            <w:bookmarkStart w:id="199" w:name="_Toc26712"/>
            <w:bookmarkStart w:id="200" w:name="_Toc32181"/>
            <w:bookmarkStart w:id="201" w:name="_Toc29962"/>
            <w:bookmarkStart w:id="202" w:name="_Toc14104"/>
            <w:bookmarkStart w:id="203" w:name="_Toc23712"/>
            <w:r>
              <w:rPr>
                <w:rFonts w:hint="eastAsia" w:eastAsia="宋体" w:cs="宋体"/>
                <w:color w:val="auto"/>
                <w:sz w:val="21"/>
                <w:szCs w:val="21"/>
                <w:highlight w:val="none"/>
              </w:rPr>
              <w:t>负责全面工作</w:t>
            </w:r>
            <w:bookmarkEnd w:id="199"/>
            <w:bookmarkEnd w:id="200"/>
            <w:bookmarkEnd w:id="201"/>
            <w:bookmarkEnd w:id="202"/>
            <w:bookmarkEnd w:id="20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0" w:type="dxa"/>
            <w:vMerge w:val="continue"/>
            <w:vAlign w:val="center"/>
          </w:tcPr>
          <w:p>
            <w:pPr>
              <w:pStyle w:val="114"/>
              <w:spacing w:after="78"/>
              <w:ind w:firstLine="0" w:firstLineChars="0"/>
              <w:jc w:val="center"/>
              <w:rPr>
                <w:rFonts w:eastAsia="宋体" w:cs="宋体"/>
                <w:color w:val="auto"/>
                <w:sz w:val="21"/>
                <w:szCs w:val="21"/>
                <w:highlight w:val="none"/>
              </w:rPr>
            </w:pPr>
          </w:p>
        </w:tc>
        <w:tc>
          <w:tcPr>
            <w:tcW w:w="1466" w:type="dxa"/>
            <w:vAlign w:val="center"/>
          </w:tcPr>
          <w:p>
            <w:pPr>
              <w:pStyle w:val="114"/>
              <w:spacing w:after="78"/>
              <w:ind w:firstLine="0" w:firstLineChars="0"/>
              <w:jc w:val="center"/>
              <w:rPr>
                <w:rFonts w:eastAsia="宋体" w:cs="宋体"/>
                <w:color w:val="auto"/>
                <w:sz w:val="21"/>
                <w:szCs w:val="21"/>
                <w:highlight w:val="none"/>
              </w:rPr>
            </w:pPr>
          </w:p>
        </w:tc>
        <w:tc>
          <w:tcPr>
            <w:tcW w:w="2233" w:type="dxa"/>
            <w:vAlign w:val="center"/>
          </w:tcPr>
          <w:p>
            <w:pPr>
              <w:pStyle w:val="114"/>
              <w:spacing w:after="78"/>
              <w:ind w:firstLine="0" w:firstLineChars="0"/>
              <w:jc w:val="center"/>
              <w:rPr>
                <w:rFonts w:eastAsia="宋体" w:cs="宋体"/>
                <w:color w:val="auto"/>
                <w:sz w:val="21"/>
                <w:szCs w:val="21"/>
                <w:highlight w:val="none"/>
              </w:rPr>
            </w:pPr>
          </w:p>
        </w:tc>
        <w:tc>
          <w:tcPr>
            <w:tcW w:w="2834" w:type="dxa"/>
            <w:vMerge w:val="continue"/>
            <w:vAlign w:val="center"/>
          </w:tcPr>
          <w:p>
            <w:pPr>
              <w:pStyle w:val="114"/>
              <w:spacing w:after="78"/>
              <w:ind w:firstLine="0" w:firstLineChars="0"/>
              <w:jc w:val="center"/>
              <w:rPr>
                <w:rFonts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0" w:type="dxa"/>
            <w:vAlign w:val="center"/>
          </w:tcPr>
          <w:p>
            <w:pPr>
              <w:pStyle w:val="114"/>
              <w:spacing w:after="78"/>
              <w:ind w:firstLine="0" w:firstLineChars="0"/>
              <w:jc w:val="center"/>
              <w:rPr>
                <w:rFonts w:eastAsia="宋体" w:cs="宋体"/>
                <w:color w:val="auto"/>
                <w:sz w:val="21"/>
                <w:szCs w:val="21"/>
                <w:highlight w:val="none"/>
              </w:rPr>
            </w:pPr>
            <w:bookmarkStart w:id="204" w:name="_Toc26998"/>
            <w:bookmarkStart w:id="205" w:name="_Toc8506"/>
            <w:r>
              <w:rPr>
                <w:rFonts w:hint="eastAsia" w:eastAsia="宋体" w:cs="宋体"/>
                <w:color w:val="auto"/>
                <w:sz w:val="21"/>
                <w:szCs w:val="21"/>
                <w:highlight w:val="none"/>
              </w:rPr>
              <w:t>监理</w:t>
            </w:r>
            <w:r>
              <w:rPr>
                <w:rFonts w:eastAsia="宋体" w:cs="宋体"/>
                <w:color w:val="auto"/>
                <w:sz w:val="21"/>
                <w:szCs w:val="21"/>
                <w:highlight w:val="none"/>
              </w:rPr>
              <w:t>单位</w:t>
            </w:r>
            <w:bookmarkEnd w:id="204"/>
            <w:bookmarkEnd w:id="205"/>
          </w:p>
        </w:tc>
        <w:tc>
          <w:tcPr>
            <w:tcW w:w="1466" w:type="dxa"/>
            <w:vAlign w:val="center"/>
          </w:tcPr>
          <w:p>
            <w:pPr>
              <w:pStyle w:val="114"/>
              <w:spacing w:after="78"/>
              <w:ind w:firstLine="0" w:firstLineChars="0"/>
              <w:jc w:val="center"/>
              <w:rPr>
                <w:rFonts w:eastAsia="宋体" w:cs="宋体"/>
                <w:color w:val="auto"/>
                <w:sz w:val="21"/>
                <w:szCs w:val="21"/>
                <w:highlight w:val="none"/>
              </w:rPr>
            </w:pPr>
          </w:p>
        </w:tc>
        <w:tc>
          <w:tcPr>
            <w:tcW w:w="2233" w:type="dxa"/>
            <w:vAlign w:val="center"/>
          </w:tcPr>
          <w:p>
            <w:pPr>
              <w:pStyle w:val="114"/>
              <w:spacing w:after="78"/>
              <w:ind w:firstLine="0" w:firstLineChars="0"/>
              <w:jc w:val="center"/>
              <w:rPr>
                <w:rFonts w:eastAsia="宋体" w:cs="宋体"/>
                <w:color w:val="auto"/>
                <w:sz w:val="21"/>
                <w:szCs w:val="21"/>
                <w:highlight w:val="none"/>
              </w:rPr>
            </w:pPr>
          </w:p>
        </w:tc>
        <w:tc>
          <w:tcPr>
            <w:tcW w:w="2834" w:type="dxa"/>
            <w:vAlign w:val="center"/>
          </w:tcPr>
          <w:p>
            <w:pPr>
              <w:pStyle w:val="114"/>
              <w:spacing w:after="78"/>
              <w:ind w:firstLine="0" w:firstLineChars="0"/>
              <w:jc w:val="center"/>
              <w:rPr>
                <w:rFonts w:eastAsia="宋体" w:cs="宋体"/>
                <w:color w:val="auto"/>
                <w:sz w:val="21"/>
                <w:szCs w:val="21"/>
                <w:highlight w:val="none"/>
              </w:rPr>
            </w:pPr>
            <w:bookmarkStart w:id="206" w:name="_Toc27470"/>
            <w:bookmarkStart w:id="207" w:name="_Toc10666"/>
            <w:r>
              <w:rPr>
                <w:rFonts w:hint="eastAsia" w:eastAsia="宋体" w:cs="宋体"/>
                <w:color w:val="auto"/>
                <w:sz w:val="21"/>
                <w:szCs w:val="21"/>
                <w:highlight w:val="none"/>
              </w:rPr>
              <w:t>协助</w:t>
            </w:r>
            <w:r>
              <w:rPr>
                <w:rFonts w:eastAsia="宋体" w:cs="宋体"/>
                <w:color w:val="auto"/>
                <w:sz w:val="21"/>
                <w:szCs w:val="21"/>
                <w:highlight w:val="none"/>
              </w:rPr>
              <w:t>购买主体进行考核</w:t>
            </w:r>
            <w:bookmarkEnd w:id="206"/>
            <w:bookmarkEnd w:id="20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0" w:type="dxa"/>
            <w:vMerge w:val="restart"/>
            <w:vAlign w:val="center"/>
          </w:tcPr>
          <w:p>
            <w:pPr>
              <w:pStyle w:val="114"/>
              <w:spacing w:after="78"/>
              <w:ind w:firstLine="0" w:firstLineChars="0"/>
              <w:jc w:val="center"/>
              <w:rPr>
                <w:rFonts w:eastAsia="宋体" w:cs="宋体"/>
                <w:color w:val="auto"/>
                <w:sz w:val="21"/>
                <w:szCs w:val="21"/>
                <w:highlight w:val="none"/>
              </w:rPr>
            </w:pPr>
            <w:bookmarkStart w:id="208" w:name="_Toc3364"/>
            <w:bookmarkStart w:id="209" w:name="_Toc8374"/>
            <w:bookmarkStart w:id="210" w:name="_Toc7606"/>
            <w:bookmarkStart w:id="211" w:name="_Toc23193"/>
            <w:bookmarkStart w:id="212" w:name="_Toc20115"/>
            <w:r>
              <w:rPr>
                <w:rFonts w:hint="eastAsia" w:eastAsia="宋体" w:cs="宋体"/>
                <w:color w:val="auto"/>
                <w:sz w:val="21"/>
                <w:szCs w:val="21"/>
                <w:highlight w:val="none"/>
              </w:rPr>
              <w:t>使用单位代表</w:t>
            </w:r>
            <w:bookmarkEnd w:id="208"/>
            <w:bookmarkEnd w:id="209"/>
            <w:bookmarkEnd w:id="210"/>
            <w:bookmarkEnd w:id="211"/>
            <w:bookmarkEnd w:id="212"/>
          </w:p>
        </w:tc>
        <w:tc>
          <w:tcPr>
            <w:tcW w:w="1466" w:type="dxa"/>
            <w:vAlign w:val="center"/>
          </w:tcPr>
          <w:p>
            <w:pPr>
              <w:pStyle w:val="114"/>
              <w:spacing w:after="78"/>
              <w:ind w:firstLine="0" w:firstLineChars="0"/>
              <w:jc w:val="center"/>
              <w:rPr>
                <w:rFonts w:eastAsia="宋体" w:cs="宋体"/>
                <w:color w:val="auto"/>
                <w:sz w:val="21"/>
                <w:szCs w:val="21"/>
                <w:highlight w:val="none"/>
              </w:rPr>
            </w:pPr>
          </w:p>
        </w:tc>
        <w:tc>
          <w:tcPr>
            <w:tcW w:w="2233" w:type="dxa"/>
            <w:vAlign w:val="center"/>
          </w:tcPr>
          <w:p>
            <w:pPr>
              <w:pStyle w:val="114"/>
              <w:spacing w:after="78"/>
              <w:ind w:firstLine="0" w:firstLineChars="0"/>
              <w:jc w:val="center"/>
              <w:rPr>
                <w:rFonts w:eastAsia="宋体" w:cs="宋体"/>
                <w:color w:val="auto"/>
                <w:sz w:val="21"/>
                <w:szCs w:val="21"/>
                <w:highlight w:val="none"/>
              </w:rPr>
            </w:pPr>
          </w:p>
        </w:tc>
        <w:tc>
          <w:tcPr>
            <w:tcW w:w="2834" w:type="dxa"/>
            <w:vMerge w:val="restart"/>
            <w:vAlign w:val="center"/>
          </w:tcPr>
          <w:p>
            <w:pPr>
              <w:pStyle w:val="114"/>
              <w:spacing w:after="78"/>
              <w:ind w:firstLine="0" w:firstLineChars="0"/>
              <w:jc w:val="center"/>
              <w:rPr>
                <w:rFonts w:eastAsia="宋体" w:cs="宋体"/>
                <w:color w:val="auto"/>
                <w:sz w:val="21"/>
                <w:szCs w:val="21"/>
                <w:highlight w:val="none"/>
              </w:rPr>
            </w:pPr>
            <w:bookmarkStart w:id="213" w:name="_Toc31179"/>
            <w:bookmarkStart w:id="214" w:name="_Toc9368"/>
            <w:bookmarkStart w:id="215" w:name="_Toc1604"/>
            <w:bookmarkStart w:id="216" w:name="_Toc24249"/>
            <w:bookmarkStart w:id="217" w:name="_Toc24167"/>
            <w:r>
              <w:rPr>
                <w:rFonts w:hint="eastAsia" w:eastAsia="宋体" w:cs="宋体"/>
                <w:color w:val="auto"/>
                <w:sz w:val="21"/>
                <w:szCs w:val="21"/>
                <w:highlight w:val="none"/>
              </w:rPr>
              <w:t>负责提出意见</w:t>
            </w:r>
            <w:bookmarkEnd w:id="213"/>
            <w:bookmarkEnd w:id="214"/>
            <w:bookmarkEnd w:id="215"/>
            <w:bookmarkEnd w:id="216"/>
            <w:bookmarkEnd w:id="2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0" w:type="dxa"/>
            <w:vMerge w:val="continue"/>
            <w:vAlign w:val="center"/>
          </w:tcPr>
          <w:p>
            <w:pPr>
              <w:pStyle w:val="114"/>
              <w:spacing w:after="78"/>
              <w:ind w:firstLine="0" w:firstLineChars="0"/>
              <w:jc w:val="center"/>
              <w:rPr>
                <w:rFonts w:eastAsia="宋体" w:cs="宋体"/>
                <w:color w:val="auto"/>
                <w:sz w:val="21"/>
                <w:szCs w:val="21"/>
                <w:highlight w:val="none"/>
              </w:rPr>
            </w:pPr>
          </w:p>
        </w:tc>
        <w:tc>
          <w:tcPr>
            <w:tcW w:w="1466" w:type="dxa"/>
            <w:vAlign w:val="center"/>
          </w:tcPr>
          <w:p>
            <w:pPr>
              <w:pStyle w:val="114"/>
              <w:spacing w:after="78"/>
              <w:ind w:firstLine="0" w:firstLineChars="0"/>
              <w:jc w:val="center"/>
              <w:rPr>
                <w:rFonts w:eastAsia="宋体" w:cs="宋体"/>
                <w:color w:val="auto"/>
                <w:sz w:val="21"/>
                <w:szCs w:val="21"/>
                <w:highlight w:val="none"/>
              </w:rPr>
            </w:pPr>
          </w:p>
        </w:tc>
        <w:tc>
          <w:tcPr>
            <w:tcW w:w="2233" w:type="dxa"/>
            <w:vAlign w:val="center"/>
          </w:tcPr>
          <w:p>
            <w:pPr>
              <w:pStyle w:val="114"/>
              <w:spacing w:after="78"/>
              <w:ind w:firstLine="0" w:firstLineChars="0"/>
              <w:jc w:val="center"/>
              <w:rPr>
                <w:rFonts w:eastAsia="宋体" w:cs="宋体"/>
                <w:color w:val="auto"/>
                <w:sz w:val="21"/>
                <w:szCs w:val="21"/>
                <w:highlight w:val="none"/>
              </w:rPr>
            </w:pPr>
          </w:p>
        </w:tc>
        <w:tc>
          <w:tcPr>
            <w:tcW w:w="2834" w:type="dxa"/>
            <w:vMerge w:val="continue"/>
            <w:vAlign w:val="center"/>
          </w:tcPr>
          <w:p>
            <w:pPr>
              <w:pStyle w:val="114"/>
              <w:spacing w:after="78"/>
              <w:ind w:firstLine="0" w:firstLineChars="0"/>
              <w:jc w:val="center"/>
              <w:rPr>
                <w:rFonts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0" w:type="dxa"/>
            <w:vMerge w:val="restart"/>
            <w:vAlign w:val="center"/>
          </w:tcPr>
          <w:p>
            <w:pPr>
              <w:pStyle w:val="114"/>
              <w:spacing w:after="78"/>
              <w:ind w:firstLine="0" w:firstLineChars="0"/>
              <w:jc w:val="center"/>
              <w:rPr>
                <w:rFonts w:eastAsia="宋体" w:cs="宋体"/>
                <w:color w:val="auto"/>
                <w:sz w:val="21"/>
                <w:szCs w:val="21"/>
                <w:highlight w:val="none"/>
              </w:rPr>
            </w:pPr>
            <w:bookmarkStart w:id="218" w:name="_Toc11377"/>
            <w:bookmarkStart w:id="219" w:name="_Toc25430"/>
            <w:bookmarkStart w:id="220" w:name="_Toc15785"/>
            <w:bookmarkStart w:id="221" w:name="_Toc24420"/>
            <w:bookmarkStart w:id="222" w:name="_Toc13070"/>
            <w:r>
              <w:rPr>
                <w:rFonts w:hint="eastAsia" w:eastAsia="宋体" w:cs="宋体"/>
                <w:color w:val="auto"/>
                <w:sz w:val="21"/>
                <w:szCs w:val="21"/>
                <w:highlight w:val="none"/>
              </w:rPr>
              <w:t>服务承接人代表</w:t>
            </w:r>
            <w:bookmarkEnd w:id="218"/>
            <w:bookmarkEnd w:id="219"/>
            <w:bookmarkEnd w:id="220"/>
            <w:bookmarkEnd w:id="221"/>
            <w:bookmarkEnd w:id="222"/>
          </w:p>
        </w:tc>
        <w:tc>
          <w:tcPr>
            <w:tcW w:w="1466" w:type="dxa"/>
            <w:vAlign w:val="center"/>
          </w:tcPr>
          <w:p>
            <w:pPr>
              <w:pStyle w:val="114"/>
              <w:spacing w:after="78"/>
              <w:ind w:firstLine="0" w:firstLineChars="0"/>
              <w:jc w:val="center"/>
              <w:rPr>
                <w:rFonts w:eastAsia="宋体" w:cs="宋体"/>
                <w:color w:val="auto"/>
                <w:sz w:val="21"/>
                <w:szCs w:val="21"/>
                <w:highlight w:val="none"/>
              </w:rPr>
            </w:pPr>
          </w:p>
        </w:tc>
        <w:tc>
          <w:tcPr>
            <w:tcW w:w="2233" w:type="dxa"/>
            <w:vAlign w:val="center"/>
          </w:tcPr>
          <w:p>
            <w:pPr>
              <w:pStyle w:val="114"/>
              <w:spacing w:after="78"/>
              <w:ind w:firstLine="0" w:firstLineChars="0"/>
              <w:jc w:val="center"/>
              <w:rPr>
                <w:rFonts w:eastAsia="宋体" w:cs="宋体"/>
                <w:color w:val="auto"/>
                <w:sz w:val="21"/>
                <w:szCs w:val="21"/>
                <w:highlight w:val="none"/>
              </w:rPr>
            </w:pPr>
          </w:p>
        </w:tc>
        <w:tc>
          <w:tcPr>
            <w:tcW w:w="2834" w:type="dxa"/>
            <w:vMerge w:val="restart"/>
            <w:vAlign w:val="center"/>
          </w:tcPr>
          <w:p>
            <w:pPr>
              <w:pStyle w:val="114"/>
              <w:spacing w:after="78"/>
              <w:ind w:firstLine="0" w:firstLineChars="0"/>
              <w:jc w:val="center"/>
              <w:rPr>
                <w:rFonts w:eastAsia="宋体" w:cs="宋体"/>
                <w:color w:val="auto"/>
                <w:sz w:val="21"/>
                <w:szCs w:val="21"/>
                <w:highlight w:val="none"/>
              </w:rPr>
            </w:pPr>
            <w:bookmarkStart w:id="223" w:name="_Toc24900"/>
            <w:bookmarkStart w:id="224" w:name="_Toc25522"/>
            <w:bookmarkStart w:id="225" w:name="_Toc7102"/>
            <w:bookmarkStart w:id="226" w:name="_Toc4405"/>
            <w:bookmarkStart w:id="227" w:name="_Toc3807"/>
            <w:r>
              <w:rPr>
                <w:rFonts w:hint="eastAsia" w:eastAsia="宋体" w:cs="宋体"/>
                <w:color w:val="auto"/>
                <w:sz w:val="21"/>
                <w:szCs w:val="21"/>
                <w:highlight w:val="none"/>
              </w:rPr>
              <w:t>负责演示讲解</w:t>
            </w:r>
            <w:bookmarkEnd w:id="223"/>
            <w:bookmarkEnd w:id="224"/>
            <w:bookmarkEnd w:id="225"/>
            <w:bookmarkEnd w:id="226"/>
            <w:bookmarkEnd w:id="2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0" w:type="dxa"/>
            <w:vMerge w:val="continue"/>
            <w:vAlign w:val="center"/>
          </w:tcPr>
          <w:p>
            <w:pPr>
              <w:pStyle w:val="114"/>
              <w:spacing w:after="78"/>
              <w:ind w:firstLine="0" w:firstLineChars="0"/>
              <w:jc w:val="center"/>
              <w:rPr>
                <w:rFonts w:eastAsia="宋体" w:cs="宋体"/>
                <w:color w:val="auto"/>
                <w:sz w:val="21"/>
                <w:szCs w:val="21"/>
                <w:highlight w:val="none"/>
              </w:rPr>
            </w:pPr>
          </w:p>
        </w:tc>
        <w:tc>
          <w:tcPr>
            <w:tcW w:w="1466" w:type="dxa"/>
            <w:vAlign w:val="center"/>
          </w:tcPr>
          <w:p>
            <w:pPr>
              <w:pStyle w:val="114"/>
              <w:spacing w:after="78"/>
              <w:ind w:firstLine="0" w:firstLineChars="0"/>
              <w:jc w:val="center"/>
              <w:rPr>
                <w:rFonts w:eastAsia="宋体" w:cs="宋体"/>
                <w:color w:val="auto"/>
                <w:sz w:val="21"/>
                <w:szCs w:val="21"/>
                <w:highlight w:val="none"/>
              </w:rPr>
            </w:pPr>
          </w:p>
        </w:tc>
        <w:tc>
          <w:tcPr>
            <w:tcW w:w="2233" w:type="dxa"/>
            <w:vAlign w:val="center"/>
          </w:tcPr>
          <w:p>
            <w:pPr>
              <w:pStyle w:val="114"/>
              <w:spacing w:after="78"/>
              <w:ind w:firstLine="0" w:firstLineChars="0"/>
              <w:jc w:val="center"/>
              <w:rPr>
                <w:rFonts w:eastAsia="宋体" w:cs="宋体"/>
                <w:color w:val="auto"/>
                <w:sz w:val="21"/>
                <w:szCs w:val="21"/>
                <w:highlight w:val="none"/>
              </w:rPr>
            </w:pPr>
          </w:p>
        </w:tc>
        <w:tc>
          <w:tcPr>
            <w:tcW w:w="2834" w:type="dxa"/>
            <w:vMerge w:val="continue"/>
            <w:vAlign w:val="center"/>
          </w:tcPr>
          <w:p>
            <w:pPr>
              <w:pStyle w:val="114"/>
              <w:spacing w:after="78"/>
              <w:ind w:firstLine="0" w:firstLineChars="0"/>
              <w:jc w:val="center"/>
              <w:rPr>
                <w:rFonts w:eastAsia="宋体" w:cs="宋体"/>
                <w:color w:val="auto"/>
                <w:sz w:val="21"/>
                <w:szCs w:val="21"/>
                <w:highlight w:val="none"/>
              </w:rPr>
            </w:pPr>
          </w:p>
        </w:tc>
      </w:tr>
    </w:tbl>
    <w:p>
      <w:pPr>
        <w:pStyle w:val="4"/>
        <w:numPr>
          <w:ilvl w:val="1"/>
          <w:numId w:val="1"/>
        </w:numPr>
        <w:rPr>
          <w:color w:val="auto"/>
          <w:highlight w:val="none"/>
        </w:rPr>
      </w:pPr>
      <w:bookmarkStart w:id="228" w:name="_Toc1131"/>
      <w:bookmarkStart w:id="229" w:name="_Toc25677"/>
      <w:bookmarkStart w:id="230" w:name="_Toc24748"/>
      <w:bookmarkStart w:id="231" w:name="_Toc35367199"/>
      <w:bookmarkStart w:id="232" w:name="_Toc8173"/>
      <w:bookmarkStart w:id="233" w:name="_Toc5325"/>
      <w:bookmarkStart w:id="234" w:name="_Toc395002134"/>
      <w:bookmarkStart w:id="235" w:name="_Toc151488200"/>
      <w:bookmarkStart w:id="236" w:name="_Toc28292"/>
      <w:bookmarkStart w:id="237" w:name="_Toc36475609"/>
      <w:bookmarkStart w:id="238" w:name="_Toc855"/>
      <w:r>
        <w:rPr>
          <w:rFonts w:hint="eastAsia"/>
          <w:color w:val="auto"/>
          <w:highlight w:val="none"/>
        </w:rPr>
        <w:t>考核</w:t>
      </w:r>
      <w:bookmarkEnd w:id="228"/>
      <w:bookmarkEnd w:id="229"/>
      <w:bookmarkEnd w:id="230"/>
      <w:bookmarkEnd w:id="231"/>
      <w:bookmarkEnd w:id="232"/>
      <w:bookmarkEnd w:id="233"/>
      <w:bookmarkEnd w:id="234"/>
      <w:bookmarkEnd w:id="235"/>
      <w:r>
        <w:rPr>
          <w:rFonts w:hint="eastAsia"/>
          <w:color w:val="auto"/>
          <w:highlight w:val="none"/>
        </w:rPr>
        <w:t>步骤安排</w:t>
      </w:r>
      <w:bookmarkEnd w:id="236"/>
      <w:bookmarkEnd w:id="237"/>
      <w:bookmarkEnd w:id="238"/>
    </w:p>
    <w:p>
      <w:pPr>
        <w:ind w:firstLine="560"/>
        <w:rPr>
          <w:color w:val="auto"/>
          <w:highlight w:val="none"/>
        </w:rPr>
      </w:pPr>
      <w:r>
        <w:rPr>
          <w:rFonts w:hint="eastAsia"/>
          <w:color w:val="auto"/>
          <w:highlight w:val="none"/>
        </w:rPr>
        <w:t>计划考核响应当日开始进行考核，具体每项考核进度安排如下：</w:t>
      </w:r>
    </w:p>
    <w:p>
      <w:pPr>
        <w:ind w:firstLine="560"/>
        <w:rPr>
          <w:color w:val="auto"/>
          <w:highlight w:val="none"/>
        </w:rPr>
      </w:pPr>
      <w:r>
        <w:rPr>
          <w:rFonts w:hint="eastAsia"/>
          <w:color w:val="auto"/>
          <w:highlight w:val="none"/>
        </w:rPr>
        <w:t>购买</w:t>
      </w:r>
      <w:r>
        <w:rPr>
          <w:color w:val="auto"/>
          <w:highlight w:val="none"/>
        </w:rPr>
        <w:t>主体</w:t>
      </w:r>
      <w:r>
        <w:rPr>
          <w:rFonts w:hint="eastAsia"/>
          <w:color w:val="auto"/>
          <w:highlight w:val="none"/>
        </w:rPr>
        <w:t>公布考核内容及服务承接人自评报告、系统使用情况意见，并选出专家组组长。服务承接人汇报项目服务完成情况。监理单位</w:t>
      </w:r>
      <w:r>
        <w:rPr>
          <w:color w:val="auto"/>
          <w:highlight w:val="none"/>
        </w:rPr>
        <w:t>汇报项目监理情况。</w:t>
      </w:r>
    </w:p>
    <w:p>
      <w:pPr>
        <w:ind w:firstLine="560"/>
        <w:rPr>
          <w:color w:val="auto"/>
          <w:highlight w:val="none"/>
        </w:rPr>
      </w:pPr>
      <w:r>
        <w:rPr>
          <w:rFonts w:hint="eastAsia"/>
          <w:color w:val="auto"/>
          <w:highlight w:val="none"/>
        </w:rPr>
        <w:t>服务承接人对软件功能进行演示、操作及答疑。</w:t>
      </w:r>
    </w:p>
    <w:p>
      <w:pPr>
        <w:ind w:firstLine="560"/>
        <w:rPr>
          <w:rFonts w:ascii="宋体" w:hAnsi="宋体" w:cs="宋体"/>
          <w:color w:val="auto"/>
          <w:highlight w:val="none"/>
        </w:rPr>
      </w:pPr>
      <w:r>
        <w:rPr>
          <w:rFonts w:hint="eastAsia"/>
          <w:color w:val="auto"/>
          <w:highlight w:val="none"/>
        </w:rPr>
        <w:t>购买</w:t>
      </w:r>
      <w:r>
        <w:rPr>
          <w:color w:val="auto"/>
          <w:highlight w:val="none"/>
        </w:rPr>
        <w:t>主体</w:t>
      </w:r>
      <w:r>
        <w:rPr>
          <w:rFonts w:hint="eastAsia"/>
          <w:color w:val="auto"/>
          <w:highlight w:val="none"/>
        </w:rPr>
        <w:t>对项目及服务承接人工作完成情况进行汇报，并对后续工作提出建议。考核专家组、购买</w:t>
      </w:r>
      <w:r>
        <w:rPr>
          <w:color w:val="auto"/>
          <w:highlight w:val="none"/>
        </w:rPr>
        <w:t>主体</w:t>
      </w:r>
      <w:r>
        <w:rPr>
          <w:rFonts w:hint="eastAsia"/>
          <w:color w:val="auto"/>
          <w:highlight w:val="none"/>
        </w:rPr>
        <w:t>、使用单位对项目服务情况进行提问，服务承接人进行作答。考核专家组组长对会议进行总结并形成会议纪要。</w:t>
      </w:r>
    </w:p>
    <w:p>
      <w:pPr>
        <w:pStyle w:val="22"/>
        <w:tabs>
          <w:tab w:val="left" w:pos="455"/>
        </w:tabs>
        <w:rPr>
          <w:bCs/>
          <w:color w:val="auto"/>
          <w:sz w:val="24"/>
          <w:highlight w:val="none"/>
        </w:rPr>
      </w:pPr>
    </w:p>
    <w:p>
      <w:pPr>
        <w:pStyle w:val="22"/>
        <w:tabs>
          <w:tab w:val="left" w:pos="455"/>
        </w:tabs>
        <w:rPr>
          <w:b/>
          <w:color w:val="auto"/>
          <w:highlight w:val="none"/>
        </w:rPr>
      </w:pPr>
    </w:p>
    <w:p>
      <w:pPr>
        <w:pStyle w:val="22"/>
        <w:tabs>
          <w:tab w:val="left" w:pos="455"/>
        </w:tabs>
        <w:rPr>
          <w:b/>
          <w:color w:val="auto"/>
          <w:highlight w:val="none"/>
        </w:rPr>
      </w:pPr>
    </w:p>
    <w:p>
      <w:pPr>
        <w:pStyle w:val="22"/>
        <w:tabs>
          <w:tab w:val="left" w:pos="455"/>
        </w:tabs>
        <w:rPr>
          <w:b/>
          <w:color w:val="auto"/>
          <w:highlight w:val="none"/>
        </w:rPr>
      </w:pPr>
    </w:p>
    <w:p>
      <w:pPr>
        <w:widowControl/>
        <w:jc w:val="center"/>
        <w:rPr>
          <w:rFonts w:ascii="宋体" w:hAnsi="宋体"/>
          <w:b/>
          <w:color w:val="auto"/>
          <w:sz w:val="44"/>
          <w:szCs w:val="44"/>
          <w:highlight w:val="none"/>
        </w:rPr>
      </w:pPr>
    </w:p>
    <w:p>
      <w:pPr>
        <w:snapToGrid w:val="0"/>
        <w:jc w:val="center"/>
        <w:outlineLvl w:val="0"/>
        <w:rPr>
          <w:rFonts w:ascii="宋体" w:hAnsi="宋体"/>
          <w:b/>
          <w:color w:val="auto"/>
          <w:sz w:val="44"/>
          <w:szCs w:val="44"/>
          <w:highlight w:val="none"/>
        </w:rPr>
      </w:pPr>
    </w:p>
    <w:p>
      <w:pPr>
        <w:snapToGrid w:val="0"/>
        <w:jc w:val="center"/>
        <w:outlineLvl w:val="0"/>
        <w:rPr>
          <w:rFonts w:ascii="宋体" w:hAnsi="宋体"/>
          <w:b/>
          <w:color w:val="auto"/>
          <w:sz w:val="44"/>
          <w:szCs w:val="44"/>
          <w:highlight w:val="none"/>
        </w:rPr>
      </w:pPr>
    </w:p>
    <w:p>
      <w:pPr>
        <w:snapToGrid w:val="0"/>
        <w:jc w:val="center"/>
        <w:outlineLvl w:val="0"/>
        <w:rPr>
          <w:rFonts w:ascii="宋体" w:hAnsi="宋体"/>
          <w:b/>
          <w:color w:val="auto"/>
          <w:sz w:val="44"/>
          <w:szCs w:val="44"/>
          <w:highlight w:val="none"/>
        </w:rPr>
      </w:pPr>
    </w:p>
    <w:p>
      <w:pPr>
        <w:snapToGrid w:val="0"/>
        <w:jc w:val="center"/>
        <w:outlineLvl w:val="0"/>
        <w:rPr>
          <w:rFonts w:ascii="宋体" w:hAnsi="宋体"/>
          <w:b/>
          <w:color w:val="auto"/>
          <w:sz w:val="44"/>
          <w:szCs w:val="44"/>
          <w:highlight w:val="none"/>
        </w:rPr>
      </w:pPr>
    </w:p>
    <w:p>
      <w:pPr>
        <w:snapToGrid w:val="0"/>
        <w:jc w:val="center"/>
        <w:outlineLvl w:val="0"/>
        <w:rPr>
          <w:rFonts w:ascii="宋体" w:hAnsi="宋体"/>
          <w:b/>
          <w:color w:val="auto"/>
          <w:sz w:val="44"/>
          <w:szCs w:val="44"/>
          <w:highlight w:val="none"/>
        </w:rPr>
      </w:pPr>
    </w:p>
    <w:p>
      <w:pPr>
        <w:snapToGrid w:val="0"/>
        <w:jc w:val="center"/>
        <w:outlineLvl w:val="0"/>
        <w:rPr>
          <w:rFonts w:ascii="宋体" w:hAnsi="宋体"/>
          <w:b/>
          <w:color w:val="auto"/>
          <w:sz w:val="44"/>
          <w:szCs w:val="44"/>
          <w:highlight w:val="none"/>
        </w:rPr>
      </w:pPr>
    </w:p>
    <w:p>
      <w:pPr>
        <w:snapToGrid w:val="0"/>
        <w:jc w:val="center"/>
        <w:outlineLvl w:val="0"/>
        <w:rPr>
          <w:rFonts w:ascii="宋体" w:hAnsi="宋体"/>
          <w:b/>
          <w:color w:val="auto"/>
          <w:sz w:val="44"/>
          <w:szCs w:val="44"/>
          <w:highlight w:val="none"/>
        </w:rPr>
      </w:pPr>
    </w:p>
    <w:p>
      <w:pPr>
        <w:snapToGrid w:val="0"/>
        <w:jc w:val="center"/>
        <w:outlineLvl w:val="0"/>
        <w:rPr>
          <w:rFonts w:ascii="宋体" w:hAnsi="宋体"/>
          <w:b/>
          <w:color w:val="auto"/>
          <w:sz w:val="44"/>
          <w:szCs w:val="44"/>
          <w:highlight w:val="none"/>
        </w:rPr>
      </w:pPr>
      <w:bookmarkStart w:id="239" w:name="_Toc28684"/>
      <w:r>
        <w:rPr>
          <w:rFonts w:hint="eastAsia" w:ascii="宋体" w:hAnsi="宋体"/>
          <w:b/>
          <w:color w:val="auto"/>
          <w:sz w:val="44"/>
          <w:szCs w:val="44"/>
          <w:highlight w:val="none"/>
        </w:rPr>
        <w:t>第三章  投标人须知</w:t>
      </w:r>
      <w:bookmarkEnd w:id="239"/>
    </w:p>
    <w:p>
      <w:pPr>
        <w:snapToGrid w:val="0"/>
        <w:jc w:val="center"/>
        <w:rPr>
          <w:rFonts w:ascii="宋体" w:hAnsi="宋体"/>
          <w:b/>
          <w:color w:val="auto"/>
          <w:sz w:val="32"/>
          <w:szCs w:val="32"/>
          <w:highlight w:val="none"/>
        </w:rPr>
      </w:pPr>
      <w:bookmarkStart w:id="240" w:name="_Toc254970526"/>
      <w:bookmarkStart w:id="241" w:name="_Toc254970667"/>
      <w:r>
        <w:rPr>
          <w:rFonts w:ascii="宋体" w:hAnsi="宋体"/>
          <w:b/>
          <w:color w:val="auto"/>
          <w:szCs w:val="28"/>
          <w:highlight w:val="none"/>
        </w:rPr>
        <w:br w:type="page"/>
      </w:r>
      <w:r>
        <w:rPr>
          <w:rFonts w:hint="eastAsia" w:ascii="宋体" w:hAnsi="宋体"/>
          <w:b/>
          <w:color w:val="auto"/>
          <w:sz w:val="32"/>
          <w:szCs w:val="32"/>
          <w:highlight w:val="none"/>
        </w:rPr>
        <w:t>前附表</w:t>
      </w:r>
      <w:bookmarkEnd w:id="240"/>
      <w:bookmarkEnd w:id="241"/>
    </w:p>
    <w:tbl>
      <w:tblPr>
        <w:tblStyle w:val="36"/>
        <w:tblW w:w="92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86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序号</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项目名称： 南宁市政务办公精细化管理系统服务采购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总采购预算：264万元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投标报价及费用：</w:t>
            </w:r>
            <w:r>
              <w:rPr>
                <w:rFonts w:hint="eastAsia" w:asciiTheme="minorEastAsia" w:hAnsiTheme="minorEastAsia" w:eastAsiaTheme="minorEastAsia"/>
                <w:color w:val="auto"/>
                <w:sz w:val="24"/>
                <w:highlight w:val="none"/>
              </w:rPr>
              <w:t>1、本项目投标应以人民币报价；2、不论投标结果如何，投标人均应自行承担所有与投标有关的全部费用；3、本项目代理服务费参照“国家发展计划委员会文件关于印发《招标代理服务收费管理暂行办法》的通知（计价格【2002】1980号）”规定标准向中标人收取，中标人领取中标通知书时,应向采购代理机构以转账形式一次付清招标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投标有效期</w:t>
            </w: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 xml:space="preserve">45天    </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 xml:space="preserve">60天    </w:t>
            </w:r>
            <w:r>
              <w:rPr>
                <w:rFonts w:hint="eastAsia" w:asciiTheme="minorEastAsia" w:hAnsiTheme="minorEastAsia" w:eastAsiaTheme="minorEastAsia"/>
                <w:color w:val="auto"/>
                <w:sz w:val="24"/>
                <w:highlight w:val="none"/>
              </w:rPr>
              <w:sym w:font="Wingdings 2" w:char="0052"/>
            </w:r>
            <w:r>
              <w:rPr>
                <w:rFonts w:asciiTheme="minorEastAsia" w:hAnsiTheme="minorEastAsia" w:eastAsiaTheme="minorEastAsia"/>
                <w:color w:val="auto"/>
                <w:sz w:val="24"/>
                <w:highlight w:val="none"/>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现场踏勘（</w:t>
            </w:r>
            <w:r>
              <w:rPr>
                <w:rFonts w:hint="eastAsia" w:asciiTheme="minorEastAsia" w:hAnsiTheme="minorEastAsia" w:eastAsiaTheme="minorEastAsia"/>
                <w:color w:val="auto"/>
                <w:sz w:val="24"/>
                <w:highlight w:val="none"/>
              </w:rPr>
              <w:t>如有）：</w:t>
            </w:r>
            <w:r>
              <w:rPr>
                <w:rFonts w:hint="eastAsia" w:cs="Arial" w:asciiTheme="minorEastAsia" w:hAnsiTheme="minorEastAsia" w:eastAsiaTheme="minorEastAsia"/>
                <w:color w:val="auto"/>
                <w:sz w:val="24"/>
                <w:highlight w:val="none"/>
              </w:rPr>
              <w:t xml:space="preserve"> 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w:t>
            </w:r>
          </w:p>
        </w:tc>
        <w:tc>
          <w:tcPr>
            <w:tcW w:w="8640" w:type="dxa"/>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olor w:val="auto"/>
                <w:sz w:val="24"/>
                <w:highlight w:val="none"/>
              </w:rPr>
            </w:pPr>
            <w:r>
              <w:rPr>
                <w:rFonts w:hint="eastAsia" w:asciiTheme="minorEastAsia" w:hAnsiTheme="minorEastAsia" w:eastAsiaTheme="minorEastAsia"/>
                <w:b/>
                <w:color w:val="auto"/>
                <w:sz w:val="24"/>
                <w:highlight w:val="none"/>
              </w:rPr>
              <w:t>答疑、澄清</w:t>
            </w:r>
            <w:r>
              <w:rPr>
                <w:rFonts w:hint="eastAsia" w:asciiTheme="minorEastAsia" w:hAnsiTheme="minorEastAsia" w:eastAsiaTheme="minorEastAsia"/>
                <w:color w:val="auto"/>
                <w:sz w:val="24"/>
                <w:highlight w:val="none"/>
              </w:rPr>
              <w:t>：</w:t>
            </w:r>
            <w:r>
              <w:rPr>
                <w:rFonts w:hint="eastAsia" w:hAnsi="宋体"/>
                <w:bCs/>
                <w:color w:val="auto"/>
                <w:sz w:val="24"/>
                <w:highlight w:val="none"/>
              </w:rPr>
              <w:t>投标人应认真阅读本招标文件，发现其中有误或有不合理要求的，投标人应当于</w:t>
            </w:r>
            <w:r>
              <w:rPr>
                <w:rFonts w:hint="eastAsia" w:hAnsi="宋体"/>
                <w:color w:val="auto"/>
                <w:sz w:val="24"/>
                <w:highlight w:val="none"/>
              </w:rPr>
              <w:t>公告届满之日起7个工作日</w:t>
            </w:r>
            <w:r>
              <w:rPr>
                <w:rFonts w:hint="eastAsia" w:hAnsi="宋体"/>
                <w:bCs/>
                <w:color w:val="auto"/>
                <w:sz w:val="24"/>
                <w:highlight w:val="none"/>
              </w:rPr>
              <w:t>，以书面形式要求招标采购单位澄清</w:t>
            </w:r>
            <w:r>
              <w:rPr>
                <w:rFonts w:hint="eastAsia" w:hAnsi="宋体"/>
                <w:color w:val="auto"/>
                <w:sz w:val="24"/>
                <w:highlight w:val="none"/>
              </w:rPr>
              <w:t>。如果澄清、答复、修改或补充的</w:t>
            </w:r>
            <w:r>
              <w:rPr>
                <w:color w:val="auto"/>
                <w:sz w:val="24"/>
                <w:highlight w:val="none"/>
              </w:rPr>
              <w:t>内容可能影响投标文件编制的，采购人或者采购代理机构应当在投标截止时间至少15日前</w:t>
            </w:r>
            <w:r>
              <w:rPr>
                <w:rFonts w:hint="eastAsia"/>
                <w:color w:val="auto"/>
                <w:sz w:val="24"/>
                <w:highlight w:val="none"/>
              </w:rPr>
              <w:t>发出</w:t>
            </w:r>
            <w:r>
              <w:rPr>
                <w:color w:val="auto"/>
                <w:sz w:val="24"/>
                <w:highlight w:val="none"/>
              </w:rPr>
              <w:t>；不足15日的，采购人或者采购代理机构应当顺延提交投标文件的截止时间。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p>
        </w:tc>
        <w:tc>
          <w:tcPr>
            <w:tcW w:w="864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投标文件份数</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资格审查</w:t>
            </w:r>
            <w:r>
              <w:rPr>
                <w:rFonts w:hint="eastAsia"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u w:val="single"/>
              </w:rPr>
              <w:t xml:space="preserve"> 3</w:t>
            </w:r>
            <w:r>
              <w:rPr>
                <w:rFonts w:hint="eastAsia" w:cs="Arial" w:asciiTheme="minorEastAsia" w:hAnsiTheme="minorEastAsia" w:eastAsiaTheme="minorEastAsia"/>
                <w:color w:val="auto"/>
                <w:sz w:val="24"/>
                <w:highlight w:val="none"/>
                <w:u w:val="single"/>
              </w:rPr>
              <w:t xml:space="preserve"> </w:t>
            </w:r>
            <w:r>
              <w:rPr>
                <w:rFonts w:hint="eastAsia" w:cs="Arial" w:asciiTheme="minorEastAsia" w:hAnsiTheme="minorEastAsia" w:eastAsiaTheme="minorEastAsia"/>
                <w:color w:val="auto"/>
                <w:sz w:val="24"/>
                <w:highlight w:val="none"/>
              </w:rPr>
              <w:t>份；投标文件（包括商务文件、技术文件和报价文件）</w:t>
            </w:r>
            <w:r>
              <w:rPr>
                <w:rFonts w:hint="eastAsia" w:asciiTheme="minorEastAsia" w:hAnsiTheme="minorEastAsia" w:eastAsiaTheme="minorEastAsia"/>
                <w:color w:val="auto"/>
                <w:sz w:val="24"/>
                <w:highlight w:val="none"/>
              </w:rPr>
              <w:t>正本</w:t>
            </w:r>
            <w:r>
              <w:rPr>
                <w:rFonts w:hint="eastAsia" w:asciiTheme="minorEastAsia" w:hAnsiTheme="minorEastAsia" w:eastAsiaTheme="minorEastAsia"/>
                <w:color w:val="auto"/>
                <w:sz w:val="24"/>
                <w:highlight w:val="none"/>
                <w:u w:val="single"/>
              </w:rPr>
              <w:t xml:space="preserve"> </w:t>
            </w:r>
            <w:r>
              <w:rPr>
                <w:rFonts w:hint="eastAsia" w:cs="Arial" w:asciiTheme="minorEastAsia" w:hAnsiTheme="minorEastAsia" w:eastAsiaTheme="minorEastAsia"/>
                <w:color w:val="auto"/>
                <w:sz w:val="24"/>
                <w:highlight w:val="none"/>
                <w:u w:val="single"/>
              </w:rPr>
              <w:t>1</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份；副本</w:t>
            </w:r>
            <w:r>
              <w:rPr>
                <w:rFonts w:hint="eastAsia" w:asciiTheme="minorEastAsia" w:hAnsiTheme="minorEastAsia" w:eastAsiaTheme="minorEastAsia"/>
                <w:color w:val="auto"/>
                <w:sz w:val="24"/>
                <w:highlight w:val="none"/>
                <w:u w:val="single"/>
              </w:rPr>
              <w:t xml:space="preserve"> </w:t>
            </w:r>
            <w:r>
              <w:rPr>
                <w:rFonts w:hint="eastAsia" w:cs="Arial" w:asciiTheme="minorEastAsia" w:hAnsiTheme="minorEastAsia" w:eastAsiaTheme="minorEastAsia"/>
                <w:color w:val="auto"/>
                <w:sz w:val="24"/>
                <w:highlight w:val="none"/>
                <w:u w:val="single"/>
              </w:rPr>
              <w:t xml:space="preserve">4 </w:t>
            </w:r>
            <w:r>
              <w:rPr>
                <w:rFonts w:hint="eastAsia" w:asciiTheme="minorEastAsia" w:hAnsiTheme="minorEastAsia" w:eastAsiaTheme="minorEastAsia"/>
                <w:color w:val="auto"/>
                <w:sz w:val="24"/>
                <w:highlight w:val="none"/>
              </w:rPr>
              <w:t>份；开标一览表</w:t>
            </w:r>
            <w:r>
              <w:rPr>
                <w:rFonts w:hint="eastAsia" w:asciiTheme="minorEastAsia" w:hAnsiTheme="minorEastAsia" w:eastAsiaTheme="minorEastAsia"/>
                <w:color w:val="auto"/>
                <w:sz w:val="24"/>
                <w:highlight w:val="none"/>
                <w:u w:val="single"/>
              </w:rPr>
              <w:t xml:space="preserve"> </w:t>
            </w:r>
            <w:r>
              <w:rPr>
                <w:rFonts w:hint="eastAsia" w:cs="Arial" w:asciiTheme="minorEastAsia" w:hAnsiTheme="minorEastAsia" w:eastAsiaTheme="minorEastAsia"/>
                <w:color w:val="auto"/>
                <w:sz w:val="24"/>
                <w:highlight w:val="none"/>
                <w:u w:val="single"/>
              </w:rPr>
              <w:t xml:space="preserve">2 </w:t>
            </w:r>
            <w:r>
              <w:rPr>
                <w:rFonts w:hint="eastAsia" w:cs="Arial" w:asciiTheme="minorEastAsia" w:hAnsiTheme="minorEastAsia" w:eastAsiaTheme="minorEastAsia"/>
                <w:color w:val="auto"/>
                <w:sz w:val="24"/>
                <w:highlight w:val="none"/>
              </w:rPr>
              <w:t>份；</w:t>
            </w:r>
            <w:r>
              <w:rPr>
                <w:rFonts w:hint="eastAsia" w:ascii="宋体" w:hAnsi="宋体" w:cs="宋体"/>
                <w:color w:val="auto"/>
                <w:sz w:val="24"/>
                <w:highlight w:val="none"/>
              </w:rPr>
              <w:t>演示录制声像视频U盘</w:t>
            </w:r>
            <w:r>
              <w:rPr>
                <w:rFonts w:hint="eastAsia" w:ascii="宋体" w:hAnsi="宋体" w:cs="宋体"/>
                <w:color w:val="auto"/>
                <w:sz w:val="24"/>
                <w:highlight w:val="none"/>
                <w:u w:val="single"/>
              </w:rPr>
              <w:t>1</w:t>
            </w:r>
            <w:r>
              <w:rPr>
                <w:rFonts w:hint="eastAsia" w:ascii="宋体" w:hAnsi="宋体" w:cs="宋体"/>
                <w:color w:val="auto"/>
                <w:sz w:val="24"/>
                <w:highlight w:val="none"/>
              </w:rPr>
              <w:t>份（如有，请提供）</w:t>
            </w:r>
            <w:r>
              <w:rPr>
                <w:rFonts w:hint="eastAsia" w:asciiTheme="minorEastAsia" w:hAnsiTheme="minorEastAsia" w:eastAsiaTheme="minor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ind w:left="60" w:hanging="60" w:hangingChars="25"/>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投标文件签署：</w:t>
            </w:r>
            <w:r>
              <w:rPr>
                <w:rFonts w:asciiTheme="minorEastAsia" w:hAnsiTheme="minorEastAsia" w:eastAsiaTheme="minorEastAsia"/>
                <w:color w:val="auto"/>
                <w:sz w:val="24"/>
                <w:highlight w:val="none"/>
              </w:rPr>
              <w:t>投标文件正本与副本均</w:t>
            </w:r>
            <w:r>
              <w:rPr>
                <w:rFonts w:hint="eastAsia" w:asciiTheme="minorEastAsia" w:hAnsiTheme="minorEastAsia" w:eastAsiaTheme="minorEastAsia"/>
                <w:color w:val="auto"/>
                <w:sz w:val="24"/>
                <w:highlight w:val="none"/>
              </w:rPr>
              <w:t>应</w:t>
            </w:r>
            <w:r>
              <w:rPr>
                <w:rFonts w:asciiTheme="minorEastAsia" w:hAnsiTheme="minorEastAsia" w:eastAsiaTheme="minorEastAsia"/>
                <w:color w:val="auto"/>
                <w:sz w:val="24"/>
                <w:highlight w:val="none"/>
              </w:rPr>
              <w:t>由投标人在招标文件规定的相关位置加盖投标人法人单位公章，且经法定代表</w:t>
            </w:r>
            <w:r>
              <w:rPr>
                <w:rFonts w:hint="eastAsia" w:asciiTheme="minorEastAsia" w:hAnsiTheme="minorEastAsia" w:eastAsiaTheme="minorEastAsia"/>
                <w:color w:val="auto"/>
                <w:sz w:val="24"/>
                <w:highlight w:val="none"/>
              </w:rPr>
              <w:t>人签字（</w:t>
            </w:r>
            <w:r>
              <w:rPr>
                <w:rFonts w:asciiTheme="minorEastAsia" w:hAnsiTheme="minorEastAsia" w:eastAsiaTheme="minorEastAsia"/>
                <w:color w:val="auto"/>
                <w:sz w:val="24"/>
                <w:highlight w:val="none"/>
              </w:rPr>
              <w:t>或</w:t>
            </w:r>
            <w:r>
              <w:rPr>
                <w:rFonts w:hint="eastAsia" w:asciiTheme="minorEastAsia" w:hAnsiTheme="minorEastAsia" w:eastAsiaTheme="minorEastAsia"/>
                <w:color w:val="auto"/>
                <w:sz w:val="24"/>
                <w:highlight w:val="none"/>
              </w:rPr>
              <w:t>盖章</w:t>
            </w:r>
            <w:r>
              <w:rPr>
                <w:rFonts w:asciiTheme="minorEastAsia" w:hAnsiTheme="minorEastAsia" w:eastAsiaTheme="minorEastAsia"/>
                <w:color w:val="auto"/>
                <w:sz w:val="24"/>
                <w:highlight w:val="none"/>
              </w:rPr>
              <w:t>）或其委托代理人本人签</w:t>
            </w:r>
            <w:r>
              <w:rPr>
                <w:rFonts w:hint="eastAsia" w:asciiTheme="minorEastAsia" w:hAnsiTheme="minorEastAsia" w:eastAsiaTheme="minorEastAsia"/>
                <w:color w:val="auto"/>
                <w:sz w:val="24"/>
                <w:highlight w:val="none"/>
              </w:rPr>
              <w:t>字，否则作否决投标处理。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p>
        </w:tc>
        <w:tc>
          <w:tcPr>
            <w:tcW w:w="86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auto"/>
                <w:sz w:val="24"/>
                <w:highlight w:val="none"/>
                <w:u w:val="single"/>
              </w:rPr>
            </w:pPr>
            <w:r>
              <w:rPr>
                <w:rFonts w:hint="eastAsia" w:asciiTheme="minorEastAsia" w:hAnsiTheme="minorEastAsia" w:eastAsiaTheme="minorEastAsia"/>
                <w:b/>
                <w:color w:val="auto"/>
                <w:sz w:val="24"/>
                <w:highlight w:val="none"/>
              </w:rPr>
              <w:t>装订要求：</w:t>
            </w:r>
            <w:r>
              <w:rPr>
                <w:rFonts w:asciiTheme="minorEastAsia" w:hAnsiTheme="minorEastAsia" w:eastAsiaTheme="minorEastAsia"/>
                <w:color w:val="auto"/>
                <w:sz w:val="24"/>
                <w:highlight w:val="none"/>
              </w:rPr>
              <w:t>按照投标人须知第</w:t>
            </w:r>
            <w:r>
              <w:rPr>
                <w:rFonts w:hint="eastAsia" w:asciiTheme="minorEastAsia" w:hAnsiTheme="minorEastAsia" w:eastAsiaTheme="minorEastAsia"/>
                <w:color w:val="auto"/>
                <w:sz w:val="24"/>
                <w:highlight w:val="none"/>
              </w:rPr>
              <w:t>三部分第（一）项</w:t>
            </w:r>
            <w:r>
              <w:rPr>
                <w:rFonts w:asciiTheme="minorEastAsia" w:hAnsiTheme="minorEastAsia" w:eastAsiaTheme="minorEastAsia"/>
                <w:color w:val="auto"/>
                <w:sz w:val="24"/>
                <w:highlight w:val="none"/>
              </w:rPr>
              <w:t>规定的投标文件组成内容，投标文件应按以下要求装订：分册装订，共分</w:t>
            </w:r>
            <w:r>
              <w:rPr>
                <w:rFonts w:hint="eastAsia" w:asciiTheme="minorEastAsia" w:hAnsiTheme="minorEastAsia" w:eastAsiaTheme="minorEastAsia"/>
                <w:color w:val="auto"/>
                <w:sz w:val="24"/>
                <w:highlight w:val="none"/>
                <w:u w:val="single"/>
              </w:rPr>
              <w:t>三</w:t>
            </w:r>
            <w:r>
              <w:rPr>
                <w:rFonts w:asciiTheme="minorEastAsia" w:hAnsiTheme="minorEastAsia" w:eastAsiaTheme="minorEastAsia"/>
                <w:color w:val="auto"/>
                <w:sz w:val="24"/>
                <w:highlight w:val="none"/>
              </w:rPr>
              <w:t>册，分别为：</w:t>
            </w:r>
            <w:r>
              <w:rPr>
                <w:rFonts w:asciiTheme="minorEastAsia" w:hAnsiTheme="minorEastAsia" w:eastAsiaTheme="minorEastAsia"/>
                <w:color w:val="auto"/>
                <w:sz w:val="24"/>
                <w:highlight w:val="none"/>
                <w:u w:val="single"/>
              </w:rPr>
              <w:t>资格审查</w:t>
            </w:r>
            <w:r>
              <w:rPr>
                <w:rFonts w:hint="eastAsia" w:asciiTheme="minorEastAsia" w:hAnsiTheme="minorEastAsia" w:eastAsiaTheme="minorEastAsia"/>
                <w:color w:val="auto"/>
                <w:sz w:val="24"/>
                <w:highlight w:val="none"/>
                <w:u w:val="single"/>
              </w:rPr>
              <w:t>文件为一册；商务文件</w:t>
            </w:r>
            <w:r>
              <w:rPr>
                <w:rFonts w:asciiTheme="minorEastAsia" w:hAnsiTheme="minorEastAsia" w:eastAsiaTheme="minorEastAsia"/>
                <w:color w:val="auto"/>
                <w:sz w:val="24"/>
                <w:highlight w:val="none"/>
                <w:u w:val="single"/>
              </w:rPr>
              <w:t>、技术</w:t>
            </w:r>
            <w:r>
              <w:rPr>
                <w:rFonts w:hint="eastAsia" w:asciiTheme="minorEastAsia" w:hAnsiTheme="minorEastAsia" w:eastAsiaTheme="minorEastAsia"/>
                <w:color w:val="auto"/>
                <w:sz w:val="24"/>
                <w:highlight w:val="none"/>
                <w:u w:val="single"/>
              </w:rPr>
              <w:t>文件</w:t>
            </w:r>
            <w:r>
              <w:rPr>
                <w:rFonts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u w:val="single"/>
              </w:rPr>
              <w:t>报价文件（开标一览表除外）为一册</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开标一览表为一册</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同时提供</w:t>
            </w:r>
            <w:r>
              <w:rPr>
                <w:rFonts w:hint="eastAsia" w:ascii="宋体" w:hAnsi="宋体" w:cs="宋体"/>
                <w:color w:val="auto"/>
                <w:sz w:val="24"/>
                <w:highlight w:val="none"/>
                <w:u w:val="single"/>
              </w:rPr>
              <w:t>演示录制声像视频U盘（如有，请提供，</w:t>
            </w:r>
            <w:r>
              <w:rPr>
                <w:rFonts w:hint="eastAsia" w:ascii="宋体" w:hAnsi="宋体" w:cs="宋体"/>
                <w:b/>
                <w:bCs/>
                <w:color w:val="auto"/>
                <w:sz w:val="24"/>
                <w:highlight w:val="none"/>
                <w:u w:val="single"/>
              </w:rPr>
              <w:t>U盘先用小信封单独封装，封面应注明“演示录制声像视频”字样，封面上写明项目名称、项目编号、供应商单位名称</w:t>
            </w:r>
            <w:r>
              <w:rPr>
                <w:rFonts w:hint="eastAsia" w:ascii="宋体" w:hAnsi="宋体" w:cs="宋体"/>
                <w:color w:val="auto"/>
                <w:sz w:val="24"/>
                <w:highlight w:val="none"/>
                <w:u w:val="single"/>
              </w:rPr>
              <w:t>）</w:t>
            </w:r>
            <w:r>
              <w:rPr>
                <w:rFonts w:hint="eastAsia" w:asciiTheme="minorEastAsia" w:hAnsiTheme="minorEastAsia" w:eastAsiaTheme="minorEastAsia"/>
                <w:color w:val="auto"/>
                <w:sz w:val="24"/>
                <w:highlight w:val="none"/>
                <w:u w:val="single"/>
              </w:rPr>
              <w:t>。</w:t>
            </w:r>
          </w:p>
          <w:p>
            <w:pPr>
              <w:snapToGrid w:val="0"/>
              <w:spacing w:line="320" w:lineRule="exact"/>
              <w:ind w:left="60" w:hanging="60" w:hangingChars="2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投标文件每册装订应牢固、不易拆散和换页，不得采用活页装订。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w:t>
            </w:r>
          </w:p>
        </w:tc>
        <w:tc>
          <w:tcPr>
            <w:tcW w:w="86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包装、密封：</w:t>
            </w:r>
            <w:r>
              <w:rPr>
                <w:rFonts w:asciiTheme="minorEastAsia" w:hAnsiTheme="minorEastAsia" w:eastAsiaTheme="minorEastAsia"/>
                <w:color w:val="auto"/>
                <w:sz w:val="24"/>
                <w:highlight w:val="none"/>
              </w:rPr>
              <w:t>投标人应将所有投标文件的</w:t>
            </w:r>
            <w:r>
              <w:rPr>
                <w:rFonts w:asciiTheme="minorEastAsia" w:hAnsiTheme="minorEastAsia" w:eastAsiaTheme="minorEastAsia"/>
                <w:color w:val="auto"/>
                <w:sz w:val="24"/>
                <w:highlight w:val="none"/>
                <w:u w:val="single"/>
              </w:rPr>
              <w:t>资格审查</w:t>
            </w:r>
            <w:r>
              <w:rPr>
                <w:rFonts w:hint="eastAsia" w:asciiTheme="minorEastAsia" w:hAnsiTheme="minorEastAsia" w:eastAsiaTheme="minorEastAsia"/>
                <w:color w:val="auto"/>
                <w:sz w:val="24"/>
                <w:highlight w:val="none"/>
                <w:u w:val="single"/>
              </w:rPr>
              <w:t>文件</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商务及</w:t>
            </w:r>
            <w:r>
              <w:rPr>
                <w:rFonts w:asciiTheme="minorEastAsia" w:hAnsiTheme="minorEastAsia" w:eastAsiaTheme="minorEastAsia"/>
                <w:color w:val="auto"/>
                <w:sz w:val="24"/>
                <w:highlight w:val="none"/>
                <w:u w:val="single"/>
              </w:rPr>
              <w:t>技术</w:t>
            </w:r>
            <w:r>
              <w:rPr>
                <w:rFonts w:hint="eastAsia" w:asciiTheme="minorEastAsia" w:hAnsiTheme="minorEastAsia" w:eastAsiaTheme="minorEastAsia"/>
                <w:color w:val="auto"/>
                <w:sz w:val="24"/>
                <w:highlight w:val="none"/>
                <w:u w:val="single"/>
              </w:rPr>
              <w:t>文件</w:t>
            </w:r>
            <w:r>
              <w:rPr>
                <w:rFonts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u w:val="single"/>
              </w:rPr>
              <w:t>报价文件</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开标一览表</w:t>
            </w:r>
            <w:r>
              <w:rPr>
                <w:rFonts w:hint="eastAsia" w:ascii="宋体" w:hAnsi="宋体" w:cs="宋体"/>
                <w:b/>
                <w:color w:val="auto"/>
                <w:szCs w:val="21"/>
                <w:highlight w:val="none"/>
              </w:rPr>
              <w:t>、</w:t>
            </w:r>
            <w:r>
              <w:rPr>
                <w:rFonts w:hint="eastAsia" w:ascii="宋体" w:hAnsi="宋体" w:cs="宋体"/>
                <w:color w:val="auto"/>
                <w:sz w:val="24"/>
                <w:highlight w:val="none"/>
              </w:rPr>
              <w:t>演示录制声像视频U盘</w:t>
            </w:r>
            <w:r>
              <w:rPr>
                <w:rFonts w:asciiTheme="minorEastAsia" w:hAnsiTheme="minorEastAsia" w:eastAsiaTheme="minorEastAsia"/>
                <w:color w:val="auto"/>
                <w:sz w:val="24"/>
                <w:highlight w:val="none"/>
              </w:rPr>
              <w:t>分别密封在</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四</w:t>
            </w:r>
            <w:r>
              <w:rPr>
                <w:rFonts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个密封袋内，密封袋上清楚地标明“资格审查</w:t>
            </w:r>
            <w:r>
              <w:rPr>
                <w:rFonts w:hint="eastAsia" w:asciiTheme="minorEastAsia" w:hAnsiTheme="minorEastAsia" w:eastAsiaTheme="minorEastAsia"/>
                <w:color w:val="auto"/>
                <w:sz w:val="24"/>
                <w:highlight w:val="none"/>
              </w:rPr>
              <w:t>文件</w:t>
            </w:r>
            <w:r>
              <w:rPr>
                <w:rFonts w:asciiTheme="minorEastAsia" w:hAnsiTheme="minorEastAsia" w:eastAsiaTheme="minorEastAsia"/>
                <w:color w:val="auto"/>
                <w:sz w:val="24"/>
                <w:highlight w:val="none"/>
              </w:rPr>
              <w:t>”或“</w:t>
            </w:r>
            <w:r>
              <w:rPr>
                <w:rFonts w:hint="eastAsia" w:asciiTheme="minorEastAsia" w:hAnsiTheme="minorEastAsia" w:eastAsiaTheme="minorEastAsia"/>
                <w:color w:val="auto"/>
                <w:sz w:val="24"/>
                <w:highlight w:val="none"/>
              </w:rPr>
              <w:t>商务及</w:t>
            </w:r>
            <w:r>
              <w:rPr>
                <w:rFonts w:asciiTheme="minorEastAsia" w:hAnsiTheme="minorEastAsia" w:eastAsiaTheme="minorEastAsia"/>
                <w:color w:val="auto"/>
                <w:sz w:val="24"/>
                <w:highlight w:val="none"/>
              </w:rPr>
              <w:t>技术</w:t>
            </w:r>
            <w:r>
              <w:rPr>
                <w:rFonts w:hint="eastAsia" w:asciiTheme="minorEastAsia" w:hAnsiTheme="minorEastAsia" w:eastAsiaTheme="minorEastAsia"/>
                <w:color w:val="auto"/>
                <w:sz w:val="24"/>
                <w:highlight w:val="none"/>
              </w:rPr>
              <w:t>文件、报价文件</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或“开标一览表”或“</w:t>
            </w:r>
            <w:r>
              <w:rPr>
                <w:rFonts w:hint="eastAsia" w:ascii="宋体" w:hAnsi="宋体" w:cs="宋体"/>
                <w:b/>
                <w:bCs/>
                <w:color w:val="auto"/>
                <w:sz w:val="24"/>
                <w:highlight w:val="none"/>
              </w:rPr>
              <w:t>演示录制声像视频</w:t>
            </w:r>
            <w:r>
              <w:rPr>
                <w:rFonts w:hint="eastAsia" w:asciiTheme="minorEastAsia" w:hAnsiTheme="minorEastAsia" w:eastAsiaTheme="minorEastAsia"/>
                <w:color w:val="auto"/>
                <w:sz w:val="24"/>
                <w:highlight w:val="none"/>
              </w:rPr>
              <w:t>”，同时</w:t>
            </w:r>
            <w:r>
              <w:rPr>
                <w:rFonts w:hint="eastAsia" w:ascii="宋体" w:hAnsi="宋体" w:cs="宋体"/>
                <w:b/>
                <w:bCs/>
                <w:color w:val="auto"/>
                <w:sz w:val="24"/>
                <w:highlight w:val="none"/>
              </w:rPr>
              <w:t>写明项目名称、项目编号、供应商单位名称</w:t>
            </w:r>
            <w:r>
              <w:rPr>
                <w:rFonts w:asciiTheme="minorEastAsia" w:hAnsiTheme="minorEastAsia" w:eastAsiaTheme="minorEastAsia"/>
                <w:color w:val="auto"/>
                <w:sz w:val="24"/>
                <w:highlight w:val="none"/>
              </w:rPr>
              <w:t>。</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提交投标文件时应为</w:t>
            </w:r>
            <w:r>
              <w:rPr>
                <w:rFonts w:hint="eastAsia" w:asciiTheme="minorEastAsia" w:hAnsiTheme="minorEastAsia" w:eastAsiaTheme="minorEastAsia"/>
                <w:color w:val="auto"/>
                <w:sz w:val="24"/>
                <w:highlight w:val="none"/>
                <w:u w:val="single"/>
              </w:rPr>
              <w:t xml:space="preserve"> 一 </w:t>
            </w:r>
            <w:r>
              <w:rPr>
                <w:rFonts w:hint="eastAsia" w:asciiTheme="minorEastAsia" w:hAnsiTheme="minorEastAsia" w:eastAsiaTheme="minorEastAsia"/>
                <w:color w:val="auto"/>
                <w:sz w:val="24"/>
                <w:highlight w:val="none"/>
              </w:rPr>
              <w:t>个密封袋。</w:t>
            </w:r>
          </w:p>
          <w:p>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投标文件密封袋的封口处应加贴封条并</w:t>
            </w:r>
            <w:r>
              <w:rPr>
                <w:rFonts w:hint="eastAsia" w:asciiTheme="minorEastAsia" w:hAnsiTheme="minorEastAsia" w:eastAsiaTheme="minorEastAsia"/>
                <w:color w:val="auto"/>
                <w:sz w:val="24"/>
                <w:highlight w:val="none"/>
              </w:rPr>
              <w:t>签章（公章、密封章、法定代表人或其委托代理人签名均可）</w:t>
            </w:r>
            <w:r>
              <w:rPr>
                <w:rFonts w:asciiTheme="minorEastAsia" w:hAnsiTheme="minorEastAsia" w:eastAsiaTheme="minorEastAsia"/>
                <w:color w:val="auto"/>
                <w:sz w:val="24"/>
                <w:highlight w:val="none"/>
              </w:rPr>
              <w:t>以示密封</w:t>
            </w:r>
            <w:r>
              <w:rPr>
                <w:rFonts w:hint="eastAsia" w:asciiTheme="minorEastAsia" w:hAnsiTheme="minorEastAsia" w:eastAsiaTheme="minor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w:t>
            </w:r>
          </w:p>
        </w:tc>
        <w:tc>
          <w:tcPr>
            <w:tcW w:w="864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封套上写明：</w:t>
            </w:r>
          </w:p>
          <w:p>
            <w:pPr>
              <w:autoSpaceDE w:val="0"/>
              <w:autoSpaceDN w:val="0"/>
              <w:snapToGrid w:val="0"/>
              <w:ind w:firstLine="1320" w:firstLineChars="550"/>
              <w:textAlignment w:val="bottom"/>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投标文件</w:t>
            </w:r>
          </w:p>
          <w:p>
            <w:pPr>
              <w:autoSpaceDE w:val="0"/>
              <w:autoSpaceDN w:val="0"/>
              <w:snapToGrid w:val="0"/>
              <w:textAlignment w:val="bottom"/>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项目名称：</w:t>
            </w:r>
          </w:p>
          <w:p>
            <w:pPr>
              <w:autoSpaceDE w:val="0"/>
              <w:autoSpaceDN w:val="0"/>
              <w:snapToGrid w:val="0"/>
              <w:textAlignment w:val="bottom"/>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项目编号：</w:t>
            </w:r>
          </w:p>
          <w:p>
            <w:pPr>
              <w:autoSpaceDE w:val="0"/>
              <w:autoSpaceDN w:val="0"/>
              <w:snapToGrid w:val="0"/>
              <w:textAlignment w:val="bottom"/>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标项（如有）：</w:t>
            </w:r>
          </w:p>
          <w:p>
            <w:pPr>
              <w:autoSpaceDE w:val="0"/>
              <w:autoSpaceDN w:val="0"/>
              <w:snapToGrid w:val="0"/>
              <w:textAlignment w:val="bottom"/>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投标人名称：</w:t>
            </w:r>
          </w:p>
          <w:p>
            <w:pPr>
              <w:autoSpaceDE w:val="0"/>
              <w:autoSpaceDN w:val="0"/>
              <w:snapToGrid w:val="0"/>
              <w:textAlignment w:val="bottom"/>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投标人地址：</w:t>
            </w:r>
          </w:p>
          <w:p>
            <w:pPr>
              <w:autoSpaceDE w:val="0"/>
              <w:autoSpaceDN w:val="0"/>
              <w:snapToGrid w:val="0"/>
              <w:jc w:val="right"/>
              <w:textAlignment w:val="bottom"/>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在    年   月  日  时  分前不得开启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投标文件递交截止时间</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2020</w:t>
            </w:r>
            <w:r>
              <w:rPr>
                <w:rFonts w:hint="eastAsia" w:asciiTheme="minorEastAsia" w:hAnsiTheme="minorEastAsia" w:eastAsiaTheme="minorEastAsia" w:cstheme="minorEastAsia"/>
                <w:bCs/>
                <w:color w:val="auto"/>
                <w:sz w:val="24"/>
                <w:szCs w:val="24"/>
                <w:highlight w:val="none"/>
                <w:u w:val="single"/>
              </w:rPr>
              <w:t>年</w:t>
            </w:r>
            <w:r>
              <w:rPr>
                <w:rFonts w:hint="eastAsia" w:asciiTheme="minorEastAsia" w:hAnsiTheme="minorEastAsia" w:eastAsiaTheme="minorEastAsia" w:cstheme="minorEastAsia"/>
                <w:bCs/>
                <w:color w:val="auto"/>
                <w:sz w:val="24"/>
                <w:szCs w:val="24"/>
                <w:highlight w:val="none"/>
                <w:u w:val="single"/>
                <w:lang w:val="en-US" w:eastAsia="zh-CN"/>
              </w:rPr>
              <w:t>8</w:t>
            </w:r>
            <w:r>
              <w:rPr>
                <w:rFonts w:hint="eastAsia" w:asciiTheme="minorEastAsia" w:hAnsiTheme="minorEastAsia" w:eastAsiaTheme="minorEastAsia" w:cstheme="minorEastAsia"/>
                <w:bCs/>
                <w:color w:val="auto"/>
                <w:sz w:val="24"/>
                <w:szCs w:val="24"/>
                <w:highlight w:val="none"/>
                <w:u w:val="single"/>
              </w:rPr>
              <w:t>月</w:t>
            </w:r>
            <w:r>
              <w:rPr>
                <w:rFonts w:hint="eastAsia" w:asciiTheme="minorEastAsia" w:hAnsiTheme="minorEastAsia" w:eastAsiaTheme="minorEastAsia" w:cstheme="minorEastAsia"/>
                <w:bCs/>
                <w:color w:val="auto"/>
                <w:sz w:val="24"/>
                <w:szCs w:val="24"/>
                <w:highlight w:val="none"/>
                <w:u w:val="single"/>
                <w:lang w:val="en-US" w:eastAsia="zh-CN"/>
              </w:rPr>
              <w:t>3</w:t>
            </w:r>
            <w:r>
              <w:rPr>
                <w:rFonts w:hint="eastAsia" w:asciiTheme="minorEastAsia" w:hAnsiTheme="minorEastAsia" w:eastAsiaTheme="minorEastAsia" w:cstheme="minorEastAsia"/>
                <w:bCs/>
                <w:color w:val="auto"/>
                <w:sz w:val="24"/>
                <w:szCs w:val="24"/>
                <w:highlight w:val="none"/>
                <w:u w:val="single"/>
              </w:rPr>
              <w:t>日</w:t>
            </w:r>
            <w:r>
              <w:rPr>
                <w:rFonts w:hint="eastAsia" w:asciiTheme="minorEastAsia" w:hAnsiTheme="minorEastAsia" w:eastAsiaTheme="minorEastAsia" w:cstheme="minorEastAsia"/>
                <w:bCs/>
                <w:color w:val="auto"/>
                <w:sz w:val="24"/>
                <w:szCs w:val="24"/>
                <w:highlight w:val="none"/>
                <w:u w:val="single"/>
                <w:lang w:val="en-US" w:eastAsia="zh-CN"/>
              </w:rPr>
              <w:t>9</w:t>
            </w:r>
            <w:r>
              <w:rPr>
                <w:rFonts w:hint="eastAsia" w:asciiTheme="minorEastAsia" w:hAnsiTheme="minorEastAsia" w:eastAsiaTheme="minorEastAsia" w:cstheme="minorEastAsia"/>
                <w:bCs/>
                <w:color w:val="auto"/>
                <w:sz w:val="24"/>
                <w:szCs w:val="24"/>
                <w:highlight w:val="none"/>
                <w:u w:val="single"/>
              </w:rPr>
              <w:t>点</w:t>
            </w:r>
            <w:r>
              <w:rPr>
                <w:rFonts w:hint="eastAsia" w:asciiTheme="minorEastAsia" w:hAnsiTheme="minorEastAsia" w:eastAsiaTheme="minorEastAsia" w:cstheme="minorEastAsia"/>
                <w:bCs/>
                <w:color w:val="auto"/>
                <w:sz w:val="24"/>
                <w:szCs w:val="24"/>
                <w:highlight w:val="none"/>
                <w:u w:val="single"/>
                <w:lang w:val="en-US" w:eastAsia="zh-CN"/>
              </w:rPr>
              <w:t>30</w:t>
            </w:r>
            <w:r>
              <w:rPr>
                <w:rFonts w:hint="eastAsia" w:asciiTheme="minorEastAsia" w:hAnsiTheme="minorEastAsia" w:eastAsiaTheme="minorEastAsia" w:cstheme="minorEastAsia"/>
                <w:bCs/>
                <w:color w:val="auto"/>
                <w:sz w:val="24"/>
                <w:szCs w:val="24"/>
                <w:highlight w:val="none"/>
                <w:u w:val="single"/>
              </w:rPr>
              <w:t>分</w:t>
            </w:r>
            <w:r>
              <w:rPr>
                <w:rFonts w:hint="eastAsia" w:asciiTheme="minorEastAsia" w:hAnsiTheme="minorEastAsia" w:eastAsiaTheme="minorEastAsia"/>
                <w:color w:val="auto"/>
                <w:sz w:val="24"/>
                <w:highlight w:val="none"/>
                <w:u w:val="single"/>
              </w:rPr>
              <w:t xml:space="preserve">  </w:t>
            </w:r>
          </w:p>
          <w:p>
            <w:pPr>
              <w:snapToGrid w:val="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投标文件递交地点</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南宁市良庆区玉洞大道33号（青少年活动中心旁）市民中心9楼（具体安排详见电子大屏幕场地安排表）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开标时间：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2020</w:t>
            </w:r>
            <w:r>
              <w:rPr>
                <w:rFonts w:hint="eastAsia" w:asciiTheme="minorEastAsia" w:hAnsiTheme="minorEastAsia" w:eastAsiaTheme="minorEastAsia" w:cstheme="minorEastAsia"/>
                <w:bCs/>
                <w:color w:val="auto"/>
                <w:sz w:val="24"/>
                <w:szCs w:val="24"/>
                <w:highlight w:val="none"/>
                <w:u w:val="single"/>
              </w:rPr>
              <w:t>年</w:t>
            </w:r>
            <w:r>
              <w:rPr>
                <w:rFonts w:hint="eastAsia" w:asciiTheme="minorEastAsia" w:hAnsiTheme="minorEastAsia" w:eastAsiaTheme="minorEastAsia" w:cstheme="minorEastAsia"/>
                <w:bCs/>
                <w:color w:val="auto"/>
                <w:sz w:val="24"/>
                <w:szCs w:val="24"/>
                <w:highlight w:val="none"/>
                <w:u w:val="single"/>
                <w:lang w:val="en-US" w:eastAsia="zh-CN"/>
              </w:rPr>
              <w:t>8</w:t>
            </w:r>
            <w:r>
              <w:rPr>
                <w:rFonts w:hint="eastAsia" w:asciiTheme="minorEastAsia" w:hAnsiTheme="minorEastAsia" w:eastAsiaTheme="minorEastAsia" w:cstheme="minorEastAsia"/>
                <w:bCs/>
                <w:color w:val="auto"/>
                <w:sz w:val="24"/>
                <w:szCs w:val="24"/>
                <w:highlight w:val="none"/>
                <w:u w:val="single"/>
              </w:rPr>
              <w:t>月</w:t>
            </w:r>
            <w:r>
              <w:rPr>
                <w:rFonts w:hint="eastAsia" w:asciiTheme="minorEastAsia" w:hAnsiTheme="minorEastAsia" w:eastAsiaTheme="minorEastAsia" w:cstheme="minorEastAsia"/>
                <w:bCs/>
                <w:color w:val="auto"/>
                <w:sz w:val="24"/>
                <w:szCs w:val="24"/>
                <w:highlight w:val="none"/>
                <w:u w:val="single"/>
                <w:lang w:val="en-US" w:eastAsia="zh-CN"/>
              </w:rPr>
              <w:t>3</w:t>
            </w:r>
            <w:r>
              <w:rPr>
                <w:rFonts w:hint="eastAsia" w:asciiTheme="minorEastAsia" w:hAnsiTheme="minorEastAsia" w:eastAsiaTheme="minorEastAsia" w:cstheme="minorEastAsia"/>
                <w:bCs/>
                <w:color w:val="auto"/>
                <w:sz w:val="24"/>
                <w:szCs w:val="24"/>
                <w:highlight w:val="none"/>
                <w:u w:val="single"/>
              </w:rPr>
              <w:t>日</w:t>
            </w:r>
            <w:r>
              <w:rPr>
                <w:rFonts w:hint="eastAsia" w:asciiTheme="minorEastAsia" w:hAnsiTheme="minorEastAsia" w:eastAsiaTheme="minorEastAsia" w:cstheme="minorEastAsia"/>
                <w:bCs/>
                <w:color w:val="auto"/>
                <w:sz w:val="24"/>
                <w:szCs w:val="24"/>
                <w:highlight w:val="none"/>
                <w:u w:val="single"/>
                <w:lang w:val="en-US" w:eastAsia="zh-CN"/>
              </w:rPr>
              <w:t>9</w:t>
            </w:r>
            <w:r>
              <w:rPr>
                <w:rFonts w:hint="eastAsia" w:asciiTheme="minorEastAsia" w:hAnsiTheme="minorEastAsia" w:eastAsiaTheme="minorEastAsia" w:cstheme="minorEastAsia"/>
                <w:bCs/>
                <w:color w:val="auto"/>
                <w:sz w:val="24"/>
                <w:szCs w:val="24"/>
                <w:highlight w:val="none"/>
                <w:u w:val="single"/>
              </w:rPr>
              <w:t>点</w:t>
            </w:r>
            <w:r>
              <w:rPr>
                <w:rFonts w:hint="eastAsia" w:asciiTheme="minorEastAsia" w:hAnsiTheme="minorEastAsia" w:eastAsiaTheme="minorEastAsia" w:cstheme="minorEastAsia"/>
                <w:bCs/>
                <w:color w:val="auto"/>
                <w:sz w:val="24"/>
                <w:szCs w:val="24"/>
                <w:highlight w:val="none"/>
                <w:u w:val="single"/>
                <w:lang w:val="en-US" w:eastAsia="zh-CN"/>
              </w:rPr>
              <w:t>30</w:t>
            </w:r>
            <w:r>
              <w:rPr>
                <w:rFonts w:hint="eastAsia" w:asciiTheme="minorEastAsia" w:hAnsiTheme="minorEastAsia" w:eastAsiaTheme="minorEastAsia" w:cstheme="minorEastAsia"/>
                <w:bCs/>
                <w:color w:val="auto"/>
                <w:sz w:val="24"/>
                <w:szCs w:val="24"/>
                <w:highlight w:val="none"/>
                <w:u w:val="single"/>
              </w:rPr>
              <w:t>分</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 xml:space="preserve"> </w:t>
            </w:r>
          </w:p>
          <w:p>
            <w:pPr>
              <w:snapToGrid w:val="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地点：</w:t>
            </w:r>
            <w:r>
              <w:rPr>
                <w:rFonts w:hint="eastAsia" w:asciiTheme="minorEastAsia" w:hAnsiTheme="minorEastAsia" w:eastAsiaTheme="minorEastAsia"/>
                <w:b/>
                <w:color w:val="auto"/>
                <w:sz w:val="24"/>
                <w:highlight w:val="none"/>
                <w:u w:val="single"/>
              </w:rPr>
              <w:t xml:space="preserve"> 南宁市良庆区玉洞大道33号（青少年活动中心旁）市民中心9楼（具体安排详见电子大屏幕场地安排表）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w:t>
            </w:r>
          </w:p>
        </w:tc>
        <w:tc>
          <w:tcPr>
            <w:tcW w:w="864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评标办法及评分标准：详见第四章评标办法及评分标准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w:t>
            </w:r>
          </w:p>
        </w:tc>
        <w:tc>
          <w:tcPr>
            <w:tcW w:w="864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40" w:lineRule="exact"/>
              <w:textAlignment w:val="bottom"/>
              <w:rPr>
                <w:rFonts w:ascii="宋体" w:hAnsi="宋体"/>
                <w:color w:val="auto"/>
                <w:sz w:val="24"/>
                <w:highlight w:val="none"/>
              </w:rPr>
            </w:pPr>
            <w:r>
              <w:rPr>
                <w:rFonts w:hint="eastAsia" w:hAnsi="宋体"/>
                <w:b/>
                <w:color w:val="auto"/>
                <w:sz w:val="24"/>
                <w:highlight w:val="none"/>
              </w:rPr>
              <w:t>信用查询：</w:t>
            </w:r>
            <w:r>
              <w:rPr>
                <w:rFonts w:hint="eastAsia" w:ascii="宋体" w:hAnsi="宋体"/>
                <w:color w:val="auto"/>
                <w:sz w:val="24"/>
                <w:highlight w:val="none"/>
              </w:rPr>
              <w:t>根据《关于做好政府采购有关信用主体标识码登记及在政府采购活动中查询使用信用记录有关问题的通知》桂财采〔2016〕37号的通知，中标通知书发出前，由采购代理机构对第一中标候选人进行信用查询：</w:t>
            </w:r>
          </w:p>
          <w:p>
            <w:pPr>
              <w:autoSpaceDE w:val="0"/>
              <w:autoSpaceDN w:val="0"/>
              <w:snapToGrid w:val="0"/>
              <w:spacing w:line="44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⑴查询渠道：“信用中国”网站(www.creditchina.gov.cn)、中国政府采购网(www.ccgp.gov.cn)等；</w:t>
            </w:r>
          </w:p>
          <w:p>
            <w:pPr>
              <w:autoSpaceDE w:val="0"/>
              <w:autoSpaceDN w:val="0"/>
              <w:snapToGrid w:val="0"/>
              <w:spacing w:line="44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⑵查询截止时点：中标通知书发出前；</w:t>
            </w:r>
          </w:p>
          <w:p>
            <w:pPr>
              <w:autoSpaceDE w:val="0"/>
              <w:autoSpaceDN w:val="0"/>
              <w:snapToGrid w:val="0"/>
              <w:spacing w:line="44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⑶信用信息查询记录和证据留存方式：在查询网站中直接打印查询记录，打印材料作为采购活动资料保存。</w:t>
            </w:r>
          </w:p>
          <w:p>
            <w:pPr>
              <w:pStyle w:val="113"/>
              <w:spacing w:line="440" w:lineRule="exact"/>
              <w:ind w:firstLine="480" w:firstLineChars="200"/>
              <w:rPr>
                <w:rFonts w:hAnsi="宋体"/>
                <w:color w:val="auto"/>
                <w:sz w:val="24"/>
                <w:szCs w:val="24"/>
                <w:highlight w:val="none"/>
              </w:rPr>
            </w:pPr>
            <w:r>
              <w:rPr>
                <w:rFonts w:hint="eastAsia" w:hAnsi="宋体"/>
                <w:color w:val="auto"/>
                <w:sz w:val="24"/>
                <w:szCs w:val="24"/>
                <w:highlight w:val="none"/>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人资格。</w:t>
            </w:r>
          </w:p>
          <w:p>
            <w:pPr>
              <w:pStyle w:val="22"/>
              <w:spacing w:line="380" w:lineRule="exact"/>
              <w:ind w:firstLine="470" w:firstLineChars="196"/>
              <w:rPr>
                <w:rFonts w:hAnsi="宋体"/>
                <w:b/>
                <w:color w:val="auto"/>
                <w:sz w:val="24"/>
                <w:szCs w:val="24"/>
                <w:highlight w:val="none"/>
              </w:rPr>
            </w:pPr>
            <w:r>
              <w:rPr>
                <w:rFonts w:hint="eastAsia"/>
                <w:color w:val="auto"/>
                <w:sz w:val="24"/>
                <w:szCs w:val="24"/>
                <w:highlight w:val="none"/>
              </w:rPr>
              <w:t>两个以上的自然人、法人或者其他组织组成一个联合体，以一个供应商的身份共同参加政府采购活动的，对所有联合体成员进行信用记录查询，联合体成员存在不良信用记录的，视同联合体存在不良信用记录。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w:t>
            </w:r>
          </w:p>
        </w:tc>
        <w:tc>
          <w:tcPr>
            <w:tcW w:w="864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中标公告及中标通知书：</w:t>
            </w:r>
            <w:r>
              <w:rPr>
                <w:rFonts w:hint="eastAsia" w:asciiTheme="minorEastAsia" w:hAnsiTheme="minorEastAsia" w:eastAsiaTheme="minorEastAsia"/>
                <w:color w:val="auto"/>
                <w:sz w:val="24"/>
                <w:highlight w:val="none"/>
              </w:rPr>
              <w:t>本中心在采购人依法确认中标人后2个工作日内发布中标公告和中标通知书，中标公告发布于上述媒体（详细见公告中公布的网站）。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w:t>
            </w:r>
          </w:p>
        </w:tc>
        <w:tc>
          <w:tcPr>
            <w:tcW w:w="864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签订合同时间：</w:t>
            </w:r>
            <w:r>
              <w:rPr>
                <w:rFonts w:hint="eastAsia" w:asciiTheme="minorEastAsia" w:hAnsiTheme="minorEastAsia" w:eastAsiaTheme="minorEastAsia"/>
                <w:bCs/>
                <w:color w:val="auto"/>
                <w:sz w:val="24"/>
                <w:highlight w:val="none"/>
              </w:rPr>
              <w:t>自中标通知书发出之日起7日内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18</w:t>
            </w:r>
          </w:p>
        </w:tc>
        <w:tc>
          <w:tcPr>
            <w:tcW w:w="8640" w:type="dxa"/>
            <w:tcBorders>
              <w:top w:val="single" w:color="auto" w:sz="4" w:space="0"/>
              <w:left w:val="single" w:color="auto" w:sz="4" w:space="0"/>
              <w:bottom w:val="single" w:color="auto" w:sz="4" w:space="0"/>
              <w:right w:val="single" w:color="auto" w:sz="4" w:space="0"/>
            </w:tcBorders>
          </w:tcPr>
          <w:p>
            <w:pPr>
              <w:spacing w:line="45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采购资金来源：预算资金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19</w:t>
            </w:r>
          </w:p>
        </w:tc>
        <w:tc>
          <w:tcPr>
            <w:tcW w:w="8640" w:type="dxa"/>
            <w:tcBorders>
              <w:top w:val="single" w:color="auto" w:sz="4" w:space="0"/>
              <w:left w:val="single" w:color="auto" w:sz="4" w:space="0"/>
              <w:bottom w:val="single" w:color="auto" w:sz="4" w:space="0"/>
              <w:right w:val="single" w:color="auto" w:sz="4" w:space="0"/>
            </w:tcBorders>
          </w:tcPr>
          <w:p>
            <w:pPr>
              <w:spacing w:line="45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付款方式：采购人自行支付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20</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解释：本招标文件的解释权属于招标采购代理机构。</w:t>
            </w:r>
          </w:p>
        </w:tc>
      </w:tr>
    </w:tbl>
    <w:p>
      <w:pPr>
        <w:pStyle w:val="22"/>
        <w:tabs>
          <w:tab w:val="left" w:pos="426"/>
        </w:tabs>
        <w:snapToGrid w:val="0"/>
        <w:jc w:val="center"/>
        <w:rPr>
          <w:rFonts w:hAnsi="宋体"/>
          <w:b/>
          <w:color w:val="auto"/>
          <w:sz w:val="32"/>
          <w:szCs w:val="32"/>
          <w:highlight w:val="none"/>
        </w:rPr>
      </w:pPr>
      <w:r>
        <w:rPr>
          <w:rFonts w:hAnsi="宋体"/>
          <w:b/>
          <w:color w:val="auto"/>
          <w:highlight w:val="none"/>
        </w:rPr>
        <w:br w:type="page"/>
      </w:r>
      <w:r>
        <w:rPr>
          <w:rFonts w:hint="eastAsia" w:hAnsi="宋体"/>
          <w:b/>
          <w:color w:val="auto"/>
          <w:sz w:val="32"/>
          <w:szCs w:val="32"/>
          <w:highlight w:val="none"/>
        </w:rPr>
        <w:t>一、总  则</w:t>
      </w:r>
    </w:p>
    <w:p>
      <w:pPr>
        <w:snapToGrid w:val="0"/>
        <w:spacing w:line="360" w:lineRule="exact"/>
        <w:jc w:val="left"/>
        <w:rPr>
          <w:rFonts w:asciiTheme="minorEastAsia" w:hAnsiTheme="minorEastAsia" w:eastAsiaTheme="minorEastAsia"/>
          <w:b/>
          <w:color w:val="auto"/>
          <w:sz w:val="24"/>
          <w:highlight w:val="none"/>
        </w:rPr>
      </w:pPr>
      <w:bookmarkStart w:id="242" w:name="_Toc254970668"/>
      <w:bookmarkStart w:id="243" w:name="_Toc254970527"/>
      <w:r>
        <w:rPr>
          <w:rFonts w:hint="eastAsia" w:asciiTheme="minorEastAsia" w:hAnsiTheme="minorEastAsia" w:eastAsiaTheme="minorEastAsia"/>
          <w:b/>
          <w:color w:val="auto"/>
          <w:sz w:val="24"/>
          <w:highlight w:val="none"/>
        </w:rPr>
        <w:t>（一） 适用范围</w:t>
      </w:r>
      <w:bookmarkEnd w:id="242"/>
      <w:bookmarkEnd w:id="243"/>
    </w:p>
    <w:p>
      <w:pPr>
        <w:snapToGrid w:val="0"/>
        <w:spacing w:line="360" w:lineRule="exact"/>
        <w:ind w:firstLine="360" w:firstLineChars="150"/>
        <w:jc w:val="left"/>
        <w:rPr>
          <w:rFonts w:asciiTheme="minorEastAsia" w:hAnsiTheme="minorEastAsia" w:eastAsiaTheme="minorEastAsia"/>
          <w:color w:val="auto"/>
          <w:sz w:val="24"/>
          <w:highlight w:val="none"/>
        </w:rPr>
      </w:pPr>
      <w:bookmarkStart w:id="244" w:name="_Toc254970669"/>
      <w:bookmarkStart w:id="245" w:name="_Toc254970528"/>
      <w:r>
        <w:rPr>
          <w:rFonts w:hint="eastAsia" w:asciiTheme="minorEastAsia" w:hAnsiTheme="minorEastAsia" w:eastAsiaTheme="minorEastAsia"/>
          <w:color w:val="auto"/>
          <w:sz w:val="24"/>
          <w:highlight w:val="none"/>
        </w:rPr>
        <w:t>本招标文件适用于</w:t>
      </w:r>
      <w:r>
        <w:rPr>
          <w:rFonts w:hint="eastAsia" w:ascii="宋体" w:hAnsi="宋体" w:cs="宋体"/>
          <w:color w:val="auto"/>
          <w:sz w:val="24"/>
          <w:highlight w:val="none"/>
        </w:rPr>
        <w:t>南宁市信息网络管理中心</w:t>
      </w:r>
      <w:r>
        <w:rPr>
          <w:rFonts w:hint="eastAsia" w:asciiTheme="minorEastAsia" w:hAnsiTheme="minorEastAsia" w:eastAsiaTheme="minorEastAsia"/>
          <w:color w:val="auto"/>
          <w:sz w:val="24"/>
          <w:highlight w:val="none"/>
        </w:rPr>
        <w:t>的</w:t>
      </w:r>
      <w:r>
        <w:rPr>
          <w:rFonts w:hint="eastAsia" w:ascii="宋体" w:hAnsi="宋体" w:eastAsiaTheme="minorEastAsia"/>
          <w:color w:val="auto"/>
          <w:spacing w:val="-6"/>
          <w:sz w:val="24"/>
          <w:highlight w:val="none"/>
          <w:u w:val="single"/>
        </w:rPr>
        <w:t>南宁市政务办公精细化管理系统服务采购</w:t>
      </w:r>
      <w:r>
        <w:rPr>
          <w:rFonts w:hint="eastAsia" w:asciiTheme="minorEastAsia" w:hAnsiTheme="minorEastAsia" w:eastAsiaTheme="minorEastAsia"/>
          <w:color w:val="auto"/>
          <w:sz w:val="24"/>
          <w:highlight w:val="none"/>
        </w:rPr>
        <w:t>项目的招标、投标、评标、定标、验收、合同履约、付款等行为（法律、法规另有规定的，从其规定）。</w:t>
      </w:r>
    </w:p>
    <w:p>
      <w:pPr>
        <w:snapToGrid w:val="0"/>
        <w:spacing w:line="360" w:lineRule="exact"/>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（二）定义</w:t>
      </w:r>
      <w:bookmarkEnd w:id="244"/>
      <w:bookmarkEnd w:id="245"/>
    </w:p>
    <w:p>
      <w:pPr>
        <w:widowControl/>
        <w:adjustRightInd w:val="0"/>
        <w:spacing w:line="360" w:lineRule="exact"/>
        <w:ind w:firstLine="360" w:firstLineChars="15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1.招标采购单位系指组织本次招标的采购人和代理机构。</w:t>
      </w:r>
    </w:p>
    <w:p>
      <w:pPr>
        <w:widowControl/>
        <w:adjustRightInd w:val="0"/>
        <w:spacing w:line="360" w:lineRule="exact"/>
        <w:ind w:firstLine="360" w:firstLineChars="15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2.“投标人”系指向招标方提交投标文件的单位或自然人。</w:t>
      </w:r>
    </w:p>
    <w:p>
      <w:pPr>
        <w:widowControl/>
        <w:adjustRightInd w:val="0"/>
        <w:spacing w:line="360" w:lineRule="exact"/>
        <w:ind w:firstLine="360" w:firstLineChars="15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3.“产品”系指供方按招标文件规定，须向采购人提供的一切设备、保险、税金、备品备件、工具、手册及其它有关技术资料和材料。</w:t>
      </w:r>
    </w:p>
    <w:p>
      <w:pPr>
        <w:widowControl/>
        <w:adjustRightInd w:val="0"/>
        <w:spacing w:line="360" w:lineRule="exact"/>
        <w:ind w:firstLine="360" w:firstLineChars="15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4.“服务”系指招标文件规定投标人须承担的安装、调试、技术协助、校准、培训、技术指导以及其他类似的义务。</w:t>
      </w:r>
    </w:p>
    <w:p>
      <w:pPr>
        <w:widowControl/>
        <w:adjustRightInd w:val="0"/>
        <w:spacing w:line="360" w:lineRule="exact"/>
        <w:ind w:firstLine="360" w:firstLineChars="15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5.“项目”系指投标人按招标文件规定向采购人提供的产品和服务。</w:t>
      </w:r>
    </w:p>
    <w:p>
      <w:pPr>
        <w:widowControl/>
        <w:adjustRightInd w:val="0"/>
        <w:spacing w:line="360" w:lineRule="exact"/>
        <w:ind w:firstLine="360" w:firstLineChars="15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6.“书面形式”包括信函、传真、电子邮件等。</w:t>
      </w:r>
    </w:p>
    <w:p>
      <w:pPr>
        <w:snapToGrid w:val="0"/>
        <w:spacing w:line="360" w:lineRule="exact"/>
        <w:jc w:val="left"/>
        <w:rPr>
          <w:rFonts w:asciiTheme="minorEastAsia" w:hAnsiTheme="minorEastAsia" w:eastAsiaTheme="minorEastAsia"/>
          <w:b/>
          <w:color w:val="auto"/>
          <w:sz w:val="24"/>
          <w:highlight w:val="none"/>
        </w:rPr>
      </w:pPr>
      <w:bookmarkStart w:id="246" w:name="_Toc254970529"/>
      <w:bookmarkStart w:id="247" w:name="_Toc254970670"/>
      <w:r>
        <w:rPr>
          <w:rFonts w:hint="eastAsia" w:asciiTheme="minorEastAsia" w:hAnsiTheme="minorEastAsia" w:eastAsiaTheme="minorEastAsia"/>
          <w:b/>
          <w:color w:val="auto"/>
          <w:sz w:val="24"/>
          <w:highlight w:val="none"/>
        </w:rPr>
        <w:t>（三）招标方式</w:t>
      </w:r>
      <w:bookmarkEnd w:id="246"/>
      <w:bookmarkEnd w:id="247"/>
    </w:p>
    <w:p>
      <w:pPr>
        <w:snapToGrid w:val="0"/>
        <w:spacing w:line="360" w:lineRule="exact"/>
        <w:ind w:firstLine="360" w:firstLineChars="15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公开招标方式。</w:t>
      </w:r>
    </w:p>
    <w:p>
      <w:pPr>
        <w:tabs>
          <w:tab w:val="left" w:pos="426"/>
        </w:tabs>
        <w:snapToGrid w:val="0"/>
        <w:spacing w:line="360" w:lineRule="exact"/>
        <w:jc w:val="left"/>
        <w:rPr>
          <w:rFonts w:asciiTheme="minorEastAsia" w:hAnsiTheme="minorEastAsia" w:eastAsiaTheme="minorEastAsia"/>
          <w:b/>
          <w:color w:val="auto"/>
          <w:sz w:val="24"/>
          <w:highlight w:val="none"/>
        </w:rPr>
      </w:pPr>
      <w:bookmarkStart w:id="248" w:name="_Toc254970530"/>
      <w:bookmarkStart w:id="249" w:name="_Toc254970671"/>
      <w:r>
        <w:rPr>
          <w:rFonts w:hint="eastAsia" w:asciiTheme="minorEastAsia" w:hAnsiTheme="minorEastAsia" w:eastAsiaTheme="minorEastAsia"/>
          <w:b/>
          <w:color w:val="auto"/>
          <w:sz w:val="24"/>
          <w:highlight w:val="none"/>
        </w:rPr>
        <w:t>（四）投标委托</w:t>
      </w:r>
      <w:bookmarkEnd w:id="248"/>
      <w:bookmarkEnd w:id="249"/>
    </w:p>
    <w:p>
      <w:pPr>
        <w:pStyle w:val="18"/>
        <w:snapToGrid w:val="0"/>
        <w:spacing w:line="360" w:lineRule="exact"/>
        <w:ind w:firstLine="360" w:firstLineChars="15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投标人代表须携带法定代表人身份证明书及有效身份证件。如投标人代表不是法定代表人，须有法定代表人出具的授权委托书（正本用原件，副本用复印件，格式见第四部分）。</w:t>
      </w:r>
    </w:p>
    <w:p>
      <w:pPr>
        <w:snapToGrid w:val="0"/>
        <w:spacing w:line="360" w:lineRule="exact"/>
        <w:jc w:val="left"/>
        <w:rPr>
          <w:rFonts w:asciiTheme="minorEastAsia" w:hAnsiTheme="minorEastAsia" w:eastAsiaTheme="minorEastAsia"/>
          <w:b/>
          <w:color w:val="auto"/>
          <w:sz w:val="24"/>
          <w:highlight w:val="none"/>
        </w:rPr>
      </w:pPr>
      <w:bookmarkStart w:id="250" w:name="_Toc254970672"/>
      <w:bookmarkStart w:id="251" w:name="_Toc254970531"/>
      <w:r>
        <w:rPr>
          <w:rFonts w:hint="eastAsia" w:asciiTheme="minorEastAsia" w:hAnsiTheme="minorEastAsia" w:eastAsiaTheme="minorEastAsia"/>
          <w:b/>
          <w:color w:val="auto"/>
          <w:sz w:val="24"/>
          <w:highlight w:val="none"/>
        </w:rPr>
        <w:t>（五）投标费用</w:t>
      </w:r>
      <w:bookmarkEnd w:id="250"/>
      <w:bookmarkEnd w:id="251"/>
    </w:p>
    <w:p>
      <w:pPr>
        <w:snapToGrid w:val="0"/>
        <w:spacing w:line="360" w:lineRule="exact"/>
        <w:ind w:firstLine="360" w:firstLineChars="15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不论投标结果如何，投标人均应自行承担所有与投标有关的全部费用（招标文件有相关的规定除外）。</w:t>
      </w:r>
    </w:p>
    <w:p>
      <w:pPr>
        <w:snapToGrid w:val="0"/>
        <w:spacing w:before="156" w:beforeLines="50" w:line="360" w:lineRule="exact"/>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（六）联合体投标</w:t>
      </w:r>
    </w:p>
    <w:p>
      <w:pPr>
        <w:widowControl/>
        <w:shd w:val="clear" w:color="auto" w:fill="FFFFFF"/>
        <w:tabs>
          <w:tab w:val="left" w:pos="851"/>
        </w:tabs>
        <w:spacing w:line="360" w:lineRule="exact"/>
        <w:ind w:firstLine="360" w:firstLineChars="150"/>
        <w:jc w:val="left"/>
        <w:rPr>
          <w:rFonts w:cs="Tahoma" w:asciiTheme="minorEastAsia" w:hAnsiTheme="minorEastAsia" w:eastAsiaTheme="minorEastAsia"/>
          <w:color w:val="auto"/>
          <w:kern w:val="0"/>
          <w:sz w:val="24"/>
          <w:highlight w:val="none"/>
        </w:rPr>
      </w:pPr>
      <w:r>
        <w:rPr>
          <w:rFonts w:hint="eastAsia" w:cs="Tahoma" w:asciiTheme="minorEastAsia" w:hAnsiTheme="minorEastAsia" w:eastAsiaTheme="minorEastAsia"/>
          <w:color w:val="auto"/>
          <w:kern w:val="0"/>
          <w:sz w:val="24"/>
          <w:highlight w:val="none"/>
        </w:rPr>
        <w:t>联合体投标要求:</w:t>
      </w:r>
    </w:p>
    <w:p>
      <w:pPr>
        <w:snapToGrid w:val="0"/>
        <w:spacing w:line="360" w:lineRule="exact"/>
        <w:ind w:firstLine="480" w:firstLineChars="200"/>
        <w:rPr>
          <w:rFonts w:cs="Tahoma" w:asciiTheme="minorEastAsia" w:hAnsiTheme="minorEastAsia" w:eastAsiaTheme="minorEastAsia"/>
          <w:color w:val="auto"/>
          <w:kern w:val="0"/>
          <w:sz w:val="24"/>
          <w:highlight w:val="none"/>
        </w:rPr>
      </w:pPr>
      <w:r>
        <w:rPr>
          <w:rFonts w:hint="eastAsia" w:cs="Tahoma" w:asciiTheme="minorEastAsia" w:hAnsiTheme="minorEastAsia" w:eastAsiaTheme="minorEastAsia"/>
          <w:color w:val="auto"/>
          <w:kern w:val="0"/>
          <w:sz w:val="24"/>
          <w:highlight w:val="none"/>
        </w:rPr>
        <w:t>本项目不接受联合体投标</w:t>
      </w:r>
    </w:p>
    <w:p>
      <w:pPr>
        <w:snapToGrid w:val="0"/>
        <w:spacing w:line="360" w:lineRule="exact"/>
        <w:ind w:firstLine="0" w:firstLineChars="0"/>
        <w:rPr>
          <w:rFonts w:cs="宋体" w:asciiTheme="minorEastAsia" w:hAnsiTheme="minorEastAsia" w:eastAsiaTheme="minorEastAsia"/>
          <w:b/>
          <w:color w:val="auto"/>
          <w:kern w:val="0"/>
          <w:sz w:val="24"/>
          <w:highlight w:val="none"/>
        </w:rPr>
      </w:pPr>
      <w:r>
        <w:rPr>
          <w:rFonts w:hint="eastAsia" w:asciiTheme="minorEastAsia" w:hAnsiTheme="minorEastAsia" w:eastAsiaTheme="minorEastAsia"/>
          <w:b/>
          <w:color w:val="auto"/>
          <w:sz w:val="24"/>
          <w:highlight w:val="none"/>
        </w:rPr>
        <w:t>（七）</w:t>
      </w:r>
      <w:r>
        <w:rPr>
          <w:rFonts w:hint="eastAsia" w:cs="宋体" w:asciiTheme="minorEastAsia" w:hAnsiTheme="minorEastAsia" w:eastAsiaTheme="minorEastAsia"/>
          <w:b/>
          <w:color w:val="auto"/>
          <w:kern w:val="0"/>
          <w:sz w:val="24"/>
          <w:highlight w:val="none"/>
        </w:rPr>
        <w:t>专业分包 ：</w:t>
      </w:r>
    </w:p>
    <w:p>
      <w:pPr>
        <w:snapToGrid w:val="0"/>
        <w:spacing w:line="360" w:lineRule="exact"/>
        <w:ind w:firstLine="602" w:firstLineChars="250"/>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本项目</w:t>
      </w:r>
      <w:r>
        <w:rPr>
          <w:rFonts w:hint="eastAsia" w:cs="宋体" w:asciiTheme="minorEastAsia" w:hAnsiTheme="minorEastAsia" w:eastAsiaTheme="minorEastAsia"/>
          <w:b/>
          <w:color w:val="auto"/>
          <w:kern w:val="0"/>
          <w:sz w:val="24"/>
          <w:highlight w:val="none"/>
          <w:u w:val="single"/>
        </w:rPr>
        <w:t>不可以</w:t>
      </w:r>
      <w:r>
        <w:rPr>
          <w:rFonts w:hint="eastAsia" w:cs="宋体" w:asciiTheme="minorEastAsia" w:hAnsiTheme="minorEastAsia" w:eastAsiaTheme="minorEastAsia"/>
          <w:b/>
          <w:color w:val="auto"/>
          <w:kern w:val="0"/>
          <w:sz w:val="24"/>
          <w:highlight w:val="none"/>
        </w:rPr>
        <w:t>将</w:t>
      </w:r>
      <w:r>
        <w:rPr>
          <w:rFonts w:hint="eastAsia" w:cs="宋体" w:asciiTheme="minorEastAsia" w:hAnsiTheme="minorEastAsia" w:eastAsiaTheme="minorEastAsia"/>
          <w:color w:val="auto"/>
          <w:kern w:val="0"/>
          <w:sz w:val="24"/>
          <w:highlight w:val="none"/>
        </w:rPr>
        <w:t>非主体、非关键性工作分包。可以分包的内容是：</w:t>
      </w:r>
      <w:r>
        <w:rPr>
          <w:rFonts w:hint="eastAsia" w:cs="宋体" w:asciiTheme="minorEastAsia" w:hAnsiTheme="minorEastAsia" w:eastAsiaTheme="minorEastAsia"/>
          <w:color w:val="auto"/>
          <w:kern w:val="0"/>
          <w:sz w:val="24"/>
          <w:highlight w:val="none"/>
          <w:u w:val="single"/>
        </w:rPr>
        <w:t xml:space="preserve"> / </w:t>
      </w:r>
      <w:r>
        <w:rPr>
          <w:rFonts w:hint="eastAsia" w:cs="宋体" w:asciiTheme="minorEastAsia" w:hAnsiTheme="minorEastAsia" w:eastAsiaTheme="minorEastAsia"/>
          <w:color w:val="auto"/>
          <w:kern w:val="0"/>
          <w:sz w:val="24"/>
          <w:highlight w:val="none"/>
        </w:rPr>
        <w:t>。（可以分包的，投标人应当在投标文件中载明分包承担主体，分包承担主体应当具备相应资质条件且不得再次分包。）</w:t>
      </w:r>
      <w:r>
        <w:rPr>
          <w:rFonts w:hint="eastAsia" w:cs="宋体" w:asciiTheme="minorEastAsia" w:hAnsiTheme="minorEastAsia" w:eastAsiaTheme="minorEastAsia"/>
          <w:b/>
          <w:color w:val="auto"/>
          <w:kern w:val="0"/>
          <w:sz w:val="24"/>
          <w:highlight w:val="none"/>
        </w:rPr>
        <w:t xml:space="preserve">            </w:t>
      </w:r>
    </w:p>
    <w:p>
      <w:pPr>
        <w:tabs>
          <w:tab w:val="left" w:pos="426"/>
        </w:tabs>
        <w:snapToGrid w:val="0"/>
        <w:spacing w:line="360" w:lineRule="exact"/>
        <w:jc w:val="left"/>
        <w:rPr>
          <w:rFonts w:asciiTheme="minorEastAsia" w:hAnsiTheme="minorEastAsia" w:eastAsiaTheme="minorEastAsia"/>
          <w:b/>
          <w:color w:val="auto"/>
          <w:sz w:val="24"/>
          <w:highlight w:val="none"/>
        </w:rPr>
      </w:pPr>
      <w:bookmarkStart w:id="252" w:name="_Toc254970532"/>
      <w:bookmarkStart w:id="253" w:name="_Toc254970673"/>
      <w:r>
        <w:rPr>
          <w:rFonts w:hint="eastAsia" w:asciiTheme="minorEastAsia" w:hAnsiTheme="minorEastAsia" w:eastAsiaTheme="minorEastAsia"/>
          <w:b/>
          <w:color w:val="auto"/>
          <w:sz w:val="24"/>
          <w:highlight w:val="none"/>
        </w:rPr>
        <w:t>（八）特别说明：</w:t>
      </w:r>
      <w:bookmarkEnd w:id="252"/>
      <w:bookmarkEnd w:id="253"/>
    </w:p>
    <w:p>
      <w:pPr>
        <w:snapToGrid w:val="0"/>
        <w:spacing w:line="360" w:lineRule="exact"/>
        <w:ind w:firstLine="600" w:firstLineChars="250"/>
        <w:rPr>
          <w:rFonts w:cs="宋体" w:asciiTheme="minorEastAsia" w:hAnsiTheme="minorEastAsia" w:eastAsiaTheme="minorEastAsia"/>
          <w:color w:val="auto"/>
          <w:kern w:val="0"/>
          <w:sz w:val="24"/>
          <w:highlight w:val="none"/>
        </w:rPr>
      </w:pPr>
      <w:bookmarkStart w:id="254" w:name="_Toc254970533"/>
      <w:bookmarkStart w:id="255" w:name="_Toc254970674"/>
      <w:r>
        <w:rPr>
          <w:rFonts w:hint="eastAsia" w:cs="宋体" w:asciiTheme="minorEastAsia" w:hAnsiTheme="minorEastAsia" w:eastAsiaTheme="minorEastAsia"/>
          <w:color w:val="auto"/>
          <w:kern w:val="0"/>
          <w:sz w:val="24"/>
          <w:highlight w:val="none"/>
        </w:rPr>
        <w:t xml:space="preserve">1、投标人投标所使用的资格、信誉、荣誉、业绩与企业认证必须为本法人或提供服务的服务商所拥有。投标人投标所使用的采购项目实施人员必须为本法人员工（或必须为本法人或控股公司正式员工）。 </w:t>
      </w:r>
    </w:p>
    <w:p>
      <w:pPr>
        <w:snapToGrid w:val="0"/>
        <w:spacing w:line="360" w:lineRule="exact"/>
        <w:ind w:firstLine="600" w:firstLineChars="25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 投标人应仔细阅读招标文件的所有内容，按照招标文件的要求提交投标文件，并对所提供的全部资料的真实性承担法律责任。</w:t>
      </w:r>
    </w:p>
    <w:p>
      <w:pPr>
        <w:snapToGrid w:val="0"/>
        <w:spacing w:line="360" w:lineRule="exact"/>
        <w:ind w:firstLine="600" w:firstLineChars="25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3.投标人在投标活动中提供任何虚假材料,其投标无效，并报监管部门查处；中标后发现的,中标人须依照《中华人民共和国消费者权益保护法》第49条之规定双倍赔偿采购人，且民事赔偿并不免除违法投标</w:t>
      </w:r>
      <w:r>
        <w:rPr>
          <w:rFonts w:hint="eastAsia" w:asciiTheme="minorEastAsia" w:hAnsiTheme="minorEastAsia" w:eastAsiaTheme="minorEastAsia"/>
          <w:color w:val="auto"/>
          <w:sz w:val="24"/>
          <w:highlight w:val="none"/>
        </w:rPr>
        <w:t>人的行政与刑事责任。</w:t>
      </w:r>
    </w:p>
    <w:p>
      <w:pPr>
        <w:pStyle w:val="22"/>
        <w:spacing w:line="360" w:lineRule="exact"/>
        <w:ind w:firstLine="360" w:firstLineChars="1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4.投标截止时间结束后参加投标的供应商不足三家的,不予开标，此时将按《政府采购货物和服务招标投标管理办法》（中华人民共和国财政部第87号令）第43条的有关规定进行办理。</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kern w:val="0"/>
          <w:sz w:val="24"/>
          <w:szCs w:val="24"/>
          <w:highlight w:val="none"/>
        </w:rPr>
        <w:t>通过资格审查或符合性审查的投标人不足3家的</w:t>
      </w:r>
      <w:r>
        <w:rPr>
          <w:rFonts w:hint="eastAsia" w:asciiTheme="minorEastAsia" w:hAnsiTheme="minorEastAsia" w:eastAsiaTheme="minorEastAsia"/>
          <w:color w:val="auto"/>
          <w:sz w:val="24"/>
          <w:szCs w:val="24"/>
          <w:highlight w:val="none"/>
        </w:rPr>
        <w:t>将按《政府采购货物和服务招标投标管理办法》（中华人民共和国财政部第87号令）第43条的有关规定执行。</w:t>
      </w:r>
    </w:p>
    <w:p>
      <w:pPr>
        <w:widowControl/>
        <w:adjustRightInd w:val="0"/>
        <w:spacing w:line="360" w:lineRule="exact"/>
        <w:ind w:firstLine="360" w:firstLineChars="15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5.有下列情形之一的视为</w:t>
      </w:r>
      <w:r>
        <w:rPr>
          <w:rFonts w:cs="仿宋_GB2312" w:asciiTheme="minorEastAsia" w:hAnsiTheme="minorEastAsia" w:eastAsiaTheme="minorEastAsia"/>
          <w:color w:val="auto"/>
          <w:kern w:val="0"/>
          <w:sz w:val="24"/>
          <w:highlight w:val="none"/>
          <w:lang w:val="zh-CN"/>
        </w:rPr>
        <w:t>投标人相互串通</w:t>
      </w:r>
      <w:r>
        <w:rPr>
          <w:rFonts w:hint="eastAsia" w:cs="仿宋_GB2312" w:asciiTheme="minorEastAsia" w:hAnsiTheme="minorEastAsia" w:eastAsiaTheme="minorEastAsia"/>
          <w:color w:val="auto"/>
          <w:kern w:val="0"/>
          <w:sz w:val="24"/>
          <w:highlight w:val="none"/>
          <w:lang w:val="zh-CN"/>
        </w:rPr>
        <w:t>，投标文件将视为无效：</w:t>
      </w:r>
    </w:p>
    <w:p>
      <w:pPr>
        <w:widowControl/>
        <w:shd w:val="clear" w:color="auto" w:fill="FFFFFF"/>
        <w:spacing w:line="360" w:lineRule="exact"/>
        <w:ind w:firstLine="640"/>
        <w:jc w:val="left"/>
        <w:rPr>
          <w:rFonts w:cs="Tahoma" w:asciiTheme="minorEastAsia" w:hAnsiTheme="minorEastAsia" w:eastAsiaTheme="minorEastAsia"/>
          <w:color w:val="auto"/>
          <w:kern w:val="0"/>
          <w:sz w:val="24"/>
          <w:highlight w:val="none"/>
        </w:rPr>
      </w:pPr>
      <w:r>
        <w:rPr>
          <w:rFonts w:cs="Tahoma" w:asciiTheme="minorEastAsia" w:hAnsiTheme="minorEastAsia" w:eastAsiaTheme="minorEastAsia"/>
          <w:color w:val="auto"/>
          <w:kern w:val="0"/>
          <w:sz w:val="24"/>
          <w:highlight w:val="none"/>
        </w:rPr>
        <w:t>（</w:t>
      </w:r>
      <w:r>
        <w:rPr>
          <w:rFonts w:hint="eastAsia" w:cs="Tahoma" w:asciiTheme="minorEastAsia" w:hAnsiTheme="minorEastAsia" w:eastAsiaTheme="minorEastAsia"/>
          <w:color w:val="auto"/>
          <w:kern w:val="0"/>
          <w:sz w:val="24"/>
          <w:highlight w:val="none"/>
        </w:rPr>
        <w:t>1</w:t>
      </w:r>
      <w:r>
        <w:rPr>
          <w:rFonts w:cs="Tahoma" w:asciiTheme="minorEastAsia" w:hAnsiTheme="minorEastAsia" w:eastAsiaTheme="minorEastAsia"/>
          <w:color w:val="auto"/>
          <w:kern w:val="0"/>
          <w:sz w:val="24"/>
          <w:highlight w:val="none"/>
        </w:rPr>
        <w:t>）不同投标人的投标文件由同一单位或者个人编制；</w:t>
      </w:r>
    </w:p>
    <w:p>
      <w:pPr>
        <w:widowControl/>
        <w:shd w:val="clear" w:color="auto" w:fill="FFFFFF"/>
        <w:spacing w:line="360" w:lineRule="exact"/>
        <w:ind w:firstLine="640"/>
        <w:jc w:val="left"/>
        <w:rPr>
          <w:rFonts w:cs="宋体" w:asciiTheme="minorEastAsia" w:hAnsiTheme="minorEastAsia" w:eastAsiaTheme="minorEastAsia"/>
          <w:color w:val="auto"/>
          <w:kern w:val="0"/>
          <w:sz w:val="24"/>
          <w:highlight w:val="none"/>
        </w:rPr>
      </w:pPr>
      <w:r>
        <w:rPr>
          <w:rFonts w:cs="Tahoma" w:asciiTheme="minorEastAsia" w:hAnsiTheme="minorEastAsia" w:eastAsiaTheme="minorEastAsia"/>
          <w:color w:val="auto"/>
          <w:kern w:val="0"/>
          <w:sz w:val="24"/>
          <w:highlight w:val="none"/>
        </w:rPr>
        <w:t>（</w:t>
      </w:r>
      <w:r>
        <w:rPr>
          <w:rFonts w:hint="eastAsia" w:cs="Tahoma" w:asciiTheme="minorEastAsia" w:hAnsiTheme="minorEastAsia" w:eastAsiaTheme="minorEastAsia"/>
          <w:color w:val="auto"/>
          <w:kern w:val="0"/>
          <w:sz w:val="24"/>
          <w:highlight w:val="none"/>
        </w:rPr>
        <w:t>2</w:t>
      </w:r>
      <w:r>
        <w:rPr>
          <w:rFonts w:cs="Tahoma" w:asciiTheme="minorEastAsia" w:hAnsiTheme="minorEastAsia" w:eastAsiaTheme="minorEastAsia"/>
          <w:color w:val="auto"/>
          <w:kern w:val="0"/>
          <w:sz w:val="24"/>
          <w:highlight w:val="none"/>
        </w:rPr>
        <w:t>）不同投标人委托同一单位或者个人办理投标事宜;</w:t>
      </w:r>
    </w:p>
    <w:p>
      <w:pPr>
        <w:widowControl/>
        <w:shd w:val="clear" w:color="auto" w:fill="FFFFFF"/>
        <w:spacing w:line="360" w:lineRule="exact"/>
        <w:ind w:firstLine="640"/>
        <w:jc w:val="left"/>
        <w:rPr>
          <w:rFonts w:cs="宋体" w:asciiTheme="minorEastAsia" w:hAnsiTheme="minorEastAsia" w:eastAsiaTheme="minorEastAsia"/>
          <w:color w:val="auto"/>
          <w:kern w:val="0"/>
          <w:sz w:val="24"/>
          <w:highlight w:val="none"/>
        </w:rPr>
      </w:pPr>
      <w:r>
        <w:rPr>
          <w:rFonts w:cs="Tahoma" w:asciiTheme="minorEastAsia" w:hAnsiTheme="minorEastAsia" w:eastAsiaTheme="minorEastAsia"/>
          <w:color w:val="auto"/>
          <w:kern w:val="0"/>
          <w:sz w:val="24"/>
          <w:highlight w:val="none"/>
        </w:rPr>
        <w:t>（</w:t>
      </w:r>
      <w:r>
        <w:rPr>
          <w:rFonts w:hint="eastAsia" w:cs="Tahoma" w:asciiTheme="minorEastAsia" w:hAnsiTheme="minorEastAsia" w:eastAsiaTheme="minorEastAsia"/>
          <w:color w:val="auto"/>
          <w:kern w:val="0"/>
          <w:sz w:val="24"/>
          <w:highlight w:val="none"/>
        </w:rPr>
        <w:t>3</w:t>
      </w:r>
      <w:r>
        <w:rPr>
          <w:rFonts w:cs="Tahoma" w:asciiTheme="minorEastAsia" w:hAnsiTheme="minorEastAsia" w:eastAsiaTheme="minorEastAsia"/>
          <w:color w:val="auto"/>
          <w:kern w:val="0"/>
          <w:sz w:val="24"/>
          <w:highlight w:val="none"/>
        </w:rPr>
        <w:t>）不同的投标人的投标文件载明的项目管理员为同一个人;</w:t>
      </w:r>
    </w:p>
    <w:p>
      <w:pPr>
        <w:widowControl/>
        <w:shd w:val="clear" w:color="auto" w:fill="FFFFFF"/>
        <w:spacing w:line="360" w:lineRule="exact"/>
        <w:ind w:firstLine="640"/>
        <w:jc w:val="left"/>
        <w:rPr>
          <w:rFonts w:cs="宋体" w:asciiTheme="minorEastAsia" w:hAnsiTheme="minorEastAsia" w:eastAsiaTheme="minorEastAsia"/>
          <w:color w:val="auto"/>
          <w:kern w:val="0"/>
          <w:sz w:val="24"/>
          <w:highlight w:val="none"/>
        </w:rPr>
      </w:pPr>
      <w:r>
        <w:rPr>
          <w:rFonts w:cs="Tahoma" w:asciiTheme="minorEastAsia" w:hAnsiTheme="minorEastAsia" w:eastAsiaTheme="minorEastAsia"/>
          <w:color w:val="auto"/>
          <w:kern w:val="0"/>
          <w:sz w:val="24"/>
          <w:highlight w:val="none"/>
        </w:rPr>
        <w:t>（</w:t>
      </w:r>
      <w:r>
        <w:rPr>
          <w:rFonts w:hint="eastAsia" w:cs="Tahoma" w:asciiTheme="minorEastAsia" w:hAnsiTheme="minorEastAsia" w:eastAsiaTheme="minorEastAsia"/>
          <w:color w:val="auto"/>
          <w:kern w:val="0"/>
          <w:sz w:val="24"/>
          <w:highlight w:val="none"/>
        </w:rPr>
        <w:t>4</w:t>
      </w:r>
      <w:r>
        <w:rPr>
          <w:rFonts w:cs="Tahoma" w:asciiTheme="minorEastAsia" w:hAnsiTheme="minorEastAsia" w:eastAsiaTheme="minorEastAsia"/>
          <w:color w:val="auto"/>
          <w:kern w:val="0"/>
          <w:sz w:val="24"/>
          <w:highlight w:val="none"/>
        </w:rPr>
        <w:t>）不同投标人的投标文件异常一致或投标报价呈规律性差异;</w:t>
      </w:r>
    </w:p>
    <w:p>
      <w:pPr>
        <w:widowControl/>
        <w:shd w:val="clear" w:color="auto" w:fill="FFFFFF"/>
        <w:spacing w:line="360" w:lineRule="exact"/>
        <w:ind w:firstLine="640"/>
        <w:jc w:val="left"/>
        <w:rPr>
          <w:rFonts w:cs="宋体" w:asciiTheme="minorEastAsia" w:hAnsiTheme="minorEastAsia" w:eastAsiaTheme="minorEastAsia"/>
          <w:color w:val="auto"/>
          <w:kern w:val="0"/>
          <w:sz w:val="24"/>
          <w:highlight w:val="none"/>
        </w:rPr>
      </w:pPr>
      <w:r>
        <w:rPr>
          <w:rFonts w:cs="Tahoma" w:asciiTheme="minorEastAsia" w:hAnsiTheme="minorEastAsia" w:eastAsiaTheme="minorEastAsia"/>
          <w:color w:val="auto"/>
          <w:kern w:val="0"/>
          <w:sz w:val="24"/>
          <w:highlight w:val="none"/>
        </w:rPr>
        <w:t>（</w:t>
      </w:r>
      <w:r>
        <w:rPr>
          <w:rFonts w:hint="eastAsia" w:cs="Tahoma" w:asciiTheme="minorEastAsia" w:hAnsiTheme="minorEastAsia" w:eastAsiaTheme="minorEastAsia"/>
          <w:color w:val="auto"/>
          <w:kern w:val="0"/>
          <w:sz w:val="24"/>
          <w:highlight w:val="none"/>
        </w:rPr>
        <w:t>5</w:t>
      </w:r>
      <w:r>
        <w:rPr>
          <w:rFonts w:cs="Tahoma" w:asciiTheme="minorEastAsia" w:hAnsiTheme="minorEastAsia" w:eastAsiaTheme="minorEastAsia"/>
          <w:color w:val="auto"/>
          <w:kern w:val="0"/>
          <w:sz w:val="24"/>
          <w:highlight w:val="none"/>
        </w:rPr>
        <w:t>）不同投标人的投标文件相互混装;</w:t>
      </w:r>
    </w:p>
    <w:p>
      <w:pPr>
        <w:pStyle w:val="22"/>
        <w:snapToGrid w:val="0"/>
        <w:spacing w:line="360" w:lineRule="exact"/>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（九）质疑和投诉</w:t>
      </w:r>
      <w:bookmarkEnd w:id="254"/>
      <w:bookmarkEnd w:id="255"/>
    </w:p>
    <w:p>
      <w:pPr>
        <w:pStyle w:val="22"/>
        <w:snapToGrid w:val="0"/>
        <w:spacing w:line="360" w:lineRule="exact"/>
        <w:ind w:firstLine="480" w:firstLineChars="200"/>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1.投标人认为招标文件、招标过程或中标结果使自己的合法权益受到损害的，应当在知道或者应知其权益受到损害之日起七个工作日内，以书面形式向采购人、采购代理机构提出质疑。应当在知道或者应知其权益受到损害之日具体计算时间如下：</w:t>
      </w:r>
    </w:p>
    <w:p>
      <w:pPr>
        <w:pStyle w:val="22"/>
        <w:snapToGrid w:val="0"/>
        <w:spacing w:line="360" w:lineRule="exact"/>
        <w:ind w:firstLine="352" w:firstLineChars="147"/>
        <w:rPr>
          <w:rFonts w:asciiTheme="minorEastAsia" w:hAnsiTheme="minorEastAsia" w:eastAsiaTheme="minorEastAsia"/>
          <w:bCs/>
          <w:color w:val="auto"/>
          <w:sz w:val="24"/>
          <w:szCs w:val="24"/>
          <w:highlight w:val="none"/>
        </w:rPr>
      </w:pP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1</w:t>
      </w:r>
      <w:r>
        <w:rPr>
          <w:rFonts w:asciiTheme="minorEastAsia" w:hAnsiTheme="minorEastAsia" w:eastAsiaTheme="minorEastAsia"/>
          <w:bCs/>
          <w:color w:val="auto"/>
          <w:sz w:val="24"/>
          <w:szCs w:val="24"/>
          <w:highlight w:val="none"/>
        </w:rPr>
        <w:t>）对可以质疑的</w:t>
      </w:r>
      <w:r>
        <w:rPr>
          <w:rFonts w:hint="eastAsia" w:asciiTheme="minorEastAsia" w:hAnsiTheme="minorEastAsia" w:eastAsiaTheme="minorEastAsia"/>
          <w:bCs/>
          <w:color w:val="auto"/>
          <w:sz w:val="24"/>
          <w:szCs w:val="24"/>
          <w:highlight w:val="none"/>
        </w:rPr>
        <w:t>招标采购</w:t>
      </w:r>
      <w:r>
        <w:rPr>
          <w:rFonts w:asciiTheme="minorEastAsia" w:hAnsiTheme="minorEastAsia" w:eastAsiaTheme="minorEastAsia"/>
          <w:bCs/>
          <w:color w:val="auto"/>
          <w:sz w:val="24"/>
          <w:szCs w:val="24"/>
          <w:highlight w:val="none"/>
        </w:rPr>
        <w:t>文件提出质疑的，为</w:t>
      </w:r>
      <w:r>
        <w:rPr>
          <w:rFonts w:hint="eastAsia" w:hAnsi="宋体"/>
          <w:color w:val="auto"/>
          <w:sz w:val="24"/>
          <w:highlight w:val="none"/>
        </w:rPr>
        <w:t>公告届满之日</w:t>
      </w: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 xml:space="preserve"> </w:t>
      </w:r>
    </w:p>
    <w:p>
      <w:pPr>
        <w:pStyle w:val="22"/>
        <w:snapToGrid w:val="0"/>
        <w:spacing w:line="360" w:lineRule="exact"/>
        <w:ind w:firstLine="352" w:firstLineChars="147"/>
        <w:rPr>
          <w:rFonts w:asciiTheme="minorEastAsia" w:hAnsiTheme="minorEastAsia" w:eastAsiaTheme="minorEastAsia"/>
          <w:bCs/>
          <w:color w:val="auto"/>
          <w:sz w:val="24"/>
          <w:szCs w:val="24"/>
          <w:highlight w:val="none"/>
        </w:rPr>
      </w:pP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2</w:t>
      </w:r>
      <w:r>
        <w:rPr>
          <w:rFonts w:asciiTheme="minorEastAsia" w:hAnsiTheme="minorEastAsia" w:eastAsiaTheme="minorEastAsia"/>
          <w:bCs/>
          <w:color w:val="auto"/>
          <w:sz w:val="24"/>
          <w:szCs w:val="24"/>
          <w:highlight w:val="none"/>
        </w:rPr>
        <w:t>）对</w:t>
      </w:r>
      <w:r>
        <w:rPr>
          <w:rFonts w:hint="eastAsia" w:asciiTheme="minorEastAsia" w:hAnsiTheme="minorEastAsia" w:eastAsiaTheme="minorEastAsia"/>
          <w:bCs/>
          <w:color w:val="auto"/>
          <w:sz w:val="24"/>
          <w:szCs w:val="24"/>
          <w:highlight w:val="none"/>
        </w:rPr>
        <w:t>招标采购</w:t>
      </w:r>
      <w:r>
        <w:rPr>
          <w:rFonts w:asciiTheme="minorEastAsia" w:hAnsiTheme="minorEastAsia" w:eastAsiaTheme="minorEastAsia"/>
          <w:bCs/>
          <w:color w:val="auto"/>
          <w:sz w:val="24"/>
          <w:szCs w:val="24"/>
          <w:highlight w:val="none"/>
        </w:rPr>
        <w:t>过程提出质疑的，为各采购程序环节结束之日；</w:t>
      </w:r>
    </w:p>
    <w:p>
      <w:pPr>
        <w:pStyle w:val="22"/>
        <w:snapToGrid w:val="0"/>
        <w:spacing w:line="360" w:lineRule="exact"/>
        <w:ind w:firstLine="352" w:firstLineChars="147"/>
        <w:rPr>
          <w:rFonts w:asciiTheme="minorEastAsia" w:hAnsiTheme="minorEastAsia" w:eastAsiaTheme="minorEastAsia"/>
          <w:bCs/>
          <w:color w:val="auto"/>
          <w:sz w:val="24"/>
          <w:szCs w:val="24"/>
          <w:highlight w:val="none"/>
        </w:rPr>
      </w:pP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3</w:t>
      </w:r>
      <w:r>
        <w:rPr>
          <w:rFonts w:asciiTheme="minorEastAsia" w:hAnsiTheme="minorEastAsia" w:eastAsiaTheme="minorEastAsia"/>
          <w:bCs/>
          <w:color w:val="auto"/>
          <w:sz w:val="24"/>
          <w:szCs w:val="24"/>
          <w:highlight w:val="none"/>
        </w:rPr>
        <w:t>）对中标结果提出质疑的，为中标结果公告期限届满之日。</w:t>
      </w:r>
    </w:p>
    <w:p>
      <w:pPr>
        <w:adjustRightInd w:val="0"/>
        <w:spacing w:line="360" w:lineRule="exact"/>
        <w:ind w:firstLine="480" w:firstLineChars="200"/>
        <w:rPr>
          <w:rFonts w:cs="仿宋_GB2312" w:asciiTheme="minorEastAsia" w:hAnsiTheme="minorEastAsia" w:eastAsiaTheme="minorEastAsia"/>
          <w:color w:val="auto"/>
          <w:kern w:val="0"/>
          <w:sz w:val="24"/>
          <w:highlight w:val="none"/>
        </w:rPr>
      </w:pPr>
      <w:r>
        <w:rPr>
          <w:rFonts w:hint="eastAsia" w:asciiTheme="minorEastAsia" w:hAnsiTheme="minorEastAsia" w:eastAsiaTheme="minorEastAsia"/>
          <w:bCs/>
          <w:color w:val="auto"/>
          <w:sz w:val="24"/>
          <w:highlight w:val="none"/>
        </w:rPr>
        <w:t>2.</w:t>
      </w:r>
      <w:r>
        <w:rPr>
          <w:rFonts w:hint="eastAsia" w:cs="仿宋_GB2312" w:asciiTheme="minorEastAsia" w:hAnsiTheme="minorEastAsia" w:eastAsiaTheme="minorEastAsia"/>
          <w:color w:val="auto"/>
          <w:kern w:val="0"/>
          <w:sz w:val="24"/>
          <w:highlight w:val="none"/>
          <w:lang w:val="zh-CN"/>
        </w:rPr>
        <w:t>供应商</w:t>
      </w:r>
      <w:r>
        <w:rPr>
          <w:rFonts w:hint="eastAsia" w:cs="仿宋_GB2312" w:asciiTheme="minorEastAsia" w:hAnsiTheme="minorEastAsia" w:eastAsiaTheme="minorEastAsia"/>
          <w:color w:val="auto"/>
          <w:kern w:val="0"/>
          <w:sz w:val="24"/>
          <w:highlight w:val="none"/>
        </w:rPr>
        <w:t>质疑</w:t>
      </w:r>
      <w:r>
        <w:rPr>
          <w:rFonts w:hint="eastAsia" w:cs="仿宋_GB2312" w:asciiTheme="minorEastAsia" w:hAnsiTheme="minorEastAsia" w:eastAsiaTheme="minorEastAsia"/>
          <w:color w:val="auto"/>
          <w:kern w:val="0"/>
          <w:sz w:val="24"/>
          <w:highlight w:val="none"/>
          <w:lang w:val="zh-CN"/>
        </w:rPr>
        <w:t>时，应当提交</w:t>
      </w:r>
      <w:r>
        <w:rPr>
          <w:rFonts w:hint="eastAsia" w:cs="仿宋_GB2312" w:asciiTheme="minorEastAsia" w:hAnsiTheme="minorEastAsia" w:eastAsiaTheme="minorEastAsia"/>
          <w:color w:val="auto"/>
          <w:kern w:val="0"/>
          <w:sz w:val="24"/>
          <w:highlight w:val="none"/>
        </w:rPr>
        <w:t>质疑</w:t>
      </w:r>
      <w:r>
        <w:rPr>
          <w:rFonts w:hint="eastAsia" w:cs="仿宋_GB2312" w:asciiTheme="minorEastAsia" w:hAnsiTheme="minorEastAsia" w:eastAsiaTheme="minorEastAsia"/>
          <w:color w:val="auto"/>
          <w:kern w:val="0"/>
          <w:sz w:val="24"/>
          <w:highlight w:val="none"/>
          <w:lang w:val="zh-CN"/>
        </w:rPr>
        <w:t>函和必要的证明材料，</w:t>
      </w:r>
      <w:r>
        <w:rPr>
          <w:rFonts w:hint="eastAsia" w:cs="仿宋_GB2312" w:asciiTheme="minorEastAsia" w:hAnsiTheme="minorEastAsia" w:eastAsiaTheme="minorEastAsia"/>
          <w:color w:val="auto"/>
          <w:kern w:val="0"/>
          <w:sz w:val="24"/>
          <w:highlight w:val="none"/>
        </w:rPr>
        <w:t>质疑</w:t>
      </w:r>
      <w:r>
        <w:rPr>
          <w:rFonts w:hint="eastAsia" w:cs="仿宋_GB2312" w:asciiTheme="minorEastAsia" w:hAnsiTheme="minorEastAsia" w:eastAsiaTheme="minorEastAsia"/>
          <w:color w:val="auto"/>
          <w:kern w:val="0"/>
          <w:sz w:val="24"/>
          <w:highlight w:val="none"/>
          <w:lang w:val="zh-CN"/>
        </w:rPr>
        <w:t>函应当包括下列主要内容：</w:t>
      </w:r>
    </w:p>
    <w:p>
      <w:pPr>
        <w:pStyle w:val="22"/>
        <w:snapToGrid w:val="0"/>
        <w:spacing w:line="360" w:lineRule="exact"/>
        <w:ind w:firstLine="352" w:firstLineChars="147"/>
        <w:rPr>
          <w:rFonts w:asciiTheme="minorEastAsia" w:hAnsiTheme="minorEastAsia" w:eastAsiaTheme="minorEastAsia"/>
          <w:bCs/>
          <w:color w:val="auto"/>
          <w:sz w:val="24"/>
          <w:szCs w:val="24"/>
          <w:highlight w:val="none"/>
        </w:rPr>
      </w:pP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1</w:t>
      </w:r>
      <w:r>
        <w:rPr>
          <w:rFonts w:asciiTheme="minorEastAsia" w:hAnsiTheme="minorEastAsia" w:eastAsiaTheme="minorEastAsia"/>
          <w:bCs/>
          <w:color w:val="auto"/>
          <w:sz w:val="24"/>
          <w:szCs w:val="24"/>
          <w:highlight w:val="none"/>
        </w:rPr>
        <w:t>）供应商的姓名或者名称、地址、邮编、联系人及联系电话；</w:t>
      </w:r>
    </w:p>
    <w:p>
      <w:pPr>
        <w:pStyle w:val="22"/>
        <w:snapToGrid w:val="0"/>
        <w:spacing w:line="360" w:lineRule="exact"/>
        <w:ind w:firstLine="352" w:firstLineChars="147"/>
        <w:rPr>
          <w:rFonts w:asciiTheme="minorEastAsia" w:hAnsiTheme="minorEastAsia" w:eastAsiaTheme="minorEastAsia"/>
          <w:bCs/>
          <w:color w:val="auto"/>
          <w:sz w:val="24"/>
          <w:szCs w:val="24"/>
          <w:highlight w:val="none"/>
        </w:rPr>
      </w:pP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2</w:t>
      </w:r>
      <w:r>
        <w:rPr>
          <w:rFonts w:asciiTheme="minorEastAsia" w:hAnsiTheme="minorEastAsia" w:eastAsiaTheme="minorEastAsia"/>
          <w:bCs/>
          <w:color w:val="auto"/>
          <w:sz w:val="24"/>
          <w:szCs w:val="24"/>
          <w:highlight w:val="none"/>
        </w:rPr>
        <w:t>）质疑项目的名称、编号；</w:t>
      </w:r>
    </w:p>
    <w:p>
      <w:pPr>
        <w:pStyle w:val="22"/>
        <w:snapToGrid w:val="0"/>
        <w:spacing w:line="360" w:lineRule="exact"/>
        <w:ind w:firstLine="352" w:firstLineChars="147"/>
        <w:rPr>
          <w:rFonts w:asciiTheme="minorEastAsia" w:hAnsiTheme="minorEastAsia" w:eastAsiaTheme="minorEastAsia"/>
          <w:bCs/>
          <w:color w:val="auto"/>
          <w:sz w:val="24"/>
          <w:szCs w:val="24"/>
          <w:highlight w:val="none"/>
        </w:rPr>
      </w:pP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3</w:t>
      </w:r>
      <w:r>
        <w:rPr>
          <w:rFonts w:asciiTheme="minorEastAsia" w:hAnsiTheme="minorEastAsia" w:eastAsiaTheme="minorEastAsia"/>
          <w:bCs/>
          <w:color w:val="auto"/>
          <w:sz w:val="24"/>
          <w:szCs w:val="24"/>
          <w:highlight w:val="none"/>
        </w:rPr>
        <w:t>）具体、明确的质疑事项和与质疑事项相关的请求；</w:t>
      </w:r>
    </w:p>
    <w:p>
      <w:pPr>
        <w:pStyle w:val="22"/>
        <w:snapToGrid w:val="0"/>
        <w:spacing w:line="360" w:lineRule="exact"/>
        <w:ind w:firstLine="352" w:firstLineChars="147"/>
        <w:rPr>
          <w:rFonts w:asciiTheme="minorEastAsia" w:hAnsiTheme="minorEastAsia" w:eastAsiaTheme="minorEastAsia"/>
          <w:bCs/>
          <w:color w:val="auto"/>
          <w:sz w:val="24"/>
          <w:szCs w:val="24"/>
          <w:highlight w:val="none"/>
        </w:rPr>
      </w:pP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4</w:t>
      </w:r>
      <w:r>
        <w:rPr>
          <w:rFonts w:asciiTheme="minorEastAsia" w:hAnsiTheme="minorEastAsia" w:eastAsiaTheme="minorEastAsia"/>
          <w:bCs/>
          <w:color w:val="auto"/>
          <w:sz w:val="24"/>
          <w:szCs w:val="24"/>
          <w:highlight w:val="none"/>
        </w:rPr>
        <w:t>）事实依据；</w:t>
      </w:r>
    </w:p>
    <w:p>
      <w:pPr>
        <w:pStyle w:val="22"/>
        <w:snapToGrid w:val="0"/>
        <w:spacing w:line="360" w:lineRule="exact"/>
        <w:ind w:firstLine="352" w:firstLineChars="147"/>
        <w:rPr>
          <w:rFonts w:asciiTheme="minorEastAsia" w:hAnsiTheme="minorEastAsia" w:eastAsiaTheme="minorEastAsia"/>
          <w:bCs/>
          <w:color w:val="auto"/>
          <w:sz w:val="24"/>
          <w:szCs w:val="24"/>
          <w:highlight w:val="none"/>
        </w:rPr>
      </w:pP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5</w:t>
      </w:r>
      <w:r>
        <w:rPr>
          <w:rFonts w:asciiTheme="minorEastAsia" w:hAnsiTheme="minorEastAsia" w:eastAsiaTheme="minorEastAsia"/>
          <w:bCs/>
          <w:color w:val="auto"/>
          <w:sz w:val="24"/>
          <w:szCs w:val="24"/>
          <w:highlight w:val="none"/>
        </w:rPr>
        <w:t>）必要的法律依据；</w:t>
      </w:r>
    </w:p>
    <w:p>
      <w:pPr>
        <w:pStyle w:val="22"/>
        <w:snapToGrid w:val="0"/>
        <w:spacing w:line="360" w:lineRule="exact"/>
        <w:ind w:firstLine="352" w:firstLineChars="147"/>
        <w:rPr>
          <w:rFonts w:asciiTheme="minorEastAsia" w:hAnsiTheme="minorEastAsia" w:eastAsiaTheme="minorEastAsia"/>
          <w:bCs/>
          <w:color w:val="auto"/>
          <w:sz w:val="24"/>
          <w:szCs w:val="24"/>
          <w:highlight w:val="none"/>
        </w:rPr>
      </w:pP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6</w:t>
      </w:r>
      <w:r>
        <w:rPr>
          <w:rFonts w:asciiTheme="minorEastAsia" w:hAnsiTheme="minorEastAsia" w:eastAsiaTheme="minorEastAsia"/>
          <w:bCs/>
          <w:color w:val="auto"/>
          <w:sz w:val="24"/>
          <w:szCs w:val="24"/>
          <w:highlight w:val="none"/>
        </w:rPr>
        <w:t>）提出质疑的日期。</w:t>
      </w:r>
    </w:p>
    <w:p>
      <w:pPr>
        <w:spacing w:line="360" w:lineRule="exact"/>
        <w:ind w:firstLine="480" w:firstLineChars="200"/>
        <w:rPr>
          <w:rFonts w:cs="宋体"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质疑</w:t>
      </w:r>
      <w:r>
        <w:rPr>
          <w:rFonts w:hint="eastAsia" w:cs="仿宋_GB2312" w:asciiTheme="minorEastAsia" w:hAnsiTheme="minorEastAsia" w:eastAsiaTheme="minorEastAsia"/>
          <w:color w:val="auto"/>
          <w:kern w:val="0"/>
          <w:sz w:val="24"/>
          <w:highlight w:val="none"/>
          <w:lang w:val="zh-CN"/>
        </w:rPr>
        <w:t>函应当署名。</w:t>
      </w:r>
      <w:r>
        <w:rPr>
          <w:rFonts w:hint="eastAsia" w:cs="仿宋_GB2312" w:asciiTheme="minorEastAsia" w:hAnsiTheme="minorEastAsia" w:eastAsiaTheme="minorEastAsia"/>
          <w:color w:val="auto"/>
          <w:kern w:val="0"/>
          <w:sz w:val="24"/>
          <w:highlight w:val="none"/>
        </w:rPr>
        <w:t>质疑</w:t>
      </w:r>
      <w:r>
        <w:rPr>
          <w:rFonts w:hint="eastAsia" w:cs="仿宋_GB2312" w:asciiTheme="minorEastAsia" w:hAnsiTheme="minorEastAsia" w:eastAsiaTheme="minorEastAsia"/>
          <w:color w:val="auto"/>
          <w:kern w:val="0"/>
          <w:sz w:val="24"/>
          <w:highlight w:val="none"/>
          <w:lang w:val="zh-CN"/>
        </w:rPr>
        <w:t>供应商为自然人的，应当由本人签字；</w:t>
      </w:r>
      <w:r>
        <w:rPr>
          <w:rFonts w:hint="eastAsia" w:cs="仿宋_GB2312" w:asciiTheme="minorEastAsia" w:hAnsiTheme="minorEastAsia" w:eastAsiaTheme="minorEastAsia"/>
          <w:color w:val="auto"/>
          <w:kern w:val="0"/>
          <w:sz w:val="24"/>
          <w:highlight w:val="none"/>
        </w:rPr>
        <w:t>质疑</w:t>
      </w:r>
      <w:r>
        <w:rPr>
          <w:rFonts w:hint="eastAsia" w:cs="仿宋_GB2312" w:asciiTheme="minorEastAsia" w:hAnsiTheme="minorEastAsia" w:eastAsiaTheme="minorEastAsia"/>
          <w:color w:val="auto"/>
          <w:kern w:val="0"/>
          <w:sz w:val="24"/>
          <w:highlight w:val="none"/>
          <w:lang w:val="zh-CN"/>
        </w:rPr>
        <w:t>供应商为法人或者其他组织的，应当由法定代表人、主要负责人或者其授权代表签字或者盖章，并加盖公章。</w:t>
      </w:r>
      <w:r>
        <w:rPr>
          <w:rFonts w:hint="eastAsia" w:cs="仿宋_GB2312" w:asciiTheme="minorEastAsia" w:hAnsiTheme="minorEastAsia" w:eastAsiaTheme="minorEastAsia"/>
          <w:color w:val="auto"/>
          <w:kern w:val="0"/>
          <w:sz w:val="24"/>
          <w:highlight w:val="none"/>
        </w:rPr>
        <w:t>质疑</w:t>
      </w:r>
      <w:r>
        <w:rPr>
          <w:rFonts w:hint="eastAsia" w:cs="仿宋_GB2312" w:asciiTheme="minorEastAsia" w:hAnsiTheme="minorEastAsia" w:eastAsiaTheme="minorEastAsia"/>
          <w:color w:val="auto"/>
          <w:kern w:val="0"/>
          <w:sz w:val="24"/>
          <w:highlight w:val="none"/>
          <w:lang w:val="zh-CN"/>
        </w:rPr>
        <w:t>供应商可以委托代理人办理</w:t>
      </w:r>
      <w:r>
        <w:rPr>
          <w:rFonts w:hint="eastAsia" w:cs="仿宋_GB2312" w:asciiTheme="minorEastAsia" w:hAnsiTheme="minorEastAsia" w:eastAsiaTheme="minorEastAsia"/>
          <w:color w:val="auto"/>
          <w:kern w:val="0"/>
          <w:sz w:val="24"/>
          <w:highlight w:val="none"/>
        </w:rPr>
        <w:t>质疑</w:t>
      </w:r>
      <w:r>
        <w:rPr>
          <w:rFonts w:hint="eastAsia" w:cs="仿宋_GB2312" w:asciiTheme="minorEastAsia" w:hAnsiTheme="minorEastAsia" w:eastAsiaTheme="minorEastAsia"/>
          <w:color w:val="auto"/>
          <w:kern w:val="0"/>
          <w:sz w:val="24"/>
          <w:highlight w:val="none"/>
          <w:lang w:val="zh-CN"/>
        </w:rPr>
        <w:t>事务。代理人办理</w:t>
      </w:r>
      <w:r>
        <w:rPr>
          <w:rFonts w:hint="eastAsia" w:cs="仿宋_GB2312" w:asciiTheme="minorEastAsia" w:hAnsiTheme="minorEastAsia" w:eastAsiaTheme="minorEastAsia"/>
          <w:color w:val="auto"/>
          <w:kern w:val="0"/>
          <w:sz w:val="24"/>
          <w:highlight w:val="none"/>
        </w:rPr>
        <w:t>质疑</w:t>
      </w:r>
      <w:r>
        <w:rPr>
          <w:rFonts w:hint="eastAsia" w:cs="仿宋_GB2312" w:asciiTheme="minorEastAsia" w:hAnsiTheme="minorEastAsia" w:eastAsiaTheme="minorEastAsia"/>
          <w:color w:val="auto"/>
          <w:kern w:val="0"/>
          <w:sz w:val="24"/>
          <w:highlight w:val="none"/>
          <w:lang w:val="zh-CN"/>
        </w:rPr>
        <w:t>事务时，除提交</w:t>
      </w:r>
      <w:r>
        <w:rPr>
          <w:rFonts w:hint="eastAsia" w:cs="仿宋_GB2312" w:asciiTheme="minorEastAsia" w:hAnsiTheme="minorEastAsia" w:eastAsiaTheme="minorEastAsia"/>
          <w:color w:val="auto"/>
          <w:kern w:val="0"/>
          <w:sz w:val="24"/>
          <w:highlight w:val="none"/>
        </w:rPr>
        <w:t>质疑</w:t>
      </w:r>
      <w:r>
        <w:rPr>
          <w:rFonts w:hint="eastAsia" w:cs="仿宋_GB2312" w:asciiTheme="minorEastAsia" w:hAnsiTheme="minorEastAsia" w:eastAsiaTheme="minorEastAsia"/>
          <w:color w:val="auto"/>
          <w:kern w:val="0"/>
          <w:sz w:val="24"/>
          <w:highlight w:val="none"/>
          <w:lang w:val="zh-CN"/>
        </w:rPr>
        <w:t>函外，还应当提交</w:t>
      </w:r>
      <w:r>
        <w:rPr>
          <w:rFonts w:hint="eastAsia" w:cs="仿宋_GB2312" w:asciiTheme="minorEastAsia" w:hAnsiTheme="minorEastAsia" w:eastAsiaTheme="minorEastAsia"/>
          <w:color w:val="auto"/>
          <w:kern w:val="0"/>
          <w:sz w:val="24"/>
          <w:highlight w:val="none"/>
        </w:rPr>
        <w:t>质疑</w:t>
      </w:r>
      <w:r>
        <w:rPr>
          <w:rFonts w:hint="eastAsia" w:cs="仿宋_GB2312" w:asciiTheme="minorEastAsia" w:hAnsiTheme="minorEastAsia" w:eastAsiaTheme="minorEastAsia"/>
          <w:color w:val="auto"/>
          <w:kern w:val="0"/>
          <w:sz w:val="24"/>
          <w:highlight w:val="none"/>
          <w:lang w:val="zh-CN"/>
        </w:rPr>
        <w:t>供应商的授权委托书原件，</w:t>
      </w:r>
      <w:r>
        <w:rPr>
          <w:rFonts w:hint="eastAsia" w:cs="宋体" w:asciiTheme="minorEastAsia" w:hAnsiTheme="minorEastAsia" w:eastAsiaTheme="minorEastAsia"/>
          <w:color w:val="auto"/>
          <w:kern w:val="0"/>
          <w:sz w:val="24"/>
          <w:highlight w:val="none"/>
        </w:rPr>
        <w:t>授权委托书应载明代理人的姓名或者名称、代理事项、具体权限、期限和相关事项。</w:t>
      </w:r>
    </w:p>
    <w:p>
      <w:pPr>
        <w:spacing w:line="360" w:lineRule="exact"/>
        <w:ind w:firstLine="480" w:firstLineChars="2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rPr>
        <w:t>3.</w:t>
      </w:r>
      <w:r>
        <w:rPr>
          <w:rFonts w:hint="eastAsia" w:asciiTheme="minorEastAsia" w:hAnsiTheme="minorEastAsia" w:eastAsiaTheme="minorEastAsia"/>
          <w:color w:val="auto"/>
          <w:sz w:val="24"/>
          <w:highlight w:val="none"/>
        </w:rPr>
        <w:t xml:space="preserve"> 投标人对招标采购单位的质疑答复不满意或者招标采购单位未在规定时间内做出答复的，可以在答复期满后十五个工作日内向</w:t>
      </w:r>
      <w:r>
        <w:rPr>
          <w:rFonts w:hint="eastAsia" w:asciiTheme="minorEastAsia" w:hAnsiTheme="minorEastAsia" w:eastAsiaTheme="minorEastAsia"/>
          <w:bCs/>
          <w:color w:val="auto"/>
          <w:sz w:val="24"/>
          <w:highlight w:val="none"/>
        </w:rPr>
        <w:t>同级采购监管部门投诉。</w:t>
      </w:r>
    </w:p>
    <w:p>
      <w:pPr>
        <w:pStyle w:val="22"/>
        <w:snapToGrid w:val="0"/>
        <w:spacing w:line="360" w:lineRule="exact"/>
        <w:ind w:firstLine="472" w:firstLineChars="196"/>
        <w:jc w:val="center"/>
        <w:rPr>
          <w:rFonts w:asciiTheme="minorEastAsia" w:hAnsiTheme="minorEastAsia" w:eastAsiaTheme="minorEastAsia"/>
          <w:b/>
          <w:color w:val="auto"/>
          <w:sz w:val="24"/>
          <w:szCs w:val="24"/>
          <w:highlight w:val="none"/>
        </w:rPr>
      </w:pPr>
      <w:bookmarkStart w:id="256" w:name="_Toc254970675"/>
      <w:bookmarkStart w:id="257" w:name="_Toc254970534"/>
    </w:p>
    <w:p>
      <w:pPr>
        <w:pStyle w:val="22"/>
        <w:snapToGrid w:val="0"/>
        <w:spacing w:line="360" w:lineRule="exact"/>
        <w:ind w:firstLine="630" w:firstLineChars="196"/>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二、招标文件</w:t>
      </w:r>
      <w:bookmarkEnd w:id="256"/>
      <w:bookmarkEnd w:id="257"/>
    </w:p>
    <w:p>
      <w:pPr>
        <w:snapToGrid w:val="0"/>
        <w:spacing w:line="360" w:lineRule="exact"/>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（一）招标文件的组成：</w:t>
      </w:r>
    </w:p>
    <w:p>
      <w:pPr>
        <w:widowControl/>
        <w:adjustRightInd w:val="0"/>
        <w:spacing w:line="360" w:lineRule="exact"/>
        <w:ind w:firstLine="360" w:firstLineChars="15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1、公开招标公告</w:t>
      </w:r>
    </w:p>
    <w:p>
      <w:pPr>
        <w:widowControl/>
        <w:adjustRightInd w:val="0"/>
        <w:spacing w:line="360" w:lineRule="exact"/>
        <w:ind w:firstLine="360" w:firstLineChars="15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2、招标项目采购需求</w:t>
      </w:r>
    </w:p>
    <w:p>
      <w:pPr>
        <w:widowControl/>
        <w:adjustRightInd w:val="0"/>
        <w:spacing w:line="360" w:lineRule="exact"/>
        <w:ind w:firstLine="360" w:firstLineChars="15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3、投标人须知</w:t>
      </w:r>
    </w:p>
    <w:p>
      <w:pPr>
        <w:widowControl/>
        <w:adjustRightInd w:val="0"/>
        <w:spacing w:line="360" w:lineRule="exact"/>
        <w:ind w:firstLine="360" w:firstLineChars="15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4、评标办法及评分标准</w:t>
      </w:r>
    </w:p>
    <w:p>
      <w:pPr>
        <w:widowControl/>
        <w:adjustRightInd w:val="0"/>
        <w:spacing w:line="360" w:lineRule="exact"/>
        <w:ind w:firstLine="360" w:firstLineChars="15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5、合同主要条款格式</w:t>
      </w:r>
    </w:p>
    <w:p>
      <w:pPr>
        <w:widowControl/>
        <w:adjustRightInd w:val="0"/>
        <w:spacing w:line="360" w:lineRule="exact"/>
        <w:ind w:firstLine="360" w:firstLineChars="15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6、投标文件格式</w:t>
      </w:r>
    </w:p>
    <w:p>
      <w:pPr>
        <w:snapToGrid w:val="0"/>
        <w:spacing w:line="360" w:lineRule="exact"/>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（二）投标人的风险</w:t>
      </w:r>
    </w:p>
    <w:p>
      <w:pPr>
        <w:pStyle w:val="30"/>
        <w:spacing w:after="0" w:line="360" w:lineRule="exact"/>
        <w:ind w:left="0" w:leftChars="0"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投标人没有按照招标文件要求提供全部资料，或者投标人没有对招标文件在各方面做出实质性响应是投标人的风险，并可能导致其投标被拒绝。</w:t>
      </w:r>
    </w:p>
    <w:p>
      <w:pPr>
        <w:pStyle w:val="13"/>
        <w:widowControl w:val="0"/>
        <w:tabs>
          <w:tab w:val="clear" w:pos="840"/>
          <w:tab w:val="clear" w:pos="900"/>
        </w:tabs>
        <w:snapToGrid w:val="0"/>
        <w:spacing w:afterLines="0" w:line="360" w:lineRule="exact"/>
        <w:ind w:left="0" w:firstLine="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 xml:space="preserve">（三）招标文件的澄清与修改 </w:t>
      </w:r>
    </w:p>
    <w:p>
      <w:pPr>
        <w:spacing w:line="360" w:lineRule="exact"/>
        <w:ind w:firstLine="480" w:firstLineChars="200"/>
        <w:rPr>
          <w:rFonts w:asciiTheme="minorEastAsia" w:hAnsiTheme="minorEastAsia" w:eastAsiaTheme="minorEastAsia"/>
          <w:color w:val="auto"/>
          <w:sz w:val="24"/>
          <w:highlight w:val="none"/>
        </w:rPr>
      </w:pPr>
      <w:bookmarkStart w:id="258" w:name="_Toc254970676"/>
      <w:bookmarkStart w:id="259" w:name="_Toc254970535"/>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bCs/>
          <w:color w:val="auto"/>
          <w:sz w:val="24"/>
          <w:highlight w:val="none"/>
        </w:rPr>
        <w:t>投</w:t>
      </w:r>
      <w:r>
        <w:rPr>
          <w:rFonts w:hint="eastAsia" w:asciiTheme="minorEastAsia" w:hAnsiTheme="minorEastAsia" w:eastAsiaTheme="minorEastAsia"/>
          <w:color w:val="auto"/>
          <w:sz w:val="24"/>
          <w:highlight w:val="none"/>
        </w:rPr>
        <w:t>标人应认真阅读本招标文件，发现其中有误或有不合理要求的，</w:t>
      </w:r>
      <w:r>
        <w:rPr>
          <w:rFonts w:hint="eastAsia" w:hAnsi="宋体"/>
          <w:bCs/>
          <w:color w:val="auto"/>
          <w:sz w:val="24"/>
          <w:highlight w:val="none"/>
        </w:rPr>
        <w:t>投标人应当于</w:t>
      </w:r>
      <w:r>
        <w:rPr>
          <w:rFonts w:hint="eastAsia" w:hAnsi="宋体"/>
          <w:color w:val="auto"/>
          <w:sz w:val="24"/>
          <w:highlight w:val="none"/>
        </w:rPr>
        <w:t>公告届满之日起7个工作日</w:t>
      </w:r>
      <w:r>
        <w:rPr>
          <w:rFonts w:hint="eastAsia" w:asciiTheme="minorEastAsia" w:hAnsiTheme="minorEastAsia" w:eastAsiaTheme="minorEastAsia"/>
          <w:color w:val="auto"/>
          <w:sz w:val="24"/>
          <w:highlight w:val="none"/>
        </w:rPr>
        <w:t>，以书面形式要求招标采购单位澄清。采购代理机构对已发出的招标文件进行必要澄清、答复、修改或补充的，澄清或者修改应当在原公告发布媒体上发布澄清公告。该澄清或者修改的内容为招标文件的组成部分。如果澄清、答复、修改或补充的</w:t>
      </w:r>
      <w:r>
        <w:rPr>
          <w:rFonts w:asciiTheme="minorEastAsia" w:hAnsiTheme="minorEastAsia" w:eastAsiaTheme="minorEastAsia"/>
          <w:color w:val="auto"/>
          <w:sz w:val="24"/>
          <w:highlight w:val="none"/>
        </w:rPr>
        <w:t>内容可能影响投标文件编制的，采购人或者采购代理机构应当在投标截止时间至少15日前</w:t>
      </w:r>
      <w:r>
        <w:rPr>
          <w:rFonts w:hint="eastAsia" w:asciiTheme="minorEastAsia" w:hAnsiTheme="minorEastAsia" w:eastAsiaTheme="minorEastAsia"/>
          <w:color w:val="auto"/>
          <w:sz w:val="24"/>
          <w:highlight w:val="none"/>
        </w:rPr>
        <w:t>发出</w:t>
      </w:r>
      <w:r>
        <w:rPr>
          <w:rFonts w:asciiTheme="minorEastAsia" w:hAnsiTheme="minorEastAsia" w:eastAsiaTheme="minorEastAsia"/>
          <w:color w:val="auto"/>
          <w:sz w:val="24"/>
          <w:highlight w:val="none"/>
        </w:rPr>
        <w:t>；不足15日的，采购人或者采购代理机构应当顺延提交投标文件的截止时间。</w:t>
      </w:r>
    </w:p>
    <w:p>
      <w:pPr>
        <w:pStyle w:val="22"/>
        <w:snapToGrid w:val="0"/>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2.招标文件澄清、答复、修改、补充的内容为招标文件的组成部分。当招标文件与招标文件的答复、澄清、修改、补充通知就同一内容的表述不一致时，以最后发出的文件为准。</w:t>
      </w:r>
    </w:p>
    <w:p>
      <w:pPr>
        <w:pStyle w:val="22"/>
        <w:snapToGrid w:val="0"/>
        <w:spacing w:line="360" w:lineRule="exact"/>
        <w:ind w:firstLine="480" w:firstLineChars="200"/>
        <w:rPr>
          <w:rFonts w:asciiTheme="minorEastAsia" w:hAnsiTheme="minorEastAsia" w:eastAsiaTheme="minorEastAsia"/>
          <w:color w:val="auto"/>
          <w:sz w:val="24"/>
          <w:szCs w:val="24"/>
          <w:highlight w:val="none"/>
        </w:rPr>
      </w:pPr>
    </w:p>
    <w:p>
      <w:pPr>
        <w:pStyle w:val="22"/>
        <w:snapToGrid w:val="0"/>
        <w:spacing w:line="360" w:lineRule="exact"/>
        <w:ind w:firstLine="630" w:firstLineChars="196"/>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三、投标文件</w:t>
      </w:r>
      <w:bookmarkEnd w:id="258"/>
      <w:bookmarkEnd w:id="259"/>
    </w:p>
    <w:p>
      <w:pPr>
        <w:snapToGrid w:val="0"/>
        <w:spacing w:line="360" w:lineRule="exact"/>
        <w:jc w:val="left"/>
        <w:rPr>
          <w:rFonts w:asciiTheme="minorEastAsia" w:hAnsiTheme="minorEastAsia" w:eastAsiaTheme="minorEastAsia"/>
          <w:b/>
          <w:color w:val="auto"/>
          <w:sz w:val="24"/>
          <w:highlight w:val="none"/>
        </w:rPr>
      </w:pPr>
      <w:bookmarkStart w:id="260" w:name="_Toc254970677"/>
      <w:bookmarkStart w:id="261" w:name="_Toc254970536"/>
      <w:r>
        <w:rPr>
          <w:rFonts w:hint="eastAsia" w:asciiTheme="minorEastAsia" w:hAnsiTheme="minorEastAsia" w:eastAsiaTheme="minorEastAsia"/>
          <w:b/>
          <w:color w:val="auto"/>
          <w:sz w:val="24"/>
          <w:highlight w:val="none"/>
        </w:rPr>
        <w:t>（一）投标文件的组成</w:t>
      </w:r>
      <w:bookmarkEnd w:id="260"/>
      <w:bookmarkEnd w:id="261"/>
      <w:r>
        <w:rPr>
          <w:rFonts w:hint="eastAsia" w:hAnsi="宋体"/>
          <w:b/>
          <w:color w:val="auto"/>
          <w:sz w:val="24"/>
          <w:highlight w:val="none"/>
        </w:rPr>
        <w:t>（可以根据需要进行增减）</w:t>
      </w:r>
    </w:p>
    <w:p>
      <w:pPr>
        <w:tabs>
          <w:tab w:val="left" w:pos="3870"/>
          <w:tab w:val="left" w:pos="4085"/>
        </w:tabs>
        <w:snapToGrid w:val="0"/>
        <w:spacing w:line="360" w:lineRule="exact"/>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投标文件由</w:t>
      </w:r>
      <w:r>
        <w:rPr>
          <w:rFonts w:hint="eastAsia" w:asciiTheme="minorEastAsia" w:hAnsiTheme="minorEastAsia" w:eastAsiaTheme="minorEastAsia"/>
          <w:color w:val="auto"/>
          <w:sz w:val="24"/>
          <w:highlight w:val="none"/>
          <w:u w:val="single"/>
        </w:rPr>
        <w:t>资格审查文件</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商务文件、技术文件、报价文件</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开标一览表</w:t>
      </w:r>
      <w:r>
        <w:rPr>
          <w:rFonts w:hint="eastAsia" w:ascii="宋体" w:hAnsi="宋体" w:cs="宋体"/>
          <w:b/>
          <w:color w:val="auto"/>
          <w:szCs w:val="21"/>
          <w:highlight w:val="none"/>
        </w:rPr>
        <w:t>、</w:t>
      </w:r>
      <w:r>
        <w:rPr>
          <w:rFonts w:hint="eastAsia" w:ascii="宋体" w:hAnsi="宋体" w:cs="宋体"/>
          <w:color w:val="auto"/>
          <w:sz w:val="24"/>
          <w:highlight w:val="none"/>
          <w:u w:val="single"/>
        </w:rPr>
        <w:t>演示录制声像视频U盘</w:t>
      </w:r>
      <w:r>
        <w:rPr>
          <w:rFonts w:hint="eastAsia" w:asciiTheme="minorEastAsia" w:hAnsiTheme="minorEastAsia" w:eastAsiaTheme="minorEastAsia"/>
          <w:color w:val="auto"/>
          <w:sz w:val="24"/>
          <w:highlight w:val="none"/>
          <w:u w:val="single"/>
        </w:rPr>
        <w:t>（如有）等</w:t>
      </w:r>
      <w:r>
        <w:rPr>
          <w:rFonts w:hint="eastAsia" w:asciiTheme="minorEastAsia" w:hAnsiTheme="minorEastAsia" w:eastAsiaTheme="minorEastAsia"/>
          <w:color w:val="auto"/>
          <w:sz w:val="24"/>
          <w:highlight w:val="none"/>
        </w:rPr>
        <w:t>组成。</w:t>
      </w:r>
    </w:p>
    <w:p>
      <w:pPr>
        <w:spacing w:line="360" w:lineRule="exact"/>
        <w:ind w:left="141" w:leftChars="67"/>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1.资格审查文件</w:t>
      </w:r>
    </w:p>
    <w:p>
      <w:pPr>
        <w:pStyle w:val="22"/>
        <w:snapToGrid w:val="0"/>
        <w:spacing w:line="360" w:lineRule="exact"/>
        <w:ind w:firstLine="354" w:firstLineChars="147"/>
        <w:rPr>
          <w:rFonts w:asciiTheme="minorEastAsia" w:hAnsiTheme="minorEastAsia" w:eastAsiaTheme="minorEastAsia"/>
          <w:bCs/>
          <w:color w:val="auto"/>
          <w:sz w:val="24"/>
          <w:szCs w:val="24"/>
          <w:highlight w:val="none"/>
        </w:rPr>
      </w:pP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bCs/>
          <w:color w:val="auto"/>
          <w:sz w:val="24"/>
          <w:szCs w:val="24"/>
          <w:highlight w:val="none"/>
        </w:rPr>
        <w:t>（1）法人或者其他组织的营业执照等证明文件复印件，（投标人属自然人的提供自然人的身份证明）。</w:t>
      </w:r>
    </w:p>
    <w:p>
      <w:pPr>
        <w:pStyle w:val="22"/>
        <w:snapToGrid w:val="0"/>
        <w:spacing w:line="360" w:lineRule="exact"/>
        <w:ind w:firstLine="354" w:firstLineChars="147"/>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注：</w:t>
      </w:r>
      <w:r>
        <w:rPr>
          <w:rFonts w:asciiTheme="minorEastAsia" w:hAnsiTheme="minorEastAsia" w:eastAsiaTheme="minorEastAsia"/>
          <w:b/>
          <w:bCs/>
          <w:color w:val="auto"/>
          <w:sz w:val="24"/>
          <w:szCs w:val="24"/>
          <w:highlight w:val="none"/>
        </w:rPr>
        <w:fldChar w:fldCharType="begin"/>
      </w:r>
      <w:r>
        <w:rPr>
          <w:rFonts w:asciiTheme="minorEastAsia" w:hAnsiTheme="minorEastAsia" w:eastAsiaTheme="minorEastAsia"/>
          <w:b/>
          <w:bCs/>
          <w:color w:val="auto"/>
          <w:sz w:val="24"/>
          <w:szCs w:val="24"/>
          <w:highlight w:val="none"/>
        </w:rPr>
        <w:instrText xml:space="preserve"> </w:instrText>
      </w:r>
      <w:r>
        <w:rPr>
          <w:rFonts w:hint="eastAsia" w:asciiTheme="minorEastAsia" w:hAnsiTheme="minorEastAsia" w:eastAsiaTheme="minorEastAsia"/>
          <w:b/>
          <w:bCs/>
          <w:color w:val="auto"/>
          <w:sz w:val="24"/>
          <w:szCs w:val="24"/>
          <w:highlight w:val="none"/>
        </w:rPr>
        <w:instrText xml:space="preserve">eq \o\ac(○,</w:instrText>
      </w:r>
      <w:r>
        <w:rPr>
          <w:rFonts w:hint="eastAsia" w:hAnsiTheme="minorEastAsia" w:eastAsiaTheme="minorEastAsia"/>
          <w:b/>
          <w:bCs/>
          <w:color w:val="auto"/>
          <w:position w:val="3"/>
          <w:sz w:val="16"/>
          <w:szCs w:val="24"/>
          <w:highlight w:val="none"/>
        </w:rPr>
        <w:instrText xml:space="preserve">1</w:instrText>
      </w:r>
      <w:r>
        <w:rPr>
          <w:rFonts w:hint="eastAsia" w:asciiTheme="minorEastAsia" w:hAnsiTheme="minorEastAsia" w:eastAsiaTheme="minorEastAsia"/>
          <w:b/>
          <w:bCs/>
          <w:color w:val="auto"/>
          <w:sz w:val="24"/>
          <w:szCs w:val="24"/>
          <w:highlight w:val="none"/>
        </w:rPr>
        <w:instrText xml:space="preserve">)</w:instrText>
      </w:r>
      <w:r>
        <w:rPr>
          <w:rFonts w:asciiTheme="minorEastAsia" w:hAnsiTheme="minorEastAsia" w:eastAsiaTheme="minorEastAsia"/>
          <w:b/>
          <w:bCs/>
          <w:color w:val="auto"/>
          <w:sz w:val="24"/>
          <w:szCs w:val="24"/>
          <w:highlight w:val="none"/>
        </w:rPr>
        <w:fldChar w:fldCharType="end"/>
      </w:r>
      <w:r>
        <w:rPr>
          <w:rFonts w:hint="eastAsia" w:asciiTheme="minorEastAsia" w:hAnsiTheme="minorEastAsia" w:eastAsiaTheme="minorEastAsia"/>
          <w:b/>
          <w:bCs/>
          <w:color w:val="auto"/>
          <w:sz w:val="24"/>
          <w:szCs w:val="24"/>
          <w:highlight w:val="none"/>
        </w:rPr>
        <w:t>法人包括企业法人、机关法人和社会团体法人；其他组织主要包括合伙企业、非企业专业服务机构、个体工商户、农村承包经营户。</w:t>
      </w:r>
      <w:r>
        <w:rPr>
          <w:rFonts w:asciiTheme="minorEastAsia" w:hAnsiTheme="minorEastAsia" w:eastAsiaTheme="minorEastAsia"/>
          <w:b/>
          <w:bCs/>
          <w:color w:val="auto"/>
          <w:sz w:val="24"/>
          <w:szCs w:val="24"/>
          <w:highlight w:val="none"/>
        </w:rPr>
        <w:fldChar w:fldCharType="begin"/>
      </w:r>
      <w:r>
        <w:rPr>
          <w:rFonts w:asciiTheme="minorEastAsia" w:hAnsiTheme="minorEastAsia" w:eastAsiaTheme="minorEastAsia"/>
          <w:b/>
          <w:bCs/>
          <w:color w:val="auto"/>
          <w:sz w:val="24"/>
          <w:szCs w:val="24"/>
          <w:highlight w:val="none"/>
        </w:rPr>
        <w:instrText xml:space="preserve"> </w:instrText>
      </w:r>
      <w:r>
        <w:rPr>
          <w:rFonts w:hint="eastAsia" w:asciiTheme="minorEastAsia" w:hAnsiTheme="minorEastAsia" w:eastAsiaTheme="minorEastAsia"/>
          <w:b/>
          <w:bCs/>
          <w:color w:val="auto"/>
          <w:sz w:val="24"/>
          <w:szCs w:val="24"/>
          <w:highlight w:val="none"/>
        </w:rPr>
        <w:instrText xml:space="preserve">eq \o\ac(○,</w:instrText>
      </w:r>
      <w:r>
        <w:rPr>
          <w:rFonts w:hint="eastAsia" w:hAnsiTheme="minorEastAsia" w:eastAsiaTheme="minorEastAsia"/>
          <w:b/>
          <w:bCs/>
          <w:color w:val="auto"/>
          <w:position w:val="3"/>
          <w:sz w:val="16"/>
          <w:szCs w:val="24"/>
          <w:highlight w:val="none"/>
        </w:rPr>
        <w:instrText xml:space="preserve">2</w:instrText>
      </w:r>
      <w:r>
        <w:rPr>
          <w:rFonts w:hint="eastAsia" w:asciiTheme="minorEastAsia" w:hAnsiTheme="minorEastAsia" w:eastAsiaTheme="minorEastAsia"/>
          <w:b/>
          <w:bCs/>
          <w:color w:val="auto"/>
          <w:sz w:val="24"/>
          <w:szCs w:val="24"/>
          <w:highlight w:val="none"/>
        </w:rPr>
        <w:instrText xml:space="preserve">)</w:instrText>
      </w:r>
      <w:r>
        <w:rPr>
          <w:rFonts w:asciiTheme="minorEastAsia" w:hAnsiTheme="minorEastAsia" w:eastAsiaTheme="minorEastAsia"/>
          <w:b/>
          <w:bCs/>
          <w:color w:val="auto"/>
          <w:sz w:val="24"/>
          <w:szCs w:val="24"/>
          <w:highlight w:val="none"/>
        </w:rPr>
        <w:fldChar w:fldCharType="end"/>
      </w:r>
      <w:r>
        <w:rPr>
          <w:rFonts w:hint="eastAsia" w:asciiTheme="minorEastAsia" w:hAnsiTheme="minorEastAsia" w:eastAsiaTheme="minorEastAsia"/>
          <w:b/>
          <w:bCs/>
          <w:color w:val="auto"/>
          <w:sz w:val="24"/>
          <w:szCs w:val="24"/>
          <w:highlight w:val="none"/>
        </w:rPr>
        <w:t>如供应商为企业（包括合伙企业，应提供工商部门注册的有效“企业法人营业执照”或“营业执照”；如供应商为事业单位，应提供有效的“事业单位法人证书”；如供应商为非企业专业服务机构的，应提供执业许可证等证明文件；如供应商为个体工商户，应提供有效的“个体工商户营业执照”。</w:t>
      </w:r>
    </w:p>
    <w:p>
      <w:pPr>
        <w:pStyle w:val="22"/>
        <w:snapToGrid w:val="0"/>
        <w:spacing w:line="360" w:lineRule="exact"/>
        <w:ind w:firstLine="354" w:firstLineChars="147"/>
        <w:rPr>
          <w:rFonts w:asciiTheme="minorEastAsia" w:hAnsiTheme="minorEastAsia" w:eastAsiaTheme="minorEastAsia"/>
          <w:bCs/>
          <w:color w:val="auto"/>
          <w:sz w:val="24"/>
          <w:szCs w:val="24"/>
          <w:highlight w:val="none"/>
        </w:rPr>
      </w:pP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bCs/>
          <w:color w:val="auto"/>
          <w:sz w:val="24"/>
          <w:szCs w:val="24"/>
          <w:highlight w:val="none"/>
        </w:rPr>
        <w:t>（2）投标人近半年内连续三个月的依法缴纳税收证明（税费凭证复印件，或者依法缴纳税费或免缴税费的证明，格式自拟）；无纳税记录的，应提供由投标人所在地主管国税或地税部门出具的《依法纳税或依法免税证明》（格式自拟，复印件）。</w:t>
      </w:r>
    </w:p>
    <w:p>
      <w:pPr>
        <w:pStyle w:val="22"/>
        <w:snapToGrid w:val="0"/>
        <w:spacing w:line="360" w:lineRule="exact"/>
        <w:ind w:firstLine="354" w:firstLineChars="147"/>
        <w:rPr>
          <w:rFonts w:asciiTheme="minorEastAsia" w:hAnsiTheme="minorEastAsia" w:eastAsiaTheme="minorEastAsia"/>
          <w:bCs/>
          <w:color w:val="auto"/>
          <w:sz w:val="24"/>
          <w:szCs w:val="24"/>
          <w:highlight w:val="none"/>
        </w:rPr>
      </w:pP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bCs/>
          <w:color w:val="auto"/>
          <w:sz w:val="24"/>
          <w:szCs w:val="24"/>
          <w:highlight w:val="none"/>
        </w:rPr>
        <w:t>（3）投标人近半年内连续三个月的依法缴纳社保费的缴费凭证（复印件，原件备查，格式自拟）（必须提供）；无缴费记录的，应提供由投标人所在地社保部门出具的《依法缴纳或依法免缴社保费证明》（格式自拟，复印件）。</w:t>
      </w:r>
    </w:p>
    <w:p>
      <w:pPr>
        <w:pStyle w:val="22"/>
        <w:snapToGrid w:val="0"/>
        <w:spacing w:line="360" w:lineRule="exact"/>
        <w:ind w:firstLine="352" w:firstLineChars="147"/>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（4）</w:t>
      </w:r>
      <w:r>
        <w:rPr>
          <w:rFonts w:asciiTheme="minorEastAsia" w:hAnsiTheme="minorEastAsia" w:eastAsiaTheme="minorEastAsia"/>
          <w:bCs/>
          <w:color w:val="auto"/>
          <w:sz w:val="24"/>
          <w:szCs w:val="24"/>
          <w:highlight w:val="none"/>
        </w:rPr>
        <w:t>财务状况报告</w:t>
      </w:r>
      <w:r>
        <w:rPr>
          <w:rFonts w:hint="eastAsia" w:asciiTheme="minorEastAsia" w:hAnsiTheme="minorEastAsia" w:eastAsiaTheme="minorEastAsia"/>
          <w:bCs/>
          <w:color w:val="auto"/>
          <w:sz w:val="24"/>
          <w:szCs w:val="24"/>
          <w:highlight w:val="none"/>
        </w:rPr>
        <w:t>（</w:t>
      </w:r>
      <w:r>
        <w:rPr>
          <w:rFonts w:hint="eastAsia" w:hAnsi="宋体"/>
          <w:color w:val="auto"/>
          <w:sz w:val="24"/>
          <w:highlight w:val="none"/>
          <w:u w:val="single"/>
        </w:rPr>
        <w:t>可以是投标人编制的财务报表或第三方审计报告等证明材料，若为新成立的企业，可根据实际情况提供月度财务报表，或投标人开户行2018 年以来出具的银行资信证明文件复印件，格式自拟，如有请提供</w:t>
      </w:r>
      <w:r>
        <w:rPr>
          <w:rFonts w:hint="eastAsia" w:asciiTheme="minorEastAsia" w:hAnsiTheme="minorEastAsia" w:eastAsiaTheme="minorEastAsia"/>
          <w:bCs/>
          <w:color w:val="auto"/>
          <w:sz w:val="24"/>
          <w:szCs w:val="24"/>
          <w:highlight w:val="none"/>
        </w:rPr>
        <w:t>）。</w:t>
      </w:r>
    </w:p>
    <w:p>
      <w:pPr>
        <w:pStyle w:val="22"/>
        <w:snapToGrid w:val="0"/>
        <w:spacing w:line="360" w:lineRule="exact"/>
        <w:ind w:firstLine="354" w:firstLineChars="147"/>
        <w:rPr>
          <w:rFonts w:hAnsi="宋体"/>
          <w:bCs/>
          <w:color w:val="auto"/>
          <w:sz w:val="24"/>
          <w:szCs w:val="24"/>
          <w:highlight w:val="none"/>
        </w:rPr>
      </w:pP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bCs/>
          <w:color w:val="auto"/>
          <w:sz w:val="24"/>
          <w:szCs w:val="24"/>
          <w:highlight w:val="none"/>
        </w:rPr>
        <w:t>（5）具备履行合同所必需的设备和专业技术能力的证明材料（提供投标人基本情况表，格式自拟，须反映投标人履行合同所必需的设备和专业技术能力情况）</w:t>
      </w:r>
      <w:r>
        <w:rPr>
          <w:rFonts w:hint="eastAsia" w:hAnsi="宋体"/>
          <w:bCs/>
          <w:color w:val="auto"/>
          <w:sz w:val="24"/>
          <w:szCs w:val="24"/>
          <w:highlight w:val="none"/>
          <w:u w:val="single"/>
        </w:rPr>
        <w:t>或承诺函（投标人须明确承诺具有履行合同所必需的设备和专业技术能力情况，格式自拟）。</w:t>
      </w:r>
    </w:p>
    <w:p>
      <w:pPr>
        <w:pStyle w:val="22"/>
        <w:snapToGrid w:val="0"/>
        <w:spacing w:line="360" w:lineRule="exact"/>
        <w:ind w:firstLine="354" w:firstLineChars="147"/>
        <w:rPr>
          <w:rFonts w:asciiTheme="minorEastAsia" w:hAnsiTheme="minorEastAsia" w:eastAsiaTheme="minorEastAsia"/>
          <w:bCs/>
          <w:color w:val="auto"/>
          <w:sz w:val="24"/>
          <w:szCs w:val="24"/>
          <w:highlight w:val="none"/>
        </w:rPr>
      </w:pP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bCs/>
          <w:color w:val="auto"/>
          <w:sz w:val="24"/>
          <w:szCs w:val="24"/>
          <w:highlight w:val="none"/>
        </w:rPr>
        <w:t>（6）投标人参加政府采购活动前3年内在经营活动中没有重大违法记录的书面声明。</w:t>
      </w:r>
    </w:p>
    <w:p>
      <w:pPr>
        <w:pStyle w:val="22"/>
        <w:snapToGrid w:val="0"/>
        <w:spacing w:line="360" w:lineRule="exact"/>
        <w:ind w:firstLine="352" w:firstLineChars="147"/>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（7）供应商</w:t>
      </w:r>
      <w:r>
        <w:rPr>
          <w:rFonts w:hint="eastAsia" w:asciiTheme="minorEastAsia" w:hAnsiTheme="minorEastAsia" w:eastAsiaTheme="minorEastAsia"/>
          <w:bCs/>
          <w:color w:val="auto"/>
          <w:sz w:val="24"/>
          <w:szCs w:val="24"/>
          <w:highlight w:val="none"/>
          <w:lang w:eastAsia="zh-CN"/>
        </w:rPr>
        <w:t>可</w:t>
      </w:r>
      <w:r>
        <w:rPr>
          <w:rFonts w:hint="eastAsia" w:asciiTheme="minorEastAsia" w:hAnsiTheme="minorEastAsia" w:eastAsiaTheme="minorEastAsia"/>
          <w:bCs/>
          <w:color w:val="auto"/>
          <w:sz w:val="24"/>
          <w:szCs w:val="24"/>
          <w:highlight w:val="none"/>
        </w:rPr>
        <w:t>在“信用中国”网站（www.creditchina.gov.cn）或中国政府采购网（www.ccgp.gov.cn）查询相关供应商主体信用记录，并提供有关查询结果截图。</w:t>
      </w:r>
    </w:p>
    <w:p>
      <w:pPr>
        <w:spacing w:line="360" w:lineRule="exact"/>
        <w:ind w:left="141" w:leftChars="67"/>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2.商务文件</w:t>
      </w:r>
    </w:p>
    <w:p>
      <w:pPr>
        <w:spacing w:line="360" w:lineRule="exact"/>
        <w:ind w:left="141" w:leftChars="67"/>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★必须提供项目:</w:t>
      </w:r>
    </w:p>
    <w:p>
      <w:pPr>
        <w:tabs>
          <w:tab w:val="left" w:pos="1305"/>
        </w:tabs>
        <w:spacing w:line="330" w:lineRule="exact"/>
        <w:ind w:firstLine="240" w:firstLineChars="1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（1）投标声明书</w:t>
      </w:r>
    </w:p>
    <w:p>
      <w:pPr>
        <w:tabs>
          <w:tab w:val="left" w:pos="1305"/>
        </w:tabs>
        <w:spacing w:line="330" w:lineRule="exact"/>
        <w:ind w:firstLine="240" w:firstLineChars="100"/>
        <w:rPr>
          <w:rFonts w:ascii="宋体" w:hAnsi="宋体"/>
          <w:color w:val="auto"/>
          <w:sz w:val="24"/>
          <w:highlight w:val="none"/>
        </w:rPr>
      </w:pPr>
      <w:r>
        <w:rPr>
          <w:rFonts w:hint="eastAsia" w:asciiTheme="minorEastAsia" w:hAnsiTheme="minorEastAsia" w:eastAsiaTheme="minorEastAsia"/>
          <w:color w:val="auto"/>
          <w:sz w:val="24"/>
          <w:highlight w:val="none"/>
        </w:rPr>
        <w:t>（2）</w:t>
      </w:r>
      <w:r>
        <w:rPr>
          <w:rFonts w:hint="eastAsia" w:ascii="宋体" w:hAnsi="宋体"/>
          <w:color w:val="auto"/>
          <w:sz w:val="24"/>
          <w:highlight w:val="none"/>
        </w:rPr>
        <w:t>法定代表人身份证明书、相应的法定代表人身份证正反两面复印件</w:t>
      </w:r>
      <w:r>
        <w:rPr>
          <w:rFonts w:hint="eastAsia" w:ascii="宋体" w:hAnsi="宋体"/>
          <w:b/>
          <w:color w:val="auto"/>
          <w:sz w:val="24"/>
          <w:highlight w:val="none"/>
        </w:rPr>
        <w:t>（必须提供；</w:t>
      </w:r>
      <w:r>
        <w:rPr>
          <w:rFonts w:hint="eastAsia" w:ascii="宋体" w:hAnsi="宋体"/>
          <w:color w:val="auto"/>
          <w:sz w:val="24"/>
          <w:highlight w:val="none"/>
        </w:rPr>
        <w:t>投标人若为自然人的提供自然人身份证正反两面复印件，投标人若为其他组织形式无法定代表人的提供负责人身份证正反两面复印件）；</w:t>
      </w:r>
    </w:p>
    <w:p>
      <w:pPr>
        <w:spacing w:line="360" w:lineRule="exact"/>
        <w:ind w:firstLine="240" w:firstLineChars="100"/>
        <w:rPr>
          <w:rFonts w:asciiTheme="minorEastAsia" w:hAnsiTheme="minorEastAsia" w:eastAsiaTheme="minorEastAsia"/>
          <w:color w:val="auto"/>
          <w:sz w:val="24"/>
          <w:highlight w:val="none"/>
        </w:rPr>
      </w:pPr>
      <w:r>
        <w:rPr>
          <w:rFonts w:hint="eastAsia" w:ascii="宋体" w:hAnsi="宋体"/>
          <w:color w:val="auto"/>
          <w:sz w:val="24"/>
          <w:highlight w:val="none"/>
        </w:rPr>
        <w:t>（3）授权委托书原件、委托代理人身份证正反面复印件</w:t>
      </w:r>
      <w:r>
        <w:rPr>
          <w:rFonts w:hint="eastAsia" w:ascii="宋体" w:hAnsi="宋体"/>
          <w:b/>
          <w:color w:val="auto"/>
          <w:sz w:val="24"/>
          <w:highlight w:val="none"/>
        </w:rPr>
        <w:t>（委托代理时必须提供）；</w:t>
      </w:r>
    </w:p>
    <w:p>
      <w:pPr>
        <w:spacing w:line="360" w:lineRule="exact"/>
        <w:ind w:left="141" w:leftChars="67" w:firstLine="120" w:firstLineChars="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（4）商务条款偏离表(格式见附件) ；</w:t>
      </w:r>
    </w:p>
    <w:p>
      <w:pPr>
        <w:spacing w:line="360" w:lineRule="exact"/>
        <w:ind w:firstLine="240" w:firstLineChars="1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（5）招标文件要求投标人必须提供的其他资料（如有要求，必须提供）；</w:t>
      </w:r>
    </w:p>
    <w:p>
      <w:pPr>
        <w:spacing w:line="360" w:lineRule="exact"/>
        <w:ind w:left="141" w:leftChars="67"/>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可作为投标人资信评分的资质证明材料(可选):</w:t>
      </w:r>
    </w:p>
    <w:p>
      <w:pPr>
        <w:spacing w:line="360" w:lineRule="exact"/>
        <w:ind w:firstLine="240" w:firstLineChars="1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（6）类似案例成功的业绩(投标入同类项目实施情况一览表、合同或中标通知书复印件等);</w:t>
      </w:r>
    </w:p>
    <w:p>
      <w:pPr>
        <w:spacing w:line="360" w:lineRule="exact"/>
        <w:ind w:firstLine="240" w:firstLineChars="1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（7）质量管理和质量保证体系等方面的认证证书</w:t>
      </w:r>
    </w:p>
    <w:p>
      <w:pPr>
        <w:spacing w:line="360" w:lineRule="exact"/>
        <w:ind w:firstLine="240" w:firstLineChars="1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8</w:t>
      </w:r>
      <w:r>
        <w:rPr>
          <w:rFonts w:hint="eastAsia" w:asciiTheme="minorEastAsia" w:hAnsiTheme="minorEastAsia" w:eastAsiaTheme="minorEastAsia"/>
          <w:color w:val="auto"/>
          <w:sz w:val="24"/>
          <w:highlight w:val="none"/>
        </w:rPr>
        <w:t>）投标人认为可以提供的其他材料;</w:t>
      </w:r>
    </w:p>
    <w:p>
      <w:pPr>
        <w:spacing w:line="360" w:lineRule="exact"/>
        <w:ind w:left="141" w:leftChars="67"/>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3.技术文件</w:t>
      </w:r>
    </w:p>
    <w:p>
      <w:pPr>
        <w:spacing w:line="360" w:lineRule="exact"/>
        <w:ind w:left="141" w:leftChars="67"/>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color w:val="auto"/>
          <w:sz w:val="24"/>
          <w:highlight w:val="none"/>
        </w:rPr>
        <w:t>（1）技术资料表；（必须提供）</w:t>
      </w:r>
    </w:p>
    <w:p>
      <w:pPr>
        <w:spacing w:line="360" w:lineRule="exact"/>
        <w:ind w:left="141" w:leftChars="67"/>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color w:val="auto"/>
          <w:sz w:val="24"/>
          <w:highlight w:val="none"/>
        </w:rPr>
        <w:t>（2）服务承诺书（应据项目实际要求描述,格式自拟，必须提供）</w:t>
      </w:r>
    </w:p>
    <w:p>
      <w:pPr>
        <w:spacing w:line="360" w:lineRule="exact"/>
        <w:ind w:left="141" w:leftChars="67"/>
        <w:rPr>
          <w:rFonts w:ascii="宋体" w:hAnsi="宋体" w:cs="宋体"/>
          <w:color w:val="auto"/>
          <w:sz w:val="24"/>
          <w:highlight w:val="none"/>
        </w:rPr>
      </w:pPr>
      <w:r>
        <w:rPr>
          <w:rFonts w:hint="eastAsia" w:asciiTheme="minorEastAsia" w:hAnsiTheme="minorEastAsia" w:eastAsiaTheme="minorEastAsia"/>
          <w:color w:val="auto"/>
          <w:sz w:val="24"/>
          <w:highlight w:val="none"/>
        </w:rPr>
        <w:t>（3）</w:t>
      </w:r>
      <w:r>
        <w:rPr>
          <w:rFonts w:hint="eastAsia" w:ascii="宋体" w:hAnsi="宋体" w:cs="宋体"/>
          <w:color w:val="auto"/>
          <w:sz w:val="24"/>
          <w:highlight w:val="none"/>
        </w:rPr>
        <w:t>项目技术方案</w:t>
      </w:r>
      <w:r>
        <w:rPr>
          <w:rFonts w:ascii="宋体" w:hAnsi="宋体" w:cs="宋体"/>
          <w:color w:val="auto"/>
          <w:sz w:val="24"/>
          <w:highlight w:val="none"/>
        </w:rPr>
        <w:t>(如有，请提供)</w:t>
      </w:r>
    </w:p>
    <w:p>
      <w:pPr>
        <w:spacing w:line="360" w:lineRule="exact"/>
        <w:ind w:left="141" w:leftChars="67"/>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（4）项目实施人员一览表； </w:t>
      </w:r>
    </w:p>
    <w:p>
      <w:pPr>
        <w:spacing w:line="360" w:lineRule="exact"/>
        <w:ind w:left="141" w:leftChars="67"/>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（5）投标人需要说明的其他文件和说明（格式略，如有请提供）；</w:t>
      </w:r>
    </w:p>
    <w:p>
      <w:pPr>
        <w:spacing w:line="360" w:lineRule="exact"/>
        <w:ind w:left="141" w:leftChars="67"/>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★4.报价文件</w:t>
      </w:r>
    </w:p>
    <w:p>
      <w:pPr>
        <w:spacing w:line="360" w:lineRule="exact"/>
        <w:ind w:left="141" w:leftChars="67"/>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(1)投标函(格式见附件);</w:t>
      </w:r>
    </w:p>
    <w:p>
      <w:pPr>
        <w:spacing w:line="360" w:lineRule="exact"/>
        <w:ind w:left="141" w:leftChars="67"/>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(2)投标报价明细表(格式见附件);</w:t>
      </w:r>
    </w:p>
    <w:p>
      <w:pPr>
        <w:spacing w:line="360" w:lineRule="exact"/>
        <w:ind w:left="141" w:leftChars="67"/>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(3)投标人针对报价需要说明的其他文件和说明(格式自拟，如有请提供);</w:t>
      </w:r>
    </w:p>
    <w:p>
      <w:pPr>
        <w:spacing w:line="360" w:lineRule="exact"/>
        <w:ind w:left="141" w:leftChars="67"/>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(4)开标一览表(单独分册,格式见附件)。</w:t>
      </w:r>
    </w:p>
    <w:p>
      <w:pPr>
        <w:spacing w:line="360" w:lineRule="exact"/>
        <w:ind w:left="141" w:leftChars="67"/>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★注:法定代表人授权委托书必须由法定代表人签名并加盖单位公章；投标声明书、投标函、开标一览表必须由法定代表人或授权代表签名并加盖单位公章。</w:t>
      </w:r>
    </w:p>
    <w:p>
      <w:pPr>
        <w:spacing w:line="360" w:lineRule="exact"/>
        <w:ind w:left="141" w:leftChars="67"/>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5.</w:t>
      </w:r>
      <w:r>
        <w:rPr>
          <w:rFonts w:hint="eastAsia" w:ascii="宋体" w:hAnsi="宋体" w:cs="宋体"/>
          <w:color w:val="auto"/>
          <w:sz w:val="24"/>
          <w:highlight w:val="none"/>
        </w:rPr>
        <w:t>演示录制声像视频U盘</w:t>
      </w:r>
      <w:r>
        <w:rPr>
          <w:rFonts w:hint="eastAsia" w:asciiTheme="minorEastAsia" w:hAnsiTheme="minorEastAsia" w:eastAsiaTheme="minorEastAsia"/>
          <w:color w:val="auto"/>
          <w:sz w:val="24"/>
          <w:highlight w:val="none"/>
          <w:u w:val="single"/>
        </w:rPr>
        <w:t>（如有，请提供）要求：</w:t>
      </w:r>
      <w:r>
        <w:rPr>
          <w:rFonts w:hint="eastAsia" w:ascii="宋体" w:hAnsi="宋体" w:cs="宋体"/>
          <w:b/>
          <w:bCs/>
          <w:color w:val="auto"/>
          <w:sz w:val="24"/>
          <w:highlight w:val="none"/>
        </w:rPr>
        <w:t>视频文件保存格式为mp4或m4v或mp4v</w:t>
      </w:r>
      <w:r>
        <w:rPr>
          <w:rFonts w:hint="eastAsia" w:ascii="宋体" w:hAnsi="宋体" w:cs="宋体"/>
          <w:color w:val="auto"/>
          <w:sz w:val="24"/>
          <w:highlight w:val="none"/>
        </w:rPr>
        <w:t>。</w:t>
      </w:r>
    </w:p>
    <w:p>
      <w:pPr>
        <w:snapToGrid w:val="0"/>
        <w:spacing w:line="360" w:lineRule="exact"/>
        <w:jc w:val="left"/>
        <w:rPr>
          <w:rFonts w:asciiTheme="minorEastAsia" w:hAnsiTheme="minorEastAsia" w:eastAsiaTheme="minorEastAsia"/>
          <w:b/>
          <w:color w:val="auto"/>
          <w:sz w:val="24"/>
          <w:highlight w:val="none"/>
        </w:rPr>
      </w:pPr>
      <w:bookmarkStart w:id="262" w:name="_Toc254970537"/>
      <w:bookmarkStart w:id="263" w:name="_Toc254970678"/>
      <w:r>
        <w:rPr>
          <w:rFonts w:hint="eastAsia" w:asciiTheme="minorEastAsia" w:hAnsiTheme="minorEastAsia" w:eastAsiaTheme="minorEastAsia"/>
          <w:b/>
          <w:color w:val="auto"/>
          <w:sz w:val="24"/>
          <w:highlight w:val="none"/>
        </w:rPr>
        <w:t>（二）投标文件的语言及计量</w:t>
      </w:r>
      <w:bookmarkEnd w:id="262"/>
      <w:bookmarkEnd w:id="263"/>
    </w:p>
    <w:p>
      <w:pPr>
        <w:snapToGrid w:val="0"/>
        <w:spacing w:line="360" w:lineRule="exact"/>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1.投标文件以及投标方与招标方就有关投标事宜的所有来往函电，均应以中文汉语书写。除签名、盖章、专用名称等特殊情形外，以中文汉语以外的文字表述的投标文件视同未提供。</w:t>
      </w:r>
    </w:p>
    <w:p>
      <w:pPr>
        <w:snapToGrid w:val="0"/>
        <w:spacing w:line="360" w:lineRule="exact"/>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2.投标计量单位，招标文件已有明确规定的，使用招标文件规定的计量单位；招标文件没有规定的，应采用中华人民共和国法定计量单位（货币单位：人民币元），否则视同未响应。</w:t>
      </w:r>
    </w:p>
    <w:p>
      <w:pPr>
        <w:snapToGrid w:val="0"/>
        <w:spacing w:line="360" w:lineRule="exact"/>
        <w:jc w:val="left"/>
        <w:rPr>
          <w:rFonts w:asciiTheme="minorEastAsia" w:hAnsiTheme="minorEastAsia" w:eastAsiaTheme="minorEastAsia"/>
          <w:b/>
          <w:color w:val="auto"/>
          <w:sz w:val="24"/>
          <w:highlight w:val="none"/>
        </w:rPr>
      </w:pPr>
      <w:bookmarkStart w:id="264" w:name="_Toc254970679"/>
      <w:bookmarkStart w:id="265" w:name="_Toc254970538"/>
      <w:r>
        <w:rPr>
          <w:rFonts w:hint="eastAsia" w:asciiTheme="minorEastAsia" w:hAnsiTheme="minorEastAsia" w:eastAsiaTheme="minorEastAsia"/>
          <w:b/>
          <w:color w:val="auto"/>
          <w:sz w:val="24"/>
          <w:highlight w:val="none"/>
        </w:rPr>
        <w:t>（三）投标报价</w:t>
      </w:r>
      <w:bookmarkEnd w:id="264"/>
      <w:bookmarkEnd w:id="265"/>
    </w:p>
    <w:p>
      <w:pPr>
        <w:pStyle w:val="22"/>
        <w:snapToGrid w:val="0"/>
        <w:spacing w:line="360" w:lineRule="exact"/>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1.投标报价应按招标文件中相关附表格式填写。</w:t>
      </w:r>
    </w:p>
    <w:p>
      <w:pPr>
        <w:pStyle w:val="22"/>
        <w:snapToGrid w:val="0"/>
        <w:spacing w:line="360" w:lineRule="exact"/>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 投标报价是履行合同的最终价格，应包括服务、以及培训等一切税金和费用。</w:t>
      </w:r>
    </w:p>
    <w:p>
      <w:pPr>
        <w:pStyle w:val="22"/>
        <w:snapToGrid w:val="0"/>
        <w:spacing w:line="360" w:lineRule="exact"/>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 投标文件只允许有一个报价，有选择的或有条件的报价将不予接受。</w:t>
      </w:r>
    </w:p>
    <w:p>
      <w:pPr>
        <w:pStyle w:val="13"/>
        <w:widowControl w:val="0"/>
        <w:tabs>
          <w:tab w:val="clear" w:pos="840"/>
          <w:tab w:val="clear" w:pos="900"/>
        </w:tabs>
        <w:snapToGrid w:val="0"/>
        <w:spacing w:afterLines="0" w:line="360" w:lineRule="exact"/>
        <w:ind w:left="0" w:firstLine="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（四）投标文件的有效期</w:t>
      </w:r>
    </w:p>
    <w:p>
      <w:pPr>
        <w:pStyle w:val="13"/>
        <w:widowControl w:val="0"/>
        <w:tabs>
          <w:tab w:val="clear" w:pos="454"/>
        </w:tabs>
        <w:snapToGrid w:val="0"/>
        <w:spacing w:afterLines="0" w:line="360" w:lineRule="exact"/>
        <w:ind w:left="0" w:firstLine="480" w:firstLineChars="20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1.投标文件有效期按投标人须知前附表规定的时间。有效期不足的投标文件将被拒绝。</w:t>
      </w:r>
    </w:p>
    <w:p>
      <w:pPr>
        <w:pStyle w:val="13"/>
        <w:widowControl w:val="0"/>
        <w:tabs>
          <w:tab w:val="clear" w:pos="454"/>
        </w:tabs>
        <w:snapToGrid w:val="0"/>
        <w:spacing w:afterLines="0" w:line="360" w:lineRule="exact"/>
        <w:ind w:left="0" w:firstLine="480" w:firstLineChars="20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2.在特殊情况下，招标人可与投标人协商延长投标书的有效期，这种要求和答复均以书面形式进行。</w:t>
      </w:r>
    </w:p>
    <w:p>
      <w:pPr>
        <w:snapToGrid w:val="0"/>
        <w:spacing w:line="360" w:lineRule="exact"/>
        <w:ind w:firstLine="480" w:firstLineChars="200"/>
        <w:jc w:val="left"/>
        <w:rPr>
          <w:rFonts w:asciiTheme="minorEastAsia" w:hAnsiTheme="minorEastAsia" w:eastAsiaTheme="minorEastAsia"/>
          <w:b/>
          <w:color w:val="auto"/>
          <w:sz w:val="24"/>
          <w:highlight w:val="none"/>
        </w:rPr>
      </w:pPr>
      <w:bookmarkStart w:id="266" w:name="_Toc254970539"/>
      <w:bookmarkStart w:id="267" w:name="_Toc254970680"/>
      <w:r>
        <w:rPr>
          <w:rFonts w:hint="eastAsia" w:asciiTheme="minorEastAsia" w:hAnsiTheme="minorEastAsia" w:eastAsiaTheme="minorEastAsia"/>
          <w:color w:val="auto"/>
          <w:sz w:val="24"/>
          <w:highlight w:val="none"/>
        </w:rPr>
        <w:t>3.投标人可拒绝接受延期要求，但不能修改投标文件。</w:t>
      </w:r>
      <w:bookmarkEnd w:id="266"/>
      <w:bookmarkEnd w:id="267"/>
      <w:r>
        <w:rPr>
          <w:rFonts w:hint="eastAsia" w:asciiTheme="minorEastAsia" w:hAnsiTheme="minorEastAsia" w:eastAsiaTheme="minorEastAsia"/>
          <w:b/>
          <w:color w:val="auto"/>
          <w:sz w:val="24"/>
          <w:highlight w:val="none"/>
        </w:rPr>
        <w:t xml:space="preserve"> </w:t>
      </w:r>
    </w:p>
    <w:p>
      <w:pPr>
        <w:snapToGrid w:val="0"/>
        <w:spacing w:line="360" w:lineRule="exact"/>
        <w:ind w:firstLine="480" w:firstLineChars="200"/>
        <w:jc w:val="left"/>
        <w:rPr>
          <w:rFonts w:asciiTheme="minorEastAsia" w:hAnsiTheme="minorEastAsia" w:eastAsiaTheme="minorEastAsia"/>
          <w:b/>
          <w:color w:val="auto"/>
          <w:sz w:val="24"/>
          <w:highlight w:val="none"/>
        </w:rPr>
      </w:pPr>
      <w:bookmarkStart w:id="268" w:name="_Toc254970540"/>
      <w:bookmarkStart w:id="269" w:name="_Toc254970681"/>
      <w:r>
        <w:rPr>
          <w:rFonts w:hint="eastAsia" w:asciiTheme="minorEastAsia" w:hAnsiTheme="minorEastAsia" w:eastAsiaTheme="minorEastAsia"/>
          <w:color w:val="auto"/>
          <w:sz w:val="24"/>
          <w:highlight w:val="none"/>
        </w:rPr>
        <w:t>4.中标人的投标文件自开标之日起至合同履行完毕止均应保持有效。</w:t>
      </w:r>
      <w:bookmarkEnd w:id="268"/>
      <w:bookmarkEnd w:id="269"/>
    </w:p>
    <w:p>
      <w:pPr>
        <w:snapToGrid w:val="0"/>
        <w:spacing w:line="360" w:lineRule="exact"/>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（六）投标文件的编制</w:t>
      </w:r>
    </w:p>
    <w:p>
      <w:pPr>
        <w:snapToGrid w:val="0"/>
        <w:spacing w:line="360" w:lineRule="exact"/>
        <w:ind w:firstLine="480" w:firstLineChars="200"/>
        <w:jc w:val="left"/>
        <w:rPr>
          <w:rFonts w:asciiTheme="minorEastAsia" w:hAnsiTheme="minorEastAsia" w:eastAsiaTheme="minorEastAsia"/>
          <w:color w:val="auto"/>
          <w:sz w:val="24"/>
          <w:highlight w:val="none"/>
        </w:rPr>
      </w:pPr>
      <w:bookmarkStart w:id="270" w:name="_Toc254970543"/>
      <w:bookmarkStart w:id="271" w:name="_Toc254970684"/>
      <w:r>
        <w:rPr>
          <w:rFonts w:hint="eastAsia" w:asciiTheme="minorEastAsia" w:hAnsiTheme="minorEastAsia" w:eastAsiaTheme="minorEastAsia"/>
          <w:color w:val="auto"/>
          <w:sz w:val="24"/>
          <w:highlight w:val="none"/>
        </w:rPr>
        <w:t>1. 投标人应按本招标文件规定的格式和顺序编制、装订投标文件并标注页码，具体装订要求见“投标人须知前附表”规定。投标文件内容不完整、编排混乱导致投标文件被误读、漏读或者查找不到相关内容的，是投标人的责任。</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r>
        <w:rPr>
          <w:rFonts w:asciiTheme="minorEastAsia" w:hAnsiTheme="minorEastAsia" w:eastAsiaTheme="minorEastAsia"/>
          <w:color w:val="auto"/>
          <w:sz w:val="24"/>
          <w:szCs w:val="24"/>
          <w:highlight w:val="none"/>
        </w:rPr>
        <w:t xml:space="preserve"> 投标文件正本一份，副本份数见“投标人须知前附表”。正本和副本的封面上应清楚地标记“正本”或“副本”的字样</w:t>
      </w:r>
      <w:r>
        <w:rPr>
          <w:rFonts w:hint="eastAsia" w:asciiTheme="minorEastAsia" w:hAnsiTheme="minorEastAsia" w:eastAsiaTheme="minorEastAsia"/>
          <w:color w:val="auto"/>
          <w:sz w:val="24"/>
          <w:szCs w:val="24"/>
          <w:highlight w:val="none"/>
        </w:rPr>
        <w:t>。书面投标文件副本与书面投标文件正本不符，以投标文件正本为准。</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3.投标文件的正本需打印或用不褪色的墨水填写，投标文件正本除本投标人须知中规定的可提供复印件外均须提供原件。副本可为正本的复印件。</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r>
        <w:rPr>
          <w:rFonts w:asciiTheme="minorEastAsia" w:hAnsiTheme="minorEastAsia" w:eastAsiaTheme="minorEastAsia"/>
          <w:color w:val="auto"/>
          <w:sz w:val="24"/>
          <w:szCs w:val="24"/>
          <w:highlight w:val="none"/>
        </w:rPr>
        <w:t xml:space="preserve"> 投标文件正本与副本均</w:t>
      </w:r>
      <w:r>
        <w:rPr>
          <w:rFonts w:hint="eastAsia" w:asciiTheme="minorEastAsia" w:hAnsiTheme="minorEastAsia" w:eastAsiaTheme="minorEastAsia"/>
          <w:color w:val="auto"/>
          <w:sz w:val="24"/>
          <w:szCs w:val="24"/>
          <w:highlight w:val="none"/>
        </w:rPr>
        <w:t>应</w:t>
      </w:r>
      <w:r>
        <w:rPr>
          <w:rFonts w:asciiTheme="minorEastAsia" w:hAnsiTheme="minorEastAsia" w:eastAsiaTheme="minorEastAsia"/>
          <w:color w:val="auto"/>
          <w:sz w:val="24"/>
          <w:szCs w:val="24"/>
          <w:highlight w:val="none"/>
        </w:rPr>
        <w:t>由投标人在招标文件规定的相关位置加盖投标人法人单位公章，且经法定代表</w:t>
      </w:r>
      <w:r>
        <w:rPr>
          <w:rFonts w:hint="eastAsia" w:asciiTheme="minorEastAsia" w:hAnsiTheme="minorEastAsia" w:eastAsiaTheme="minorEastAsia"/>
          <w:color w:val="auto"/>
          <w:sz w:val="24"/>
          <w:szCs w:val="24"/>
          <w:highlight w:val="none"/>
        </w:rPr>
        <w:t>人签字（</w:t>
      </w:r>
      <w:r>
        <w:rPr>
          <w:rFonts w:asciiTheme="minorEastAsia" w:hAnsiTheme="minorEastAsia" w:eastAsiaTheme="minorEastAsia"/>
          <w:color w:val="auto"/>
          <w:sz w:val="24"/>
          <w:szCs w:val="24"/>
          <w:highlight w:val="none"/>
        </w:rPr>
        <w:t>或</w:t>
      </w:r>
      <w:r>
        <w:rPr>
          <w:rFonts w:hint="eastAsia" w:asciiTheme="minorEastAsia" w:hAnsiTheme="minorEastAsia" w:eastAsiaTheme="minorEastAsia"/>
          <w:color w:val="auto"/>
          <w:sz w:val="24"/>
          <w:szCs w:val="24"/>
          <w:highlight w:val="none"/>
        </w:rPr>
        <w:t>盖章</w:t>
      </w:r>
      <w:r>
        <w:rPr>
          <w:rFonts w:asciiTheme="minorEastAsia" w:hAnsiTheme="minorEastAsia" w:eastAsiaTheme="minorEastAsia"/>
          <w:color w:val="auto"/>
          <w:sz w:val="24"/>
          <w:szCs w:val="24"/>
          <w:highlight w:val="none"/>
        </w:rPr>
        <w:t>）或其委托代理人本人签</w:t>
      </w:r>
      <w:r>
        <w:rPr>
          <w:rFonts w:hint="eastAsia" w:asciiTheme="minorEastAsia" w:hAnsiTheme="minorEastAsia" w:eastAsiaTheme="minorEastAsia"/>
          <w:color w:val="auto"/>
          <w:sz w:val="24"/>
          <w:szCs w:val="24"/>
          <w:highlight w:val="none"/>
        </w:rPr>
        <w:t>字，否则作否决投标处理。</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5.投标文件不得涂改，若有修改错漏处，须加盖单位公章或者法定代表人或授权委托人签字或盖章。投标文件因字迹潦草或表达不清或提供的资料模糊不清所引起的后果由投标人负责。</w:t>
      </w:r>
    </w:p>
    <w:p>
      <w:pPr>
        <w:pStyle w:val="22"/>
        <w:snapToGrid w:val="0"/>
        <w:spacing w:line="360" w:lineRule="exact"/>
        <w:ind w:firstLine="630" w:firstLineChars="196"/>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四、投标</w:t>
      </w:r>
    </w:p>
    <w:p>
      <w:pPr>
        <w:snapToGrid w:val="0"/>
        <w:spacing w:line="360" w:lineRule="exact"/>
        <w:ind w:firstLine="354" w:firstLineChars="147"/>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（一）投标文件的密封</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r>
        <w:rPr>
          <w:rFonts w:asciiTheme="minorEastAsia" w:hAnsiTheme="minorEastAsia" w:eastAsiaTheme="minorEastAsia"/>
          <w:color w:val="auto"/>
          <w:sz w:val="24"/>
          <w:szCs w:val="24"/>
          <w:highlight w:val="none"/>
        </w:rPr>
        <w:t>投标文件应按“投标人须知前附表”的要求进行包装</w:t>
      </w:r>
      <w:r>
        <w:rPr>
          <w:rFonts w:hint="eastAsia" w:asciiTheme="minorEastAsia" w:hAnsiTheme="minorEastAsia" w:eastAsiaTheme="minorEastAsia"/>
          <w:color w:val="auto"/>
          <w:sz w:val="24"/>
          <w:szCs w:val="24"/>
          <w:highlight w:val="none"/>
        </w:rPr>
        <w:t>。</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r>
        <w:rPr>
          <w:rFonts w:asciiTheme="minorEastAsia" w:hAnsiTheme="minorEastAsia" w:eastAsiaTheme="minorEastAsia"/>
          <w:color w:val="auto"/>
          <w:sz w:val="24"/>
          <w:szCs w:val="24"/>
          <w:highlight w:val="none"/>
        </w:rPr>
        <w:t>投标文件封套上应写明的其他内容见“投标人须知前附表”。</w:t>
      </w:r>
    </w:p>
    <w:p>
      <w:pPr>
        <w:snapToGrid w:val="0"/>
        <w:spacing w:line="360" w:lineRule="exact"/>
        <w:ind w:firstLine="354" w:firstLineChars="147"/>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（二）投标文件的递交</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 xml:space="preserve"> 投标人应在“投标人须知前附表”规定的投标</w:t>
      </w:r>
      <w:r>
        <w:rPr>
          <w:rFonts w:hint="eastAsia" w:asciiTheme="minorEastAsia" w:hAnsiTheme="minorEastAsia" w:eastAsiaTheme="minorEastAsia"/>
          <w:color w:val="auto"/>
          <w:sz w:val="24"/>
          <w:szCs w:val="24"/>
          <w:highlight w:val="none"/>
        </w:rPr>
        <w:t>文件递交</w:t>
      </w:r>
      <w:r>
        <w:rPr>
          <w:rFonts w:asciiTheme="minorEastAsia" w:hAnsiTheme="minorEastAsia" w:eastAsiaTheme="minorEastAsia"/>
          <w:color w:val="auto"/>
          <w:sz w:val="24"/>
          <w:szCs w:val="24"/>
          <w:highlight w:val="none"/>
        </w:rPr>
        <w:t>截止时间前递交投标文件。</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 xml:space="preserve"> 投标人递交投标文件的地点：见</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投标人须知前附表</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除</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投标人须知前附表</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另有规定外，投标人所递交的投标文件不予退还。</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4</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招标人收到投标文件后，向投标人出具签收凭证。</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5</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 xml:space="preserve"> 逾期送达的或者未送达指定地点的投标文件，招标人不予受理。</w:t>
      </w:r>
    </w:p>
    <w:p>
      <w:pPr>
        <w:snapToGrid w:val="0"/>
        <w:spacing w:line="360" w:lineRule="exact"/>
        <w:ind w:firstLine="354" w:firstLineChars="147"/>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（三）投标文件的修改与撤回</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在“投标人须知前附表”规定的投标</w:t>
      </w:r>
      <w:r>
        <w:rPr>
          <w:rFonts w:hint="eastAsia" w:asciiTheme="minorEastAsia" w:hAnsiTheme="minorEastAsia" w:eastAsiaTheme="minorEastAsia"/>
          <w:color w:val="auto"/>
          <w:sz w:val="24"/>
          <w:szCs w:val="24"/>
          <w:highlight w:val="none"/>
        </w:rPr>
        <w:t>文件递交</w:t>
      </w:r>
      <w:r>
        <w:rPr>
          <w:rFonts w:asciiTheme="minorEastAsia" w:hAnsiTheme="minorEastAsia" w:eastAsiaTheme="minorEastAsia"/>
          <w:color w:val="auto"/>
          <w:sz w:val="24"/>
          <w:szCs w:val="24"/>
          <w:highlight w:val="none"/>
        </w:rPr>
        <w:t>截止时间前，投标人可以</w:t>
      </w:r>
      <w:r>
        <w:rPr>
          <w:rFonts w:hint="eastAsia" w:asciiTheme="minorEastAsia" w:hAnsiTheme="minorEastAsia" w:eastAsiaTheme="minorEastAsia"/>
          <w:color w:val="auto"/>
          <w:sz w:val="24"/>
          <w:szCs w:val="24"/>
          <w:highlight w:val="none"/>
        </w:rPr>
        <w:t>补充、</w:t>
      </w:r>
      <w:r>
        <w:rPr>
          <w:rFonts w:asciiTheme="minorEastAsia" w:hAnsiTheme="minorEastAsia" w:eastAsiaTheme="minorEastAsia"/>
          <w:color w:val="auto"/>
          <w:sz w:val="24"/>
          <w:szCs w:val="24"/>
          <w:highlight w:val="none"/>
        </w:rPr>
        <w:t>修改或撤回已递交的投标文件，但应以书面形式通知招标人</w:t>
      </w:r>
      <w:r>
        <w:rPr>
          <w:rFonts w:hint="eastAsia" w:asciiTheme="minorEastAsia" w:hAnsiTheme="minorEastAsia" w:eastAsiaTheme="minorEastAsia"/>
          <w:color w:val="auto"/>
          <w:sz w:val="24"/>
          <w:szCs w:val="24"/>
          <w:highlight w:val="none"/>
        </w:rPr>
        <w:t>或者招标代理机构</w:t>
      </w:r>
      <w:r>
        <w:rPr>
          <w:rFonts w:asciiTheme="minorEastAsia" w:hAnsiTheme="minorEastAsia" w:eastAsiaTheme="minorEastAsia"/>
          <w:color w:val="auto"/>
          <w:sz w:val="24"/>
          <w:szCs w:val="24"/>
          <w:highlight w:val="none"/>
        </w:rPr>
        <w:t>。</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投标人</w:t>
      </w:r>
      <w:r>
        <w:rPr>
          <w:rFonts w:hint="eastAsia" w:asciiTheme="minorEastAsia" w:hAnsiTheme="minorEastAsia" w:eastAsiaTheme="minorEastAsia"/>
          <w:color w:val="auto"/>
          <w:sz w:val="24"/>
          <w:szCs w:val="24"/>
          <w:highlight w:val="none"/>
        </w:rPr>
        <w:t>补充、</w:t>
      </w:r>
      <w:r>
        <w:rPr>
          <w:rFonts w:asciiTheme="minorEastAsia" w:hAnsiTheme="minorEastAsia" w:eastAsiaTheme="minorEastAsia"/>
          <w:color w:val="auto"/>
          <w:sz w:val="24"/>
          <w:szCs w:val="24"/>
          <w:highlight w:val="none"/>
        </w:rPr>
        <w:t>修改或撤回已递交投标文件的书面通知，应按照本章第</w:t>
      </w:r>
      <w:r>
        <w:rPr>
          <w:rFonts w:hint="eastAsia" w:asciiTheme="minorEastAsia" w:hAnsiTheme="minorEastAsia" w:eastAsiaTheme="minorEastAsia"/>
          <w:color w:val="auto"/>
          <w:sz w:val="24"/>
          <w:szCs w:val="24"/>
          <w:highlight w:val="none"/>
        </w:rPr>
        <w:t>三、投标文件第（六）、投标文件第4款</w:t>
      </w:r>
      <w:r>
        <w:rPr>
          <w:rFonts w:asciiTheme="minorEastAsia" w:hAnsiTheme="minorEastAsia" w:eastAsiaTheme="minorEastAsia"/>
          <w:color w:val="auto"/>
          <w:sz w:val="24"/>
          <w:szCs w:val="24"/>
          <w:highlight w:val="none"/>
        </w:rPr>
        <w:t>的要求签字和盖章。招标人</w:t>
      </w:r>
      <w:r>
        <w:rPr>
          <w:rFonts w:hint="eastAsia" w:asciiTheme="minorEastAsia" w:hAnsiTheme="minorEastAsia" w:eastAsiaTheme="minorEastAsia"/>
          <w:color w:val="auto"/>
          <w:sz w:val="24"/>
          <w:szCs w:val="24"/>
          <w:highlight w:val="none"/>
        </w:rPr>
        <w:t>或招标代理机构</w:t>
      </w:r>
      <w:r>
        <w:rPr>
          <w:rFonts w:asciiTheme="minorEastAsia" w:hAnsiTheme="minorEastAsia" w:eastAsiaTheme="minorEastAsia"/>
          <w:color w:val="auto"/>
          <w:sz w:val="24"/>
          <w:szCs w:val="24"/>
          <w:highlight w:val="none"/>
        </w:rPr>
        <w:t>收到书面通知后，向投标人出具签收凭证。</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修改的内容为投标文件的组成部分。修改的投标文件应按照本章第</w:t>
      </w:r>
      <w:r>
        <w:rPr>
          <w:rFonts w:hint="eastAsia" w:asciiTheme="minorEastAsia" w:hAnsiTheme="minorEastAsia" w:eastAsiaTheme="minorEastAsia"/>
          <w:color w:val="auto"/>
          <w:sz w:val="24"/>
          <w:szCs w:val="24"/>
          <w:highlight w:val="none"/>
        </w:rPr>
        <w:t>三、投标文件</w:t>
      </w:r>
      <w:r>
        <w:rPr>
          <w:rFonts w:asciiTheme="minorEastAsia" w:hAnsiTheme="minorEastAsia" w:eastAsiaTheme="minorEastAsia"/>
          <w:color w:val="auto"/>
          <w:sz w:val="24"/>
          <w:szCs w:val="24"/>
          <w:highlight w:val="none"/>
        </w:rPr>
        <w:t>和第</w:t>
      </w:r>
      <w:r>
        <w:rPr>
          <w:rFonts w:hint="eastAsia" w:asciiTheme="minorEastAsia" w:hAnsiTheme="minorEastAsia" w:eastAsiaTheme="minorEastAsia"/>
          <w:color w:val="auto"/>
          <w:sz w:val="24"/>
          <w:szCs w:val="24"/>
          <w:highlight w:val="none"/>
        </w:rPr>
        <w:t>四、投标第（一）投标文件密封</w:t>
      </w:r>
      <w:r>
        <w:rPr>
          <w:rFonts w:asciiTheme="minorEastAsia" w:hAnsiTheme="minorEastAsia" w:eastAsiaTheme="minorEastAsia"/>
          <w:color w:val="auto"/>
          <w:sz w:val="24"/>
          <w:szCs w:val="24"/>
          <w:highlight w:val="none"/>
        </w:rPr>
        <w:t>规定进行编制、密封、标记和递交，并标明“修改”字样。</w:t>
      </w:r>
    </w:p>
    <w:p>
      <w:pPr>
        <w:pStyle w:val="22"/>
        <w:spacing w:line="360" w:lineRule="exact"/>
        <w:ind w:firstLine="480" w:firstLineChars="200"/>
        <w:rPr>
          <w:rFonts w:asciiTheme="minorEastAsia" w:hAnsiTheme="minorEastAsia" w:eastAsiaTheme="minorEastAsia"/>
          <w:color w:val="auto"/>
          <w:sz w:val="24"/>
          <w:szCs w:val="24"/>
          <w:highlight w:val="none"/>
        </w:rPr>
      </w:pPr>
    </w:p>
    <w:bookmarkEnd w:id="270"/>
    <w:bookmarkEnd w:id="271"/>
    <w:p>
      <w:pPr>
        <w:pStyle w:val="18"/>
        <w:snapToGrid w:val="0"/>
        <w:spacing w:line="360" w:lineRule="exact"/>
        <w:ind w:firstLine="630" w:firstLineChars="196"/>
        <w:jc w:val="center"/>
        <w:rPr>
          <w:rFonts w:asciiTheme="minorEastAsia" w:hAnsiTheme="minorEastAsia" w:eastAsiaTheme="minorEastAsia"/>
          <w:b/>
          <w:snapToGrid w:val="0"/>
          <w:color w:val="auto"/>
          <w:szCs w:val="32"/>
          <w:highlight w:val="none"/>
        </w:rPr>
      </w:pPr>
      <w:bookmarkStart w:id="272" w:name="_Toc254970685"/>
      <w:bookmarkStart w:id="273" w:name="_Toc254970544"/>
      <w:r>
        <w:rPr>
          <w:rFonts w:hint="eastAsia" w:asciiTheme="minorEastAsia" w:hAnsiTheme="minorEastAsia" w:eastAsiaTheme="minorEastAsia"/>
          <w:b/>
          <w:color w:val="auto"/>
          <w:szCs w:val="32"/>
          <w:highlight w:val="none"/>
        </w:rPr>
        <w:t>五、开标</w:t>
      </w:r>
      <w:bookmarkEnd w:id="272"/>
      <w:bookmarkEnd w:id="273"/>
    </w:p>
    <w:p>
      <w:pPr>
        <w:pStyle w:val="22"/>
        <w:snapToGrid w:val="0"/>
        <w:spacing w:line="360" w:lineRule="exact"/>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（一）开标准备</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招标代理机构将在规定的时间和地点进行开标</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采购代理机构在开标会现场登陆开标系统并输入投标供应商全称、社会统一信用代码、联系电话等信息，完成投标签到。</w:t>
      </w:r>
    </w:p>
    <w:p>
      <w:pPr>
        <w:pStyle w:val="22"/>
        <w:snapToGrid w:val="0"/>
        <w:spacing w:line="360" w:lineRule="exact"/>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（二） 开标程序：</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1.开标会由招标人人或其委托的招标代理机构主持，主持人宣布开标会议开始；</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2. 宣布在提交投标文件截止时间前收到的投标文件数量； </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 宣布开标纪律，</w:t>
      </w:r>
      <w:r>
        <w:rPr>
          <w:rFonts w:asciiTheme="minorEastAsia" w:hAnsiTheme="minorEastAsia" w:eastAsiaTheme="minorEastAsia"/>
          <w:color w:val="auto"/>
          <w:sz w:val="24"/>
          <w:szCs w:val="24"/>
          <w:highlight w:val="none"/>
        </w:rPr>
        <w:t>开标人、唱标人、记录人、</w:t>
      </w:r>
      <w:r>
        <w:rPr>
          <w:rFonts w:hint="eastAsia" w:asciiTheme="minorEastAsia" w:hAnsiTheme="minorEastAsia" w:eastAsiaTheme="minorEastAsia"/>
          <w:color w:val="auto"/>
          <w:sz w:val="24"/>
          <w:szCs w:val="24"/>
          <w:highlight w:val="none"/>
        </w:rPr>
        <w:t>监督</w:t>
      </w:r>
      <w:r>
        <w:rPr>
          <w:rFonts w:asciiTheme="minorEastAsia" w:hAnsiTheme="minorEastAsia" w:eastAsiaTheme="minorEastAsia"/>
          <w:color w:val="auto"/>
          <w:sz w:val="24"/>
          <w:szCs w:val="24"/>
          <w:highlight w:val="none"/>
        </w:rPr>
        <w:t>人等有关人员</w:t>
      </w:r>
      <w:r>
        <w:rPr>
          <w:rFonts w:hint="eastAsia" w:asciiTheme="minorEastAsia" w:hAnsiTheme="minorEastAsia" w:eastAsiaTheme="minorEastAsia"/>
          <w:color w:val="auto"/>
          <w:sz w:val="24"/>
          <w:szCs w:val="24"/>
          <w:highlight w:val="none"/>
        </w:rPr>
        <w:t>名单</w:t>
      </w:r>
      <w:r>
        <w:rPr>
          <w:rFonts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rPr>
        <w:t>；</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r>
        <w:rPr>
          <w:rFonts w:hint="eastAsia" w:asciiTheme="minorEastAsia" w:hAnsiTheme="minorEastAsia" w:eastAsiaTheme="minorEastAsia"/>
          <w:color w:val="auto"/>
          <w:sz w:val="24"/>
          <w:szCs w:val="24"/>
          <w:highlight w:val="none"/>
          <w:lang w:val="en-US" w:eastAsia="zh-CN"/>
        </w:rPr>
        <w:t>招标人</w:t>
      </w:r>
      <w:r>
        <w:rPr>
          <w:rFonts w:hint="eastAsia" w:asciiTheme="minorEastAsia" w:hAnsiTheme="minorEastAsia" w:eastAsiaTheme="minorEastAsia"/>
          <w:color w:val="auto"/>
          <w:sz w:val="24"/>
          <w:szCs w:val="24"/>
          <w:highlight w:val="none"/>
        </w:rPr>
        <w:t>代表检查投标文件的密封情况并签字确认；</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5.由招标人或招标代理机构工作人员当众拆封投标文件，宣布投标人名称、投标价格和其他需要宣布的其他内容；</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6.招标人或招标代理机构做开标记录, 由参加开标的相关工作人员签字确认后随采购文件一并存档。</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7.开标会议结束。</w:t>
      </w:r>
    </w:p>
    <w:p>
      <w:pPr>
        <w:pStyle w:val="22"/>
        <w:snapToGrid w:val="0"/>
        <w:spacing w:line="360" w:lineRule="exact"/>
        <w:ind w:left="241" w:hanging="241" w:hangingChars="100"/>
        <w:rPr>
          <w:rFonts w:asciiTheme="minorEastAsia" w:hAnsiTheme="minorEastAsia" w:eastAsiaTheme="minorEastAsia"/>
          <w:b/>
          <w:color w:val="auto"/>
          <w:sz w:val="24"/>
          <w:szCs w:val="24"/>
          <w:highlight w:val="none"/>
        </w:rPr>
      </w:pPr>
      <w:bookmarkStart w:id="274" w:name="_Toc254970686"/>
      <w:bookmarkStart w:id="275" w:name="_Toc254970545"/>
    </w:p>
    <w:p>
      <w:pPr>
        <w:pStyle w:val="22"/>
        <w:snapToGrid w:val="0"/>
        <w:spacing w:line="360" w:lineRule="exact"/>
        <w:ind w:left="321" w:hanging="321" w:hangingChars="100"/>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六、评标</w:t>
      </w:r>
    </w:p>
    <w:bookmarkEnd w:id="274"/>
    <w:bookmarkEnd w:id="275"/>
    <w:p>
      <w:pPr>
        <w:pStyle w:val="22"/>
        <w:snapToGrid w:val="0"/>
        <w:spacing w:line="360" w:lineRule="exact"/>
        <w:ind w:left="241" w:hanging="241" w:hangingChars="1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（一）组建评标委员会</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评标委员会由采购人代表和评审专家组成，成员人数应当为5人以上单数，其中评审专家不得少于成员总数的三分之二。</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采购项目符合下列情形之一的，评标委员会成员人数应当为7人以上单数：</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1．采购预算金额在1000万元以上；</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2．技术复杂；</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3．社会影响较大。</w:t>
      </w:r>
    </w:p>
    <w:p>
      <w:pPr>
        <w:pStyle w:val="22"/>
        <w:snapToGrid w:val="0"/>
        <w:spacing w:line="360" w:lineRule="exact"/>
        <w:ind w:left="241" w:hanging="241" w:hangingChars="1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（二）评标的方式</w:t>
      </w:r>
    </w:p>
    <w:p>
      <w:pPr>
        <w:pStyle w:val="22"/>
        <w:snapToGrid w:val="0"/>
        <w:spacing w:line="360" w:lineRule="exact"/>
        <w:ind w:left="210" w:leftChars="100" w:firstLine="240" w:firstLineChars="1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本项目采用不公开方式评标，评标的依据为招标文件和投标文件。</w:t>
      </w:r>
    </w:p>
    <w:p>
      <w:pPr>
        <w:snapToGrid w:val="0"/>
        <w:spacing w:line="360" w:lineRule="exact"/>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（三）资格审查</w:t>
      </w:r>
    </w:p>
    <w:p>
      <w:pPr>
        <w:pStyle w:val="22"/>
        <w:snapToGrid w:val="0"/>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采购人代表对投标人的资格进行审查。合格投标人不足3家的，不得评标。</w:t>
      </w:r>
    </w:p>
    <w:p>
      <w:pPr>
        <w:pStyle w:val="22"/>
        <w:snapToGrid w:val="0"/>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评标委员会仅对通过资格审查的投标人进行评审。</w:t>
      </w:r>
    </w:p>
    <w:p>
      <w:pPr>
        <w:pStyle w:val="22"/>
        <w:snapToGrid w:val="0"/>
        <w:spacing w:line="360" w:lineRule="exact"/>
        <w:ind w:left="241" w:hanging="241" w:hangingChars="1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（四）</w:t>
      </w:r>
      <w:r>
        <w:rPr>
          <w:rFonts w:hint="eastAsia" w:asciiTheme="minorEastAsia" w:hAnsiTheme="minorEastAsia" w:eastAsiaTheme="minorEastAsia"/>
          <w:b/>
          <w:bCs/>
          <w:color w:val="auto"/>
          <w:sz w:val="24"/>
          <w:szCs w:val="24"/>
          <w:highlight w:val="none"/>
        </w:rPr>
        <w:t>评标程序</w:t>
      </w:r>
    </w:p>
    <w:p>
      <w:pPr>
        <w:snapToGrid w:val="0"/>
        <w:spacing w:line="360" w:lineRule="exact"/>
        <w:ind w:firstLine="472" w:firstLineChars="196"/>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1.实质审查与比较</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（1）评标委员会对通过资格审查的投标文件进行符合性审查。</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（2）评标委员会审查投标文件的实质性内容是否符合招标文件的实质性要求。</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（3）评标委员会将根据投标人的投标文件进行审查、核对,如有疑问,将对投标人进行询标,投标人要向评标委员会澄清有关问题,并最终以书面形式进行答复。</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投标人代表未到场或者拒绝澄清或者澄清的内容改变了投标文件的实质性内容的，评标委员会有权视该投标文件无效。</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（4）各投标人的技术得分为所有评委的有效评分的算术平均数，由指定专人进行计算复核。</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（5）代理机构工作人员协助评标委员会根据本项目的评分标准计算各投标人的商务报价得分。</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（6）评标委员会完成评标后,评委对各部分得分汇总,计算出本项目最终得分。评标委员会按评标原则推荐中标候选人同时起草评标报告。</w:t>
      </w:r>
    </w:p>
    <w:p>
      <w:pPr>
        <w:snapToGrid w:val="0"/>
        <w:spacing w:line="360" w:lineRule="exac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（五）澄清问题的形式</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投标文件中含义不明确、同类问题表述不一致或者有明显文字和计算错误的内容，评标委员会可要求投标人做出必要的澄清、说明或者纠正。投标人的澄清、说明或者补正应当采用书面形式，由其授权代表签字或盖章确认，并不得超出投标文件的范围或者改变投标文件的实质性内容。</w:t>
      </w:r>
    </w:p>
    <w:p>
      <w:pPr>
        <w:pStyle w:val="22"/>
        <w:snapToGrid w:val="0"/>
        <w:spacing w:line="360" w:lineRule="exact"/>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（六）错误修正</w:t>
      </w:r>
    </w:p>
    <w:p>
      <w:pPr>
        <w:pStyle w:val="22"/>
        <w:snapToGrid w:val="0"/>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投标文件如果出现计算或表达上的错误，修正错误的原则如下：</w:t>
      </w:r>
    </w:p>
    <w:p>
      <w:pPr>
        <w:pStyle w:val="33"/>
        <w:spacing w:before="0" w:beforeAutospacing="0" w:after="0" w:afterAutospacing="0" w:line="360" w:lineRule="exact"/>
        <w:ind w:firstLine="480" w:firstLineChars="200"/>
        <w:rPr>
          <w:rFonts w:cs="Courier New" w:asciiTheme="minorEastAsia" w:hAnsiTheme="minorEastAsia" w:eastAsiaTheme="minorEastAsia"/>
          <w:color w:val="auto"/>
          <w:kern w:val="2"/>
          <w:highlight w:val="none"/>
        </w:rPr>
      </w:pPr>
      <w:r>
        <w:rPr>
          <w:rFonts w:hint="eastAsia" w:cs="Courier New" w:asciiTheme="minorEastAsia" w:hAnsiTheme="minorEastAsia" w:eastAsiaTheme="minorEastAsia"/>
          <w:color w:val="auto"/>
          <w:kern w:val="2"/>
          <w:highlight w:val="none"/>
        </w:rPr>
        <w:t>1、投标文件中开标一览表（报价表）内容与投标文件中相应内容不一致的，以开标一览表（报价表）为准；</w:t>
      </w:r>
    </w:p>
    <w:p>
      <w:pPr>
        <w:pStyle w:val="33"/>
        <w:spacing w:before="0" w:beforeAutospacing="0" w:after="0" w:afterAutospacing="0" w:line="360" w:lineRule="exact"/>
        <w:rPr>
          <w:rFonts w:cs="Courier New" w:asciiTheme="minorEastAsia" w:hAnsiTheme="minorEastAsia" w:eastAsiaTheme="minorEastAsia"/>
          <w:color w:val="auto"/>
          <w:kern w:val="2"/>
          <w:highlight w:val="none"/>
        </w:rPr>
      </w:pPr>
      <w:r>
        <w:rPr>
          <w:rFonts w:hint="eastAsia" w:cs="Courier New" w:asciiTheme="minorEastAsia" w:hAnsiTheme="minorEastAsia" w:eastAsiaTheme="minorEastAsia"/>
          <w:color w:val="auto"/>
          <w:kern w:val="2"/>
          <w:highlight w:val="none"/>
        </w:rPr>
        <w:t>　　2、大写金额和小写金额不一致的，以大写金额为准；</w:t>
      </w:r>
    </w:p>
    <w:p>
      <w:pPr>
        <w:pStyle w:val="33"/>
        <w:spacing w:before="0" w:beforeAutospacing="0" w:after="0" w:afterAutospacing="0" w:line="360" w:lineRule="exact"/>
        <w:rPr>
          <w:rFonts w:cs="Courier New" w:asciiTheme="minorEastAsia" w:hAnsiTheme="minorEastAsia" w:eastAsiaTheme="minorEastAsia"/>
          <w:color w:val="auto"/>
          <w:kern w:val="2"/>
          <w:highlight w:val="none"/>
        </w:rPr>
      </w:pPr>
      <w:r>
        <w:rPr>
          <w:rFonts w:hint="eastAsia" w:cs="Courier New" w:asciiTheme="minorEastAsia" w:hAnsiTheme="minorEastAsia" w:eastAsiaTheme="minorEastAsia"/>
          <w:color w:val="auto"/>
          <w:kern w:val="2"/>
          <w:highlight w:val="none"/>
        </w:rPr>
        <w:t>　　3、单价金额小数点或者百分比有明显错位的，以开标一览表的总价为准，并修改单价；</w:t>
      </w:r>
    </w:p>
    <w:p>
      <w:pPr>
        <w:pStyle w:val="33"/>
        <w:spacing w:before="0" w:beforeAutospacing="0" w:after="0" w:afterAutospacing="0" w:line="360" w:lineRule="exact"/>
        <w:rPr>
          <w:rFonts w:cs="Courier New" w:asciiTheme="minorEastAsia" w:hAnsiTheme="minorEastAsia" w:eastAsiaTheme="minorEastAsia"/>
          <w:color w:val="auto"/>
          <w:kern w:val="2"/>
          <w:highlight w:val="none"/>
        </w:rPr>
      </w:pPr>
      <w:r>
        <w:rPr>
          <w:rFonts w:hint="eastAsia" w:cs="Courier New" w:asciiTheme="minorEastAsia" w:hAnsiTheme="minorEastAsia" w:eastAsiaTheme="minorEastAsia"/>
          <w:color w:val="auto"/>
          <w:kern w:val="2"/>
          <w:highlight w:val="none"/>
        </w:rPr>
        <w:t>　　4、总价金额与按单价汇总金额不一致的，以单价金额计算结果为准。</w:t>
      </w:r>
    </w:p>
    <w:p>
      <w:pPr>
        <w:pStyle w:val="22"/>
        <w:tabs>
          <w:tab w:val="left" w:pos="567"/>
        </w:tabs>
        <w:snapToGrid w:val="0"/>
        <w:spacing w:line="360" w:lineRule="exact"/>
        <w:ind w:firstLine="482" w:firstLineChars="200"/>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同时出现两种以上不一致的，按照前款规定的顺序修正。按上述修正错误的原则及方法调整或修正投标文件的投标报价，投标人同意并签字确认后，调整后的投标报价对投标人具有约束作用。如果投标人不接受修正后的报价，则其投标将作为无效投标处理。</w:t>
      </w:r>
    </w:p>
    <w:p>
      <w:pPr>
        <w:pStyle w:val="22"/>
        <w:tabs>
          <w:tab w:val="left" w:pos="630"/>
        </w:tabs>
        <w:snapToGrid w:val="0"/>
        <w:spacing w:line="360" w:lineRule="exact"/>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（七）评标原则和评标办法</w:t>
      </w:r>
    </w:p>
    <w:p>
      <w:pPr>
        <w:pStyle w:val="22"/>
        <w:snapToGrid w:val="0"/>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2"/>
        <w:snapToGrid w:val="0"/>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2.评标办法。本项目评标办法是</w:t>
      </w:r>
      <w:r>
        <w:rPr>
          <w:rFonts w:hint="eastAsia" w:asciiTheme="minorEastAsia" w:hAnsiTheme="minorEastAsia" w:eastAsiaTheme="minorEastAsia"/>
          <w:color w:val="auto"/>
          <w:sz w:val="24"/>
          <w:szCs w:val="24"/>
          <w:highlight w:val="none"/>
          <w:u w:val="single"/>
        </w:rPr>
        <w:t xml:space="preserve"> 综合评分法 </w:t>
      </w:r>
      <w:r>
        <w:rPr>
          <w:rFonts w:hint="eastAsia" w:asciiTheme="minorEastAsia" w:hAnsiTheme="minorEastAsia" w:eastAsiaTheme="minorEastAsia"/>
          <w:color w:val="auto"/>
          <w:sz w:val="24"/>
          <w:szCs w:val="24"/>
          <w:highlight w:val="none"/>
        </w:rPr>
        <w:t>，具体评标内容及评分标准等详见《第四章：评标办法及评分标准》。</w:t>
      </w:r>
    </w:p>
    <w:p>
      <w:pPr>
        <w:snapToGrid w:val="0"/>
        <w:spacing w:line="400" w:lineRule="exact"/>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（八）投标无效的情形</w:t>
      </w:r>
    </w:p>
    <w:p>
      <w:pPr>
        <w:spacing w:line="400" w:lineRule="exact"/>
        <w:ind w:firstLine="562" w:firstLineChars="200"/>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实质上没有响应招标文件要求的投标将被视为无效投标。投标人不得通过修正或撤销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在中标结果公告之前核查原件。限期内不补正或经补正后仍不符合招标文件要求的,应认定其投标无效。投标人修改、补正投标文件后,不影响评标委员会对其投标文件所作的评价和评分结果。</w:t>
      </w:r>
    </w:p>
    <w:p>
      <w:pPr>
        <w:snapToGrid w:val="0"/>
        <w:spacing w:line="400" w:lineRule="exact"/>
        <w:ind w:firstLine="551" w:firstLineChars="196"/>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rPr>
        <w:t>1.在资格性审查时，如发现下列情形之一的，投标文件将被视为无效：</w:t>
      </w:r>
    </w:p>
    <w:p>
      <w:pPr>
        <w:snapToGrid w:val="0"/>
        <w:spacing w:line="400" w:lineRule="exact"/>
        <w:ind w:firstLine="551" w:firstLineChars="196"/>
        <w:rPr>
          <w:rFonts w:cs="Tahoma" w:asciiTheme="minorEastAsia" w:hAnsiTheme="minorEastAsia" w:eastAsiaTheme="minorEastAsia"/>
          <w:b/>
          <w:color w:val="auto"/>
          <w:kern w:val="0"/>
          <w:sz w:val="28"/>
          <w:szCs w:val="28"/>
          <w:highlight w:val="none"/>
        </w:rPr>
      </w:pPr>
      <w:r>
        <w:rPr>
          <w:rFonts w:hint="eastAsia" w:cs="Tahoma" w:asciiTheme="minorEastAsia" w:hAnsiTheme="minorEastAsia" w:eastAsiaTheme="minorEastAsia"/>
          <w:b/>
          <w:color w:val="auto"/>
          <w:kern w:val="0"/>
          <w:sz w:val="28"/>
          <w:szCs w:val="28"/>
          <w:highlight w:val="none"/>
        </w:rPr>
        <w:t>（1）不符合招标公告中对投标人的资格要求的（包括超越了按照法律法规规定必须获得行政许可证或者行政审批的经营范围的）；</w:t>
      </w:r>
    </w:p>
    <w:p>
      <w:pPr>
        <w:snapToGrid w:val="0"/>
        <w:spacing w:line="400" w:lineRule="exact"/>
        <w:ind w:firstLine="551" w:firstLineChars="196"/>
        <w:rPr>
          <w:rFonts w:cs="Tahoma" w:asciiTheme="minorEastAsia" w:hAnsiTheme="minorEastAsia" w:eastAsiaTheme="minorEastAsia"/>
          <w:b/>
          <w:color w:val="auto"/>
          <w:kern w:val="0"/>
          <w:sz w:val="28"/>
          <w:szCs w:val="28"/>
          <w:highlight w:val="none"/>
        </w:rPr>
      </w:pPr>
      <w:r>
        <w:rPr>
          <w:rFonts w:hint="eastAsia" w:cs="Tahoma" w:asciiTheme="minorEastAsia" w:hAnsiTheme="minorEastAsia" w:eastAsiaTheme="minorEastAsia"/>
          <w:b/>
          <w:color w:val="auto"/>
          <w:kern w:val="0"/>
          <w:sz w:val="28"/>
          <w:szCs w:val="28"/>
          <w:highlight w:val="none"/>
        </w:rPr>
        <w:t>（2）资格证明文件不全或不符合招标文件表明的资格要求的。</w:t>
      </w:r>
    </w:p>
    <w:p>
      <w:pPr>
        <w:snapToGrid w:val="0"/>
        <w:spacing w:line="400" w:lineRule="exact"/>
        <w:ind w:firstLine="551" w:firstLineChars="196"/>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rPr>
        <w:t>2.在符合性审查时，如发现下列情形之一的，投标文件将被视为无效：</w:t>
      </w:r>
    </w:p>
    <w:p>
      <w:pPr>
        <w:snapToGrid w:val="0"/>
        <w:spacing w:line="400" w:lineRule="exact"/>
        <w:ind w:firstLine="551" w:firstLineChars="196"/>
        <w:rPr>
          <w:rFonts w:asciiTheme="minorEastAsia" w:hAnsiTheme="minorEastAsia" w:eastAsiaTheme="minorEastAsia"/>
          <w:b/>
          <w:bCs/>
          <w:color w:val="auto"/>
          <w:kern w:val="0"/>
          <w:sz w:val="28"/>
          <w:szCs w:val="28"/>
          <w:highlight w:val="none"/>
        </w:rPr>
      </w:pPr>
      <w:r>
        <w:rPr>
          <w:rFonts w:hint="eastAsia" w:asciiTheme="minorEastAsia" w:hAnsiTheme="minorEastAsia" w:eastAsiaTheme="minorEastAsia"/>
          <w:b/>
          <w:color w:val="auto"/>
          <w:sz w:val="28"/>
          <w:szCs w:val="28"/>
          <w:highlight w:val="none"/>
        </w:rPr>
        <w:t>（1）投标文件无法定代表人或其授权委托代理人签字,或未</w:t>
      </w:r>
      <w:r>
        <w:rPr>
          <w:rFonts w:hint="eastAsia" w:asciiTheme="minorEastAsia" w:hAnsiTheme="minorEastAsia" w:eastAsiaTheme="minorEastAsia"/>
          <w:b/>
          <w:bCs/>
          <w:color w:val="auto"/>
          <w:kern w:val="0"/>
          <w:sz w:val="28"/>
          <w:szCs w:val="28"/>
          <w:highlight w:val="none"/>
        </w:rPr>
        <w:t>提供法定代表人授权委托书、声明书或者填写项目不齐全的；</w:t>
      </w:r>
    </w:p>
    <w:p>
      <w:pPr>
        <w:snapToGrid w:val="0"/>
        <w:spacing w:line="400" w:lineRule="exact"/>
        <w:ind w:firstLine="551" w:firstLineChars="196"/>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 xml:space="preserve">（2）投标代表人未能出具身份证明或与法定代表人授权委托人身份不符的； </w:t>
      </w:r>
    </w:p>
    <w:p>
      <w:pPr>
        <w:pStyle w:val="18"/>
        <w:snapToGrid w:val="0"/>
        <w:spacing w:line="400" w:lineRule="exact"/>
        <w:ind w:firstLine="551" w:firstLineChars="196"/>
        <w:rPr>
          <w:rFonts w:asciiTheme="minorEastAsia" w:hAnsiTheme="minorEastAsia" w:eastAsiaTheme="minorEastAsia"/>
          <w:b/>
          <w:snapToGrid w:val="0"/>
          <w:color w:val="auto"/>
          <w:sz w:val="28"/>
          <w:szCs w:val="28"/>
          <w:highlight w:val="none"/>
        </w:rPr>
      </w:pPr>
      <w:r>
        <w:rPr>
          <w:rFonts w:hint="eastAsia" w:asciiTheme="minorEastAsia" w:hAnsiTheme="minorEastAsia" w:eastAsiaTheme="minorEastAsia"/>
          <w:b/>
          <w:color w:val="auto"/>
          <w:sz w:val="28"/>
          <w:szCs w:val="28"/>
          <w:highlight w:val="none"/>
        </w:rPr>
        <w:t>（</w:t>
      </w:r>
      <w:r>
        <w:rPr>
          <w:rFonts w:hint="eastAsia" w:asciiTheme="minorEastAsia" w:hAnsiTheme="minorEastAsia" w:eastAsiaTheme="minorEastAsia"/>
          <w:b/>
          <w:snapToGrid w:val="0"/>
          <w:color w:val="auto"/>
          <w:sz w:val="28"/>
          <w:szCs w:val="28"/>
          <w:highlight w:val="none"/>
        </w:rPr>
        <w:t>3）</w:t>
      </w:r>
      <w:r>
        <w:rPr>
          <w:rFonts w:hint="eastAsia" w:asciiTheme="minorEastAsia" w:hAnsiTheme="minorEastAsia" w:eastAsiaTheme="minorEastAsia"/>
          <w:b/>
          <w:color w:val="auto"/>
          <w:sz w:val="28"/>
          <w:szCs w:val="28"/>
          <w:highlight w:val="none"/>
        </w:rPr>
        <w:t>项目不齐全或者内容虚假的；</w:t>
      </w:r>
    </w:p>
    <w:p>
      <w:pPr>
        <w:pStyle w:val="18"/>
        <w:snapToGrid w:val="0"/>
        <w:spacing w:line="400" w:lineRule="exact"/>
        <w:ind w:firstLine="551" w:firstLineChars="196"/>
        <w:rPr>
          <w:rFonts w:asciiTheme="minorEastAsia" w:hAnsiTheme="minorEastAsia" w:eastAsiaTheme="minorEastAsia"/>
          <w:b/>
          <w:snapToGrid w:val="0"/>
          <w:color w:val="auto"/>
          <w:sz w:val="28"/>
          <w:szCs w:val="28"/>
          <w:highlight w:val="none"/>
        </w:rPr>
      </w:pPr>
      <w:r>
        <w:rPr>
          <w:rFonts w:hint="eastAsia" w:asciiTheme="minorEastAsia" w:hAnsiTheme="minorEastAsia" w:eastAsiaTheme="minorEastAsia"/>
          <w:b/>
          <w:color w:val="auto"/>
          <w:sz w:val="28"/>
          <w:szCs w:val="28"/>
          <w:highlight w:val="none"/>
        </w:rPr>
        <w:t>（4）投标文件的实质性内容未使用中文表述、意思表述不明确、前后矛盾或者使用计量单位不符合招标文件要求的（经评标委员会认定并允许其当场更正的笔误除外）</w:t>
      </w:r>
    </w:p>
    <w:p>
      <w:pPr>
        <w:pStyle w:val="18"/>
        <w:snapToGrid w:val="0"/>
        <w:spacing w:line="400" w:lineRule="exact"/>
        <w:ind w:firstLine="551" w:firstLineChars="196"/>
        <w:rPr>
          <w:rFonts w:asciiTheme="minorEastAsia" w:hAnsiTheme="minorEastAsia" w:eastAsiaTheme="minorEastAsia"/>
          <w:b/>
          <w:snapToGrid w:val="0"/>
          <w:color w:val="auto"/>
          <w:sz w:val="28"/>
          <w:szCs w:val="28"/>
          <w:highlight w:val="none"/>
        </w:rPr>
      </w:pPr>
      <w:r>
        <w:rPr>
          <w:rFonts w:hint="eastAsia" w:asciiTheme="minorEastAsia" w:hAnsiTheme="minorEastAsia" w:eastAsiaTheme="minorEastAsia"/>
          <w:b/>
          <w:color w:val="auto"/>
          <w:sz w:val="28"/>
          <w:szCs w:val="28"/>
          <w:highlight w:val="none"/>
        </w:rPr>
        <w:t>（</w:t>
      </w:r>
      <w:r>
        <w:rPr>
          <w:rFonts w:hint="eastAsia" w:asciiTheme="minorEastAsia" w:hAnsiTheme="minorEastAsia" w:eastAsiaTheme="minorEastAsia"/>
          <w:b/>
          <w:snapToGrid w:val="0"/>
          <w:color w:val="auto"/>
          <w:sz w:val="28"/>
          <w:szCs w:val="28"/>
          <w:highlight w:val="none"/>
        </w:rPr>
        <w:t>5）投标有效期、服务期限等商务条款不能满足招标文件要求的；</w:t>
      </w:r>
    </w:p>
    <w:p>
      <w:pPr>
        <w:pStyle w:val="18"/>
        <w:snapToGrid w:val="0"/>
        <w:spacing w:line="400" w:lineRule="exact"/>
        <w:ind w:firstLine="551" w:firstLineChars="196"/>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（6）未实质性响应招标文件要求或者投标文件有招标方不能接受的附加条件或者</w:t>
      </w:r>
      <w:r>
        <w:rPr>
          <w:rFonts w:cs="Tahoma" w:asciiTheme="minorEastAsia" w:hAnsiTheme="minorEastAsia" w:eastAsiaTheme="minorEastAsia"/>
          <w:b/>
          <w:color w:val="auto"/>
          <w:kern w:val="0"/>
          <w:sz w:val="28"/>
          <w:szCs w:val="28"/>
          <w:highlight w:val="none"/>
        </w:rPr>
        <w:t>投标人</w:t>
      </w:r>
      <w:r>
        <w:rPr>
          <w:rFonts w:hint="eastAsia" w:cs="Tahoma" w:asciiTheme="minorEastAsia" w:hAnsiTheme="minorEastAsia" w:eastAsiaTheme="minorEastAsia"/>
          <w:b/>
          <w:color w:val="auto"/>
          <w:kern w:val="0"/>
          <w:sz w:val="28"/>
          <w:szCs w:val="28"/>
          <w:highlight w:val="none"/>
        </w:rPr>
        <w:t>有</w:t>
      </w:r>
      <w:r>
        <w:rPr>
          <w:rFonts w:cs="Tahoma" w:asciiTheme="minorEastAsia" w:hAnsiTheme="minorEastAsia" w:eastAsiaTheme="minorEastAsia"/>
          <w:b/>
          <w:color w:val="auto"/>
          <w:kern w:val="0"/>
          <w:sz w:val="28"/>
          <w:szCs w:val="28"/>
          <w:highlight w:val="none"/>
        </w:rPr>
        <w:t>相互串通</w:t>
      </w:r>
      <w:r>
        <w:rPr>
          <w:rFonts w:hint="eastAsia" w:cs="Tahoma" w:asciiTheme="minorEastAsia" w:hAnsiTheme="minorEastAsia" w:eastAsiaTheme="minorEastAsia"/>
          <w:b/>
          <w:color w:val="auto"/>
          <w:kern w:val="0"/>
          <w:sz w:val="28"/>
          <w:szCs w:val="28"/>
          <w:highlight w:val="none"/>
        </w:rPr>
        <w:t>行为</w:t>
      </w:r>
      <w:r>
        <w:rPr>
          <w:rFonts w:hint="eastAsia" w:asciiTheme="minorEastAsia" w:hAnsiTheme="minorEastAsia" w:eastAsiaTheme="minorEastAsia"/>
          <w:b/>
          <w:color w:val="auto"/>
          <w:sz w:val="28"/>
          <w:szCs w:val="28"/>
          <w:highlight w:val="none"/>
        </w:rPr>
        <w:t>的；</w:t>
      </w:r>
    </w:p>
    <w:p>
      <w:pPr>
        <w:pStyle w:val="18"/>
        <w:snapToGrid w:val="0"/>
        <w:spacing w:line="400" w:lineRule="exact"/>
        <w:ind w:firstLine="691" w:firstLineChars="246"/>
        <w:rPr>
          <w:rFonts w:asciiTheme="minorEastAsia" w:hAnsiTheme="minorEastAsia" w:eastAsiaTheme="minorEastAsia"/>
          <w:b/>
          <w:color w:val="auto"/>
          <w:sz w:val="28"/>
          <w:szCs w:val="28"/>
          <w:highlight w:val="none"/>
        </w:rPr>
      </w:pPr>
      <w:r>
        <w:rPr>
          <w:rFonts w:hint="eastAsia" w:asciiTheme="minorEastAsia" w:hAnsiTheme="minorEastAsia" w:eastAsiaTheme="minorEastAsia"/>
          <w:b/>
          <w:snapToGrid w:val="0"/>
          <w:color w:val="auto"/>
          <w:sz w:val="28"/>
          <w:szCs w:val="28"/>
          <w:highlight w:val="none"/>
        </w:rPr>
        <w:t>（8）</w:t>
      </w:r>
      <w:r>
        <w:rPr>
          <w:rFonts w:hint="eastAsia" w:ascii="宋体" w:hAnsi="宋体" w:eastAsia="宋体"/>
          <w:b/>
          <w:color w:val="auto"/>
          <w:sz w:val="28"/>
          <w:szCs w:val="28"/>
          <w:highlight w:val="none"/>
        </w:rPr>
        <w:t>法律、法规规定“投标无效”或招标文件规定的其他“投标无效”的情形的。</w:t>
      </w:r>
    </w:p>
    <w:p>
      <w:pPr>
        <w:pStyle w:val="18"/>
        <w:snapToGrid w:val="0"/>
        <w:spacing w:line="400" w:lineRule="exact"/>
        <w:ind w:firstLine="551" w:firstLineChars="196"/>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rPr>
        <w:t>3.在技术评审时，如发现下列情形之一的，投标文件将被视为无效：</w:t>
      </w:r>
    </w:p>
    <w:p>
      <w:pPr>
        <w:pStyle w:val="18"/>
        <w:snapToGrid w:val="0"/>
        <w:spacing w:line="400" w:lineRule="exact"/>
        <w:ind w:firstLine="551" w:firstLineChars="196"/>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（1）未提供或未如实提供投标服务的技术参数，或者投标文件标明的响应或偏离与事实不符或虚假投标的；</w:t>
      </w:r>
    </w:p>
    <w:p>
      <w:pPr>
        <w:pStyle w:val="18"/>
        <w:snapToGrid w:val="0"/>
        <w:spacing w:line="400" w:lineRule="exact"/>
        <w:ind w:firstLine="551" w:firstLineChars="196"/>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（2）</w:t>
      </w:r>
      <w:r>
        <w:rPr>
          <w:rFonts w:hint="eastAsia" w:asciiTheme="minorEastAsia" w:hAnsiTheme="minorEastAsia" w:eastAsiaTheme="minorEastAsia"/>
          <w:b/>
          <w:snapToGrid w:val="0"/>
          <w:color w:val="auto"/>
          <w:sz w:val="28"/>
          <w:szCs w:val="28"/>
          <w:highlight w:val="none"/>
        </w:rPr>
        <w:t>明显不符合招标文件要求的质量标准，或者与</w:t>
      </w:r>
      <w:r>
        <w:rPr>
          <w:rFonts w:hint="eastAsia" w:asciiTheme="minorEastAsia" w:hAnsiTheme="minorEastAsia" w:eastAsiaTheme="minorEastAsia"/>
          <w:b/>
          <w:color w:val="auto"/>
          <w:sz w:val="28"/>
          <w:szCs w:val="28"/>
          <w:highlight w:val="none"/>
        </w:rPr>
        <w:t>招标文件中标“★”的任何一项技术指标、主要功能项目或技术要求发生实质性负偏离的；</w:t>
      </w:r>
    </w:p>
    <w:p>
      <w:pPr>
        <w:pStyle w:val="18"/>
        <w:spacing w:line="400" w:lineRule="exact"/>
        <w:ind w:firstLine="562" w:firstLineChars="200"/>
        <w:rPr>
          <w:rFonts w:asciiTheme="minorEastAsia" w:hAnsiTheme="minorEastAsia" w:eastAsiaTheme="minorEastAsia"/>
          <w:b/>
          <w:snapToGrid w:val="0"/>
          <w:color w:val="auto"/>
          <w:sz w:val="28"/>
          <w:szCs w:val="28"/>
          <w:highlight w:val="none"/>
        </w:rPr>
      </w:pPr>
      <w:r>
        <w:rPr>
          <w:rFonts w:hint="eastAsia" w:asciiTheme="minorEastAsia" w:hAnsiTheme="minorEastAsia" w:eastAsiaTheme="minorEastAsia"/>
          <w:b/>
          <w:color w:val="auto"/>
          <w:sz w:val="28"/>
          <w:szCs w:val="28"/>
          <w:highlight w:val="none"/>
        </w:rPr>
        <w:t>（3）</w:t>
      </w:r>
      <w:r>
        <w:rPr>
          <w:rFonts w:hint="eastAsia" w:asciiTheme="minorEastAsia" w:hAnsiTheme="minorEastAsia" w:eastAsiaTheme="minorEastAsia"/>
          <w:b/>
          <w:snapToGrid w:val="0"/>
          <w:color w:val="auto"/>
          <w:sz w:val="28"/>
          <w:szCs w:val="28"/>
          <w:highlight w:val="none"/>
        </w:rPr>
        <w:t>允许偏离的技术、性能指标或者辅助功能项目发生</w:t>
      </w:r>
      <w:r>
        <w:rPr>
          <w:rFonts w:hint="eastAsia" w:asciiTheme="minorEastAsia" w:hAnsiTheme="minorEastAsia" w:eastAsiaTheme="minorEastAsia"/>
          <w:b/>
          <w:color w:val="auto"/>
          <w:sz w:val="28"/>
          <w:szCs w:val="28"/>
          <w:highlight w:val="none"/>
        </w:rPr>
        <w:t>实质性</w:t>
      </w:r>
      <w:r>
        <w:rPr>
          <w:rFonts w:hint="eastAsia" w:asciiTheme="minorEastAsia" w:hAnsiTheme="minorEastAsia" w:eastAsiaTheme="minorEastAsia"/>
          <w:b/>
          <w:snapToGrid w:val="0"/>
          <w:color w:val="auto"/>
          <w:sz w:val="28"/>
          <w:szCs w:val="28"/>
          <w:highlight w:val="none"/>
        </w:rPr>
        <w:t>负偏离达</w:t>
      </w:r>
      <w:r>
        <w:rPr>
          <w:rFonts w:hint="eastAsia" w:asciiTheme="minorEastAsia" w:hAnsiTheme="minorEastAsia" w:eastAsiaTheme="minorEastAsia"/>
          <w:b/>
          <w:snapToGrid w:val="0"/>
          <w:color w:val="auto"/>
          <w:sz w:val="28"/>
          <w:szCs w:val="28"/>
          <w:highlight w:val="none"/>
          <w:u w:val="single"/>
        </w:rPr>
        <w:t xml:space="preserve">  3   </w:t>
      </w:r>
      <w:r>
        <w:rPr>
          <w:rFonts w:hint="eastAsia" w:asciiTheme="minorEastAsia" w:hAnsiTheme="minorEastAsia" w:eastAsiaTheme="minorEastAsia"/>
          <w:b/>
          <w:snapToGrid w:val="0"/>
          <w:color w:val="auto"/>
          <w:sz w:val="28"/>
          <w:szCs w:val="28"/>
          <w:highlight w:val="none"/>
        </w:rPr>
        <w:t xml:space="preserve"> 项以上（含</w:t>
      </w:r>
      <w:r>
        <w:rPr>
          <w:rFonts w:hint="eastAsia" w:asciiTheme="minorEastAsia" w:hAnsiTheme="minorEastAsia" w:eastAsiaTheme="minorEastAsia"/>
          <w:b/>
          <w:snapToGrid w:val="0"/>
          <w:color w:val="auto"/>
          <w:sz w:val="28"/>
          <w:szCs w:val="28"/>
          <w:highlight w:val="none"/>
          <w:u w:val="single"/>
        </w:rPr>
        <w:t xml:space="preserve"> 3    </w:t>
      </w:r>
      <w:r>
        <w:rPr>
          <w:rFonts w:hint="eastAsia" w:asciiTheme="minorEastAsia" w:hAnsiTheme="minorEastAsia" w:eastAsiaTheme="minorEastAsia"/>
          <w:b/>
          <w:snapToGrid w:val="0"/>
          <w:color w:val="auto"/>
          <w:sz w:val="28"/>
          <w:szCs w:val="28"/>
          <w:highlight w:val="none"/>
        </w:rPr>
        <w:t xml:space="preserve">项）的； </w:t>
      </w:r>
    </w:p>
    <w:p>
      <w:pPr>
        <w:pStyle w:val="18"/>
        <w:snapToGrid w:val="0"/>
        <w:spacing w:line="400" w:lineRule="exact"/>
        <w:ind w:firstLine="551" w:firstLineChars="196"/>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（4）投标技术方案不明确，存在一个或一个以上备选（替代）投标方案的；</w:t>
      </w:r>
    </w:p>
    <w:p>
      <w:pPr>
        <w:pStyle w:val="18"/>
        <w:snapToGrid w:val="0"/>
        <w:spacing w:line="400" w:lineRule="exact"/>
        <w:ind w:firstLine="551" w:firstLineChars="196"/>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rPr>
        <w:t>4.在报价评审时，如发现下列情形之一的，投标文件将被视为无效：</w:t>
      </w:r>
    </w:p>
    <w:p>
      <w:pPr>
        <w:pStyle w:val="18"/>
        <w:snapToGrid w:val="0"/>
        <w:spacing w:line="400" w:lineRule="exact"/>
        <w:ind w:firstLine="551" w:firstLineChars="196"/>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（1）未采用人民币报价或者未按照招标文件标明的币种报价的；</w:t>
      </w:r>
    </w:p>
    <w:p>
      <w:pPr>
        <w:pStyle w:val="18"/>
        <w:snapToGrid w:val="0"/>
        <w:spacing w:line="400" w:lineRule="exact"/>
        <w:ind w:firstLine="551" w:firstLineChars="196"/>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（2）报价超出最高限价，或者超出总采购预算金额或分项采购预算（根据项目增减），采购人不能支付的；</w:t>
      </w:r>
    </w:p>
    <w:p>
      <w:pPr>
        <w:pStyle w:val="18"/>
        <w:snapToGrid w:val="0"/>
        <w:spacing w:line="400" w:lineRule="exact"/>
        <w:ind w:firstLine="551" w:firstLineChars="196"/>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（3）投标报价具有选择性，或者开标价格与投标文件承诺的优惠（折扣）价格不一致的；</w:t>
      </w:r>
    </w:p>
    <w:p>
      <w:pPr>
        <w:pStyle w:val="18"/>
        <w:snapToGrid w:val="0"/>
        <w:spacing w:line="400" w:lineRule="exact"/>
        <w:ind w:firstLine="562" w:firstLineChars="200"/>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（4）</w:t>
      </w:r>
      <w:r>
        <w:rPr>
          <w:rFonts w:hint="eastAsia" w:cs="宋体" w:asciiTheme="minorEastAsia" w:hAnsiTheme="minorEastAsia" w:eastAsiaTheme="minorEastAsia"/>
          <w:b/>
          <w:color w:val="auto"/>
          <w:kern w:val="0"/>
          <w:sz w:val="28"/>
          <w:szCs w:val="28"/>
          <w:highlight w:val="none"/>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pPr>
        <w:pStyle w:val="18"/>
        <w:snapToGrid w:val="0"/>
        <w:spacing w:line="400" w:lineRule="exact"/>
        <w:ind w:firstLine="551" w:firstLineChars="196"/>
        <w:outlineLvl w:val="0"/>
        <w:rPr>
          <w:rFonts w:asciiTheme="minorEastAsia" w:hAnsiTheme="minorEastAsia" w:eastAsiaTheme="minorEastAsia"/>
          <w:b/>
          <w:color w:val="auto"/>
          <w:sz w:val="28"/>
          <w:szCs w:val="28"/>
          <w:highlight w:val="none"/>
        </w:rPr>
      </w:pPr>
      <w:bookmarkStart w:id="276" w:name="_Toc24042"/>
      <w:r>
        <w:rPr>
          <w:rFonts w:hint="eastAsia" w:asciiTheme="minorEastAsia" w:hAnsiTheme="minorEastAsia" w:eastAsiaTheme="minorEastAsia"/>
          <w:b/>
          <w:color w:val="auto"/>
          <w:sz w:val="28"/>
          <w:szCs w:val="28"/>
          <w:highlight w:val="none"/>
        </w:rPr>
        <w:t>5.有下列情形之一的视为关联供应商参加同一合同项下政府采购活动，投标文件将被视为无效:</w:t>
      </w:r>
      <w:bookmarkEnd w:id="276"/>
    </w:p>
    <w:p>
      <w:pPr>
        <w:pStyle w:val="18"/>
        <w:snapToGrid w:val="0"/>
        <w:spacing w:line="400" w:lineRule="exact"/>
        <w:ind w:firstLine="551" w:firstLineChars="196"/>
        <w:outlineLvl w:val="0"/>
        <w:rPr>
          <w:rFonts w:asciiTheme="minorEastAsia" w:hAnsiTheme="minorEastAsia" w:eastAsiaTheme="minorEastAsia"/>
          <w:b/>
          <w:bCs/>
          <w:color w:val="auto"/>
          <w:sz w:val="28"/>
          <w:szCs w:val="28"/>
          <w:highlight w:val="none"/>
        </w:rPr>
      </w:pPr>
      <w:bookmarkStart w:id="277" w:name="_Toc10318"/>
      <w:r>
        <w:rPr>
          <w:rFonts w:hint="eastAsia" w:asciiTheme="minorEastAsia" w:hAnsiTheme="minorEastAsia" w:eastAsiaTheme="minorEastAsia"/>
          <w:b/>
          <w:bCs/>
          <w:color w:val="auto"/>
          <w:sz w:val="28"/>
          <w:szCs w:val="28"/>
          <w:highlight w:val="none"/>
        </w:rPr>
        <w:t>单位负责人为同一人或者存在直接控股、管理关系的不同供应商，参加同一合同项下的政府采购活动。除单一来源采购项目外，为采购项目提供整体设计、规范编制或者项目管理、监理、检测等服务的供应商，不得再参加该采购项目的其他采购活动。</w:t>
      </w:r>
      <w:bookmarkEnd w:id="277"/>
    </w:p>
    <w:p>
      <w:pPr>
        <w:pStyle w:val="18"/>
        <w:snapToGrid w:val="0"/>
        <w:spacing w:line="400" w:lineRule="exact"/>
        <w:ind w:firstLine="551" w:firstLineChars="196"/>
        <w:outlineLvl w:val="0"/>
        <w:rPr>
          <w:rFonts w:asciiTheme="minorEastAsia" w:hAnsiTheme="minorEastAsia" w:eastAsiaTheme="minorEastAsia"/>
          <w:b/>
          <w:color w:val="auto"/>
          <w:sz w:val="28"/>
          <w:szCs w:val="28"/>
          <w:highlight w:val="none"/>
        </w:rPr>
      </w:pPr>
      <w:bookmarkStart w:id="278" w:name="_Toc663"/>
      <w:r>
        <w:rPr>
          <w:rFonts w:hint="eastAsia" w:asciiTheme="minorEastAsia" w:hAnsiTheme="minorEastAsia" w:eastAsiaTheme="minorEastAsia"/>
          <w:b/>
          <w:color w:val="auto"/>
          <w:sz w:val="28"/>
          <w:szCs w:val="28"/>
          <w:highlight w:val="none"/>
        </w:rPr>
        <w:t>6. 有本须知总则特别说明（八）第5款情形之一的视为</w:t>
      </w:r>
      <w:r>
        <w:rPr>
          <w:rFonts w:asciiTheme="minorEastAsia" w:hAnsiTheme="minorEastAsia" w:eastAsiaTheme="minorEastAsia"/>
          <w:b/>
          <w:color w:val="auto"/>
          <w:sz w:val="28"/>
          <w:szCs w:val="28"/>
          <w:highlight w:val="none"/>
        </w:rPr>
        <w:t>投标人相互串通</w:t>
      </w:r>
      <w:r>
        <w:rPr>
          <w:rFonts w:hint="eastAsia" w:asciiTheme="minorEastAsia" w:hAnsiTheme="minorEastAsia" w:eastAsiaTheme="minorEastAsia"/>
          <w:b/>
          <w:color w:val="auto"/>
          <w:sz w:val="28"/>
          <w:szCs w:val="28"/>
          <w:highlight w:val="none"/>
        </w:rPr>
        <w:t>，投标文件将视为无效。</w:t>
      </w:r>
      <w:bookmarkEnd w:id="278"/>
    </w:p>
    <w:p>
      <w:pPr>
        <w:pStyle w:val="22"/>
        <w:snapToGrid w:val="0"/>
        <w:spacing w:line="360" w:lineRule="exact"/>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（九）评标过程的监控</w:t>
      </w:r>
    </w:p>
    <w:p>
      <w:pPr>
        <w:pStyle w:val="22"/>
        <w:snapToGrid w:val="0"/>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本项目评标过程实行全程录音、录像监控，投标人在评标过程中所进行的试图影响评标结果的不公正活动，可能导致其投标被拒绝。</w:t>
      </w:r>
    </w:p>
    <w:p>
      <w:pPr>
        <w:pStyle w:val="22"/>
        <w:snapToGrid w:val="0"/>
        <w:spacing w:line="360" w:lineRule="exact"/>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（十） 信用查询</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根据《关于做好政府采购有关信用主体标识码登记及在政府采购活动中查询使用信用记录有关问题的通知》桂财采〔2016〕37号的通知，中标通知书发出前，由采购代理机构对第一中标候选人进行信用查询：</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⑴查询渠道：“信用中国”网站(www.creditchina.gov.cn)、中国政府采购网(www.ccgp.gov.cn)等；</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⑵查询截止时点：中标通知书发出前；</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⑶信用信息查询记录和证据留存方式：在查询网站中直接打印查询记录，打印材料作为采购活动资料保存。</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人资格。</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两个以上的自然人、法人或者其他组织组成一个联合体，以一个供应商的身份共同参加政府采购活动的，对所有联合体成员进行信用记录查询，联合体成员存在不良信用记录的，视同联合体存在不良信用记录。</w:t>
      </w:r>
    </w:p>
    <w:p>
      <w:pPr>
        <w:pStyle w:val="22"/>
        <w:snapToGrid w:val="0"/>
        <w:spacing w:line="360" w:lineRule="exact"/>
        <w:rPr>
          <w:rFonts w:asciiTheme="minorEastAsia" w:hAnsiTheme="minorEastAsia" w:eastAsiaTheme="minorEastAsia"/>
          <w:b/>
          <w:color w:val="auto"/>
          <w:sz w:val="24"/>
          <w:szCs w:val="24"/>
          <w:highlight w:val="none"/>
        </w:rPr>
      </w:pPr>
      <w:bookmarkStart w:id="279" w:name="_Toc254970546"/>
      <w:bookmarkStart w:id="280" w:name="_Toc254970687"/>
      <w:r>
        <w:rPr>
          <w:rFonts w:hint="eastAsia" w:asciiTheme="minorEastAsia" w:hAnsiTheme="minorEastAsia" w:eastAsiaTheme="minorEastAsia"/>
          <w:b/>
          <w:color w:val="auto"/>
          <w:sz w:val="24"/>
          <w:szCs w:val="24"/>
          <w:highlight w:val="none"/>
        </w:rPr>
        <w:t>（十一）、评标结果</w:t>
      </w:r>
    </w:p>
    <w:bookmarkEnd w:id="279"/>
    <w:bookmarkEnd w:id="280"/>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bCs/>
          <w:color w:val="auto"/>
          <w:sz w:val="24"/>
          <w:highlight w:val="none"/>
        </w:rPr>
        <w:t>1.</w:t>
      </w:r>
      <w:r>
        <w:rPr>
          <w:rFonts w:hint="eastAsia" w:asciiTheme="minorEastAsia" w:hAnsiTheme="minorEastAsia" w:eastAsiaTheme="minorEastAsia"/>
          <w:color w:val="auto"/>
          <w:sz w:val="24"/>
          <w:highlight w:val="none"/>
        </w:rPr>
        <w:t>采购代理机构在评标结束后二个工作日内将评标报告送采购人，采购人在五个工作日内按照评标报告中推荐的中标候选供应商顺序确定中标供应商。采购人也可以事先授权评标委员会直接确定中标供应商。</w:t>
      </w:r>
    </w:p>
    <w:p>
      <w:pPr>
        <w:snapToGrid w:val="0"/>
        <w:spacing w:line="360" w:lineRule="exact"/>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color w:val="auto"/>
          <w:sz w:val="24"/>
          <w:highlight w:val="none"/>
        </w:rPr>
        <w:t>2.中标供应商确定后，采购代理机构二个工作日内在原发布招标公告的</w:t>
      </w:r>
      <w:r>
        <w:rPr>
          <w:rFonts w:hint="eastAsia" w:cs="Arial" w:asciiTheme="minorEastAsia" w:hAnsiTheme="minorEastAsia" w:eastAsiaTheme="minorEastAsia"/>
          <w:color w:val="auto"/>
          <w:sz w:val="24"/>
          <w:highlight w:val="none"/>
        </w:rPr>
        <w:t>网</w:t>
      </w:r>
      <w:r>
        <w:rPr>
          <w:rFonts w:hint="eastAsia" w:asciiTheme="minorEastAsia" w:hAnsiTheme="minorEastAsia" w:eastAsiaTheme="minorEastAsia"/>
          <w:bCs/>
          <w:color w:val="auto"/>
          <w:sz w:val="24"/>
          <w:highlight w:val="none"/>
        </w:rPr>
        <w:t>上发布中标公告。</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3.发布中标公告的同时，采购代理机构向中标供应商发出中标通知书（格式详见附件）。</w:t>
      </w:r>
    </w:p>
    <w:p>
      <w:pPr>
        <w:pStyle w:val="22"/>
        <w:snapToGrid w:val="0"/>
        <w:spacing w:line="360" w:lineRule="exact"/>
        <w:ind w:firstLine="470" w:firstLineChars="196"/>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4.投标人认为招标文件、招标过程或中标结果使自己的权益受到损害的，可以在规定的期限内，以书面形式向采购代理机构提出质疑。并及时索要书面回执。</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5.采购代理机构应当按照有关规定就采购人委托授权范围内的事项</w:t>
      </w:r>
      <w:r>
        <w:rPr>
          <w:rFonts w:hint="eastAsia" w:asciiTheme="minorEastAsia" w:hAnsiTheme="minorEastAsia" w:eastAsiaTheme="minorEastAsia"/>
          <w:bCs/>
          <w:color w:val="auto"/>
          <w:sz w:val="24"/>
          <w:szCs w:val="24"/>
          <w:highlight w:val="none"/>
        </w:rPr>
        <w:t>在收到投标人的书面质疑后七个工作日内做出答复，但答复的内容不得涉及商业秘密。</w:t>
      </w:r>
    </w:p>
    <w:p>
      <w:pPr>
        <w:snapToGrid w:val="0"/>
        <w:spacing w:line="360" w:lineRule="exact"/>
        <w:ind w:firstLine="470" w:firstLineChars="196"/>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6.采购代理机构无义务向未中标人退还其投标文件。</w:t>
      </w:r>
    </w:p>
    <w:p>
      <w:pPr>
        <w:pStyle w:val="22"/>
        <w:snapToGrid w:val="0"/>
        <w:spacing w:line="360" w:lineRule="exact"/>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（十二）废标和重新招标</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1.在招标过程中，出现下列情形之一的，予以废标：</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(1)符合专业条件的供应商或者对招标文件作实质响应的供应商不足三家的；</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(2)出现影响采购公正的违法、违规行为的；</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(3)投标人的报价均超过了总采购预算或分项采购预算(</w:t>
      </w:r>
      <w:r>
        <w:rPr>
          <w:rFonts w:hint="eastAsia" w:ascii="宋体" w:hAnsi="宋体"/>
          <w:color w:val="auto"/>
          <w:sz w:val="24"/>
          <w:highlight w:val="none"/>
        </w:rPr>
        <w:t>根据项目增减</w:t>
      </w:r>
      <w:r>
        <w:rPr>
          <w:rFonts w:hint="eastAsia" w:asciiTheme="minorEastAsia" w:hAnsiTheme="minorEastAsia" w:eastAsiaTheme="minorEastAsia"/>
          <w:color w:val="auto"/>
          <w:sz w:val="24"/>
          <w:highlight w:val="none"/>
        </w:rPr>
        <w:t>)，采购人不能支付的；</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(4)因重大变故，采购任务取消的。</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 废标后，采购代理机构将在原政府采购信息发布媒体上公告废标理由，不再另行通知。</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3.重新招标</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公开招标数额标准以上的采购项目，投标截止后投标人不足3家或者通过资格审查或符合性审查的投标人不足3家的，除采购任务取消情形外，按照以下方式处理：</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(1)招标文件存在不合理条款或者招标程序不符合规定的，采购人、采购代理机构改正后依法重新招标；</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(2)招标文件没有不合理条款、招标程序符合规定，需要采用其他采购方式采购的，采购人应当依法报同级财政部门批准。</w:t>
      </w:r>
    </w:p>
    <w:p>
      <w:pPr>
        <w:snapToGrid w:val="0"/>
        <w:spacing w:line="360" w:lineRule="exact"/>
        <w:ind w:firstLine="470" w:firstLineChars="196"/>
        <w:rPr>
          <w:rFonts w:asciiTheme="minorEastAsia" w:hAnsiTheme="minorEastAsia" w:eastAsiaTheme="minorEastAsia"/>
          <w:color w:val="auto"/>
          <w:sz w:val="24"/>
          <w:highlight w:val="none"/>
        </w:rPr>
      </w:pPr>
    </w:p>
    <w:p>
      <w:pPr>
        <w:snapToGrid w:val="0"/>
        <w:spacing w:line="360" w:lineRule="exact"/>
        <w:ind w:firstLine="470" w:firstLineChars="196"/>
        <w:rPr>
          <w:rFonts w:asciiTheme="minorEastAsia" w:hAnsiTheme="minorEastAsia" w:eastAsiaTheme="minorEastAsia"/>
          <w:color w:val="auto"/>
          <w:sz w:val="24"/>
          <w:highlight w:val="none"/>
        </w:rPr>
      </w:pPr>
    </w:p>
    <w:p>
      <w:pPr>
        <w:snapToGrid w:val="0"/>
        <w:spacing w:line="360" w:lineRule="exact"/>
        <w:ind w:firstLine="630" w:firstLineChars="196"/>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七、签订合同</w:t>
      </w:r>
    </w:p>
    <w:p>
      <w:pPr>
        <w:snapToGrid w:val="0"/>
        <w:spacing w:line="360" w:lineRule="exact"/>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（一）</w:t>
      </w:r>
      <w:r>
        <w:rPr>
          <w:rFonts w:hint="eastAsia" w:asciiTheme="minorEastAsia" w:hAnsiTheme="minorEastAsia" w:eastAsiaTheme="minorEastAsia"/>
          <w:b/>
          <w:color w:val="auto"/>
          <w:sz w:val="24"/>
          <w:highlight w:val="none"/>
        </w:rPr>
        <w:t>合同授予标准</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合同将授予被确定为实质上响应招标文件要求，具备履行合同能力，综合评分排名第一的投标人。</w:t>
      </w:r>
    </w:p>
    <w:p>
      <w:pPr>
        <w:pStyle w:val="22"/>
        <w:snapToGrid w:val="0"/>
        <w:spacing w:line="360" w:lineRule="exact"/>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color w:val="auto"/>
          <w:sz w:val="24"/>
          <w:szCs w:val="24"/>
          <w:highlight w:val="none"/>
        </w:rPr>
        <w:t>（二）</w:t>
      </w:r>
      <w:r>
        <w:rPr>
          <w:rFonts w:hint="eastAsia" w:asciiTheme="minorEastAsia" w:hAnsiTheme="minorEastAsia" w:eastAsiaTheme="minorEastAsia"/>
          <w:b/>
          <w:bCs/>
          <w:color w:val="auto"/>
          <w:sz w:val="24"/>
          <w:szCs w:val="24"/>
          <w:highlight w:val="none"/>
        </w:rPr>
        <w:t>签订合同</w:t>
      </w:r>
    </w:p>
    <w:p>
      <w:pPr>
        <w:pStyle w:val="22"/>
        <w:spacing w:line="360" w:lineRule="exact"/>
        <w:ind w:firstLine="42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1.投标人收到中标通知书后，应按中标通知书中规定的时间、地点与采购人签订合同。</w:t>
      </w:r>
    </w:p>
    <w:p>
      <w:pPr>
        <w:pStyle w:val="22"/>
        <w:spacing w:line="360" w:lineRule="exact"/>
        <w:ind w:firstLine="425"/>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2.如果中标供应商不按中标通知书中规定签订合同，则按中标供应商违约处理。</w:t>
      </w:r>
    </w:p>
    <w:p>
      <w:pPr>
        <w:pStyle w:val="22"/>
        <w:spacing w:line="360" w:lineRule="exact"/>
        <w:ind w:firstLine="420"/>
        <w:rPr>
          <w:rFonts w:asciiTheme="minorEastAsia" w:hAnsiTheme="minorEastAsia" w:eastAsiaTheme="minorEastAsia"/>
          <w:bCs/>
          <w:color w:val="auto"/>
          <w:sz w:val="24"/>
          <w:szCs w:val="24"/>
          <w:highlight w:val="none"/>
        </w:rPr>
      </w:pPr>
      <w:r>
        <w:rPr>
          <w:rFonts w:hint="eastAsia" w:asciiTheme="minorEastAsia" w:hAnsiTheme="minorEastAsia" w:eastAsiaTheme="minorEastAsia"/>
          <w:color w:val="auto"/>
          <w:sz w:val="24"/>
          <w:szCs w:val="24"/>
          <w:highlight w:val="none"/>
        </w:rPr>
        <w:t>3.中标供应商因不可抗力或者自身原因不能履行政府采购合同的，采购人可以与中标供应商之后排名第一的中标候选供应商签订采购合同，以此类推。</w:t>
      </w:r>
      <w:r>
        <w:rPr>
          <w:rFonts w:hint="eastAsia" w:asciiTheme="minorEastAsia" w:hAnsiTheme="minorEastAsia" w:eastAsiaTheme="minorEastAsia"/>
          <w:bCs/>
          <w:color w:val="auto"/>
          <w:sz w:val="24"/>
          <w:szCs w:val="24"/>
          <w:highlight w:val="none"/>
        </w:rPr>
        <w:t>采购人也可以重新开展采购活动。</w:t>
      </w:r>
    </w:p>
    <w:p>
      <w:pPr>
        <w:pStyle w:val="22"/>
        <w:spacing w:line="360" w:lineRule="exact"/>
        <w:ind w:firstLine="420"/>
        <w:rPr>
          <w:rFonts w:asciiTheme="minorEastAsia" w:hAnsiTheme="minorEastAsia" w:eastAsiaTheme="minorEastAsia"/>
          <w:b/>
          <w:color w:val="auto"/>
          <w:sz w:val="24"/>
          <w:szCs w:val="24"/>
          <w:highlight w:val="none"/>
        </w:rPr>
      </w:pPr>
    </w:p>
    <w:p>
      <w:pPr>
        <w:pStyle w:val="22"/>
        <w:snapToGrid w:val="0"/>
        <w:spacing w:line="360" w:lineRule="exact"/>
        <w:ind w:firstLine="315" w:firstLineChars="98"/>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八、其他事项</w:t>
      </w:r>
    </w:p>
    <w:p>
      <w:pPr>
        <w:pStyle w:val="22"/>
        <w:snapToGrid w:val="0"/>
        <w:spacing w:line="360" w:lineRule="exact"/>
        <w:outlineLvl w:val="0"/>
        <w:rPr>
          <w:rFonts w:asciiTheme="minorEastAsia" w:hAnsiTheme="minorEastAsia" w:eastAsiaTheme="minorEastAsia"/>
          <w:color w:val="auto"/>
          <w:sz w:val="24"/>
          <w:szCs w:val="24"/>
          <w:highlight w:val="none"/>
        </w:rPr>
      </w:pPr>
      <w:bookmarkStart w:id="281" w:name="_Toc9999"/>
      <w:r>
        <w:rPr>
          <w:rFonts w:hint="eastAsia" w:cs="Times New Roman" w:asciiTheme="minorEastAsia" w:hAnsiTheme="minorEastAsia" w:eastAsiaTheme="minorEastAsia"/>
          <w:color w:val="auto"/>
          <w:sz w:val="24"/>
          <w:szCs w:val="24"/>
          <w:highlight w:val="none"/>
        </w:rPr>
        <w:t>（一）</w:t>
      </w:r>
      <w:bookmarkEnd w:id="281"/>
      <w:bookmarkStart w:id="282" w:name="_Toc254970689"/>
      <w:bookmarkStart w:id="283" w:name="_Toc254970548"/>
      <w:r>
        <w:rPr>
          <w:rFonts w:hint="eastAsia" w:cs="Times New Roman" w:asciiTheme="minorEastAsia" w:hAnsiTheme="minorEastAsia" w:eastAsiaTheme="minorEastAsia"/>
          <w:color w:val="auto"/>
          <w:sz w:val="24"/>
          <w:szCs w:val="24"/>
          <w:highlight w:val="none"/>
        </w:rPr>
        <w:t>本项目代理服务费参照“国家发展计划委员会文件关于印发《招标代理服务收费管理暂行办法》的通知（计价格【2002】1980号）”规定标准向中标人收取，中标人领取中标通知书时,应向采购代理机构以转账形式一次付清招标代理服务费。</w:t>
      </w:r>
    </w:p>
    <w:p>
      <w:pPr>
        <w:snapToGrid w:val="0"/>
        <w:spacing w:line="386"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为帮助中小微企业解决资金周转或融资困难问题，南宁市政府采购试行政府采购信用融资制度，为中小企业参与政府采购活动提供金融服务。中标供应商可凭政府采购合同申请政府采购信用融资，具体办理要求与办理方式，详见南宁市公共资源交易中心网“政府采购信用融资”专栏。</w:t>
      </w:r>
    </w:p>
    <w:p>
      <w:pPr>
        <w:pStyle w:val="22"/>
        <w:snapToGrid w:val="0"/>
        <w:spacing w:line="360" w:lineRule="exact"/>
        <w:outlineLvl w:val="0"/>
        <w:rPr>
          <w:rFonts w:asciiTheme="minorEastAsia" w:hAnsiTheme="minorEastAsia" w:eastAsiaTheme="minorEastAsia"/>
          <w:color w:val="auto"/>
          <w:sz w:val="24"/>
          <w:szCs w:val="24"/>
          <w:highlight w:val="none"/>
        </w:rPr>
      </w:pPr>
    </w:p>
    <w:p>
      <w:pPr>
        <w:pStyle w:val="22"/>
        <w:snapToGrid w:val="0"/>
        <w:jc w:val="center"/>
        <w:outlineLvl w:val="0"/>
        <w:rPr>
          <w:rFonts w:hAnsi="宋体"/>
          <w:b/>
          <w:color w:val="auto"/>
          <w:sz w:val="30"/>
          <w:szCs w:val="30"/>
          <w:highlight w:val="none"/>
        </w:rPr>
      </w:pPr>
    </w:p>
    <w:p>
      <w:pPr>
        <w:pStyle w:val="22"/>
        <w:snapToGrid w:val="0"/>
        <w:jc w:val="center"/>
        <w:outlineLvl w:val="0"/>
        <w:rPr>
          <w:rFonts w:hAnsi="宋体"/>
          <w:b/>
          <w:color w:val="auto"/>
          <w:sz w:val="30"/>
          <w:szCs w:val="30"/>
          <w:highlight w:val="none"/>
        </w:rPr>
      </w:pPr>
    </w:p>
    <w:p>
      <w:pPr>
        <w:pStyle w:val="22"/>
        <w:snapToGrid w:val="0"/>
        <w:jc w:val="center"/>
        <w:outlineLvl w:val="0"/>
        <w:rPr>
          <w:rFonts w:hAnsi="宋体"/>
          <w:b/>
          <w:color w:val="auto"/>
          <w:sz w:val="30"/>
          <w:szCs w:val="30"/>
          <w:highlight w:val="none"/>
        </w:rPr>
      </w:pPr>
    </w:p>
    <w:p>
      <w:pPr>
        <w:pStyle w:val="22"/>
        <w:snapToGrid w:val="0"/>
        <w:jc w:val="center"/>
        <w:outlineLvl w:val="0"/>
        <w:rPr>
          <w:rFonts w:hAnsi="宋体"/>
          <w:b/>
          <w:color w:val="auto"/>
          <w:sz w:val="30"/>
          <w:szCs w:val="30"/>
          <w:highlight w:val="none"/>
        </w:rPr>
      </w:pPr>
    </w:p>
    <w:p>
      <w:pPr>
        <w:pStyle w:val="22"/>
        <w:snapToGrid w:val="0"/>
        <w:outlineLvl w:val="0"/>
        <w:rPr>
          <w:rFonts w:hAnsi="宋体"/>
          <w:b/>
          <w:color w:val="auto"/>
          <w:sz w:val="30"/>
          <w:szCs w:val="30"/>
          <w:highlight w:val="none"/>
        </w:rPr>
      </w:pPr>
      <w:r>
        <w:rPr>
          <w:rFonts w:hAnsi="宋体"/>
          <w:b/>
          <w:color w:val="auto"/>
          <w:sz w:val="30"/>
          <w:szCs w:val="30"/>
          <w:highlight w:val="none"/>
        </w:rPr>
        <w:br w:type="page"/>
      </w:r>
    </w:p>
    <w:p>
      <w:pPr>
        <w:pStyle w:val="22"/>
        <w:snapToGrid w:val="0"/>
        <w:jc w:val="center"/>
        <w:outlineLvl w:val="0"/>
        <w:rPr>
          <w:rFonts w:hAnsi="宋体"/>
          <w:b/>
          <w:color w:val="auto"/>
          <w:sz w:val="30"/>
          <w:szCs w:val="30"/>
          <w:highlight w:val="none"/>
        </w:rPr>
      </w:pPr>
    </w:p>
    <w:p>
      <w:pPr>
        <w:pStyle w:val="22"/>
        <w:snapToGrid w:val="0"/>
        <w:jc w:val="center"/>
        <w:outlineLvl w:val="0"/>
        <w:rPr>
          <w:rFonts w:hAnsi="宋体"/>
          <w:b/>
          <w:color w:val="auto"/>
          <w:sz w:val="30"/>
          <w:szCs w:val="30"/>
          <w:highlight w:val="none"/>
        </w:rPr>
      </w:pPr>
    </w:p>
    <w:p>
      <w:pPr>
        <w:pStyle w:val="22"/>
        <w:snapToGrid w:val="0"/>
        <w:jc w:val="center"/>
        <w:outlineLvl w:val="0"/>
        <w:rPr>
          <w:rFonts w:hAnsi="宋体"/>
          <w:b/>
          <w:color w:val="auto"/>
          <w:sz w:val="30"/>
          <w:szCs w:val="30"/>
          <w:highlight w:val="none"/>
        </w:rPr>
      </w:pPr>
    </w:p>
    <w:p>
      <w:pPr>
        <w:pStyle w:val="22"/>
        <w:snapToGrid w:val="0"/>
        <w:jc w:val="center"/>
        <w:outlineLvl w:val="0"/>
        <w:rPr>
          <w:rFonts w:hAnsi="宋体"/>
          <w:b/>
          <w:color w:val="auto"/>
          <w:sz w:val="30"/>
          <w:szCs w:val="30"/>
          <w:highlight w:val="none"/>
        </w:rPr>
      </w:pPr>
    </w:p>
    <w:p>
      <w:pPr>
        <w:pStyle w:val="22"/>
        <w:snapToGrid w:val="0"/>
        <w:jc w:val="center"/>
        <w:outlineLvl w:val="0"/>
        <w:rPr>
          <w:rFonts w:hAnsi="宋体"/>
          <w:b/>
          <w:color w:val="auto"/>
          <w:sz w:val="30"/>
          <w:szCs w:val="30"/>
          <w:highlight w:val="none"/>
        </w:rPr>
      </w:pPr>
    </w:p>
    <w:p>
      <w:pPr>
        <w:pStyle w:val="22"/>
        <w:snapToGrid w:val="0"/>
        <w:jc w:val="center"/>
        <w:outlineLvl w:val="0"/>
        <w:rPr>
          <w:rFonts w:hAnsi="宋体"/>
          <w:b/>
          <w:color w:val="auto"/>
          <w:sz w:val="30"/>
          <w:szCs w:val="30"/>
          <w:highlight w:val="none"/>
        </w:rPr>
      </w:pPr>
    </w:p>
    <w:p>
      <w:pPr>
        <w:pStyle w:val="22"/>
        <w:snapToGrid w:val="0"/>
        <w:jc w:val="center"/>
        <w:outlineLvl w:val="0"/>
        <w:rPr>
          <w:rFonts w:hAnsi="宋体"/>
          <w:b/>
          <w:color w:val="auto"/>
          <w:sz w:val="30"/>
          <w:szCs w:val="30"/>
          <w:highlight w:val="none"/>
        </w:rPr>
      </w:pPr>
    </w:p>
    <w:p>
      <w:pPr>
        <w:pStyle w:val="22"/>
        <w:snapToGrid w:val="0"/>
        <w:jc w:val="center"/>
        <w:outlineLvl w:val="0"/>
        <w:rPr>
          <w:rFonts w:hAnsi="宋体"/>
          <w:b/>
          <w:color w:val="auto"/>
          <w:sz w:val="30"/>
          <w:szCs w:val="30"/>
          <w:highlight w:val="none"/>
        </w:rPr>
      </w:pPr>
    </w:p>
    <w:p>
      <w:pPr>
        <w:pStyle w:val="22"/>
        <w:snapToGrid w:val="0"/>
        <w:jc w:val="center"/>
        <w:outlineLvl w:val="0"/>
        <w:rPr>
          <w:rFonts w:hAnsi="宋体"/>
          <w:b/>
          <w:color w:val="auto"/>
          <w:sz w:val="30"/>
          <w:szCs w:val="30"/>
          <w:highlight w:val="none"/>
        </w:rPr>
      </w:pPr>
    </w:p>
    <w:p>
      <w:pPr>
        <w:pStyle w:val="22"/>
        <w:snapToGrid w:val="0"/>
        <w:jc w:val="center"/>
        <w:outlineLvl w:val="0"/>
        <w:rPr>
          <w:rFonts w:hAnsi="宋体"/>
          <w:b/>
          <w:color w:val="auto"/>
          <w:sz w:val="44"/>
          <w:szCs w:val="44"/>
          <w:highlight w:val="none"/>
        </w:rPr>
      </w:pPr>
      <w:bookmarkStart w:id="284" w:name="_Toc16542"/>
      <w:r>
        <w:rPr>
          <w:rFonts w:hint="eastAsia" w:hAnsi="宋体"/>
          <w:b/>
          <w:color w:val="auto"/>
          <w:sz w:val="44"/>
          <w:szCs w:val="44"/>
          <w:highlight w:val="none"/>
        </w:rPr>
        <w:t>第四章  评标办法及评分标准</w:t>
      </w:r>
      <w:bookmarkEnd w:id="282"/>
      <w:bookmarkEnd w:id="283"/>
      <w:bookmarkEnd w:id="284"/>
    </w:p>
    <w:p>
      <w:pPr>
        <w:pStyle w:val="22"/>
        <w:outlineLvl w:val="0"/>
        <w:rPr>
          <w:rFonts w:hAnsi="宋体"/>
          <w:b/>
          <w:color w:val="auto"/>
          <w:highlight w:val="none"/>
        </w:rPr>
      </w:pPr>
      <w:bookmarkStart w:id="285" w:name="_Toc254970549"/>
      <w:bookmarkStart w:id="286" w:name="_Toc254970690"/>
    </w:p>
    <w:p>
      <w:pPr>
        <w:ind w:firstLine="420" w:firstLineChars="200"/>
        <w:jc w:val="center"/>
        <w:rPr>
          <w:rFonts w:ascii="宋体" w:hAnsi="宋体"/>
          <w:b/>
          <w:color w:val="auto"/>
          <w:sz w:val="32"/>
          <w:highlight w:val="none"/>
        </w:rPr>
      </w:pPr>
      <w:r>
        <w:rPr>
          <w:rFonts w:ascii="宋体" w:hAnsi="宋体"/>
          <w:color w:val="auto"/>
          <w:highlight w:val="none"/>
        </w:rPr>
        <w:br w:type="page"/>
      </w:r>
      <w:bookmarkEnd w:id="285"/>
      <w:bookmarkEnd w:id="286"/>
      <w:r>
        <w:rPr>
          <w:rFonts w:hint="eastAsia" w:ascii="宋体" w:hAnsi="宋体"/>
          <w:b/>
          <w:color w:val="auto"/>
          <w:sz w:val="32"/>
          <w:highlight w:val="none"/>
        </w:rPr>
        <w:t>评标方法和评标标准（综合评分法）</w:t>
      </w:r>
    </w:p>
    <w:p>
      <w:pPr>
        <w:pStyle w:val="22"/>
        <w:ind w:firstLine="315" w:firstLineChars="15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评标委员会将以招投标文件为依据，对投标文件进行评审，对投标人的投标报价、技术文件及商务文件等三部分内容按百分制打分，其中价格分10分、技术分65分、商务分25分。（评标时，对于带有主观因素的评分，由各评委独立进行评价、打分，不允许讨论。）</w:t>
      </w:r>
    </w:p>
    <w:p>
      <w:pPr>
        <w:pStyle w:val="22"/>
        <w:ind w:firstLine="315" w:firstLineChars="15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二、评分细则：（按四舍五入取至小数点后四位）</w:t>
      </w:r>
    </w:p>
    <w:p>
      <w:pPr>
        <w:pStyle w:val="22"/>
        <w:ind w:firstLine="420" w:firstLineChars="200"/>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b/>
          <w:bCs/>
          <w:color w:val="auto"/>
          <w:highlight w:val="none"/>
        </w:rPr>
        <w:t>价格分……………………………………………………………………10分</w:t>
      </w:r>
    </w:p>
    <w:p>
      <w:pPr>
        <w:spacing w:line="360" w:lineRule="auto"/>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根据《政府采购促进中小企业发展暂行办法》（财库[2011]181号）第五条的规定：</w:t>
      </w:r>
    </w:p>
    <w:p>
      <w:pPr>
        <w:spacing w:line="360" w:lineRule="auto"/>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对小型或微型企业产品的价格给予6%的扣除，用扣除后的价格参与评审，即：评标价PP =投标价Pi-6%×投标价Pi。（投标人如实填写中小企业声明函，否则不予价格扣除）。</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大中型企业和其他自然人、法人或者其他组织与小型、微型企业组成联合体，联合体协议中约定小型、微型企业的协议合同金额占到联合体协议合同总金额30%以上的，联合体投标价给予2%的扣除，扣除后的价格为评标价，即：评标价PP =投标价Pi-2%×投标价Pi。</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另：根据《关于政府采购支持监狱企业发展有关问题的通知》（财库[2014]68号、桂财采[2016]25号）规定，监狱企业视同小型、微型企业（广西区内政府采购中对监狱企业及其产品的认定，由自治区司法厅负责（需提供广西壮族自治区监狱企业产品目录）；省外应当提供由省级以上监狱管理局、戒毒管理局（含新疆生产建设兵团）出具的属于监狱企业的证明文件。）</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关于促进残疾人就业政府采购政策的通知》（财库【2017】141号）规定，残疾人福利性单位视同小型、微型企业，评审中对价格给予折扣，残疾人福利性单位属于小型、微型企业的，不重复享受政策。符合条件的残疾人福利性单位在参加政府采购活动时，应当提供本通知规定的《残疾人福利性单位声明函》（见附件），并对声明的真实性负责。中标为残疾人福利性单位的，采购代理机构应当随中标、成交结果同时公告其《残疾人福利性单位声明函》，接受社会监督。</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对于不属于以上情形的投标人，其投标报价即为评标价。</w:t>
      </w:r>
    </w:p>
    <w:p>
      <w:pPr>
        <w:spacing w:line="360" w:lineRule="auto"/>
        <w:ind w:firstLine="420" w:firstLineChars="200"/>
        <w:rPr>
          <w:rFonts w:asciiTheme="minorEastAsia" w:hAnsiTheme="minorEastAsia" w:eastAsiaTheme="minorEastAsia" w:cstheme="minorEastAsia"/>
          <w:color w:val="auto"/>
          <w:szCs w:val="21"/>
          <w:highlight w:val="none"/>
        </w:rPr>
      </w:pP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价格分计算公式：</w:t>
      </w:r>
    </w:p>
    <w:p>
      <w:pPr>
        <w:pStyle w:val="18"/>
        <w:spacing w:line="360" w:lineRule="auto"/>
        <w:ind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投标人最低评标价（金额）</w:t>
      </w:r>
    </w:p>
    <w:p>
      <w:pPr>
        <w:pStyle w:val="18"/>
        <w:spacing w:line="360" w:lineRule="auto"/>
        <w:ind w:firstLine="420" w:firstLineChars="200"/>
        <w:jc w:val="left"/>
        <w:rPr>
          <w:rFonts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pict>
          <v:line id="直接连接符 1" o:spid="_x0000_s1027" o:spt="20" style="position:absolute;left:0pt;margin-left:106.1pt;margin-top:10.85pt;height:0.9pt;width:136.05pt;z-index:251658240;mso-width-relative:page;mso-height-relative:page;" coordsize="21600,21600" o:gfxdata="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8pcKs1gAAAAkBAAAPAAAAAAAA&#10;AAEAIAAAACIAAABkcnMvZG93bnJldi54bWxQSwECFAAUAAAACACHTuJArmcwHdsBAACcAwAADgAA&#10;AAAAAAABACAAAAAlAQAAZHJzL2Uyb0RvYy54bWxQSwUGAAAAAAYABgBZAQAAcgUAAAAA&#10;">
            <v:path arrowok="t"/>
            <v:fill focussize="0,0"/>
            <v:stroke/>
            <v:imagedata o:title=""/>
            <o:lock v:ext="edit"/>
          </v:line>
        </w:pict>
      </w:r>
      <w:r>
        <w:rPr>
          <w:rFonts w:hint="eastAsia" w:asciiTheme="minorEastAsia" w:hAnsiTheme="minorEastAsia" w:eastAsiaTheme="minorEastAsia" w:cstheme="minorEastAsia"/>
          <w:color w:val="auto"/>
          <w:sz w:val="21"/>
          <w:szCs w:val="21"/>
          <w:highlight w:val="none"/>
        </w:rPr>
        <w:t>某投标人价格分＝                              ×　10分</w:t>
      </w:r>
    </w:p>
    <w:p>
      <w:pPr>
        <w:pStyle w:val="18"/>
        <w:spacing w:line="360" w:lineRule="auto"/>
        <w:ind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某投标人评标价（金额）</w:t>
      </w:r>
    </w:p>
    <w:p>
      <w:pPr>
        <w:pStyle w:val="22"/>
        <w:spacing w:line="360" w:lineRule="exact"/>
        <w:ind w:firstLine="210" w:firstLineChars="100"/>
        <w:rPr>
          <w:rFonts w:asciiTheme="minorEastAsia" w:hAnsiTheme="minorEastAsia" w:eastAsiaTheme="minorEastAsia" w:cstheme="minorEastAsia"/>
          <w:color w:val="auto"/>
          <w:highlight w:val="none"/>
        </w:rPr>
      </w:pPr>
    </w:p>
    <w:p>
      <w:pPr>
        <w:pStyle w:val="22"/>
        <w:spacing w:line="360" w:lineRule="exact"/>
        <w:ind w:firstLine="422" w:firstLineChars="200"/>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2、技术分……………………………………………………………………65分</w:t>
      </w:r>
    </w:p>
    <w:p>
      <w:pPr>
        <w:spacing w:line="360" w:lineRule="auto"/>
        <w:ind w:firstLine="42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（1）项目设计方案分（满分15分）</w:t>
      </w:r>
      <w:r>
        <w:rPr>
          <w:rFonts w:hint="eastAsia" w:asciiTheme="minorEastAsia" w:hAnsiTheme="minorEastAsia" w:eastAsiaTheme="minorEastAsia" w:cstheme="minorEastAsia"/>
          <w:color w:val="auto"/>
          <w:szCs w:val="21"/>
          <w:highlight w:val="none"/>
        </w:rPr>
        <w:t>（要求投标人提供项目整体设计方案）</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一档（5分）：投标人能阐述项目服务需求，提供简单的设计方案，设计方案比较简单，无明显错误。</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二档（10分）：投标人能阐述项目服务需求，提出比较详细的设计方案，满足采购文件要求的。</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档（15分）：投标人能阐述项目服务需求，对需求进行详细分析；提供完整详细的设计方案，且对本项目建设现状把握全面，对项目建设的重点及难点有详细阐述，能够完全满足项目的需求、准确体现招采购人对该项目的实际需求的，能够提供符合等保要求的、性能稳定的、安全防护的移动端硬件服务的，以及移动端专线方案和服务的，能够屏蔽移动端蓝牙、USB、互联网流量、WIFI、语音、短信等传输通道，确保移动端无法通过任何传输方式将系统设计文档、图文等资料外传的。</w:t>
      </w:r>
    </w:p>
    <w:p>
      <w:pPr>
        <w:spacing w:line="360" w:lineRule="auto"/>
        <w:ind w:firstLine="42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（2）项目实施方案分（满分15分）</w:t>
      </w:r>
      <w:r>
        <w:rPr>
          <w:rFonts w:hint="eastAsia" w:asciiTheme="minorEastAsia" w:hAnsiTheme="minorEastAsia" w:eastAsiaTheme="minorEastAsia" w:cstheme="minorEastAsia"/>
          <w:color w:val="auto"/>
          <w:szCs w:val="21"/>
          <w:highlight w:val="none"/>
        </w:rPr>
        <w:t>（要求投标人提供项目整体实施方案）</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一档（5分）：投标人能提供简单的实施方案的，满足招标需要，基本阐述清楚实施方法及保障措施、形成项目管理文档计划。</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二档（10分）：投标人能提供比较详细的实施方案，有项目管理组织机构图、工作安排能说明人员安排及施工进度安排，方案可行、科学合理的。</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档(15分）：投标人提供详细的项目实施方案，详细说明各个阶段工作安排，阐述清楚实施组织办法及保障体系，说明质量、进度、安全施工计划，具有较完备的管理组织、项目实施规范和管理制度，有较完备的质量管理体系和安全保障措施，指明项目重点难点及解决办法，确保项目在计划工期内完成，项目实施方案表述清晰、完整、合理，有针对性、可操作性强的。</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（3）售后服务方案分（满分5分）</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一档（1分）：提交的售后服务方案基本满足采购文件的售后服务要求，针对本项目提供专门的售后服务支持，能提供快速的售后服务响应。</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二档（3分）：提交的售后服务方案满足采购文件的售后服务要求，针对本项目提供专门的售后服务支持，在南宁市区建有本地服务点或承诺中标后在南宁市区设立服务点，提供快速的售后服务响应。</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档（5分）：提交的售后服务方案满足采购文件的售后服务要求，提供故障处理流程、维护保障流程及组织架构；能根据用户情况提供技术支持服务、定期回访服务；针对本项目提供专门的售后服务支持，在南宁市区建有本地服务点或承诺中标后在南宁市区设立服务点，提供快速的售后服务响应。</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（4）录制演示（满分30分）</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南宁市机关事务管理局关于疫情防控期间恢复全市公共资源现场交易活动的通知》（南机事函〔2020〕25号）文件精神，疫情防控期间，按照“不见面、少接触”的原则，供应商不参加现场竞标活动，系统演示将通过录制方式进行，录制演示时间应小于20分钟，如录制演示及讲解与投标文件响应不同，以录制演示及讲解为准。录制演示提交方式：声像资料应刻成光盘或者U盘附于投标文件袋内。）</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评分标准：演示分按照单项功能点计分，放弃演示或非实体软件功能演示得0分，不进行原型程序录制演示的，或仅用图片、演示文稿、静态网页等成果资料演示的，此项分值为0分。</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功能演示，通过手机APP演示系统重要功能点：</w:t>
      </w:r>
    </w:p>
    <w:p>
      <w:pPr>
        <w:pStyle w:val="99"/>
        <w:numPr>
          <w:ilvl w:val="0"/>
          <w:numId w:val="5"/>
        </w:numPr>
        <w:spacing w:line="360" w:lineRule="auto"/>
        <w:ind w:left="0" w:firstLine="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手签签批。移动端手写签批，签批完成后，签批内容显示在收文和发文环节处理页面，能导出到文件处理笺。在PC端可以查看签批结果。（3分）</w:t>
      </w:r>
    </w:p>
    <w:p>
      <w:pPr>
        <w:pStyle w:val="99"/>
        <w:numPr>
          <w:ilvl w:val="0"/>
          <w:numId w:val="5"/>
        </w:numPr>
        <w:spacing w:line="360" w:lineRule="auto"/>
        <w:ind w:left="0" w:firstLine="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在线编辑，查看。支持移动端审批文档的在线编辑查看文件（word，Excel），在移动端编辑完成后，在PC端可以查看编辑结果。（3分）</w:t>
      </w:r>
    </w:p>
    <w:p>
      <w:pPr>
        <w:pStyle w:val="99"/>
        <w:numPr>
          <w:ilvl w:val="0"/>
          <w:numId w:val="5"/>
        </w:numPr>
        <w:spacing w:line="360" w:lineRule="auto"/>
        <w:ind w:left="0" w:firstLine="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即时通讯。移动端发送IM信息（2个账号切换，传送文件，图片，文本消息），移动端可以实时查看到结果。（3分）</w:t>
      </w:r>
    </w:p>
    <w:p>
      <w:pPr>
        <w:pStyle w:val="99"/>
        <w:numPr>
          <w:ilvl w:val="0"/>
          <w:numId w:val="5"/>
        </w:numPr>
        <w:spacing w:line="360" w:lineRule="auto"/>
        <w:ind w:left="0" w:firstLine="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消息提醒。PC端发布公告、待办，移动端可以实时查看到信息提示。（3分）</w:t>
      </w:r>
    </w:p>
    <w:p>
      <w:pPr>
        <w:pStyle w:val="99"/>
        <w:numPr>
          <w:ilvl w:val="0"/>
          <w:numId w:val="5"/>
        </w:numPr>
        <w:spacing w:line="360" w:lineRule="auto"/>
        <w:ind w:left="0" w:firstLine="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通知公告。PC端发布公告，移动端查看通知公告内容，查询通知公告信息。（3分）</w:t>
      </w:r>
    </w:p>
    <w:p>
      <w:pPr>
        <w:pStyle w:val="99"/>
        <w:numPr>
          <w:ilvl w:val="0"/>
          <w:numId w:val="5"/>
        </w:numPr>
        <w:spacing w:line="360" w:lineRule="auto"/>
        <w:ind w:left="0" w:firstLine="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内部邮件。移动端发送内部邮件，查询内部邮件，查看内部邮件内容。（3分）</w:t>
      </w:r>
    </w:p>
    <w:p>
      <w:pPr>
        <w:pStyle w:val="99"/>
        <w:numPr>
          <w:ilvl w:val="0"/>
          <w:numId w:val="5"/>
        </w:numPr>
        <w:spacing w:line="360" w:lineRule="auto"/>
        <w:ind w:left="0" w:firstLine="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任务管理。在移动端查看本人承担任务，进行任务分解，任务回复，任务查询。（3分）</w:t>
      </w:r>
    </w:p>
    <w:p>
      <w:pPr>
        <w:pStyle w:val="99"/>
        <w:numPr>
          <w:ilvl w:val="0"/>
          <w:numId w:val="5"/>
        </w:numPr>
        <w:spacing w:line="360" w:lineRule="auto"/>
        <w:ind w:left="0" w:firstLine="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行程管理。可编辑登记时间、行程标题、外出去向、开始时间等新增行程同时在系统内发布，可根据外出去向和外出人对行程进行查询。（3分）</w:t>
      </w:r>
    </w:p>
    <w:p>
      <w:pPr>
        <w:pStyle w:val="99"/>
        <w:numPr>
          <w:ilvl w:val="0"/>
          <w:numId w:val="5"/>
        </w:numPr>
        <w:spacing w:line="360" w:lineRule="auto"/>
        <w:ind w:left="0" w:firstLine="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联系人。查看单位通讯录，通过通讯录直接拨打电话，发送短信，发送IM消息。（3分）</w:t>
      </w:r>
    </w:p>
    <w:p>
      <w:pPr>
        <w:pStyle w:val="99"/>
        <w:numPr>
          <w:ilvl w:val="0"/>
          <w:numId w:val="5"/>
        </w:numPr>
        <w:spacing w:line="360" w:lineRule="auto"/>
        <w:ind w:left="0" w:firstLine="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重点工作台账。实现新建台账、添加任务、台账查询、外单位收文后在单位内部转台账。（3分）</w:t>
      </w:r>
    </w:p>
    <w:p>
      <w:pPr>
        <w:pStyle w:val="22"/>
        <w:ind w:firstLine="422" w:firstLineChars="200"/>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3、商务分……………………………………………………………………25分</w:t>
      </w:r>
    </w:p>
    <w:p>
      <w:pPr>
        <w:spacing w:line="360" w:lineRule="auto"/>
        <w:ind w:firstLine="420" w:firstLineChars="200"/>
        <w:jc w:val="left"/>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bCs/>
          <w:color w:val="auto"/>
          <w:szCs w:val="21"/>
          <w:highlight w:val="none"/>
        </w:rPr>
        <w:t>投标人同时具有ISO9001质量管理体系认证、ISO14001环境管理体系认证、ISO45001职业健康安全体系认证及</w:t>
      </w:r>
      <w:r>
        <w:rPr>
          <w:rFonts w:hint="eastAsia" w:asciiTheme="minorEastAsia" w:hAnsiTheme="minorEastAsia" w:eastAsiaTheme="minorEastAsia" w:cstheme="minorEastAsia"/>
          <w:color w:val="auto"/>
          <w:szCs w:val="21"/>
          <w:highlight w:val="none"/>
        </w:rPr>
        <w:t>信息安全管理体系认证</w:t>
      </w:r>
      <w:r>
        <w:rPr>
          <w:rFonts w:hint="eastAsia" w:asciiTheme="minorEastAsia" w:hAnsiTheme="minorEastAsia" w:eastAsiaTheme="minorEastAsia" w:cstheme="minorEastAsia"/>
          <w:bCs/>
          <w:color w:val="auto"/>
          <w:szCs w:val="21"/>
          <w:highlight w:val="none"/>
        </w:rPr>
        <w:t>的得6分，缺1项的不得分。（需提供有关证明材料复印件）</w:t>
      </w:r>
    </w:p>
    <w:p>
      <w:pPr>
        <w:pStyle w:val="22"/>
        <w:spacing w:line="360" w:lineRule="auto"/>
        <w:ind w:firstLine="420" w:firstLineChars="200"/>
        <w:jc w:val="left"/>
        <w:outlineLvl w:val="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项目负责人具有5年以上（含）相关高级资格证书（含信息系统项目管理师、系统分析师、系统架构设计师等），得2分；项目负责人具有5年以上（含）相关中级资格证书（含信息系统项目管理师、系统分析师、系统架构设计师等），得1分。满分2分。（需提供有关证书复印件及最近一个季度或近半年连续3个月社保缴纳证明等证明材料）</w:t>
      </w:r>
    </w:p>
    <w:p>
      <w:pPr>
        <w:pStyle w:val="22"/>
        <w:spacing w:line="360" w:lineRule="auto"/>
        <w:ind w:firstLine="420" w:firstLineChars="200"/>
        <w:jc w:val="left"/>
        <w:outlineLvl w:val="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投标人拟投入本项目15人以下（不含）技术服务团队（所学专业含计算机、通信、信息、自动化、网络、软件等）的得1分；投标人拟投入本项目15人以上（含）的技术服务团队（所学专业含计算机、通信、信息、自动化、网络、软件等）的得2分。满分2分。（需提供毕业证及最近一个季度或近半年连续3个月社保缴纳证明材料，缺毕业证的不算分）</w:t>
      </w:r>
    </w:p>
    <w:p>
      <w:pPr>
        <w:pStyle w:val="22"/>
        <w:spacing w:line="360" w:lineRule="auto"/>
        <w:ind w:firstLine="420" w:firstLineChars="200"/>
        <w:jc w:val="left"/>
        <w:outlineLvl w:val="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（4）投标人提供2018年1月以来有关系统开发、管理平台软件开发等类似业绩的，每个得3分，满分15分。（提供中标（成交）通知书或合同复印件）</w:t>
      </w:r>
    </w:p>
    <w:p>
      <w:pPr>
        <w:spacing w:line="360" w:lineRule="auto"/>
        <w:ind w:firstLine="422" w:firstLineChars="200"/>
        <w:outlineLvl w:val="1"/>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4、诚信分…………………………………………………………最高扣分6分</w:t>
      </w:r>
    </w:p>
    <w:p>
      <w:pPr>
        <w:pStyle w:val="22"/>
        <w:ind w:firstLine="400"/>
        <w:jc w:val="left"/>
        <w:outlineLvl w:val="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投标人在截标日前一年内在政府采购活动中存在违约情况的，每次扣除3分，最高扣6分。（投标人提供出具书面说明或其他有效证明材料作为评分依据，中标后由采购人进行核查，如核查后发现未如实提供的，按提供虚假材料处理。） </w:t>
      </w:r>
    </w:p>
    <w:p>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三、总得分＝1+2+3+4</w:t>
      </w:r>
    </w:p>
    <w:p>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四、中标候选供应商推荐原则</w:t>
      </w:r>
    </w:p>
    <w:p>
      <w:pPr>
        <w:pStyle w:val="22"/>
        <w:ind w:firstLine="420" w:firstLineChars="200"/>
        <w:rPr>
          <w:rFonts w:hAnsi="宋体"/>
          <w:color w:val="auto"/>
          <w:sz w:val="44"/>
          <w:szCs w:val="44"/>
          <w:highlight w:val="none"/>
        </w:rPr>
      </w:pPr>
      <w:r>
        <w:rPr>
          <w:rFonts w:hint="eastAsia" w:asciiTheme="minorEastAsia" w:hAnsiTheme="minorEastAsia" w:eastAsiaTheme="minorEastAsia" w:cstheme="minorEastAsia"/>
          <w:color w:val="auto"/>
          <w:szCs w:val="21"/>
          <w:highlight w:val="none"/>
        </w:rPr>
        <w:t>评标委员会将根据综合得分由高到低排列次序（得分相同时，按报价低优先、技术分高优先、处理问题到达时间短优先的顺序排列；前述指标均相同时，由评标委员会各成员对供应商当场投票表决，得票多者优先；按前述程序仍无法确定供应商排名顺序的，由评标委员会抽签决定 顺序排列）并推荐不超过3名中标候选供应商。招标采购单位应当确定评审委员会推荐排名第一的中标候选人为中标人。根据桂财采〔2016〕37号《关于做好政府采购有关信用主体标识码登记及在政府采购活动中查询使用信用记录有关问题的通知》相关规定，采购代理机构将对排名第一的中标候选人进行信用查询，如排名第一的中标候选人在中国政府采购网处于被暂停参加政府采购活动期间的，或排名第一的中标候选人放弃中标、因不可抗力提出不能履行合同的，招标采购单位可以确定排定第二的中标候选人为中标人。排名第二的中标候选人因前款规定的同样原因不能签订合同的，招标采购单位可以确定排名第三的中标候选人为中标人。招标采购单位也可以重新采购。</w:t>
      </w:r>
      <w:r>
        <w:rPr>
          <w:color w:val="auto"/>
          <w:highlight w:val="none"/>
        </w:rPr>
        <w:br w:type="page"/>
      </w:r>
    </w:p>
    <w:p>
      <w:pPr>
        <w:ind w:firstLine="883" w:firstLineChars="200"/>
        <w:jc w:val="center"/>
        <w:rPr>
          <w:rFonts w:ascii="宋体" w:hAnsi="宋体"/>
          <w:b/>
          <w:color w:val="auto"/>
          <w:sz w:val="44"/>
          <w:szCs w:val="44"/>
          <w:highlight w:val="none"/>
        </w:rPr>
      </w:pPr>
    </w:p>
    <w:p>
      <w:pPr>
        <w:ind w:firstLine="883" w:firstLineChars="200"/>
        <w:jc w:val="center"/>
        <w:outlineLvl w:val="0"/>
        <w:rPr>
          <w:rFonts w:ascii="宋体" w:hAnsi="宋体"/>
          <w:b/>
          <w:color w:val="auto"/>
          <w:sz w:val="44"/>
          <w:szCs w:val="44"/>
          <w:highlight w:val="none"/>
        </w:rPr>
      </w:pPr>
    </w:p>
    <w:p>
      <w:pPr>
        <w:ind w:firstLine="883" w:firstLineChars="200"/>
        <w:jc w:val="center"/>
        <w:outlineLvl w:val="0"/>
        <w:rPr>
          <w:rFonts w:ascii="宋体" w:hAnsi="宋体"/>
          <w:b/>
          <w:color w:val="auto"/>
          <w:sz w:val="44"/>
          <w:szCs w:val="44"/>
          <w:highlight w:val="none"/>
        </w:rPr>
      </w:pPr>
    </w:p>
    <w:p>
      <w:pPr>
        <w:ind w:firstLine="883" w:firstLineChars="200"/>
        <w:jc w:val="center"/>
        <w:outlineLvl w:val="0"/>
        <w:rPr>
          <w:rFonts w:ascii="宋体" w:hAnsi="宋体"/>
          <w:b/>
          <w:color w:val="auto"/>
          <w:sz w:val="44"/>
          <w:szCs w:val="44"/>
          <w:highlight w:val="none"/>
        </w:rPr>
      </w:pPr>
    </w:p>
    <w:p>
      <w:pPr>
        <w:ind w:firstLine="883" w:firstLineChars="200"/>
        <w:jc w:val="center"/>
        <w:outlineLvl w:val="0"/>
        <w:rPr>
          <w:rFonts w:ascii="宋体" w:hAnsi="宋体"/>
          <w:b/>
          <w:color w:val="auto"/>
          <w:sz w:val="44"/>
          <w:szCs w:val="44"/>
          <w:highlight w:val="none"/>
        </w:rPr>
      </w:pPr>
    </w:p>
    <w:p>
      <w:pPr>
        <w:ind w:firstLine="883" w:firstLineChars="200"/>
        <w:jc w:val="center"/>
        <w:outlineLvl w:val="0"/>
        <w:rPr>
          <w:rFonts w:ascii="宋体" w:hAnsi="宋体"/>
          <w:b/>
          <w:color w:val="auto"/>
          <w:sz w:val="44"/>
          <w:szCs w:val="44"/>
          <w:highlight w:val="none"/>
        </w:rPr>
      </w:pPr>
    </w:p>
    <w:p>
      <w:pPr>
        <w:ind w:firstLine="883" w:firstLineChars="200"/>
        <w:jc w:val="center"/>
        <w:outlineLvl w:val="0"/>
        <w:rPr>
          <w:rFonts w:ascii="宋体" w:hAnsi="宋体"/>
          <w:b/>
          <w:color w:val="auto"/>
          <w:sz w:val="44"/>
          <w:szCs w:val="44"/>
          <w:highlight w:val="none"/>
        </w:rPr>
      </w:pPr>
    </w:p>
    <w:p>
      <w:pPr>
        <w:ind w:firstLine="883" w:firstLineChars="200"/>
        <w:jc w:val="center"/>
        <w:outlineLvl w:val="0"/>
        <w:rPr>
          <w:rFonts w:ascii="宋体" w:hAnsi="宋体"/>
          <w:b/>
          <w:color w:val="auto"/>
          <w:sz w:val="44"/>
          <w:szCs w:val="44"/>
          <w:highlight w:val="none"/>
        </w:rPr>
      </w:pPr>
    </w:p>
    <w:p>
      <w:pPr>
        <w:ind w:firstLine="883" w:firstLineChars="200"/>
        <w:jc w:val="center"/>
        <w:outlineLvl w:val="0"/>
        <w:rPr>
          <w:rFonts w:ascii="宋体" w:hAnsi="宋体"/>
          <w:b/>
          <w:bCs/>
          <w:color w:val="auto"/>
          <w:sz w:val="44"/>
          <w:szCs w:val="44"/>
          <w:highlight w:val="none"/>
        </w:rPr>
      </w:pPr>
      <w:bookmarkStart w:id="287" w:name="_Toc6368"/>
      <w:r>
        <w:rPr>
          <w:rFonts w:hint="eastAsia" w:ascii="宋体" w:hAnsi="宋体"/>
          <w:b/>
          <w:color w:val="auto"/>
          <w:sz w:val="44"/>
          <w:szCs w:val="44"/>
          <w:highlight w:val="none"/>
        </w:rPr>
        <w:t xml:space="preserve">第五章 </w:t>
      </w:r>
      <w:r>
        <w:rPr>
          <w:rFonts w:hint="eastAsia" w:ascii="宋体" w:hAnsi="宋体"/>
          <w:b/>
          <w:bCs/>
          <w:color w:val="auto"/>
          <w:sz w:val="44"/>
          <w:szCs w:val="44"/>
          <w:highlight w:val="none"/>
        </w:rPr>
        <w:t>合同主要条款格式</w:t>
      </w:r>
      <w:bookmarkEnd w:id="287"/>
    </w:p>
    <w:p>
      <w:pPr>
        <w:pStyle w:val="22"/>
        <w:jc w:val="center"/>
        <w:rPr>
          <w:rFonts w:hAnsi="宋体"/>
          <w:b/>
          <w:color w:val="auto"/>
          <w:sz w:val="52"/>
          <w:szCs w:val="52"/>
          <w:highlight w:val="none"/>
        </w:rPr>
      </w:pPr>
      <w:r>
        <w:rPr>
          <w:rFonts w:hAnsi="宋体"/>
          <w:b/>
          <w:bCs/>
          <w:color w:val="auto"/>
          <w:sz w:val="44"/>
          <w:szCs w:val="44"/>
          <w:highlight w:val="none"/>
        </w:rPr>
        <w:br w:type="page"/>
      </w:r>
      <w:r>
        <w:rPr>
          <w:rFonts w:hint="eastAsia" w:hAnsi="宋体"/>
          <w:b/>
          <w:color w:val="auto"/>
          <w:sz w:val="52"/>
          <w:szCs w:val="52"/>
          <w:highlight w:val="none"/>
        </w:rPr>
        <w:t>政府采购合同</w:t>
      </w:r>
    </w:p>
    <w:p>
      <w:pPr>
        <w:pStyle w:val="22"/>
        <w:rPr>
          <w:rFonts w:hAnsi="宋体"/>
          <w:color w:val="auto"/>
          <w:highlight w:val="none"/>
        </w:rPr>
      </w:pPr>
    </w:p>
    <w:p>
      <w:pPr>
        <w:pStyle w:val="22"/>
        <w:rPr>
          <w:rFonts w:hAnsi="宋体"/>
          <w:color w:val="auto"/>
          <w:highlight w:val="none"/>
        </w:rPr>
      </w:pPr>
    </w:p>
    <w:p>
      <w:pPr>
        <w:pStyle w:val="22"/>
        <w:rPr>
          <w:rFonts w:hAnsi="宋体"/>
          <w:color w:val="auto"/>
          <w:highlight w:val="none"/>
        </w:rPr>
      </w:pPr>
    </w:p>
    <w:p>
      <w:pPr>
        <w:pStyle w:val="22"/>
        <w:ind w:firstLine="1590" w:firstLineChars="495"/>
        <w:rPr>
          <w:rFonts w:hAnsi="宋体"/>
          <w:b/>
          <w:color w:val="auto"/>
          <w:sz w:val="32"/>
          <w:szCs w:val="32"/>
          <w:highlight w:val="none"/>
          <w:u w:val="single"/>
        </w:rPr>
      </w:pPr>
      <w:r>
        <w:rPr>
          <w:rFonts w:hint="eastAsia" w:hAnsi="宋体"/>
          <w:b/>
          <w:color w:val="auto"/>
          <w:sz w:val="32"/>
          <w:szCs w:val="32"/>
          <w:highlight w:val="none"/>
        </w:rPr>
        <w:t>合同名称：</w:t>
      </w:r>
      <w:r>
        <w:rPr>
          <w:rFonts w:hint="eastAsia" w:hAnsi="宋体"/>
          <w:b/>
          <w:color w:val="auto"/>
          <w:sz w:val="32"/>
          <w:szCs w:val="32"/>
          <w:highlight w:val="none"/>
          <w:u w:val="single"/>
        </w:rPr>
        <w:t xml:space="preserve">                            </w:t>
      </w:r>
    </w:p>
    <w:p>
      <w:pPr>
        <w:pStyle w:val="22"/>
        <w:ind w:firstLine="1590" w:firstLineChars="495"/>
        <w:rPr>
          <w:rFonts w:hAnsi="宋体"/>
          <w:b/>
          <w:color w:val="auto"/>
          <w:sz w:val="32"/>
          <w:szCs w:val="32"/>
          <w:highlight w:val="none"/>
        </w:rPr>
      </w:pPr>
    </w:p>
    <w:p>
      <w:pPr>
        <w:pStyle w:val="22"/>
        <w:ind w:firstLine="1590" w:firstLineChars="495"/>
        <w:rPr>
          <w:rFonts w:hAnsi="宋体"/>
          <w:b/>
          <w:color w:val="auto"/>
          <w:sz w:val="32"/>
          <w:szCs w:val="32"/>
          <w:highlight w:val="none"/>
          <w:u w:val="single"/>
        </w:rPr>
      </w:pPr>
      <w:r>
        <w:rPr>
          <w:rFonts w:hint="eastAsia" w:hAnsi="宋体"/>
          <w:b/>
          <w:color w:val="auto"/>
          <w:sz w:val="32"/>
          <w:szCs w:val="32"/>
          <w:highlight w:val="none"/>
        </w:rPr>
        <w:t>合同编号：</w:t>
      </w:r>
      <w:r>
        <w:rPr>
          <w:rFonts w:hint="eastAsia" w:hAnsi="宋体"/>
          <w:b/>
          <w:color w:val="auto"/>
          <w:sz w:val="32"/>
          <w:szCs w:val="32"/>
          <w:highlight w:val="none"/>
          <w:u w:val="single"/>
        </w:rPr>
        <w:t xml:space="preserve">                            </w:t>
      </w:r>
    </w:p>
    <w:p>
      <w:pPr>
        <w:pStyle w:val="22"/>
        <w:jc w:val="center"/>
        <w:rPr>
          <w:rFonts w:hAnsi="宋体"/>
          <w:color w:val="auto"/>
          <w:highlight w:val="none"/>
        </w:rPr>
      </w:pPr>
    </w:p>
    <w:p>
      <w:pPr>
        <w:pStyle w:val="22"/>
        <w:jc w:val="center"/>
        <w:rPr>
          <w:rFonts w:hAnsi="宋体"/>
          <w:color w:val="auto"/>
          <w:highlight w:val="none"/>
        </w:rPr>
      </w:pPr>
    </w:p>
    <w:p>
      <w:pPr>
        <w:pStyle w:val="22"/>
        <w:jc w:val="center"/>
        <w:rPr>
          <w:rFonts w:hAnsi="宋体"/>
          <w:color w:val="auto"/>
          <w:highlight w:val="none"/>
        </w:rPr>
      </w:pPr>
    </w:p>
    <w:p>
      <w:pPr>
        <w:pStyle w:val="22"/>
        <w:spacing w:line="340" w:lineRule="exact"/>
        <w:ind w:firstLine="1590" w:firstLineChars="495"/>
        <w:rPr>
          <w:rFonts w:hAnsi="宋体"/>
          <w:b/>
          <w:color w:val="auto"/>
          <w:sz w:val="32"/>
          <w:szCs w:val="32"/>
          <w:highlight w:val="none"/>
        </w:rPr>
      </w:pPr>
      <w:r>
        <w:rPr>
          <w:rFonts w:hint="eastAsia" w:hAnsi="宋体"/>
          <w:b/>
          <w:color w:val="auto"/>
          <w:sz w:val="32"/>
          <w:szCs w:val="32"/>
          <w:highlight w:val="none"/>
        </w:rPr>
        <w:t>采购单位（甲方）</w:t>
      </w:r>
      <w:r>
        <w:rPr>
          <w:rFonts w:hint="eastAsia" w:hAnsi="宋体"/>
          <w:b/>
          <w:color w:val="auto"/>
          <w:sz w:val="32"/>
          <w:szCs w:val="32"/>
          <w:highlight w:val="none"/>
          <w:u w:val="single"/>
        </w:rPr>
        <w:t xml:space="preserve">                      </w:t>
      </w:r>
    </w:p>
    <w:p>
      <w:pPr>
        <w:pStyle w:val="22"/>
        <w:spacing w:line="340" w:lineRule="exact"/>
        <w:ind w:firstLine="1590" w:firstLineChars="495"/>
        <w:rPr>
          <w:rFonts w:hAnsi="宋体"/>
          <w:b/>
          <w:color w:val="auto"/>
          <w:sz w:val="32"/>
          <w:szCs w:val="32"/>
          <w:highlight w:val="none"/>
        </w:rPr>
      </w:pPr>
    </w:p>
    <w:p>
      <w:pPr>
        <w:pStyle w:val="22"/>
        <w:spacing w:line="340" w:lineRule="exact"/>
        <w:ind w:firstLine="1590" w:firstLineChars="495"/>
        <w:rPr>
          <w:rFonts w:hAnsi="宋体"/>
          <w:b/>
          <w:color w:val="auto"/>
          <w:sz w:val="32"/>
          <w:szCs w:val="32"/>
          <w:highlight w:val="none"/>
        </w:rPr>
      </w:pPr>
      <w:r>
        <w:rPr>
          <w:rFonts w:hint="eastAsia" w:hAnsi="宋体"/>
          <w:b/>
          <w:color w:val="auto"/>
          <w:sz w:val="32"/>
          <w:szCs w:val="32"/>
          <w:highlight w:val="none"/>
        </w:rPr>
        <w:t>供 应 商（乙方）</w:t>
      </w:r>
      <w:r>
        <w:rPr>
          <w:rFonts w:hint="eastAsia" w:hAnsi="宋体"/>
          <w:b/>
          <w:color w:val="auto"/>
          <w:sz w:val="32"/>
          <w:szCs w:val="32"/>
          <w:highlight w:val="none"/>
          <w:u w:val="single"/>
        </w:rPr>
        <w:t xml:space="preserve">                      </w:t>
      </w:r>
    </w:p>
    <w:p>
      <w:pPr>
        <w:pStyle w:val="22"/>
        <w:jc w:val="center"/>
        <w:rPr>
          <w:rFonts w:hAnsi="宋体"/>
          <w:color w:val="auto"/>
          <w:highlight w:val="none"/>
        </w:rPr>
      </w:pPr>
      <w:r>
        <w:rPr>
          <w:rFonts w:hint="eastAsia" w:hAnsi="宋体"/>
          <w:color w:val="auto"/>
          <w:highlight w:val="none"/>
        </w:rPr>
        <w:t xml:space="preserve"> </w:t>
      </w:r>
    </w:p>
    <w:p>
      <w:pPr>
        <w:pStyle w:val="22"/>
        <w:jc w:val="center"/>
        <w:rPr>
          <w:rFonts w:hAnsi="宋体"/>
          <w:color w:val="auto"/>
          <w:highlight w:val="none"/>
        </w:rPr>
      </w:pPr>
    </w:p>
    <w:p>
      <w:pPr>
        <w:pStyle w:val="22"/>
        <w:jc w:val="center"/>
        <w:rPr>
          <w:rFonts w:hAnsi="宋体"/>
          <w:color w:val="auto"/>
          <w:highlight w:val="none"/>
        </w:rPr>
      </w:pPr>
    </w:p>
    <w:p>
      <w:pPr>
        <w:pStyle w:val="22"/>
        <w:jc w:val="center"/>
        <w:rPr>
          <w:rFonts w:hAnsi="宋体"/>
          <w:color w:val="auto"/>
          <w:highlight w:val="none"/>
        </w:rPr>
      </w:pPr>
    </w:p>
    <w:p>
      <w:pPr>
        <w:pStyle w:val="22"/>
        <w:ind w:firstLine="1590" w:firstLineChars="495"/>
        <w:rPr>
          <w:rFonts w:hAnsi="宋体"/>
          <w:b/>
          <w:color w:val="auto"/>
          <w:sz w:val="32"/>
          <w:szCs w:val="32"/>
          <w:highlight w:val="none"/>
          <w:u w:val="single"/>
        </w:rPr>
      </w:pPr>
      <w:r>
        <w:rPr>
          <w:rFonts w:hint="eastAsia" w:hAnsi="宋体"/>
          <w:b/>
          <w:color w:val="auto"/>
          <w:sz w:val="32"/>
          <w:szCs w:val="32"/>
          <w:highlight w:val="none"/>
        </w:rPr>
        <w:t>签订合同地点：</w:t>
      </w:r>
      <w:r>
        <w:rPr>
          <w:rFonts w:hint="eastAsia" w:hAnsi="宋体"/>
          <w:b/>
          <w:color w:val="auto"/>
          <w:sz w:val="32"/>
          <w:szCs w:val="32"/>
          <w:highlight w:val="none"/>
          <w:u w:val="single"/>
        </w:rPr>
        <w:t xml:space="preserve">                       </w:t>
      </w:r>
    </w:p>
    <w:p>
      <w:pPr>
        <w:pStyle w:val="22"/>
        <w:ind w:firstLine="1590" w:firstLineChars="495"/>
        <w:rPr>
          <w:rFonts w:hAnsi="宋体"/>
          <w:b/>
          <w:color w:val="auto"/>
          <w:sz w:val="32"/>
          <w:szCs w:val="32"/>
          <w:highlight w:val="none"/>
        </w:rPr>
      </w:pPr>
    </w:p>
    <w:p>
      <w:pPr>
        <w:pStyle w:val="22"/>
        <w:ind w:firstLine="1590" w:firstLineChars="495"/>
        <w:rPr>
          <w:rFonts w:hAnsi="宋体"/>
          <w:b/>
          <w:color w:val="auto"/>
          <w:sz w:val="32"/>
          <w:szCs w:val="32"/>
          <w:highlight w:val="none"/>
        </w:rPr>
      </w:pPr>
      <w:r>
        <w:rPr>
          <w:rFonts w:hint="eastAsia" w:hAnsi="宋体"/>
          <w:b/>
          <w:color w:val="auto"/>
          <w:sz w:val="32"/>
          <w:szCs w:val="32"/>
          <w:highlight w:val="none"/>
        </w:rPr>
        <w:t>签订合同时间：</w:t>
      </w:r>
      <w:r>
        <w:rPr>
          <w:rFonts w:hint="eastAsia" w:hAnsi="宋体"/>
          <w:b/>
          <w:color w:val="auto"/>
          <w:sz w:val="32"/>
          <w:szCs w:val="32"/>
          <w:highlight w:val="none"/>
          <w:u w:val="single"/>
        </w:rPr>
        <w:t xml:space="preserve">                       </w:t>
      </w:r>
    </w:p>
    <w:p>
      <w:pPr>
        <w:pStyle w:val="22"/>
        <w:jc w:val="center"/>
        <w:rPr>
          <w:rFonts w:hAnsi="宋体"/>
          <w:color w:val="auto"/>
          <w:highlight w:val="none"/>
        </w:rPr>
      </w:pPr>
    </w:p>
    <w:p>
      <w:pPr>
        <w:pStyle w:val="22"/>
        <w:rPr>
          <w:rFonts w:hAnsi="宋体"/>
          <w:color w:val="auto"/>
          <w:highlight w:val="none"/>
        </w:rPr>
      </w:pPr>
      <w:r>
        <w:rPr>
          <w:rFonts w:hint="eastAsia" w:hAnsi="宋体"/>
          <w:color w:val="auto"/>
          <w:highlight w:val="none"/>
        </w:rPr>
        <w:t xml:space="preserve">   </w:t>
      </w:r>
    </w:p>
    <w:p>
      <w:pPr>
        <w:rPr>
          <w:b/>
          <w:color w:val="auto"/>
          <w:sz w:val="30"/>
          <w:szCs w:val="30"/>
          <w:highlight w:val="none"/>
        </w:rPr>
      </w:pPr>
      <w:r>
        <w:rPr>
          <w:rFonts w:ascii="黑体" w:hAnsi="宋体" w:eastAsia="黑体"/>
          <w:b/>
          <w:color w:val="auto"/>
          <w:sz w:val="44"/>
          <w:szCs w:val="44"/>
          <w:highlight w:val="none"/>
        </w:rPr>
        <w:br w:type="page"/>
      </w:r>
      <w:r>
        <w:rPr>
          <w:rFonts w:hint="eastAsia"/>
          <w:b/>
          <w:color w:val="auto"/>
          <w:sz w:val="30"/>
          <w:szCs w:val="30"/>
          <w:highlight w:val="none"/>
        </w:rPr>
        <w:t>南宁市政府采购合同书</w:t>
      </w:r>
    </w:p>
    <w:p>
      <w:pPr>
        <w:rPr>
          <w:b/>
          <w:color w:val="auto"/>
          <w:sz w:val="30"/>
          <w:szCs w:val="30"/>
          <w:highlight w:val="none"/>
        </w:rPr>
      </w:pPr>
      <w:r>
        <w:rPr>
          <w:rFonts w:hint="eastAsia"/>
          <w:color w:val="auto"/>
          <w:sz w:val="30"/>
          <w:szCs w:val="30"/>
          <w:highlight w:val="none"/>
        </w:rPr>
        <w:t>二、补充协议（如有请提供）</w:t>
      </w:r>
    </w:p>
    <w:p>
      <w:pPr>
        <w:rPr>
          <w:b/>
          <w:color w:val="auto"/>
          <w:sz w:val="30"/>
          <w:szCs w:val="30"/>
          <w:highlight w:val="none"/>
        </w:rPr>
      </w:pPr>
      <w:r>
        <w:rPr>
          <w:rFonts w:hint="eastAsia"/>
          <w:b/>
          <w:color w:val="auto"/>
          <w:sz w:val="30"/>
          <w:szCs w:val="30"/>
          <w:highlight w:val="none"/>
        </w:rPr>
        <w:t>三、合同附件</w:t>
      </w:r>
    </w:p>
    <w:p>
      <w:pPr>
        <w:rPr>
          <w:rFonts w:ascii="宋体" w:hAnsi="宋体"/>
          <w:color w:val="auto"/>
          <w:sz w:val="32"/>
          <w:szCs w:val="32"/>
          <w:highlight w:val="none"/>
        </w:rPr>
      </w:pPr>
      <w:r>
        <w:rPr>
          <w:rFonts w:hint="eastAsia" w:ascii="宋体" w:hAnsi="宋体"/>
          <w:color w:val="auto"/>
          <w:sz w:val="32"/>
          <w:szCs w:val="32"/>
          <w:highlight w:val="none"/>
        </w:rPr>
        <w:t>1、中标通知书</w:t>
      </w:r>
    </w:p>
    <w:p>
      <w:pPr>
        <w:rPr>
          <w:rFonts w:ascii="宋体" w:hAnsi="宋体"/>
          <w:color w:val="auto"/>
          <w:sz w:val="32"/>
          <w:szCs w:val="32"/>
          <w:highlight w:val="none"/>
        </w:rPr>
      </w:pPr>
      <w:r>
        <w:rPr>
          <w:rFonts w:hint="eastAsia" w:ascii="宋体" w:hAnsi="宋体"/>
          <w:color w:val="auto"/>
          <w:sz w:val="32"/>
          <w:szCs w:val="32"/>
          <w:highlight w:val="none"/>
        </w:rPr>
        <w:t>2、招标文件服务需求一览表</w:t>
      </w:r>
    </w:p>
    <w:p>
      <w:pPr>
        <w:rPr>
          <w:rFonts w:ascii="宋体" w:hAnsi="宋体"/>
          <w:color w:val="auto"/>
          <w:sz w:val="32"/>
          <w:szCs w:val="32"/>
          <w:highlight w:val="none"/>
        </w:rPr>
      </w:pPr>
      <w:r>
        <w:rPr>
          <w:rFonts w:hint="eastAsia" w:ascii="宋体" w:hAnsi="宋体"/>
          <w:color w:val="auto"/>
          <w:sz w:val="32"/>
          <w:szCs w:val="32"/>
          <w:highlight w:val="none"/>
        </w:rPr>
        <w:t>3、招标文件的更改通知（如有）</w:t>
      </w:r>
    </w:p>
    <w:p>
      <w:pPr>
        <w:rPr>
          <w:rFonts w:ascii="宋体" w:hAnsi="宋体"/>
          <w:color w:val="auto"/>
          <w:sz w:val="32"/>
          <w:szCs w:val="32"/>
          <w:highlight w:val="none"/>
        </w:rPr>
      </w:pPr>
      <w:r>
        <w:rPr>
          <w:rFonts w:hint="eastAsia" w:ascii="宋体" w:hAnsi="宋体"/>
          <w:color w:val="auto"/>
          <w:sz w:val="32"/>
          <w:szCs w:val="32"/>
          <w:highlight w:val="none"/>
        </w:rPr>
        <w:t>4、投标函</w:t>
      </w:r>
    </w:p>
    <w:p>
      <w:pPr>
        <w:rPr>
          <w:rFonts w:ascii="宋体" w:hAnsi="宋体"/>
          <w:color w:val="auto"/>
          <w:sz w:val="32"/>
          <w:szCs w:val="32"/>
          <w:highlight w:val="none"/>
        </w:rPr>
      </w:pPr>
      <w:r>
        <w:rPr>
          <w:rFonts w:hint="eastAsia" w:ascii="宋体" w:hAnsi="宋体"/>
          <w:color w:val="auto"/>
          <w:sz w:val="32"/>
          <w:szCs w:val="32"/>
          <w:highlight w:val="none"/>
        </w:rPr>
        <w:t>5、报价表</w:t>
      </w:r>
    </w:p>
    <w:p>
      <w:pPr>
        <w:rPr>
          <w:rFonts w:ascii="宋体" w:hAnsi="宋体"/>
          <w:color w:val="auto"/>
          <w:sz w:val="32"/>
          <w:szCs w:val="32"/>
          <w:highlight w:val="none"/>
        </w:rPr>
      </w:pPr>
      <w:r>
        <w:rPr>
          <w:rFonts w:hint="eastAsia" w:ascii="宋体" w:hAnsi="宋体"/>
          <w:color w:val="auto"/>
          <w:sz w:val="32"/>
          <w:szCs w:val="32"/>
          <w:highlight w:val="none"/>
        </w:rPr>
        <w:t>6、投标服务技术资料表</w:t>
      </w:r>
    </w:p>
    <w:p>
      <w:pPr>
        <w:rPr>
          <w:rFonts w:ascii="宋体" w:hAnsi="宋体"/>
          <w:color w:val="auto"/>
          <w:sz w:val="32"/>
          <w:szCs w:val="32"/>
          <w:highlight w:val="none"/>
        </w:rPr>
      </w:pPr>
      <w:r>
        <w:rPr>
          <w:rFonts w:hint="eastAsia" w:ascii="宋体" w:hAnsi="宋体"/>
          <w:color w:val="auto"/>
          <w:sz w:val="32"/>
          <w:szCs w:val="32"/>
          <w:highlight w:val="none"/>
        </w:rPr>
        <w:t>7、商务条款偏离表</w:t>
      </w:r>
    </w:p>
    <w:p>
      <w:pPr>
        <w:rPr>
          <w:rFonts w:ascii="宋体" w:hAnsi="宋体"/>
          <w:color w:val="auto"/>
          <w:sz w:val="32"/>
          <w:szCs w:val="32"/>
          <w:highlight w:val="none"/>
        </w:rPr>
      </w:pPr>
      <w:r>
        <w:rPr>
          <w:rFonts w:hint="eastAsia" w:ascii="宋体" w:hAnsi="宋体"/>
          <w:color w:val="auto"/>
          <w:sz w:val="32"/>
          <w:szCs w:val="32"/>
          <w:highlight w:val="none"/>
        </w:rPr>
        <w:t>8、中标供应商澄清函（如有请提供）</w:t>
      </w:r>
    </w:p>
    <w:p>
      <w:pPr>
        <w:rPr>
          <w:rFonts w:ascii="宋体" w:hAnsi="宋体"/>
          <w:b/>
          <w:bCs/>
          <w:color w:val="auto"/>
          <w:sz w:val="32"/>
          <w:szCs w:val="32"/>
          <w:highlight w:val="none"/>
        </w:rPr>
      </w:pPr>
      <w:r>
        <w:rPr>
          <w:rFonts w:hint="eastAsia" w:ascii="宋体" w:hAnsi="宋体"/>
          <w:color w:val="auto"/>
          <w:sz w:val="32"/>
          <w:szCs w:val="32"/>
          <w:highlight w:val="none"/>
        </w:rPr>
        <w:t>9、其他与本合同相关的资料（如有请提供）</w:t>
      </w:r>
      <w:r>
        <w:rPr>
          <w:rFonts w:hint="eastAsia" w:ascii="宋体" w:hAnsi="宋体"/>
          <w:b/>
          <w:bCs/>
          <w:color w:val="auto"/>
          <w:sz w:val="32"/>
          <w:szCs w:val="32"/>
          <w:highlight w:val="none"/>
        </w:rPr>
        <w:br w:type="page"/>
      </w:r>
    </w:p>
    <w:p>
      <w:pPr>
        <w:spacing w:line="360" w:lineRule="auto"/>
        <w:jc w:val="center"/>
        <w:rPr>
          <w:rFonts w:ascii="宋体" w:hAnsi="宋体"/>
          <w:b/>
          <w:bCs/>
          <w:color w:val="auto"/>
          <w:sz w:val="30"/>
          <w:szCs w:val="30"/>
          <w:highlight w:val="none"/>
        </w:rPr>
      </w:pPr>
      <w:r>
        <w:rPr>
          <w:rFonts w:hint="eastAsia"/>
          <w:b/>
          <w:color w:val="auto"/>
          <w:sz w:val="30"/>
          <w:szCs w:val="30"/>
          <w:highlight w:val="none"/>
        </w:rPr>
        <w:t>南宁市政府采购合同书</w:t>
      </w:r>
    </w:p>
    <w:p>
      <w:pPr>
        <w:pStyle w:val="22"/>
        <w:spacing w:line="360" w:lineRule="auto"/>
        <w:rPr>
          <w:rFonts w:hAnsi="宋体"/>
          <w:color w:val="auto"/>
          <w:highlight w:val="none"/>
        </w:rPr>
      </w:pPr>
    </w:p>
    <w:p>
      <w:pPr>
        <w:pStyle w:val="22"/>
        <w:spacing w:line="360" w:lineRule="auto"/>
        <w:rPr>
          <w:rFonts w:hAnsi="宋体"/>
          <w:color w:val="auto"/>
          <w:highlight w:val="none"/>
        </w:rPr>
      </w:pPr>
      <w:r>
        <w:rPr>
          <w:rFonts w:hint="eastAsia" w:hAnsi="宋体"/>
          <w:color w:val="auto"/>
          <w:highlight w:val="none"/>
        </w:rPr>
        <w:t>项目名称：</w:t>
      </w:r>
      <w:r>
        <w:rPr>
          <w:rFonts w:hint="eastAsia" w:hAnsi="宋体"/>
          <w:color w:val="auto"/>
          <w:highlight w:val="none"/>
          <w:u w:val="single"/>
        </w:rPr>
        <w:t xml:space="preserve">                                        </w:t>
      </w:r>
    </w:p>
    <w:p>
      <w:pPr>
        <w:pStyle w:val="22"/>
        <w:spacing w:line="360" w:lineRule="auto"/>
        <w:rPr>
          <w:rFonts w:hAnsi="宋体"/>
          <w:color w:val="auto"/>
          <w:highlight w:val="none"/>
        </w:rPr>
      </w:pPr>
      <w:r>
        <w:rPr>
          <w:rFonts w:hint="eastAsia" w:hAnsi="宋体"/>
          <w:color w:val="auto"/>
          <w:highlight w:val="none"/>
        </w:rPr>
        <w:t>项目编号：</w:t>
      </w:r>
      <w:r>
        <w:rPr>
          <w:rFonts w:hint="eastAsia" w:hAnsi="宋体"/>
          <w:color w:val="auto"/>
          <w:highlight w:val="none"/>
          <w:u w:val="single"/>
        </w:rPr>
        <w:t xml:space="preserve">                                        </w:t>
      </w:r>
    </w:p>
    <w:p>
      <w:pPr>
        <w:pStyle w:val="22"/>
        <w:spacing w:line="360" w:lineRule="auto"/>
        <w:rPr>
          <w:rFonts w:hAnsi="宋体"/>
          <w:color w:val="auto"/>
          <w:highlight w:val="none"/>
        </w:rPr>
      </w:pPr>
      <w:r>
        <w:rPr>
          <w:rFonts w:hint="eastAsia" w:hAnsi="宋体"/>
          <w:color w:val="auto"/>
          <w:highlight w:val="none"/>
        </w:rPr>
        <w:t>分标号（有分标时填写）：</w:t>
      </w:r>
      <w:r>
        <w:rPr>
          <w:rFonts w:hint="eastAsia" w:hAnsi="宋体"/>
          <w:color w:val="auto"/>
          <w:highlight w:val="none"/>
          <w:u w:val="single"/>
        </w:rPr>
        <w:t xml:space="preserve">                           </w:t>
      </w:r>
    </w:p>
    <w:p>
      <w:pPr>
        <w:pStyle w:val="22"/>
        <w:spacing w:line="360" w:lineRule="auto"/>
        <w:rPr>
          <w:rFonts w:hAnsi="宋体"/>
          <w:color w:val="auto"/>
          <w:highlight w:val="none"/>
        </w:rPr>
      </w:pPr>
    </w:p>
    <w:p>
      <w:pPr>
        <w:pStyle w:val="22"/>
        <w:spacing w:line="360" w:lineRule="auto"/>
        <w:rPr>
          <w:rFonts w:hAnsi="宋体"/>
          <w:color w:val="auto"/>
          <w:highlight w:val="none"/>
        </w:rPr>
      </w:pPr>
      <w:r>
        <w:rPr>
          <w:rFonts w:hint="eastAsia" w:hAnsi="宋体"/>
          <w:color w:val="auto"/>
          <w:highlight w:val="none"/>
        </w:rPr>
        <w:t>甲方（买方）：</w:t>
      </w:r>
      <w:r>
        <w:rPr>
          <w:rFonts w:hint="eastAsia" w:hAnsi="宋体"/>
          <w:color w:val="auto"/>
          <w:highlight w:val="none"/>
          <w:u w:val="single"/>
        </w:rPr>
        <w:t xml:space="preserve">                                     </w:t>
      </w:r>
    </w:p>
    <w:p>
      <w:pPr>
        <w:pStyle w:val="22"/>
        <w:spacing w:line="360" w:lineRule="auto"/>
        <w:rPr>
          <w:rFonts w:hAnsi="宋体"/>
          <w:color w:val="auto"/>
          <w:highlight w:val="none"/>
        </w:rPr>
      </w:pPr>
      <w:r>
        <w:rPr>
          <w:rFonts w:hint="eastAsia" w:hAnsi="宋体"/>
          <w:color w:val="auto"/>
          <w:highlight w:val="none"/>
        </w:rPr>
        <w:t>乙方（卖方）：</w:t>
      </w:r>
      <w:r>
        <w:rPr>
          <w:rFonts w:hint="eastAsia" w:hAnsi="宋体"/>
          <w:color w:val="auto"/>
          <w:highlight w:val="none"/>
          <w:u w:val="single"/>
        </w:rPr>
        <w:t xml:space="preserve">                                     </w:t>
      </w:r>
    </w:p>
    <w:p>
      <w:pPr>
        <w:pStyle w:val="22"/>
        <w:spacing w:line="360" w:lineRule="auto"/>
        <w:rPr>
          <w:rFonts w:hAnsi="宋体"/>
          <w:b/>
          <w:color w:val="auto"/>
          <w:highlight w:val="none"/>
        </w:rPr>
      </w:pPr>
      <w:r>
        <w:rPr>
          <w:rFonts w:hint="eastAsia" w:hAnsi="宋体"/>
          <w:b/>
          <w:color w:val="auto"/>
          <w:highlight w:val="none"/>
        </w:rPr>
        <w:t xml:space="preserve">    </w:t>
      </w:r>
    </w:p>
    <w:p>
      <w:pPr>
        <w:pStyle w:val="22"/>
        <w:spacing w:line="360" w:lineRule="auto"/>
        <w:ind w:firstLine="420" w:firstLineChars="200"/>
        <w:rPr>
          <w:rFonts w:hAnsi="宋体"/>
          <w:b/>
          <w:color w:val="auto"/>
          <w:highlight w:val="none"/>
        </w:rPr>
      </w:pPr>
      <w:r>
        <w:rPr>
          <w:rFonts w:hint="eastAsia" w:hAnsi="宋体"/>
          <w:color w:val="auto"/>
          <w:highlight w:val="none"/>
        </w:rPr>
        <w:t>根据</w:t>
      </w: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日南宁市政府采购项目的采购结果，甲方接受乙方对本项目的投标，甲、乙双方同意签署本合同（以下简称合同）。</w:t>
      </w:r>
    </w:p>
    <w:p>
      <w:pPr>
        <w:pStyle w:val="22"/>
        <w:spacing w:line="360" w:lineRule="auto"/>
        <w:rPr>
          <w:rFonts w:hAnsi="宋体"/>
          <w:b/>
          <w:color w:val="auto"/>
          <w:highlight w:val="none"/>
        </w:rPr>
      </w:pPr>
    </w:p>
    <w:p>
      <w:pPr>
        <w:pStyle w:val="22"/>
        <w:spacing w:line="360" w:lineRule="auto"/>
        <w:rPr>
          <w:rFonts w:hAnsi="宋体"/>
          <w:b/>
          <w:bCs/>
          <w:color w:val="auto"/>
          <w:sz w:val="24"/>
          <w:highlight w:val="none"/>
        </w:rPr>
      </w:pPr>
      <w:r>
        <w:rPr>
          <w:rFonts w:hint="eastAsia" w:hAnsi="宋体"/>
          <w:b/>
          <w:bCs/>
          <w:color w:val="auto"/>
          <w:sz w:val="24"/>
          <w:highlight w:val="none"/>
        </w:rPr>
        <w:t>1.  采购内容</w:t>
      </w:r>
    </w:p>
    <w:p>
      <w:pPr>
        <w:pStyle w:val="22"/>
        <w:tabs>
          <w:tab w:val="left" w:pos="5220"/>
        </w:tabs>
        <w:spacing w:line="360" w:lineRule="auto"/>
        <w:ind w:firstLine="420" w:firstLineChars="200"/>
        <w:rPr>
          <w:rFonts w:hAnsi="宋体"/>
          <w:color w:val="auto"/>
          <w:highlight w:val="none"/>
          <w:u w:val="single"/>
        </w:rPr>
      </w:pPr>
      <w:r>
        <w:rPr>
          <w:rFonts w:hint="eastAsia" w:hAnsi="宋体"/>
          <w:color w:val="auto"/>
          <w:highlight w:val="none"/>
        </w:rPr>
        <w:t>1.1 服务名称：</w:t>
      </w:r>
      <w:r>
        <w:rPr>
          <w:rFonts w:hint="eastAsia" w:hAnsi="宋体"/>
          <w:color w:val="auto"/>
          <w:highlight w:val="none"/>
          <w:u w:val="single"/>
        </w:rPr>
        <w:t>详见合同附件中报价表</w:t>
      </w:r>
    </w:p>
    <w:p>
      <w:pPr>
        <w:pStyle w:val="22"/>
        <w:tabs>
          <w:tab w:val="left" w:pos="5220"/>
        </w:tabs>
        <w:spacing w:line="360" w:lineRule="auto"/>
        <w:ind w:firstLine="420" w:firstLineChars="200"/>
        <w:rPr>
          <w:rFonts w:hAnsi="宋体"/>
          <w:color w:val="auto"/>
          <w:highlight w:val="none"/>
        </w:rPr>
      </w:pPr>
      <w:r>
        <w:rPr>
          <w:rFonts w:hint="eastAsia" w:hAnsi="宋体"/>
          <w:color w:val="auto"/>
          <w:highlight w:val="none"/>
        </w:rPr>
        <w:t>1.2 数量：</w:t>
      </w:r>
      <w:r>
        <w:rPr>
          <w:rFonts w:hint="eastAsia" w:hAnsi="宋体"/>
          <w:color w:val="auto"/>
          <w:highlight w:val="none"/>
          <w:u w:val="single"/>
        </w:rPr>
        <w:t>详见合同附件中报价表</w:t>
      </w:r>
    </w:p>
    <w:p>
      <w:pPr>
        <w:pStyle w:val="22"/>
        <w:tabs>
          <w:tab w:val="left" w:pos="5220"/>
        </w:tabs>
        <w:spacing w:line="360" w:lineRule="auto"/>
        <w:ind w:firstLine="420" w:firstLineChars="200"/>
        <w:rPr>
          <w:rFonts w:hAnsi="宋体"/>
          <w:color w:val="auto"/>
          <w:highlight w:val="none"/>
        </w:rPr>
      </w:pPr>
      <w:r>
        <w:rPr>
          <w:rFonts w:hint="eastAsia" w:hAnsi="宋体"/>
          <w:color w:val="auto"/>
          <w:highlight w:val="none"/>
        </w:rPr>
        <w:t xml:space="preserve">1.2 </w:t>
      </w:r>
      <w:r>
        <w:rPr>
          <w:rFonts w:hint="eastAsia"/>
          <w:color w:val="auto"/>
          <w:highlight w:val="none"/>
        </w:rPr>
        <w:t>服务内容及要求</w:t>
      </w:r>
      <w:r>
        <w:rPr>
          <w:rFonts w:hint="eastAsia" w:ascii="Times New Roman" w:hAnsi="Times New Roman"/>
          <w:color w:val="auto"/>
          <w:highlight w:val="none"/>
        </w:rPr>
        <w:t>：</w:t>
      </w:r>
      <w:r>
        <w:rPr>
          <w:rFonts w:hint="eastAsia" w:hAnsi="宋体"/>
          <w:color w:val="auto"/>
          <w:highlight w:val="none"/>
          <w:u w:val="single"/>
        </w:rPr>
        <w:t>详见合同附件中投标服务技术资料表</w:t>
      </w:r>
    </w:p>
    <w:p>
      <w:pPr>
        <w:pStyle w:val="22"/>
        <w:tabs>
          <w:tab w:val="left" w:pos="5145"/>
        </w:tabs>
        <w:spacing w:line="360" w:lineRule="auto"/>
        <w:rPr>
          <w:rFonts w:hAnsi="宋体"/>
          <w:b/>
          <w:bCs/>
          <w:color w:val="auto"/>
          <w:sz w:val="24"/>
          <w:highlight w:val="none"/>
        </w:rPr>
      </w:pPr>
      <w:r>
        <w:rPr>
          <w:rFonts w:hint="eastAsia" w:hAnsi="宋体"/>
          <w:b/>
          <w:bCs/>
          <w:color w:val="auto"/>
          <w:sz w:val="24"/>
          <w:highlight w:val="none"/>
        </w:rPr>
        <w:t>2.  合同金额</w:t>
      </w:r>
    </w:p>
    <w:p>
      <w:pPr>
        <w:pStyle w:val="22"/>
        <w:spacing w:line="360" w:lineRule="auto"/>
        <w:ind w:firstLine="411" w:firstLineChars="196"/>
        <w:rPr>
          <w:rFonts w:hAnsi="宋体"/>
          <w:b/>
          <w:bCs/>
          <w:color w:val="auto"/>
          <w:sz w:val="24"/>
          <w:highlight w:val="none"/>
        </w:rPr>
      </w:pPr>
      <w:r>
        <w:rPr>
          <w:rFonts w:hint="eastAsia" w:hAnsi="宋体"/>
          <w:color w:val="auto"/>
          <w:highlight w:val="none"/>
        </w:rPr>
        <w:t>2.1 本合同金额为（大写）人民币</w:t>
      </w:r>
      <w:r>
        <w:rPr>
          <w:rFonts w:hint="eastAsia" w:hAnsi="宋体"/>
          <w:color w:val="auto"/>
          <w:highlight w:val="none"/>
          <w:u w:val="single"/>
        </w:rPr>
        <w:t xml:space="preserve">　　　　　　    </w:t>
      </w:r>
      <w:r>
        <w:rPr>
          <w:rFonts w:hint="eastAsia" w:hAnsi="宋体"/>
          <w:color w:val="auto"/>
          <w:highlight w:val="none"/>
        </w:rPr>
        <w:t>（￥</w:t>
      </w:r>
      <w:r>
        <w:rPr>
          <w:rFonts w:hint="eastAsia" w:hAnsi="宋体"/>
          <w:color w:val="auto"/>
          <w:highlight w:val="none"/>
          <w:u w:val="single"/>
        </w:rPr>
        <w:t xml:space="preserve">　　　　　　 </w:t>
      </w:r>
      <w:r>
        <w:rPr>
          <w:rFonts w:hint="eastAsia" w:hAnsi="宋体"/>
          <w:color w:val="auto"/>
          <w:highlight w:val="none"/>
        </w:rPr>
        <w:t>元）。（详见报价表）</w:t>
      </w:r>
    </w:p>
    <w:p>
      <w:pPr>
        <w:pStyle w:val="22"/>
        <w:tabs>
          <w:tab w:val="left" w:pos="5940"/>
        </w:tabs>
        <w:spacing w:line="360" w:lineRule="auto"/>
        <w:rPr>
          <w:rFonts w:hAnsi="宋体"/>
          <w:b/>
          <w:bCs/>
          <w:color w:val="auto"/>
          <w:sz w:val="24"/>
          <w:highlight w:val="none"/>
        </w:rPr>
      </w:pPr>
      <w:r>
        <w:rPr>
          <w:rFonts w:hint="eastAsia" w:hAnsi="宋体"/>
          <w:b/>
          <w:bCs/>
          <w:color w:val="auto"/>
          <w:sz w:val="24"/>
          <w:highlight w:val="none"/>
        </w:rPr>
        <w:t>3.  提交服务成果时间和地点</w:t>
      </w:r>
    </w:p>
    <w:p>
      <w:pPr>
        <w:pStyle w:val="22"/>
        <w:tabs>
          <w:tab w:val="left" w:pos="5250"/>
          <w:tab w:val="left" w:pos="5940"/>
        </w:tabs>
        <w:spacing w:line="360" w:lineRule="auto"/>
        <w:ind w:firstLine="411" w:firstLineChars="196"/>
        <w:rPr>
          <w:rFonts w:hAnsi="宋体"/>
          <w:b/>
          <w:bCs/>
          <w:color w:val="auto"/>
          <w:sz w:val="24"/>
          <w:highlight w:val="none"/>
        </w:rPr>
      </w:pPr>
      <w:r>
        <w:rPr>
          <w:rFonts w:hint="eastAsia" w:hAnsi="宋体"/>
          <w:bCs/>
          <w:color w:val="auto"/>
          <w:highlight w:val="none"/>
        </w:rPr>
        <w:t xml:space="preserve">3.1 </w:t>
      </w:r>
      <w:r>
        <w:rPr>
          <w:rFonts w:hint="eastAsia"/>
          <w:bCs/>
          <w:color w:val="auto"/>
          <w:highlight w:val="none"/>
        </w:rPr>
        <w:t>提交服务成果时间</w:t>
      </w:r>
      <w:r>
        <w:rPr>
          <w:rFonts w:hint="eastAsia" w:hAnsi="宋体"/>
          <w:bCs/>
          <w:color w:val="auto"/>
          <w:highlight w:val="none"/>
        </w:rPr>
        <w:t>：</w:t>
      </w:r>
      <w:r>
        <w:rPr>
          <w:rFonts w:hint="eastAsia" w:hAnsi="宋体"/>
          <w:color w:val="auto"/>
          <w:highlight w:val="none"/>
          <w:u w:val="single"/>
        </w:rPr>
        <w:t xml:space="preserve">                        </w:t>
      </w:r>
    </w:p>
    <w:p>
      <w:pPr>
        <w:pStyle w:val="22"/>
        <w:tabs>
          <w:tab w:val="left" w:pos="5940"/>
        </w:tabs>
        <w:spacing w:line="360" w:lineRule="auto"/>
        <w:ind w:firstLine="411" w:firstLineChars="196"/>
        <w:rPr>
          <w:rFonts w:hAnsi="宋体"/>
          <w:b/>
          <w:bCs/>
          <w:color w:val="auto"/>
          <w:sz w:val="24"/>
          <w:highlight w:val="none"/>
        </w:rPr>
      </w:pPr>
      <w:r>
        <w:rPr>
          <w:rFonts w:hint="eastAsia" w:hAnsi="宋体"/>
          <w:bCs/>
          <w:color w:val="auto"/>
          <w:highlight w:val="none"/>
        </w:rPr>
        <w:t xml:space="preserve">3.2 </w:t>
      </w:r>
      <w:r>
        <w:rPr>
          <w:rFonts w:hint="eastAsia"/>
          <w:bCs/>
          <w:color w:val="auto"/>
          <w:highlight w:val="none"/>
        </w:rPr>
        <w:t>提交服务成果</w:t>
      </w:r>
      <w:r>
        <w:rPr>
          <w:rFonts w:hint="eastAsia" w:hAnsi="宋体"/>
          <w:bCs/>
          <w:color w:val="auto"/>
          <w:highlight w:val="none"/>
        </w:rPr>
        <w:t>地点：</w:t>
      </w:r>
      <w:r>
        <w:rPr>
          <w:rFonts w:hint="eastAsia" w:hAnsi="宋体"/>
          <w:color w:val="auto"/>
          <w:highlight w:val="none"/>
          <w:u w:val="single"/>
        </w:rPr>
        <w:t xml:space="preserve">                        </w:t>
      </w:r>
    </w:p>
    <w:p>
      <w:pPr>
        <w:pStyle w:val="22"/>
        <w:tabs>
          <w:tab w:val="left" w:pos="5940"/>
        </w:tabs>
        <w:spacing w:line="360" w:lineRule="auto"/>
        <w:ind w:firstLine="411" w:firstLineChars="196"/>
        <w:rPr>
          <w:rFonts w:hAnsi="宋体"/>
          <w:b/>
          <w:bCs/>
          <w:color w:val="auto"/>
          <w:sz w:val="24"/>
          <w:highlight w:val="none"/>
        </w:rPr>
      </w:pPr>
      <w:r>
        <w:rPr>
          <w:rFonts w:hint="eastAsia" w:hAnsi="宋体"/>
          <w:bCs/>
          <w:color w:val="auto"/>
          <w:highlight w:val="none"/>
        </w:rPr>
        <w:t xml:space="preserve">3.3 </w:t>
      </w:r>
      <w:r>
        <w:rPr>
          <w:rFonts w:hint="eastAsia" w:hAnsi="宋体"/>
          <w:color w:val="auto"/>
          <w:highlight w:val="none"/>
        </w:rPr>
        <w:t>乙方必须按投标文件承诺的服务响应条款向甲方提供服务。</w:t>
      </w:r>
    </w:p>
    <w:p>
      <w:pPr>
        <w:pStyle w:val="22"/>
        <w:spacing w:line="360" w:lineRule="auto"/>
        <w:ind w:left="410" w:hanging="410" w:hangingChars="170"/>
        <w:rPr>
          <w:rFonts w:hAnsi="宋体"/>
          <w:b/>
          <w:color w:val="auto"/>
          <w:highlight w:val="none"/>
        </w:rPr>
      </w:pPr>
      <w:r>
        <w:rPr>
          <w:rFonts w:hint="eastAsia" w:hAnsi="宋体"/>
          <w:b/>
          <w:bCs/>
          <w:color w:val="auto"/>
          <w:sz w:val="24"/>
          <w:highlight w:val="none"/>
        </w:rPr>
        <w:t>4.  履约保证金</w:t>
      </w:r>
    </w:p>
    <w:p>
      <w:pPr>
        <w:pStyle w:val="22"/>
        <w:spacing w:line="360" w:lineRule="auto"/>
        <w:ind w:left="359" w:hanging="359" w:hangingChars="171"/>
        <w:rPr>
          <w:rFonts w:hAnsi="宋体"/>
          <w:color w:val="auto"/>
          <w:highlight w:val="none"/>
        </w:rPr>
      </w:pPr>
      <w:r>
        <w:rPr>
          <w:rFonts w:hint="eastAsia" w:hAnsi="宋体"/>
          <w:color w:val="auto"/>
          <w:highlight w:val="none"/>
        </w:rPr>
        <w:t>本项目无须交纳履约保证金。</w:t>
      </w:r>
    </w:p>
    <w:p>
      <w:pPr>
        <w:pStyle w:val="22"/>
        <w:spacing w:line="360" w:lineRule="auto"/>
        <w:ind w:left="412" w:hanging="412" w:hangingChars="171"/>
        <w:rPr>
          <w:rFonts w:hAnsi="宋体"/>
          <w:b/>
          <w:color w:val="auto"/>
          <w:highlight w:val="none"/>
        </w:rPr>
      </w:pPr>
      <w:r>
        <w:rPr>
          <w:rFonts w:hint="eastAsia" w:hAnsi="宋体"/>
          <w:b/>
          <w:bCs/>
          <w:color w:val="auto"/>
          <w:sz w:val="24"/>
          <w:highlight w:val="none"/>
        </w:rPr>
        <w:t>5.  产权</w:t>
      </w:r>
    </w:p>
    <w:p>
      <w:pPr>
        <w:pStyle w:val="22"/>
        <w:spacing w:line="360" w:lineRule="auto"/>
        <w:ind w:firstLine="420" w:firstLineChars="200"/>
        <w:rPr>
          <w:rFonts w:hAnsi="宋体"/>
          <w:b/>
          <w:color w:val="auto"/>
          <w:highlight w:val="none"/>
        </w:rPr>
      </w:pPr>
      <w:r>
        <w:rPr>
          <w:rFonts w:hint="eastAsia" w:hAnsi="宋体"/>
          <w:color w:val="auto"/>
          <w:highlight w:val="none"/>
        </w:rPr>
        <w:t xml:space="preserve">5.1 </w:t>
      </w:r>
      <w:r>
        <w:rPr>
          <w:rFonts w:hint="eastAsia" w:ascii="Times New Roman" w:hAnsi="Times New Roman"/>
          <w:color w:val="auto"/>
          <w:highlight w:val="none"/>
        </w:rPr>
        <w:t>乙方应保证所提供的服务或其任何一部分均不会侵犯任何第三方的专利权、商标权或著作权</w:t>
      </w:r>
      <w:r>
        <w:rPr>
          <w:rFonts w:hint="eastAsia" w:hAnsi="宋体"/>
          <w:bCs/>
          <w:color w:val="auto"/>
          <w:highlight w:val="none"/>
        </w:rPr>
        <w:t>。</w:t>
      </w:r>
    </w:p>
    <w:p>
      <w:pPr>
        <w:pStyle w:val="22"/>
        <w:spacing w:line="360" w:lineRule="auto"/>
        <w:ind w:firstLine="420" w:firstLineChars="200"/>
        <w:rPr>
          <w:rFonts w:hAnsi="宋体"/>
          <w:b/>
          <w:color w:val="auto"/>
          <w:highlight w:val="none"/>
        </w:rPr>
      </w:pPr>
      <w:r>
        <w:rPr>
          <w:rFonts w:hint="eastAsia" w:hAnsi="宋体"/>
          <w:color w:val="auto"/>
          <w:highlight w:val="none"/>
        </w:rPr>
        <w:t>5.2 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pPr>
        <w:pStyle w:val="22"/>
        <w:spacing w:line="360" w:lineRule="auto"/>
        <w:rPr>
          <w:rFonts w:hAnsi="宋体"/>
          <w:b/>
          <w:color w:val="auto"/>
          <w:highlight w:val="none"/>
        </w:rPr>
      </w:pPr>
      <w:r>
        <w:rPr>
          <w:rFonts w:hint="eastAsia" w:hAnsi="宋体"/>
          <w:b/>
          <w:bCs/>
          <w:color w:val="auto"/>
          <w:sz w:val="24"/>
          <w:highlight w:val="none"/>
        </w:rPr>
        <w:t>6.  技术资料</w:t>
      </w:r>
    </w:p>
    <w:p>
      <w:pPr>
        <w:pStyle w:val="22"/>
        <w:tabs>
          <w:tab w:val="left" w:pos="0"/>
        </w:tabs>
        <w:spacing w:line="360" w:lineRule="auto"/>
        <w:ind w:firstLine="420" w:firstLineChars="200"/>
        <w:rPr>
          <w:rFonts w:hAnsi="宋体"/>
          <w:color w:val="auto"/>
          <w:highlight w:val="none"/>
        </w:rPr>
      </w:pPr>
      <w:r>
        <w:rPr>
          <w:rFonts w:hint="eastAsia" w:hAnsi="宋体"/>
          <w:color w:val="auto"/>
          <w:highlight w:val="none"/>
        </w:rPr>
        <w:t>6.1 甲方应向乙方提供提交服务成果所必需的有关数据、资料等。</w:t>
      </w:r>
    </w:p>
    <w:p>
      <w:pPr>
        <w:pStyle w:val="22"/>
        <w:tabs>
          <w:tab w:val="left" w:pos="0"/>
        </w:tabs>
        <w:spacing w:line="360" w:lineRule="auto"/>
        <w:ind w:firstLine="420" w:firstLineChars="200"/>
        <w:rPr>
          <w:rFonts w:hAnsi="宋体"/>
          <w:color w:val="auto"/>
          <w:highlight w:val="none"/>
        </w:rPr>
      </w:pPr>
      <w:r>
        <w:rPr>
          <w:rFonts w:hint="eastAsia" w:hAnsi="宋体"/>
          <w:color w:val="auto"/>
          <w:highlight w:val="none"/>
        </w:rPr>
        <w:t>6.2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2"/>
        <w:spacing w:line="360" w:lineRule="auto"/>
        <w:rPr>
          <w:rFonts w:hAnsi="宋体"/>
          <w:b/>
          <w:bCs/>
          <w:color w:val="auto"/>
          <w:sz w:val="24"/>
          <w:highlight w:val="none"/>
        </w:rPr>
      </w:pPr>
      <w:r>
        <w:rPr>
          <w:rFonts w:hint="eastAsia" w:hAnsi="宋体"/>
          <w:b/>
          <w:bCs/>
          <w:color w:val="auto"/>
          <w:sz w:val="24"/>
          <w:highlight w:val="none"/>
        </w:rPr>
        <w:t>7.  验收</w:t>
      </w:r>
    </w:p>
    <w:p>
      <w:pPr>
        <w:pStyle w:val="22"/>
        <w:tabs>
          <w:tab w:val="left" w:pos="0"/>
        </w:tabs>
        <w:spacing w:line="360" w:lineRule="auto"/>
        <w:ind w:firstLine="420" w:firstLineChars="200"/>
        <w:rPr>
          <w:rFonts w:hAnsi="宋体"/>
          <w:color w:val="auto"/>
          <w:highlight w:val="none"/>
        </w:rPr>
      </w:pPr>
      <w:r>
        <w:rPr>
          <w:rFonts w:hint="eastAsia" w:hAnsi="宋体"/>
          <w:color w:val="auto"/>
          <w:highlight w:val="none"/>
        </w:rPr>
        <w:t>7.1 乙方应对提交的服务成果作出全面检查和整理，并列出清单，作为甲方验收和使用的技术条件依据，清单应随提交的服务成果交给甲方。</w:t>
      </w:r>
    </w:p>
    <w:p>
      <w:pPr>
        <w:pStyle w:val="22"/>
        <w:tabs>
          <w:tab w:val="left" w:pos="0"/>
        </w:tabs>
        <w:spacing w:line="360" w:lineRule="auto"/>
        <w:ind w:firstLine="420" w:firstLineChars="200"/>
        <w:rPr>
          <w:rFonts w:hAnsi="宋体"/>
          <w:color w:val="auto"/>
          <w:highlight w:val="none"/>
        </w:rPr>
      </w:pPr>
      <w:r>
        <w:rPr>
          <w:rFonts w:hint="eastAsia" w:hAnsi="宋体"/>
          <w:color w:val="auto"/>
          <w:highlight w:val="none"/>
        </w:rPr>
        <w:t>7.2 乙方在指定地点提交服务成果后，甲方应在5个工作日内依据招标文件、乙方的投标文件等组织验收，验收完毕后作出书面验收报告。验收时乙方必须在现场。</w:t>
      </w:r>
    </w:p>
    <w:p>
      <w:pPr>
        <w:pStyle w:val="22"/>
        <w:tabs>
          <w:tab w:val="left" w:pos="0"/>
        </w:tabs>
        <w:spacing w:line="360" w:lineRule="auto"/>
        <w:ind w:firstLine="420" w:firstLineChars="200"/>
        <w:rPr>
          <w:rFonts w:hAnsi="宋体"/>
          <w:color w:val="auto"/>
          <w:highlight w:val="none"/>
        </w:rPr>
      </w:pPr>
      <w:r>
        <w:rPr>
          <w:rFonts w:hint="eastAsia" w:hAnsi="宋体"/>
          <w:color w:val="auto"/>
          <w:highlight w:val="none"/>
        </w:rPr>
        <w:t>7.3 对复杂的服务，甲方可请国家认可的专业机构参与验收，并由其出具验收报告，相关费用由甲方承担。</w:t>
      </w:r>
    </w:p>
    <w:p>
      <w:pPr>
        <w:pStyle w:val="22"/>
        <w:spacing w:line="360" w:lineRule="auto"/>
        <w:rPr>
          <w:rFonts w:hAnsi="宋体"/>
          <w:b/>
          <w:bCs/>
          <w:color w:val="auto"/>
          <w:sz w:val="24"/>
          <w:highlight w:val="none"/>
        </w:rPr>
      </w:pPr>
      <w:r>
        <w:rPr>
          <w:rFonts w:hint="eastAsia" w:hAnsi="宋体"/>
          <w:b/>
          <w:bCs/>
          <w:color w:val="auto"/>
          <w:sz w:val="24"/>
          <w:highlight w:val="none"/>
        </w:rPr>
        <w:t>8.  合同款支付</w:t>
      </w:r>
    </w:p>
    <w:p>
      <w:pPr>
        <w:pStyle w:val="22"/>
        <w:tabs>
          <w:tab w:val="left" w:pos="5145"/>
          <w:tab w:val="left" w:pos="5355"/>
          <w:tab w:val="left" w:pos="6195"/>
        </w:tabs>
        <w:spacing w:line="360" w:lineRule="auto"/>
        <w:ind w:firstLine="420" w:firstLineChars="200"/>
        <w:rPr>
          <w:rFonts w:hAnsi="宋体"/>
          <w:bCs/>
          <w:color w:val="auto"/>
          <w:highlight w:val="none"/>
          <w:u w:val="single"/>
        </w:rPr>
      </w:pPr>
      <w:r>
        <w:rPr>
          <w:rFonts w:hint="eastAsia" w:hAnsi="宋体"/>
          <w:bCs/>
          <w:color w:val="auto"/>
          <w:highlight w:val="none"/>
        </w:rPr>
        <w:t>8.1 付款方式：</w:t>
      </w:r>
      <w:r>
        <w:rPr>
          <w:rFonts w:hint="eastAsia" w:hAnsi="宋体"/>
          <w:bCs/>
          <w:color w:val="auto"/>
          <w:highlight w:val="none"/>
          <w:u w:val="single"/>
        </w:rPr>
        <w:t xml:space="preserve">                               </w:t>
      </w:r>
    </w:p>
    <w:p>
      <w:pPr>
        <w:pStyle w:val="22"/>
        <w:tabs>
          <w:tab w:val="left" w:pos="5145"/>
          <w:tab w:val="left" w:pos="5355"/>
          <w:tab w:val="left" w:pos="6195"/>
        </w:tabs>
        <w:spacing w:line="360" w:lineRule="auto"/>
        <w:ind w:firstLine="420" w:firstLineChars="200"/>
        <w:rPr>
          <w:rFonts w:hAnsi="宋体"/>
          <w:bCs/>
          <w:color w:val="auto"/>
          <w:highlight w:val="none"/>
          <w:u w:val="single"/>
        </w:rPr>
      </w:pPr>
      <w:r>
        <w:rPr>
          <w:rFonts w:hint="eastAsia" w:hAnsi="宋体"/>
          <w:color w:val="auto"/>
          <w:highlight w:val="none"/>
        </w:rPr>
        <w:t>8.2 支付合同款时，由甲方按照合同约定向南宁市财政局提交《南宁市政府采购履约验收证明和资金支付申请表》等完整且合格的支付申请材料；南宁市财政局按财政国库直接支付程序将款项直接支付给供应商。</w:t>
      </w:r>
    </w:p>
    <w:p>
      <w:pPr>
        <w:pStyle w:val="22"/>
        <w:tabs>
          <w:tab w:val="left" w:pos="5145"/>
          <w:tab w:val="left" w:pos="5355"/>
          <w:tab w:val="left" w:pos="6195"/>
        </w:tabs>
        <w:spacing w:line="360" w:lineRule="auto"/>
        <w:ind w:firstLine="420" w:firstLineChars="200"/>
        <w:rPr>
          <w:rFonts w:hAnsi="宋体"/>
          <w:bCs/>
          <w:color w:val="auto"/>
          <w:highlight w:val="none"/>
          <w:u w:val="single"/>
        </w:rPr>
      </w:pPr>
      <w:r>
        <w:rPr>
          <w:rFonts w:hint="eastAsia" w:hAnsi="宋体"/>
          <w:color w:val="auto"/>
          <w:highlight w:val="none"/>
        </w:rPr>
        <w:t>8.3 政府采购监督管理部门在处理投诉事项期间，可以视具体情况书面通知采购人暂停采购活动</w:t>
      </w:r>
      <w:r>
        <w:rPr>
          <w:rFonts w:hint="eastAsia" w:hAnsi="宋体"/>
          <w:bCs/>
          <w:color w:val="auto"/>
          <w:highlight w:val="none"/>
        </w:rPr>
        <w:t>，并延期支付合同款。</w:t>
      </w:r>
    </w:p>
    <w:p>
      <w:pPr>
        <w:pStyle w:val="22"/>
        <w:spacing w:line="360" w:lineRule="auto"/>
        <w:rPr>
          <w:rFonts w:hAnsi="宋体"/>
          <w:b/>
          <w:bCs/>
          <w:color w:val="auto"/>
          <w:sz w:val="24"/>
          <w:highlight w:val="none"/>
        </w:rPr>
      </w:pPr>
      <w:r>
        <w:rPr>
          <w:rFonts w:hint="eastAsia" w:hAnsi="宋体"/>
          <w:b/>
          <w:bCs/>
          <w:color w:val="auto"/>
          <w:sz w:val="24"/>
          <w:highlight w:val="none"/>
        </w:rPr>
        <w:t>9.  售后服务要求</w:t>
      </w:r>
    </w:p>
    <w:p>
      <w:pPr>
        <w:pStyle w:val="22"/>
        <w:spacing w:line="360" w:lineRule="auto"/>
        <w:ind w:firstLine="420" w:firstLineChars="200"/>
        <w:rPr>
          <w:rFonts w:hAnsi="宋体"/>
          <w:color w:val="auto"/>
          <w:highlight w:val="none"/>
        </w:rPr>
      </w:pPr>
      <w:r>
        <w:rPr>
          <w:rFonts w:hint="eastAsia" w:hAnsi="宋体"/>
          <w:color w:val="auto"/>
          <w:highlight w:val="none"/>
        </w:rPr>
        <w:t>9.1 乙方提供服务的质量保证期为：</w:t>
      </w:r>
      <w:r>
        <w:rPr>
          <w:rFonts w:hint="eastAsia" w:hAnsi="宋体"/>
          <w:color w:val="auto"/>
          <w:highlight w:val="none"/>
          <w:u w:val="single"/>
        </w:rPr>
        <w:t xml:space="preserve">　　　　　　   </w:t>
      </w:r>
      <w:r>
        <w:rPr>
          <w:rFonts w:hint="eastAsia" w:hAnsi="宋体"/>
          <w:color w:val="auto"/>
          <w:highlight w:val="none"/>
        </w:rPr>
        <w:t>（自提交服务验收合格之日起计）</w:t>
      </w:r>
    </w:p>
    <w:p>
      <w:pPr>
        <w:pStyle w:val="22"/>
        <w:spacing w:line="360" w:lineRule="auto"/>
        <w:ind w:firstLine="420" w:firstLineChars="200"/>
        <w:rPr>
          <w:rFonts w:hAnsi="宋体"/>
          <w:color w:val="auto"/>
          <w:highlight w:val="none"/>
        </w:rPr>
      </w:pPr>
      <w:r>
        <w:rPr>
          <w:rFonts w:hint="eastAsia" w:hAnsi="宋体"/>
          <w:color w:val="auto"/>
          <w:highlight w:val="none"/>
        </w:rPr>
        <w:t>9.2 在本合同第9.1项约定的质量保证期内，乙方应对服务出现的问题负责处理解决并承担一切费用。</w:t>
      </w:r>
    </w:p>
    <w:p>
      <w:pPr>
        <w:pStyle w:val="22"/>
        <w:tabs>
          <w:tab w:val="left" w:pos="5250"/>
        </w:tabs>
        <w:spacing w:line="360" w:lineRule="auto"/>
        <w:ind w:firstLine="420" w:firstLineChars="200"/>
        <w:rPr>
          <w:rFonts w:hAnsi="宋体"/>
          <w:color w:val="auto"/>
          <w:highlight w:val="none"/>
          <w:u w:val="single"/>
        </w:rPr>
      </w:pPr>
      <w:r>
        <w:rPr>
          <w:rFonts w:hint="eastAsia" w:hAnsi="宋体"/>
          <w:color w:val="auto"/>
          <w:highlight w:val="none"/>
        </w:rPr>
        <w:t>9.3其他售后服务要求：</w:t>
      </w:r>
      <w:r>
        <w:rPr>
          <w:rFonts w:hint="eastAsia" w:hAnsi="宋体"/>
          <w:color w:val="auto"/>
          <w:highlight w:val="none"/>
          <w:u w:val="single"/>
        </w:rPr>
        <w:t>按投标文件商务条款偏离表内容执行。</w:t>
      </w:r>
    </w:p>
    <w:p>
      <w:pPr>
        <w:pStyle w:val="22"/>
        <w:spacing w:line="360" w:lineRule="auto"/>
        <w:rPr>
          <w:rFonts w:hAnsi="宋体"/>
          <w:b/>
          <w:bCs/>
          <w:color w:val="auto"/>
          <w:sz w:val="24"/>
          <w:highlight w:val="none"/>
        </w:rPr>
      </w:pPr>
      <w:r>
        <w:rPr>
          <w:rFonts w:hint="eastAsia" w:hAnsi="宋体"/>
          <w:b/>
          <w:bCs/>
          <w:color w:val="auto"/>
          <w:sz w:val="24"/>
          <w:highlight w:val="none"/>
        </w:rPr>
        <w:t>10.  违约责任</w:t>
      </w:r>
    </w:p>
    <w:p>
      <w:pPr>
        <w:pStyle w:val="22"/>
        <w:spacing w:line="360" w:lineRule="auto"/>
        <w:ind w:firstLine="420" w:firstLineChars="200"/>
        <w:rPr>
          <w:rFonts w:hAnsi="宋体"/>
          <w:color w:val="auto"/>
          <w:highlight w:val="none"/>
        </w:rPr>
      </w:pPr>
      <w:r>
        <w:rPr>
          <w:rFonts w:hint="eastAsia" w:hAnsi="宋体"/>
          <w:color w:val="auto"/>
          <w:highlight w:val="none"/>
        </w:rPr>
        <w:t>10.1 甲方无正当理由拒收服务的，甲方向乙方偿付拒收服务费总值的百分之五违约金。</w:t>
      </w:r>
    </w:p>
    <w:p>
      <w:pPr>
        <w:pStyle w:val="22"/>
        <w:spacing w:line="360" w:lineRule="auto"/>
        <w:ind w:firstLine="420" w:firstLineChars="200"/>
        <w:rPr>
          <w:rFonts w:hAnsi="宋体"/>
          <w:color w:val="auto"/>
          <w:highlight w:val="none"/>
        </w:rPr>
      </w:pPr>
      <w:r>
        <w:rPr>
          <w:rFonts w:hint="eastAsia" w:hAnsi="宋体"/>
          <w:color w:val="auto"/>
          <w:highlight w:val="none"/>
        </w:rPr>
        <w:t>10.2 甲方无故逾期验收或办理合同款支付手续的，甲方应按逾期付款总额每日万分之五向乙方支付违约金。</w:t>
      </w:r>
    </w:p>
    <w:p>
      <w:pPr>
        <w:pStyle w:val="22"/>
        <w:spacing w:line="360" w:lineRule="auto"/>
        <w:ind w:firstLine="420" w:firstLineChars="200"/>
        <w:rPr>
          <w:rFonts w:hAnsi="宋体"/>
          <w:color w:val="auto"/>
          <w:highlight w:val="none"/>
        </w:rPr>
      </w:pPr>
      <w:r>
        <w:rPr>
          <w:rFonts w:hint="eastAsia" w:hAnsi="宋体"/>
          <w:color w:val="auto"/>
          <w:highlight w:val="none"/>
        </w:rPr>
        <w:t>10.3 乙方逾期交付服务的，乙方应按逾期提供服务总额每日千分之六向甲方支付违约金，由甲方从待付服务费中扣除。逾期超过约定日期10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pPr>
        <w:pStyle w:val="22"/>
        <w:spacing w:line="360" w:lineRule="auto"/>
        <w:rPr>
          <w:rFonts w:hAnsi="宋体"/>
          <w:b/>
          <w:bCs/>
          <w:color w:val="auto"/>
          <w:sz w:val="24"/>
          <w:highlight w:val="none"/>
        </w:rPr>
      </w:pPr>
      <w:r>
        <w:rPr>
          <w:rFonts w:hint="eastAsia" w:hAnsi="宋体"/>
          <w:b/>
          <w:bCs/>
          <w:color w:val="auto"/>
          <w:sz w:val="24"/>
          <w:highlight w:val="none"/>
        </w:rPr>
        <w:t>11.  不可抗力事件处理</w:t>
      </w:r>
    </w:p>
    <w:p>
      <w:pPr>
        <w:pStyle w:val="22"/>
        <w:spacing w:line="360" w:lineRule="auto"/>
        <w:ind w:firstLine="420" w:firstLineChars="200"/>
        <w:rPr>
          <w:rFonts w:hAnsi="宋体"/>
          <w:color w:val="auto"/>
          <w:highlight w:val="none"/>
        </w:rPr>
      </w:pPr>
      <w:r>
        <w:rPr>
          <w:rFonts w:hint="eastAsia" w:hAnsi="宋体"/>
          <w:color w:val="auto"/>
          <w:highlight w:val="none"/>
        </w:rPr>
        <w:t>11.1 在合同有效期内，任何一方因不可抗力事件导致不能履行合同，则合同履行期可延长，其延长期与不可抗力影响期相同。</w:t>
      </w:r>
    </w:p>
    <w:p>
      <w:pPr>
        <w:pStyle w:val="22"/>
        <w:spacing w:line="360" w:lineRule="auto"/>
        <w:ind w:firstLine="420" w:firstLineChars="200"/>
        <w:rPr>
          <w:rFonts w:hAnsi="宋体"/>
          <w:color w:val="auto"/>
          <w:highlight w:val="none"/>
        </w:rPr>
      </w:pPr>
      <w:r>
        <w:rPr>
          <w:rFonts w:hint="eastAsia" w:hAnsi="宋体"/>
          <w:color w:val="auto"/>
          <w:highlight w:val="none"/>
        </w:rPr>
        <w:t>11.2 不可抗力事件发生后，应立即通知对方，并寄送有关权威机构出具的证明。</w:t>
      </w:r>
    </w:p>
    <w:p>
      <w:pPr>
        <w:pStyle w:val="22"/>
        <w:spacing w:line="360" w:lineRule="auto"/>
        <w:ind w:firstLine="420" w:firstLineChars="200"/>
        <w:rPr>
          <w:rFonts w:hAnsi="宋体"/>
          <w:color w:val="auto"/>
          <w:highlight w:val="none"/>
        </w:rPr>
      </w:pPr>
      <w:r>
        <w:rPr>
          <w:rFonts w:hint="eastAsia" w:hAnsi="宋体"/>
          <w:color w:val="auto"/>
          <w:highlight w:val="none"/>
        </w:rPr>
        <w:t>11.3 不可抗力事件延续120天以上，双方应通过友好协商，确定是否继续履行合同。</w:t>
      </w:r>
    </w:p>
    <w:p>
      <w:pPr>
        <w:pStyle w:val="22"/>
        <w:spacing w:line="360" w:lineRule="auto"/>
        <w:rPr>
          <w:rFonts w:hAnsi="宋体"/>
          <w:b/>
          <w:bCs/>
          <w:color w:val="auto"/>
          <w:sz w:val="24"/>
          <w:highlight w:val="none"/>
        </w:rPr>
      </w:pPr>
      <w:r>
        <w:rPr>
          <w:rFonts w:hint="eastAsia" w:hAnsi="宋体"/>
          <w:b/>
          <w:bCs/>
          <w:color w:val="auto"/>
          <w:sz w:val="24"/>
          <w:highlight w:val="none"/>
        </w:rPr>
        <w:t>12.  诉讼</w:t>
      </w:r>
    </w:p>
    <w:p>
      <w:pPr>
        <w:pStyle w:val="22"/>
        <w:tabs>
          <w:tab w:val="left" w:pos="0"/>
        </w:tabs>
        <w:spacing w:line="360" w:lineRule="auto"/>
        <w:ind w:firstLine="420" w:firstLineChars="200"/>
        <w:rPr>
          <w:rFonts w:hAnsi="宋体"/>
          <w:color w:val="auto"/>
          <w:highlight w:val="none"/>
        </w:rPr>
      </w:pPr>
      <w:r>
        <w:rPr>
          <w:rFonts w:hint="eastAsia" w:hAnsi="宋体"/>
          <w:color w:val="auto"/>
          <w:highlight w:val="none"/>
        </w:rPr>
        <w:t>12.1 双方在执行合同中所发生的一切争议，应通过协商解决。如协商不成，可向合同签订地法院起诉，合同签订地在此约定为广西南宁市。</w:t>
      </w:r>
    </w:p>
    <w:p>
      <w:pPr>
        <w:pStyle w:val="22"/>
        <w:spacing w:line="360" w:lineRule="auto"/>
        <w:rPr>
          <w:rFonts w:hAnsi="宋体"/>
          <w:b/>
          <w:bCs/>
          <w:color w:val="auto"/>
          <w:sz w:val="24"/>
          <w:highlight w:val="none"/>
        </w:rPr>
      </w:pPr>
      <w:r>
        <w:rPr>
          <w:rFonts w:hint="eastAsia" w:hAnsi="宋体"/>
          <w:b/>
          <w:bCs/>
          <w:color w:val="auto"/>
          <w:sz w:val="24"/>
          <w:highlight w:val="none"/>
        </w:rPr>
        <w:t>13.  合同生效及其它</w:t>
      </w:r>
    </w:p>
    <w:p>
      <w:pPr>
        <w:pStyle w:val="22"/>
        <w:spacing w:line="360" w:lineRule="auto"/>
        <w:ind w:firstLine="420" w:firstLineChars="200"/>
        <w:rPr>
          <w:rFonts w:hAnsi="宋体"/>
          <w:color w:val="auto"/>
          <w:highlight w:val="none"/>
        </w:rPr>
      </w:pPr>
      <w:r>
        <w:rPr>
          <w:rFonts w:hint="eastAsia" w:hAnsi="宋体"/>
          <w:color w:val="auto"/>
          <w:highlight w:val="none"/>
        </w:rPr>
        <w:t>13.1 合同经双方法定代表人或授权委托代理人签字并加盖单位公章后生效。</w:t>
      </w:r>
    </w:p>
    <w:p>
      <w:pPr>
        <w:pStyle w:val="22"/>
        <w:spacing w:line="360" w:lineRule="auto"/>
        <w:ind w:firstLine="420" w:firstLineChars="200"/>
        <w:rPr>
          <w:rFonts w:hAnsi="宋体"/>
          <w:color w:val="auto"/>
          <w:highlight w:val="none"/>
        </w:rPr>
      </w:pPr>
      <w:r>
        <w:rPr>
          <w:rFonts w:hint="eastAsia" w:hAnsi="宋体"/>
          <w:color w:val="auto"/>
          <w:highlight w:val="none"/>
        </w:rPr>
        <w:t>13.2 合同执行中涉及采购资金和采购内容修改或补充的，须经市财政部门审批，并签书面补充协议报南宁市政府采购监督管理部门备案，方可作为主合同不可分割的一部分。</w:t>
      </w:r>
    </w:p>
    <w:p>
      <w:pPr>
        <w:pStyle w:val="22"/>
        <w:spacing w:line="360" w:lineRule="auto"/>
        <w:ind w:firstLine="420" w:firstLineChars="200"/>
        <w:rPr>
          <w:rFonts w:hAnsi="宋体"/>
          <w:color w:val="auto"/>
          <w:highlight w:val="none"/>
        </w:rPr>
      </w:pPr>
      <w:r>
        <w:rPr>
          <w:rFonts w:hint="eastAsia" w:hAnsi="宋体"/>
          <w:color w:val="auto"/>
          <w:highlight w:val="none"/>
        </w:rPr>
        <w:t>13.3 下述合同附件为本合同不可分割的部分并与本合同具有同等效力：</w:t>
      </w:r>
    </w:p>
    <w:p>
      <w:pPr>
        <w:pStyle w:val="22"/>
        <w:spacing w:line="360" w:lineRule="auto"/>
        <w:ind w:firstLine="420" w:firstLineChars="200"/>
        <w:rPr>
          <w:rFonts w:hAnsi="宋体"/>
          <w:color w:val="auto"/>
          <w:highlight w:val="none"/>
        </w:rPr>
      </w:pPr>
      <w:r>
        <w:rPr>
          <w:rFonts w:hint="eastAsia" w:hAnsi="宋体"/>
          <w:color w:val="auto"/>
          <w:highlight w:val="none"/>
        </w:rPr>
        <w:t>(1)中标通知书</w:t>
      </w:r>
    </w:p>
    <w:p>
      <w:pPr>
        <w:pStyle w:val="22"/>
        <w:spacing w:line="360" w:lineRule="auto"/>
        <w:ind w:firstLine="420" w:firstLineChars="200"/>
        <w:rPr>
          <w:rFonts w:hAnsi="宋体"/>
          <w:color w:val="auto"/>
          <w:highlight w:val="none"/>
        </w:rPr>
      </w:pPr>
      <w:r>
        <w:rPr>
          <w:rFonts w:hint="eastAsia" w:hAnsi="宋体"/>
          <w:color w:val="auto"/>
          <w:highlight w:val="none"/>
        </w:rPr>
        <w:t>(2)招标文件服务需求一览表</w:t>
      </w:r>
    </w:p>
    <w:p>
      <w:pPr>
        <w:pStyle w:val="22"/>
        <w:spacing w:line="360" w:lineRule="auto"/>
        <w:ind w:firstLine="420" w:firstLineChars="200"/>
        <w:rPr>
          <w:rFonts w:hAnsi="宋体"/>
          <w:color w:val="auto"/>
          <w:highlight w:val="none"/>
        </w:rPr>
      </w:pPr>
      <w:r>
        <w:rPr>
          <w:rFonts w:hint="eastAsia" w:hAnsi="宋体"/>
          <w:color w:val="auto"/>
          <w:highlight w:val="none"/>
        </w:rPr>
        <w:t>(3)招标文件的更改通知（如有）</w:t>
      </w:r>
    </w:p>
    <w:p>
      <w:pPr>
        <w:pStyle w:val="22"/>
        <w:spacing w:line="360" w:lineRule="auto"/>
        <w:ind w:firstLine="420" w:firstLineChars="200"/>
        <w:rPr>
          <w:rFonts w:hAnsi="宋体"/>
          <w:color w:val="auto"/>
          <w:highlight w:val="none"/>
        </w:rPr>
      </w:pPr>
      <w:r>
        <w:rPr>
          <w:rFonts w:hint="eastAsia" w:hAnsi="宋体"/>
          <w:color w:val="auto"/>
          <w:highlight w:val="none"/>
        </w:rPr>
        <w:t>(4)投标函</w:t>
      </w:r>
    </w:p>
    <w:p>
      <w:pPr>
        <w:pStyle w:val="22"/>
        <w:spacing w:line="360" w:lineRule="auto"/>
        <w:ind w:firstLine="420" w:firstLineChars="200"/>
        <w:rPr>
          <w:rFonts w:hAnsi="宋体"/>
          <w:color w:val="auto"/>
          <w:highlight w:val="none"/>
        </w:rPr>
      </w:pPr>
      <w:r>
        <w:rPr>
          <w:rFonts w:hint="eastAsia" w:hAnsi="宋体"/>
          <w:color w:val="auto"/>
          <w:highlight w:val="none"/>
        </w:rPr>
        <w:t>(5)报价表</w:t>
      </w:r>
    </w:p>
    <w:p>
      <w:pPr>
        <w:pStyle w:val="22"/>
        <w:spacing w:line="360" w:lineRule="auto"/>
        <w:ind w:firstLine="420" w:firstLineChars="200"/>
        <w:rPr>
          <w:rFonts w:hAnsi="宋体"/>
          <w:color w:val="auto"/>
          <w:highlight w:val="none"/>
        </w:rPr>
      </w:pPr>
      <w:r>
        <w:rPr>
          <w:rFonts w:hint="eastAsia" w:hAnsi="宋体"/>
          <w:color w:val="auto"/>
          <w:highlight w:val="none"/>
        </w:rPr>
        <w:t>(6)投标服务技术资料表</w:t>
      </w:r>
    </w:p>
    <w:p>
      <w:pPr>
        <w:pStyle w:val="22"/>
        <w:spacing w:line="360" w:lineRule="auto"/>
        <w:ind w:firstLine="420" w:firstLineChars="200"/>
        <w:rPr>
          <w:rFonts w:hAnsi="宋体"/>
          <w:color w:val="auto"/>
          <w:highlight w:val="none"/>
        </w:rPr>
      </w:pPr>
      <w:r>
        <w:rPr>
          <w:rFonts w:hint="eastAsia" w:hAnsi="宋体"/>
          <w:color w:val="auto"/>
          <w:highlight w:val="none"/>
        </w:rPr>
        <w:t>(7)商务条款偏离表</w:t>
      </w:r>
    </w:p>
    <w:p>
      <w:pPr>
        <w:pStyle w:val="22"/>
        <w:spacing w:line="360" w:lineRule="auto"/>
        <w:ind w:firstLine="420" w:firstLineChars="200"/>
        <w:rPr>
          <w:rFonts w:hAnsi="宋体"/>
          <w:color w:val="auto"/>
          <w:highlight w:val="none"/>
        </w:rPr>
      </w:pPr>
      <w:r>
        <w:rPr>
          <w:rFonts w:hint="eastAsia" w:hAnsi="宋体"/>
          <w:color w:val="auto"/>
          <w:highlight w:val="none"/>
        </w:rPr>
        <w:t>(8)中标供应商澄清函（如有请提供）</w:t>
      </w:r>
    </w:p>
    <w:p>
      <w:pPr>
        <w:pStyle w:val="22"/>
        <w:spacing w:line="360" w:lineRule="auto"/>
        <w:ind w:firstLine="420" w:firstLineChars="200"/>
        <w:rPr>
          <w:rFonts w:hAnsi="宋体"/>
          <w:color w:val="auto"/>
          <w:highlight w:val="none"/>
        </w:rPr>
      </w:pPr>
      <w:r>
        <w:rPr>
          <w:rFonts w:hint="eastAsia" w:hAnsi="宋体"/>
          <w:color w:val="auto"/>
          <w:highlight w:val="none"/>
        </w:rPr>
        <w:t>(9)其他与本合同相关的资料（如有请提供）</w:t>
      </w:r>
    </w:p>
    <w:p>
      <w:pPr>
        <w:pStyle w:val="22"/>
        <w:spacing w:line="360" w:lineRule="auto"/>
        <w:ind w:firstLine="420" w:firstLineChars="200"/>
        <w:rPr>
          <w:rFonts w:hAnsi="宋体"/>
          <w:color w:val="auto"/>
          <w:highlight w:val="none"/>
        </w:rPr>
      </w:pPr>
      <w:r>
        <w:rPr>
          <w:rFonts w:hint="eastAsia" w:hAnsi="宋体"/>
          <w:color w:val="auto"/>
          <w:highlight w:val="none"/>
        </w:rPr>
        <w:t>13.4 本合同未尽事宜，遵照《中华人民共和国合同法》有关条文执行。</w:t>
      </w:r>
    </w:p>
    <w:p>
      <w:pPr>
        <w:pStyle w:val="22"/>
        <w:spacing w:line="360" w:lineRule="auto"/>
        <w:ind w:firstLine="420" w:firstLineChars="200"/>
        <w:rPr>
          <w:rFonts w:hAnsi="宋体"/>
          <w:color w:val="auto"/>
          <w:highlight w:val="none"/>
        </w:rPr>
      </w:pPr>
      <w:r>
        <w:rPr>
          <w:rFonts w:hint="eastAsia" w:hAnsi="宋体"/>
          <w:color w:val="auto"/>
          <w:highlight w:val="none"/>
        </w:rPr>
        <w:t>13.5 本合同正本一式两份，具有同等法律效力，甲乙双方各执一份；副本肆份。</w:t>
      </w:r>
    </w:p>
    <w:p>
      <w:pPr>
        <w:pStyle w:val="22"/>
        <w:spacing w:line="360" w:lineRule="auto"/>
        <w:rPr>
          <w:rFonts w:hAnsi="宋体"/>
          <w:color w:val="auto"/>
          <w:highlight w:val="none"/>
        </w:rPr>
      </w:pPr>
    </w:p>
    <w:p>
      <w:pPr>
        <w:pStyle w:val="22"/>
        <w:spacing w:line="360" w:lineRule="auto"/>
        <w:ind w:firstLine="360"/>
        <w:rPr>
          <w:rFonts w:hAnsi="宋体"/>
          <w:color w:val="auto"/>
          <w:highlight w:val="none"/>
        </w:rPr>
      </w:pPr>
    </w:p>
    <w:p>
      <w:pPr>
        <w:pStyle w:val="22"/>
        <w:spacing w:line="360" w:lineRule="auto"/>
        <w:rPr>
          <w:rFonts w:hAnsi="宋体"/>
          <w:color w:val="auto"/>
          <w:highlight w:val="none"/>
          <w:u w:val="single"/>
        </w:rPr>
      </w:pPr>
      <w:r>
        <w:rPr>
          <w:rFonts w:hint="eastAsia" w:hAnsi="宋体"/>
          <w:color w:val="auto"/>
          <w:highlight w:val="none"/>
        </w:rPr>
        <w:t>甲方：</w:t>
      </w:r>
      <w:r>
        <w:rPr>
          <w:rFonts w:hint="eastAsia" w:hAnsi="宋体"/>
          <w:color w:val="auto"/>
          <w:highlight w:val="none"/>
          <w:u w:val="single"/>
        </w:rPr>
        <w:t xml:space="preserve">                                    </w:t>
      </w:r>
      <w:r>
        <w:rPr>
          <w:rFonts w:hint="eastAsia" w:hAnsi="宋体"/>
          <w:color w:val="auto"/>
          <w:highlight w:val="none"/>
        </w:rPr>
        <w:t xml:space="preserve">    乙方：</w:t>
      </w:r>
      <w:r>
        <w:rPr>
          <w:rFonts w:hint="eastAsia" w:hAnsi="宋体"/>
          <w:color w:val="auto"/>
          <w:highlight w:val="none"/>
          <w:u w:val="single"/>
        </w:rPr>
        <w:t xml:space="preserve">                                    </w:t>
      </w:r>
    </w:p>
    <w:p>
      <w:pPr>
        <w:pStyle w:val="22"/>
        <w:spacing w:line="360" w:lineRule="auto"/>
        <w:rPr>
          <w:rFonts w:hAnsi="宋体"/>
          <w:color w:val="auto"/>
          <w:highlight w:val="none"/>
        </w:rPr>
      </w:pPr>
      <w:r>
        <w:rPr>
          <w:rFonts w:hint="eastAsia" w:hAnsi="宋体"/>
          <w:color w:val="auto"/>
          <w:highlight w:val="none"/>
        </w:rPr>
        <w:t>地址：</w:t>
      </w:r>
      <w:r>
        <w:rPr>
          <w:rFonts w:hint="eastAsia" w:hAnsi="宋体"/>
          <w:color w:val="auto"/>
          <w:highlight w:val="none"/>
          <w:u w:val="single"/>
        </w:rPr>
        <w:t xml:space="preserve">                                    </w:t>
      </w:r>
      <w:r>
        <w:rPr>
          <w:rFonts w:hint="eastAsia" w:hAnsi="宋体"/>
          <w:color w:val="auto"/>
          <w:highlight w:val="none"/>
        </w:rPr>
        <w:t xml:space="preserve">    地址：</w:t>
      </w:r>
      <w:r>
        <w:rPr>
          <w:rFonts w:hint="eastAsia" w:hAnsi="宋体"/>
          <w:color w:val="auto"/>
          <w:highlight w:val="none"/>
          <w:u w:val="single"/>
        </w:rPr>
        <w:t xml:space="preserve">                                    </w:t>
      </w:r>
      <w:r>
        <w:rPr>
          <w:rFonts w:hint="eastAsia" w:hAnsi="宋体"/>
          <w:color w:val="auto"/>
          <w:highlight w:val="none"/>
        </w:rPr>
        <w:t xml:space="preserve">     </w:t>
      </w:r>
    </w:p>
    <w:p>
      <w:pPr>
        <w:pStyle w:val="22"/>
        <w:spacing w:line="360" w:lineRule="auto"/>
        <w:rPr>
          <w:rFonts w:hAnsi="宋体"/>
          <w:color w:val="auto"/>
          <w:highlight w:val="none"/>
        </w:rPr>
      </w:pPr>
      <w:r>
        <w:rPr>
          <w:rFonts w:hint="eastAsia" w:hAnsi="宋体"/>
          <w:color w:val="auto"/>
          <w:highlight w:val="none"/>
        </w:rPr>
        <w:t>法定代表人：</w:t>
      </w:r>
      <w:r>
        <w:rPr>
          <w:rFonts w:hint="eastAsia" w:hAnsi="宋体"/>
          <w:color w:val="auto"/>
          <w:highlight w:val="none"/>
          <w:u w:val="single"/>
        </w:rPr>
        <w:t xml:space="preserve">                              </w:t>
      </w:r>
      <w:r>
        <w:rPr>
          <w:rFonts w:hint="eastAsia" w:hAnsi="宋体"/>
          <w:color w:val="auto"/>
          <w:highlight w:val="none"/>
        </w:rPr>
        <w:t xml:space="preserve">    法定代表人：</w:t>
      </w:r>
      <w:r>
        <w:rPr>
          <w:rFonts w:hint="eastAsia" w:hAnsi="宋体"/>
          <w:color w:val="auto"/>
          <w:highlight w:val="none"/>
          <w:u w:val="single"/>
        </w:rPr>
        <w:t xml:space="preserve">                              </w:t>
      </w:r>
    </w:p>
    <w:p>
      <w:pPr>
        <w:pStyle w:val="22"/>
        <w:spacing w:line="360" w:lineRule="auto"/>
        <w:rPr>
          <w:rFonts w:hAnsi="宋体"/>
          <w:color w:val="auto"/>
          <w:highlight w:val="none"/>
        </w:rPr>
      </w:pPr>
      <w:r>
        <w:rPr>
          <w:rFonts w:hint="eastAsia" w:hAnsi="宋体"/>
          <w:color w:val="auto"/>
          <w:highlight w:val="none"/>
        </w:rPr>
        <w:t>委托代理人：</w:t>
      </w:r>
      <w:r>
        <w:rPr>
          <w:rFonts w:hint="eastAsia" w:hAnsi="宋体"/>
          <w:color w:val="auto"/>
          <w:highlight w:val="none"/>
          <w:u w:val="single"/>
        </w:rPr>
        <w:t xml:space="preserve">                              </w:t>
      </w:r>
      <w:r>
        <w:rPr>
          <w:rFonts w:hint="eastAsia" w:hAnsi="宋体"/>
          <w:color w:val="auto"/>
          <w:highlight w:val="none"/>
        </w:rPr>
        <w:t xml:space="preserve">    委托代理人：</w:t>
      </w:r>
      <w:r>
        <w:rPr>
          <w:rFonts w:hint="eastAsia" w:hAnsi="宋体"/>
          <w:color w:val="auto"/>
          <w:highlight w:val="none"/>
          <w:u w:val="single"/>
        </w:rPr>
        <w:t xml:space="preserve">                              </w:t>
      </w:r>
    </w:p>
    <w:p>
      <w:pPr>
        <w:pStyle w:val="22"/>
        <w:spacing w:line="360" w:lineRule="auto"/>
        <w:rPr>
          <w:rFonts w:hAnsi="宋体"/>
          <w:color w:val="auto"/>
          <w:highlight w:val="none"/>
        </w:rPr>
      </w:pPr>
      <w:r>
        <w:rPr>
          <w:rFonts w:hint="eastAsia" w:hAnsi="宋体"/>
          <w:color w:val="auto"/>
          <w:highlight w:val="none"/>
        </w:rPr>
        <w:t>电话：</w:t>
      </w:r>
      <w:r>
        <w:rPr>
          <w:rFonts w:hint="eastAsia" w:hAnsi="宋体"/>
          <w:color w:val="auto"/>
          <w:highlight w:val="none"/>
          <w:u w:val="single"/>
        </w:rPr>
        <w:t xml:space="preserve">                                    </w:t>
      </w:r>
      <w:r>
        <w:rPr>
          <w:rFonts w:hint="eastAsia" w:hAnsi="宋体"/>
          <w:color w:val="auto"/>
          <w:highlight w:val="none"/>
        </w:rPr>
        <w:t xml:space="preserve">    电话：</w:t>
      </w:r>
      <w:r>
        <w:rPr>
          <w:rFonts w:hint="eastAsia" w:hAnsi="宋体"/>
          <w:color w:val="auto"/>
          <w:highlight w:val="none"/>
          <w:u w:val="single"/>
        </w:rPr>
        <w:t xml:space="preserve">                                    </w:t>
      </w:r>
      <w:r>
        <w:rPr>
          <w:rFonts w:hint="eastAsia" w:hAnsi="宋体"/>
          <w:color w:val="auto"/>
          <w:highlight w:val="none"/>
        </w:rPr>
        <w:t xml:space="preserve">       </w:t>
      </w:r>
    </w:p>
    <w:p>
      <w:pPr>
        <w:pStyle w:val="22"/>
        <w:spacing w:line="360" w:lineRule="auto"/>
        <w:rPr>
          <w:rFonts w:hAnsi="宋体"/>
          <w:color w:val="auto"/>
          <w:highlight w:val="none"/>
        </w:rPr>
      </w:pPr>
      <w:r>
        <w:rPr>
          <w:rFonts w:hint="eastAsia" w:hAnsi="宋体"/>
          <w:color w:val="auto"/>
          <w:highlight w:val="none"/>
        </w:rPr>
        <w:t>传真：</w:t>
      </w:r>
      <w:r>
        <w:rPr>
          <w:rFonts w:hint="eastAsia" w:hAnsi="宋体"/>
          <w:color w:val="auto"/>
          <w:highlight w:val="none"/>
          <w:u w:val="single"/>
        </w:rPr>
        <w:t xml:space="preserve">                                    </w:t>
      </w:r>
      <w:r>
        <w:rPr>
          <w:rFonts w:hint="eastAsia" w:hAnsi="宋体"/>
          <w:color w:val="auto"/>
          <w:highlight w:val="none"/>
        </w:rPr>
        <w:t xml:space="preserve">    传真：</w:t>
      </w:r>
      <w:r>
        <w:rPr>
          <w:rFonts w:hint="eastAsia" w:hAnsi="宋体"/>
          <w:color w:val="auto"/>
          <w:highlight w:val="none"/>
          <w:u w:val="single"/>
        </w:rPr>
        <w:t xml:space="preserve">                                    </w:t>
      </w:r>
      <w:r>
        <w:rPr>
          <w:rFonts w:hint="eastAsia" w:hAnsi="宋体"/>
          <w:color w:val="auto"/>
          <w:highlight w:val="none"/>
        </w:rPr>
        <w:t xml:space="preserve">    </w:t>
      </w:r>
    </w:p>
    <w:p>
      <w:pPr>
        <w:pStyle w:val="22"/>
        <w:spacing w:line="360" w:lineRule="auto"/>
        <w:rPr>
          <w:rFonts w:hAnsi="宋体"/>
          <w:color w:val="auto"/>
          <w:highlight w:val="none"/>
          <w:u w:val="single"/>
        </w:rPr>
      </w:pPr>
      <w:r>
        <w:rPr>
          <w:rFonts w:hint="eastAsia" w:hAnsi="宋体"/>
          <w:color w:val="auto"/>
          <w:highlight w:val="none"/>
        </w:rPr>
        <w:t>邮政编码：</w:t>
      </w:r>
      <w:r>
        <w:rPr>
          <w:rFonts w:hint="eastAsia" w:hAnsi="宋体"/>
          <w:color w:val="auto"/>
          <w:highlight w:val="none"/>
          <w:u w:val="single"/>
        </w:rPr>
        <w:t xml:space="preserve">                                </w:t>
      </w:r>
      <w:r>
        <w:rPr>
          <w:rFonts w:hint="eastAsia" w:hAnsi="宋体"/>
          <w:color w:val="auto"/>
          <w:highlight w:val="none"/>
        </w:rPr>
        <w:t xml:space="preserve">    邮政编码：</w:t>
      </w:r>
      <w:r>
        <w:rPr>
          <w:rFonts w:hint="eastAsia" w:hAnsi="宋体"/>
          <w:color w:val="auto"/>
          <w:highlight w:val="none"/>
          <w:u w:val="single"/>
        </w:rPr>
        <w:t xml:space="preserve">                                </w:t>
      </w:r>
    </w:p>
    <w:p>
      <w:pPr>
        <w:pStyle w:val="22"/>
        <w:spacing w:line="360" w:lineRule="auto"/>
        <w:rPr>
          <w:rFonts w:hAnsi="宋体"/>
          <w:color w:val="auto"/>
          <w:highlight w:val="none"/>
        </w:rPr>
      </w:pPr>
      <w:r>
        <w:rPr>
          <w:rFonts w:hint="eastAsia" w:hAnsi="宋体"/>
          <w:color w:val="auto"/>
          <w:highlight w:val="none"/>
          <w:u w:val="single"/>
        </w:rPr>
        <w:t xml:space="preserve">                                              </w:t>
      </w:r>
      <w:r>
        <w:rPr>
          <w:rFonts w:hint="eastAsia" w:hAnsi="宋体"/>
          <w:color w:val="auto"/>
          <w:highlight w:val="none"/>
        </w:rPr>
        <w:t>统一社会代码：</w:t>
      </w:r>
      <w:r>
        <w:rPr>
          <w:rFonts w:hint="eastAsia" w:hAnsi="宋体"/>
          <w:color w:val="auto"/>
          <w:highlight w:val="none"/>
          <w:u w:val="single"/>
        </w:rPr>
        <w:t xml:space="preserve">                            </w:t>
      </w:r>
    </w:p>
    <w:p>
      <w:pPr>
        <w:pStyle w:val="22"/>
        <w:spacing w:line="360" w:lineRule="auto"/>
        <w:rPr>
          <w:rFonts w:hAnsi="宋体"/>
          <w:color w:val="auto"/>
          <w:highlight w:val="none"/>
          <w:u w:val="single"/>
        </w:rPr>
      </w:pPr>
      <w:r>
        <w:rPr>
          <w:rFonts w:hint="eastAsia" w:hAnsi="宋体"/>
          <w:color w:val="auto"/>
          <w:highlight w:val="none"/>
        </w:rPr>
        <w:t xml:space="preserve">                                              开户银行：</w:t>
      </w:r>
      <w:r>
        <w:rPr>
          <w:rFonts w:hint="eastAsia" w:hAnsi="宋体"/>
          <w:color w:val="auto"/>
          <w:highlight w:val="none"/>
          <w:u w:val="single"/>
        </w:rPr>
        <w:t xml:space="preserve">                                </w:t>
      </w:r>
    </w:p>
    <w:p>
      <w:pPr>
        <w:pStyle w:val="22"/>
        <w:spacing w:line="360" w:lineRule="auto"/>
        <w:rPr>
          <w:rFonts w:hAnsi="宋体"/>
          <w:color w:val="auto"/>
          <w:highlight w:val="none"/>
          <w:u w:val="single"/>
        </w:rPr>
      </w:pPr>
      <w:r>
        <w:rPr>
          <w:rFonts w:hint="eastAsia" w:hAnsi="宋体"/>
          <w:color w:val="auto"/>
          <w:highlight w:val="none"/>
        </w:rPr>
        <w:t xml:space="preserve">                                              开户名称：</w:t>
      </w:r>
      <w:r>
        <w:rPr>
          <w:rFonts w:hint="eastAsia" w:hAnsi="宋体"/>
          <w:color w:val="auto"/>
          <w:highlight w:val="none"/>
          <w:u w:val="single"/>
        </w:rPr>
        <w:t xml:space="preserve">                                </w:t>
      </w:r>
    </w:p>
    <w:p>
      <w:pPr>
        <w:pStyle w:val="22"/>
        <w:spacing w:line="360" w:lineRule="auto"/>
        <w:rPr>
          <w:rFonts w:hAnsi="宋体"/>
          <w:color w:val="auto"/>
          <w:highlight w:val="none"/>
          <w:u w:val="single"/>
        </w:rPr>
      </w:pPr>
      <w:r>
        <w:rPr>
          <w:rFonts w:hint="eastAsia" w:hAnsi="宋体"/>
          <w:color w:val="auto"/>
          <w:highlight w:val="none"/>
        </w:rPr>
        <w:t xml:space="preserve">                                              银行账号：</w:t>
      </w:r>
      <w:r>
        <w:rPr>
          <w:rFonts w:hint="eastAsia" w:hAnsi="宋体"/>
          <w:color w:val="auto"/>
          <w:highlight w:val="none"/>
          <w:u w:val="single"/>
        </w:rPr>
        <w:t xml:space="preserve">                                </w:t>
      </w:r>
    </w:p>
    <w:p>
      <w:pPr>
        <w:pStyle w:val="22"/>
        <w:spacing w:line="360" w:lineRule="auto"/>
        <w:ind w:left="178" w:leftChars="85"/>
        <w:rPr>
          <w:rFonts w:hAnsi="宋体"/>
          <w:color w:val="auto"/>
          <w:highlight w:val="none"/>
        </w:rPr>
      </w:pPr>
    </w:p>
    <w:p>
      <w:pPr>
        <w:pStyle w:val="22"/>
        <w:spacing w:line="360" w:lineRule="auto"/>
        <w:ind w:left="178" w:leftChars="85"/>
        <w:jc w:val="right"/>
        <w:rPr>
          <w:rFonts w:hAnsi="宋体"/>
          <w:color w:val="auto"/>
          <w:highlight w:val="none"/>
        </w:rPr>
      </w:pPr>
    </w:p>
    <w:p>
      <w:pPr>
        <w:pStyle w:val="22"/>
        <w:spacing w:line="360" w:lineRule="auto"/>
        <w:jc w:val="right"/>
        <w:rPr>
          <w:rFonts w:hAnsi="宋体"/>
          <w:color w:val="auto"/>
          <w:highlight w:val="none"/>
        </w:rPr>
      </w:pPr>
      <w:r>
        <w:rPr>
          <w:rFonts w:hint="eastAsia" w:hAnsi="宋体"/>
          <w:color w:val="auto"/>
          <w:highlight w:val="none"/>
        </w:rPr>
        <w:t xml:space="preserve">合同签订地点：广西南宁市 </w:t>
      </w:r>
    </w:p>
    <w:p>
      <w:pPr>
        <w:pStyle w:val="22"/>
        <w:spacing w:line="360" w:lineRule="auto"/>
        <w:jc w:val="right"/>
        <w:rPr>
          <w:rFonts w:hAnsi="宋体"/>
          <w:color w:val="auto"/>
          <w:highlight w:val="none"/>
        </w:rPr>
      </w:pPr>
      <w:r>
        <w:rPr>
          <w:rFonts w:hint="eastAsia" w:hAnsi="宋体"/>
          <w:color w:val="auto"/>
          <w:highlight w:val="none"/>
        </w:rPr>
        <w:t>合同签订日期：</w:t>
      </w: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w:t>
      </w:r>
    </w:p>
    <w:p>
      <w:pPr>
        <w:snapToGrid w:val="0"/>
        <w:jc w:val="right"/>
        <w:rPr>
          <w:rFonts w:ascii="宋体" w:hAnsi="宋体"/>
          <w:color w:val="auto"/>
          <w:sz w:val="24"/>
          <w:highlight w:val="none"/>
        </w:rPr>
      </w:pPr>
      <w:r>
        <w:rPr>
          <w:rFonts w:ascii="宋体" w:hAnsi="宋体"/>
          <w:b/>
          <w:color w:val="auto"/>
          <w:sz w:val="24"/>
          <w:highlight w:val="none"/>
        </w:rPr>
        <w:br w:type="page"/>
      </w:r>
    </w:p>
    <w:p>
      <w:pPr>
        <w:snapToGrid w:val="0"/>
        <w:ind w:firstLine="480" w:firstLineChars="200"/>
        <w:rPr>
          <w:rFonts w:ascii="宋体" w:hAnsi="宋体"/>
          <w:color w:val="auto"/>
          <w:sz w:val="24"/>
          <w:highlight w:val="none"/>
          <w:u w:val="single"/>
        </w:rPr>
      </w:pPr>
    </w:p>
    <w:p>
      <w:pPr>
        <w:pStyle w:val="22"/>
        <w:tabs>
          <w:tab w:val="left" w:pos="2472"/>
        </w:tabs>
        <w:snapToGrid w:val="0"/>
        <w:jc w:val="center"/>
        <w:rPr>
          <w:rFonts w:hAnsi="宋体"/>
          <w:color w:val="auto"/>
          <w:highlight w:val="none"/>
        </w:rPr>
      </w:pPr>
    </w:p>
    <w:p>
      <w:pPr>
        <w:pStyle w:val="22"/>
        <w:spacing w:line="360" w:lineRule="auto"/>
        <w:jc w:val="center"/>
        <w:rPr>
          <w:rFonts w:hAnsi="宋体" w:cs="宋体"/>
          <w:b/>
          <w:bCs/>
          <w:color w:val="auto"/>
          <w:sz w:val="36"/>
          <w:szCs w:val="36"/>
          <w:highlight w:val="none"/>
        </w:rPr>
      </w:pPr>
      <w:r>
        <w:rPr>
          <w:rFonts w:hint="eastAsia" w:hAnsi="宋体" w:cs="宋体"/>
          <w:color w:val="auto"/>
          <w:sz w:val="36"/>
          <w:szCs w:val="36"/>
          <w:highlight w:val="none"/>
        </w:rPr>
        <w:t>政府采购项目合同验收报告（格式）</w:t>
      </w:r>
    </w:p>
    <w:p>
      <w:pPr>
        <w:widowControl/>
        <w:snapToGrid w:val="0"/>
        <w:spacing w:before="100" w:beforeAutospacing="1" w:after="100" w:afterAutospacing="1" w:line="440" w:lineRule="exact"/>
        <w:ind w:firstLine="659"/>
        <w:jc w:val="left"/>
        <w:rPr>
          <w:rFonts w:ascii="宋体" w:hAnsi="宋体"/>
          <w:color w:val="auto"/>
          <w:kern w:val="0"/>
          <w:szCs w:val="21"/>
          <w:highlight w:val="none"/>
        </w:rPr>
      </w:pPr>
      <w:r>
        <w:rPr>
          <w:rFonts w:hint="eastAsia" w:ascii="宋体" w:hAnsi="宋体"/>
          <w:color w:val="auto"/>
          <w:kern w:val="0"/>
          <w:szCs w:val="21"/>
          <w:highlight w:val="none"/>
        </w:rPr>
        <w:t>根据政府采购合同</w:t>
      </w:r>
      <w:r>
        <w:rPr>
          <w:rFonts w:hint="eastAsia" w:ascii="宋体" w:hAnsi="宋体"/>
          <w:color w:val="auto"/>
          <w:kern w:val="0"/>
          <w:szCs w:val="21"/>
          <w:highlight w:val="none"/>
          <w:u w:val="single"/>
        </w:rPr>
        <w:t xml:space="preserve">（采购合同编号：    ）的约定，我单位对（项目名称）       政府采购项目中标（或成交）供应商（公司名称）       </w:t>
      </w:r>
      <w:r>
        <w:rPr>
          <w:rFonts w:hint="eastAsia" w:ascii="宋体" w:hAnsi="宋体"/>
          <w:color w:val="auto"/>
          <w:kern w:val="0"/>
          <w:szCs w:val="21"/>
          <w:highlight w:val="none"/>
        </w:rPr>
        <w:t>提供的或服务进行了验收，验收情况如下：</w:t>
      </w:r>
    </w:p>
    <w:tbl>
      <w:tblPr>
        <w:tblStyle w:val="36"/>
        <w:tblW w:w="970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519"/>
        <w:gridCol w:w="1963"/>
        <w:gridCol w:w="1579"/>
        <w:gridCol w:w="1862"/>
        <w:gridCol w:w="660"/>
        <w:gridCol w:w="338"/>
        <w:gridCol w:w="177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3482" w:type="dxa"/>
            <w:gridSpan w:val="2"/>
            <w:vAlign w:val="center"/>
          </w:tcPr>
          <w:p>
            <w:pPr>
              <w:widowControl/>
              <w:snapToGrid w:val="0"/>
              <w:ind w:left="-3"/>
              <w:jc w:val="center"/>
              <w:rPr>
                <w:rFonts w:ascii="宋体" w:hAnsi="宋体"/>
                <w:color w:val="auto"/>
                <w:kern w:val="0"/>
                <w:szCs w:val="21"/>
                <w:highlight w:val="none"/>
              </w:rPr>
            </w:pPr>
            <w:r>
              <w:rPr>
                <w:rFonts w:hint="eastAsia" w:ascii="宋体" w:hAnsi="宋体"/>
                <w:color w:val="auto"/>
                <w:kern w:val="0"/>
                <w:szCs w:val="21"/>
                <w:highlight w:val="none"/>
              </w:rPr>
              <w:t>验收方式：</w:t>
            </w:r>
          </w:p>
        </w:tc>
        <w:tc>
          <w:tcPr>
            <w:tcW w:w="6218" w:type="dxa"/>
            <w:gridSpan w:val="5"/>
            <w:vAlign w:val="center"/>
          </w:tcPr>
          <w:p>
            <w:pPr>
              <w:widowControl/>
              <w:snapToGrid w:val="0"/>
              <w:ind w:left="-3"/>
              <w:jc w:val="center"/>
              <w:rPr>
                <w:rFonts w:ascii="宋体" w:hAnsi="宋体"/>
                <w:color w:val="auto"/>
                <w:kern w:val="0"/>
                <w:szCs w:val="21"/>
                <w:highlight w:val="none"/>
              </w:rPr>
            </w:pPr>
            <w:r>
              <w:rPr>
                <w:rFonts w:hint="eastAsia" w:ascii="宋体" w:hAnsi="宋体"/>
                <w:color w:val="auto"/>
                <w:kern w:val="0"/>
                <w:szCs w:val="21"/>
                <w:highlight w:val="none"/>
              </w:rPr>
              <w:t>□自行验收         □联合验收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2" w:hRule="atLeast"/>
          <w:jc w:val="center"/>
        </w:trPr>
        <w:tc>
          <w:tcPr>
            <w:tcW w:w="1519" w:type="dxa"/>
            <w:vAlign w:val="center"/>
          </w:tcPr>
          <w:p>
            <w:pPr>
              <w:widowControl/>
              <w:snapToGrid w:val="0"/>
              <w:jc w:val="center"/>
              <w:rPr>
                <w:rFonts w:ascii="宋体" w:hAnsi="宋体"/>
                <w:color w:val="auto"/>
                <w:kern w:val="0"/>
                <w:szCs w:val="21"/>
                <w:highlight w:val="none"/>
              </w:rPr>
            </w:pPr>
            <w:r>
              <w:rPr>
                <w:rFonts w:hint="eastAsia" w:ascii="宋体" w:hAnsi="宋体"/>
                <w:color w:val="auto"/>
                <w:kern w:val="0"/>
                <w:szCs w:val="21"/>
                <w:highlight w:val="none"/>
              </w:rPr>
              <w:t>序号</w:t>
            </w:r>
          </w:p>
        </w:tc>
        <w:tc>
          <w:tcPr>
            <w:tcW w:w="1963" w:type="dxa"/>
            <w:vAlign w:val="center"/>
          </w:tcPr>
          <w:p>
            <w:pPr>
              <w:widowControl/>
              <w:snapToGrid w:val="0"/>
              <w:ind w:left="-3"/>
              <w:jc w:val="center"/>
              <w:rPr>
                <w:rFonts w:ascii="宋体" w:hAnsi="宋体"/>
                <w:color w:val="auto"/>
                <w:kern w:val="0"/>
                <w:szCs w:val="21"/>
                <w:highlight w:val="none"/>
              </w:rPr>
            </w:pPr>
            <w:r>
              <w:rPr>
                <w:rFonts w:hint="eastAsia" w:ascii="宋体" w:hAnsi="宋体"/>
                <w:color w:val="auto"/>
                <w:kern w:val="0"/>
                <w:szCs w:val="21"/>
                <w:highlight w:val="none"/>
              </w:rPr>
              <w:t>名  称</w:t>
            </w:r>
          </w:p>
        </w:tc>
        <w:tc>
          <w:tcPr>
            <w:tcW w:w="3441" w:type="dxa"/>
            <w:gridSpan w:val="2"/>
            <w:vAlign w:val="center"/>
          </w:tcPr>
          <w:p>
            <w:pPr>
              <w:widowControl/>
              <w:snapToGrid w:val="0"/>
              <w:jc w:val="center"/>
              <w:rPr>
                <w:rFonts w:ascii="宋体" w:hAnsi="宋体"/>
                <w:color w:val="auto"/>
                <w:kern w:val="0"/>
                <w:szCs w:val="21"/>
                <w:highlight w:val="none"/>
              </w:rPr>
            </w:pPr>
            <w:r>
              <w:rPr>
                <w:rFonts w:hint="eastAsia" w:ascii="宋体" w:hAnsi="宋体"/>
                <w:color w:val="auto"/>
                <w:kern w:val="0"/>
                <w:szCs w:val="21"/>
                <w:highlight w:val="none"/>
              </w:rPr>
              <w:t>服务内容、标准</w:t>
            </w:r>
          </w:p>
        </w:tc>
        <w:tc>
          <w:tcPr>
            <w:tcW w:w="998" w:type="dxa"/>
            <w:gridSpan w:val="2"/>
            <w:vAlign w:val="center"/>
          </w:tcPr>
          <w:p>
            <w:pPr>
              <w:widowControl/>
              <w:snapToGrid w:val="0"/>
              <w:jc w:val="center"/>
              <w:rPr>
                <w:rFonts w:ascii="宋体" w:hAnsi="宋体"/>
                <w:color w:val="auto"/>
                <w:kern w:val="0"/>
                <w:szCs w:val="21"/>
                <w:highlight w:val="none"/>
              </w:rPr>
            </w:pPr>
            <w:r>
              <w:rPr>
                <w:rFonts w:hint="eastAsia" w:ascii="宋体" w:hAnsi="宋体"/>
                <w:color w:val="auto"/>
                <w:kern w:val="0"/>
                <w:szCs w:val="21"/>
                <w:highlight w:val="none"/>
              </w:rPr>
              <w:t>数量</w:t>
            </w:r>
          </w:p>
        </w:tc>
        <w:tc>
          <w:tcPr>
            <w:tcW w:w="1779" w:type="dxa"/>
            <w:vAlign w:val="center"/>
          </w:tcPr>
          <w:p>
            <w:pPr>
              <w:widowControl/>
              <w:snapToGrid w:val="0"/>
              <w:ind w:left="-3"/>
              <w:jc w:val="center"/>
              <w:rPr>
                <w:rFonts w:ascii="宋体" w:hAnsi="宋体"/>
                <w:color w:val="auto"/>
                <w:kern w:val="0"/>
                <w:szCs w:val="21"/>
                <w:highlight w:val="none"/>
              </w:rPr>
            </w:pPr>
            <w:r>
              <w:rPr>
                <w:rFonts w:hint="eastAsia" w:ascii="宋体" w:hAnsi="宋体"/>
                <w:color w:val="auto"/>
                <w:kern w:val="0"/>
                <w:szCs w:val="21"/>
                <w:highlight w:val="none"/>
              </w:rPr>
              <w:t>与合同约定</w:t>
            </w:r>
          </w:p>
          <w:p>
            <w:pPr>
              <w:widowControl/>
              <w:snapToGrid w:val="0"/>
              <w:ind w:left="-3"/>
              <w:jc w:val="center"/>
              <w:rPr>
                <w:rFonts w:ascii="宋体" w:hAnsi="宋体"/>
                <w:color w:val="auto"/>
                <w:kern w:val="0"/>
                <w:szCs w:val="21"/>
                <w:highlight w:val="none"/>
              </w:rPr>
            </w:pPr>
            <w:r>
              <w:rPr>
                <w:rFonts w:hint="eastAsia" w:ascii="宋体" w:hAnsi="宋体"/>
                <w:color w:val="auto"/>
                <w:kern w:val="0"/>
                <w:szCs w:val="21"/>
                <w:highlight w:val="none"/>
              </w:rPr>
              <w:t>是否一致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color w:val="auto"/>
                <w:kern w:val="0"/>
                <w:szCs w:val="21"/>
                <w:highlight w:val="none"/>
              </w:rPr>
            </w:pPr>
            <w:r>
              <w:rPr>
                <w:rFonts w:hint="eastAsia" w:ascii="宋体" w:hAnsi="宋体"/>
                <w:color w:val="auto"/>
                <w:kern w:val="0"/>
                <w:szCs w:val="21"/>
                <w:highlight w:val="none"/>
              </w:rPr>
              <w:t> </w:t>
            </w:r>
          </w:p>
        </w:tc>
        <w:tc>
          <w:tcPr>
            <w:tcW w:w="1963" w:type="dxa"/>
            <w:vAlign w:val="center"/>
          </w:tcPr>
          <w:p>
            <w:pPr>
              <w:widowControl/>
              <w:snapToGrid w:val="0"/>
              <w:ind w:left="-3" w:firstLine="576"/>
              <w:jc w:val="left"/>
              <w:rPr>
                <w:rFonts w:ascii="宋体" w:hAnsi="宋体"/>
                <w:color w:val="auto"/>
                <w:kern w:val="0"/>
                <w:szCs w:val="21"/>
                <w:highlight w:val="none"/>
              </w:rPr>
            </w:pPr>
            <w:r>
              <w:rPr>
                <w:rFonts w:hint="eastAsia" w:ascii="宋体" w:hAnsi="宋体"/>
                <w:color w:val="auto"/>
                <w:kern w:val="0"/>
                <w:szCs w:val="21"/>
                <w:highlight w:val="none"/>
              </w:rPr>
              <w:t> </w:t>
            </w:r>
          </w:p>
        </w:tc>
        <w:tc>
          <w:tcPr>
            <w:tcW w:w="3441" w:type="dxa"/>
            <w:gridSpan w:val="2"/>
            <w:vAlign w:val="center"/>
          </w:tcPr>
          <w:p>
            <w:pPr>
              <w:widowControl/>
              <w:snapToGrid w:val="0"/>
              <w:ind w:left="-3" w:firstLine="576"/>
              <w:jc w:val="left"/>
              <w:rPr>
                <w:rFonts w:ascii="宋体" w:hAnsi="宋体"/>
                <w:color w:val="auto"/>
                <w:kern w:val="0"/>
                <w:szCs w:val="21"/>
                <w:highlight w:val="none"/>
              </w:rPr>
            </w:pPr>
            <w:r>
              <w:rPr>
                <w:rFonts w:hint="eastAsia" w:ascii="宋体" w:hAnsi="宋体"/>
                <w:color w:val="auto"/>
                <w:kern w:val="0"/>
                <w:szCs w:val="21"/>
                <w:highlight w:val="none"/>
              </w:rPr>
              <w:t> </w:t>
            </w:r>
          </w:p>
        </w:tc>
        <w:tc>
          <w:tcPr>
            <w:tcW w:w="998" w:type="dxa"/>
            <w:gridSpan w:val="2"/>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w:t>
            </w:r>
          </w:p>
        </w:tc>
        <w:tc>
          <w:tcPr>
            <w:tcW w:w="1779" w:type="dxa"/>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color w:val="auto"/>
                <w:kern w:val="0"/>
                <w:szCs w:val="21"/>
                <w:highlight w:val="none"/>
              </w:rPr>
            </w:pPr>
            <w:r>
              <w:rPr>
                <w:rFonts w:hint="eastAsia" w:ascii="宋体" w:hAnsi="宋体"/>
                <w:color w:val="auto"/>
                <w:kern w:val="0"/>
                <w:szCs w:val="21"/>
                <w:highlight w:val="none"/>
              </w:rPr>
              <w:t> </w:t>
            </w:r>
          </w:p>
        </w:tc>
        <w:tc>
          <w:tcPr>
            <w:tcW w:w="1963" w:type="dxa"/>
            <w:vAlign w:val="center"/>
          </w:tcPr>
          <w:p>
            <w:pPr>
              <w:widowControl/>
              <w:snapToGrid w:val="0"/>
              <w:ind w:left="-3" w:firstLine="576"/>
              <w:jc w:val="left"/>
              <w:rPr>
                <w:rFonts w:ascii="宋体" w:hAnsi="宋体"/>
                <w:color w:val="auto"/>
                <w:kern w:val="0"/>
                <w:szCs w:val="21"/>
                <w:highlight w:val="none"/>
              </w:rPr>
            </w:pPr>
            <w:r>
              <w:rPr>
                <w:rFonts w:hint="eastAsia" w:ascii="宋体" w:hAnsi="宋体"/>
                <w:color w:val="auto"/>
                <w:kern w:val="0"/>
                <w:szCs w:val="21"/>
                <w:highlight w:val="none"/>
              </w:rPr>
              <w:t> </w:t>
            </w:r>
          </w:p>
        </w:tc>
        <w:tc>
          <w:tcPr>
            <w:tcW w:w="3441" w:type="dxa"/>
            <w:gridSpan w:val="2"/>
            <w:vAlign w:val="center"/>
          </w:tcPr>
          <w:p>
            <w:pPr>
              <w:widowControl/>
              <w:snapToGrid w:val="0"/>
              <w:ind w:left="-3" w:firstLine="576"/>
              <w:jc w:val="left"/>
              <w:rPr>
                <w:rFonts w:ascii="宋体" w:hAnsi="宋体"/>
                <w:color w:val="auto"/>
                <w:kern w:val="0"/>
                <w:szCs w:val="21"/>
                <w:highlight w:val="none"/>
              </w:rPr>
            </w:pPr>
            <w:r>
              <w:rPr>
                <w:rFonts w:hint="eastAsia" w:ascii="宋体" w:hAnsi="宋体"/>
                <w:color w:val="auto"/>
                <w:kern w:val="0"/>
                <w:szCs w:val="21"/>
                <w:highlight w:val="none"/>
              </w:rPr>
              <w:t> </w:t>
            </w:r>
          </w:p>
        </w:tc>
        <w:tc>
          <w:tcPr>
            <w:tcW w:w="998" w:type="dxa"/>
            <w:gridSpan w:val="2"/>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w:t>
            </w:r>
          </w:p>
        </w:tc>
        <w:tc>
          <w:tcPr>
            <w:tcW w:w="1779" w:type="dxa"/>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color w:val="auto"/>
                <w:kern w:val="0"/>
                <w:szCs w:val="21"/>
                <w:highlight w:val="none"/>
              </w:rPr>
            </w:pPr>
            <w:r>
              <w:rPr>
                <w:rFonts w:hint="eastAsia" w:ascii="宋体" w:hAnsi="宋体"/>
                <w:color w:val="auto"/>
                <w:kern w:val="0"/>
                <w:szCs w:val="21"/>
                <w:highlight w:val="none"/>
              </w:rPr>
              <w:t> </w:t>
            </w:r>
          </w:p>
        </w:tc>
        <w:tc>
          <w:tcPr>
            <w:tcW w:w="1963" w:type="dxa"/>
            <w:vAlign w:val="center"/>
          </w:tcPr>
          <w:p>
            <w:pPr>
              <w:widowControl/>
              <w:snapToGrid w:val="0"/>
              <w:ind w:left="-3" w:firstLine="576"/>
              <w:jc w:val="left"/>
              <w:rPr>
                <w:rFonts w:ascii="宋体" w:hAnsi="宋体"/>
                <w:color w:val="auto"/>
                <w:kern w:val="0"/>
                <w:szCs w:val="21"/>
                <w:highlight w:val="none"/>
              </w:rPr>
            </w:pPr>
            <w:r>
              <w:rPr>
                <w:rFonts w:hint="eastAsia" w:ascii="宋体" w:hAnsi="宋体"/>
                <w:color w:val="auto"/>
                <w:kern w:val="0"/>
                <w:szCs w:val="21"/>
                <w:highlight w:val="none"/>
              </w:rPr>
              <w:t> </w:t>
            </w:r>
          </w:p>
        </w:tc>
        <w:tc>
          <w:tcPr>
            <w:tcW w:w="3441" w:type="dxa"/>
            <w:gridSpan w:val="2"/>
            <w:vAlign w:val="center"/>
          </w:tcPr>
          <w:p>
            <w:pPr>
              <w:widowControl/>
              <w:snapToGrid w:val="0"/>
              <w:ind w:left="-3" w:firstLine="576"/>
              <w:jc w:val="left"/>
              <w:rPr>
                <w:rFonts w:ascii="宋体" w:hAnsi="宋体"/>
                <w:color w:val="auto"/>
                <w:kern w:val="0"/>
                <w:szCs w:val="21"/>
                <w:highlight w:val="none"/>
              </w:rPr>
            </w:pPr>
            <w:r>
              <w:rPr>
                <w:rFonts w:hint="eastAsia" w:ascii="宋体" w:hAnsi="宋体"/>
                <w:color w:val="auto"/>
                <w:kern w:val="0"/>
                <w:szCs w:val="21"/>
                <w:highlight w:val="none"/>
              </w:rPr>
              <w:t> </w:t>
            </w:r>
          </w:p>
        </w:tc>
        <w:tc>
          <w:tcPr>
            <w:tcW w:w="998" w:type="dxa"/>
            <w:gridSpan w:val="2"/>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w:t>
            </w:r>
          </w:p>
        </w:tc>
        <w:tc>
          <w:tcPr>
            <w:tcW w:w="1779" w:type="dxa"/>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color w:val="auto"/>
                <w:kern w:val="0"/>
                <w:szCs w:val="21"/>
                <w:highlight w:val="none"/>
              </w:rPr>
            </w:pPr>
            <w:r>
              <w:rPr>
                <w:rFonts w:hint="eastAsia" w:ascii="宋体" w:hAnsi="宋体"/>
                <w:color w:val="auto"/>
                <w:kern w:val="0"/>
                <w:szCs w:val="21"/>
                <w:highlight w:val="none"/>
              </w:rPr>
              <w:t> </w:t>
            </w:r>
          </w:p>
        </w:tc>
        <w:tc>
          <w:tcPr>
            <w:tcW w:w="1963" w:type="dxa"/>
            <w:vAlign w:val="center"/>
          </w:tcPr>
          <w:p>
            <w:pPr>
              <w:widowControl/>
              <w:snapToGrid w:val="0"/>
              <w:ind w:left="-3" w:firstLine="576"/>
              <w:jc w:val="left"/>
              <w:rPr>
                <w:rFonts w:ascii="宋体" w:hAnsi="宋体"/>
                <w:color w:val="auto"/>
                <w:kern w:val="0"/>
                <w:szCs w:val="21"/>
                <w:highlight w:val="none"/>
              </w:rPr>
            </w:pPr>
            <w:r>
              <w:rPr>
                <w:rFonts w:hint="eastAsia" w:ascii="宋体" w:hAnsi="宋体"/>
                <w:color w:val="auto"/>
                <w:kern w:val="0"/>
                <w:szCs w:val="21"/>
                <w:highlight w:val="none"/>
              </w:rPr>
              <w:t> </w:t>
            </w:r>
          </w:p>
        </w:tc>
        <w:tc>
          <w:tcPr>
            <w:tcW w:w="3441" w:type="dxa"/>
            <w:gridSpan w:val="2"/>
            <w:vAlign w:val="center"/>
          </w:tcPr>
          <w:p>
            <w:pPr>
              <w:widowControl/>
              <w:snapToGrid w:val="0"/>
              <w:ind w:left="-3" w:firstLine="576"/>
              <w:jc w:val="left"/>
              <w:rPr>
                <w:rFonts w:ascii="宋体" w:hAnsi="宋体"/>
                <w:color w:val="auto"/>
                <w:kern w:val="0"/>
                <w:szCs w:val="21"/>
                <w:highlight w:val="none"/>
              </w:rPr>
            </w:pPr>
            <w:r>
              <w:rPr>
                <w:rFonts w:hint="eastAsia" w:ascii="宋体" w:hAnsi="宋体"/>
                <w:color w:val="auto"/>
                <w:kern w:val="0"/>
                <w:szCs w:val="21"/>
                <w:highlight w:val="none"/>
              </w:rPr>
              <w:t> </w:t>
            </w:r>
          </w:p>
        </w:tc>
        <w:tc>
          <w:tcPr>
            <w:tcW w:w="998" w:type="dxa"/>
            <w:gridSpan w:val="2"/>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w:t>
            </w:r>
          </w:p>
        </w:tc>
        <w:tc>
          <w:tcPr>
            <w:tcW w:w="1779" w:type="dxa"/>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color w:val="auto"/>
                <w:kern w:val="0"/>
                <w:szCs w:val="21"/>
                <w:highlight w:val="none"/>
              </w:rPr>
            </w:pPr>
          </w:p>
        </w:tc>
        <w:tc>
          <w:tcPr>
            <w:tcW w:w="1963" w:type="dxa"/>
            <w:vAlign w:val="center"/>
          </w:tcPr>
          <w:p>
            <w:pPr>
              <w:widowControl/>
              <w:snapToGrid w:val="0"/>
              <w:ind w:left="-3" w:firstLine="576"/>
              <w:jc w:val="left"/>
              <w:rPr>
                <w:rFonts w:ascii="宋体" w:hAnsi="宋体"/>
                <w:color w:val="auto"/>
                <w:kern w:val="0"/>
                <w:szCs w:val="21"/>
                <w:highlight w:val="none"/>
              </w:rPr>
            </w:pPr>
          </w:p>
        </w:tc>
        <w:tc>
          <w:tcPr>
            <w:tcW w:w="3441" w:type="dxa"/>
            <w:gridSpan w:val="2"/>
            <w:vAlign w:val="center"/>
          </w:tcPr>
          <w:p>
            <w:pPr>
              <w:widowControl/>
              <w:snapToGrid w:val="0"/>
              <w:ind w:left="-3" w:firstLine="576"/>
              <w:jc w:val="left"/>
              <w:rPr>
                <w:rFonts w:ascii="宋体" w:hAnsi="宋体"/>
                <w:color w:val="auto"/>
                <w:kern w:val="0"/>
                <w:szCs w:val="21"/>
                <w:highlight w:val="none"/>
              </w:rPr>
            </w:pPr>
          </w:p>
        </w:tc>
        <w:tc>
          <w:tcPr>
            <w:tcW w:w="998" w:type="dxa"/>
            <w:gridSpan w:val="2"/>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xml:space="preserve"> </w:t>
            </w:r>
          </w:p>
        </w:tc>
        <w:tc>
          <w:tcPr>
            <w:tcW w:w="1779" w:type="dxa"/>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color w:val="auto"/>
                <w:kern w:val="0"/>
                <w:szCs w:val="21"/>
                <w:highlight w:val="none"/>
              </w:rPr>
            </w:pPr>
          </w:p>
        </w:tc>
        <w:tc>
          <w:tcPr>
            <w:tcW w:w="1963" w:type="dxa"/>
            <w:vAlign w:val="center"/>
          </w:tcPr>
          <w:p>
            <w:pPr>
              <w:widowControl/>
              <w:snapToGrid w:val="0"/>
              <w:ind w:left="-3" w:firstLine="576"/>
              <w:jc w:val="left"/>
              <w:rPr>
                <w:rFonts w:ascii="宋体" w:hAnsi="宋体"/>
                <w:color w:val="auto"/>
                <w:kern w:val="0"/>
                <w:szCs w:val="21"/>
                <w:highlight w:val="none"/>
              </w:rPr>
            </w:pPr>
          </w:p>
        </w:tc>
        <w:tc>
          <w:tcPr>
            <w:tcW w:w="3441" w:type="dxa"/>
            <w:gridSpan w:val="2"/>
            <w:vAlign w:val="center"/>
          </w:tcPr>
          <w:p>
            <w:pPr>
              <w:widowControl/>
              <w:snapToGrid w:val="0"/>
              <w:ind w:left="-3" w:firstLine="576"/>
              <w:jc w:val="left"/>
              <w:rPr>
                <w:rFonts w:ascii="宋体" w:hAnsi="宋体"/>
                <w:color w:val="auto"/>
                <w:kern w:val="0"/>
                <w:szCs w:val="21"/>
                <w:highlight w:val="none"/>
              </w:rPr>
            </w:pPr>
          </w:p>
        </w:tc>
        <w:tc>
          <w:tcPr>
            <w:tcW w:w="998" w:type="dxa"/>
            <w:gridSpan w:val="2"/>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xml:space="preserve"> </w:t>
            </w:r>
          </w:p>
        </w:tc>
        <w:tc>
          <w:tcPr>
            <w:tcW w:w="1779" w:type="dxa"/>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color w:val="auto"/>
                <w:kern w:val="0"/>
                <w:szCs w:val="21"/>
                <w:highlight w:val="none"/>
              </w:rPr>
            </w:pPr>
          </w:p>
        </w:tc>
        <w:tc>
          <w:tcPr>
            <w:tcW w:w="1963" w:type="dxa"/>
            <w:vAlign w:val="center"/>
          </w:tcPr>
          <w:p>
            <w:pPr>
              <w:widowControl/>
              <w:snapToGrid w:val="0"/>
              <w:ind w:left="-3" w:firstLine="576"/>
              <w:jc w:val="left"/>
              <w:rPr>
                <w:rFonts w:ascii="宋体" w:hAnsi="宋体"/>
                <w:color w:val="auto"/>
                <w:kern w:val="0"/>
                <w:szCs w:val="21"/>
                <w:highlight w:val="none"/>
              </w:rPr>
            </w:pPr>
          </w:p>
        </w:tc>
        <w:tc>
          <w:tcPr>
            <w:tcW w:w="3441" w:type="dxa"/>
            <w:gridSpan w:val="2"/>
            <w:vAlign w:val="center"/>
          </w:tcPr>
          <w:p>
            <w:pPr>
              <w:widowControl/>
              <w:snapToGrid w:val="0"/>
              <w:ind w:left="-3" w:firstLine="576"/>
              <w:jc w:val="left"/>
              <w:rPr>
                <w:rFonts w:ascii="宋体" w:hAnsi="宋体"/>
                <w:color w:val="auto"/>
                <w:kern w:val="0"/>
                <w:szCs w:val="21"/>
                <w:highlight w:val="none"/>
              </w:rPr>
            </w:pPr>
          </w:p>
        </w:tc>
        <w:tc>
          <w:tcPr>
            <w:tcW w:w="998" w:type="dxa"/>
            <w:gridSpan w:val="2"/>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xml:space="preserve"> </w:t>
            </w:r>
          </w:p>
        </w:tc>
        <w:tc>
          <w:tcPr>
            <w:tcW w:w="1779" w:type="dxa"/>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1519" w:type="dxa"/>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实际供货日期</w:t>
            </w:r>
          </w:p>
        </w:tc>
        <w:tc>
          <w:tcPr>
            <w:tcW w:w="3542" w:type="dxa"/>
            <w:gridSpan w:val="2"/>
            <w:vAlign w:val="center"/>
          </w:tcPr>
          <w:p>
            <w:pPr>
              <w:snapToGrid w:val="0"/>
              <w:jc w:val="left"/>
              <w:rPr>
                <w:rFonts w:ascii="宋体" w:hAnsi="宋体"/>
                <w:color w:val="auto"/>
                <w:kern w:val="0"/>
                <w:szCs w:val="21"/>
                <w:highlight w:val="none"/>
              </w:rPr>
            </w:pPr>
            <w:r>
              <w:rPr>
                <w:rFonts w:hint="eastAsia" w:ascii="宋体" w:hAnsi="宋体"/>
                <w:color w:val="auto"/>
                <w:kern w:val="0"/>
                <w:szCs w:val="21"/>
                <w:highlight w:val="none"/>
              </w:rPr>
              <w:t xml:space="preserve"> </w:t>
            </w:r>
          </w:p>
        </w:tc>
        <w:tc>
          <w:tcPr>
            <w:tcW w:w="2522" w:type="dxa"/>
            <w:gridSpan w:val="2"/>
            <w:vAlign w:val="center"/>
          </w:tcPr>
          <w:p>
            <w:pPr>
              <w:snapToGrid w:val="0"/>
              <w:ind w:left="590"/>
              <w:jc w:val="left"/>
              <w:rPr>
                <w:rFonts w:ascii="宋体" w:hAnsi="宋体"/>
                <w:color w:val="auto"/>
                <w:kern w:val="0"/>
                <w:szCs w:val="21"/>
                <w:highlight w:val="none"/>
              </w:rPr>
            </w:pPr>
            <w:r>
              <w:rPr>
                <w:rFonts w:hint="eastAsia" w:ascii="宋体" w:hAnsi="宋体"/>
                <w:color w:val="auto"/>
                <w:kern w:val="0"/>
                <w:szCs w:val="21"/>
                <w:highlight w:val="none"/>
              </w:rPr>
              <w:t>合同交货验收日期</w:t>
            </w:r>
          </w:p>
        </w:tc>
        <w:tc>
          <w:tcPr>
            <w:tcW w:w="2117" w:type="dxa"/>
            <w:gridSpan w:val="2"/>
            <w:vAlign w:val="center"/>
          </w:tcPr>
          <w:p>
            <w:pPr>
              <w:snapToGrid w:val="0"/>
              <w:jc w:val="left"/>
              <w:rPr>
                <w:rFonts w:ascii="宋体" w:hAnsi="宋体"/>
                <w:color w:val="auto"/>
                <w:kern w:val="0"/>
                <w:szCs w:val="21"/>
                <w:highlight w:val="none"/>
              </w:rPr>
            </w:pPr>
            <w:r>
              <w:rPr>
                <w:rFonts w:hint="eastAsia" w:ascii="宋体" w:hAnsi="宋体"/>
                <w:color w:val="auto"/>
                <w:kern w:val="0"/>
                <w:szCs w:val="21"/>
                <w:highlight w:val="none"/>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19" w:type="dxa"/>
            <w:tcMar>
              <w:top w:w="0" w:type="dxa"/>
              <w:left w:w="108" w:type="dxa"/>
              <w:bottom w:w="0" w:type="dxa"/>
              <w:right w:w="108" w:type="dxa"/>
            </w:tcMar>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验收具体内容</w:t>
            </w:r>
          </w:p>
        </w:tc>
        <w:tc>
          <w:tcPr>
            <w:tcW w:w="8181" w:type="dxa"/>
            <w:gridSpan w:val="6"/>
            <w:tcMar>
              <w:top w:w="0" w:type="dxa"/>
              <w:left w:w="108" w:type="dxa"/>
              <w:bottom w:w="0" w:type="dxa"/>
              <w:right w:w="108" w:type="dxa"/>
            </w:tcMar>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(按招标采购文件及验收方案等。可附件)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49" w:hRule="atLeast"/>
          <w:jc w:val="center"/>
        </w:trPr>
        <w:tc>
          <w:tcPr>
            <w:tcW w:w="1519" w:type="dxa"/>
            <w:tcMar>
              <w:top w:w="0" w:type="dxa"/>
              <w:left w:w="108" w:type="dxa"/>
              <w:bottom w:w="0" w:type="dxa"/>
              <w:right w:w="108" w:type="dxa"/>
            </w:tcMar>
            <w:vAlign w:val="center"/>
          </w:tcPr>
          <w:p>
            <w:pPr>
              <w:widowControl/>
              <w:jc w:val="left"/>
              <w:rPr>
                <w:rFonts w:ascii="宋体" w:hAnsi="宋体"/>
                <w:color w:val="auto"/>
                <w:kern w:val="0"/>
                <w:szCs w:val="21"/>
                <w:highlight w:val="none"/>
              </w:rPr>
            </w:pPr>
            <w:r>
              <w:rPr>
                <w:rFonts w:hint="eastAsia" w:ascii="宋体" w:hAnsi="宋体"/>
                <w:color w:val="auto"/>
                <w:kern w:val="0"/>
                <w:szCs w:val="21"/>
                <w:highlight w:val="none"/>
              </w:rPr>
              <w:t>验收小组意见</w:t>
            </w:r>
          </w:p>
        </w:tc>
        <w:tc>
          <w:tcPr>
            <w:tcW w:w="8181" w:type="dxa"/>
            <w:gridSpan w:val="6"/>
            <w:vAlign w:val="center"/>
          </w:tcPr>
          <w:p>
            <w:pPr>
              <w:widowControl/>
              <w:jc w:val="left"/>
              <w:rPr>
                <w:rFonts w:ascii="宋体" w:hAnsi="宋体"/>
                <w:color w:val="auto"/>
                <w:kern w:val="0"/>
                <w:szCs w:val="21"/>
                <w:highlight w:val="none"/>
              </w:rPr>
            </w:pPr>
            <w:r>
              <w:rPr>
                <w:rFonts w:hint="eastAsia" w:ascii="宋体" w:hAnsi="宋体"/>
                <w:color w:val="auto"/>
                <w:kern w:val="0"/>
                <w:szCs w:val="21"/>
                <w:highlight w:val="none"/>
              </w:rPr>
              <w:t> </w:t>
            </w:r>
          </w:p>
          <w:p>
            <w:pPr>
              <w:widowControl/>
              <w:jc w:val="left"/>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9700" w:type="dxa"/>
            <w:gridSpan w:val="7"/>
            <w:tcMar>
              <w:top w:w="0" w:type="dxa"/>
              <w:left w:w="108" w:type="dxa"/>
              <w:bottom w:w="0" w:type="dxa"/>
              <w:right w:w="108" w:type="dxa"/>
            </w:tcMar>
            <w:vAlign w:val="center"/>
          </w:tcPr>
          <w:p>
            <w:pPr>
              <w:widowControl/>
              <w:jc w:val="left"/>
              <w:rPr>
                <w:rFonts w:ascii="宋体" w:hAnsi="宋体"/>
                <w:color w:val="auto"/>
                <w:kern w:val="0"/>
                <w:szCs w:val="21"/>
                <w:highlight w:val="none"/>
              </w:rPr>
            </w:pPr>
            <w:r>
              <w:rPr>
                <w:rFonts w:hint="eastAsia" w:ascii="宋体" w:hAnsi="宋体"/>
                <w:color w:val="auto"/>
                <w:kern w:val="0"/>
                <w:szCs w:val="21"/>
                <w:highlight w:val="none"/>
              </w:rPr>
              <w:t>验收小组成员签字：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9700" w:type="dxa"/>
            <w:gridSpan w:val="7"/>
            <w:tcMar>
              <w:top w:w="0" w:type="dxa"/>
              <w:left w:w="108" w:type="dxa"/>
              <w:bottom w:w="0" w:type="dxa"/>
              <w:right w:w="108" w:type="dxa"/>
            </w:tcMar>
            <w:vAlign w:val="center"/>
          </w:tcPr>
          <w:p>
            <w:pPr>
              <w:widowControl/>
              <w:jc w:val="left"/>
              <w:rPr>
                <w:rFonts w:ascii="宋体" w:hAnsi="宋体"/>
                <w:color w:val="auto"/>
                <w:kern w:val="0"/>
                <w:szCs w:val="21"/>
                <w:highlight w:val="none"/>
              </w:rPr>
            </w:pPr>
            <w:r>
              <w:rPr>
                <w:rFonts w:hint="eastAsia" w:ascii="宋体" w:hAnsi="宋体"/>
                <w:color w:val="auto"/>
                <w:kern w:val="0"/>
                <w:szCs w:val="21"/>
                <w:highlight w:val="none"/>
              </w:rPr>
              <w:t>参与验收其他或监督人员签字：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13" w:hRule="atLeast"/>
          <w:jc w:val="center"/>
        </w:trPr>
        <w:tc>
          <w:tcPr>
            <w:tcW w:w="5061" w:type="dxa"/>
            <w:gridSpan w:val="3"/>
            <w:tcMar>
              <w:top w:w="0" w:type="dxa"/>
              <w:left w:w="108" w:type="dxa"/>
              <w:bottom w:w="0" w:type="dxa"/>
              <w:right w:w="108" w:type="dxa"/>
            </w:tcMar>
            <w:vAlign w:val="center"/>
          </w:tcPr>
          <w:p>
            <w:pPr>
              <w:widowControl/>
              <w:jc w:val="left"/>
              <w:rPr>
                <w:rFonts w:ascii="宋体" w:hAnsi="宋体"/>
                <w:color w:val="auto"/>
                <w:kern w:val="0"/>
                <w:szCs w:val="21"/>
                <w:highlight w:val="none"/>
              </w:rPr>
            </w:pPr>
            <w:r>
              <w:rPr>
                <w:rFonts w:hint="eastAsia" w:ascii="宋体" w:hAnsi="宋体"/>
                <w:color w:val="auto"/>
                <w:kern w:val="0"/>
                <w:szCs w:val="21"/>
                <w:highlight w:val="none"/>
              </w:rPr>
              <w:t>供应商签字或盖章：</w:t>
            </w:r>
          </w:p>
          <w:p>
            <w:pPr>
              <w:widowControl/>
              <w:jc w:val="left"/>
              <w:rPr>
                <w:rFonts w:ascii="宋体" w:hAnsi="宋体"/>
                <w:color w:val="auto"/>
                <w:kern w:val="0"/>
                <w:szCs w:val="21"/>
                <w:highlight w:val="none"/>
              </w:rPr>
            </w:pPr>
            <w:r>
              <w:rPr>
                <w:rFonts w:hint="eastAsia" w:ascii="宋体" w:hAnsi="宋体"/>
                <w:color w:val="auto"/>
                <w:kern w:val="0"/>
                <w:szCs w:val="21"/>
                <w:highlight w:val="none"/>
              </w:rPr>
              <w:t>联系方式：         年 月 日</w:t>
            </w:r>
          </w:p>
        </w:tc>
        <w:tc>
          <w:tcPr>
            <w:tcW w:w="4639" w:type="dxa"/>
            <w:gridSpan w:val="4"/>
            <w:vAlign w:val="center"/>
          </w:tcPr>
          <w:p>
            <w:pPr>
              <w:widowControl/>
              <w:jc w:val="left"/>
              <w:rPr>
                <w:rFonts w:ascii="宋体" w:hAnsi="宋体"/>
                <w:color w:val="auto"/>
                <w:kern w:val="0"/>
                <w:szCs w:val="21"/>
                <w:highlight w:val="none"/>
              </w:rPr>
            </w:pPr>
            <w:r>
              <w:rPr>
                <w:rFonts w:hint="eastAsia" w:ascii="宋体" w:hAnsi="宋体"/>
                <w:color w:val="auto"/>
                <w:kern w:val="0"/>
                <w:szCs w:val="21"/>
                <w:highlight w:val="none"/>
              </w:rPr>
              <w:t> 采购单位盖章：</w:t>
            </w:r>
          </w:p>
          <w:p>
            <w:pPr>
              <w:widowControl/>
              <w:ind w:firstLine="2119"/>
              <w:jc w:val="left"/>
              <w:rPr>
                <w:rFonts w:ascii="宋体" w:hAnsi="宋体"/>
                <w:color w:val="auto"/>
                <w:kern w:val="0"/>
                <w:szCs w:val="21"/>
                <w:highlight w:val="none"/>
              </w:rPr>
            </w:pPr>
            <w:r>
              <w:rPr>
                <w:rFonts w:hint="eastAsia" w:ascii="宋体" w:hAnsi="宋体"/>
                <w:color w:val="auto"/>
                <w:kern w:val="0"/>
                <w:szCs w:val="21"/>
                <w:highlight w:val="none"/>
              </w:rPr>
              <w:t>年 月 日</w:t>
            </w:r>
          </w:p>
        </w:tc>
      </w:tr>
    </w:tbl>
    <w:p>
      <w:pPr>
        <w:widowControl/>
        <w:jc w:val="left"/>
        <w:rPr>
          <w:rFonts w:ascii="宋体" w:hAnsi="宋体" w:cs="宋体"/>
          <w:color w:val="auto"/>
          <w:kern w:val="0"/>
          <w:szCs w:val="21"/>
          <w:highlight w:val="none"/>
        </w:rPr>
      </w:pPr>
      <w:r>
        <w:rPr>
          <w:rFonts w:hint="eastAsia" w:ascii="宋体" w:hAnsi="宋体" w:cs="宋体"/>
          <w:color w:val="auto"/>
          <w:spacing w:val="-20"/>
          <w:kern w:val="0"/>
          <w:szCs w:val="21"/>
          <w:highlight w:val="none"/>
        </w:rPr>
        <w:t xml:space="preserve">备注：本 报 告 单 一 式 4 份 （ 采 购 单 位 1 份 、 供 应 商 1 份 、 采 购 监 督 部 门 备 案 1 份 、 采 购 代 理 机 构 1 份 </w:t>
      </w:r>
      <w:r>
        <w:rPr>
          <w:rFonts w:hint="eastAsia" w:ascii="宋体" w:hAnsi="宋体" w:cs="宋体"/>
          <w:color w:val="auto"/>
          <w:kern w:val="0"/>
          <w:szCs w:val="21"/>
          <w:highlight w:val="none"/>
        </w:rPr>
        <w:t>）。</w:t>
      </w:r>
    </w:p>
    <w:p>
      <w:pPr>
        <w:jc w:val="left"/>
        <w:rPr>
          <w:rFonts w:ascii="宋体" w:hAnsi="宋体"/>
          <w:color w:val="auto"/>
          <w:sz w:val="24"/>
          <w:highlight w:val="none"/>
        </w:rPr>
      </w:pPr>
    </w:p>
    <w:p>
      <w:pPr>
        <w:pStyle w:val="22"/>
        <w:tabs>
          <w:tab w:val="left" w:pos="2472"/>
        </w:tabs>
        <w:snapToGrid w:val="0"/>
        <w:jc w:val="center"/>
        <w:rPr>
          <w:rFonts w:hAnsi="宋体"/>
          <w:color w:val="auto"/>
          <w:highlight w:val="none"/>
        </w:rPr>
      </w:pPr>
    </w:p>
    <w:p>
      <w:pPr>
        <w:pStyle w:val="22"/>
        <w:tabs>
          <w:tab w:val="left" w:pos="2472"/>
        </w:tabs>
        <w:snapToGrid w:val="0"/>
        <w:jc w:val="center"/>
        <w:rPr>
          <w:rFonts w:hAnsi="宋体"/>
          <w:color w:val="auto"/>
          <w:highlight w:val="none"/>
        </w:rPr>
      </w:pPr>
    </w:p>
    <w:p>
      <w:pPr>
        <w:pStyle w:val="22"/>
        <w:tabs>
          <w:tab w:val="left" w:pos="2472"/>
        </w:tabs>
        <w:snapToGrid w:val="0"/>
        <w:jc w:val="center"/>
        <w:rPr>
          <w:rFonts w:hAnsi="宋体"/>
          <w:color w:val="auto"/>
          <w:highlight w:val="none"/>
        </w:rPr>
      </w:pPr>
    </w:p>
    <w:p>
      <w:pPr>
        <w:pStyle w:val="22"/>
        <w:tabs>
          <w:tab w:val="left" w:pos="2472"/>
        </w:tabs>
        <w:snapToGrid w:val="0"/>
        <w:jc w:val="center"/>
        <w:rPr>
          <w:rFonts w:hAnsi="宋体"/>
          <w:color w:val="auto"/>
          <w:highlight w:val="none"/>
        </w:rPr>
      </w:pPr>
    </w:p>
    <w:p>
      <w:pPr>
        <w:pStyle w:val="22"/>
        <w:tabs>
          <w:tab w:val="left" w:pos="2472"/>
        </w:tabs>
        <w:snapToGrid w:val="0"/>
        <w:jc w:val="center"/>
        <w:rPr>
          <w:rFonts w:hAnsi="宋体"/>
          <w:color w:val="auto"/>
          <w:highlight w:val="none"/>
        </w:rPr>
      </w:pPr>
    </w:p>
    <w:p>
      <w:pPr>
        <w:pStyle w:val="22"/>
        <w:tabs>
          <w:tab w:val="left" w:pos="2472"/>
        </w:tabs>
        <w:snapToGrid w:val="0"/>
        <w:jc w:val="center"/>
        <w:rPr>
          <w:rFonts w:hAnsi="宋体"/>
          <w:color w:val="auto"/>
          <w:highlight w:val="none"/>
        </w:rPr>
      </w:pPr>
    </w:p>
    <w:p>
      <w:pPr>
        <w:pStyle w:val="22"/>
        <w:tabs>
          <w:tab w:val="left" w:pos="2472"/>
        </w:tabs>
        <w:snapToGrid w:val="0"/>
        <w:jc w:val="center"/>
        <w:rPr>
          <w:rFonts w:hAnsi="宋体"/>
          <w:color w:val="auto"/>
          <w:highlight w:val="none"/>
        </w:rPr>
      </w:pPr>
    </w:p>
    <w:p>
      <w:pPr>
        <w:pStyle w:val="22"/>
        <w:tabs>
          <w:tab w:val="left" w:pos="2472"/>
        </w:tabs>
        <w:snapToGrid w:val="0"/>
        <w:jc w:val="center"/>
        <w:rPr>
          <w:rFonts w:hAnsi="宋体"/>
          <w:color w:val="auto"/>
          <w:highlight w:val="none"/>
        </w:rPr>
      </w:pPr>
    </w:p>
    <w:p>
      <w:pPr>
        <w:pStyle w:val="22"/>
        <w:tabs>
          <w:tab w:val="left" w:pos="2472"/>
        </w:tabs>
        <w:snapToGrid w:val="0"/>
        <w:jc w:val="center"/>
        <w:rPr>
          <w:rFonts w:hAnsi="宋体"/>
          <w:color w:val="auto"/>
          <w:highlight w:val="none"/>
        </w:rPr>
      </w:pPr>
    </w:p>
    <w:p>
      <w:pPr>
        <w:pStyle w:val="22"/>
        <w:tabs>
          <w:tab w:val="left" w:pos="2472"/>
        </w:tabs>
        <w:snapToGrid w:val="0"/>
        <w:jc w:val="center"/>
        <w:rPr>
          <w:rFonts w:hAnsi="宋体"/>
          <w:color w:val="auto"/>
          <w:highlight w:val="none"/>
        </w:rPr>
      </w:pPr>
    </w:p>
    <w:p>
      <w:pPr>
        <w:pStyle w:val="22"/>
        <w:tabs>
          <w:tab w:val="left" w:pos="2472"/>
        </w:tabs>
        <w:snapToGrid w:val="0"/>
        <w:jc w:val="center"/>
        <w:rPr>
          <w:rFonts w:hAnsi="宋体"/>
          <w:color w:val="auto"/>
          <w:highlight w:val="none"/>
        </w:rPr>
      </w:pPr>
    </w:p>
    <w:p>
      <w:pPr>
        <w:pStyle w:val="22"/>
        <w:tabs>
          <w:tab w:val="left" w:pos="2472"/>
        </w:tabs>
        <w:snapToGrid w:val="0"/>
        <w:jc w:val="center"/>
        <w:rPr>
          <w:rFonts w:hAnsi="宋体"/>
          <w:color w:val="auto"/>
          <w:highlight w:val="none"/>
        </w:rPr>
      </w:pPr>
    </w:p>
    <w:p>
      <w:pPr>
        <w:pStyle w:val="22"/>
        <w:tabs>
          <w:tab w:val="left" w:pos="2472"/>
        </w:tabs>
        <w:snapToGrid w:val="0"/>
        <w:jc w:val="center"/>
        <w:rPr>
          <w:rFonts w:hAnsi="宋体"/>
          <w:color w:val="auto"/>
          <w:highlight w:val="none"/>
        </w:rPr>
      </w:pPr>
    </w:p>
    <w:p>
      <w:pPr>
        <w:pStyle w:val="22"/>
        <w:tabs>
          <w:tab w:val="left" w:pos="2472"/>
        </w:tabs>
        <w:snapToGrid w:val="0"/>
        <w:jc w:val="center"/>
        <w:rPr>
          <w:rFonts w:hAnsi="宋体"/>
          <w:color w:val="auto"/>
          <w:highlight w:val="none"/>
        </w:rPr>
      </w:pPr>
    </w:p>
    <w:p>
      <w:pPr>
        <w:pStyle w:val="22"/>
        <w:tabs>
          <w:tab w:val="left" w:pos="2472"/>
        </w:tabs>
        <w:snapToGrid w:val="0"/>
        <w:jc w:val="center"/>
        <w:rPr>
          <w:rFonts w:hAnsi="宋体"/>
          <w:color w:val="auto"/>
          <w:highlight w:val="none"/>
        </w:rPr>
      </w:pPr>
    </w:p>
    <w:p>
      <w:pPr>
        <w:pStyle w:val="22"/>
        <w:tabs>
          <w:tab w:val="left" w:pos="2472"/>
        </w:tabs>
        <w:snapToGrid w:val="0"/>
        <w:jc w:val="center"/>
        <w:rPr>
          <w:rFonts w:hAnsi="宋体"/>
          <w:color w:val="auto"/>
          <w:highlight w:val="none"/>
        </w:rPr>
      </w:pPr>
    </w:p>
    <w:p>
      <w:pPr>
        <w:pStyle w:val="22"/>
        <w:tabs>
          <w:tab w:val="left" w:pos="2472"/>
        </w:tabs>
        <w:snapToGrid w:val="0"/>
        <w:jc w:val="center"/>
        <w:rPr>
          <w:rFonts w:hAnsi="宋体"/>
          <w:color w:val="auto"/>
          <w:highlight w:val="none"/>
        </w:rPr>
      </w:pPr>
    </w:p>
    <w:p>
      <w:pPr>
        <w:pStyle w:val="22"/>
        <w:tabs>
          <w:tab w:val="left" w:pos="2472"/>
        </w:tabs>
        <w:snapToGrid w:val="0"/>
        <w:jc w:val="center"/>
        <w:outlineLvl w:val="0"/>
        <w:rPr>
          <w:rFonts w:hAnsi="宋体"/>
          <w:b/>
          <w:color w:val="auto"/>
          <w:sz w:val="44"/>
          <w:szCs w:val="44"/>
          <w:highlight w:val="none"/>
        </w:rPr>
      </w:pPr>
      <w:bookmarkStart w:id="288" w:name="_Toc23334"/>
      <w:r>
        <w:rPr>
          <w:rFonts w:hint="eastAsia" w:hAnsi="宋体"/>
          <w:b/>
          <w:color w:val="auto"/>
          <w:sz w:val="44"/>
          <w:szCs w:val="44"/>
          <w:highlight w:val="none"/>
        </w:rPr>
        <w:t>第六章 投标文件格式</w:t>
      </w:r>
      <w:bookmarkEnd w:id="288"/>
    </w:p>
    <w:p>
      <w:pPr>
        <w:spacing w:line="440" w:lineRule="atLeast"/>
        <w:jc w:val="center"/>
        <w:rPr>
          <w:rFonts w:ascii="宋体" w:hAnsi="宋体"/>
          <w:b/>
          <w:color w:val="auto"/>
          <w:sz w:val="32"/>
          <w:szCs w:val="32"/>
          <w:highlight w:val="none"/>
        </w:rPr>
      </w:pPr>
      <w:r>
        <w:rPr>
          <w:rFonts w:hint="eastAsia" w:ascii="宋体" w:hAnsi="宋体"/>
          <w:b/>
          <w:color w:val="auto"/>
          <w:sz w:val="32"/>
          <w:szCs w:val="32"/>
          <w:highlight w:val="none"/>
        </w:rPr>
        <w:t>（应根据项目的实际要求进行增减）</w:t>
      </w:r>
    </w:p>
    <w:p>
      <w:pPr>
        <w:snapToGrid w:val="0"/>
        <w:rPr>
          <w:rFonts w:ascii="宋体" w:hAnsi="宋体"/>
          <w:b/>
          <w:color w:val="auto"/>
          <w:sz w:val="24"/>
          <w:highlight w:val="none"/>
        </w:rPr>
      </w:pPr>
      <w:r>
        <w:rPr>
          <w:rFonts w:ascii="宋体" w:hAnsi="宋体"/>
          <w:color w:val="auto"/>
          <w:highlight w:val="none"/>
        </w:rPr>
        <w:br w:type="page"/>
      </w:r>
      <w:r>
        <w:rPr>
          <w:rFonts w:hint="eastAsia" w:ascii="宋体" w:hAnsi="宋体"/>
          <w:b/>
          <w:color w:val="auto"/>
          <w:sz w:val="24"/>
          <w:highlight w:val="none"/>
        </w:rPr>
        <w:t>开标一览表信封封面格式（可以手写，密封）：</w:t>
      </w:r>
    </w:p>
    <w:p>
      <w:pPr>
        <w:snapToGrid w:val="0"/>
        <w:rPr>
          <w:rFonts w:ascii="宋体" w:hAnsi="宋体"/>
          <w:color w:val="auto"/>
          <w:sz w:val="24"/>
          <w:highlight w:val="none"/>
        </w:rPr>
      </w:pPr>
    </w:p>
    <w:p>
      <w:pPr>
        <w:snapToGrid w:val="0"/>
        <w:rPr>
          <w:rFonts w:ascii="宋体" w:hAnsi="宋体"/>
          <w:color w:val="auto"/>
          <w:sz w:val="24"/>
          <w:highlight w:val="none"/>
        </w:rPr>
      </w:pPr>
    </w:p>
    <w:p>
      <w:pPr>
        <w:pStyle w:val="22"/>
        <w:snapToGrid w:val="0"/>
        <w:jc w:val="center"/>
        <w:rPr>
          <w:rFonts w:hAnsi="宋体"/>
          <w:color w:val="auto"/>
          <w:sz w:val="24"/>
          <w:szCs w:val="24"/>
          <w:highlight w:val="none"/>
        </w:rPr>
      </w:pPr>
      <w:r>
        <w:rPr>
          <w:rFonts w:hint="eastAsia" w:hAnsi="宋体"/>
          <w:color w:val="auto"/>
          <w:sz w:val="24"/>
          <w:szCs w:val="24"/>
          <w:highlight w:val="none"/>
        </w:rPr>
        <w:t>开标一览表</w:t>
      </w:r>
    </w:p>
    <w:p>
      <w:pPr>
        <w:snapToGrid w:val="0"/>
        <w:rPr>
          <w:rFonts w:ascii="宋体" w:hAnsi="宋体"/>
          <w:color w:val="auto"/>
          <w:sz w:val="24"/>
          <w:highlight w:val="none"/>
        </w:rPr>
      </w:pPr>
    </w:p>
    <w:p>
      <w:pPr>
        <w:snapToGrid w:val="0"/>
        <w:rPr>
          <w:rFonts w:ascii="宋体" w:hAnsi="宋体"/>
          <w:color w:val="auto"/>
          <w:sz w:val="24"/>
          <w:highlight w:val="none"/>
        </w:rPr>
      </w:pPr>
    </w:p>
    <w:p>
      <w:pPr>
        <w:snapToGrid w:val="0"/>
        <w:rPr>
          <w:rFonts w:ascii="宋体" w:hAnsi="宋体"/>
          <w:bCs/>
          <w:color w:val="auto"/>
          <w:sz w:val="24"/>
          <w:highlight w:val="none"/>
        </w:rPr>
      </w:pPr>
      <w:r>
        <w:rPr>
          <w:rFonts w:hint="eastAsia" w:ascii="宋体" w:hAnsi="宋体"/>
          <w:bCs/>
          <w:color w:val="auto"/>
          <w:sz w:val="24"/>
          <w:highlight w:val="none"/>
        </w:rPr>
        <w:t>项目名称：</w:t>
      </w:r>
      <w:r>
        <w:rPr>
          <w:rFonts w:hint="eastAsia" w:ascii="宋体" w:hAnsi="宋体"/>
          <w:color w:val="auto"/>
          <w:sz w:val="24"/>
          <w:highlight w:val="none"/>
          <w:u w:val="single"/>
        </w:rPr>
        <w:t xml:space="preserve">            </w:t>
      </w:r>
    </w:p>
    <w:p>
      <w:pPr>
        <w:snapToGrid w:val="0"/>
        <w:rPr>
          <w:rFonts w:ascii="宋体" w:hAnsi="宋体"/>
          <w:color w:val="auto"/>
          <w:sz w:val="24"/>
          <w:highlight w:val="none"/>
        </w:rPr>
      </w:pPr>
    </w:p>
    <w:p>
      <w:pPr>
        <w:snapToGrid w:val="0"/>
        <w:rPr>
          <w:rFonts w:ascii="宋体" w:hAnsi="宋体"/>
          <w:color w:val="auto"/>
          <w:sz w:val="24"/>
          <w:highlight w:val="none"/>
        </w:rPr>
      </w:pPr>
      <w:r>
        <w:rPr>
          <w:rFonts w:hint="eastAsia" w:ascii="宋体" w:hAnsi="宋体"/>
          <w:bCs/>
          <w:color w:val="auto"/>
          <w:sz w:val="24"/>
          <w:highlight w:val="none"/>
        </w:rPr>
        <w:t>项目</w:t>
      </w:r>
      <w:r>
        <w:rPr>
          <w:rFonts w:hint="eastAsia" w:ascii="宋体" w:hAnsi="宋体"/>
          <w:color w:val="auto"/>
          <w:sz w:val="24"/>
          <w:highlight w:val="none"/>
        </w:rPr>
        <w:t>编号：</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napToGrid w:val="0"/>
        <w:rPr>
          <w:rFonts w:ascii="宋体" w:hAnsi="宋体"/>
          <w:color w:val="auto"/>
          <w:sz w:val="24"/>
          <w:highlight w:val="none"/>
        </w:rPr>
      </w:pPr>
    </w:p>
    <w:p>
      <w:pPr>
        <w:snapToGrid w:val="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u w:val="single"/>
        </w:rPr>
        <w:t>　　</w:t>
      </w:r>
      <w:r>
        <w:rPr>
          <w:rFonts w:asciiTheme="minorEastAsia" w:hAnsiTheme="minorEastAsia" w:eastAsiaTheme="minorEastAsia"/>
          <w:color w:val="auto"/>
          <w:sz w:val="24"/>
          <w:highlight w:val="none"/>
        </w:rPr>
        <w:t>分标（此处有分标时填写具体分标号，无分标时填写“无”）</w:t>
      </w:r>
    </w:p>
    <w:p>
      <w:pPr>
        <w:snapToGrid w:val="0"/>
        <w:rPr>
          <w:rFonts w:ascii="宋体" w:hAnsi="宋体"/>
          <w:color w:val="auto"/>
          <w:sz w:val="24"/>
          <w:highlight w:val="none"/>
        </w:rPr>
      </w:pPr>
    </w:p>
    <w:p>
      <w:pPr>
        <w:snapToGrid w:val="0"/>
        <w:rPr>
          <w:rFonts w:ascii="宋体" w:hAnsi="宋体"/>
          <w:color w:val="auto"/>
          <w:sz w:val="24"/>
          <w:highlight w:val="none"/>
        </w:rPr>
      </w:pPr>
      <w:r>
        <w:rPr>
          <w:rFonts w:hint="eastAsia" w:ascii="宋体" w:hAnsi="宋体"/>
          <w:color w:val="auto"/>
          <w:sz w:val="24"/>
          <w:highlight w:val="none"/>
        </w:rPr>
        <w:t>投标人名称：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pStyle w:val="22"/>
        <w:snapToGrid w:val="0"/>
        <w:jc w:val="center"/>
        <w:rPr>
          <w:rFonts w:hAnsi="宋体"/>
          <w:color w:val="auto"/>
          <w:sz w:val="24"/>
          <w:szCs w:val="24"/>
          <w:highlight w:val="none"/>
        </w:rPr>
      </w:pPr>
    </w:p>
    <w:p>
      <w:pPr>
        <w:pStyle w:val="22"/>
        <w:snapToGrid w:val="0"/>
        <w:jc w:val="center"/>
        <w:rPr>
          <w:rFonts w:hAnsi="宋体"/>
          <w:color w:val="auto"/>
          <w:sz w:val="24"/>
          <w:szCs w:val="24"/>
          <w:highlight w:val="none"/>
        </w:rPr>
      </w:pPr>
    </w:p>
    <w:p>
      <w:pPr>
        <w:rPr>
          <w:rFonts w:ascii="宋体" w:hAnsi="宋体"/>
          <w:color w:val="auto"/>
          <w:sz w:val="24"/>
          <w:highlight w:val="none"/>
        </w:rPr>
      </w:pPr>
    </w:p>
    <w:p>
      <w:pPr>
        <w:pStyle w:val="8"/>
        <w:snapToGrid w:val="0"/>
        <w:ind w:firstLine="3960" w:firstLineChars="1650"/>
        <w:rPr>
          <w:rFonts w:ascii="宋体" w:hAnsi="宋体"/>
          <w:color w:val="auto"/>
          <w:sz w:val="24"/>
          <w:szCs w:val="24"/>
          <w:highlight w:val="none"/>
        </w:rPr>
      </w:pPr>
      <w:r>
        <w:rPr>
          <w:rFonts w:hint="eastAsia" w:ascii="宋体" w:hAnsi="宋体"/>
          <w:color w:val="auto"/>
          <w:sz w:val="24"/>
          <w:szCs w:val="24"/>
          <w:highlight w:val="none"/>
        </w:rPr>
        <w:t>在开标时间之前不得启封</w:t>
      </w:r>
    </w:p>
    <w:p>
      <w:pPr>
        <w:pStyle w:val="8"/>
        <w:snapToGrid w:val="0"/>
        <w:ind w:firstLine="998" w:firstLineChars="416"/>
        <w:rPr>
          <w:rFonts w:ascii="宋体" w:hAnsi="宋体"/>
          <w:color w:val="auto"/>
          <w:sz w:val="24"/>
          <w:szCs w:val="24"/>
          <w:highlight w:val="none"/>
        </w:rPr>
      </w:pPr>
    </w:p>
    <w:p>
      <w:pPr>
        <w:snapToGrid w:val="0"/>
        <w:ind w:firstLine="645"/>
        <w:jc w:val="center"/>
        <w:rPr>
          <w:rFonts w:ascii="宋体" w:hAnsi="宋体"/>
          <w:color w:val="auto"/>
          <w:sz w:val="24"/>
          <w:highlight w:val="none"/>
        </w:rPr>
      </w:pPr>
      <w:r>
        <w:rPr>
          <w:rFonts w:hint="eastAsia" w:ascii="宋体" w:hAnsi="宋体"/>
          <w:color w:val="auto"/>
          <w:sz w:val="24"/>
          <w:highlight w:val="none"/>
        </w:rPr>
        <w:t xml:space="preserve">                        年   月   日</w:t>
      </w:r>
    </w:p>
    <w:p>
      <w:pPr>
        <w:snapToGrid w:val="0"/>
        <w:rPr>
          <w:rFonts w:ascii="宋体" w:hAnsi="宋体"/>
          <w:b/>
          <w:color w:val="auto"/>
          <w:sz w:val="24"/>
          <w:highlight w:val="none"/>
        </w:rPr>
      </w:pPr>
      <w:r>
        <w:rPr>
          <w:rFonts w:ascii="宋体" w:hAnsi="宋体"/>
          <w:color w:val="auto"/>
          <w:sz w:val="24"/>
          <w:highlight w:val="none"/>
        </w:rPr>
        <w:br w:type="page"/>
      </w:r>
      <w:r>
        <w:rPr>
          <w:rFonts w:hint="eastAsia" w:ascii="宋体" w:hAnsi="宋体"/>
          <w:b/>
          <w:color w:val="auto"/>
          <w:sz w:val="24"/>
          <w:highlight w:val="none"/>
        </w:rPr>
        <w:t>开标一览表（格式）</w:t>
      </w:r>
    </w:p>
    <w:p>
      <w:pPr>
        <w:snapToGrid w:val="0"/>
        <w:jc w:val="center"/>
        <w:rPr>
          <w:rFonts w:ascii="宋体" w:hAnsi="宋体"/>
          <w:b/>
          <w:color w:val="auto"/>
          <w:sz w:val="32"/>
          <w:szCs w:val="32"/>
          <w:highlight w:val="none"/>
        </w:rPr>
      </w:pPr>
    </w:p>
    <w:p>
      <w:pPr>
        <w:snapToGrid w:val="0"/>
        <w:jc w:val="center"/>
        <w:rPr>
          <w:rFonts w:ascii="宋体" w:hAnsi="宋体"/>
          <w:b/>
          <w:color w:val="auto"/>
          <w:sz w:val="32"/>
          <w:szCs w:val="32"/>
          <w:highlight w:val="none"/>
        </w:rPr>
      </w:pPr>
      <w:r>
        <w:rPr>
          <w:rFonts w:hint="eastAsia" w:ascii="宋体" w:hAnsi="宋体"/>
          <w:b/>
          <w:color w:val="auto"/>
          <w:sz w:val="32"/>
          <w:szCs w:val="32"/>
          <w:highlight w:val="none"/>
        </w:rPr>
        <w:t>开标一览表</w:t>
      </w:r>
    </w:p>
    <w:p>
      <w:pPr>
        <w:snapToGrid w:val="0"/>
        <w:jc w:val="center"/>
        <w:rPr>
          <w:rFonts w:ascii="宋体" w:hAnsi="宋体"/>
          <w:b/>
          <w:color w:val="auto"/>
          <w:sz w:val="24"/>
          <w:highlight w:val="none"/>
        </w:rPr>
      </w:pPr>
    </w:p>
    <w:p>
      <w:pPr>
        <w:snapToGrid w:val="0"/>
        <w:rPr>
          <w:rFonts w:ascii="宋体" w:hAnsi="宋体"/>
          <w:color w:val="auto"/>
          <w:sz w:val="24"/>
          <w:highlight w:val="none"/>
        </w:rPr>
      </w:pPr>
      <w:r>
        <w:rPr>
          <w:rFonts w:hint="eastAsia" w:ascii="宋体" w:hAnsi="宋体"/>
          <w:bCs/>
          <w:color w:val="auto"/>
          <w:sz w:val="24"/>
          <w:highlight w:val="none"/>
        </w:rPr>
        <w:t>项目</w:t>
      </w:r>
      <w:r>
        <w:rPr>
          <w:rFonts w:hint="eastAsia" w:ascii="宋体" w:hAnsi="宋体"/>
          <w:color w:val="auto"/>
          <w:sz w:val="24"/>
          <w:highlight w:val="none"/>
        </w:rPr>
        <w:t xml:space="preserve">编号：                                   </w:t>
      </w:r>
    </w:p>
    <w:p>
      <w:pPr>
        <w:snapToGrid w:val="0"/>
        <w:rPr>
          <w:rFonts w:ascii="仿宋_GB2312" w:eastAsia="仿宋_GB2312"/>
          <w:color w:val="auto"/>
          <w:sz w:val="24"/>
          <w:highlight w:val="none"/>
        </w:rPr>
      </w:pPr>
      <w:r>
        <w:rPr>
          <w:rFonts w:hint="eastAsia" w:ascii="宋体" w:hAnsi="宋体"/>
          <w:color w:val="auto"/>
          <w:sz w:val="24"/>
          <w:highlight w:val="none"/>
        </w:rPr>
        <w:t>投标人名称：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napToGrid w:val="0"/>
        <w:ind w:firstLine="480" w:firstLineChars="200"/>
        <w:jc w:val="left"/>
        <w:rPr>
          <w:rFonts w:ascii="仿宋_GB2312" w:eastAsia="仿宋_GB2312"/>
          <w:color w:val="auto"/>
          <w:sz w:val="24"/>
          <w:highlight w:val="none"/>
        </w:rPr>
      </w:pPr>
    </w:p>
    <w:tbl>
      <w:tblPr>
        <w:tblStyle w:val="36"/>
        <w:tblW w:w="8859"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2065"/>
        <w:gridCol w:w="1080"/>
        <w:gridCol w:w="1260"/>
        <w:gridCol w:w="1517"/>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服务名称</w:t>
            </w: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highlight w:val="none"/>
              </w:rPr>
            </w:pPr>
            <w:r>
              <w:rPr>
                <w:rFonts w:eastAsia="仿宋_GB2312"/>
                <w:color w:val="auto"/>
                <w:highlight w:val="none"/>
              </w:rPr>
              <w:t>服务内容</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highlight w:val="none"/>
              </w:rPr>
            </w:pPr>
            <w:r>
              <w:rPr>
                <w:rFonts w:eastAsia="仿宋_GB2312"/>
                <w:color w:val="auto"/>
                <w:highlight w:val="none"/>
              </w:rPr>
              <w:t>数量①</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单价(元)②</w:t>
            </w: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单项合价（元）</w:t>
            </w:r>
          </w:p>
          <w:p>
            <w:pPr>
              <w:rPr>
                <w:rFonts w:eastAsia="仿宋_GB2312"/>
                <w:color w:val="auto"/>
                <w:highlight w:val="none"/>
              </w:rPr>
            </w:pPr>
            <w:r>
              <w:rPr>
                <w:rFonts w:eastAsia="仿宋_GB2312"/>
                <w:color w:val="auto"/>
                <w:highlight w:val="none"/>
              </w:rPr>
              <w:t>③＝①×②</w:t>
            </w: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2065"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2065"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2065"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报价合计（包含税费等所有费用）：（大写）人民币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szCs w:val="21"/>
                <w:highlight w:val="none"/>
                <w:u w:val="single"/>
              </w:rPr>
              <w:t>　　</w:t>
            </w:r>
            <w:r>
              <w:rPr>
                <w:rFonts w:eastAsia="仿宋_GB2312"/>
                <w:color w:val="auto"/>
                <w:szCs w:val="21"/>
                <w:highlight w:val="none"/>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投标人（盖单位公章</w:t>
            </w:r>
            <w:r>
              <w:rPr>
                <w:rFonts w:hint="eastAsia" w:eastAsia="仿宋_GB2312"/>
                <w:color w:val="auto"/>
                <w:highlight w:val="none"/>
              </w:rPr>
              <w:t>，自然人除外</w:t>
            </w:r>
            <w:r>
              <w:rPr>
                <w:rFonts w:eastAsia="仿宋_GB2312"/>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法定代表人或其委托代理人（签字或盖章）：</w:t>
            </w:r>
          </w:p>
          <w:p>
            <w:pPr>
              <w:rPr>
                <w:rFonts w:eastAsia="仿宋_GB2312"/>
                <w:color w:val="auto"/>
                <w:highlight w:val="none"/>
              </w:rPr>
            </w:pPr>
            <w:r>
              <w:rPr>
                <w:rFonts w:hint="eastAsia" w:ascii="宋体" w:hAnsi="宋体"/>
                <w:color w:val="auto"/>
                <w:szCs w:val="21"/>
                <w:highlight w:val="none"/>
              </w:rPr>
              <w:t>（</w:t>
            </w:r>
            <w:r>
              <w:rPr>
                <w:rFonts w:hint="eastAsia" w:eastAsia="仿宋_GB2312"/>
                <w:color w:val="auto"/>
                <w:highlight w:val="none"/>
              </w:rPr>
              <w:t>投标人属自然人的应由自然人签字并加盖指印，投标人若为其他组织形式无法定代表人的应由机构负责人</w:t>
            </w:r>
            <w:r>
              <w:rPr>
                <w:rFonts w:eastAsia="仿宋_GB2312"/>
                <w:color w:val="auto"/>
                <w:highlight w:val="none"/>
              </w:rPr>
              <w:t>签字或盖章</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hint="eastAsia" w:eastAsia="仿宋_GB2312"/>
                <w:color w:val="auto"/>
                <w:highlight w:val="none"/>
              </w:rPr>
              <w:t>日期：       年   月   日</w:t>
            </w:r>
          </w:p>
        </w:tc>
      </w:tr>
    </w:tbl>
    <w:p>
      <w:pPr>
        <w:snapToGrid w:val="0"/>
        <w:ind w:firstLine="480" w:firstLineChars="200"/>
        <w:jc w:val="left"/>
        <w:rPr>
          <w:rFonts w:ascii="仿宋_GB2312" w:eastAsia="仿宋_GB2312"/>
          <w:color w:val="auto"/>
          <w:sz w:val="24"/>
          <w:highlight w:val="none"/>
        </w:rPr>
      </w:pPr>
    </w:p>
    <w:p>
      <w:pPr>
        <w:snapToGrid w:val="0"/>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注：1、表格内容均需按要求填写并盖章，不得留空, 否则按投标无效处理。</w:t>
      </w:r>
    </w:p>
    <w:p>
      <w:pPr>
        <w:snapToGrid w:val="0"/>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 xml:space="preserve">    2、以上“报价合计”应与“投标报价明细表”中的“报价合计”相一致。</w:t>
      </w:r>
    </w:p>
    <w:p>
      <w:pPr>
        <w:pStyle w:val="8"/>
        <w:snapToGrid w:val="0"/>
        <w:ind w:firstLine="960" w:firstLineChars="40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3、此表请单独用信封封装，信封封面请注明招标编号、标项、投标人名称及“开标一览表”字样。如有多个标段的，每表须分别单独用信封密封。</w:t>
      </w:r>
    </w:p>
    <w:p>
      <w:pPr>
        <w:snapToGrid w:val="0"/>
        <w:ind w:firstLine="480" w:firstLineChars="200"/>
        <w:jc w:val="left"/>
        <w:rPr>
          <w:rFonts w:ascii="宋体" w:hAnsi="宋体"/>
          <w:color w:val="auto"/>
          <w:sz w:val="24"/>
          <w:highlight w:val="none"/>
        </w:rPr>
      </w:pPr>
      <w:r>
        <w:rPr>
          <w:rFonts w:hint="eastAsia" w:ascii="宋体" w:hAnsi="宋体"/>
          <w:color w:val="auto"/>
          <w:sz w:val="24"/>
          <w:highlight w:val="none"/>
        </w:rPr>
        <w:t xml:space="preserve">   </w:t>
      </w:r>
    </w:p>
    <w:p>
      <w:pPr>
        <w:snapToGrid w:val="0"/>
        <w:rPr>
          <w:rFonts w:ascii="宋体" w:hAnsi="宋体"/>
          <w:color w:val="auto"/>
          <w:sz w:val="24"/>
          <w:highlight w:val="none"/>
        </w:rPr>
      </w:pPr>
    </w:p>
    <w:p>
      <w:pPr>
        <w:snapToGrid w:val="0"/>
        <w:rPr>
          <w:rFonts w:ascii="宋体" w:hAnsi="宋体"/>
          <w:color w:val="auto"/>
          <w:sz w:val="24"/>
          <w:highlight w:val="none"/>
        </w:rPr>
      </w:pPr>
    </w:p>
    <w:p>
      <w:pPr>
        <w:snapToGrid w:val="0"/>
        <w:rPr>
          <w:rFonts w:ascii="宋体" w:hAnsi="宋体"/>
          <w:b/>
          <w:bCs/>
          <w:color w:val="auto"/>
          <w:sz w:val="24"/>
          <w:highlight w:val="none"/>
        </w:rPr>
      </w:pPr>
      <w:r>
        <w:rPr>
          <w:rFonts w:ascii="宋体" w:hAnsi="宋体"/>
          <w:b/>
          <w:bCs/>
          <w:color w:val="auto"/>
          <w:sz w:val="32"/>
          <w:szCs w:val="32"/>
          <w:highlight w:val="none"/>
        </w:rPr>
        <w:br w:type="page"/>
      </w:r>
      <w:r>
        <w:rPr>
          <w:rFonts w:hint="eastAsia" w:ascii="宋体" w:hAnsi="宋体"/>
          <w:b/>
          <w:color w:val="auto"/>
          <w:sz w:val="24"/>
          <w:highlight w:val="none"/>
        </w:rPr>
        <w:t>1.封套</w:t>
      </w:r>
      <w:r>
        <w:rPr>
          <w:rFonts w:hint="eastAsia" w:ascii="宋体" w:hAnsi="宋体"/>
          <w:b/>
          <w:bCs/>
          <w:color w:val="auto"/>
          <w:sz w:val="24"/>
          <w:highlight w:val="none"/>
        </w:rPr>
        <w:t>格式：</w:t>
      </w:r>
    </w:p>
    <w:p>
      <w:pPr>
        <w:snapToGrid w:val="0"/>
        <w:rPr>
          <w:rFonts w:ascii="宋体" w:hAnsi="宋体"/>
          <w:bCs/>
          <w:color w:val="auto"/>
          <w:sz w:val="24"/>
          <w:highlight w:val="none"/>
        </w:rPr>
      </w:pPr>
    </w:p>
    <w:p>
      <w:pPr>
        <w:snapToGrid w:val="0"/>
        <w:jc w:val="center"/>
        <w:rPr>
          <w:rFonts w:ascii="宋体" w:hAnsi="宋体"/>
          <w:b/>
          <w:bCs/>
          <w:color w:val="auto"/>
          <w:sz w:val="44"/>
          <w:szCs w:val="44"/>
          <w:highlight w:val="none"/>
        </w:rPr>
      </w:pPr>
    </w:p>
    <w:p>
      <w:pPr>
        <w:snapToGrid w:val="0"/>
        <w:jc w:val="center"/>
        <w:rPr>
          <w:rFonts w:ascii="宋体" w:hAnsi="宋体"/>
          <w:b/>
          <w:bCs/>
          <w:color w:val="auto"/>
          <w:sz w:val="44"/>
          <w:szCs w:val="44"/>
          <w:highlight w:val="none"/>
        </w:rPr>
      </w:pPr>
    </w:p>
    <w:p>
      <w:pPr>
        <w:snapToGrid w:val="0"/>
        <w:jc w:val="center"/>
        <w:rPr>
          <w:rFonts w:ascii="宋体" w:hAnsi="宋体"/>
          <w:b/>
          <w:bCs/>
          <w:color w:val="auto"/>
          <w:sz w:val="44"/>
          <w:szCs w:val="44"/>
          <w:highlight w:val="none"/>
        </w:rPr>
      </w:pPr>
    </w:p>
    <w:p>
      <w:pPr>
        <w:snapToGrid w:val="0"/>
        <w:jc w:val="center"/>
        <w:rPr>
          <w:rFonts w:ascii="宋体" w:hAnsi="宋体"/>
          <w:b/>
          <w:bCs/>
          <w:color w:val="auto"/>
          <w:sz w:val="44"/>
          <w:szCs w:val="44"/>
          <w:highlight w:val="none"/>
        </w:rPr>
      </w:pPr>
      <w:r>
        <w:rPr>
          <w:rFonts w:hint="eastAsia" w:ascii="宋体" w:hAnsi="宋体"/>
          <w:b/>
          <w:bCs/>
          <w:color w:val="auto"/>
          <w:sz w:val="44"/>
          <w:szCs w:val="44"/>
          <w:highlight w:val="none"/>
        </w:rPr>
        <w:t>投标文件</w:t>
      </w:r>
    </w:p>
    <w:p>
      <w:pPr>
        <w:snapToGrid w:val="0"/>
        <w:ind w:firstLine="1424" w:firstLineChars="445"/>
        <w:rPr>
          <w:rFonts w:ascii="宋体" w:hAnsi="宋体"/>
          <w:bCs/>
          <w:color w:val="auto"/>
          <w:sz w:val="32"/>
          <w:szCs w:val="32"/>
          <w:highlight w:val="none"/>
        </w:rPr>
      </w:pPr>
    </w:p>
    <w:p>
      <w:pPr>
        <w:snapToGrid w:val="0"/>
        <w:ind w:firstLine="1424" w:firstLineChars="445"/>
        <w:rPr>
          <w:rFonts w:ascii="宋体" w:hAnsi="宋体"/>
          <w:bCs/>
          <w:color w:val="auto"/>
          <w:sz w:val="32"/>
          <w:szCs w:val="32"/>
          <w:highlight w:val="none"/>
        </w:rPr>
      </w:pPr>
    </w:p>
    <w:p>
      <w:pPr>
        <w:snapToGrid w:val="0"/>
        <w:ind w:firstLine="1430" w:firstLineChars="445"/>
        <w:rPr>
          <w:rFonts w:ascii="宋体" w:hAnsi="宋体"/>
          <w:b/>
          <w:bCs/>
          <w:color w:val="auto"/>
          <w:sz w:val="32"/>
          <w:szCs w:val="32"/>
          <w:highlight w:val="none"/>
        </w:rPr>
      </w:pPr>
      <w:r>
        <w:rPr>
          <w:rFonts w:hint="eastAsia" w:ascii="宋体" w:hAnsi="宋体"/>
          <w:b/>
          <w:bCs/>
          <w:color w:val="auto"/>
          <w:sz w:val="32"/>
          <w:szCs w:val="32"/>
          <w:highlight w:val="none"/>
        </w:rPr>
        <w:t>项目名称：</w:t>
      </w:r>
    </w:p>
    <w:p>
      <w:pPr>
        <w:snapToGrid w:val="0"/>
        <w:ind w:firstLine="643" w:firstLineChars="200"/>
        <w:rPr>
          <w:rFonts w:ascii="宋体" w:hAnsi="宋体"/>
          <w:b/>
          <w:bCs/>
          <w:color w:val="auto"/>
          <w:sz w:val="32"/>
          <w:szCs w:val="32"/>
          <w:highlight w:val="none"/>
        </w:rPr>
      </w:pPr>
      <w:r>
        <w:rPr>
          <w:rFonts w:hint="eastAsia" w:ascii="宋体" w:hAnsi="宋体"/>
          <w:b/>
          <w:bCs/>
          <w:color w:val="auto"/>
          <w:sz w:val="32"/>
          <w:szCs w:val="32"/>
          <w:highlight w:val="none"/>
        </w:rPr>
        <w:t xml:space="preserve">     项目编号： </w:t>
      </w:r>
    </w:p>
    <w:p>
      <w:pPr>
        <w:snapToGrid w:val="0"/>
        <w:ind w:firstLine="643" w:firstLineChars="200"/>
        <w:rPr>
          <w:rFonts w:ascii="宋体" w:hAnsi="宋体"/>
          <w:b/>
          <w:bCs/>
          <w:color w:val="auto"/>
          <w:sz w:val="32"/>
          <w:szCs w:val="32"/>
          <w:highlight w:val="none"/>
        </w:rPr>
      </w:pPr>
      <w:r>
        <w:rPr>
          <w:rFonts w:hint="eastAsia" w:ascii="宋体" w:hAnsi="宋体"/>
          <w:b/>
          <w:bCs/>
          <w:color w:val="auto"/>
          <w:sz w:val="32"/>
          <w:szCs w:val="32"/>
          <w:highlight w:val="none"/>
        </w:rPr>
        <w:t xml:space="preserve">     标项（如有）：</w:t>
      </w:r>
    </w:p>
    <w:p>
      <w:pPr>
        <w:pStyle w:val="8"/>
        <w:snapToGrid w:val="0"/>
        <w:ind w:firstLine="1336" w:firstLineChars="416"/>
        <w:rPr>
          <w:rFonts w:ascii="宋体" w:hAnsi="宋体"/>
          <w:b/>
          <w:bCs/>
          <w:color w:val="auto"/>
          <w:sz w:val="32"/>
          <w:szCs w:val="32"/>
          <w:highlight w:val="none"/>
        </w:rPr>
      </w:pPr>
    </w:p>
    <w:p>
      <w:pPr>
        <w:pStyle w:val="8"/>
        <w:snapToGrid w:val="0"/>
        <w:ind w:firstLine="1336" w:firstLineChars="416"/>
        <w:rPr>
          <w:rFonts w:ascii="宋体" w:hAnsi="宋体"/>
          <w:b/>
          <w:bCs/>
          <w:color w:val="auto"/>
          <w:sz w:val="32"/>
          <w:szCs w:val="32"/>
          <w:highlight w:val="none"/>
        </w:rPr>
      </w:pPr>
    </w:p>
    <w:p>
      <w:pPr>
        <w:pStyle w:val="8"/>
        <w:snapToGrid w:val="0"/>
        <w:ind w:firstLine="1336" w:firstLineChars="416"/>
        <w:rPr>
          <w:rFonts w:ascii="宋体" w:hAnsi="宋体"/>
          <w:b/>
          <w:bCs/>
          <w:color w:val="auto"/>
          <w:sz w:val="32"/>
          <w:szCs w:val="32"/>
          <w:highlight w:val="none"/>
        </w:rPr>
      </w:pPr>
    </w:p>
    <w:p>
      <w:pPr>
        <w:pStyle w:val="8"/>
        <w:snapToGrid w:val="0"/>
        <w:ind w:firstLine="1336" w:firstLineChars="416"/>
        <w:rPr>
          <w:rFonts w:ascii="宋体" w:hAnsi="宋体"/>
          <w:b/>
          <w:bCs/>
          <w:color w:val="auto"/>
          <w:sz w:val="32"/>
          <w:szCs w:val="32"/>
          <w:highlight w:val="none"/>
        </w:rPr>
      </w:pPr>
    </w:p>
    <w:p>
      <w:pPr>
        <w:pStyle w:val="8"/>
        <w:snapToGrid w:val="0"/>
        <w:ind w:firstLine="1336" w:firstLineChars="416"/>
        <w:rPr>
          <w:rFonts w:ascii="宋体" w:hAnsi="宋体"/>
          <w:b/>
          <w:bCs/>
          <w:color w:val="auto"/>
          <w:sz w:val="32"/>
          <w:szCs w:val="32"/>
          <w:highlight w:val="none"/>
        </w:rPr>
      </w:pPr>
    </w:p>
    <w:p>
      <w:pPr>
        <w:pStyle w:val="8"/>
        <w:snapToGrid w:val="0"/>
        <w:ind w:firstLine="1336" w:firstLineChars="416"/>
        <w:rPr>
          <w:rFonts w:ascii="宋体" w:hAnsi="宋体"/>
          <w:b/>
          <w:bCs/>
          <w:color w:val="auto"/>
          <w:sz w:val="32"/>
          <w:szCs w:val="32"/>
          <w:highlight w:val="none"/>
        </w:rPr>
      </w:pPr>
    </w:p>
    <w:p>
      <w:pPr>
        <w:pStyle w:val="8"/>
        <w:snapToGrid w:val="0"/>
        <w:ind w:firstLine="1336" w:firstLineChars="416"/>
        <w:rPr>
          <w:rFonts w:ascii="宋体" w:hAnsi="宋体"/>
          <w:b/>
          <w:bCs/>
          <w:color w:val="auto"/>
          <w:sz w:val="32"/>
          <w:szCs w:val="32"/>
          <w:highlight w:val="none"/>
        </w:rPr>
      </w:pPr>
    </w:p>
    <w:p>
      <w:pPr>
        <w:pStyle w:val="8"/>
        <w:snapToGrid w:val="0"/>
        <w:ind w:firstLine="1336" w:firstLineChars="416"/>
        <w:rPr>
          <w:rFonts w:ascii="宋体" w:hAnsi="宋体"/>
          <w:b/>
          <w:bCs/>
          <w:color w:val="auto"/>
          <w:sz w:val="32"/>
          <w:szCs w:val="32"/>
          <w:highlight w:val="none"/>
        </w:rPr>
      </w:pPr>
    </w:p>
    <w:p>
      <w:pPr>
        <w:pStyle w:val="8"/>
        <w:snapToGrid w:val="0"/>
        <w:ind w:firstLine="1336" w:firstLineChars="416"/>
        <w:rPr>
          <w:rFonts w:ascii="宋体" w:hAnsi="宋体"/>
          <w:b/>
          <w:bCs/>
          <w:color w:val="auto"/>
          <w:sz w:val="32"/>
          <w:szCs w:val="32"/>
          <w:highlight w:val="none"/>
        </w:rPr>
      </w:pPr>
    </w:p>
    <w:p>
      <w:pPr>
        <w:pStyle w:val="8"/>
        <w:snapToGrid w:val="0"/>
        <w:ind w:firstLine="1336" w:firstLineChars="416"/>
        <w:rPr>
          <w:rFonts w:ascii="宋体" w:hAnsi="宋体"/>
          <w:b/>
          <w:bCs/>
          <w:color w:val="auto"/>
          <w:sz w:val="32"/>
          <w:szCs w:val="32"/>
          <w:highlight w:val="none"/>
        </w:rPr>
      </w:pPr>
    </w:p>
    <w:p>
      <w:pPr>
        <w:pStyle w:val="8"/>
        <w:snapToGrid w:val="0"/>
        <w:ind w:firstLine="1336" w:firstLineChars="416"/>
        <w:rPr>
          <w:rFonts w:ascii="宋体" w:hAnsi="宋体"/>
          <w:b/>
          <w:bCs/>
          <w:color w:val="auto"/>
          <w:sz w:val="32"/>
          <w:szCs w:val="32"/>
          <w:highlight w:val="none"/>
        </w:rPr>
      </w:pPr>
    </w:p>
    <w:p>
      <w:pPr>
        <w:pStyle w:val="8"/>
        <w:snapToGrid w:val="0"/>
        <w:ind w:firstLine="1336" w:firstLineChars="416"/>
        <w:rPr>
          <w:rFonts w:ascii="宋体" w:hAnsi="宋体"/>
          <w:b/>
          <w:bCs/>
          <w:color w:val="auto"/>
          <w:sz w:val="32"/>
          <w:szCs w:val="32"/>
          <w:highlight w:val="none"/>
        </w:rPr>
      </w:pPr>
    </w:p>
    <w:p>
      <w:pPr>
        <w:pStyle w:val="8"/>
        <w:snapToGrid w:val="0"/>
        <w:ind w:firstLine="1336" w:firstLineChars="416"/>
        <w:rPr>
          <w:rFonts w:ascii="宋体" w:hAnsi="宋体"/>
          <w:b/>
          <w:bCs/>
          <w:color w:val="auto"/>
          <w:sz w:val="32"/>
          <w:szCs w:val="32"/>
          <w:highlight w:val="none"/>
        </w:rPr>
      </w:pPr>
    </w:p>
    <w:p>
      <w:pPr>
        <w:pStyle w:val="8"/>
        <w:snapToGrid w:val="0"/>
        <w:ind w:firstLine="1336" w:firstLineChars="416"/>
        <w:rPr>
          <w:rFonts w:ascii="宋体" w:hAnsi="宋体"/>
          <w:b/>
          <w:bCs/>
          <w:color w:val="auto"/>
          <w:sz w:val="32"/>
          <w:szCs w:val="32"/>
          <w:highlight w:val="none"/>
        </w:rPr>
      </w:pPr>
      <w:r>
        <w:rPr>
          <w:rFonts w:hint="eastAsia" w:ascii="宋体" w:hAnsi="宋体"/>
          <w:b/>
          <w:bCs/>
          <w:color w:val="auto"/>
          <w:sz w:val="32"/>
          <w:szCs w:val="32"/>
          <w:highlight w:val="none"/>
        </w:rPr>
        <w:t>投标人名称：</w:t>
      </w:r>
    </w:p>
    <w:p>
      <w:pPr>
        <w:pStyle w:val="8"/>
        <w:snapToGrid w:val="0"/>
        <w:ind w:firstLine="1336" w:firstLineChars="416"/>
        <w:rPr>
          <w:rFonts w:ascii="宋体" w:hAnsi="宋体"/>
          <w:b/>
          <w:bCs/>
          <w:color w:val="auto"/>
          <w:sz w:val="32"/>
          <w:szCs w:val="32"/>
          <w:highlight w:val="none"/>
        </w:rPr>
      </w:pPr>
      <w:r>
        <w:rPr>
          <w:rFonts w:hint="eastAsia" w:ascii="宋体" w:hAnsi="宋体"/>
          <w:b/>
          <w:bCs/>
          <w:color w:val="auto"/>
          <w:sz w:val="32"/>
          <w:szCs w:val="32"/>
          <w:highlight w:val="none"/>
        </w:rPr>
        <w:t>投标人地址：</w:t>
      </w:r>
    </w:p>
    <w:p>
      <w:pPr>
        <w:pStyle w:val="8"/>
        <w:snapToGrid w:val="0"/>
        <w:ind w:firstLine="1336" w:firstLineChars="416"/>
        <w:rPr>
          <w:rFonts w:ascii="宋体" w:hAnsi="宋体"/>
          <w:b/>
          <w:bCs/>
          <w:color w:val="auto"/>
          <w:sz w:val="32"/>
          <w:szCs w:val="32"/>
          <w:highlight w:val="none"/>
        </w:rPr>
      </w:pPr>
    </w:p>
    <w:p>
      <w:pPr>
        <w:pStyle w:val="8"/>
        <w:snapToGrid w:val="0"/>
        <w:ind w:firstLine="1336" w:firstLineChars="416"/>
        <w:rPr>
          <w:rFonts w:ascii="宋体" w:hAnsi="宋体"/>
          <w:b/>
          <w:bCs/>
          <w:color w:val="auto"/>
          <w:sz w:val="32"/>
          <w:szCs w:val="32"/>
          <w:highlight w:val="none"/>
        </w:rPr>
      </w:pPr>
    </w:p>
    <w:p>
      <w:pPr>
        <w:snapToGrid w:val="0"/>
        <w:ind w:firstLine="645"/>
        <w:jc w:val="center"/>
        <w:rPr>
          <w:rFonts w:ascii="宋体" w:hAnsi="宋体"/>
          <w:b/>
          <w:color w:val="auto"/>
          <w:sz w:val="32"/>
          <w:szCs w:val="32"/>
          <w:highlight w:val="none"/>
        </w:rPr>
      </w:pPr>
      <w:r>
        <w:rPr>
          <w:rFonts w:hint="eastAsia" w:ascii="宋体" w:hAnsi="宋体"/>
          <w:b/>
          <w:color w:val="auto"/>
          <w:sz w:val="32"/>
          <w:szCs w:val="32"/>
          <w:highlight w:val="none"/>
        </w:rPr>
        <w:t xml:space="preserve">  在    年   月  日  时  分前不得开启日</w:t>
      </w:r>
    </w:p>
    <w:p>
      <w:pPr>
        <w:snapToGrid w:val="0"/>
        <w:rPr>
          <w:rFonts w:ascii="宋体" w:hAnsi="宋体"/>
          <w:b/>
          <w:color w:val="auto"/>
          <w:sz w:val="24"/>
          <w:highlight w:val="none"/>
        </w:rPr>
      </w:pPr>
    </w:p>
    <w:p>
      <w:pPr>
        <w:snapToGrid w:val="0"/>
        <w:rPr>
          <w:rFonts w:ascii="宋体" w:hAnsi="宋体"/>
          <w:b/>
          <w:color w:val="auto"/>
          <w:sz w:val="24"/>
          <w:highlight w:val="none"/>
        </w:rPr>
      </w:pPr>
      <w:r>
        <w:rPr>
          <w:rFonts w:ascii="宋体" w:hAnsi="宋体"/>
          <w:b/>
          <w:color w:val="auto"/>
          <w:sz w:val="24"/>
          <w:highlight w:val="none"/>
        </w:rPr>
        <w:br w:type="textWrapping"/>
      </w:r>
      <w:r>
        <w:rPr>
          <w:rFonts w:ascii="宋体" w:hAnsi="宋体"/>
          <w:b/>
          <w:color w:val="auto"/>
          <w:sz w:val="24"/>
          <w:highlight w:val="none"/>
        </w:rPr>
        <w:br w:type="page"/>
      </w:r>
      <w:r>
        <w:rPr>
          <w:rFonts w:hint="eastAsia" w:ascii="宋体" w:hAnsi="宋体"/>
          <w:b/>
          <w:color w:val="auto"/>
          <w:sz w:val="24"/>
          <w:highlight w:val="none"/>
        </w:rPr>
        <w:t xml:space="preserve">2.投标文件封面格式： </w:t>
      </w:r>
    </w:p>
    <w:p>
      <w:pPr>
        <w:snapToGrid w:val="0"/>
        <w:rPr>
          <w:rFonts w:ascii="宋体" w:hAnsi="宋体"/>
          <w:b/>
          <w:bCs/>
          <w:color w:val="auto"/>
          <w:sz w:val="44"/>
          <w:szCs w:val="44"/>
          <w:highlight w:val="none"/>
        </w:rPr>
      </w:pPr>
      <w:r>
        <w:rPr>
          <w:rFonts w:hint="eastAsia" w:ascii="宋体" w:hAnsi="宋体"/>
          <w:color w:val="auto"/>
          <w:sz w:val="24"/>
          <w:highlight w:val="none"/>
        </w:rPr>
        <w:t xml:space="preserve">                                              </w:t>
      </w:r>
      <w:r>
        <w:rPr>
          <w:rFonts w:hint="eastAsia" w:ascii="宋体" w:hAnsi="宋体"/>
          <w:b/>
          <w:bCs/>
          <w:color w:val="auto"/>
          <w:sz w:val="44"/>
          <w:szCs w:val="44"/>
          <w:highlight w:val="none"/>
        </w:rPr>
        <w:t>正本/或副本</w:t>
      </w:r>
    </w:p>
    <w:p>
      <w:pPr>
        <w:snapToGrid w:val="0"/>
        <w:rPr>
          <w:rFonts w:ascii="宋体" w:hAnsi="宋体"/>
          <w:b/>
          <w:color w:val="auto"/>
          <w:sz w:val="44"/>
          <w:szCs w:val="44"/>
          <w:highlight w:val="none"/>
        </w:rPr>
      </w:pPr>
    </w:p>
    <w:p>
      <w:pPr>
        <w:snapToGrid w:val="0"/>
        <w:jc w:val="center"/>
        <w:rPr>
          <w:rFonts w:ascii="宋体" w:hAnsi="宋体"/>
          <w:b/>
          <w:bCs/>
          <w:color w:val="auto"/>
          <w:sz w:val="44"/>
          <w:szCs w:val="44"/>
          <w:highlight w:val="none"/>
        </w:rPr>
      </w:pPr>
      <w:r>
        <w:rPr>
          <w:rFonts w:hint="eastAsia" w:ascii="宋体" w:hAnsi="宋体"/>
          <w:b/>
          <w:bCs/>
          <w:color w:val="auto"/>
          <w:sz w:val="44"/>
          <w:szCs w:val="44"/>
          <w:highlight w:val="none"/>
        </w:rPr>
        <w:t>投 标 文 件</w:t>
      </w:r>
    </w:p>
    <w:p>
      <w:pPr>
        <w:snapToGrid w:val="0"/>
        <w:rPr>
          <w:rFonts w:ascii="宋体" w:hAnsi="宋体"/>
          <w:bCs/>
          <w:color w:val="auto"/>
          <w:sz w:val="24"/>
          <w:highlight w:val="none"/>
        </w:rPr>
      </w:pPr>
    </w:p>
    <w:p>
      <w:pPr>
        <w:snapToGrid w:val="0"/>
        <w:ind w:firstLine="1424" w:firstLineChars="445"/>
        <w:rPr>
          <w:rFonts w:ascii="宋体" w:hAnsi="宋体"/>
          <w:bCs/>
          <w:color w:val="auto"/>
          <w:sz w:val="32"/>
          <w:szCs w:val="32"/>
          <w:highlight w:val="none"/>
        </w:rPr>
      </w:pPr>
    </w:p>
    <w:p>
      <w:pPr>
        <w:snapToGrid w:val="0"/>
        <w:ind w:firstLine="1424" w:firstLineChars="445"/>
        <w:rPr>
          <w:rFonts w:ascii="宋体" w:hAnsi="宋体"/>
          <w:bCs/>
          <w:color w:val="auto"/>
          <w:sz w:val="32"/>
          <w:szCs w:val="32"/>
          <w:highlight w:val="none"/>
        </w:rPr>
      </w:pPr>
    </w:p>
    <w:p>
      <w:pPr>
        <w:snapToGrid w:val="0"/>
        <w:ind w:firstLine="1430" w:firstLineChars="445"/>
        <w:rPr>
          <w:rFonts w:ascii="宋体" w:hAnsi="宋体"/>
          <w:b/>
          <w:bCs/>
          <w:color w:val="auto"/>
          <w:sz w:val="32"/>
          <w:szCs w:val="32"/>
          <w:highlight w:val="none"/>
        </w:rPr>
      </w:pPr>
      <w:r>
        <w:rPr>
          <w:rFonts w:hint="eastAsia" w:ascii="宋体" w:hAnsi="宋体"/>
          <w:b/>
          <w:bCs/>
          <w:color w:val="auto"/>
          <w:sz w:val="32"/>
          <w:szCs w:val="32"/>
          <w:highlight w:val="none"/>
        </w:rPr>
        <w:t>项目名称：</w:t>
      </w:r>
    </w:p>
    <w:p>
      <w:pPr>
        <w:snapToGrid w:val="0"/>
        <w:ind w:firstLine="643" w:firstLineChars="200"/>
        <w:rPr>
          <w:rFonts w:ascii="宋体" w:hAnsi="宋体"/>
          <w:b/>
          <w:bCs/>
          <w:color w:val="auto"/>
          <w:sz w:val="32"/>
          <w:szCs w:val="32"/>
          <w:highlight w:val="none"/>
        </w:rPr>
      </w:pPr>
      <w:r>
        <w:rPr>
          <w:rFonts w:hint="eastAsia" w:ascii="宋体" w:hAnsi="宋体"/>
          <w:b/>
          <w:bCs/>
          <w:color w:val="auto"/>
          <w:sz w:val="32"/>
          <w:szCs w:val="32"/>
          <w:highlight w:val="none"/>
        </w:rPr>
        <w:t xml:space="preserve">     </w:t>
      </w:r>
    </w:p>
    <w:p>
      <w:pPr>
        <w:snapToGrid w:val="0"/>
        <w:ind w:firstLine="1446" w:firstLineChars="450"/>
        <w:rPr>
          <w:rFonts w:ascii="宋体" w:hAnsi="宋体"/>
          <w:b/>
          <w:bCs/>
          <w:color w:val="auto"/>
          <w:sz w:val="32"/>
          <w:szCs w:val="32"/>
          <w:highlight w:val="none"/>
        </w:rPr>
      </w:pPr>
      <w:r>
        <w:rPr>
          <w:rFonts w:hint="eastAsia" w:ascii="宋体" w:hAnsi="宋体"/>
          <w:b/>
          <w:bCs/>
          <w:color w:val="auto"/>
          <w:sz w:val="32"/>
          <w:szCs w:val="32"/>
          <w:highlight w:val="none"/>
        </w:rPr>
        <w:t xml:space="preserve">项目编号： </w:t>
      </w:r>
    </w:p>
    <w:p>
      <w:pPr>
        <w:snapToGrid w:val="0"/>
        <w:ind w:firstLine="643" w:firstLineChars="200"/>
        <w:rPr>
          <w:rFonts w:ascii="宋体" w:hAnsi="宋体"/>
          <w:b/>
          <w:bCs/>
          <w:color w:val="auto"/>
          <w:sz w:val="32"/>
          <w:szCs w:val="32"/>
          <w:highlight w:val="none"/>
        </w:rPr>
      </w:pPr>
      <w:r>
        <w:rPr>
          <w:rFonts w:hint="eastAsia" w:ascii="宋体" w:hAnsi="宋体"/>
          <w:b/>
          <w:bCs/>
          <w:color w:val="auto"/>
          <w:sz w:val="32"/>
          <w:szCs w:val="32"/>
          <w:highlight w:val="none"/>
        </w:rPr>
        <w:t xml:space="preserve">     </w:t>
      </w:r>
    </w:p>
    <w:p>
      <w:pPr>
        <w:snapToGrid w:val="0"/>
        <w:ind w:firstLine="1446" w:firstLineChars="450"/>
        <w:rPr>
          <w:rFonts w:ascii="宋体" w:hAnsi="宋体"/>
          <w:b/>
          <w:bCs/>
          <w:color w:val="auto"/>
          <w:sz w:val="32"/>
          <w:szCs w:val="32"/>
          <w:highlight w:val="none"/>
        </w:rPr>
      </w:pPr>
      <w:r>
        <w:rPr>
          <w:rFonts w:hint="eastAsia" w:ascii="宋体" w:hAnsi="宋体"/>
          <w:b/>
          <w:bCs/>
          <w:color w:val="auto"/>
          <w:sz w:val="32"/>
          <w:szCs w:val="32"/>
          <w:highlight w:val="none"/>
        </w:rPr>
        <w:t>标    项：</w:t>
      </w:r>
    </w:p>
    <w:p>
      <w:pPr>
        <w:snapToGrid w:val="0"/>
        <w:ind w:firstLine="643" w:firstLineChars="200"/>
        <w:rPr>
          <w:rFonts w:ascii="宋体" w:hAnsi="宋体"/>
          <w:b/>
          <w:bCs/>
          <w:color w:val="auto"/>
          <w:sz w:val="32"/>
          <w:szCs w:val="32"/>
          <w:highlight w:val="none"/>
        </w:rPr>
      </w:pPr>
    </w:p>
    <w:p>
      <w:pPr>
        <w:pStyle w:val="8"/>
        <w:snapToGrid w:val="0"/>
        <w:ind w:firstLine="1331" w:firstLineChars="416"/>
        <w:rPr>
          <w:rFonts w:ascii="宋体" w:hAnsi="宋体"/>
          <w:bCs/>
          <w:color w:val="auto"/>
          <w:sz w:val="32"/>
          <w:szCs w:val="32"/>
          <w:highlight w:val="none"/>
        </w:rPr>
      </w:pPr>
    </w:p>
    <w:p>
      <w:pPr>
        <w:pStyle w:val="8"/>
        <w:snapToGrid w:val="0"/>
        <w:ind w:firstLine="1331" w:firstLineChars="416"/>
        <w:rPr>
          <w:rFonts w:ascii="宋体" w:hAnsi="宋体"/>
          <w:bCs/>
          <w:color w:val="auto"/>
          <w:sz w:val="32"/>
          <w:szCs w:val="32"/>
          <w:highlight w:val="none"/>
        </w:rPr>
      </w:pPr>
    </w:p>
    <w:p>
      <w:pPr>
        <w:pStyle w:val="8"/>
        <w:snapToGrid w:val="0"/>
        <w:ind w:firstLine="1331" w:firstLineChars="416"/>
        <w:rPr>
          <w:rFonts w:ascii="宋体" w:hAnsi="宋体"/>
          <w:bCs/>
          <w:color w:val="auto"/>
          <w:sz w:val="32"/>
          <w:szCs w:val="32"/>
          <w:highlight w:val="none"/>
        </w:rPr>
      </w:pPr>
    </w:p>
    <w:p>
      <w:pPr>
        <w:pStyle w:val="8"/>
        <w:snapToGrid w:val="0"/>
        <w:ind w:firstLine="1331" w:firstLineChars="416"/>
        <w:rPr>
          <w:rFonts w:ascii="宋体" w:hAnsi="宋体"/>
          <w:bCs/>
          <w:color w:val="auto"/>
          <w:sz w:val="32"/>
          <w:szCs w:val="32"/>
          <w:highlight w:val="none"/>
        </w:rPr>
      </w:pPr>
    </w:p>
    <w:p>
      <w:pPr>
        <w:pStyle w:val="8"/>
        <w:snapToGrid w:val="0"/>
        <w:ind w:firstLine="1331" w:firstLineChars="416"/>
        <w:rPr>
          <w:rFonts w:ascii="宋体" w:hAnsi="宋体"/>
          <w:bCs/>
          <w:color w:val="auto"/>
          <w:sz w:val="32"/>
          <w:szCs w:val="32"/>
          <w:highlight w:val="none"/>
        </w:rPr>
      </w:pPr>
    </w:p>
    <w:p>
      <w:pPr>
        <w:pStyle w:val="8"/>
        <w:snapToGrid w:val="0"/>
        <w:ind w:firstLine="1331" w:firstLineChars="416"/>
        <w:rPr>
          <w:rFonts w:ascii="宋体" w:hAnsi="宋体"/>
          <w:bCs/>
          <w:color w:val="auto"/>
          <w:sz w:val="32"/>
          <w:szCs w:val="32"/>
          <w:highlight w:val="none"/>
        </w:rPr>
      </w:pPr>
    </w:p>
    <w:p>
      <w:pPr>
        <w:pStyle w:val="8"/>
        <w:snapToGrid w:val="0"/>
        <w:ind w:firstLine="1331" w:firstLineChars="416"/>
        <w:rPr>
          <w:rFonts w:ascii="宋体" w:hAnsi="宋体"/>
          <w:bCs/>
          <w:color w:val="auto"/>
          <w:sz w:val="32"/>
          <w:szCs w:val="32"/>
          <w:highlight w:val="none"/>
        </w:rPr>
      </w:pPr>
    </w:p>
    <w:p>
      <w:pPr>
        <w:pStyle w:val="8"/>
        <w:snapToGrid w:val="0"/>
        <w:ind w:firstLine="1331" w:firstLineChars="416"/>
        <w:rPr>
          <w:rFonts w:ascii="宋体" w:hAnsi="宋体"/>
          <w:bCs/>
          <w:color w:val="auto"/>
          <w:sz w:val="32"/>
          <w:szCs w:val="32"/>
          <w:highlight w:val="none"/>
        </w:rPr>
      </w:pPr>
    </w:p>
    <w:p>
      <w:pPr>
        <w:pStyle w:val="8"/>
        <w:snapToGrid w:val="0"/>
        <w:ind w:firstLine="1331" w:firstLineChars="416"/>
        <w:rPr>
          <w:rFonts w:ascii="宋体" w:hAnsi="宋体"/>
          <w:bCs/>
          <w:color w:val="auto"/>
          <w:sz w:val="32"/>
          <w:szCs w:val="32"/>
          <w:highlight w:val="none"/>
        </w:rPr>
      </w:pPr>
    </w:p>
    <w:p>
      <w:pPr>
        <w:pStyle w:val="8"/>
        <w:snapToGrid w:val="0"/>
        <w:ind w:firstLine="1331" w:firstLineChars="416"/>
        <w:rPr>
          <w:rFonts w:ascii="宋体" w:hAnsi="宋体"/>
          <w:bCs/>
          <w:color w:val="auto"/>
          <w:sz w:val="32"/>
          <w:szCs w:val="32"/>
          <w:highlight w:val="none"/>
        </w:rPr>
      </w:pPr>
    </w:p>
    <w:p>
      <w:pPr>
        <w:pStyle w:val="8"/>
        <w:snapToGrid w:val="0"/>
        <w:ind w:firstLine="1331" w:firstLineChars="416"/>
        <w:rPr>
          <w:rFonts w:ascii="宋体" w:hAnsi="宋体"/>
          <w:bCs/>
          <w:color w:val="auto"/>
          <w:sz w:val="32"/>
          <w:szCs w:val="32"/>
          <w:highlight w:val="none"/>
        </w:rPr>
      </w:pPr>
    </w:p>
    <w:p>
      <w:pPr>
        <w:pStyle w:val="8"/>
        <w:snapToGrid w:val="0"/>
        <w:ind w:firstLine="1331" w:firstLineChars="416"/>
        <w:rPr>
          <w:rFonts w:ascii="宋体" w:hAnsi="宋体"/>
          <w:bCs/>
          <w:color w:val="auto"/>
          <w:sz w:val="32"/>
          <w:szCs w:val="32"/>
          <w:highlight w:val="none"/>
        </w:rPr>
      </w:pPr>
    </w:p>
    <w:p>
      <w:pPr>
        <w:pStyle w:val="8"/>
        <w:snapToGrid w:val="0"/>
        <w:ind w:firstLine="1331" w:firstLineChars="416"/>
        <w:rPr>
          <w:rFonts w:ascii="宋体" w:hAnsi="宋体"/>
          <w:bCs/>
          <w:color w:val="auto"/>
          <w:sz w:val="32"/>
          <w:szCs w:val="32"/>
          <w:highlight w:val="none"/>
        </w:rPr>
      </w:pPr>
    </w:p>
    <w:p>
      <w:pPr>
        <w:pStyle w:val="8"/>
        <w:snapToGrid w:val="0"/>
        <w:ind w:firstLine="1331" w:firstLineChars="416"/>
        <w:rPr>
          <w:rFonts w:ascii="宋体" w:hAnsi="宋体"/>
          <w:bCs/>
          <w:color w:val="auto"/>
          <w:sz w:val="32"/>
          <w:szCs w:val="32"/>
          <w:highlight w:val="none"/>
        </w:rPr>
      </w:pPr>
    </w:p>
    <w:p>
      <w:pPr>
        <w:pStyle w:val="8"/>
        <w:snapToGrid w:val="0"/>
        <w:ind w:firstLine="1336" w:firstLineChars="416"/>
        <w:rPr>
          <w:rFonts w:ascii="宋体" w:hAnsi="宋体"/>
          <w:b/>
          <w:bCs/>
          <w:color w:val="auto"/>
          <w:sz w:val="32"/>
          <w:szCs w:val="32"/>
          <w:highlight w:val="none"/>
        </w:rPr>
      </w:pPr>
      <w:r>
        <w:rPr>
          <w:rFonts w:hint="eastAsia" w:ascii="宋体" w:hAnsi="宋体"/>
          <w:b/>
          <w:bCs/>
          <w:color w:val="auto"/>
          <w:sz w:val="32"/>
          <w:szCs w:val="32"/>
          <w:highlight w:val="none"/>
        </w:rPr>
        <w:t>投标人名称：</w:t>
      </w:r>
    </w:p>
    <w:p>
      <w:pPr>
        <w:pStyle w:val="8"/>
        <w:snapToGrid w:val="0"/>
        <w:ind w:firstLine="1336" w:firstLineChars="416"/>
        <w:rPr>
          <w:rFonts w:ascii="宋体" w:hAnsi="宋体"/>
          <w:b/>
          <w:bCs/>
          <w:color w:val="auto"/>
          <w:sz w:val="32"/>
          <w:szCs w:val="32"/>
          <w:highlight w:val="none"/>
        </w:rPr>
      </w:pPr>
      <w:r>
        <w:rPr>
          <w:rFonts w:hint="eastAsia" w:ascii="宋体" w:hAnsi="宋体"/>
          <w:b/>
          <w:bCs/>
          <w:color w:val="auto"/>
          <w:sz w:val="32"/>
          <w:szCs w:val="32"/>
          <w:highlight w:val="none"/>
        </w:rPr>
        <w:t>投标人地址：</w:t>
      </w:r>
    </w:p>
    <w:p>
      <w:pPr>
        <w:pStyle w:val="8"/>
        <w:snapToGrid w:val="0"/>
        <w:ind w:firstLine="1285" w:firstLineChars="400"/>
        <w:rPr>
          <w:rFonts w:ascii="宋体" w:hAnsi="宋体"/>
          <w:b/>
          <w:bCs/>
          <w:color w:val="auto"/>
          <w:sz w:val="32"/>
          <w:szCs w:val="32"/>
          <w:highlight w:val="none"/>
        </w:rPr>
      </w:pPr>
    </w:p>
    <w:p>
      <w:pPr>
        <w:snapToGrid w:val="0"/>
        <w:ind w:firstLine="645"/>
        <w:jc w:val="center"/>
        <w:rPr>
          <w:rFonts w:ascii="宋体" w:hAnsi="宋体"/>
          <w:b/>
          <w:color w:val="auto"/>
          <w:sz w:val="32"/>
          <w:szCs w:val="32"/>
          <w:highlight w:val="none"/>
        </w:rPr>
      </w:pPr>
      <w:r>
        <w:rPr>
          <w:rFonts w:hint="eastAsia" w:ascii="宋体" w:hAnsi="宋体"/>
          <w:b/>
          <w:color w:val="auto"/>
          <w:sz w:val="32"/>
          <w:szCs w:val="32"/>
          <w:highlight w:val="none"/>
        </w:rPr>
        <w:t xml:space="preserve">                        年  月  日</w:t>
      </w:r>
    </w:p>
    <w:p>
      <w:pPr>
        <w:snapToGrid w:val="0"/>
        <w:rPr>
          <w:rFonts w:ascii="宋体" w:hAnsi="宋体"/>
          <w:color w:val="auto"/>
          <w:sz w:val="24"/>
          <w:highlight w:val="none"/>
        </w:rPr>
      </w:pPr>
      <w:r>
        <w:rPr>
          <w:rFonts w:ascii="宋体" w:hAnsi="宋体"/>
          <w:color w:val="auto"/>
          <w:sz w:val="24"/>
          <w:highlight w:val="none"/>
        </w:rPr>
        <w:br w:type="page"/>
      </w:r>
      <w:r>
        <w:rPr>
          <w:rFonts w:hint="eastAsia" w:ascii="宋体" w:hAnsi="宋体"/>
          <w:color w:val="auto"/>
          <w:sz w:val="24"/>
          <w:highlight w:val="none"/>
        </w:rPr>
        <w:t>3.</w:t>
      </w:r>
      <w:r>
        <w:rPr>
          <w:rFonts w:hint="eastAsia" w:ascii="宋体" w:hAnsi="宋体"/>
          <w:b/>
          <w:bCs/>
          <w:color w:val="auto"/>
          <w:sz w:val="24"/>
          <w:highlight w:val="none"/>
        </w:rPr>
        <w:t>投标文件目录</w:t>
      </w:r>
    </w:p>
    <w:p>
      <w:pPr>
        <w:snapToGrid w:val="0"/>
        <w:rPr>
          <w:rFonts w:ascii="宋体" w:hAnsi="宋体"/>
          <w:color w:val="auto"/>
          <w:sz w:val="24"/>
          <w:highlight w:val="none"/>
        </w:rPr>
      </w:pPr>
    </w:p>
    <w:p>
      <w:pPr>
        <w:snapToGrid w:val="0"/>
        <w:jc w:val="left"/>
        <w:rPr>
          <w:rFonts w:ascii="宋体" w:hAnsi="宋体"/>
          <w:color w:val="auto"/>
          <w:sz w:val="24"/>
          <w:highlight w:val="none"/>
        </w:rPr>
      </w:pPr>
      <w:r>
        <w:rPr>
          <w:rFonts w:hint="eastAsia" w:ascii="宋体" w:hAnsi="宋体"/>
          <w:color w:val="auto"/>
          <w:sz w:val="24"/>
          <w:highlight w:val="none"/>
        </w:rPr>
        <w:t>按照招标文件第三章“投标人须知”中“三之（一）投标文件的组成”的顺序编排</w:t>
      </w:r>
    </w:p>
    <w:p>
      <w:pPr>
        <w:snapToGrid w:val="0"/>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投标函格式：</w:t>
      </w:r>
    </w:p>
    <w:p>
      <w:pPr>
        <w:snapToGrid w:val="0"/>
        <w:jc w:val="center"/>
        <w:rPr>
          <w:rFonts w:ascii="宋体" w:hAnsi="宋体"/>
          <w:b/>
          <w:color w:val="auto"/>
          <w:sz w:val="32"/>
          <w:szCs w:val="32"/>
          <w:highlight w:val="none"/>
        </w:rPr>
      </w:pPr>
      <w:r>
        <w:rPr>
          <w:rFonts w:hint="eastAsia" w:ascii="宋体" w:hAnsi="宋体"/>
          <w:b/>
          <w:color w:val="auto"/>
          <w:sz w:val="32"/>
          <w:szCs w:val="32"/>
          <w:highlight w:val="none"/>
        </w:rPr>
        <w:t>投 标 函</w:t>
      </w:r>
    </w:p>
    <w:p>
      <w:pPr>
        <w:snapToGrid w:val="0"/>
        <w:jc w:val="center"/>
        <w:rPr>
          <w:rFonts w:ascii="宋体" w:hAnsi="宋体"/>
          <w:b/>
          <w:color w:val="auto"/>
          <w:sz w:val="24"/>
          <w:highlight w:val="none"/>
        </w:rPr>
      </w:pPr>
    </w:p>
    <w:p>
      <w:pPr>
        <w:snapToGrid w:val="0"/>
        <w:rPr>
          <w:rFonts w:ascii="宋体" w:hAnsi="宋体"/>
          <w:color w:val="auto"/>
          <w:sz w:val="24"/>
          <w:highlight w:val="none"/>
        </w:rPr>
      </w:pPr>
      <w:r>
        <w:rPr>
          <w:rFonts w:hint="eastAsia" w:ascii="宋体" w:hAnsi="宋体"/>
          <w:color w:val="auto"/>
          <w:sz w:val="24"/>
          <w:highlight w:val="none"/>
        </w:rPr>
        <w:t>致：______</w:t>
      </w:r>
      <w:r>
        <w:rPr>
          <w:rFonts w:hint="eastAsia" w:ascii="宋体" w:hAnsi="宋体"/>
          <w:color w:val="auto"/>
          <w:sz w:val="24"/>
          <w:highlight w:val="none"/>
          <w:u w:val="single"/>
        </w:rPr>
        <w:t>_     _</w:t>
      </w:r>
      <w:r>
        <w:rPr>
          <w:rFonts w:hint="eastAsia" w:ascii="宋体" w:hAnsi="宋体"/>
          <w:color w:val="auto"/>
          <w:sz w:val="24"/>
          <w:highlight w:val="none"/>
        </w:rPr>
        <w:t>_（招标采购单位名称）：</w:t>
      </w:r>
    </w:p>
    <w:p>
      <w:pPr>
        <w:snapToGrid w:val="0"/>
        <w:ind w:firstLine="480"/>
        <w:rPr>
          <w:rFonts w:ascii="宋体" w:hAnsi="宋体"/>
          <w:color w:val="auto"/>
          <w:sz w:val="24"/>
          <w:highlight w:val="none"/>
        </w:rPr>
      </w:pPr>
      <w:r>
        <w:rPr>
          <w:rFonts w:hint="eastAsia" w:ascii="宋体" w:hAnsi="宋体"/>
          <w:color w:val="auto"/>
          <w:sz w:val="24"/>
          <w:highlight w:val="none"/>
        </w:rPr>
        <w:t>根据贵方为</w:t>
      </w:r>
      <w:r>
        <w:rPr>
          <w:rFonts w:hint="eastAsia" w:ascii="宋体" w:hAnsi="宋体"/>
          <w:color w:val="auto"/>
          <w:sz w:val="24"/>
          <w:highlight w:val="none"/>
          <w:u w:val="single"/>
        </w:rPr>
        <w:t xml:space="preserve">                             </w:t>
      </w:r>
      <w:r>
        <w:rPr>
          <w:rFonts w:hint="eastAsia" w:ascii="宋体" w:hAnsi="宋体"/>
          <w:color w:val="auto"/>
          <w:sz w:val="24"/>
          <w:highlight w:val="none"/>
        </w:rPr>
        <w:t>项目的招标公告（项目编号：____），签字代表</w:t>
      </w:r>
      <w:r>
        <w:rPr>
          <w:rFonts w:hint="eastAsia" w:ascii="宋体" w:hAnsi="宋体"/>
          <w:color w:val="auto"/>
          <w:sz w:val="24"/>
          <w:highlight w:val="none"/>
          <w:u w:val="single"/>
        </w:rPr>
        <w:t xml:space="preserve">     </w:t>
      </w:r>
      <w:r>
        <w:rPr>
          <w:rFonts w:hint="eastAsia" w:ascii="宋体" w:hAnsi="宋体"/>
          <w:color w:val="auto"/>
          <w:sz w:val="24"/>
          <w:highlight w:val="none"/>
        </w:rPr>
        <w:t>（全名）经正式授权并代表投标人</w:t>
      </w:r>
      <w:r>
        <w:rPr>
          <w:rFonts w:hint="eastAsia" w:ascii="宋体" w:hAnsi="宋体"/>
          <w:color w:val="auto"/>
          <w:sz w:val="24"/>
          <w:highlight w:val="none"/>
          <w:u w:val="single"/>
        </w:rPr>
        <w:t xml:space="preserve">                   </w:t>
      </w:r>
      <w:r>
        <w:rPr>
          <w:rFonts w:hint="eastAsia" w:ascii="宋体" w:hAnsi="宋体"/>
          <w:color w:val="auto"/>
          <w:sz w:val="24"/>
          <w:highlight w:val="none"/>
        </w:rPr>
        <w:t>（投标人名称）提交投标文件正本</w:t>
      </w:r>
      <w:r>
        <w:rPr>
          <w:rFonts w:hint="eastAsia" w:ascii="宋体" w:hAnsi="宋体"/>
          <w:color w:val="auto"/>
          <w:sz w:val="24"/>
          <w:highlight w:val="none"/>
          <w:u w:val="single"/>
        </w:rPr>
        <w:t xml:space="preserve">    </w:t>
      </w:r>
      <w:r>
        <w:rPr>
          <w:rFonts w:hint="eastAsia" w:ascii="宋体" w:hAnsi="宋体"/>
          <w:color w:val="auto"/>
          <w:sz w:val="24"/>
          <w:highlight w:val="none"/>
        </w:rPr>
        <w:t>份、副本</w:t>
      </w:r>
      <w:r>
        <w:rPr>
          <w:rFonts w:hint="eastAsia" w:ascii="宋体" w:hAnsi="宋体"/>
          <w:color w:val="auto"/>
          <w:sz w:val="24"/>
          <w:highlight w:val="none"/>
          <w:u w:val="single"/>
        </w:rPr>
        <w:t xml:space="preserve">   </w:t>
      </w:r>
      <w:r>
        <w:rPr>
          <w:rFonts w:hint="eastAsia" w:ascii="宋体" w:hAnsi="宋体"/>
          <w:color w:val="auto"/>
          <w:sz w:val="24"/>
          <w:highlight w:val="none"/>
        </w:rPr>
        <w:t>份。</w:t>
      </w:r>
    </w:p>
    <w:p>
      <w:pPr>
        <w:snapToGrid w:val="0"/>
        <w:ind w:firstLine="480" w:firstLineChars="200"/>
        <w:rPr>
          <w:rFonts w:ascii="宋体" w:hAnsi="宋体"/>
          <w:color w:val="auto"/>
          <w:sz w:val="24"/>
          <w:highlight w:val="none"/>
        </w:rPr>
      </w:pPr>
      <w:r>
        <w:rPr>
          <w:rFonts w:hint="eastAsia" w:ascii="宋体" w:hAnsi="宋体"/>
          <w:color w:val="auto"/>
          <w:sz w:val="24"/>
          <w:highlight w:val="none"/>
        </w:rPr>
        <w:t>据此函，签字代表宣布同意如下：</w:t>
      </w:r>
    </w:p>
    <w:p>
      <w:pPr>
        <w:snapToGrid w:val="0"/>
        <w:ind w:firstLine="480" w:firstLineChars="200"/>
        <w:rPr>
          <w:rFonts w:ascii="宋体" w:hAnsi="宋体"/>
          <w:color w:val="auto"/>
          <w:sz w:val="24"/>
          <w:highlight w:val="none"/>
        </w:rPr>
      </w:pPr>
      <w:r>
        <w:rPr>
          <w:rFonts w:hint="eastAsia" w:ascii="宋体" w:hAnsi="宋体"/>
          <w:color w:val="auto"/>
          <w:sz w:val="24"/>
          <w:highlight w:val="none"/>
        </w:rPr>
        <w:t>1.投标人已详细审查全部“招标文件”，包括修改文件（如有的话）以及全部参考资料和有关附件，已经了解我方对于招标文件、采购过程、采购结果有依法进行询问、质疑、投诉的权利及相关渠道和要求。</w:t>
      </w:r>
    </w:p>
    <w:p>
      <w:pPr>
        <w:pStyle w:val="22"/>
        <w:snapToGrid w:val="0"/>
        <w:ind w:firstLine="480" w:firstLineChars="200"/>
        <w:rPr>
          <w:rFonts w:hAnsi="宋体" w:cs="Times New Roman"/>
          <w:color w:val="auto"/>
          <w:sz w:val="24"/>
          <w:szCs w:val="24"/>
          <w:highlight w:val="none"/>
        </w:rPr>
      </w:pPr>
      <w:r>
        <w:rPr>
          <w:rFonts w:hint="eastAsia" w:hAnsi="宋体"/>
          <w:color w:val="auto"/>
          <w:sz w:val="24"/>
          <w:highlight w:val="none"/>
        </w:rPr>
        <w:t>2</w:t>
      </w:r>
      <w:r>
        <w:rPr>
          <w:rFonts w:hint="eastAsia" w:hAnsi="宋体" w:cs="Times New Roman"/>
          <w:color w:val="auto"/>
          <w:sz w:val="24"/>
          <w:szCs w:val="24"/>
          <w:highlight w:val="none"/>
        </w:rPr>
        <w:t>、按投标报价明细表报价。</w:t>
      </w:r>
    </w:p>
    <w:p>
      <w:pPr>
        <w:snapToGrid w:val="0"/>
        <w:ind w:firstLine="480" w:firstLineChars="200"/>
        <w:rPr>
          <w:rFonts w:ascii="宋体" w:hAnsi="宋体"/>
          <w:color w:val="auto"/>
          <w:sz w:val="24"/>
          <w:highlight w:val="none"/>
        </w:rPr>
      </w:pPr>
      <w:r>
        <w:rPr>
          <w:rFonts w:hint="eastAsia" w:ascii="宋体" w:hAnsi="宋体"/>
          <w:color w:val="auto"/>
          <w:sz w:val="24"/>
          <w:highlight w:val="none"/>
        </w:rPr>
        <w:t>3.投标人在投标之前已经与贵方进行了充分的沟通，完全理解并接受招标文件的各项规定和要求，对招标文件的合理性、合法性不再有异议。</w:t>
      </w:r>
    </w:p>
    <w:p>
      <w:pPr>
        <w:snapToGrid w:val="0"/>
        <w:ind w:firstLine="480" w:firstLineChars="200"/>
        <w:rPr>
          <w:rFonts w:ascii="宋体" w:hAnsi="宋体"/>
          <w:color w:val="auto"/>
          <w:sz w:val="24"/>
          <w:highlight w:val="none"/>
        </w:rPr>
      </w:pPr>
      <w:r>
        <w:rPr>
          <w:rFonts w:hint="eastAsia" w:ascii="宋体" w:hAnsi="宋体"/>
          <w:color w:val="auto"/>
          <w:sz w:val="24"/>
          <w:highlight w:val="none"/>
        </w:rPr>
        <w:t>4.本项目投标有效期为</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天</w:t>
      </w:r>
    </w:p>
    <w:p>
      <w:pPr>
        <w:snapToGrid w:val="0"/>
        <w:ind w:firstLine="480" w:firstLineChars="200"/>
        <w:rPr>
          <w:rFonts w:ascii="宋体" w:hAnsi="宋体"/>
          <w:color w:val="auto"/>
          <w:sz w:val="24"/>
          <w:highlight w:val="none"/>
        </w:rPr>
      </w:pPr>
      <w:r>
        <w:rPr>
          <w:rFonts w:hint="eastAsia" w:ascii="宋体" w:hAnsi="宋体"/>
          <w:color w:val="auto"/>
          <w:sz w:val="24"/>
          <w:highlight w:val="none"/>
        </w:rPr>
        <w:t>5.如中标，本投标文件至本项目合同履行完毕止均保持有效，本投标人将按“招标文件”及政府采购法律、法规的规定履行合同责任和义务。</w:t>
      </w:r>
    </w:p>
    <w:p>
      <w:pPr>
        <w:snapToGrid w:val="0"/>
        <w:ind w:firstLine="480" w:firstLineChars="200"/>
        <w:rPr>
          <w:rFonts w:ascii="宋体" w:hAnsi="宋体"/>
          <w:color w:val="auto"/>
          <w:sz w:val="24"/>
          <w:highlight w:val="none"/>
        </w:rPr>
      </w:pPr>
      <w:r>
        <w:rPr>
          <w:rFonts w:hint="eastAsia" w:ascii="宋体" w:hAnsi="宋体"/>
          <w:color w:val="auto"/>
          <w:sz w:val="24"/>
          <w:highlight w:val="none"/>
        </w:rPr>
        <w:t>6.投标人同意按照贵方要求提供与投标有关的一切数据或资料。</w:t>
      </w:r>
    </w:p>
    <w:p>
      <w:pPr>
        <w:snapToGrid w:val="0"/>
        <w:ind w:firstLine="480" w:firstLineChars="200"/>
        <w:rPr>
          <w:rFonts w:ascii="宋体" w:hAnsi="宋体"/>
          <w:color w:val="auto"/>
          <w:sz w:val="24"/>
          <w:highlight w:val="none"/>
        </w:rPr>
      </w:pPr>
      <w:r>
        <w:rPr>
          <w:rFonts w:hint="eastAsia" w:ascii="宋体" w:hAnsi="宋体"/>
          <w:color w:val="auto"/>
          <w:sz w:val="24"/>
          <w:highlight w:val="none"/>
        </w:rPr>
        <w:t>7.与本投标有关的一切正式往来信函请寄：</w:t>
      </w:r>
    </w:p>
    <w:p>
      <w:pPr>
        <w:snapToGrid w:val="0"/>
        <w:ind w:firstLine="480" w:firstLineChars="200"/>
        <w:rPr>
          <w:rFonts w:ascii="宋体" w:hAnsi="宋体"/>
          <w:color w:val="auto"/>
          <w:sz w:val="24"/>
          <w:highlight w:val="none"/>
        </w:rPr>
      </w:pPr>
      <w:r>
        <w:rPr>
          <w:rFonts w:hint="eastAsia" w:ascii="宋体" w:hAnsi="宋体"/>
          <w:color w:val="auto"/>
          <w:sz w:val="24"/>
          <w:highlight w:val="none"/>
        </w:rPr>
        <w:t>地址：__________</w:t>
      </w:r>
      <w:r>
        <w:rPr>
          <w:rFonts w:hint="eastAsia" w:ascii="宋体" w:hAnsi="宋体"/>
          <w:color w:val="auto"/>
          <w:sz w:val="24"/>
          <w:highlight w:val="none"/>
          <w:u w:val="single"/>
        </w:rPr>
        <w:t xml:space="preserve">        </w:t>
      </w:r>
      <w:r>
        <w:rPr>
          <w:rFonts w:hint="eastAsia" w:ascii="宋体" w:hAnsi="宋体"/>
          <w:color w:val="auto"/>
          <w:sz w:val="24"/>
          <w:highlight w:val="none"/>
        </w:rPr>
        <w:t>__邮编：__________   电话：_____________</w:t>
      </w:r>
    </w:p>
    <w:p>
      <w:pPr>
        <w:snapToGrid w:val="0"/>
        <w:ind w:firstLine="480" w:firstLineChars="200"/>
        <w:rPr>
          <w:rFonts w:ascii="宋体" w:hAnsi="宋体"/>
          <w:color w:val="auto"/>
          <w:sz w:val="24"/>
          <w:highlight w:val="none"/>
        </w:rPr>
      </w:pPr>
    </w:p>
    <w:p>
      <w:pPr>
        <w:snapToGrid w:val="0"/>
        <w:ind w:firstLine="480" w:firstLineChars="200"/>
        <w:rPr>
          <w:rFonts w:ascii="宋体" w:hAnsi="宋体"/>
          <w:color w:val="auto"/>
          <w:sz w:val="24"/>
          <w:highlight w:val="none"/>
        </w:rPr>
      </w:pPr>
      <w:r>
        <w:rPr>
          <w:rFonts w:hint="eastAsia" w:ascii="宋体" w:hAnsi="宋体"/>
          <w:color w:val="auto"/>
          <w:sz w:val="24"/>
          <w:highlight w:val="none"/>
        </w:rPr>
        <w:t>传真：___________   投标人代表姓名 _________ 职务：______</w:t>
      </w:r>
      <w:r>
        <w:rPr>
          <w:rFonts w:hint="eastAsia" w:ascii="宋体" w:hAnsi="宋体"/>
          <w:color w:val="auto"/>
          <w:sz w:val="24"/>
          <w:highlight w:val="none"/>
          <w:u w:val="single"/>
        </w:rPr>
        <w:t xml:space="preserve"> </w:t>
      </w:r>
      <w:r>
        <w:rPr>
          <w:rFonts w:hint="eastAsia" w:ascii="宋体" w:hAnsi="宋体"/>
          <w:color w:val="auto"/>
          <w:sz w:val="24"/>
          <w:highlight w:val="none"/>
        </w:rPr>
        <w:t>_______</w:t>
      </w:r>
    </w:p>
    <w:p>
      <w:pPr>
        <w:snapToGrid w:val="0"/>
        <w:rPr>
          <w:rFonts w:ascii="宋体" w:hAnsi="宋体"/>
          <w:color w:val="auto"/>
          <w:sz w:val="24"/>
          <w:highlight w:val="none"/>
        </w:rPr>
      </w:pPr>
      <w:r>
        <w:rPr>
          <w:rFonts w:hint="eastAsia" w:ascii="宋体" w:hAnsi="宋体"/>
          <w:color w:val="auto"/>
          <w:sz w:val="24"/>
          <w:highlight w:val="none"/>
        </w:rPr>
        <w:t xml:space="preserve">  </w:t>
      </w:r>
    </w:p>
    <w:p>
      <w:pPr>
        <w:snapToGrid w:val="0"/>
        <w:ind w:firstLine="360" w:firstLineChars="150"/>
        <w:rPr>
          <w:rFonts w:ascii="宋体" w:hAnsi="宋体"/>
          <w:color w:val="auto"/>
          <w:sz w:val="24"/>
          <w:highlight w:val="none"/>
        </w:rPr>
      </w:pPr>
      <w:r>
        <w:rPr>
          <w:rFonts w:hint="eastAsia" w:ascii="宋体" w:hAnsi="宋体"/>
          <w:color w:val="auto"/>
          <w:sz w:val="24"/>
          <w:highlight w:val="none"/>
        </w:rPr>
        <w:t>投标人名称:_________________</w:t>
      </w:r>
    </w:p>
    <w:p>
      <w:pPr>
        <w:snapToGrid w:val="0"/>
        <w:ind w:firstLine="360" w:firstLineChars="150"/>
        <w:rPr>
          <w:rFonts w:ascii="宋体" w:hAnsi="宋体"/>
          <w:color w:val="auto"/>
          <w:sz w:val="24"/>
          <w:highlight w:val="none"/>
        </w:rPr>
      </w:pPr>
      <w:r>
        <w:rPr>
          <w:rFonts w:hint="eastAsia" w:ascii="宋体" w:hAnsi="宋体"/>
          <w:color w:val="auto"/>
          <w:sz w:val="24"/>
          <w:highlight w:val="none"/>
        </w:rPr>
        <w:t>开户银行：</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银行帐号：</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napToGrid w:val="0"/>
        <w:jc w:val="center"/>
        <w:rPr>
          <w:rFonts w:ascii="宋体" w:hAnsi="宋体"/>
          <w:color w:val="auto"/>
          <w:sz w:val="24"/>
          <w:highlight w:val="none"/>
        </w:rPr>
      </w:pPr>
    </w:p>
    <w:p>
      <w:pPr>
        <w:snapToGrid w:val="0"/>
        <w:jc w:val="center"/>
        <w:rPr>
          <w:rFonts w:ascii="宋体" w:hAnsi="宋体"/>
          <w:color w:val="auto"/>
          <w:sz w:val="24"/>
          <w:highlight w:val="none"/>
        </w:rPr>
      </w:pPr>
    </w:p>
    <w:p>
      <w:pPr>
        <w:snapToGrid w:val="0"/>
        <w:ind w:firstLine="5040" w:firstLineChars="2100"/>
        <w:rPr>
          <w:rFonts w:ascii="宋体" w:hAnsi="宋体"/>
          <w:color w:val="auto"/>
          <w:sz w:val="24"/>
          <w:highlight w:val="none"/>
        </w:rPr>
      </w:pPr>
    </w:p>
    <w:p>
      <w:pPr>
        <w:snapToGrid w:val="0"/>
        <w:ind w:firstLine="1920" w:firstLineChars="800"/>
        <w:rPr>
          <w:rFonts w:asciiTheme="minorEastAsia" w:hAnsiTheme="minorEastAsia" w:eastAsiaTheme="minorEastAsia"/>
          <w:color w:val="auto"/>
          <w:sz w:val="24"/>
          <w:highlight w:val="none"/>
        </w:rPr>
      </w:pPr>
      <w:r>
        <w:rPr>
          <w:rFonts w:hint="eastAsia" w:ascii="宋体" w:hAnsi="宋体"/>
          <w:color w:val="auto"/>
          <w:sz w:val="24"/>
          <w:highlight w:val="none"/>
        </w:rPr>
        <w:t xml:space="preserve">  </w:t>
      </w:r>
      <w:r>
        <w:rPr>
          <w:rFonts w:hint="eastAsia" w:asciiTheme="minorEastAsia" w:hAnsiTheme="minorEastAsia" w:eastAsiaTheme="minorEastAsia"/>
          <w:color w:val="auto"/>
          <w:sz w:val="24"/>
          <w:highlight w:val="none"/>
        </w:rPr>
        <w:t xml:space="preserve">                  </w:t>
      </w:r>
    </w:p>
    <w:p>
      <w:pPr>
        <w:snapToGrid w:val="0"/>
        <w:ind w:left="149" w:hanging="148" w:hangingChars="6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r>
        <w:rPr>
          <w:rFonts w:asciiTheme="minorEastAsia" w:hAnsiTheme="minorEastAsia" w:eastAsiaTheme="minorEastAsia"/>
          <w:color w:val="auto"/>
          <w:sz w:val="24"/>
          <w:highlight w:val="none"/>
        </w:rPr>
        <w:t>投标人（盖单位公章</w:t>
      </w:r>
      <w:r>
        <w:rPr>
          <w:rFonts w:hint="eastAsia" w:asciiTheme="minorEastAsia" w:hAnsiTheme="minorEastAsia" w:eastAsiaTheme="minorEastAsia"/>
          <w:color w:val="auto"/>
          <w:sz w:val="24"/>
          <w:highlight w:val="none"/>
        </w:rPr>
        <w:t>，自然人除外</w:t>
      </w:r>
      <w:r>
        <w:rPr>
          <w:rFonts w:asciiTheme="minorEastAsia" w:hAnsiTheme="minorEastAsia" w:eastAsiaTheme="minorEastAsia"/>
          <w:color w:val="auto"/>
          <w:sz w:val="24"/>
          <w:highlight w:val="none"/>
        </w:rPr>
        <w:t>）：</w:t>
      </w:r>
    </w:p>
    <w:p>
      <w:pPr>
        <w:snapToGrid w:val="0"/>
        <w:ind w:firstLine="1920" w:firstLineChars="800"/>
        <w:rPr>
          <w:rFonts w:asciiTheme="minorEastAsia" w:hAnsiTheme="minorEastAsia" w:eastAsiaTheme="minorEastAsia"/>
          <w:color w:val="auto"/>
          <w:sz w:val="24"/>
          <w:highlight w:val="none"/>
        </w:rPr>
      </w:pPr>
    </w:p>
    <w:p>
      <w:pP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法定代表人或其委托代理人（签字或盖章）：</w:t>
      </w:r>
    </w:p>
    <w:p>
      <w:pPr>
        <w:snapToGrid w:val="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（投标人属自然人的应由自然人签字并加盖指印，投标人若为其他组织形式无法定代表人的应由机构负责人</w:t>
      </w:r>
      <w:r>
        <w:rPr>
          <w:rFonts w:asciiTheme="minorEastAsia" w:hAnsiTheme="minorEastAsia" w:eastAsiaTheme="minorEastAsia"/>
          <w:color w:val="auto"/>
          <w:sz w:val="24"/>
          <w:highlight w:val="none"/>
        </w:rPr>
        <w:t>签字或盖章</w:t>
      </w:r>
      <w:r>
        <w:rPr>
          <w:rFonts w:hint="eastAsia" w:asciiTheme="minorEastAsia" w:hAnsiTheme="minorEastAsia" w:eastAsiaTheme="minorEastAsia"/>
          <w:color w:val="auto"/>
          <w:sz w:val="24"/>
          <w:highlight w:val="none"/>
        </w:rPr>
        <w:t>）</w:t>
      </w:r>
    </w:p>
    <w:p>
      <w:pPr>
        <w:snapToGrid w:val="0"/>
        <w:ind w:firstLine="2280" w:firstLineChars="950"/>
        <w:rPr>
          <w:rFonts w:asciiTheme="minorEastAsia" w:hAnsiTheme="minorEastAsia" w:eastAsiaTheme="minorEastAsia"/>
          <w:color w:val="auto"/>
          <w:sz w:val="24"/>
          <w:highlight w:val="none"/>
        </w:rPr>
      </w:pPr>
    </w:p>
    <w:p>
      <w:pPr>
        <w:snapToGrid w:val="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日期:_____年_____月_____日</w:t>
      </w:r>
    </w:p>
    <w:p>
      <w:pPr>
        <w:widowControl/>
        <w:jc w:val="left"/>
        <w:rPr>
          <w:rFonts w:ascii="宋体" w:hAnsi="宋体"/>
          <w:color w:val="auto"/>
          <w:highlight w:val="none"/>
        </w:rPr>
      </w:pPr>
      <w:r>
        <w:rPr>
          <w:rFonts w:ascii="宋体" w:hAnsi="宋体"/>
          <w:color w:val="auto"/>
          <w:highlight w:val="none"/>
        </w:rPr>
        <w:br w:type="page"/>
      </w:r>
    </w:p>
    <w:p>
      <w:pPr>
        <w:snapToGrid w:val="0"/>
        <w:ind w:firstLine="2289" w:firstLineChars="950"/>
        <w:rPr>
          <w:rFonts w:ascii="宋体" w:hAnsi="宋体"/>
          <w:b/>
          <w:color w:val="auto"/>
          <w:sz w:val="24"/>
          <w:highlight w:val="none"/>
        </w:rPr>
      </w:pPr>
    </w:p>
    <w:p>
      <w:pPr>
        <w:snapToGrid w:val="0"/>
        <w:rPr>
          <w:rFonts w:ascii="宋体" w:hAnsi="宋体"/>
          <w:b/>
          <w:color w:val="auto"/>
          <w:sz w:val="24"/>
          <w:highlight w:val="none"/>
        </w:rPr>
      </w:pPr>
      <w:r>
        <w:rPr>
          <w:rFonts w:hint="eastAsia" w:ascii="宋体" w:hAnsi="宋体"/>
          <w:b/>
          <w:color w:val="auto"/>
          <w:sz w:val="24"/>
          <w:highlight w:val="none"/>
        </w:rPr>
        <w:t xml:space="preserve">投标报价明细表格式： </w:t>
      </w:r>
    </w:p>
    <w:p>
      <w:pPr>
        <w:pStyle w:val="22"/>
        <w:snapToGrid w:val="0"/>
        <w:jc w:val="center"/>
        <w:rPr>
          <w:rFonts w:hAnsi="宋体"/>
          <w:b/>
          <w:color w:val="auto"/>
          <w:sz w:val="32"/>
          <w:szCs w:val="32"/>
          <w:highlight w:val="none"/>
        </w:rPr>
      </w:pPr>
    </w:p>
    <w:p>
      <w:pPr>
        <w:pStyle w:val="22"/>
        <w:snapToGrid w:val="0"/>
        <w:jc w:val="center"/>
        <w:rPr>
          <w:rFonts w:hAnsi="宋体"/>
          <w:b/>
          <w:color w:val="auto"/>
          <w:sz w:val="32"/>
          <w:szCs w:val="32"/>
          <w:highlight w:val="none"/>
        </w:rPr>
      </w:pPr>
      <w:r>
        <w:rPr>
          <w:rFonts w:hint="eastAsia" w:hAnsi="宋体"/>
          <w:b/>
          <w:color w:val="auto"/>
          <w:sz w:val="32"/>
          <w:szCs w:val="32"/>
          <w:highlight w:val="none"/>
        </w:rPr>
        <w:t>投标报价明细表</w:t>
      </w:r>
    </w:p>
    <w:tbl>
      <w:tblPr>
        <w:tblStyle w:val="36"/>
        <w:tblW w:w="8859"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2065"/>
        <w:gridCol w:w="1080"/>
        <w:gridCol w:w="1260"/>
        <w:gridCol w:w="1517"/>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服务名称</w:t>
            </w: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highlight w:val="none"/>
              </w:rPr>
            </w:pPr>
            <w:r>
              <w:rPr>
                <w:rFonts w:eastAsia="仿宋_GB2312"/>
                <w:color w:val="auto"/>
                <w:highlight w:val="none"/>
              </w:rPr>
              <w:t>服务内容</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highlight w:val="none"/>
              </w:rPr>
            </w:pPr>
            <w:r>
              <w:rPr>
                <w:rFonts w:eastAsia="仿宋_GB2312"/>
                <w:color w:val="auto"/>
                <w:highlight w:val="none"/>
              </w:rPr>
              <w:t>数量①</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单价(元)②</w:t>
            </w: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单项合价（元）</w:t>
            </w:r>
          </w:p>
          <w:p>
            <w:pPr>
              <w:rPr>
                <w:rFonts w:eastAsia="仿宋_GB2312"/>
                <w:color w:val="auto"/>
                <w:highlight w:val="none"/>
              </w:rPr>
            </w:pPr>
            <w:r>
              <w:rPr>
                <w:rFonts w:eastAsia="仿宋_GB2312"/>
                <w:color w:val="auto"/>
                <w:highlight w:val="none"/>
              </w:rPr>
              <w:t>③＝①×②</w:t>
            </w: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2065"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2065"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2065"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报价合计（包含税费等所有费用）：（大写）人民币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szCs w:val="21"/>
                <w:highlight w:val="none"/>
                <w:u w:val="single"/>
              </w:rPr>
              <w:t>　　</w:t>
            </w:r>
            <w:r>
              <w:rPr>
                <w:rFonts w:eastAsia="仿宋_GB2312"/>
                <w:color w:val="auto"/>
                <w:szCs w:val="21"/>
                <w:highlight w:val="none"/>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投标人（盖单位公章</w:t>
            </w:r>
            <w:r>
              <w:rPr>
                <w:rFonts w:hint="eastAsia" w:eastAsia="仿宋_GB2312"/>
                <w:color w:val="auto"/>
                <w:highlight w:val="none"/>
              </w:rPr>
              <w:t>，自然人除外</w:t>
            </w:r>
            <w:r>
              <w:rPr>
                <w:rFonts w:eastAsia="仿宋_GB2312"/>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法定代表人或其委托代理人（签字或盖章）：</w:t>
            </w:r>
          </w:p>
          <w:p>
            <w:pPr>
              <w:rPr>
                <w:rFonts w:eastAsia="仿宋_GB2312"/>
                <w:color w:val="auto"/>
                <w:highlight w:val="none"/>
              </w:rPr>
            </w:pPr>
            <w:r>
              <w:rPr>
                <w:rFonts w:hint="eastAsia" w:ascii="宋体" w:hAnsi="宋体"/>
                <w:color w:val="auto"/>
                <w:szCs w:val="21"/>
                <w:highlight w:val="none"/>
              </w:rPr>
              <w:t>（</w:t>
            </w:r>
            <w:r>
              <w:rPr>
                <w:rFonts w:hint="eastAsia" w:eastAsia="仿宋_GB2312"/>
                <w:color w:val="auto"/>
                <w:highlight w:val="none"/>
              </w:rPr>
              <w:t>投标人属自然人的应由自然人签字并加盖指印，投标人若为其他组织形式无法定代表人的应由机构负责人</w:t>
            </w:r>
            <w:r>
              <w:rPr>
                <w:rFonts w:eastAsia="仿宋_GB2312"/>
                <w:color w:val="auto"/>
                <w:highlight w:val="none"/>
              </w:rPr>
              <w:t>签字或盖章</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hint="eastAsia" w:eastAsia="仿宋_GB2312"/>
                <w:color w:val="auto"/>
                <w:highlight w:val="none"/>
              </w:rPr>
              <w:t>日期：       年   月   日</w:t>
            </w:r>
          </w:p>
        </w:tc>
      </w:tr>
    </w:tbl>
    <w:p>
      <w:pPr>
        <w:ind w:firstLine="480" w:firstLineChars="200"/>
        <w:rPr>
          <w:rFonts w:ascii="仿宋_GB2312" w:eastAsia="仿宋_GB2312"/>
          <w:color w:val="auto"/>
          <w:sz w:val="24"/>
          <w:highlight w:val="none"/>
        </w:rPr>
      </w:pPr>
    </w:p>
    <w:p>
      <w:pPr>
        <w:ind w:firstLine="480" w:firstLineChars="200"/>
        <w:rPr>
          <w:rFonts w:ascii="仿宋_GB2312" w:eastAsia="仿宋_GB2312"/>
          <w:color w:val="auto"/>
          <w:sz w:val="24"/>
          <w:highlight w:val="none"/>
        </w:rPr>
      </w:pPr>
      <w:r>
        <w:rPr>
          <w:rFonts w:hint="eastAsia" w:ascii="仿宋_GB2312" w:eastAsia="仿宋_GB2312"/>
          <w:color w:val="auto"/>
          <w:sz w:val="24"/>
          <w:highlight w:val="none"/>
        </w:rPr>
        <w:t>注：表格内容均需按要求填写并盖章，不得留空,</w:t>
      </w:r>
      <w:r>
        <w:rPr>
          <w:rFonts w:hint="eastAsia" w:ascii="仿宋_GB2312" w:eastAsia="仿宋_GB2312"/>
          <w:bCs/>
          <w:color w:val="auto"/>
          <w:sz w:val="24"/>
          <w:highlight w:val="none"/>
        </w:rPr>
        <w:t xml:space="preserve"> 否则按投标无效处理</w:t>
      </w:r>
      <w:r>
        <w:rPr>
          <w:rFonts w:hint="eastAsia" w:ascii="仿宋_GB2312" w:eastAsia="仿宋_GB2312"/>
          <w:color w:val="auto"/>
          <w:sz w:val="24"/>
          <w:highlight w:val="none"/>
        </w:rPr>
        <w:t>。</w:t>
      </w:r>
    </w:p>
    <w:p>
      <w:pPr>
        <w:snapToGrid w:val="0"/>
        <w:rPr>
          <w:rFonts w:ascii="宋体" w:hAnsi="宋体"/>
          <w:color w:val="auto"/>
          <w:spacing w:val="20"/>
          <w:sz w:val="24"/>
          <w:highlight w:val="none"/>
        </w:rPr>
      </w:pPr>
    </w:p>
    <w:p>
      <w:pPr>
        <w:snapToGrid w:val="0"/>
        <w:rPr>
          <w:rFonts w:ascii="宋体" w:hAnsi="宋体"/>
          <w:color w:val="auto"/>
          <w:spacing w:val="20"/>
          <w:sz w:val="24"/>
          <w:highlight w:val="none"/>
        </w:rPr>
      </w:pPr>
    </w:p>
    <w:p>
      <w:pPr>
        <w:snapToGrid w:val="0"/>
        <w:rPr>
          <w:rFonts w:ascii="宋体" w:hAnsi="宋体"/>
          <w:color w:val="auto"/>
          <w:spacing w:val="20"/>
          <w:sz w:val="24"/>
          <w:highlight w:val="none"/>
        </w:rPr>
      </w:pPr>
    </w:p>
    <w:p>
      <w:pPr>
        <w:pStyle w:val="22"/>
        <w:ind w:firstLine="600" w:firstLineChars="250"/>
        <w:rPr>
          <w:rFonts w:hAnsi="宋体"/>
          <w:b/>
          <w:bCs/>
          <w:color w:val="auto"/>
          <w:sz w:val="24"/>
          <w:szCs w:val="24"/>
          <w:highlight w:val="none"/>
        </w:rPr>
      </w:pPr>
      <w:r>
        <w:rPr>
          <w:rFonts w:hint="eastAsia" w:hAnsi="宋体"/>
          <w:color w:val="auto"/>
          <w:sz w:val="24"/>
          <w:highlight w:val="none"/>
        </w:rPr>
        <w:t xml:space="preserve">     </w:t>
      </w:r>
    </w:p>
    <w:p>
      <w:pPr>
        <w:tabs>
          <w:tab w:val="left" w:pos="3870"/>
          <w:tab w:val="left" w:pos="4085"/>
        </w:tabs>
        <w:snapToGrid w:val="0"/>
        <w:ind w:firstLine="480" w:firstLineChars="200"/>
        <w:rPr>
          <w:rFonts w:ascii="宋体" w:hAnsi="宋体"/>
          <w:color w:val="auto"/>
          <w:highlight w:val="none"/>
        </w:rPr>
      </w:pPr>
      <w:r>
        <w:rPr>
          <w:rFonts w:hAnsi="宋体"/>
          <w:color w:val="auto"/>
          <w:sz w:val="24"/>
          <w:highlight w:val="none"/>
        </w:rPr>
        <w:br w:type="page"/>
      </w:r>
    </w:p>
    <w:p>
      <w:pPr>
        <w:rPr>
          <w:rFonts w:ascii="宋体" w:hAnsi="宋体"/>
          <w:color w:val="auto"/>
          <w:highlight w:val="none"/>
        </w:rPr>
      </w:pPr>
    </w:p>
    <w:p>
      <w:pPr>
        <w:tabs>
          <w:tab w:val="left" w:pos="3870"/>
          <w:tab w:val="left" w:pos="4085"/>
        </w:tabs>
        <w:snapToGrid w:val="0"/>
        <w:ind w:firstLine="482" w:firstLineChars="200"/>
        <w:rPr>
          <w:rFonts w:ascii="宋体" w:hAnsi="宋体"/>
          <w:b/>
          <w:color w:val="auto"/>
          <w:sz w:val="24"/>
          <w:highlight w:val="none"/>
        </w:rPr>
      </w:pPr>
      <w:r>
        <w:rPr>
          <w:rFonts w:hint="eastAsia" w:ascii="宋体" w:hAnsi="宋体"/>
          <w:b/>
          <w:color w:val="auto"/>
          <w:sz w:val="24"/>
          <w:highlight w:val="none"/>
        </w:rPr>
        <w:t>投标声明书格式：</w:t>
      </w:r>
    </w:p>
    <w:p>
      <w:pPr>
        <w:snapToGrid w:val="0"/>
        <w:jc w:val="left"/>
        <w:rPr>
          <w:rFonts w:ascii="宋体" w:hAnsi="宋体"/>
          <w:color w:val="auto"/>
          <w:sz w:val="24"/>
          <w:highlight w:val="none"/>
        </w:rPr>
      </w:pPr>
    </w:p>
    <w:p>
      <w:pPr>
        <w:snapToGrid w:val="0"/>
        <w:jc w:val="center"/>
        <w:rPr>
          <w:rFonts w:ascii="宋体" w:hAnsi="宋体"/>
          <w:b/>
          <w:color w:val="auto"/>
          <w:sz w:val="32"/>
          <w:szCs w:val="32"/>
          <w:highlight w:val="none"/>
        </w:rPr>
      </w:pPr>
      <w:r>
        <w:rPr>
          <w:rFonts w:hint="eastAsia" w:ascii="宋体" w:hAnsi="宋体"/>
          <w:b/>
          <w:color w:val="auto"/>
          <w:sz w:val="32"/>
          <w:szCs w:val="32"/>
          <w:highlight w:val="none"/>
        </w:rPr>
        <w:t>投标声明书</w:t>
      </w:r>
    </w:p>
    <w:p>
      <w:pPr>
        <w:snapToGrid w:val="0"/>
        <w:rPr>
          <w:rFonts w:ascii="宋体" w:hAnsi="宋体"/>
          <w:color w:val="auto"/>
          <w:sz w:val="24"/>
          <w:highlight w:val="none"/>
        </w:rPr>
      </w:pPr>
    </w:p>
    <w:p>
      <w:pPr>
        <w:snapToGrid w:val="0"/>
        <w:rPr>
          <w:rFonts w:ascii="宋体" w:hAnsi="宋体"/>
          <w:color w:val="auto"/>
          <w:sz w:val="24"/>
          <w:highlight w:val="none"/>
        </w:rPr>
      </w:pPr>
    </w:p>
    <w:p>
      <w:pPr>
        <w:snapToGrid w:val="0"/>
        <w:spacing w:line="460" w:lineRule="exact"/>
        <w:rPr>
          <w:rFonts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rPr>
        <w:t xml:space="preserve">         </w:t>
      </w:r>
      <w:r>
        <w:rPr>
          <w:rFonts w:hint="eastAsia" w:ascii="宋体" w:hAnsi="宋体"/>
          <w:color w:val="auto"/>
          <w:szCs w:val="21"/>
          <w:highlight w:val="none"/>
        </w:rPr>
        <w:t>（招标采购单位名称）：</w:t>
      </w:r>
    </w:p>
    <w:p>
      <w:pPr>
        <w:snapToGrid w:val="0"/>
        <w:spacing w:line="460" w:lineRule="exact"/>
        <w:ind w:firstLine="630" w:firstLineChars="300"/>
        <w:rPr>
          <w:rFonts w:ascii="宋体" w:hAnsi="宋体"/>
          <w:color w:val="auto"/>
          <w:szCs w:val="21"/>
          <w:highlight w:val="none"/>
        </w:rPr>
      </w:pPr>
      <w:r>
        <w:rPr>
          <w:rFonts w:hint="eastAsia" w:ascii="宋体" w:hAnsi="宋体"/>
          <w:color w:val="auto"/>
          <w:szCs w:val="21"/>
          <w:highlight w:val="none"/>
        </w:rPr>
        <w:t>______（投标人名称）系中华人民共和国合法企业，经营地址</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napToGrid w:val="0"/>
        <w:spacing w:line="460" w:lineRule="exact"/>
        <w:ind w:firstLine="645"/>
        <w:rPr>
          <w:rFonts w:ascii="宋体" w:hAnsi="宋体"/>
          <w:color w:val="auto"/>
          <w:szCs w:val="21"/>
          <w:highlight w:val="none"/>
        </w:rPr>
      </w:pPr>
      <w:r>
        <w:rPr>
          <w:rFonts w:hint="eastAsia" w:ascii="宋体" w:hAnsi="宋体"/>
          <w:color w:val="auto"/>
          <w:szCs w:val="21"/>
          <w:highlight w:val="none"/>
        </w:rPr>
        <w:t>我方愿意参加贵方组织的</w:t>
      </w:r>
      <w:r>
        <w:rPr>
          <w:rFonts w:hint="eastAsia" w:ascii="宋体" w:hAnsi="宋体"/>
          <w:color w:val="auto"/>
          <w:szCs w:val="21"/>
          <w:highlight w:val="none"/>
          <w:u w:val="single"/>
        </w:rPr>
        <w:t xml:space="preserve">            </w:t>
      </w:r>
      <w:r>
        <w:rPr>
          <w:rFonts w:hint="eastAsia" w:ascii="宋体" w:hAnsi="宋体"/>
          <w:color w:val="auto"/>
          <w:szCs w:val="21"/>
          <w:highlight w:val="none"/>
        </w:rPr>
        <w:t>项目的投标，为便于贵方公正、择优地确定中标人及其投标产品和服务，我方就本次投标有关事项郑重声明如下：</w:t>
      </w:r>
    </w:p>
    <w:p>
      <w:pPr>
        <w:snapToGrid w:val="0"/>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1.我方向贵方提交的所有投标文件、资料都是准确的和真实的。</w:t>
      </w:r>
    </w:p>
    <w:p>
      <w:pPr>
        <w:snapToGrid w:val="0"/>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2.我方不是采购人的附属机构；在获知本项目采购信息后，与采购人聘请的为此项目提供咨询服务的公司及其附属机构没有任何联系。</w:t>
      </w:r>
    </w:p>
    <w:p>
      <w:pPr>
        <w:snapToGrid w:val="0"/>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3.我方在参加政府采购活动前3年内在经营活动中</w:t>
      </w:r>
      <w:r>
        <w:rPr>
          <w:rFonts w:hint="eastAsia" w:cs="Arial"/>
          <w:bCs/>
          <w:color w:val="auto"/>
          <w:szCs w:val="21"/>
          <w:highlight w:val="none"/>
          <w:u w:val="single"/>
        </w:rPr>
        <w:t xml:space="preserve">        （填</w:t>
      </w:r>
      <w:r>
        <w:rPr>
          <w:rFonts w:hint="eastAsia" w:ascii="宋体" w:hAnsi="宋体"/>
          <w:color w:val="auto"/>
          <w:szCs w:val="21"/>
          <w:highlight w:val="none"/>
          <w:u w:val="single"/>
        </w:rPr>
        <w:t>没有或有</w:t>
      </w:r>
      <w:r>
        <w:rPr>
          <w:rFonts w:hint="eastAsia" w:cs="Arial"/>
          <w:bCs/>
          <w:color w:val="auto"/>
          <w:szCs w:val="21"/>
          <w:highlight w:val="none"/>
          <w:u w:val="single"/>
        </w:rPr>
        <w:t>）</w:t>
      </w:r>
      <w:r>
        <w:rPr>
          <w:rFonts w:hint="eastAsia" w:ascii="宋体" w:hAnsi="宋体"/>
          <w:color w:val="auto"/>
          <w:szCs w:val="21"/>
          <w:highlight w:val="none"/>
        </w:rPr>
        <w:t>重大违法记录（指因违法经营收到刑事处罚或者责令停产停业、吊销许可证或者执照、较大数额罚款等行政处罚）。</w:t>
      </w:r>
    </w:p>
    <w:p>
      <w:pPr>
        <w:snapToGrid w:val="0"/>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4、我方在“信用中国”或“中国政府采购网”的被列为失信被执行人、重大税收违法案件当事人名单、政府采购严重违法失信行为记录名单情况：</w:t>
      </w:r>
      <w:r>
        <w:rPr>
          <w:rFonts w:hint="eastAsia" w:cs="Arial"/>
          <w:bCs/>
          <w:color w:val="auto"/>
          <w:szCs w:val="21"/>
          <w:highlight w:val="none"/>
          <w:u w:val="single"/>
        </w:rPr>
        <w:t xml:space="preserve">            </w:t>
      </w:r>
      <w:r>
        <w:rPr>
          <w:rFonts w:hint="eastAsia" w:cs="Arial"/>
          <w:bCs/>
          <w:color w:val="auto"/>
          <w:szCs w:val="21"/>
          <w:highlight w:val="none"/>
        </w:rPr>
        <w:t xml:space="preserve"> 。</w:t>
      </w:r>
    </w:p>
    <w:p>
      <w:pPr>
        <w:snapToGrid w:val="0"/>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5.以上事项如有虚假或隐瞒，我方愿意承担一切后果，并不再寻求任何旨在减轻或免除法律责任的辩解。</w:t>
      </w:r>
    </w:p>
    <w:p>
      <w:pPr>
        <w:pStyle w:val="20"/>
        <w:tabs>
          <w:tab w:val="left" w:pos="939"/>
        </w:tabs>
        <w:snapToGrid w:val="0"/>
        <w:spacing w:line="460" w:lineRule="exact"/>
        <w:ind w:left="401" w:leftChars="0" w:hanging="401" w:hangingChars="191"/>
        <w:rPr>
          <w:rFonts w:ascii="宋体" w:hAnsi="宋体"/>
          <w:color w:val="auto"/>
          <w:sz w:val="21"/>
          <w:szCs w:val="21"/>
          <w:highlight w:val="none"/>
        </w:rPr>
      </w:pPr>
    </w:p>
    <w:p>
      <w:pPr>
        <w:pStyle w:val="20"/>
        <w:tabs>
          <w:tab w:val="left" w:pos="939"/>
        </w:tabs>
        <w:snapToGrid w:val="0"/>
        <w:spacing w:line="420" w:lineRule="exact"/>
        <w:ind w:left="401" w:leftChars="0" w:hanging="401" w:hangingChars="191"/>
        <w:rPr>
          <w:rFonts w:ascii="宋体" w:hAnsi="宋体"/>
          <w:color w:val="auto"/>
          <w:sz w:val="21"/>
          <w:szCs w:val="21"/>
          <w:highlight w:val="none"/>
        </w:rPr>
      </w:pPr>
    </w:p>
    <w:p>
      <w:pPr>
        <w:pStyle w:val="20"/>
        <w:tabs>
          <w:tab w:val="left" w:pos="939"/>
        </w:tabs>
        <w:snapToGrid w:val="0"/>
        <w:spacing w:line="420" w:lineRule="exact"/>
        <w:ind w:left="401" w:leftChars="0" w:hanging="401" w:hangingChars="191"/>
        <w:rPr>
          <w:rFonts w:ascii="宋体" w:hAnsi="宋体"/>
          <w:color w:val="auto"/>
          <w:sz w:val="21"/>
          <w:szCs w:val="21"/>
          <w:highlight w:val="none"/>
        </w:rPr>
      </w:pPr>
    </w:p>
    <w:p>
      <w:pPr>
        <w:pStyle w:val="20"/>
        <w:tabs>
          <w:tab w:val="left" w:pos="939"/>
        </w:tabs>
        <w:snapToGrid w:val="0"/>
        <w:spacing w:line="420" w:lineRule="exact"/>
        <w:ind w:left="401" w:leftChars="0" w:hanging="401" w:hangingChars="191"/>
        <w:rPr>
          <w:rFonts w:ascii="宋体" w:hAnsi="宋体"/>
          <w:color w:val="auto"/>
          <w:sz w:val="21"/>
          <w:szCs w:val="21"/>
          <w:highlight w:val="none"/>
        </w:rPr>
      </w:pPr>
    </w:p>
    <w:p>
      <w:pPr>
        <w:pStyle w:val="100"/>
        <w:snapToGrid w:val="0"/>
        <w:spacing w:line="420" w:lineRule="exact"/>
        <w:ind w:firstLine="200"/>
        <w:rPr>
          <w:rFonts w:ascii="宋体" w:hAnsi="宋体"/>
          <w:color w:val="auto"/>
          <w:sz w:val="21"/>
          <w:szCs w:val="21"/>
          <w:highlight w:val="none"/>
        </w:rPr>
      </w:pPr>
    </w:p>
    <w:p>
      <w:pPr>
        <w:snapToGrid w:val="0"/>
        <w:ind w:left="149" w:hanging="148" w:hangingChars="6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投标人（盖单位公章</w:t>
      </w:r>
      <w:r>
        <w:rPr>
          <w:rFonts w:hint="eastAsia" w:asciiTheme="minorEastAsia" w:hAnsiTheme="minorEastAsia" w:eastAsiaTheme="minorEastAsia"/>
          <w:color w:val="auto"/>
          <w:sz w:val="24"/>
          <w:highlight w:val="none"/>
        </w:rPr>
        <w:t>，自然人除外</w:t>
      </w:r>
      <w:r>
        <w:rPr>
          <w:rFonts w:asciiTheme="minorEastAsia" w:hAnsiTheme="minorEastAsia" w:eastAsiaTheme="minorEastAsia"/>
          <w:color w:val="auto"/>
          <w:sz w:val="24"/>
          <w:highlight w:val="none"/>
        </w:rPr>
        <w:t>）：</w:t>
      </w:r>
    </w:p>
    <w:p>
      <w:pPr>
        <w:snapToGrid w:val="0"/>
        <w:ind w:firstLine="1920" w:firstLineChars="800"/>
        <w:rPr>
          <w:rFonts w:asciiTheme="minorEastAsia" w:hAnsiTheme="minorEastAsia" w:eastAsiaTheme="minorEastAsia"/>
          <w:color w:val="auto"/>
          <w:sz w:val="24"/>
          <w:highlight w:val="none"/>
        </w:rPr>
      </w:pPr>
    </w:p>
    <w:p>
      <w:pP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法定代表人或其委托代理人（签字或盖章）：</w:t>
      </w:r>
    </w:p>
    <w:p>
      <w:pPr>
        <w:snapToGrid w:val="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（投标人属自然人的应由自然人签字并加盖指印，投标人若为其他组织形式无法定代表人的应由机构负责人</w:t>
      </w:r>
      <w:r>
        <w:rPr>
          <w:rFonts w:asciiTheme="minorEastAsia" w:hAnsiTheme="minorEastAsia" w:eastAsiaTheme="minorEastAsia"/>
          <w:color w:val="auto"/>
          <w:sz w:val="24"/>
          <w:highlight w:val="none"/>
        </w:rPr>
        <w:t>签字或盖章</w:t>
      </w:r>
      <w:r>
        <w:rPr>
          <w:rFonts w:hint="eastAsia" w:asciiTheme="minorEastAsia" w:hAnsiTheme="minorEastAsia" w:eastAsiaTheme="minorEastAsia"/>
          <w:color w:val="auto"/>
          <w:sz w:val="24"/>
          <w:highlight w:val="none"/>
        </w:rPr>
        <w:t>）</w:t>
      </w:r>
    </w:p>
    <w:p>
      <w:pPr>
        <w:snapToGrid w:val="0"/>
        <w:ind w:firstLine="2280" w:firstLineChars="950"/>
        <w:rPr>
          <w:rFonts w:asciiTheme="minorEastAsia" w:hAnsiTheme="minorEastAsia" w:eastAsiaTheme="minorEastAsia"/>
          <w:color w:val="auto"/>
          <w:sz w:val="24"/>
          <w:highlight w:val="none"/>
        </w:rPr>
      </w:pPr>
    </w:p>
    <w:p>
      <w:pPr>
        <w:snapToGrid w:val="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日期:_____年_____月_____日</w:t>
      </w:r>
    </w:p>
    <w:p>
      <w:pPr>
        <w:rPr>
          <w:rFonts w:ascii="宋体" w:hAnsi="宋体"/>
          <w:color w:val="auto"/>
          <w:highlight w:val="none"/>
        </w:rPr>
      </w:pPr>
    </w:p>
    <w:p>
      <w:pPr>
        <w:snapToGrid w:val="0"/>
        <w:jc w:val="left"/>
        <w:rPr>
          <w:rFonts w:ascii="宋体" w:hAnsi="宋体"/>
          <w:color w:val="auto"/>
          <w:highlight w:val="none"/>
        </w:rPr>
      </w:pPr>
    </w:p>
    <w:p>
      <w:pPr>
        <w:widowControl/>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widowControl/>
        <w:shd w:val="clear" w:color="auto" w:fill="FFFFFF"/>
        <w:spacing w:line="360" w:lineRule="auto"/>
        <w:ind w:firstLine="48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投标人参加政府采购活动前3年内在经营活动中没有重大违法记录的声明</w:t>
      </w:r>
    </w:p>
    <w:p>
      <w:pPr>
        <w:widowControl/>
        <w:shd w:val="clear" w:color="auto" w:fill="FFFFFF"/>
        <w:spacing w:line="360" w:lineRule="auto"/>
        <w:jc w:val="left"/>
        <w:rPr>
          <w:rFonts w:ascii="宋体" w:hAnsi="宋体" w:cs="宋体"/>
          <w:color w:val="auto"/>
          <w:kern w:val="0"/>
          <w:sz w:val="24"/>
          <w:highlight w:val="none"/>
        </w:rPr>
      </w:pPr>
    </w:p>
    <w:p>
      <w:pPr>
        <w:widowControl/>
        <w:shd w:val="clear" w:color="auto" w:fill="FFFFFF"/>
        <w:spacing w:line="360" w:lineRule="auto"/>
        <w:jc w:val="left"/>
        <w:rPr>
          <w:rFonts w:ascii="宋体" w:hAnsi="宋体" w:cs="宋体"/>
          <w:color w:val="auto"/>
          <w:kern w:val="0"/>
          <w:sz w:val="24"/>
          <w:highlight w:val="none"/>
        </w:rPr>
      </w:pPr>
    </w:p>
    <w:p>
      <w:pPr>
        <w:widowControl/>
        <w:shd w:val="clear" w:color="auto" w:fill="FFFFFF"/>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致：广西建设工程机电设备招标中心有限公司</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本公司郑重声明，在参加投标人参加政府采购活动前3年内在经营活动中没有重大违法记录（重大违法记录指因违法经营收到刑事处罚或者责令停产停业、吊销许可证或者执照、较大数额罚</w:t>
      </w:r>
      <w:r>
        <w:rPr>
          <w:rFonts w:hint="eastAsia" w:ascii="宋体" w:hAnsi="宋体"/>
          <w:color w:val="auto"/>
          <w:sz w:val="24"/>
          <w:highlight w:val="none"/>
        </w:rPr>
        <w:t>款等行政处</w:t>
      </w:r>
      <w:r>
        <w:rPr>
          <w:rFonts w:hint="eastAsia" w:ascii="宋体" w:hAnsi="宋体" w:cs="宋体"/>
          <w:color w:val="auto"/>
          <w:kern w:val="0"/>
          <w:sz w:val="24"/>
          <w:highlight w:val="none"/>
        </w:rPr>
        <w:t>罚）</w:t>
      </w:r>
    </w:p>
    <w:p>
      <w:pPr>
        <w:widowControl/>
        <w:shd w:val="clear" w:color="auto" w:fill="FFFFFF"/>
        <w:spacing w:line="360" w:lineRule="auto"/>
        <w:ind w:firstLine="480"/>
        <w:jc w:val="left"/>
        <w:rPr>
          <w:rFonts w:ascii="宋体" w:hAnsi="宋体" w:cs="宋体"/>
          <w:color w:val="auto"/>
          <w:kern w:val="0"/>
          <w:sz w:val="24"/>
          <w:highlight w:val="none"/>
        </w:rPr>
      </w:pPr>
    </w:p>
    <w:p>
      <w:pPr>
        <w:widowControl/>
        <w:shd w:val="clear" w:color="auto" w:fill="FFFFFF"/>
        <w:spacing w:line="360" w:lineRule="auto"/>
        <w:ind w:firstLine="480"/>
        <w:jc w:val="left"/>
        <w:rPr>
          <w:rFonts w:ascii="宋体" w:hAnsi="宋体" w:cs="宋体"/>
          <w:color w:val="auto"/>
          <w:kern w:val="0"/>
          <w:sz w:val="24"/>
          <w:highlight w:val="none"/>
        </w:rPr>
      </w:pPr>
    </w:p>
    <w:p>
      <w:pPr>
        <w:widowControl/>
        <w:shd w:val="clear" w:color="auto" w:fill="FFFFFF"/>
        <w:spacing w:line="360" w:lineRule="auto"/>
        <w:ind w:firstLine="480"/>
        <w:jc w:val="left"/>
        <w:rPr>
          <w:rFonts w:ascii="宋体" w:hAnsi="宋体" w:cs="宋体"/>
          <w:color w:val="auto"/>
          <w:kern w:val="0"/>
          <w:sz w:val="24"/>
          <w:highlight w:val="none"/>
        </w:rPr>
      </w:pPr>
    </w:p>
    <w:p>
      <w:pPr>
        <w:snapToGrid w:val="0"/>
        <w:ind w:left="149" w:hanging="148" w:hangingChars="6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投标人（盖单位公章</w:t>
      </w:r>
      <w:r>
        <w:rPr>
          <w:rFonts w:hint="eastAsia" w:asciiTheme="minorEastAsia" w:hAnsiTheme="minorEastAsia" w:eastAsiaTheme="minorEastAsia"/>
          <w:color w:val="auto"/>
          <w:sz w:val="24"/>
          <w:highlight w:val="none"/>
        </w:rPr>
        <w:t>，自然人除外</w:t>
      </w:r>
      <w:r>
        <w:rPr>
          <w:rFonts w:asciiTheme="minorEastAsia" w:hAnsiTheme="minorEastAsia" w:eastAsiaTheme="minorEastAsia"/>
          <w:color w:val="auto"/>
          <w:sz w:val="24"/>
          <w:highlight w:val="none"/>
        </w:rPr>
        <w:t>）：</w:t>
      </w:r>
    </w:p>
    <w:p>
      <w:pPr>
        <w:snapToGrid w:val="0"/>
        <w:ind w:firstLine="1920" w:firstLineChars="800"/>
        <w:rPr>
          <w:rFonts w:asciiTheme="minorEastAsia" w:hAnsiTheme="minorEastAsia" w:eastAsiaTheme="minorEastAsia"/>
          <w:color w:val="auto"/>
          <w:sz w:val="24"/>
          <w:highlight w:val="none"/>
        </w:rPr>
      </w:pPr>
    </w:p>
    <w:p>
      <w:pP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法定代表人或其委托代理人（签字或盖章）：</w:t>
      </w:r>
    </w:p>
    <w:p>
      <w:pPr>
        <w:snapToGrid w:val="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（投标人属自然人的应由自然人签字并加盖指印，投标人若为其他组织形式无法定代表人的应由机构负责人</w:t>
      </w:r>
      <w:r>
        <w:rPr>
          <w:rFonts w:asciiTheme="minorEastAsia" w:hAnsiTheme="minorEastAsia" w:eastAsiaTheme="minorEastAsia"/>
          <w:color w:val="auto"/>
          <w:sz w:val="24"/>
          <w:highlight w:val="none"/>
        </w:rPr>
        <w:t>签字或盖章</w:t>
      </w:r>
      <w:r>
        <w:rPr>
          <w:rFonts w:hint="eastAsia" w:asciiTheme="minorEastAsia" w:hAnsiTheme="minorEastAsia" w:eastAsiaTheme="minorEastAsia"/>
          <w:color w:val="auto"/>
          <w:sz w:val="24"/>
          <w:highlight w:val="none"/>
        </w:rPr>
        <w:t>）</w:t>
      </w:r>
    </w:p>
    <w:p>
      <w:pPr>
        <w:snapToGrid w:val="0"/>
        <w:ind w:firstLine="2280" w:firstLineChars="950"/>
        <w:rPr>
          <w:rFonts w:asciiTheme="minorEastAsia" w:hAnsiTheme="minorEastAsia" w:eastAsiaTheme="minorEastAsia"/>
          <w:color w:val="auto"/>
          <w:sz w:val="24"/>
          <w:highlight w:val="none"/>
        </w:rPr>
      </w:pPr>
    </w:p>
    <w:p>
      <w:pPr>
        <w:snapToGrid w:val="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日期:_____年_____月_____日</w:t>
      </w:r>
    </w:p>
    <w:p>
      <w:pPr>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法定代表人身份证明书格式：</w:t>
      </w:r>
    </w:p>
    <w:p>
      <w:pPr>
        <w:jc w:val="center"/>
        <w:rPr>
          <w:rFonts w:ascii="宋体" w:hAnsi="宋体"/>
          <w:b/>
          <w:color w:val="auto"/>
          <w:sz w:val="32"/>
          <w:highlight w:val="none"/>
        </w:rPr>
      </w:pPr>
      <w:r>
        <w:rPr>
          <w:rFonts w:hint="eastAsia" w:ascii="宋体" w:hAnsi="宋体"/>
          <w:b/>
          <w:color w:val="auto"/>
          <w:sz w:val="32"/>
          <w:highlight w:val="none"/>
        </w:rPr>
        <w:t>法定代表人身份证明书</w:t>
      </w:r>
    </w:p>
    <w:p>
      <w:pPr>
        <w:ind w:firstLine="840" w:firstLineChars="400"/>
        <w:rPr>
          <w:rFonts w:ascii="宋体" w:hAnsi="宋体"/>
          <w:color w:val="auto"/>
          <w:highlight w:val="none"/>
          <w:u w:val="single"/>
        </w:rPr>
      </w:pPr>
    </w:p>
    <w:p>
      <w:pPr>
        <w:ind w:firstLine="960" w:firstLineChars="400"/>
        <w:rPr>
          <w:rFonts w:ascii="宋体" w:hAnsi="宋体"/>
          <w:color w:val="auto"/>
          <w:sz w:val="24"/>
          <w:highlight w:val="none"/>
        </w:rPr>
      </w:pPr>
      <w:r>
        <w:rPr>
          <w:rFonts w:hint="eastAsia" w:ascii="宋体" w:hAnsi="宋体"/>
          <w:color w:val="auto"/>
          <w:sz w:val="24"/>
          <w:highlight w:val="none"/>
          <w:u w:val="single"/>
        </w:rPr>
        <w:t xml:space="preserve">   （法定代表人名字）       </w:t>
      </w:r>
      <w:r>
        <w:rPr>
          <w:rFonts w:hint="eastAsia" w:ascii="宋体" w:hAnsi="宋体"/>
          <w:color w:val="auto"/>
          <w:sz w:val="24"/>
          <w:highlight w:val="none"/>
        </w:rPr>
        <w:t xml:space="preserve"> 在</w:t>
      </w:r>
      <w:r>
        <w:rPr>
          <w:rFonts w:hint="eastAsia" w:ascii="宋体" w:hAnsi="宋体"/>
          <w:color w:val="auto"/>
          <w:sz w:val="24"/>
          <w:highlight w:val="none"/>
          <w:u w:val="single"/>
        </w:rPr>
        <w:t xml:space="preserve">（ 单位名称）     </w:t>
      </w:r>
      <w:r>
        <w:rPr>
          <w:rFonts w:hint="eastAsia" w:ascii="宋体" w:hAnsi="宋体"/>
          <w:color w:val="auto"/>
          <w:sz w:val="24"/>
          <w:highlight w:val="none"/>
        </w:rPr>
        <w:t>任</w:t>
      </w:r>
      <w:r>
        <w:rPr>
          <w:rFonts w:hint="eastAsia" w:ascii="宋体" w:hAnsi="宋体"/>
          <w:color w:val="auto"/>
          <w:sz w:val="24"/>
          <w:highlight w:val="none"/>
          <w:u w:val="single"/>
        </w:rPr>
        <w:t xml:space="preserve">          </w:t>
      </w:r>
      <w:r>
        <w:rPr>
          <w:rFonts w:hint="eastAsia" w:ascii="宋体" w:hAnsi="宋体"/>
          <w:color w:val="auto"/>
          <w:sz w:val="24"/>
          <w:highlight w:val="none"/>
        </w:rPr>
        <w:t>职务，是</w:t>
      </w:r>
      <w:r>
        <w:rPr>
          <w:rFonts w:hint="eastAsia" w:ascii="宋体" w:hAnsi="宋体"/>
          <w:color w:val="auto"/>
          <w:sz w:val="24"/>
          <w:highlight w:val="none"/>
          <w:u w:val="single"/>
        </w:rPr>
        <w:t xml:space="preserve">（ 单位名称）    </w:t>
      </w:r>
      <w:r>
        <w:rPr>
          <w:rFonts w:hint="eastAsia" w:ascii="宋体" w:hAnsi="宋体"/>
          <w:color w:val="auto"/>
          <w:sz w:val="24"/>
          <w:highlight w:val="none"/>
        </w:rPr>
        <w:t>的法定代表人。</w:t>
      </w:r>
    </w:p>
    <w:p>
      <w:pPr>
        <w:ind w:firstLine="840" w:firstLineChars="350"/>
        <w:rPr>
          <w:rFonts w:ascii="宋体" w:hAnsi="宋体"/>
          <w:color w:val="auto"/>
          <w:sz w:val="24"/>
          <w:highlight w:val="none"/>
        </w:rPr>
      </w:pPr>
      <w:r>
        <w:rPr>
          <w:rFonts w:hint="eastAsia" w:ascii="宋体" w:hAnsi="宋体"/>
          <w:color w:val="auto"/>
          <w:sz w:val="24"/>
          <w:highlight w:val="none"/>
        </w:rPr>
        <w:t>特此证明。</w:t>
      </w: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u w:val="single"/>
        </w:rPr>
      </w:pPr>
      <w:r>
        <w:rPr>
          <w:rFonts w:hint="eastAsia" w:ascii="宋体" w:hAnsi="宋体"/>
          <w:color w:val="auto"/>
          <w:sz w:val="24"/>
          <w:highlight w:val="none"/>
        </w:rPr>
        <w:t xml:space="preserve">                                     单位名称：</w:t>
      </w:r>
      <w:r>
        <w:rPr>
          <w:rFonts w:hint="eastAsia" w:ascii="宋体" w:hAnsi="宋体"/>
          <w:color w:val="auto"/>
          <w:sz w:val="24"/>
          <w:highlight w:val="none"/>
          <w:u w:val="single"/>
        </w:rPr>
        <w:t xml:space="preserve">                              </w:t>
      </w:r>
    </w:p>
    <w:p>
      <w:pPr>
        <w:rPr>
          <w:rFonts w:ascii="宋体" w:hAnsi="宋体"/>
          <w:color w:val="auto"/>
          <w:sz w:val="24"/>
          <w:highlight w:val="none"/>
        </w:rPr>
      </w:pPr>
      <w:r>
        <w:rPr>
          <w:rFonts w:hint="eastAsia" w:ascii="宋体" w:hAnsi="宋体"/>
          <w:color w:val="auto"/>
          <w:sz w:val="24"/>
          <w:highlight w:val="none"/>
        </w:rPr>
        <w:t xml:space="preserve">                                                        （单位公章）</w:t>
      </w:r>
    </w:p>
    <w:p>
      <w:pPr>
        <w:rPr>
          <w:rFonts w:ascii="宋体" w:hAnsi="宋体"/>
          <w:color w:val="auto"/>
          <w:sz w:val="24"/>
          <w:highlight w:val="none"/>
        </w:rPr>
      </w:pPr>
      <w:r>
        <w:rPr>
          <w:rFonts w:hint="eastAsia" w:ascii="宋体" w:hAnsi="宋体"/>
          <w:color w:val="auto"/>
          <w:sz w:val="24"/>
          <w:highlight w:val="none"/>
        </w:rPr>
        <w:t xml:space="preserve">                                                     年     月    日</w:t>
      </w:r>
    </w:p>
    <w:p>
      <w:pPr>
        <w:rPr>
          <w:rFonts w:ascii="宋体" w:hAnsi="宋体"/>
          <w:color w:val="auto"/>
          <w:sz w:val="24"/>
          <w:highlight w:val="none"/>
        </w:rPr>
      </w:pPr>
    </w:p>
    <w:p>
      <w:pPr>
        <w:ind w:firstLine="360" w:firstLineChars="150"/>
        <w:rPr>
          <w:rFonts w:ascii="宋体" w:hAnsi="宋体"/>
          <w:color w:val="auto"/>
          <w:sz w:val="24"/>
          <w:highlight w:val="none"/>
        </w:rPr>
      </w:pPr>
      <w:r>
        <w:rPr>
          <w:rFonts w:hint="eastAsia" w:ascii="宋体" w:hAnsi="宋体"/>
          <w:color w:val="auto"/>
          <w:sz w:val="24"/>
          <w:highlight w:val="none"/>
        </w:rPr>
        <w:t>法定代表人身份证号码：</w:t>
      </w:r>
    </w:p>
    <w:p>
      <w:pPr>
        <w:ind w:firstLine="360" w:firstLineChars="150"/>
        <w:rPr>
          <w:rFonts w:ascii="宋体" w:hAnsi="宋体"/>
          <w:color w:val="auto"/>
          <w:sz w:val="24"/>
          <w:highlight w:val="none"/>
        </w:rPr>
      </w:pPr>
    </w:p>
    <w:p>
      <w:pPr>
        <w:ind w:firstLine="360" w:firstLineChars="150"/>
        <w:rPr>
          <w:rFonts w:ascii="宋体" w:hAnsi="宋体"/>
          <w:color w:val="auto"/>
          <w:sz w:val="24"/>
          <w:highlight w:val="none"/>
        </w:rPr>
      </w:pPr>
      <w:r>
        <w:rPr>
          <w:rFonts w:hint="eastAsia" w:ascii="宋体" w:hAnsi="宋体"/>
          <w:color w:val="auto"/>
          <w:sz w:val="24"/>
          <w:highlight w:val="none"/>
        </w:rPr>
        <w:t>住    址：</w:t>
      </w:r>
    </w:p>
    <w:p>
      <w:pPr>
        <w:pStyle w:val="22"/>
        <w:jc w:val="center"/>
        <w:rPr>
          <w:rFonts w:hAnsi="宋体"/>
          <w:color w:val="auto"/>
          <w:sz w:val="24"/>
          <w:szCs w:val="24"/>
          <w:highlight w:val="none"/>
        </w:rPr>
      </w:pPr>
    </w:p>
    <w:p>
      <w:pPr>
        <w:snapToGrid w:val="0"/>
        <w:ind w:firstLine="470" w:firstLineChars="196"/>
        <w:jc w:val="center"/>
        <w:rPr>
          <w:rFonts w:ascii="宋体" w:hAnsi="宋体"/>
          <w:b/>
          <w:color w:val="auto"/>
          <w:sz w:val="24"/>
          <w:highlight w:val="none"/>
        </w:rPr>
      </w:pPr>
      <w:r>
        <w:rPr>
          <w:rFonts w:ascii="宋体" w:hAnsi="宋体"/>
          <w:color w:val="auto"/>
          <w:sz w:val="24"/>
          <w:highlight w:val="none"/>
        </w:rPr>
        <w:br w:type="page"/>
      </w:r>
      <w:r>
        <w:rPr>
          <w:rFonts w:hint="eastAsia" w:ascii="宋体" w:hAnsi="宋体"/>
          <w:b/>
          <w:color w:val="auto"/>
          <w:sz w:val="24"/>
          <w:highlight w:val="none"/>
        </w:rPr>
        <w:t>投标人法定代表人身份证复印件</w:t>
      </w:r>
    </w:p>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投标人法定代表人身份证复印件：</w:t>
      </w:r>
    </w:p>
    <w:p>
      <w:pPr>
        <w:rPr>
          <w:rFonts w:ascii="宋体" w:hAnsi="宋体"/>
          <w:color w:val="auto"/>
          <w:szCs w:val="21"/>
          <w:highlight w:val="none"/>
        </w:rPr>
      </w:pPr>
    </w:p>
    <w:tbl>
      <w:tblPr>
        <w:tblStyle w:val="36"/>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6" w:hRule="atLeast"/>
        </w:trPr>
        <w:tc>
          <w:tcPr>
            <w:tcW w:w="6948" w:type="dxa"/>
            <w:vAlign w:val="center"/>
          </w:tcPr>
          <w:p>
            <w:pPr>
              <w:jc w:val="center"/>
              <w:rPr>
                <w:rFonts w:ascii="宋体" w:hAnsi="宋体"/>
                <w:color w:val="auto"/>
                <w:szCs w:val="21"/>
                <w:highlight w:val="none"/>
              </w:rPr>
            </w:pPr>
            <w:r>
              <w:rPr>
                <w:rFonts w:hint="eastAsia" w:ascii="宋体" w:hAnsi="宋体"/>
                <w:color w:val="auto"/>
                <w:szCs w:val="21"/>
                <w:highlight w:val="none"/>
              </w:rPr>
              <w:t>身份证（正面）</w:t>
            </w:r>
          </w:p>
        </w:tc>
      </w:tr>
    </w:tbl>
    <w:p>
      <w:pPr>
        <w:rPr>
          <w:rFonts w:ascii="宋体" w:hAnsi="宋体"/>
          <w:color w:val="auto"/>
          <w:szCs w:val="21"/>
          <w:highlight w:val="none"/>
        </w:rPr>
      </w:pPr>
    </w:p>
    <w:tbl>
      <w:tblPr>
        <w:tblStyle w:val="36"/>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7" w:hRule="atLeast"/>
        </w:trPr>
        <w:tc>
          <w:tcPr>
            <w:tcW w:w="6948" w:type="dxa"/>
            <w:vAlign w:val="center"/>
          </w:tcPr>
          <w:p>
            <w:pPr>
              <w:jc w:val="center"/>
              <w:rPr>
                <w:rFonts w:ascii="宋体" w:hAnsi="宋体"/>
                <w:color w:val="auto"/>
                <w:szCs w:val="21"/>
                <w:highlight w:val="none"/>
              </w:rPr>
            </w:pPr>
            <w:r>
              <w:rPr>
                <w:rFonts w:hint="eastAsia" w:ascii="宋体" w:hAnsi="宋体"/>
                <w:color w:val="auto"/>
                <w:szCs w:val="21"/>
                <w:highlight w:val="none"/>
              </w:rPr>
              <w:t>身份证（反面）</w:t>
            </w:r>
          </w:p>
          <w:p>
            <w:pPr>
              <w:jc w:val="center"/>
              <w:rPr>
                <w:rFonts w:ascii="宋体" w:hAnsi="宋体"/>
                <w:color w:val="auto"/>
                <w:szCs w:val="21"/>
                <w:highlight w:val="none"/>
              </w:rPr>
            </w:pPr>
          </w:p>
        </w:tc>
      </w:tr>
    </w:tbl>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法定代表人签名：</w:t>
      </w:r>
    </w:p>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投标单位（公章）：</w:t>
      </w:r>
    </w:p>
    <w:p>
      <w:pPr>
        <w:rPr>
          <w:rFonts w:ascii="宋体" w:hAnsi="宋体"/>
          <w:color w:val="auto"/>
          <w:highlight w:val="none"/>
        </w:rPr>
      </w:pPr>
    </w:p>
    <w:p>
      <w:pPr>
        <w:ind w:firstLine="735" w:firstLineChars="350"/>
        <w:rPr>
          <w:rFonts w:ascii="宋体" w:hAnsi="宋体"/>
          <w:b/>
          <w:color w:val="auto"/>
          <w:sz w:val="24"/>
          <w:highlight w:val="none"/>
        </w:rPr>
      </w:pPr>
      <w:r>
        <w:rPr>
          <w:rFonts w:hint="eastAsia" w:ascii="宋体" w:hAnsi="宋体"/>
          <w:color w:val="auto"/>
          <w:highlight w:val="none"/>
        </w:rPr>
        <w:t>年    月    日</w:t>
      </w:r>
      <w:r>
        <w:rPr>
          <w:rFonts w:ascii="宋体" w:hAnsi="宋体"/>
          <w:color w:val="auto"/>
          <w:highlight w:val="none"/>
        </w:rPr>
        <w:br w:type="page"/>
      </w:r>
      <w:r>
        <w:rPr>
          <w:rFonts w:hint="eastAsia" w:ascii="宋体" w:hAnsi="宋体"/>
          <w:b/>
          <w:color w:val="auto"/>
          <w:sz w:val="24"/>
          <w:highlight w:val="none"/>
        </w:rPr>
        <w:t>授权委托书格式：</w:t>
      </w:r>
    </w:p>
    <w:p>
      <w:pPr>
        <w:jc w:val="center"/>
        <w:rPr>
          <w:rFonts w:ascii="宋体" w:hAnsi="宋体"/>
          <w:b/>
          <w:color w:val="auto"/>
          <w:sz w:val="32"/>
          <w:szCs w:val="32"/>
          <w:highlight w:val="none"/>
        </w:rPr>
      </w:pPr>
      <w:r>
        <w:rPr>
          <w:rFonts w:hint="eastAsia" w:ascii="宋体" w:hAnsi="宋体"/>
          <w:b/>
          <w:color w:val="auto"/>
          <w:sz w:val="32"/>
          <w:szCs w:val="32"/>
          <w:highlight w:val="none"/>
        </w:rPr>
        <w:t>授权委托书（格式一）</w:t>
      </w:r>
    </w:p>
    <w:p>
      <w:pPr>
        <w:snapToGrid w:val="0"/>
        <w:rPr>
          <w:rFonts w:ascii="宋体" w:hAnsi="宋体"/>
          <w:bCs/>
          <w:color w:val="auto"/>
          <w:sz w:val="24"/>
          <w:highlight w:val="none"/>
        </w:rPr>
      </w:pPr>
    </w:p>
    <w:p>
      <w:pPr>
        <w:snapToGrid w:val="0"/>
        <w:rPr>
          <w:rFonts w:ascii="宋体" w:hAnsi="宋体"/>
          <w:b/>
          <w:bCs/>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u w:val="single"/>
        </w:rPr>
        <w:t xml:space="preserve">                </w:t>
      </w:r>
      <w:r>
        <w:rPr>
          <w:rFonts w:hint="eastAsia" w:ascii="宋体" w:hAnsi="宋体"/>
          <w:color w:val="auto"/>
          <w:sz w:val="24"/>
          <w:highlight w:val="none"/>
        </w:rPr>
        <w:t>（招标采购单位名称）：</w:t>
      </w:r>
    </w:p>
    <w:p>
      <w:pPr>
        <w:snapToGrid w:val="0"/>
        <w:ind w:firstLine="720" w:firstLineChars="300"/>
        <w:rPr>
          <w:rFonts w:ascii="宋体" w:hAnsi="宋体"/>
          <w:color w:val="auto"/>
          <w:sz w:val="24"/>
          <w:highlight w:val="none"/>
        </w:rPr>
      </w:pPr>
      <w:r>
        <w:rPr>
          <w:rFonts w:hint="eastAsia" w:ascii="宋体" w:hAnsi="宋体"/>
          <w:color w:val="auto"/>
          <w:sz w:val="24"/>
          <w:highlight w:val="none"/>
        </w:rPr>
        <w:t>我</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w:t>
      </w:r>
      <w:r>
        <w:rPr>
          <w:rFonts w:hint="eastAsia" w:asciiTheme="minorEastAsia" w:hAnsiTheme="minorEastAsia" w:eastAsiaTheme="minorEastAsia"/>
          <w:color w:val="auto"/>
          <w:sz w:val="24"/>
          <w:highlight w:val="none"/>
        </w:rPr>
        <w:t>投标人若为其他组织形式无法定代表人的应为机构负责人</w:t>
      </w:r>
      <w:r>
        <w:rPr>
          <w:rFonts w:hint="eastAsia" w:ascii="宋体" w:hAnsi="宋体"/>
          <w:color w:val="auto"/>
          <w:sz w:val="24"/>
          <w:highlight w:val="none"/>
        </w:rPr>
        <w:t xml:space="preserve">），现授权委托本单位在职职工 </w:t>
      </w:r>
      <w:r>
        <w:rPr>
          <w:rFonts w:hint="eastAsia" w:ascii="宋体" w:hAnsi="宋体"/>
          <w:color w:val="auto"/>
          <w:sz w:val="24"/>
          <w:highlight w:val="none"/>
          <w:u w:val="single"/>
        </w:rPr>
        <w:t xml:space="preserve">              </w:t>
      </w:r>
      <w:r>
        <w:rPr>
          <w:rFonts w:hint="eastAsia" w:ascii="宋体" w:hAnsi="宋体"/>
          <w:color w:val="auto"/>
          <w:sz w:val="24"/>
          <w:highlight w:val="none"/>
        </w:rPr>
        <w:t>（姓名）以我方的名义参加</w:t>
      </w:r>
      <w:r>
        <w:rPr>
          <w:rFonts w:hint="eastAsia" w:ascii="宋体" w:hAnsi="宋体"/>
          <w:color w:val="auto"/>
          <w:sz w:val="24"/>
          <w:highlight w:val="none"/>
          <w:u w:val="single"/>
        </w:rPr>
        <w:t xml:space="preserve">                    （项目名称和编号）    </w:t>
      </w:r>
      <w:r>
        <w:rPr>
          <w:rFonts w:hint="eastAsia" w:ascii="宋体" w:hAnsi="宋体"/>
          <w:color w:val="auto"/>
          <w:sz w:val="24"/>
          <w:highlight w:val="none"/>
        </w:rPr>
        <w:t>项目的投标活动，并代表我方全权办理针对上述项目的投标、开标、评标、签约等具体事务和签署相关文件。</w:t>
      </w:r>
    </w:p>
    <w:p>
      <w:pPr>
        <w:snapToGrid w:val="0"/>
        <w:rPr>
          <w:rFonts w:ascii="宋体" w:hAnsi="宋体"/>
          <w:color w:val="auto"/>
          <w:sz w:val="24"/>
          <w:highlight w:val="none"/>
        </w:rPr>
      </w:pPr>
      <w:r>
        <w:rPr>
          <w:rFonts w:hint="eastAsia" w:ascii="宋体" w:hAnsi="宋体"/>
          <w:color w:val="auto"/>
          <w:sz w:val="24"/>
          <w:highlight w:val="none"/>
        </w:rPr>
        <w:t xml:space="preserve">    我方对被授权人的签名事项负全部责任。</w:t>
      </w:r>
    </w:p>
    <w:p>
      <w:pPr>
        <w:snapToGrid w:val="0"/>
        <w:ind w:firstLine="480"/>
        <w:rPr>
          <w:rFonts w:ascii="宋体" w:hAnsi="宋体"/>
          <w:color w:val="auto"/>
          <w:sz w:val="24"/>
          <w:highlight w:val="none"/>
        </w:rPr>
      </w:pPr>
      <w:r>
        <w:rPr>
          <w:rFonts w:hint="eastAsia" w:ascii="宋体" w:hAnsi="宋体"/>
          <w:color w:val="auto"/>
          <w:sz w:val="24"/>
          <w:highlight w:val="none"/>
          <w:u w:val="single"/>
        </w:rPr>
        <w:t>在撤销授权的书面通知以前，本授权书一直有效。</w:t>
      </w:r>
      <w:r>
        <w:rPr>
          <w:rFonts w:hint="eastAsia" w:ascii="宋体" w:hAnsi="宋体"/>
          <w:color w:val="auto"/>
          <w:sz w:val="24"/>
          <w:highlight w:val="none"/>
        </w:rPr>
        <w:t>被授权人在授权书有效期内签署的所有文件不因授权的撤销而失效。</w:t>
      </w:r>
    </w:p>
    <w:p>
      <w:pPr>
        <w:snapToGrid w:val="0"/>
        <w:ind w:firstLine="480"/>
        <w:rPr>
          <w:rFonts w:ascii="宋体" w:hAnsi="宋体"/>
          <w:color w:val="auto"/>
          <w:sz w:val="24"/>
          <w:highlight w:val="none"/>
        </w:rPr>
      </w:pPr>
      <w:r>
        <w:rPr>
          <w:rFonts w:hint="eastAsia" w:ascii="宋体" w:hAnsi="宋体"/>
          <w:color w:val="auto"/>
          <w:sz w:val="24"/>
          <w:highlight w:val="none"/>
        </w:rPr>
        <w:t>被授权人无转委托权，特此委托。</w:t>
      </w:r>
    </w:p>
    <w:p>
      <w:pPr>
        <w:snapToGrid w:val="0"/>
        <w:rPr>
          <w:rFonts w:ascii="宋体" w:hAnsi="宋体"/>
          <w:color w:val="auto"/>
          <w:sz w:val="24"/>
          <w:highlight w:val="none"/>
        </w:rPr>
      </w:pPr>
    </w:p>
    <w:p>
      <w:pPr>
        <w:snapToGrid w:val="0"/>
        <w:rPr>
          <w:rFonts w:ascii="宋体" w:hAnsi="宋体"/>
          <w:color w:val="auto"/>
          <w:sz w:val="24"/>
          <w:highlight w:val="none"/>
          <w:u w:val="single"/>
        </w:rPr>
      </w:pPr>
      <w:r>
        <w:rPr>
          <w:rFonts w:hint="eastAsia" w:ascii="宋体" w:hAnsi="宋体"/>
          <w:color w:val="auto"/>
          <w:sz w:val="24"/>
          <w:highlight w:val="none"/>
        </w:rPr>
        <w:t>被授权人签名：</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napToGrid w:val="0"/>
        <w:rPr>
          <w:rFonts w:ascii="宋体" w:hAnsi="宋体"/>
          <w:color w:val="auto"/>
          <w:sz w:val="24"/>
          <w:highlight w:val="none"/>
        </w:rPr>
      </w:pPr>
      <w:r>
        <w:rPr>
          <w:rFonts w:hint="eastAsia" w:ascii="宋体" w:hAnsi="宋体"/>
          <w:color w:val="auto"/>
          <w:sz w:val="24"/>
          <w:highlight w:val="none"/>
        </w:rPr>
        <w:t>所在部门：</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napToGrid w:val="0"/>
        <w:rPr>
          <w:rFonts w:ascii="宋体" w:hAnsi="宋体"/>
          <w:color w:val="auto"/>
          <w:sz w:val="24"/>
          <w:highlight w:val="none"/>
        </w:rPr>
      </w:pPr>
      <w:r>
        <w:rPr>
          <w:rFonts w:hint="eastAsia" w:ascii="宋体" w:hAnsi="宋体"/>
          <w:color w:val="auto"/>
          <w:sz w:val="24"/>
          <w:highlight w:val="none"/>
        </w:rPr>
        <w:t>职  务：</w:t>
      </w:r>
      <w:r>
        <w:rPr>
          <w:rFonts w:hint="eastAsia" w:ascii="宋体" w:hAnsi="宋体"/>
          <w:color w:val="auto"/>
          <w:sz w:val="24"/>
          <w:highlight w:val="none"/>
          <w:u w:val="single"/>
        </w:rPr>
        <w:t xml:space="preserve">              </w:t>
      </w:r>
    </w:p>
    <w:p>
      <w:pPr>
        <w:snapToGrid w:val="0"/>
        <w:rPr>
          <w:rFonts w:ascii="宋体" w:hAnsi="宋体"/>
          <w:color w:val="auto"/>
          <w:sz w:val="24"/>
          <w:highlight w:val="none"/>
        </w:rPr>
      </w:pPr>
      <w:r>
        <w:rPr>
          <w:rFonts w:hint="eastAsia" w:ascii="宋体" w:hAnsi="宋体"/>
          <w:color w:val="auto"/>
          <w:sz w:val="24"/>
          <w:highlight w:val="none"/>
        </w:rPr>
        <w:t>被授权人身份证号码：</w:t>
      </w:r>
      <w:r>
        <w:rPr>
          <w:rFonts w:hint="eastAsia" w:ascii="宋体" w:hAnsi="宋体"/>
          <w:color w:val="auto"/>
          <w:sz w:val="24"/>
          <w:highlight w:val="none"/>
          <w:u w:val="single"/>
        </w:rPr>
        <w:t xml:space="preserve">              </w:t>
      </w:r>
    </w:p>
    <w:p>
      <w:pPr>
        <w:snapToGrid w:val="0"/>
        <w:rPr>
          <w:rFonts w:ascii="宋体" w:hAnsi="宋体"/>
          <w:color w:val="auto"/>
          <w:sz w:val="24"/>
          <w:highlight w:val="none"/>
        </w:rPr>
      </w:pPr>
      <w:r>
        <w:rPr>
          <w:rFonts w:hint="eastAsia" w:ascii="宋体" w:hAnsi="宋体"/>
          <w:color w:val="auto"/>
          <w:sz w:val="24"/>
          <w:highlight w:val="none"/>
        </w:rPr>
        <w:t xml:space="preserve">                                                      </w:t>
      </w:r>
    </w:p>
    <w:p>
      <w:pPr>
        <w:snapToGrid w:val="0"/>
        <w:ind w:firstLine="5400" w:firstLineChars="2250"/>
        <w:rPr>
          <w:rFonts w:ascii="宋体" w:hAnsi="宋体"/>
          <w:color w:val="auto"/>
          <w:sz w:val="24"/>
          <w:highlight w:val="none"/>
        </w:rPr>
      </w:pPr>
      <w:r>
        <w:rPr>
          <w:rFonts w:hint="eastAsia" w:ascii="宋体" w:hAnsi="宋体"/>
          <w:color w:val="auto"/>
          <w:sz w:val="24"/>
          <w:highlight w:val="none"/>
        </w:rPr>
        <w:t>法定代表人签名：</w:t>
      </w:r>
      <w:r>
        <w:rPr>
          <w:rFonts w:hint="eastAsia" w:ascii="宋体" w:hAnsi="宋体"/>
          <w:color w:val="auto"/>
          <w:sz w:val="24"/>
          <w:highlight w:val="none"/>
          <w:u w:val="single"/>
        </w:rPr>
        <w:t xml:space="preserve">              </w:t>
      </w:r>
    </w:p>
    <w:p>
      <w:pPr>
        <w:snapToGrid w:val="0"/>
        <w:ind w:left="4845" w:leftChars="2250" w:hanging="120" w:hangingChars="50"/>
        <w:rPr>
          <w:rFonts w:ascii="宋体" w:hAnsi="宋体"/>
          <w:color w:val="auto"/>
          <w:sz w:val="24"/>
          <w:highlight w:val="none"/>
        </w:rPr>
      </w:pPr>
      <w:r>
        <w:rPr>
          <w:rFonts w:hint="eastAsia" w:ascii="宋体" w:hAnsi="宋体"/>
          <w:color w:val="auto"/>
          <w:sz w:val="24"/>
          <w:highlight w:val="none"/>
        </w:rPr>
        <w:t>（投标人若为其他组织形式无法定代表人的应由机构负责人签名）</w:t>
      </w:r>
    </w:p>
    <w:p>
      <w:pPr>
        <w:snapToGrid w:val="0"/>
        <w:ind w:firstLine="5400" w:firstLineChars="2250"/>
        <w:rPr>
          <w:rFonts w:ascii="宋体" w:hAnsi="宋体"/>
          <w:color w:val="auto"/>
          <w:sz w:val="24"/>
          <w:highlight w:val="none"/>
        </w:rPr>
      </w:pPr>
      <w:r>
        <w:rPr>
          <w:rFonts w:hint="eastAsia" w:ascii="宋体" w:hAnsi="宋体"/>
          <w:color w:val="auto"/>
          <w:sz w:val="24"/>
          <w:highlight w:val="none"/>
        </w:rPr>
        <w:t xml:space="preserve"> 投标人公章：</w:t>
      </w:r>
    </w:p>
    <w:p>
      <w:pPr>
        <w:snapToGrid w:val="0"/>
        <w:ind w:firstLine="470" w:firstLineChars="196"/>
        <w:jc w:val="left"/>
        <w:rPr>
          <w:rFonts w:asciiTheme="minorEastAsia" w:hAnsiTheme="minorEastAsia" w:eastAsiaTheme="minorEastAsia"/>
          <w:color w:val="auto"/>
          <w:sz w:val="24"/>
          <w:highlight w:val="none"/>
        </w:rPr>
      </w:pPr>
      <w:r>
        <w:rPr>
          <w:rFonts w:hint="eastAsia" w:ascii="宋体" w:hAnsi="宋体"/>
          <w:color w:val="auto"/>
          <w:sz w:val="24"/>
          <w:highlight w:val="none"/>
        </w:rPr>
        <w:t xml:space="preserve">                                           </w:t>
      </w:r>
      <w:r>
        <w:rPr>
          <w:rFonts w:hint="eastAsia" w:asciiTheme="minorEastAsia" w:hAnsiTheme="minorEastAsia" w:eastAsiaTheme="minorEastAsia"/>
          <w:color w:val="auto"/>
          <w:sz w:val="24"/>
          <w:highlight w:val="none"/>
        </w:rPr>
        <w:t>日期:_____年_____月_____日</w:t>
      </w: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jc w:val="center"/>
        <w:rPr>
          <w:rFonts w:ascii="宋体" w:hAnsi="宋体"/>
          <w:b/>
          <w:color w:val="auto"/>
          <w:sz w:val="32"/>
          <w:szCs w:val="32"/>
          <w:highlight w:val="none"/>
        </w:rPr>
      </w:pPr>
      <w:r>
        <w:rPr>
          <w:rFonts w:hint="eastAsia" w:ascii="宋体" w:hAnsi="宋体"/>
          <w:b/>
          <w:color w:val="auto"/>
          <w:sz w:val="32"/>
          <w:szCs w:val="32"/>
          <w:highlight w:val="none"/>
        </w:rPr>
        <w:t>授权委托书（格式二）</w:t>
      </w:r>
    </w:p>
    <w:p>
      <w:pPr>
        <w:snapToGrid w:val="0"/>
        <w:rPr>
          <w:rFonts w:ascii="宋体" w:hAnsi="宋体"/>
          <w:bCs/>
          <w:color w:val="auto"/>
          <w:sz w:val="24"/>
          <w:highlight w:val="none"/>
        </w:rPr>
      </w:pPr>
    </w:p>
    <w:p>
      <w:pPr>
        <w:snapToGrid w:val="0"/>
        <w:rPr>
          <w:rFonts w:ascii="宋体" w:hAnsi="宋体"/>
          <w:b/>
          <w:bCs/>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u w:val="single"/>
        </w:rPr>
        <w:t xml:space="preserve">                </w:t>
      </w:r>
      <w:r>
        <w:rPr>
          <w:rFonts w:hint="eastAsia" w:ascii="宋体" w:hAnsi="宋体"/>
          <w:color w:val="auto"/>
          <w:sz w:val="24"/>
          <w:highlight w:val="none"/>
        </w:rPr>
        <w:t>（招标采购单位名称）：</w:t>
      </w:r>
    </w:p>
    <w:p>
      <w:pPr>
        <w:snapToGrid w:val="0"/>
        <w:ind w:firstLine="720" w:firstLineChars="300"/>
        <w:rPr>
          <w:rFonts w:ascii="宋体" w:hAnsi="宋体"/>
          <w:color w:val="auto"/>
          <w:sz w:val="24"/>
          <w:highlight w:val="none"/>
        </w:rPr>
      </w:pPr>
      <w:r>
        <w:rPr>
          <w:rFonts w:hint="eastAsia" w:ascii="宋体" w:hAnsi="宋体"/>
          <w:color w:val="auto"/>
          <w:sz w:val="24"/>
          <w:highlight w:val="none"/>
        </w:rPr>
        <w:t>我</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（姓名）系自然人，现授权委托 </w:t>
      </w:r>
      <w:r>
        <w:rPr>
          <w:rFonts w:hint="eastAsia" w:ascii="宋体" w:hAnsi="宋体"/>
          <w:color w:val="auto"/>
          <w:sz w:val="24"/>
          <w:highlight w:val="none"/>
          <w:u w:val="single"/>
        </w:rPr>
        <w:t xml:space="preserve">              </w:t>
      </w:r>
      <w:r>
        <w:rPr>
          <w:rFonts w:hint="eastAsia" w:ascii="宋体" w:hAnsi="宋体"/>
          <w:color w:val="auto"/>
          <w:sz w:val="24"/>
          <w:highlight w:val="none"/>
        </w:rPr>
        <w:t>（姓名）以本人名义参加</w:t>
      </w:r>
      <w:r>
        <w:rPr>
          <w:rFonts w:hint="eastAsia" w:ascii="宋体" w:hAnsi="宋体"/>
          <w:color w:val="auto"/>
          <w:sz w:val="24"/>
          <w:highlight w:val="none"/>
          <w:u w:val="single"/>
        </w:rPr>
        <w:t xml:space="preserve">                    （项目名称和编号）    </w:t>
      </w:r>
      <w:r>
        <w:rPr>
          <w:rFonts w:hint="eastAsia" w:ascii="宋体" w:hAnsi="宋体"/>
          <w:color w:val="auto"/>
          <w:sz w:val="24"/>
          <w:highlight w:val="none"/>
        </w:rPr>
        <w:t>项目的投标活动，并代表本人全权办理针对上述项目的投标、开标、评标、签约等具体事务和签署相关文件。</w:t>
      </w:r>
    </w:p>
    <w:p>
      <w:pPr>
        <w:snapToGrid w:val="0"/>
        <w:rPr>
          <w:rFonts w:ascii="宋体" w:hAnsi="宋体"/>
          <w:color w:val="auto"/>
          <w:sz w:val="24"/>
          <w:highlight w:val="none"/>
        </w:rPr>
      </w:pPr>
      <w:r>
        <w:rPr>
          <w:rFonts w:hint="eastAsia" w:ascii="宋体" w:hAnsi="宋体"/>
          <w:color w:val="auto"/>
          <w:sz w:val="24"/>
          <w:highlight w:val="none"/>
        </w:rPr>
        <w:t xml:space="preserve">    本人对被授权人的签名事项负全部责任。</w:t>
      </w:r>
    </w:p>
    <w:p>
      <w:pPr>
        <w:snapToGrid w:val="0"/>
        <w:ind w:firstLine="480"/>
        <w:rPr>
          <w:rFonts w:ascii="宋体" w:hAnsi="宋体"/>
          <w:color w:val="auto"/>
          <w:sz w:val="24"/>
          <w:highlight w:val="none"/>
        </w:rPr>
      </w:pPr>
      <w:r>
        <w:rPr>
          <w:rFonts w:hint="eastAsia" w:ascii="宋体" w:hAnsi="宋体"/>
          <w:color w:val="auto"/>
          <w:sz w:val="24"/>
          <w:highlight w:val="none"/>
          <w:u w:val="single"/>
        </w:rPr>
        <w:t>在撤销授权的书面通知以前，本授权书一直有效。</w:t>
      </w:r>
      <w:r>
        <w:rPr>
          <w:rFonts w:hint="eastAsia" w:ascii="宋体" w:hAnsi="宋体"/>
          <w:color w:val="auto"/>
          <w:sz w:val="24"/>
          <w:highlight w:val="none"/>
        </w:rPr>
        <w:t>被授权人在授权书有效期内签署的所有文件不因授权的撤销而失效。</w:t>
      </w:r>
    </w:p>
    <w:p>
      <w:pPr>
        <w:snapToGrid w:val="0"/>
        <w:ind w:firstLine="480"/>
        <w:rPr>
          <w:rFonts w:ascii="宋体" w:hAnsi="宋体"/>
          <w:color w:val="auto"/>
          <w:sz w:val="24"/>
          <w:highlight w:val="none"/>
        </w:rPr>
      </w:pPr>
      <w:r>
        <w:rPr>
          <w:rFonts w:hint="eastAsia" w:ascii="宋体" w:hAnsi="宋体"/>
          <w:color w:val="auto"/>
          <w:sz w:val="24"/>
          <w:highlight w:val="none"/>
        </w:rPr>
        <w:t>被授权人无转委托权，特此委托。</w:t>
      </w:r>
    </w:p>
    <w:p>
      <w:pPr>
        <w:snapToGrid w:val="0"/>
        <w:rPr>
          <w:rFonts w:ascii="宋体" w:hAnsi="宋体"/>
          <w:color w:val="auto"/>
          <w:sz w:val="24"/>
          <w:highlight w:val="none"/>
        </w:rPr>
      </w:pPr>
    </w:p>
    <w:p>
      <w:pPr>
        <w:snapToGrid w:val="0"/>
        <w:rPr>
          <w:rFonts w:ascii="宋体" w:hAnsi="宋体"/>
          <w:color w:val="auto"/>
          <w:sz w:val="24"/>
          <w:highlight w:val="none"/>
          <w:u w:val="single"/>
        </w:rPr>
      </w:pPr>
      <w:r>
        <w:rPr>
          <w:rFonts w:hint="eastAsia" w:ascii="宋体" w:hAnsi="宋体"/>
          <w:color w:val="auto"/>
          <w:sz w:val="24"/>
          <w:highlight w:val="none"/>
        </w:rPr>
        <w:t>被授权人签名：</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napToGrid w:val="0"/>
        <w:rPr>
          <w:rFonts w:ascii="宋体" w:hAnsi="宋体"/>
          <w:color w:val="auto"/>
          <w:sz w:val="24"/>
          <w:highlight w:val="none"/>
        </w:rPr>
      </w:pPr>
      <w:r>
        <w:rPr>
          <w:rFonts w:hint="eastAsia" w:ascii="宋体" w:hAnsi="宋体"/>
          <w:color w:val="auto"/>
          <w:sz w:val="24"/>
          <w:highlight w:val="none"/>
        </w:rPr>
        <w:t>被授权人身份证号码：</w:t>
      </w:r>
      <w:r>
        <w:rPr>
          <w:rFonts w:hint="eastAsia" w:ascii="宋体" w:hAnsi="宋体"/>
          <w:color w:val="auto"/>
          <w:sz w:val="24"/>
          <w:highlight w:val="none"/>
          <w:u w:val="single"/>
        </w:rPr>
        <w:t xml:space="preserve">              </w:t>
      </w:r>
    </w:p>
    <w:p>
      <w:pPr>
        <w:snapToGrid w:val="0"/>
        <w:rPr>
          <w:rFonts w:ascii="宋体" w:hAnsi="宋体"/>
          <w:color w:val="auto"/>
          <w:sz w:val="24"/>
          <w:highlight w:val="none"/>
        </w:rPr>
      </w:pPr>
      <w:r>
        <w:rPr>
          <w:rFonts w:hint="eastAsia" w:ascii="宋体" w:hAnsi="宋体"/>
          <w:color w:val="auto"/>
          <w:sz w:val="24"/>
          <w:highlight w:val="none"/>
        </w:rPr>
        <w:t xml:space="preserve">                                                      </w:t>
      </w:r>
    </w:p>
    <w:p>
      <w:pPr>
        <w:snapToGrid w:val="0"/>
        <w:ind w:firstLine="3000" w:firstLineChars="1250"/>
        <w:rPr>
          <w:rFonts w:ascii="宋体" w:hAnsi="宋体"/>
          <w:color w:val="auto"/>
          <w:sz w:val="24"/>
          <w:highlight w:val="none"/>
        </w:rPr>
      </w:pPr>
      <w:r>
        <w:rPr>
          <w:rFonts w:hint="eastAsia" w:ascii="宋体" w:hAnsi="宋体"/>
          <w:color w:val="auto"/>
          <w:sz w:val="24"/>
          <w:highlight w:val="none"/>
        </w:rPr>
        <w:t>自然人签名并在签名处加盖指印：</w:t>
      </w:r>
      <w:r>
        <w:rPr>
          <w:rFonts w:hint="eastAsia" w:ascii="宋体" w:hAnsi="宋体"/>
          <w:color w:val="auto"/>
          <w:sz w:val="24"/>
          <w:highlight w:val="none"/>
          <w:u w:val="single"/>
        </w:rPr>
        <w:t xml:space="preserve">              </w:t>
      </w:r>
    </w:p>
    <w:p>
      <w:pPr>
        <w:snapToGrid w:val="0"/>
        <w:ind w:firstLine="5400" w:firstLineChars="2250"/>
        <w:rPr>
          <w:rFonts w:ascii="宋体" w:hAnsi="宋体"/>
          <w:color w:val="auto"/>
          <w:sz w:val="24"/>
          <w:highlight w:val="none"/>
        </w:rPr>
      </w:pPr>
      <w:r>
        <w:rPr>
          <w:rFonts w:hint="eastAsia" w:ascii="宋体" w:hAnsi="宋体"/>
          <w:color w:val="auto"/>
          <w:sz w:val="24"/>
          <w:highlight w:val="none"/>
        </w:rPr>
        <w:t xml:space="preserve"> </w:t>
      </w:r>
    </w:p>
    <w:p>
      <w:pPr>
        <w:snapToGrid w:val="0"/>
        <w:ind w:firstLine="470" w:firstLineChars="196"/>
        <w:jc w:val="left"/>
        <w:rPr>
          <w:rFonts w:ascii="宋体" w:hAnsi="宋体"/>
          <w:color w:val="auto"/>
          <w:sz w:val="24"/>
          <w:highlight w:val="none"/>
        </w:rPr>
      </w:pPr>
      <w:r>
        <w:rPr>
          <w:rFonts w:hint="eastAsia" w:ascii="宋体" w:hAnsi="宋体"/>
          <w:color w:val="auto"/>
          <w:sz w:val="24"/>
          <w:highlight w:val="none"/>
        </w:rPr>
        <w:t xml:space="preserve">                                                  年    月    日</w:t>
      </w:r>
    </w:p>
    <w:p>
      <w:pPr>
        <w:rPr>
          <w:rFonts w:ascii="宋体" w:hAnsi="宋体"/>
          <w:color w:val="auto"/>
          <w:szCs w:val="21"/>
          <w:highlight w:val="none"/>
        </w:rPr>
      </w:pPr>
      <w:r>
        <w:rPr>
          <w:rFonts w:ascii="宋体" w:hAnsi="宋体"/>
          <w:color w:val="auto"/>
          <w:szCs w:val="21"/>
          <w:highlight w:val="none"/>
        </w:rPr>
        <w:br w:type="page"/>
      </w:r>
      <w:r>
        <w:rPr>
          <w:rFonts w:hint="eastAsia" w:ascii="宋体" w:hAnsi="宋体"/>
          <w:color w:val="auto"/>
          <w:szCs w:val="21"/>
          <w:highlight w:val="none"/>
        </w:rPr>
        <w:t>委托代理人身份证复印件：</w:t>
      </w:r>
    </w:p>
    <w:p>
      <w:pPr>
        <w:rPr>
          <w:rFonts w:ascii="宋体" w:hAnsi="宋体"/>
          <w:color w:val="auto"/>
          <w:szCs w:val="21"/>
          <w:highlight w:val="none"/>
        </w:rPr>
      </w:pPr>
    </w:p>
    <w:tbl>
      <w:tblPr>
        <w:tblStyle w:val="36"/>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6" w:hRule="atLeast"/>
        </w:trPr>
        <w:tc>
          <w:tcPr>
            <w:tcW w:w="6948" w:type="dxa"/>
            <w:vAlign w:val="center"/>
          </w:tcPr>
          <w:p>
            <w:pPr>
              <w:jc w:val="center"/>
              <w:rPr>
                <w:rFonts w:ascii="宋体" w:hAnsi="宋体"/>
                <w:color w:val="auto"/>
                <w:szCs w:val="21"/>
                <w:highlight w:val="none"/>
              </w:rPr>
            </w:pPr>
            <w:r>
              <w:rPr>
                <w:rFonts w:hint="eastAsia" w:ascii="宋体" w:hAnsi="宋体"/>
                <w:color w:val="auto"/>
                <w:szCs w:val="21"/>
                <w:highlight w:val="none"/>
              </w:rPr>
              <w:t>身份证（正面）</w:t>
            </w:r>
          </w:p>
        </w:tc>
      </w:tr>
    </w:tbl>
    <w:p>
      <w:pPr>
        <w:rPr>
          <w:rFonts w:ascii="宋体" w:hAnsi="宋体"/>
          <w:color w:val="auto"/>
          <w:szCs w:val="21"/>
          <w:highlight w:val="none"/>
        </w:rPr>
      </w:pPr>
    </w:p>
    <w:tbl>
      <w:tblPr>
        <w:tblStyle w:val="36"/>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7" w:hRule="atLeast"/>
        </w:trPr>
        <w:tc>
          <w:tcPr>
            <w:tcW w:w="6948" w:type="dxa"/>
            <w:vAlign w:val="center"/>
          </w:tcPr>
          <w:p>
            <w:pPr>
              <w:jc w:val="center"/>
              <w:rPr>
                <w:rFonts w:ascii="宋体" w:hAnsi="宋体"/>
                <w:color w:val="auto"/>
                <w:szCs w:val="21"/>
                <w:highlight w:val="none"/>
              </w:rPr>
            </w:pPr>
            <w:r>
              <w:rPr>
                <w:rFonts w:hint="eastAsia" w:ascii="宋体" w:hAnsi="宋体"/>
                <w:color w:val="auto"/>
                <w:szCs w:val="21"/>
                <w:highlight w:val="none"/>
              </w:rPr>
              <w:t>身份证（反面）</w:t>
            </w:r>
          </w:p>
        </w:tc>
      </w:tr>
    </w:tbl>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委托代理人签名：</w:t>
      </w:r>
    </w:p>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委托单位（公章，自然人除外）：</w:t>
      </w:r>
    </w:p>
    <w:p>
      <w:pPr>
        <w:widowControl/>
        <w:jc w:val="left"/>
        <w:rPr>
          <w:rFonts w:ascii="宋体" w:hAnsi="宋体"/>
          <w:b/>
          <w:color w:val="auto"/>
          <w:sz w:val="24"/>
          <w:highlight w:val="none"/>
        </w:rPr>
      </w:pPr>
      <w:r>
        <w:rPr>
          <w:rFonts w:ascii="宋体" w:hAnsi="宋体"/>
          <w:b/>
          <w:color w:val="auto"/>
          <w:sz w:val="24"/>
          <w:highlight w:val="none"/>
        </w:rPr>
        <w:br w:type="page"/>
      </w:r>
    </w:p>
    <w:p>
      <w:pPr>
        <w:widowControl/>
        <w:jc w:val="left"/>
        <w:rPr>
          <w:rFonts w:ascii="宋体" w:hAnsi="宋体"/>
          <w:b/>
          <w:color w:val="auto"/>
          <w:sz w:val="24"/>
          <w:highlight w:val="none"/>
        </w:rPr>
      </w:pPr>
    </w:p>
    <w:p>
      <w:pPr>
        <w:snapToGrid w:val="0"/>
        <w:jc w:val="left"/>
        <w:rPr>
          <w:rFonts w:ascii="宋体" w:hAnsi="宋体"/>
          <w:b/>
          <w:color w:val="auto"/>
          <w:sz w:val="24"/>
          <w:highlight w:val="none"/>
        </w:rPr>
      </w:pPr>
      <w:r>
        <w:rPr>
          <w:rFonts w:hint="eastAsia" w:ascii="宋体" w:hAnsi="宋体"/>
          <w:b/>
          <w:color w:val="auto"/>
          <w:sz w:val="24"/>
          <w:highlight w:val="none"/>
        </w:rPr>
        <w:t>商务条款偏离表格式：</w:t>
      </w:r>
    </w:p>
    <w:p>
      <w:pPr>
        <w:snapToGrid w:val="0"/>
        <w:jc w:val="center"/>
        <w:rPr>
          <w:rFonts w:ascii="宋体" w:hAnsi="宋体"/>
          <w:b/>
          <w:color w:val="auto"/>
          <w:sz w:val="32"/>
          <w:szCs w:val="32"/>
          <w:highlight w:val="none"/>
        </w:rPr>
      </w:pPr>
      <w:r>
        <w:rPr>
          <w:rFonts w:hint="eastAsia" w:ascii="宋体" w:hAnsi="宋体"/>
          <w:b/>
          <w:color w:val="auto"/>
          <w:sz w:val="32"/>
          <w:szCs w:val="32"/>
          <w:highlight w:val="none"/>
        </w:rPr>
        <w:t>商务条款偏离表</w:t>
      </w:r>
    </w:p>
    <w:p>
      <w:pPr>
        <w:pStyle w:val="22"/>
        <w:spacing w:line="40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请逐条对应本项目招标文件第二章“</w:t>
      </w:r>
      <w:r>
        <w:rPr>
          <w:rFonts w:hint="eastAsia" w:ascii="Times New Roman" w:hAnsi="Times New Roman" w:eastAsia="仿宋_GB2312"/>
          <w:color w:val="auto"/>
          <w:sz w:val="32"/>
          <w:szCs w:val="32"/>
          <w:highlight w:val="none"/>
        </w:rPr>
        <w:t>服务</w:t>
      </w:r>
      <w:r>
        <w:rPr>
          <w:rFonts w:ascii="Times New Roman" w:hAnsi="Times New Roman" w:eastAsia="仿宋_GB2312"/>
          <w:color w:val="auto"/>
          <w:sz w:val="32"/>
          <w:szCs w:val="32"/>
          <w:highlight w:val="none"/>
        </w:rPr>
        <w:t>需求一览表”中“商务条款”的要求，详细填写相应的具体内容。“偏离说明”一栏应当选择“正偏离”、“负偏离”或“无偏离”进行填写。</w:t>
      </w:r>
    </w:p>
    <w:p>
      <w:pPr>
        <w:pStyle w:val="22"/>
        <w:ind w:firstLine="640" w:firstLineChars="200"/>
        <w:rPr>
          <w:rFonts w:ascii="Times New Roman" w:hAnsi="Times New Roman" w:eastAsia="仿宋_GB2312"/>
          <w:color w:val="auto"/>
          <w:sz w:val="32"/>
          <w:szCs w:val="32"/>
          <w:highlight w:val="none"/>
        </w:rPr>
      </w:pPr>
    </w:p>
    <w:tbl>
      <w:tblPr>
        <w:tblStyle w:val="36"/>
        <w:tblpPr w:leftFromText="180" w:rightFromText="180" w:vertAnchor="text" w:horzAnchor="margin" w:tblpXSpec="center" w:tblpY="94"/>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4071"/>
        <w:gridCol w:w="372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vAlign w:val="center"/>
          </w:tcPr>
          <w:p>
            <w:pPr>
              <w:pStyle w:val="22"/>
              <w:spacing w:line="340" w:lineRule="exact"/>
              <w:jc w:val="center"/>
              <w:rPr>
                <w:rFonts w:ascii="Times New Roman" w:hAnsi="Times New Roman" w:eastAsia="仿宋_GB2312"/>
                <w:color w:val="auto"/>
                <w:highlight w:val="none"/>
              </w:rPr>
            </w:pPr>
            <w:r>
              <w:rPr>
                <w:rFonts w:ascii="Times New Roman" w:hAnsi="Times New Roman" w:eastAsia="仿宋_GB2312"/>
                <w:color w:val="auto"/>
                <w:highlight w:val="none"/>
              </w:rPr>
              <w:t>项号</w:t>
            </w:r>
          </w:p>
        </w:tc>
        <w:tc>
          <w:tcPr>
            <w:tcW w:w="4071" w:type="dxa"/>
            <w:tcBorders>
              <w:top w:val="single" w:color="auto" w:sz="4" w:space="0"/>
              <w:left w:val="single" w:color="auto" w:sz="4" w:space="0"/>
              <w:bottom w:val="single" w:color="auto" w:sz="4" w:space="0"/>
              <w:right w:val="single" w:color="auto" w:sz="4" w:space="0"/>
            </w:tcBorders>
            <w:vAlign w:val="center"/>
          </w:tcPr>
          <w:p>
            <w:pPr>
              <w:pStyle w:val="22"/>
              <w:spacing w:line="340" w:lineRule="exact"/>
              <w:jc w:val="center"/>
              <w:rPr>
                <w:rFonts w:ascii="Times New Roman" w:hAnsi="Times New Roman" w:eastAsia="仿宋_GB2312"/>
                <w:color w:val="auto"/>
                <w:highlight w:val="none"/>
              </w:rPr>
            </w:pPr>
            <w:r>
              <w:rPr>
                <w:rFonts w:ascii="Times New Roman" w:hAnsi="Times New Roman" w:eastAsia="仿宋_GB2312"/>
                <w:color w:val="auto"/>
                <w:highlight w:val="none"/>
              </w:rPr>
              <w:t>招标文件的商务需求</w:t>
            </w:r>
          </w:p>
        </w:tc>
        <w:tc>
          <w:tcPr>
            <w:tcW w:w="3720" w:type="dxa"/>
            <w:tcBorders>
              <w:top w:val="single" w:color="auto" w:sz="4" w:space="0"/>
              <w:left w:val="single" w:color="auto" w:sz="4" w:space="0"/>
              <w:bottom w:val="single" w:color="auto" w:sz="4" w:space="0"/>
              <w:right w:val="single" w:color="auto" w:sz="4" w:space="0"/>
            </w:tcBorders>
            <w:vAlign w:val="center"/>
          </w:tcPr>
          <w:p>
            <w:pPr>
              <w:pStyle w:val="22"/>
              <w:spacing w:line="340" w:lineRule="exact"/>
              <w:jc w:val="center"/>
              <w:rPr>
                <w:rFonts w:ascii="Times New Roman" w:hAnsi="Times New Roman" w:eastAsia="仿宋_GB2312"/>
                <w:color w:val="auto"/>
                <w:highlight w:val="none"/>
              </w:rPr>
            </w:pPr>
            <w:r>
              <w:rPr>
                <w:rFonts w:ascii="Times New Roman" w:hAnsi="Times New Roman" w:eastAsia="仿宋_GB2312"/>
                <w:color w:val="auto"/>
                <w:highlight w:val="none"/>
              </w:rPr>
              <w:t>投标文件承诺的商务条款</w:t>
            </w:r>
          </w:p>
        </w:tc>
        <w:tc>
          <w:tcPr>
            <w:tcW w:w="1320" w:type="dxa"/>
            <w:tcBorders>
              <w:top w:val="single" w:color="auto" w:sz="4" w:space="0"/>
              <w:left w:val="single" w:color="auto" w:sz="4" w:space="0"/>
              <w:bottom w:val="single" w:color="auto" w:sz="4" w:space="0"/>
              <w:right w:val="single" w:color="auto" w:sz="4" w:space="0"/>
            </w:tcBorders>
            <w:vAlign w:val="center"/>
          </w:tcPr>
          <w:p>
            <w:pPr>
              <w:pStyle w:val="22"/>
              <w:spacing w:line="340" w:lineRule="exact"/>
              <w:jc w:val="center"/>
              <w:rPr>
                <w:rFonts w:ascii="Times New Roman" w:hAnsi="Times New Roman" w:eastAsia="仿宋_GB2312"/>
                <w:color w:val="auto"/>
                <w:highlight w:val="none"/>
              </w:rPr>
            </w:pPr>
            <w:r>
              <w:rPr>
                <w:rFonts w:ascii="Times New Roman" w:hAnsi="Times New Roman" w:eastAsia="仿宋_GB2312"/>
                <w:color w:val="auto"/>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pPr>
              <w:pStyle w:val="22"/>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一</w:t>
            </w:r>
          </w:p>
        </w:tc>
        <w:tc>
          <w:tcPr>
            <w:tcW w:w="4071" w:type="dxa"/>
            <w:tcBorders>
              <w:top w:val="single" w:color="auto" w:sz="4" w:space="0"/>
              <w:left w:val="single" w:color="auto" w:sz="4" w:space="0"/>
              <w:bottom w:val="single" w:color="auto" w:sz="4" w:space="0"/>
              <w:right w:val="single" w:color="auto" w:sz="4" w:space="0"/>
            </w:tcBorders>
          </w:tcPr>
          <w:p>
            <w:pPr>
              <w:spacing w:line="340" w:lineRule="exact"/>
              <w:rPr>
                <w:rFonts w:eastAsia="仿宋_GB2312"/>
                <w:color w:val="auto"/>
                <w:szCs w:val="21"/>
                <w:highlight w:val="none"/>
              </w:rPr>
            </w:pPr>
            <w:r>
              <w:rPr>
                <w:rFonts w:eastAsia="仿宋_GB2312"/>
                <w:color w:val="auto"/>
                <w:szCs w:val="21"/>
                <w:highlight w:val="none"/>
              </w:rPr>
              <w:t>1  ……</w:t>
            </w:r>
          </w:p>
          <w:p>
            <w:pPr>
              <w:spacing w:line="340" w:lineRule="exact"/>
              <w:rPr>
                <w:rFonts w:eastAsia="仿宋_GB2312"/>
                <w:color w:val="auto"/>
                <w:szCs w:val="21"/>
                <w:highlight w:val="none"/>
              </w:rPr>
            </w:pPr>
            <w:r>
              <w:rPr>
                <w:rFonts w:eastAsia="仿宋_GB2312"/>
                <w:color w:val="auto"/>
                <w:szCs w:val="21"/>
                <w:highlight w:val="none"/>
              </w:rPr>
              <w:t>2  ……</w:t>
            </w:r>
          </w:p>
          <w:p>
            <w:pPr>
              <w:spacing w:line="340" w:lineRule="exact"/>
              <w:rPr>
                <w:rFonts w:eastAsia="仿宋_GB2312"/>
                <w:color w:val="auto"/>
                <w:szCs w:val="21"/>
                <w:highlight w:val="none"/>
              </w:rPr>
            </w:pPr>
            <w:r>
              <w:rPr>
                <w:rFonts w:eastAsia="仿宋_GB2312"/>
                <w:color w:val="auto"/>
                <w:szCs w:val="21"/>
                <w:highlight w:val="none"/>
              </w:rPr>
              <w:t>3  ……</w:t>
            </w:r>
          </w:p>
          <w:p>
            <w:pPr>
              <w:pStyle w:val="22"/>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w:t>
            </w:r>
          </w:p>
        </w:tc>
        <w:tc>
          <w:tcPr>
            <w:tcW w:w="3720" w:type="dxa"/>
            <w:tcBorders>
              <w:top w:val="single" w:color="auto" w:sz="4" w:space="0"/>
              <w:left w:val="single" w:color="auto" w:sz="4" w:space="0"/>
              <w:bottom w:val="single" w:color="auto" w:sz="4" w:space="0"/>
              <w:right w:val="single" w:color="auto" w:sz="4" w:space="0"/>
            </w:tcBorders>
          </w:tcPr>
          <w:p>
            <w:pPr>
              <w:spacing w:line="340" w:lineRule="exact"/>
              <w:rPr>
                <w:rFonts w:eastAsia="仿宋_GB2312"/>
                <w:color w:val="auto"/>
                <w:szCs w:val="21"/>
                <w:highlight w:val="none"/>
              </w:rPr>
            </w:pPr>
            <w:r>
              <w:rPr>
                <w:rFonts w:eastAsia="仿宋_GB2312"/>
                <w:color w:val="auto"/>
                <w:szCs w:val="21"/>
                <w:highlight w:val="none"/>
              </w:rPr>
              <w:t>1  ……</w:t>
            </w:r>
          </w:p>
          <w:p>
            <w:pPr>
              <w:spacing w:line="340" w:lineRule="exact"/>
              <w:rPr>
                <w:rFonts w:eastAsia="仿宋_GB2312"/>
                <w:color w:val="auto"/>
                <w:szCs w:val="21"/>
                <w:highlight w:val="none"/>
              </w:rPr>
            </w:pPr>
            <w:r>
              <w:rPr>
                <w:rFonts w:eastAsia="仿宋_GB2312"/>
                <w:color w:val="auto"/>
                <w:szCs w:val="21"/>
                <w:highlight w:val="none"/>
              </w:rPr>
              <w:t>2  ……</w:t>
            </w:r>
          </w:p>
          <w:p>
            <w:pPr>
              <w:spacing w:line="340" w:lineRule="exact"/>
              <w:rPr>
                <w:rFonts w:eastAsia="仿宋_GB2312"/>
                <w:color w:val="auto"/>
                <w:szCs w:val="21"/>
                <w:highlight w:val="none"/>
              </w:rPr>
            </w:pPr>
            <w:r>
              <w:rPr>
                <w:rFonts w:eastAsia="仿宋_GB2312"/>
                <w:color w:val="auto"/>
                <w:szCs w:val="21"/>
                <w:highlight w:val="none"/>
              </w:rPr>
              <w:t>3  ……</w:t>
            </w:r>
          </w:p>
          <w:p>
            <w:pPr>
              <w:pStyle w:val="22"/>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w:t>
            </w:r>
          </w:p>
        </w:tc>
        <w:tc>
          <w:tcPr>
            <w:tcW w:w="1320" w:type="dxa"/>
            <w:tcBorders>
              <w:top w:val="single" w:color="auto" w:sz="4" w:space="0"/>
              <w:left w:val="single" w:color="auto" w:sz="4" w:space="0"/>
              <w:bottom w:val="single" w:color="auto" w:sz="4" w:space="0"/>
              <w:right w:val="single" w:color="auto" w:sz="4" w:space="0"/>
            </w:tcBorders>
          </w:tcPr>
          <w:p>
            <w:pPr>
              <w:pStyle w:val="22"/>
              <w:spacing w:line="300" w:lineRule="exact"/>
              <w:rPr>
                <w:rFonts w:ascii="Times New Roman" w:hAnsi="Times New Roman" w:eastAsia="仿宋_GB2312"/>
                <w:color w:val="auto"/>
                <w:highlight w:val="none"/>
              </w:rPr>
            </w:pPr>
            <w:r>
              <w:rPr>
                <w:rFonts w:ascii="Times New Roman" w:hAnsi="Times New Roman" w:eastAsia="仿宋_GB2312"/>
                <w:color w:val="auto"/>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pPr>
              <w:pStyle w:val="22"/>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二</w:t>
            </w:r>
          </w:p>
        </w:tc>
        <w:tc>
          <w:tcPr>
            <w:tcW w:w="4071" w:type="dxa"/>
            <w:tcBorders>
              <w:top w:val="single" w:color="auto" w:sz="4" w:space="0"/>
              <w:left w:val="single" w:color="auto" w:sz="4" w:space="0"/>
              <w:bottom w:val="single" w:color="auto" w:sz="4" w:space="0"/>
              <w:right w:val="single" w:color="auto" w:sz="4" w:space="0"/>
            </w:tcBorders>
          </w:tcPr>
          <w:p>
            <w:pPr>
              <w:spacing w:line="340" w:lineRule="exact"/>
              <w:rPr>
                <w:rFonts w:eastAsia="仿宋_GB2312"/>
                <w:color w:val="auto"/>
                <w:szCs w:val="21"/>
                <w:highlight w:val="none"/>
              </w:rPr>
            </w:pPr>
            <w:r>
              <w:rPr>
                <w:rFonts w:eastAsia="仿宋_GB2312"/>
                <w:color w:val="auto"/>
                <w:szCs w:val="21"/>
                <w:highlight w:val="none"/>
              </w:rPr>
              <w:t>1  ……</w:t>
            </w:r>
          </w:p>
          <w:p>
            <w:pPr>
              <w:spacing w:line="340" w:lineRule="exact"/>
              <w:rPr>
                <w:rFonts w:eastAsia="仿宋_GB2312"/>
                <w:color w:val="auto"/>
                <w:szCs w:val="21"/>
                <w:highlight w:val="none"/>
              </w:rPr>
            </w:pPr>
            <w:r>
              <w:rPr>
                <w:rFonts w:eastAsia="仿宋_GB2312"/>
                <w:color w:val="auto"/>
                <w:szCs w:val="21"/>
                <w:highlight w:val="none"/>
              </w:rPr>
              <w:t>2  ……</w:t>
            </w:r>
          </w:p>
          <w:p>
            <w:pPr>
              <w:spacing w:line="340" w:lineRule="exact"/>
              <w:rPr>
                <w:rFonts w:eastAsia="仿宋_GB2312"/>
                <w:color w:val="auto"/>
                <w:szCs w:val="21"/>
                <w:highlight w:val="none"/>
              </w:rPr>
            </w:pPr>
            <w:r>
              <w:rPr>
                <w:rFonts w:eastAsia="仿宋_GB2312"/>
                <w:color w:val="auto"/>
                <w:szCs w:val="21"/>
                <w:highlight w:val="none"/>
              </w:rPr>
              <w:t>3  ……</w:t>
            </w:r>
          </w:p>
          <w:p>
            <w:pPr>
              <w:pStyle w:val="22"/>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w:t>
            </w:r>
          </w:p>
        </w:tc>
        <w:tc>
          <w:tcPr>
            <w:tcW w:w="3720" w:type="dxa"/>
            <w:tcBorders>
              <w:top w:val="single" w:color="auto" w:sz="4" w:space="0"/>
              <w:left w:val="single" w:color="auto" w:sz="4" w:space="0"/>
              <w:bottom w:val="single" w:color="auto" w:sz="4" w:space="0"/>
              <w:right w:val="single" w:color="auto" w:sz="4" w:space="0"/>
            </w:tcBorders>
          </w:tcPr>
          <w:p>
            <w:pPr>
              <w:spacing w:line="340" w:lineRule="exact"/>
              <w:rPr>
                <w:rFonts w:eastAsia="仿宋_GB2312"/>
                <w:color w:val="auto"/>
                <w:szCs w:val="21"/>
                <w:highlight w:val="none"/>
              </w:rPr>
            </w:pPr>
            <w:r>
              <w:rPr>
                <w:rFonts w:eastAsia="仿宋_GB2312"/>
                <w:color w:val="auto"/>
                <w:szCs w:val="21"/>
                <w:highlight w:val="none"/>
              </w:rPr>
              <w:t>1  ……</w:t>
            </w:r>
          </w:p>
          <w:p>
            <w:pPr>
              <w:spacing w:line="340" w:lineRule="exact"/>
              <w:rPr>
                <w:rFonts w:eastAsia="仿宋_GB2312"/>
                <w:color w:val="auto"/>
                <w:szCs w:val="21"/>
                <w:highlight w:val="none"/>
              </w:rPr>
            </w:pPr>
            <w:r>
              <w:rPr>
                <w:rFonts w:eastAsia="仿宋_GB2312"/>
                <w:color w:val="auto"/>
                <w:szCs w:val="21"/>
                <w:highlight w:val="none"/>
              </w:rPr>
              <w:t>2  ……</w:t>
            </w:r>
          </w:p>
          <w:p>
            <w:pPr>
              <w:spacing w:line="340" w:lineRule="exact"/>
              <w:rPr>
                <w:rFonts w:eastAsia="仿宋_GB2312"/>
                <w:color w:val="auto"/>
                <w:szCs w:val="21"/>
                <w:highlight w:val="none"/>
              </w:rPr>
            </w:pPr>
            <w:r>
              <w:rPr>
                <w:rFonts w:eastAsia="仿宋_GB2312"/>
                <w:color w:val="auto"/>
                <w:szCs w:val="21"/>
                <w:highlight w:val="none"/>
              </w:rPr>
              <w:t>3  ……</w:t>
            </w:r>
          </w:p>
          <w:p>
            <w:pPr>
              <w:pStyle w:val="22"/>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w:t>
            </w:r>
          </w:p>
        </w:tc>
        <w:tc>
          <w:tcPr>
            <w:tcW w:w="1320" w:type="dxa"/>
            <w:tcBorders>
              <w:top w:val="single" w:color="auto" w:sz="4" w:space="0"/>
              <w:left w:val="single" w:color="auto" w:sz="4" w:space="0"/>
              <w:bottom w:val="single" w:color="auto" w:sz="4" w:space="0"/>
              <w:right w:val="single" w:color="auto" w:sz="4" w:space="0"/>
            </w:tcBorders>
          </w:tcPr>
          <w:p>
            <w:pPr>
              <w:pStyle w:val="22"/>
              <w:spacing w:line="300" w:lineRule="exact"/>
              <w:rPr>
                <w:rFonts w:ascii="Times New Roman" w:hAnsi="Times New Roman" w:eastAsia="仿宋_GB2312"/>
                <w:color w:val="auto"/>
                <w:highlight w:val="none"/>
              </w:rPr>
            </w:pPr>
            <w:r>
              <w:rPr>
                <w:rFonts w:ascii="Times New Roman" w:hAnsi="Times New Roman" w:eastAsia="仿宋_GB2312"/>
                <w:color w:val="auto"/>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pPr>
              <w:pStyle w:val="22"/>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w:t>
            </w:r>
          </w:p>
        </w:tc>
        <w:tc>
          <w:tcPr>
            <w:tcW w:w="4071" w:type="dxa"/>
            <w:tcBorders>
              <w:top w:val="single" w:color="auto" w:sz="4" w:space="0"/>
              <w:left w:val="single" w:color="auto" w:sz="4" w:space="0"/>
              <w:bottom w:val="single" w:color="auto" w:sz="4" w:space="0"/>
              <w:right w:val="single" w:color="auto" w:sz="4" w:space="0"/>
            </w:tcBorders>
          </w:tcPr>
          <w:p>
            <w:pPr>
              <w:pStyle w:val="22"/>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1 ……</w:t>
            </w:r>
          </w:p>
          <w:p>
            <w:pPr>
              <w:pStyle w:val="22"/>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2.合同签订日期： ……</w:t>
            </w:r>
          </w:p>
          <w:p>
            <w:pPr>
              <w:pStyle w:val="22"/>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3. ……</w:t>
            </w:r>
          </w:p>
        </w:tc>
        <w:tc>
          <w:tcPr>
            <w:tcW w:w="3720" w:type="dxa"/>
            <w:tcBorders>
              <w:top w:val="single" w:color="auto" w:sz="4" w:space="0"/>
              <w:left w:val="single" w:color="auto" w:sz="4" w:space="0"/>
              <w:bottom w:val="single" w:color="auto" w:sz="4" w:space="0"/>
              <w:right w:val="single" w:color="auto" w:sz="4" w:space="0"/>
            </w:tcBorders>
          </w:tcPr>
          <w:p>
            <w:pPr>
              <w:pStyle w:val="22"/>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1 ……</w:t>
            </w:r>
          </w:p>
          <w:p>
            <w:pPr>
              <w:pStyle w:val="22"/>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2.合同签订日期： ……</w:t>
            </w:r>
          </w:p>
          <w:p>
            <w:pPr>
              <w:pStyle w:val="22"/>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3. ……</w:t>
            </w:r>
          </w:p>
        </w:tc>
        <w:tc>
          <w:tcPr>
            <w:tcW w:w="1320" w:type="dxa"/>
            <w:tcBorders>
              <w:top w:val="single" w:color="auto" w:sz="4" w:space="0"/>
              <w:left w:val="single" w:color="auto" w:sz="4" w:space="0"/>
              <w:bottom w:val="single" w:color="auto" w:sz="4" w:space="0"/>
              <w:right w:val="single" w:color="auto" w:sz="4" w:space="0"/>
            </w:tcBorders>
          </w:tcPr>
          <w:p>
            <w:pPr>
              <w:pStyle w:val="22"/>
              <w:spacing w:line="300" w:lineRule="exact"/>
              <w:rPr>
                <w:rFonts w:ascii="Times New Roman" w:hAnsi="Times New Roman" w:eastAsia="仿宋_GB2312"/>
                <w:color w:val="auto"/>
                <w:highlight w:val="none"/>
              </w:rPr>
            </w:pPr>
          </w:p>
          <w:p>
            <w:pPr>
              <w:pStyle w:val="22"/>
              <w:spacing w:line="300" w:lineRule="exact"/>
              <w:rPr>
                <w:rFonts w:ascii="Times New Roman" w:hAnsi="Times New Roman" w:eastAsia="仿宋_GB2312"/>
                <w:color w:val="auto"/>
                <w:highlight w:val="none"/>
              </w:rPr>
            </w:pPr>
            <w:r>
              <w:rPr>
                <w:rFonts w:ascii="Times New Roman" w:hAnsi="Times New Roman" w:eastAsia="仿宋_GB2312"/>
                <w:color w:val="auto"/>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tcPr>
          <w:p>
            <w:pPr>
              <w:pStyle w:val="22"/>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u w:val="single"/>
              </w:rPr>
              <w:t>　　</w:t>
            </w:r>
            <w:r>
              <w:rPr>
                <w:rFonts w:ascii="Times New Roman" w:hAnsi="Times New Roman" w:eastAsia="仿宋_GB2312"/>
                <w:color w:val="auto"/>
                <w:highlight w:val="none"/>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投标人（盖单位公章</w:t>
            </w:r>
            <w:r>
              <w:rPr>
                <w:rFonts w:hint="eastAsia" w:eastAsia="仿宋_GB2312"/>
                <w:color w:val="auto"/>
                <w:highlight w:val="none"/>
              </w:rPr>
              <w:t>，自然人除外</w:t>
            </w:r>
            <w:r>
              <w:rPr>
                <w:rFonts w:eastAsia="仿宋_GB2312"/>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法定代表人或其委托代理人（签字或盖章）：</w:t>
            </w:r>
          </w:p>
          <w:p>
            <w:pPr>
              <w:rPr>
                <w:rFonts w:eastAsia="仿宋_GB2312"/>
                <w:color w:val="auto"/>
                <w:highlight w:val="none"/>
              </w:rPr>
            </w:pPr>
            <w:r>
              <w:rPr>
                <w:rFonts w:hint="eastAsia" w:ascii="宋体" w:hAnsi="宋体"/>
                <w:color w:val="auto"/>
                <w:szCs w:val="21"/>
                <w:highlight w:val="none"/>
              </w:rPr>
              <w:t>（</w:t>
            </w:r>
            <w:r>
              <w:rPr>
                <w:rFonts w:hint="eastAsia" w:eastAsia="仿宋_GB2312"/>
                <w:color w:val="auto"/>
                <w:highlight w:val="none"/>
              </w:rPr>
              <w:t>投标人属自然人的应由自然人签字并加盖指印，投标人若为其他组织形式无法定代表人的应由机构负责人</w:t>
            </w:r>
            <w:r>
              <w:rPr>
                <w:rFonts w:eastAsia="仿宋_GB2312"/>
                <w:color w:val="auto"/>
                <w:highlight w:val="none"/>
              </w:rPr>
              <w:t>签字或盖章</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hint="eastAsia" w:eastAsia="仿宋_GB2312"/>
                <w:color w:val="auto"/>
                <w:highlight w:val="none"/>
              </w:rPr>
              <w:t>日期：   年   月   日</w:t>
            </w:r>
          </w:p>
        </w:tc>
      </w:tr>
    </w:tbl>
    <w:p>
      <w:pPr>
        <w:pStyle w:val="22"/>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注：⑴表格内容均需按要求填写并盖章，不得留空，</w:t>
      </w:r>
      <w:r>
        <w:rPr>
          <w:rFonts w:ascii="Times New Roman" w:hAnsi="Times New Roman" w:eastAsia="仿宋_GB2312"/>
          <w:bCs/>
          <w:color w:val="auto"/>
          <w:sz w:val="24"/>
          <w:szCs w:val="24"/>
          <w:highlight w:val="none"/>
        </w:rPr>
        <w:t>否则按投标无效处理</w:t>
      </w:r>
      <w:r>
        <w:rPr>
          <w:rFonts w:ascii="Times New Roman" w:hAnsi="Times New Roman" w:eastAsia="仿宋_GB2312"/>
          <w:color w:val="auto"/>
          <w:sz w:val="24"/>
          <w:szCs w:val="24"/>
          <w:highlight w:val="none"/>
        </w:rPr>
        <w:t>。</w:t>
      </w:r>
    </w:p>
    <w:p>
      <w:pPr>
        <w:pStyle w:val="22"/>
        <w:spacing w:line="600" w:lineRule="exact"/>
        <w:ind w:left="719" w:leftChars="228" w:hanging="240" w:hangingChars="100"/>
        <w:rPr>
          <w:rFonts w:ascii="Times New Roman" w:hAnsi="Times New Roman" w:eastAsia="仿宋_GB2312"/>
          <w:bCs/>
          <w:color w:val="auto"/>
          <w:sz w:val="24"/>
          <w:szCs w:val="24"/>
          <w:highlight w:val="none"/>
        </w:rPr>
      </w:pPr>
      <w:r>
        <w:rPr>
          <w:rFonts w:ascii="Times New Roman" w:hAnsi="Times New Roman" w:eastAsia="楷体_GB2312"/>
          <w:bCs/>
          <w:color w:val="auto"/>
          <w:sz w:val="24"/>
          <w:szCs w:val="24"/>
          <w:highlight w:val="none"/>
        </w:rPr>
        <w:t>⑵</w:t>
      </w:r>
      <w:r>
        <w:rPr>
          <w:rFonts w:ascii="Times New Roman" w:hAnsi="Times New Roman" w:eastAsia="仿宋_GB2312"/>
          <w:bCs/>
          <w:color w:val="auto"/>
          <w:sz w:val="24"/>
          <w:szCs w:val="24"/>
          <w:highlight w:val="none"/>
        </w:rPr>
        <w:t>投标文件</w:t>
      </w:r>
      <w:r>
        <w:rPr>
          <w:rFonts w:hint="eastAsia" w:ascii="Times New Roman" w:hAnsi="Times New Roman" w:eastAsia="仿宋_GB2312"/>
          <w:bCs/>
          <w:color w:val="auto"/>
          <w:sz w:val="24"/>
          <w:szCs w:val="24"/>
          <w:highlight w:val="none"/>
        </w:rPr>
        <w:t>需求</w:t>
      </w:r>
      <w:r>
        <w:rPr>
          <w:rFonts w:ascii="Times New Roman" w:hAnsi="Times New Roman" w:eastAsia="仿宋_GB2312"/>
          <w:bCs/>
          <w:color w:val="auto"/>
          <w:sz w:val="24"/>
          <w:szCs w:val="24"/>
          <w:highlight w:val="none"/>
        </w:rPr>
        <w:t>小于或大于招标文件某个数值标准时，</w:t>
      </w:r>
      <w:r>
        <w:rPr>
          <w:rFonts w:hint="eastAsia" w:ascii="Times New Roman" w:hAnsi="Times New Roman" w:eastAsia="仿宋_GB2312"/>
          <w:bCs/>
          <w:color w:val="auto"/>
          <w:sz w:val="24"/>
          <w:szCs w:val="24"/>
          <w:highlight w:val="none"/>
        </w:rPr>
        <w:t>投</w:t>
      </w:r>
      <w:r>
        <w:rPr>
          <w:rFonts w:ascii="Times New Roman" w:hAnsi="Times New Roman" w:eastAsia="仿宋_GB2312"/>
          <w:bCs/>
          <w:color w:val="auto"/>
          <w:sz w:val="24"/>
          <w:szCs w:val="24"/>
          <w:highlight w:val="none"/>
        </w:rPr>
        <w:t>标文件</w:t>
      </w:r>
      <w:r>
        <w:rPr>
          <w:rFonts w:hint="eastAsia" w:ascii="Times New Roman" w:hAnsi="Times New Roman" w:eastAsia="仿宋_GB2312"/>
          <w:bCs/>
          <w:color w:val="auto"/>
          <w:sz w:val="24"/>
          <w:szCs w:val="24"/>
          <w:highlight w:val="none"/>
        </w:rPr>
        <w:t>不得直接复制招标文件需求，投标文件对应</w:t>
      </w:r>
      <w:r>
        <w:rPr>
          <w:rFonts w:ascii="Times New Roman" w:hAnsi="Times New Roman" w:eastAsia="仿宋_GB2312"/>
          <w:bCs/>
          <w:color w:val="auto"/>
          <w:sz w:val="24"/>
          <w:szCs w:val="24"/>
          <w:highlight w:val="none"/>
        </w:rPr>
        <w:t>内容应当写明投标</w:t>
      </w:r>
      <w:r>
        <w:rPr>
          <w:rFonts w:hint="eastAsia" w:ascii="Times New Roman" w:hAnsi="Times New Roman" w:eastAsia="仿宋_GB2312"/>
          <w:bCs/>
          <w:color w:val="auto"/>
          <w:sz w:val="24"/>
          <w:szCs w:val="24"/>
          <w:highlight w:val="none"/>
        </w:rPr>
        <w:t>服务内容</w:t>
      </w:r>
      <w:r>
        <w:rPr>
          <w:rFonts w:ascii="Times New Roman" w:hAnsi="Times New Roman" w:eastAsia="仿宋_GB2312"/>
          <w:bCs/>
          <w:color w:val="auto"/>
          <w:sz w:val="24"/>
          <w:szCs w:val="24"/>
          <w:highlight w:val="none"/>
        </w:rPr>
        <w:t>具体参数或商务响应的</w:t>
      </w:r>
      <w:r>
        <w:rPr>
          <w:rFonts w:hint="eastAsia" w:ascii="Times New Roman" w:hAnsi="Times New Roman" w:eastAsia="仿宋_GB2312"/>
          <w:bCs/>
          <w:color w:val="auto"/>
          <w:sz w:val="24"/>
          <w:szCs w:val="24"/>
          <w:highlight w:val="none"/>
        </w:rPr>
        <w:t>实际</w:t>
      </w:r>
      <w:r>
        <w:rPr>
          <w:rFonts w:ascii="Times New Roman" w:hAnsi="Times New Roman" w:eastAsia="仿宋_GB2312"/>
          <w:bCs/>
          <w:color w:val="auto"/>
          <w:sz w:val="24"/>
          <w:szCs w:val="24"/>
          <w:highlight w:val="none"/>
        </w:rPr>
        <w:t>数值，否则按投标无效处理。</w:t>
      </w:r>
    </w:p>
    <w:p>
      <w:pPr>
        <w:pStyle w:val="22"/>
        <w:spacing w:line="600" w:lineRule="exact"/>
        <w:ind w:left="719" w:leftChars="228" w:hanging="240" w:hangingChars="100"/>
        <w:rPr>
          <w:rFonts w:ascii="Times New Roman" w:hAnsi="Times New Roman" w:eastAsia="仿宋_GB2312"/>
          <w:bCs/>
          <w:color w:val="auto"/>
          <w:sz w:val="24"/>
          <w:szCs w:val="24"/>
          <w:highlight w:val="none"/>
        </w:rPr>
      </w:pPr>
      <w:r>
        <w:rPr>
          <w:rFonts w:ascii="Times New Roman" w:hAnsi="Times New Roman" w:eastAsia="仿宋_GB2312"/>
          <w:bCs/>
          <w:color w:val="auto"/>
          <w:sz w:val="24"/>
          <w:szCs w:val="24"/>
          <w:highlight w:val="none"/>
        </w:rPr>
        <w:t>⑶当投标文件的服务内容低于招标文件要求时，投标人应当如实写明“负偏离”，否则视为虚假应标。</w:t>
      </w:r>
    </w:p>
    <w:p>
      <w:pPr>
        <w:widowControl/>
        <w:jc w:val="left"/>
        <w:rPr>
          <w:rFonts w:ascii="宋体" w:hAnsi="宋体" w:cs="Courier New"/>
          <w:b/>
          <w:color w:val="auto"/>
          <w:sz w:val="32"/>
          <w:szCs w:val="32"/>
          <w:highlight w:val="none"/>
        </w:rPr>
      </w:pPr>
      <w:r>
        <w:rPr>
          <w:rFonts w:hAnsi="宋体"/>
          <w:b/>
          <w:color w:val="auto"/>
          <w:sz w:val="32"/>
          <w:szCs w:val="32"/>
          <w:highlight w:val="none"/>
        </w:rPr>
        <w:br w:type="page"/>
      </w:r>
    </w:p>
    <w:p>
      <w:pPr>
        <w:pStyle w:val="22"/>
        <w:ind w:firstLine="380"/>
        <w:jc w:val="center"/>
        <w:rPr>
          <w:rFonts w:hAnsi="宋体"/>
          <w:b/>
          <w:color w:val="auto"/>
          <w:sz w:val="32"/>
          <w:szCs w:val="32"/>
          <w:highlight w:val="none"/>
        </w:rPr>
      </w:pPr>
      <w:r>
        <w:rPr>
          <w:rFonts w:hint="eastAsia" w:hAnsi="宋体"/>
          <w:b/>
          <w:color w:val="auto"/>
          <w:sz w:val="32"/>
          <w:szCs w:val="32"/>
          <w:highlight w:val="none"/>
        </w:rPr>
        <w:t>售后服务承诺书</w:t>
      </w:r>
    </w:p>
    <w:p>
      <w:pPr>
        <w:snapToGrid w:val="0"/>
        <w:jc w:val="center"/>
        <w:rPr>
          <w:rFonts w:ascii="宋体" w:hAnsi="宋体"/>
          <w:color w:val="auto"/>
          <w:sz w:val="24"/>
          <w:highlight w:val="none"/>
        </w:rPr>
      </w:pPr>
      <w:r>
        <w:rPr>
          <w:rFonts w:hint="eastAsia" w:ascii="宋体" w:hAnsi="宋体"/>
          <w:color w:val="auto"/>
          <w:sz w:val="24"/>
          <w:highlight w:val="none"/>
        </w:rPr>
        <w:t>(由投标人按《招标需求》及评分办法的要求自行分别填写)</w:t>
      </w:r>
    </w:p>
    <w:p>
      <w:pPr>
        <w:rPr>
          <w:rFonts w:ascii="宋体" w:hAnsi="宋体"/>
          <w:color w:val="auto"/>
          <w:szCs w:val="21"/>
          <w:highlight w:val="none"/>
        </w:rPr>
      </w:pPr>
      <w:r>
        <w:rPr>
          <w:rFonts w:ascii="宋体" w:hAnsi="宋体"/>
          <w:b/>
          <w:color w:val="auto"/>
          <w:sz w:val="24"/>
          <w:highlight w:val="none"/>
        </w:rPr>
        <w:br w:type="page"/>
      </w:r>
    </w:p>
    <w:p>
      <w:pPr>
        <w:snapToGrid w:val="0"/>
        <w:ind w:firstLine="472" w:firstLineChars="196"/>
        <w:jc w:val="center"/>
        <w:rPr>
          <w:rFonts w:ascii="宋体" w:hAnsi="宋体"/>
          <w:b/>
          <w:color w:val="auto"/>
          <w:sz w:val="24"/>
          <w:highlight w:val="none"/>
        </w:rPr>
      </w:pPr>
    </w:p>
    <w:p>
      <w:pPr>
        <w:snapToGrid w:val="0"/>
        <w:rPr>
          <w:rFonts w:ascii="宋体" w:hAnsi="宋体"/>
          <w:b/>
          <w:color w:val="auto"/>
          <w:highlight w:val="none"/>
        </w:rPr>
      </w:pPr>
      <w:r>
        <w:rPr>
          <w:rFonts w:hint="eastAsia" w:ascii="宋体" w:hAnsi="宋体"/>
          <w:b/>
          <w:color w:val="auto"/>
          <w:sz w:val="24"/>
          <w:highlight w:val="none"/>
        </w:rPr>
        <w:t>投标人类似项目业绩情况一览表格式：</w:t>
      </w:r>
    </w:p>
    <w:tbl>
      <w:tblPr>
        <w:tblStyle w:val="36"/>
        <w:tblW w:w="92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07"/>
        <w:gridCol w:w="2357"/>
        <w:gridCol w:w="1224"/>
        <w:gridCol w:w="1080"/>
        <w:gridCol w:w="1440"/>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30" w:hRule="atLeast"/>
        </w:trPr>
        <w:tc>
          <w:tcPr>
            <w:tcW w:w="210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 w:val="24"/>
                <w:highlight w:val="none"/>
              </w:rPr>
            </w:pPr>
            <w:r>
              <w:rPr>
                <w:rFonts w:hint="eastAsia" w:ascii="宋体" w:hAnsi="宋体"/>
                <w:color w:val="auto"/>
                <w:sz w:val="24"/>
                <w:highlight w:val="none"/>
              </w:rPr>
              <w:t>采购单位名称</w:t>
            </w:r>
          </w:p>
        </w:tc>
        <w:tc>
          <w:tcPr>
            <w:tcW w:w="23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 w:val="24"/>
                <w:highlight w:val="none"/>
              </w:rPr>
            </w:pPr>
            <w:r>
              <w:rPr>
                <w:rFonts w:hint="eastAsia" w:ascii="宋体" w:hAnsi="宋体"/>
                <w:color w:val="auto"/>
                <w:sz w:val="24"/>
                <w:highlight w:val="none"/>
              </w:rPr>
              <w:t>设备名称、型号</w:t>
            </w:r>
          </w:p>
        </w:tc>
        <w:tc>
          <w:tcPr>
            <w:tcW w:w="12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 w:val="24"/>
                <w:highlight w:val="none"/>
              </w:rPr>
            </w:pPr>
            <w:r>
              <w:rPr>
                <w:rFonts w:hint="eastAsia" w:ascii="宋体" w:hAnsi="宋体"/>
                <w:color w:val="auto"/>
                <w:sz w:val="24"/>
                <w:highlight w:val="none"/>
              </w:rPr>
              <w:t>采购</w:t>
            </w:r>
          </w:p>
          <w:p>
            <w:pPr>
              <w:snapToGrid w:val="0"/>
              <w:jc w:val="center"/>
              <w:rPr>
                <w:rFonts w:ascii="宋体" w:hAnsi="宋体"/>
                <w:color w:val="auto"/>
                <w:sz w:val="24"/>
                <w:highlight w:val="none"/>
              </w:rPr>
            </w:pPr>
            <w:r>
              <w:rPr>
                <w:rFonts w:hint="eastAsia" w:ascii="宋体" w:hAnsi="宋体"/>
                <w:color w:val="auto"/>
                <w:sz w:val="24"/>
                <w:highlight w:val="none"/>
              </w:rPr>
              <w:t>数量</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 w:val="24"/>
                <w:highlight w:val="none"/>
              </w:rPr>
            </w:pPr>
            <w:r>
              <w:rPr>
                <w:rFonts w:hint="eastAsia" w:ascii="宋体" w:hAnsi="宋体"/>
                <w:color w:val="auto"/>
                <w:sz w:val="24"/>
                <w:highlight w:val="none"/>
              </w:rPr>
              <w:t>单价（元）</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 w:val="24"/>
                <w:highlight w:val="none"/>
              </w:rPr>
            </w:pPr>
            <w:r>
              <w:rPr>
                <w:rFonts w:hint="eastAsia" w:ascii="宋体" w:hAnsi="宋体"/>
                <w:color w:val="auto"/>
                <w:sz w:val="24"/>
                <w:highlight w:val="none"/>
              </w:rPr>
              <w:t>合同</w:t>
            </w:r>
          </w:p>
          <w:p>
            <w:pPr>
              <w:snapToGrid w:val="0"/>
              <w:jc w:val="center"/>
              <w:rPr>
                <w:rFonts w:ascii="宋体" w:hAnsi="宋体"/>
                <w:color w:val="auto"/>
                <w:sz w:val="24"/>
                <w:highlight w:val="none"/>
              </w:rPr>
            </w:pPr>
            <w:r>
              <w:rPr>
                <w:rFonts w:hint="eastAsia" w:ascii="宋体" w:hAnsi="宋体"/>
                <w:color w:val="auto"/>
                <w:sz w:val="24"/>
                <w:highlight w:val="none"/>
              </w:rPr>
              <w:t>金额</w:t>
            </w:r>
          </w:p>
          <w:p>
            <w:pPr>
              <w:snapToGrid w:val="0"/>
              <w:jc w:val="center"/>
              <w:rPr>
                <w:rFonts w:ascii="宋体" w:hAnsi="宋体"/>
                <w:color w:val="auto"/>
                <w:sz w:val="24"/>
                <w:highlight w:val="none"/>
              </w:rPr>
            </w:pPr>
            <w:r>
              <w:rPr>
                <w:rFonts w:hint="eastAsia" w:ascii="宋体" w:hAnsi="宋体"/>
                <w:color w:val="auto"/>
                <w:sz w:val="24"/>
                <w:highlight w:val="none"/>
              </w:rPr>
              <w:t>（万元）</w:t>
            </w:r>
          </w:p>
        </w:tc>
        <w:tc>
          <w:tcPr>
            <w:tcW w:w="1080" w:type="dxa"/>
            <w:tcBorders>
              <w:top w:val="single" w:color="auto" w:sz="4" w:space="0"/>
              <w:left w:val="single" w:color="auto" w:sz="4" w:space="0"/>
              <w:right w:val="single" w:color="auto" w:sz="4" w:space="0"/>
            </w:tcBorders>
          </w:tcPr>
          <w:p>
            <w:pPr>
              <w:snapToGrid w:val="0"/>
              <w:jc w:val="center"/>
              <w:rPr>
                <w:rFonts w:ascii="宋体" w:hAnsi="宋体"/>
                <w:color w:val="auto"/>
                <w:sz w:val="24"/>
                <w:highlight w:val="none"/>
              </w:rPr>
            </w:pPr>
          </w:p>
          <w:p>
            <w:pPr>
              <w:snapToGrid w:val="0"/>
              <w:jc w:val="center"/>
              <w:rPr>
                <w:rFonts w:ascii="宋体" w:hAnsi="宋体"/>
                <w:color w:val="auto"/>
                <w:sz w:val="24"/>
                <w:highlight w:val="none"/>
              </w:rPr>
            </w:pPr>
          </w:p>
          <w:p>
            <w:pPr>
              <w:snapToGrid w:val="0"/>
              <w:jc w:val="center"/>
              <w:rPr>
                <w:rFonts w:ascii="宋体" w:hAnsi="宋体"/>
                <w:color w:val="auto"/>
                <w:sz w:val="24"/>
                <w:highlight w:val="none"/>
              </w:rPr>
            </w:pPr>
            <w:r>
              <w:rPr>
                <w:rFonts w:hint="eastAsia" w:ascii="宋体" w:hAnsi="宋体"/>
                <w:color w:val="auto"/>
                <w:sz w:val="24"/>
                <w:highlight w:val="none"/>
              </w:rPr>
              <w:t>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r>
    </w:tbl>
    <w:p>
      <w:pPr>
        <w:snapToGrid w:val="0"/>
        <w:rPr>
          <w:rFonts w:ascii="宋体" w:hAnsi="宋体"/>
          <w:color w:val="auto"/>
          <w:sz w:val="24"/>
          <w:highlight w:val="none"/>
        </w:rPr>
      </w:pPr>
      <w:r>
        <w:rPr>
          <w:rFonts w:hint="eastAsia" w:ascii="宋体" w:hAnsi="宋体"/>
          <w:color w:val="auto"/>
          <w:sz w:val="24"/>
          <w:highlight w:val="none"/>
        </w:rPr>
        <w:t>附：销售合同等其他证明复印件</w:t>
      </w:r>
    </w:p>
    <w:p>
      <w:pPr>
        <w:snapToGrid w:val="0"/>
        <w:rPr>
          <w:rFonts w:ascii="宋体" w:hAnsi="宋体"/>
          <w:color w:val="auto"/>
          <w:spacing w:val="20"/>
          <w:sz w:val="24"/>
          <w:highlight w:val="none"/>
        </w:rPr>
      </w:pPr>
    </w:p>
    <w:p>
      <w:pPr>
        <w:snapToGrid w:val="0"/>
        <w:rPr>
          <w:rFonts w:ascii="宋体" w:hAnsi="宋体"/>
          <w:color w:val="auto"/>
          <w:spacing w:val="20"/>
          <w:sz w:val="24"/>
          <w:highlight w:val="none"/>
        </w:rPr>
      </w:pPr>
    </w:p>
    <w:p>
      <w:pPr>
        <w:snapToGrid w:val="0"/>
        <w:rPr>
          <w:rFonts w:ascii="宋体" w:hAnsi="宋体"/>
          <w:color w:val="auto"/>
          <w:spacing w:val="20"/>
          <w:sz w:val="24"/>
          <w:highlight w:val="none"/>
        </w:rPr>
      </w:pPr>
    </w:p>
    <w:p>
      <w:pPr>
        <w:snapToGrid w:val="0"/>
        <w:rPr>
          <w:rFonts w:ascii="宋体" w:hAnsi="宋体"/>
          <w:color w:val="auto"/>
          <w:spacing w:val="20"/>
          <w:sz w:val="24"/>
          <w:highlight w:val="none"/>
        </w:rPr>
      </w:pPr>
    </w:p>
    <w:p>
      <w:pPr>
        <w:snapToGrid w:val="0"/>
        <w:rPr>
          <w:rFonts w:ascii="宋体" w:hAnsi="宋体"/>
          <w:color w:val="auto"/>
          <w:spacing w:val="20"/>
          <w:sz w:val="24"/>
          <w:highlight w:val="none"/>
        </w:rPr>
      </w:pPr>
    </w:p>
    <w:p>
      <w:pPr>
        <w:snapToGrid w:val="0"/>
        <w:rPr>
          <w:rFonts w:ascii="宋体" w:hAnsi="宋体"/>
          <w:color w:val="auto"/>
          <w:spacing w:val="20"/>
          <w:sz w:val="24"/>
          <w:highlight w:val="none"/>
        </w:rPr>
      </w:pPr>
    </w:p>
    <w:p>
      <w:pPr>
        <w:snapToGrid w:val="0"/>
        <w:rPr>
          <w:rFonts w:ascii="宋体" w:hAnsi="宋体"/>
          <w:color w:val="auto"/>
          <w:spacing w:val="20"/>
          <w:sz w:val="24"/>
          <w:highlight w:val="none"/>
        </w:rPr>
      </w:pPr>
    </w:p>
    <w:p>
      <w:pPr>
        <w:snapToGrid w:val="0"/>
        <w:rPr>
          <w:rFonts w:ascii="宋体" w:hAnsi="宋体"/>
          <w:color w:val="auto"/>
          <w:spacing w:val="20"/>
          <w:sz w:val="24"/>
          <w:highlight w:val="none"/>
        </w:rPr>
      </w:pPr>
    </w:p>
    <w:p>
      <w:pPr>
        <w:snapToGrid w:val="0"/>
        <w:rPr>
          <w:rFonts w:ascii="宋体" w:hAnsi="宋体"/>
          <w:color w:val="auto"/>
          <w:spacing w:val="20"/>
          <w:sz w:val="24"/>
          <w:highlight w:val="none"/>
        </w:rPr>
      </w:pPr>
    </w:p>
    <w:p>
      <w:pPr>
        <w:snapToGrid w:val="0"/>
        <w:rPr>
          <w:rFonts w:ascii="宋体" w:hAnsi="宋体"/>
          <w:color w:val="auto"/>
          <w:spacing w:val="20"/>
          <w:sz w:val="24"/>
          <w:highlight w:val="none"/>
        </w:rPr>
      </w:pPr>
    </w:p>
    <w:p>
      <w:pPr>
        <w:widowControl/>
        <w:shd w:val="clear" w:color="auto" w:fill="FFFFFF"/>
        <w:spacing w:line="360" w:lineRule="auto"/>
        <w:ind w:firstLine="480"/>
        <w:jc w:val="left"/>
        <w:rPr>
          <w:rFonts w:ascii="宋体" w:hAnsi="宋体" w:cs="宋体"/>
          <w:color w:val="auto"/>
          <w:kern w:val="0"/>
          <w:sz w:val="24"/>
          <w:highlight w:val="none"/>
        </w:rPr>
      </w:pPr>
    </w:p>
    <w:p>
      <w:pPr>
        <w:snapToGrid w:val="0"/>
        <w:ind w:left="149" w:hanging="148" w:hangingChars="6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投标人（盖单位公章</w:t>
      </w:r>
      <w:r>
        <w:rPr>
          <w:rFonts w:hint="eastAsia" w:asciiTheme="minorEastAsia" w:hAnsiTheme="minorEastAsia" w:eastAsiaTheme="minorEastAsia"/>
          <w:color w:val="auto"/>
          <w:sz w:val="24"/>
          <w:highlight w:val="none"/>
        </w:rPr>
        <w:t>，自然人除外</w:t>
      </w:r>
      <w:r>
        <w:rPr>
          <w:rFonts w:asciiTheme="minorEastAsia" w:hAnsiTheme="minorEastAsia" w:eastAsiaTheme="minorEastAsia"/>
          <w:color w:val="auto"/>
          <w:sz w:val="24"/>
          <w:highlight w:val="none"/>
        </w:rPr>
        <w:t>）：</w:t>
      </w:r>
    </w:p>
    <w:p>
      <w:pPr>
        <w:snapToGrid w:val="0"/>
        <w:ind w:firstLine="1920" w:firstLineChars="800"/>
        <w:rPr>
          <w:rFonts w:asciiTheme="minorEastAsia" w:hAnsiTheme="minorEastAsia" w:eastAsiaTheme="minorEastAsia"/>
          <w:color w:val="auto"/>
          <w:sz w:val="24"/>
          <w:highlight w:val="none"/>
        </w:rPr>
      </w:pPr>
    </w:p>
    <w:p>
      <w:pP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法定代表人或其委托代理人（签字或盖章）：</w:t>
      </w:r>
    </w:p>
    <w:p>
      <w:pPr>
        <w:snapToGrid w:val="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（投标人属自然人的应由自然人签字并加盖指印，投标人若为其他组织形式无法定代表人的应由机构负责人</w:t>
      </w:r>
      <w:r>
        <w:rPr>
          <w:rFonts w:asciiTheme="minorEastAsia" w:hAnsiTheme="minorEastAsia" w:eastAsiaTheme="minorEastAsia"/>
          <w:color w:val="auto"/>
          <w:sz w:val="24"/>
          <w:highlight w:val="none"/>
        </w:rPr>
        <w:t>签字或盖章</w:t>
      </w:r>
      <w:r>
        <w:rPr>
          <w:rFonts w:hint="eastAsia" w:asciiTheme="minorEastAsia" w:hAnsiTheme="minorEastAsia" w:eastAsiaTheme="minorEastAsia"/>
          <w:color w:val="auto"/>
          <w:sz w:val="24"/>
          <w:highlight w:val="none"/>
        </w:rPr>
        <w:t>）</w:t>
      </w:r>
    </w:p>
    <w:p>
      <w:pPr>
        <w:snapToGrid w:val="0"/>
        <w:ind w:firstLine="1995" w:firstLineChars="950"/>
        <w:rPr>
          <w:rFonts w:ascii="宋体" w:hAnsi="宋体"/>
          <w:color w:val="auto"/>
          <w:highlight w:val="none"/>
        </w:rPr>
      </w:pPr>
    </w:p>
    <w:p>
      <w:pPr>
        <w:snapToGrid w:val="0"/>
        <w:rPr>
          <w:rFonts w:ascii="宋体" w:hAnsi="宋体"/>
          <w:color w:val="auto"/>
          <w:sz w:val="24"/>
          <w:highlight w:val="none"/>
        </w:rPr>
      </w:pPr>
      <w:r>
        <w:rPr>
          <w:rFonts w:hint="eastAsia" w:ascii="宋体" w:hAnsi="宋体"/>
          <w:color w:val="auto"/>
          <w:sz w:val="24"/>
          <w:highlight w:val="none"/>
        </w:rPr>
        <w:t>日期:_____年_____月_____日</w:t>
      </w:r>
    </w:p>
    <w:p>
      <w:pPr>
        <w:snapToGrid w:val="0"/>
        <w:jc w:val="center"/>
        <w:rPr>
          <w:rFonts w:ascii="宋体" w:hAnsi="宋体"/>
          <w:color w:val="auto"/>
          <w:sz w:val="24"/>
          <w:highlight w:val="none"/>
        </w:rPr>
      </w:pPr>
    </w:p>
    <w:p>
      <w:pPr>
        <w:jc w:val="center"/>
        <w:rPr>
          <w:rFonts w:ascii="宋体" w:hAnsi="宋体"/>
          <w:b/>
          <w:color w:val="auto"/>
          <w:sz w:val="28"/>
          <w:szCs w:val="28"/>
          <w:highlight w:val="none"/>
        </w:rPr>
      </w:pPr>
      <w:r>
        <w:rPr>
          <w:rFonts w:ascii="宋体" w:hAnsi="宋体"/>
          <w:b/>
          <w:color w:val="auto"/>
          <w:sz w:val="24"/>
          <w:highlight w:val="none"/>
        </w:rPr>
        <w:br w:type="page"/>
      </w:r>
      <w:r>
        <w:rPr>
          <w:rFonts w:hint="eastAsia" w:ascii="宋体" w:hAnsi="宋体"/>
          <w:b/>
          <w:color w:val="auto"/>
          <w:sz w:val="28"/>
          <w:szCs w:val="28"/>
          <w:highlight w:val="none"/>
        </w:rPr>
        <w:t>技术资料表</w:t>
      </w:r>
    </w:p>
    <w:p>
      <w:pPr>
        <w:pStyle w:val="22"/>
        <w:spacing w:line="60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请根据所投服务的实际技术参数，逐条对应本项目招标文件第二章“服务需求一览表”中的服务内容及要求详细填写相应的具体内容。“偏离说明”一栏应当选择“正偏离”、“负偏离”或“无偏离”进行填写</w:t>
      </w:r>
    </w:p>
    <w:tbl>
      <w:tblPr>
        <w:tblStyle w:val="36"/>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Cs w:val="21"/>
                <w:highlight w:val="none"/>
              </w:rPr>
            </w:pPr>
            <w:r>
              <w:rPr>
                <w:rFonts w:eastAsia="仿宋_GB2312"/>
                <w:color w:val="auto"/>
                <w:szCs w:val="21"/>
                <w:highlight w:val="none"/>
              </w:rPr>
              <w:t>招标文件需求</w:t>
            </w:r>
          </w:p>
        </w:tc>
        <w:tc>
          <w:tcPr>
            <w:tcW w:w="4813"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Cs w:val="21"/>
                <w:highlight w:val="none"/>
              </w:rPr>
            </w:pPr>
            <w:r>
              <w:rPr>
                <w:rFonts w:eastAsia="仿宋_GB2312"/>
                <w:color w:val="auto"/>
                <w:szCs w:val="21"/>
                <w:highlight w:val="none"/>
              </w:rPr>
              <w:t>投标文件承诺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Cs w:val="21"/>
                <w:highlight w:val="none"/>
              </w:rPr>
            </w:pPr>
            <w:r>
              <w:rPr>
                <w:rFonts w:eastAsia="仿宋_GB2312"/>
                <w:color w:val="auto"/>
                <w:szCs w:val="21"/>
                <w:highlight w:val="none"/>
              </w:rPr>
              <w:t>服务名称</w:t>
            </w:r>
          </w:p>
        </w:tc>
        <w:tc>
          <w:tcPr>
            <w:tcW w:w="23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Cs w:val="21"/>
                <w:highlight w:val="none"/>
              </w:rPr>
            </w:pPr>
            <w:r>
              <w:rPr>
                <w:rFonts w:eastAsia="仿宋_GB2312"/>
                <w:color w:val="auto"/>
                <w:szCs w:val="21"/>
                <w:highlight w:val="none"/>
              </w:rPr>
              <w:t>服务内容及要求</w:t>
            </w:r>
          </w:p>
        </w:tc>
        <w:tc>
          <w:tcPr>
            <w:tcW w:w="151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Cs w:val="21"/>
                <w:highlight w:val="none"/>
              </w:rPr>
            </w:pPr>
            <w:r>
              <w:rPr>
                <w:rFonts w:eastAsia="仿宋_GB2312"/>
                <w:color w:val="auto"/>
                <w:szCs w:val="21"/>
                <w:highlight w:val="none"/>
              </w:rPr>
              <w:t>服务名称</w:t>
            </w:r>
          </w:p>
        </w:tc>
        <w:tc>
          <w:tcPr>
            <w:tcW w:w="32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Cs w:val="21"/>
                <w:highlight w:val="none"/>
              </w:rPr>
            </w:pPr>
            <w:r>
              <w:rPr>
                <w:rFonts w:eastAsia="仿宋_GB2312"/>
                <w:color w:val="auto"/>
                <w:szCs w:val="21"/>
                <w:highlight w:val="none"/>
              </w:rPr>
              <w:t>所提供服务的内容</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1  ……</w:t>
            </w:r>
          </w:p>
          <w:p>
            <w:pPr>
              <w:rPr>
                <w:rFonts w:eastAsia="仿宋_GB2312"/>
                <w:color w:val="auto"/>
                <w:szCs w:val="21"/>
                <w:highlight w:val="none"/>
              </w:rPr>
            </w:pPr>
            <w:r>
              <w:rPr>
                <w:rFonts w:eastAsia="仿宋_GB2312"/>
                <w:color w:val="auto"/>
                <w:szCs w:val="21"/>
                <w:highlight w:val="none"/>
              </w:rPr>
              <w:t>2  ……</w:t>
            </w:r>
          </w:p>
          <w:p>
            <w:pPr>
              <w:rPr>
                <w:rFonts w:eastAsia="仿宋_GB2312"/>
                <w:color w:val="auto"/>
                <w:szCs w:val="21"/>
                <w:highlight w:val="none"/>
              </w:rPr>
            </w:pPr>
            <w:r>
              <w:rPr>
                <w:rFonts w:eastAsia="仿宋_GB2312"/>
                <w:color w:val="auto"/>
                <w:szCs w:val="21"/>
                <w:highlight w:val="none"/>
              </w:rPr>
              <w:t>3  ……</w:t>
            </w:r>
          </w:p>
          <w:p>
            <w:pPr>
              <w:rPr>
                <w:rFonts w:eastAsia="仿宋_GB2312"/>
                <w:color w:val="auto"/>
                <w:szCs w:val="21"/>
                <w:highlight w:val="none"/>
              </w:rPr>
            </w:pPr>
            <w:r>
              <w:rPr>
                <w:rFonts w:eastAsia="仿宋_GB2312"/>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1  ……</w:t>
            </w:r>
          </w:p>
          <w:p>
            <w:pPr>
              <w:rPr>
                <w:rFonts w:eastAsia="仿宋_GB2312"/>
                <w:color w:val="auto"/>
                <w:szCs w:val="21"/>
                <w:highlight w:val="none"/>
              </w:rPr>
            </w:pPr>
            <w:r>
              <w:rPr>
                <w:rFonts w:eastAsia="仿宋_GB2312"/>
                <w:color w:val="auto"/>
                <w:szCs w:val="21"/>
                <w:highlight w:val="none"/>
              </w:rPr>
              <w:t>2  ……</w:t>
            </w:r>
          </w:p>
          <w:p>
            <w:pPr>
              <w:rPr>
                <w:rFonts w:eastAsia="仿宋_GB2312"/>
                <w:color w:val="auto"/>
                <w:szCs w:val="21"/>
                <w:highlight w:val="none"/>
              </w:rPr>
            </w:pPr>
            <w:r>
              <w:rPr>
                <w:rFonts w:eastAsia="仿宋_GB2312"/>
                <w:color w:val="auto"/>
                <w:szCs w:val="21"/>
                <w:highlight w:val="none"/>
              </w:rPr>
              <w:t>3  ……</w:t>
            </w:r>
          </w:p>
          <w:p>
            <w:pPr>
              <w:rPr>
                <w:rFonts w:eastAsia="仿宋_GB2312"/>
                <w:color w:val="auto"/>
                <w:szCs w:val="21"/>
                <w:highlight w:val="none"/>
              </w:rPr>
            </w:pPr>
            <w:r>
              <w:rPr>
                <w:rFonts w:eastAsia="仿宋_GB2312"/>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1  ……</w:t>
            </w:r>
          </w:p>
          <w:p>
            <w:pPr>
              <w:rPr>
                <w:rFonts w:eastAsia="仿宋_GB2312"/>
                <w:color w:val="auto"/>
                <w:szCs w:val="21"/>
                <w:highlight w:val="none"/>
              </w:rPr>
            </w:pPr>
            <w:r>
              <w:rPr>
                <w:rFonts w:eastAsia="仿宋_GB2312"/>
                <w:color w:val="auto"/>
                <w:szCs w:val="21"/>
                <w:highlight w:val="none"/>
              </w:rPr>
              <w:t>2  ……</w:t>
            </w:r>
          </w:p>
          <w:p>
            <w:pPr>
              <w:rPr>
                <w:rFonts w:eastAsia="仿宋_GB2312"/>
                <w:color w:val="auto"/>
                <w:szCs w:val="21"/>
                <w:highlight w:val="none"/>
              </w:rPr>
            </w:pPr>
            <w:r>
              <w:rPr>
                <w:rFonts w:eastAsia="仿宋_GB2312"/>
                <w:color w:val="auto"/>
                <w:szCs w:val="21"/>
                <w:highlight w:val="none"/>
              </w:rPr>
              <w:t>3  ……</w:t>
            </w:r>
          </w:p>
          <w:p>
            <w:pPr>
              <w:rPr>
                <w:rFonts w:eastAsia="仿宋_GB2312"/>
                <w:color w:val="auto"/>
                <w:szCs w:val="21"/>
                <w:highlight w:val="none"/>
              </w:rPr>
            </w:pPr>
            <w:r>
              <w:rPr>
                <w:rFonts w:eastAsia="仿宋_GB2312"/>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1  ……</w:t>
            </w:r>
          </w:p>
          <w:p>
            <w:pPr>
              <w:rPr>
                <w:rFonts w:eastAsia="仿宋_GB2312"/>
                <w:color w:val="auto"/>
                <w:szCs w:val="21"/>
                <w:highlight w:val="none"/>
              </w:rPr>
            </w:pPr>
            <w:r>
              <w:rPr>
                <w:rFonts w:eastAsia="仿宋_GB2312"/>
                <w:color w:val="auto"/>
                <w:szCs w:val="21"/>
                <w:highlight w:val="none"/>
              </w:rPr>
              <w:t>2  ……</w:t>
            </w:r>
          </w:p>
          <w:p>
            <w:pPr>
              <w:rPr>
                <w:rFonts w:eastAsia="仿宋_GB2312"/>
                <w:color w:val="auto"/>
                <w:szCs w:val="21"/>
                <w:highlight w:val="none"/>
              </w:rPr>
            </w:pPr>
            <w:r>
              <w:rPr>
                <w:rFonts w:eastAsia="仿宋_GB2312"/>
                <w:color w:val="auto"/>
                <w:szCs w:val="21"/>
                <w:highlight w:val="none"/>
              </w:rPr>
              <w:t>3  ……</w:t>
            </w:r>
          </w:p>
          <w:p>
            <w:pPr>
              <w:rPr>
                <w:rFonts w:eastAsia="仿宋_GB2312"/>
                <w:color w:val="auto"/>
                <w:szCs w:val="21"/>
                <w:highlight w:val="none"/>
              </w:rPr>
            </w:pPr>
            <w:r>
              <w:rPr>
                <w:rFonts w:eastAsia="仿宋_GB2312"/>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p>
        </w:tc>
        <w:tc>
          <w:tcPr>
            <w:tcW w:w="231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p>
        </w:tc>
        <w:tc>
          <w:tcPr>
            <w:tcW w:w="329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u w:val="single"/>
              </w:rPr>
              <w:t>　　</w:t>
            </w:r>
            <w:r>
              <w:rPr>
                <w:rFonts w:eastAsia="仿宋_GB2312"/>
                <w:color w:val="auto"/>
                <w:szCs w:val="21"/>
                <w:highlight w:val="none"/>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投标人（盖单位公章</w:t>
            </w:r>
            <w:r>
              <w:rPr>
                <w:rFonts w:hint="eastAsia" w:eastAsia="仿宋_GB2312"/>
                <w:color w:val="auto"/>
                <w:highlight w:val="none"/>
              </w:rPr>
              <w:t>，自然人除外</w:t>
            </w:r>
            <w:r>
              <w:rPr>
                <w:rFonts w:eastAsia="仿宋_GB2312"/>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法定代表人或其委托代理人（签字或盖章）：</w:t>
            </w:r>
          </w:p>
          <w:p>
            <w:pPr>
              <w:rPr>
                <w:rFonts w:eastAsia="仿宋_GB2312"/>
                <w:color w:val="auto"/>
                <w:highlight w:val="none"/>
              </w:rPr>
            </w:pPr>
            <w:r>
              <w:rPr>
                <w:rFonts w:hint="eastAsia" w:ascii="宋体" w:hAnsi="宋体"/>
                <w:color w:val="auto"/>
                <w:szCs w:val="21"/>
                <w:highlight w:val="none"/>
              </w:rPr>
              <w:t>（</w:t>
            </w:r>
            <w:r>
              <w:rPr>
                <w:rFonts w:hint="eastAsia" w:eastAsia="仿宋_GB2312"/>
                <w:color w:val="auto"/>
                <w:highlight w:val="none"/>
              </w:rPr>
              <w:t>投标人属自然人的应由自然人签字并加盖指印，投标人若为其他组织形式无法定代表人的应由机构负责人</w:t>
            </w:r>
            <w:r>
              <w:rPr>
                <w:rFonts w:eastAsia="仿宋_GB2312"/>
                <w:color w:val="auto"/>
                <w:highlight w:val="none"/>
              </w:rPr>
              <w:t>签字或盖章</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hint="eastAsia" w:eastAsia="仿宋_GB2312"/>
                <w:color w:val="auto"/>
                <w:highlight w:val="none"/>
              </w:rPr>
              <w:t>日期：   年   月   日</w:t>
            </w:r>
          </w:p>
        </w:tc>
      </w:tr>
    </w:tbl>
    <w:p>
      <w:pPr>
        <w:pStyle w:val="22"/>
        <w:spacing w:line="400" w:lineRule="exac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注：⑴表格内容均需按要求填写并盖章，不得留空，</w:t>
      </w:r>
      <w:r>
        <w:rPr>
          <w:rFonts w:ascii="Times New Roman" w:hAnsi="Times New Roman" w:eastAsia="仿宋_GB2312"/>
          <w:bCs/>
          <w:color w:val="auto"/>
          <w:sz w:val="24"/>
          <w:szCs w:val="24"/>
          <w:highlight w:val="none"/>
        </w:rPr>
        <w:t>否则按投标无效处理</w:t>
      </w:r>
      <w:r>
        <w:rPr>
          <w:rFonts w:ascii="Times New Roman" w:hAnsi="Times New Roman" w:eastAsia="仿宋_GB2312"/>
          <w:color w:val="auto"/>
          <w:sz w:val="24"/>
          <w:szCs w:val="24"/>
          <w:highlight w:val="none"/>
        </w:rPr>
        <w:t>。</w:t>
      </w:r>
    </w:p>
    <w:p>
      <w:pPr>
        <w:pStyle w:val="22"/>
        <w:spacing w:line="400" w:lineRule="exact"/>
        <w:ind w:left="719" w:leftChars="228" w:hanging="240" w:hangingChars="100"/>
        <w:rPr>
          <w:rFonts w:ascii="Times New Roman" w:hAnsi="Times New Roman" w:eastAsia="仿宋_GB2312"/>
          <w:bCs/>
          <w:color w:val="auto"/>
          <w:sz w:val="24"/>
          <w:szCs w:val="24"/>
          <w:highlight w:val="none"/>
        </w:rPr>
      </w:pPr>
      <w:r>
        <w:rPr>
          <w:rFonts w:ascii="Times New Roman" w:hAnsi="Times New Roman" w:eastAsia="楷体_GB2312"/>
          <w:bCs/>
          <w:color w:val="auto"/>
          <w:sz w:val="24"/>
          <w:szCs w:val="24"/>
          <w:highlight w:val="none"/>
        </w:rPr>
        <w:t>⑵</w:t>
      </w:r>
      <w:r>
        <w:rPr>
          <w:rFonts w:ascii="Times New Roman" w:hAnsi="Times New Roman" w:eastAsia="仿宋_GB2312"/>
          <w:bCs/>
          <w:color w:val="auto"/>
          <w:sz w:val="24"/>
          <w:szCs w:val="24"/>
          <w:highlight w:val="none"/>
        </w:rPr>
        <w:t>当投标文件的服务内容低于招标文件要求时，投标人应当如实写明“负偏离”，否则视为虚假应标。</w:t>
      </w:r>
    </w:p>
    <w:p>
      <w:pPr>
        <w:pStyle w:val="22"/>
        <w:spacing w:line="600" w:lineRule="exact"/>
        <w:ind w:left="719" w:leftChars="228" w:hanging="240" w:hangingChars="100"/>
        <w:rPr>
          <w:rFonts w:ascii="Times New Roman" w:hAnsi="Times New Roman" w:eastAsia="仿宋_GB2312"/>
          <w:bCs/>
          <w:color w:val="auto"/>
          <w:sz w:val="24"/>
          <w:szCs w:val="24"/>
          <w:highlight w:val="none"/>
        </w:rPr>
      </w:pPr>
    </w:p>
    <w:p>
      <w:pPr>
        <w:snapToGrid w:val="0"/>
        <w:jc w:val="center"/>
        <w:rPr>
          <w:rFonts w:ascii="宋体" w:hAnsi="宋体"/>
          <w:color w:val="auto"/>
          <w:sz w:val="24"/>
          <w:highlight w:val="none"/>
        </w:rPr>
      </w:pPr>
    </w:p>
    <w:p>
      <w:pPr>
        <w:widowControl/>
        <w:shd w:val="clear" w:color="auto" w:fill="FFFFFF"/>
        <w:spacing w:after="240" w:line="360" w:lineRule="atLeast"/>
        <w:ind w:firstLine="480"/>
        <w:jc w:val="center"/>
        <w:rPr>
          <w:rFonts w:ascii="宋体" w:hAnsi="宋体" w:cs="宋体"/>
          <w:b/>
          <w:color w:val="auto"/>
          <w:kern w:val="0"/>
          <w:sz w:val="28"/>
          <w:szCs w:val="28"/>
          <w:highlight w:val="none"/>
        </w:rPr>
      </w:pPr>
      <w:r>
        <w:rPr>
          <w:rFonts w:ascii="宋体" w:hAnsi="宋体"/>
          <w:color w:val="auto"/>
          <w:highlight w:val="none"/>
        </w:rPr>
        <w:br w:type="page"/>
      </w:r>
      <w:r>
        <w:rPr>
          <w:rFonts w:hint="eastAsia" w:ascii="宋体" w:hAnsi="宋体" w:cs="宋体"/>
          <w:b/>
          <w:color w:val="auto"/>
          <w:kern w:val="0"/>
          <w:sz w:val="28"/>
          <w:szCs w:val="28"/>
          <w:highlight w:val="none"/>
        </w:rPr>
        <w:t>中小企业声明函</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 本公司郑重声明，根据《政府采购促进中小企业发展暂行办法》（财库[2011]181号）的规定，本公司为______（请填写：中型、小型、微型）企业。即，本公司同时满足以下条件：</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1.根据《工业和信息化部、国家统计局、国家发展和改革委员会、财政部关于印发中小企业划型标准规定的通知》（工信部联企业[2011]300号）规定的划分标准，本公司为______（请填写：中型、小型、微型）企业。</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本公司对上述声明的真实性负责。如有虚假，将依法承担相应责任。</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　　　　　　　　　　　　　　　　　　　　企业名称（盖章）：</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　　　　　　　　　　　　　　　　　　　　日期：  年 月  日</w:t>
      </w: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588" w:lineRule="exact"/>
        <w:jc w:val="center"/>
        <w:rPr>
          <w:rFonts w:ascii="宋体" w:hAnsi="宋体"/>
          <w:b/>
          <w:color w:val="auto"/>
          <w:spacing w:val="6"/>
          <w:sz w:val="24"/>
          <w:highlight w:val="none"/>
        </w:rPr>
      </w:pPr>
      <w:bookmarkStart w:id="289" w:name="OLE_LINK13"/>
      <w:bookmarkStart w:id="290" w:name="OLE_LINK14"/>
      <w:r>
        <w:rPr>
          <w:rFonts w:hint="eastAsia" w:ascii="宋体" w:hAnsi="宋体"/>
          <w:b/>
          <w:color w:val="auto"/>
          <w:spacing w:val="6"/>
          <w:sz w:val="24"/>
          <w:highlight w:val="none"/>
        </w:rPr>
        <w:t>残疾人福利性单位声明函</w:t>
      </w:r>
    </w:p>
    <w:bookmarkEnd w:id="289"/>
    <w:bookmarkEnd w:id="290"/>
    <w:p>
      <w:pPr>
        <w:spacing w:line="588" w:lineRule="exact"/>
        <w:rPr>
          <w:rFonts w:ascii="宋体" w:hAnsi="宋体"/>
          <w:b/>
          <w:color w:val="auto"/>
          <w:spacing w:val="6"/>
          <w:sz w:val="24"/>
          <w:highlight w:val="none"/>
        </w:rPr>
      </w:pPr>
    </w:p>
    <w:p>
      <w:pPr>
        <w:spacing w:line="588" w:lineRule="exact"/>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本单位郑重声明，根据《财政部 民政部 中国残疾人联合会关于促进残疾人就业政府采购政策的通知》（财库</w:t>
      </w:r>
      <w:r>
        <w:rPr>
          <w:rFonts w:hint="eastAsia" w:ascii="宋体" w:hAnsi="宋体"/>
          <w:color w:val="auto"/>
          <w:sz w:val="24"/>
          <w:highlight w:val="none"/>
        </w:rPr>
        <w:t>〔2017〕 141</w:t>
      </w:r>
      <w:r>
        <w:rPr>
          <w:rFonts w:hint="eastAsia" w:ascii="宋体" w:hAnsi="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pPr>
        <w:spacing w:line="588" w:lineRule="exact"/>
        <w:ind w:firstLine="504" w:firstLineChars="200"/>
        <w:rPr>
          <w:rFonts w:ascii="宋体" w:hAnsi="宋体"/>
          <w:color w:val="auto"/>
          <w:spacing w:val="6"/>
          <w:sz w:val="24"/>
          <w:highlight w:val="none"/>
        </w:rPr>
      </w:pPr>
    </w:p>
    <w:p>
      <w:pPr>
        <w:spacing w:line="588" w:lineRule="exact"/>
        <w:ind w:firstLine="504" w:firstLineChars="200"/>
        <w:rPr>
          <w:rFonts w:ascii="宋体" w:hAnsi="宋体"/>
          <w:color w:val="auto"/>
          <w:spacing w:val="6"/>
          <w:sz w:val="24"/>
          <w:highlight w:val="none"/>
        </w:rPr>
      </w:pPr>
    </w:p>
    <w:p>
      <w:pPr>
        <w:tabs>
          <w:tab w:val="left" w:pos="4860"/>
        </w:tabs>
        <w:spacing w:line="588" w:lineRule="exact"/>
        <w:ind w:right="1560" w:firstLine="504" w:firstLineChars="200"/>
        <w:jc w:val="center"/>
        <w:rPr>
          <w:rFonts w:ascii="宋体" w:hAnsi="宋体"/>
          <w:color w:val="auto"/>
          <w:spacing w:val="6"/>
          <w:sz w:val="24"/>
          <w:highlight w:val="none"/>
        </w:rPr>
      </w:pPr>
      <w:r>
        <w:rPr>
          <w:rFonts w:hint="eastAsia" w:ascii="宋体" w:hAnsi="宋体"/>
          <w:color w:val="auto"/>
          <w:spacing w:val="6"/>
          <w:sz w:val="24"/>
          <w:highlight w:val="none"/>
        </w:rPr>
        <w:t xml:space="preserve">               单位名称（盖章）：</w:t>
      </w:r>
    </w:p>
    <w:p>
      <w:pPr>
        <w:tabs>
          <w:tab w:val="left" w:pos="4860"/>
        </w:tabs>
        <w:spacing w:line="588" w:lineRule="exact"/>
        <w:ind w:right="1560" w:firstLine="504" w:firstLineChars="200"/>
        <w:jc w:val="center"/>
        <w:rPr>
          <w:rFonts w:ascii="宋体" w:hAnsi="宋体"/>
          <w:color w:val="auto"/>
          <w:spacing w:val="6"/>
          <w:sz w:val="24"/>
          <w:highlight w:val="none"/>
        </w:rPr>
      </w:pPr>
      <w:r>
        <w:rPr>
          <w:rFonts w:hint="eastAsia" w:ascii="宋体" w:hAnsi="宋体"/>
          <w:color w:val="auto"/>
          <w:spacing w:val="6"/>
          <w:sz w:val="24"/>
          <w:highlight w:val="none"/>
        </w:rPr>
        <w:t xml:space="preserve">                 日  期：</w:t>
      </w:r>
      <w:r>
        <w:rPr>
          <w:rFonts w:hint="eastAsia" w:ascii="宋体" w:hAnsi="宋体" w:cs="宋体"/>
          <w:color w:val="auto"/>
          <w:kern w:val="0"/>
          <w:sz w:val="24"/>
          <w:highlight w:val="none"/>
        </w:rPr>
        <w:t xml:space="preserve">  年 月  日</w:t>
      </w: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widowControl/>
        <w:shd w:val="clear" w:color="auto" w:fill="FFFFFF"/>
        <w:spacing w:line="360" w:lineRule="auto"/>
        <w:ind w:firstLine="48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第七章  质疑函及投诉书格式</w:t>
      </w:r>
    </w:p>
    <w:p>
      <w:pPr>
        <w:spacing w:line="360" w:lineRule="exact"/>
        <w:jc w:val="center"/>
        <w:rPr>
          <w:rFonts w:cs="仿宋" w:asciiTheme="majorEastAsia" w:hAnsiTheme="majorEastAsia" w:eastAsiaTheme="majorEastAsia"/>
          <w:b/>
          <w:bCs/>
          <w:color w:val="auto"/>
          <w:sz w:val="28"/>
          <w:szCs w:val="28"/>
          <w:highlight w:val="none"/>
        </w:rPr>
      </w:pPr>
      <w:r>
        <w:rPr>
          <w:rFonts w:hint="eastAsia"/>
          <w:color w:val="auto"/>
          <w:highlight w:val="none"/>
        </w:rPr>
        <w:t xml:space="preserve">  </w:t>
      </w:r>
      <w:r>
        <w:rPr>
          <w:rFonts w:hint="eastAsia" w:cs="仿宋" w:asciiTheme="majorEastAsia" w:hAnsiTheme="majorEastAsia" w:eastAsiaTheme="majorEastAsia"/>
          <w:b/>
          <w:bCs/>
          <w:color w:val="auto"/>
          <w:sz w:val="28"/>
          <w:szCs w:val="28"/>
          <w:highlight w:val="none"/>
        </w:rPr>
        <w:t>质疑函</w:t>
      </w:r>
    </w:p>
    <w:p>
      <w:pPr>
        <w:tabs>
          <w:tab w:val="left" w:pos="606"/>
        </w:tabs>
        <w:rPr>
          <w:rFonts w:cs="仿宋" w:asciiTheme="majorEastAsia" w:hAnsiTheme="majorEastAsia" w:eastAsiaTheme="majorEastAsia"/>
          <w:bCs/>
          <w:color w:val="auto"/>
          <w:sz w:val="24"/>
          <w:highlight w:val="none"/>
        </w:rPr>
      </w:pPr>
      <w:r>
        <w:rPr>
          <w:rFonts w:hint="eastAsia" w:cs="仿宋" w:asciiTheme="majorEastAsia" w:hAnsiTheme="majorEastAsia" w:eastAsiaTheme="majorEastAsia"/>
          <w:bCs/>
          <w:color w:val="auto"/>
          <w:sz w:val="24"/>
          <w:highlight w:val="none"/>
        </w:rPr>
        <w:t>一、质疑供应商基本信息</w:t>
      </w:r>
    </w:p>
    <w:p>
      <w:pPr>
        <w:adjustRightInd w:val="0"/>
        <w:snapToGrid w:val="0"/>
        <w:spacing w:line="360" w:lineRule="exact"/>
        <w:rPr>
          <w:rFonts w:cs="仿宋" w:asciiTheme="majorEastAsia" w:hAnsiTheme="majorEastAsia" w:eastAsiaTheme="majorEastAsia"/>
          <w:color w:val="auto"/>
          <w:sz w:val="24"/>
          <w:highlight w:val="none"/>
          <w:u w:val="dotted"/>
        </w:rPr>
      </w:pPr>
      <w:r>
        <w:rPr>
          <w:rFonts w:hint="eastAsia" w:cs="仿宋" w:asciiTheme="majorEastAsia" w:hAnsiTheme="majorEastAsia" w:eastAsiaTheme="majorEastAsia"/>
          <w:color w:val="auto"/>
          <w:sz w:val="24"/>
          <w:highlight w:val="none"/>
        </w:rPr>
        <w:t>质疑供应商：</w:t>
      </w:r>
      <w:r>
        <w:rPr>
          <w:rFonts w:hint="eastAsia" w:cs="仿宋" w:asciiTheme="majorEastAsia" w:hAnsiTheme="majorEastAsia" w:eastAsiaTheme="majorEastAsia"/>
          <w:color w:val="auto"/>
          <w:sz w:val="24"/>
          <w:highlight w:val="none"/>
          <w:u w:val="dotted"/>
        </w:rPr>
        <w:t xml:space="preserve">                                        </w:t>
      </w:r>
    </w:p>
    <w:p>
      <w:pPr>
        <w:adjustRightInd w:val="0"/>
        <w:snapToGrid w:val="0"/>
        <w:spacing w:line="36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地址：</w:t>
      </w:r>
      <w:r>
        <w:rPr>
          <w:rFonts w:hint="eastAsia" w:cs="仿宋" w:asciiTheme="majorEastAsia" w:hAnsiTheme="majorEastAsia" w:eastAsiaTheme="majorEastAsia"/>
          <w:color w:val="auto"/>
          <w:sz w:val="24"/>
          <w:highlight w:val="none"/>
          <w:u w:val="dotted"/>
        </w:rPr>
        <w:t xml:space="preserve">                          </w:t>
      </w:r>
      <w:r>
        <w:rPr>
          <w:rFonts w:hint="eastAsia" w:cs="仿宋" w:asciiTheme="majorEastAsia" w:hAnsiTheme="majorEastAsia" w:eastAsiaTheme="majorEastAsia"/>
          <w:color w:val="auto"/>
          <w:sz w:val="24"/>
          <w:highlight w:val="none"/>
        </w:rPr>
        <w:t>邮编：</w:t>
      </w:r>
      <w:r>
        <w:rPr>
          <w:rFonts w:hint="eastAsia" w:cs="仿宋" w:asciiTheme="majorEastAsia" w:hAnsiTheme="majorEastAsia" w:eastAsiaTheme="majorEastAsia"/>
          <w:color w:val="auto"/>
          <w:sz w:val="24"/>
          <w:highlight w:val="none"/>
          <w:u w:val="dotted"/>
        </w:rPr>
        <w:t xml:space="preserve">                                                   </w:t>
      </w:r>
    </w:p>
    <w:p>
      <w:pPr>
        <w:adjustRightInd w:val="0"/>
        <w:snapToGrid w:val="0"/>
        <w:spacing w:line="36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联系人：</w:t>
      </w:r>
      <w:r>
        <w:rPr>
          <w:rFonts w:hint="eastAsia" w:cs="仿宋" w:asciiTheme="majorEastAsia" w:hAnsiTheme="majorEastAsia" w:eastAsiaTheme="majorEastAsia"/>
          <w:color w:val="auto"/>
          <w:sz w:val="24"/>
          <w:highlight w:val="none"/>
          <w:u w:val="dotted"/>
        </w:rPr>
        <w:t xml:space="preserve">                      </w:t>
      </w:r>
      <w:r>
        <w:rPr>
          <w:rFonts w:hint="eastAsia" w:cs="仿宋" w:asciiTheme="majorEastAsia" w:hAnsiTheme="majorEastAsia" w:eastAsiaTheme="majorEastAsia"/>
          <w:color w:val="auto"/>
          <w:sz w:val="24"/>
          <w:highlight w:val="none"/>
        </w:rPr>
        <w:t>联系电话：</w:t>
      </w:r>
      <w:r>
        <w:rPr>
          <w:rFonts w:hint="eastAsia" w:cs="仿宋" w:asciiTheme="majorEastAsia" w:hAnsiTheme="majorEastAsia" w:eastAsiaTheme="majorEastAsia"/>
          <w:color w:val="auto"/>
          <w:sz w:val="24"/>
          <w:highlight w:val="none"/>
          <w:u w:val="dotted"/>
        </w:rPr>
        <w:t xml:space="preserve">                              </w:t>
      </w:r>
    </w:p>
    <w:p>
      <w:pPr>
        <w:adjustRightInd w:val="0"/>
        <w:snapToGrid w:val="0"/>
        <w:spacing w:line="360" w:lineRule="exact"/>
        <w:rPr>
          <w:rFonts w:cs="仿宋" w:asciiTheme="majorEastAsia" w:hAnsiTheme="majorEastAsia" w:eastAsiaTheme="majorEastAsia"/>
          <w:color w:val="auto"/>
          <w:sz w:val="24"/>
          <w:highlight w:val="none"/>
          <w:u w:val="dotted"/>
        </w:rPr>
      </w:pPr>
      <w:r>
        <w:rPr>
          <w:rFonts w:hint="eastAsia" w:cs="仿宋" w:asciiTheme="majorEastAsia" w:hAnsiTheme="majorEastAsia" w:eastAsiaTheme="majorEastAsia"/>
          <w:color w:val="auto"/>
          <w:sz w:val="24"/>
          <w:highlight w:val="none"/>
        </w:rPr>
        <w:t>授权代表：</w:t>
      </w:r>
      <w:r>
        <w:rPr>
          <w:rFonts w:hint="eastAsia" w:cs="仿宋" w:asciiTheme="majorEastAsia" w:hAnsiTheme="majorEastAsia" w:eastAsiaTheme="majorEastAsia"/>
          <w:color w:val="auto"/>
          <w:sz w:val="24"/>
          <w:highlight w:val="none"/>
          <w:u w:val="dotted"/>
        </w:rPr>
        <w:t xml:space="preserve">                                          </w:t>
      </w:r>
    </w:p>
    <w:p>
      <w:pPr>
        <w:adjustRightInd w:val="0"/>
        <w:snapToGrid w:val="0"/>
        <w:spacing w:line="36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联系电话：</w:t>
      </w:r>
      <w:r>
        <w:rPr>
          <w:rFonts w:hint="eastAsia" w:cs="仿宋" w:asciiTheme="majorEastAsia" w:hAnsiTheme="majorEastAsia" w:eastAsiaTheme="majorEastAsia"/>
          <w:color w:val="auto"/>
          <w:sz w:val="24"/>
          <w:highlight w:val="none"/>
          <w:u w:val="dotted"/>
        </w:rPr>
        <w:t xml:space="preserve">                                           </w:t>
      </w:r>
      <w:r>
        <w:rPr>
          <w:rFonts w:cs="仿宋" w:asciiTheme="majorEastAsia" w:hAnsiTheme="majorEastAsia" w:eastAsiaTheme="majorEastAsia"/>
          <w:color w:val="auto"/>
          <w:sz w:val="24"/>
          <w:highlight w:val="none"/>
        </w:rPr>
        <w:t xml:space="preserve"> </w:t>
      </w:r>
    </w:p>
    <w:p>
      <w:pPr>
        <w:adjustRightInd w:val="0"/>
        <w:snapToGrid w:val="0"/>
        <w:spacing w:line="36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地址：</w:t>
      </w:r>
      <w:r>
        <w:rPr>
          <w:rFonts w:cs="仿宋" w:asciiTheme="majorEastAsia" w:hAnsiTheme="majorEastAsia" w:eastAsiaTheme="majorEastAsia"/>
          <w:color w:val="auto"/>
          <w:sz w:val="24"/>
          <w:highlight w:val="none"/>
        </w:rPr>
        <w:t xml:space="preserve"> </w:t>
      </w:r>
      <w:r>
        <w:rPr>
          <w:rFonts w:hint="eastAsia" w:cs="仿宋" w:asciiTheme="majorEastAsia" w:hAnsiTheme="majorEastAsia" w:eastAsiaTheme="majorEastAsia"/>
          <w:color w:val="auto"/>
          <w:sz w:val="24"/>
          <w:highlight w:val="none"/>
          <w:u w:val="dotted"/>
        </w:rPr>
        <w:t xml:space="preserve">                        </w:t>
      </w:r>
      <w:r>
        <w:rPr>
          <w:rFonts w:hint="eastAsia" w:cs="仿宋" w:asciiTheme="majorEastAsia" w:hAnsiTheme="majorEastAsia" w:eastAsiaTheme="majorEastAsia"/>
          <w:color w:val="auto"/>
          <w:sz w:val="24"/>
          <w:highlight w:val="none"/>
        </w:rPr>
        <w:t>邮编：</w:t>
      </w:r>
      <w:r>
        <w:rPr>
          <w:rFonts w:hint="eastAsia" w:cs="仿宋" w:asciiTheme="majorEastAsia" w:hAnsiTheme="majorEastAsia" w:eastAsiaTheme="majorEastAsia"/>
          <w:color w:val="auto"/>
          <w:sz w:val="24"/>
          <w:highlight w:val="none"/>
          <w:u w:val="dotted"/>
        </w:rPr>
        <w:t xml:space="preserve">                                                </w:t>
      </w:r>
    </w:p>
    <w:p>
      <w:pPr>
        <w:adjustRightInd w:val="0"/>
        <w:snapToGrid w:val="0"/>
        <w:spacing w:line="360" w:lineRule="exact"/>
        <w:rPr>
          <w:rFonts w:cs="仿宋" w:asciiTheme="majorEastAsia" w:hAnsiTheme="majorEastAsia" w:eastAsiaTheme="majorEastAsia"/>
          <w:bCs/>
          <w:color w:val="auto"/>
          <w:sz w:val="24"/>
          <w:highlight w:val="none"/>
        </w:rPr>
      </w:pPr>
      <w:r>
        <w:rPr>
          <w:rFonts w:hint="eastAsia" w:cs="仿宋" w:asciiTheme="majorEastAsia" w:hAnsiTheme="majorEastAsia" w:eastAsiaTheme="majorEastAsia"/>
          <w:bCs/>
          <w:color w:val="auto"/>
          <w:sz w:val="24"/>
          <w:highlight w:val="none"/>
        </w:rPr>
        <w:t>二、质疑项目基本情况</w:t>
      </w:r>
    </w:p>
    <w:p>
      <w:pPr>
        <w:adjustRightInd w:val="0"/>
        <w:snapToGrid w:val="0"/>
        <w:spacing w:line="36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质疑项目的名称：</w:t>
      </w:r>
      <w:r>
        <w:rPr>
          <w:rFonts w:hint="eastAsia" w:cs="仿宋" w:asciiTheme="majorEastAsia" w:hAnsiTheme="majorEastAsia" w:eastAsiaTheme="majorEastAsia"/>
          <w:color w:val="auto"/>
          <w:sz w:val="24"/>
          <w:highlight w:val="none"/>
          <w:u w:val="dotted"/>
        </w:rPr>
        <w:t xml:space="preserve">                                      </w:t>
      </w:r>
    </w:p>
    <w:p>
      <w:pPr>
        <w:adjustRightInd w:val="0"/>
        <w:snapToGrid w:val="0"/>
        <w:spacing w:line="36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质疑项目的编号：</w:t>
      </w:r>
      <w:r>
        <w:rPr>
          <w:rFonts w:hint="eastAsia" w:cs="仿宋" w:asciiTheme="majorEastAsia" w:hAnsiTheme="majorEastAsia" w:eastAsiaTheme="majorEastAsia"/>
          <w:color w:val="auto"/>
          <w:sz w:val="24"/>
          <w:highlight w:val="none"/>
          <w:u w:val="dotted"/>
        </w:rPr>
        <w:t xml:space="preserve">               </w:t>
      </w:r>
      <w:r>
        <w:rPr>
          <w:rFonts w:hint="eastAsia" w:cs="仿宋" w:asciiTheme="majorEastAsia" w:hAnsiTheme="majorEastAsia" w:eastAsiaTheme="majorEastAsia"/>
          <w:color w:val="auto"/>
          <w:sz w:val="24"/>
          <w:highlight w:val="none"/>
        </w:rPr>
        <w:t>包号：</w:t>
      </w:r>
      <w:r>
        <w:rPr>
          <w:rFonts w:hint="eastAsia" w:cs="仿宋" w:asciiTheme="majorEastAsia" w:hAnsiTheme="majorEastAsia" w:eastAsiaTheme="majorEastAsia"/>
          <w:color w:val="auto"/>
          <w:sz w:val="24"/>
          <w:highlight w:val="none"/>
          <w:u w:val="dotted"/>
        </w:rPr>
        <w:t xml:space="preserve">                 </w:t>
      </w:r>
    </w:p>
    <w:p>
      <w:pPr>
        <w:adjustRightInd w:val="0"/>
        <w:snapToGrid w:val="0"/>
        <w:spacing w:line="360" w:lineRule="exact"/>
        <w:rPr>
          <w:rFonts w:cs="仿宋" w:asciiTheme="majorEastAsia" w:hAnsiTheme="majorEastAsia" w:eastAsiaTheme="majorEastAsia"/>
          <w:color w:val="auto"/>
          <w:sz w:val="24"/>
          <w:highlight w:val="none"/>
          <w:u w:val="dotted"/>
        </w:rPr>
      </w:pPr>
      <w:r>
        <w:rPr>
          <w:rFonts w:hint="eastAsia" w:cs="仿宋" w:asciiTheme="majorEastAsia" w:hAnsiTheme="majorEastAsia" w:eastAsiaTheme="majorEastAsia"/>
          <w:color w:val="auto"/>
          <w:sz w:val="24"/>
          <w:highlight w:val="none"/>
        </w:rPr>
        <w:t>采购人名称：</w:t>
      </w:r>
      <w:r>
        <w:rPr>
          <w:rFonts w:hint="eastAsia" w:cs="仿宋" w:asciiTheme="majorEastAsia" w:hAnsiTheme="majorEastAsia" w:eastAsiaTheme="majorEastAsia"/>
          <w:color w:val="auto"/>
          <w:sz w:val="24"/>
          <w:highlight w:val="none"/>
          <w:u w:val="dotted"/>
        </w:rPr>
        <w:t xml:space="preserve">                                         </w:t>
      </w:r>
    </w:p>
    <w:p>
      <w:pPr>
        <w:adjustRightInd w:val="0"/>
        <w:snapToGrid w:val="0"/>
        <w:spacing w:line="36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采购文件获取日期：</w:t>
      </w:r>
      <w:r>
        <w:rPr>
          <w:rFonts w:hint="eastAsia" w:cs="仿宋" w:asciiTheme="majorEastAsia" w:hAnsiTheme="majorEastAsia" w:eastAsiaTheme="majorEastAsia"/>
          <w:color w:val="auto"/>
          <w:sz w:val="24"/>
          <w:highlight w:val="none"/>
          <w:u w:val="dotted"/>
        </w:rPr>
        <w:t xml:space="preserve">                                           </w:t>
      </w:r>
    </w:p>
    <w:p>
      <w:pPr>
        <w:adjustRightInd w:val="0"/>
        <w:snapToGrid w:val="0"/>
        <w:spacing w:line="360" w:lineRule="exact"/>
        <w:rPr>
          <w:rFonts w:cs="仿宋" w:asciiTheme="majorEastAsia" w:hAnsiTheme="majorEastAsia" w:eastAsiaTheme="majorEastAsia"/>
          <w:bCs/>
          <w:color w:val="auto"/>
          <w:sz w:val="24"/>
          <w:highlight w:val="none"/>
        </w:rPr>
      </w:pPr>
      <w:r>
        <w:rPr>
          <w:rFonts w:hint="eastAsia" w:cs="仿宋" w:asciiTheme="majorEastAsia" w:hAnsiTheme="majorEastAsia" w:eastAsiaTheme="majorEastAsia"/>
          <w:bCs/>
          <w:color w:val="auto"/>
          <w:sz w:val="24"/>
          <w:highlight w:val="none"/>
        </w:rPr>
        <w:t>三、质疑事项具体内容</w:t>
      </w:r>
    </w:p>
    <w:p>
      <w:pPr>
        <w:adjustRightInd w:val="0"/>
        <w:snapToGrid w:val="0"/>
        <w:spacing w:line="360" w:lineRule="exact"/>
        <w:rPr>
          <w:rFonts w:cs="仿宋" w:asciiTheme="majorEastAsia" w:hAnsiTheme="majorEastAsia" w:eastAsiaTheme="majorEastAsia"/>
          <w:color w:val="auto"/>
          <w:sz w:val="24"/>
          <w:highlight w:val="none"/>
          <w:u w:val="dotted"/>
        </w:rPr>
      </w:pPr>
      <w:r>
        <w:rPr>
          <w:rFonts w:hint="eastAsia" w:cs="仿宋" w:asciiTheme="majorEastAsia" w:hAnsiTheme="majorEastAsia" w:eastAsiaTheme="majorEastAsia"/>
          <w:color w:val="auto"/>
          <w:sz w:val="24"/>
          <w:highlight w:val="none"/>
        </w:rPr>
        <w:t>质疑事项1：</w:t>
      </w:r>
      <w:r>
        <w:rPr>
          <w:rFonts w:hint="eastAsia" w:cs="仿宋" w:asciiTheme="majorEastAsia" w:hAnsiTheme="majorEastAsia" w:eastAsiaTheme="majorEastAsia"/>
          <w:color w:val="auto"/>
          <w:sz w:val="24"/>
          <w:highlight w:val="none"/>
          <w:u w:val="dotted"/>
        </w:rPr>
        <w:t xml:space="preserve">                                         </w:t>
      </w:r>
    </w:p>
    <w:p>
      <w:pPr>
        <w:adjustRightInd w:val="0"/>
        <w:snapToGrid w:val="0"/>
        <w:spacing w:line="360" w:lineRule="exact"/>
        <w:rPr>
          <w:rFonts w:cs="仿宋" w:asciiTheme="majorEastAsia" w:hAnsiTheme="majorEastAsia" w:eastAsiaTheme="majorEastAsia"/>
          <w:color w:val="auto"/>
          <w:sz w:val="24"/>
          <w:highlight w:val="none"/>
          <w:u w:val="dotted"/>
        </w:rPr>
      </w:pPr>
      <w:r>
        <w:rPr>
          <w:rFonts w:hint="eastAsia" w:cs="仿宋" w:asciiTheme="majorEastAsia" w:hAnsiTheme="majorEastAsia" w:eastAsiaTheme="majorEastAsia"/>
          <w:color w:val="auto"/>
          <w:sz w:val="24"/>
          <w:highlight w:val="none"/>
        </w:rPr>
        <w:t>事实依据：</w:t>
      </w:r>
      <w:r>
        <w:rPr>
          <w:rFonts w:hint="eastAsia" w:cs="仿宋" w:asciiTheme="majorEastAsia" w:hAnsiTheme="majorEastAsia" w:eastAsiaTheme="majorEastAsia"/>
          <w:color w:val="auto"/>
          <w:sz w:val="24"/>
          <w:highlight w:val="none"/>
          <w:u w:val="dotted"/>
        </w:rPr>
        <w:t xml:space="preserve">                                          </w:t>
      </w:r>
    </w:p>
    <w:p>
      <w:pPr>
        <w:adjustRightInd w:val="0"/>
        <w:snapToGrid w:val="0"/>
        <w:spacing w:line="36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u w:val="dotted"/>
        </w:rPr>
        <w:t xml:space="preserve">                                                       </w:t>
      </w:r>
    </w:p>
    <w:p>
      <w:pPr>
        <w:adjustRightInd w:val="0"/>
        <w:snapToGrid w:val="0"/>
        <w:spacing w:line="360" w:lineRule="exact"/>
        <w:rPr>
          <w:rFonts w:cs="仿宋" w:asciiTheme="majorEastAsia" w:hAnsiTheme="majorEastAsia" w:eastAsiaTheme="majorEastAsia"/>
          <w:color w:val="auto"/>
          <w:sz w:val="24"/>
          <w:highlight w:val="none"/>
          <w:u w:val="dotted"/>
        </w:rPr>
      </w:pPr>
      <w:r>
        <w:rPr>
          <w:rFonts w:hint="eastAsia" w:cs="仿宋" w:asciiTheme="majorEastAsia" w:hAnsiTheme="majorEastAsia" w:eastAsiaTheme="majorEastAsia"/>
          <w:color w:val="auto"/>
          <w:sz w:val="24"/>
          <w:highlight w:val="none"/>
        </w:rPr>
        <w:t>法律依据：</w:t>
      </w:r>
      <w:r>
        <w:rPr>
          <w:rFonts w:hint="eastAsia" w:cs="仿宋" w:asciiTheme="majorEastAsia" w:hAnsiTheme="majorEastAsia" w:eastAsiaTheme="majorEastAsia"/>
          <w:color w:val="auto"/>
          <w:sz w:val="24"/>
          <w:highlight w:val="none"/>
          <w:u w:val="dotted"/>
        </w:rPr>
        <w:t xml:space="preserve">                                          </w:t>
      </w:r>
    </w:p>
    <w:p>
      <w:pPr>
        <w:adjustRightInd w:val="0"/>
        <w:snapToGrid w:val="0"/>
        <w:spacing w:line="360" w:lineRule="exact"/>
        <w:rPr>
          <w:rFonts w:cs="仿宋" w:asciiTheme="majorEastAsia" w:hAnsiTheme="majorEastAsia" w:eastAsiaTheme="majorEastAsia"/>
          <w:color w:val="auto"/>
          <w:sz w:val="24"/>
          <w:highlight w:val="none"/>
          <w:u w:val="dotted"/>
        </w:rPr>
      </w:pPr>
      <w:r>
        <w:rPr>
          <w:rFonts w:hint="eastAsia" w:cs="仿宋" w:asciiTheme="majorEastAsia" w:hAnsiTheme="majorEastAsia" w:eastAsiaTheme="majorEastAsia"/>
          <w:color w:val="auto"/>
          <w:sz w:val="24"/>
          <w:highlight w:val="none"/>
          <w:u w:val="dotted"/>
        </w:rPr>
        <w:t xml:space="preserve">                                                     </w:t>
      </w:r>
    </w:p>
    <w:p>
      <w:pPr>
        <w:adjustRightInd w:val="0"/>
        <w:snapToGrid w:val="0"/>
        <w:spacing w:line="360" w:lineRule="exact"/>
        <w:rPr>
          <w:rFonts w:cs="仿宋" w:asciiTheme="majorEastAsia" w:hAnsiTheme="majorEastAsia" w:eastAsiaTheme="majorEastAsia"/>
          <w:color w:val="auto"/>
          <w:sz w:val="24"/>
          <w:highlight w:val="none"/>
          <w:u w:val="dotted"/>
        </w:rPr>
      </w:pPr>
      <w:r>
        <w:rPr>
          <w:rFonts w:hint="eastAsia" w:cs="仿宋" w:asciiTheme="majorEastAsia" w:hAnsiTheme="majorEastAsia" w:eastAsiaTheme="majorEastAsia"/>
          <w:color w:val="auto"/>
          <w:sz w:val="24"/>
          <w:highlight w:val="none"/>
        </w:rPr>
        <w:t>质疑事项2</w:t>
      </w:r>
    </w:p>
    <w:p>
      <w:pPr>
        <w:adjustRightInd w:val="0"/>
        <w:snapToGrid w:val="0"/>
        <w:spacing w:line="36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w:t>
      </w:r>
    </w:p>
    <w:p>
      <w:pPr>
        <w:adjustRightInd w:val="0"/>
        <w:snapToGrid w:val="0"/>
        <w:spacing w:line="360" w:lineRule="exact"/>
        <w:rPr>
          <w:rFonts w:cs="仿宋" w:asciiTheme="majorEastAsia" w:hAnsiTheme="majorEastAsia" w:eastAsiaTheme="majorEastAsia"/>
          <w:bCs/>
          <w:color w:val="auto"/>
          <w:sz w:val="24"/>
          <w:highlight w:val="none"/>
        </w:rPr>
      </w:pPr>
      <w:r>
        <w:rPr>
          <w:rFonts w:hint="eastAsia" w:cs="仿宋" w:asciiTheme="majorEastAsia" w:hAnsiTheme="majorEastAsia" w:eastAsiaTheme="majorEastAsia"/>
          <w:bCs/>
          <w:color w:val="auto"/>
          <w:sz w:val="24"/>
          <w:highlight w:val="none"/>
        </w:rPr>
        <w:t>四、与质疑事项相关的质疑请求</w:t>
      </w:r>
    </w:p>
    <w:p>
      <w:pPr>
        <w:adjustRightInd w:val="0"/>
        <w:snapToGrid w:val="0"/>
        <w:spacing w:line="360" w:lineRule="exact"/>
        <w:rPr>
          <w:rFonts w:cs="仿宋" w:asciiTheme="majorEastAsia" w:hAnsiTheme="majorEastAsia" w:eastAsiaTheme="majorEastAsia"/>
          <w:color w:val="auto"/>
          <w:sz w:val="24"/>
          <w:highlight w:val="none"/>
          <w:u w:val="dotted"/>
        </w:rPr>
      </w:pPr>
      <w:r>
        <w:rPr>
          <w:rFonts w:hint="eastAsia" w:cs="仿宋" w:asciiTheme="majorEastAsia" w:hAnsiTheme="majorEastAsia" w:eastAsiaTheme="majorEastAsia"/>
          <w:color w:val="auto"/>
          <w:sz w:val="24"/>
          <w:highlight w:val="none"/>
        </w:rPr>
        <w:t>请求：</w:t>
      </w:r>
      <w:r>
        <w:rPr>
          <w:rFonts w:hint="eastAsia" w:cs="仿宋" w:asciiTheme="majorEastAsia" w:hAnsiTheme="majorEastAsia" w:eastAsiaTheme="majorEastAsia"/>
          <w:color w:val="auto"/>
          <w:sz w:val="24"/>
          <w:highlight w:val="none"/>
          <w:u w:val="dotted"/>
        </w:rPr>
        <w:t xml:space="preserve">                                               </w:t>
      </w:r>
    </w:p>
    <w:p>
      <w:pPr>
        <w:spacing w:line="36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 xml:space="preserve">签字(签章)：                   公章：                      </w:t>
      </w:r>
    </w:p>
    <w:p>
      <w:pPr>
        <w:spacing w:line="36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 xml:space="preserve">日期：    </w:t>
      </w:r>
    </w:p>
    <w:p>
      <w:pPr>
        <w:adjustRightInd w:val="0"/>
        <w:snapToGrid w:val="0"/>
        <w:spacing w:line="360" w:lineRule="exact"/>
        <w:rPr>
          <w:rFonts w:cs="仿宋" w:asciiTheme="majorEastAsia" w:hAnsiTheme="majorEastAsia" w:eastAsiaTheme="majorEastAsia"/>
          <w:color w:val="auto"/>
          <w:sz w:val="24"/>
          <w:highlight w:val="none"/>
        </w:rPr>
      </w:pPr>
    </w:p>
    <w:p>
      <w:pPr>
        <w:spacing w:line="360" w:lineRule="exact"/>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质疑函制作说明：</w:t>
      </w:r>
    </w:p>
    <w:p>
      <w:pPr>
        <w:widowControl/>
        <w:spacing w:line="360" w:lineRule="exact"/>
        <w:ind w:firstLine="480" w:firstLineChars="200"/>
        <w:jc w:val="lef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1.供应商提出质疑时，应提交质疑函和必要的证明材料。</w:t>
      </w:r>
    </w:p>
    <w:p>
      <w:pPr>
        <w:widowControl/>
        <w:spacing w:line="360" w:lineRule="exact"/>
        <w:ind w:firstLine="480" w:firstLineChars="200"/>
        <w:jc w:val="lef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2.质疑供应商若委托代理人进行质疑的，质疑函应按要求列明“授权代表”的有关内容，并在附件中提交由质疑</w:t>
      </w:r>
      <w:r>
        <w:rPr>
          <w:rFonts w:hint="eastAsia" w:cs="宋体" w:asciiTheme="majorEastAsia" w:hAnsiTheme="majorEastAsia" w:eastAsiaTheme="majorEastAsia"/>
          <w:color w:val="auto"/>
          <w:kern w:val="0"/>
          <w:sz w:val="24"/>
          <w:highlight w:val="none"/>
        </w:rPr>
        <w:t>供应商签署的授权委托书。授权委托书应载明代理人的姓名或者名称、代理事项、具体权限、期限和相关事项。</w:t>
      </w:r>
    </w:p>
    <w:p>
      <w:pPr>
        <w:widowControl/>
        <w:spacing w:line="360" w:lineRule="exact"/>
        <w:ind w:firstLine="480" w:firstLineChars="200"/>
        <w:jc w:val="lef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3.质疑供应商若对项目的某一分包进行质疑，质疑函中应列明具体分包号。</w:t>
      </w:r>
    </w:p>
    <w:p>
      <w:pPr>
        <w:widowControl/>
        <w:spacing w:line="360" w:lineRule="exact"/>
        <w:ind w:firstLine="480" w:firstLineChars="200"/>
        <w:jc w:val="lef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4.质疑函的质疑事项应具体、明确，并有必要的事实依据和法律依据。</w:t>
      </w:r>
    </w:p>
    <w:p>
      <w:pPr>
        <w:widowControl/>
        <w:spacing w:line="360" w:lineRule="exact"/>
        <w:ind w:firstLine="480" w:firstLineChars="200"/>
        <w:jc w:val="lef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5.质疑函的质疑请求应与质疑事项相关。</w:t>
      </w:r>
    </w:p>
    <w:p>
      <w:pPr>
        <w:spacing w:line="36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pPr>
        <w:spacing w:line="360" w:lineRule="exact"/>
        <w:rPr>
          <w:rFonts w:asciiTheme="majorEastAsia" w:hAnsiTheme="majorEastAsia" w:eastAsiaTheme="majorEastAsia"/>
          <w:color w:val="auto"/>
          <w:sz w:val="28"/>
          <w:szCs w:val="28"/>
          <w:highlight w:val="none"/>
        </w:rPr>
      </w:pPr>
    </w:p>
    <w:p>
      <w:pPr>
        <w:widowControl/>
        <w:jc w:val="left"/>
        <w:rPr>
          <w:rFonts w:ascii="仿宋_GB2312" w:eastAsia="仿宋_GB2312"/>
          <w:color w:val="auto"/>
          <w:kern w:val="0"/>
          <w:sz w:val="24"/>
          <w:highlight w:val="none"/>
        </w:rPr>
      </w:pPr>
    </w:p>
    <w:p>
      <w:pPr>
        <w:pStyle w:val="110"/>
        <w:widowControl w:val="0"/>
        <w:pBdr>
          <w:left w:val="none" w:color="auto" w:sz="0" w:space="0"/>
          <w:bottom w:val="none" w:color="auto" w:sz="0" w:space="0"/>
          <w:right w:val="none" w:color="auto" w:sz="0" w:space="0"/>
        </w:pBdr>
        <w:spacing w:before="0" w:beforeAutospacing="0" w:after="0" w:afterAutospacing="0" w:line="440" w:lineRule="exact"/>
        <w:textAlignment w:val="auto"/>
        <w:rPr>
          <w:rFonts w:ascii="仿宋_GB2312" w:eastAsia="仿宋_GB2312"/>
          <w:color w:val="auto"/>
          <w:sz w:val="24"/>
          <w:szCs w:val="24"/>
          <w:highlight w:val="none"/>
        </w:rPr>
      </w:pPr>
    </w:p>
    <w:p>
      <w:pPr>
        <w:spacing w:line="360" w:lineRule="exact"/>
        <w:jc w:val="center"/>
        <w:rPr>
          <w:rFonts w:asciiTheme="majorEastAsia" w:hAnsiTheme="majorEastAsia" w:eastAsiaTheme="majorEastAsia"/>
          <w:b/>
          <w:color w:val="auto"/>
          <w:sz w:val="28"/>
          <w:szCs w:val="28"/>
          <w:highlight w:val="none"/>
        </w:rPr>
      </w:pPr>
      <w:bookmarkStart w:id="291" w:name="page2"/>
      <w:bookmarkEnd w:id="291"/>
      <w:r>
        <w:rPr>
          <w:rFonts w:hint="eastAsia" w:asciiTheme="majorEastAsia" w:hAnsiTheme="majorEastAsia" w:eastAsiaTheme="majorEastAsia"/>
          <w:b/>
          <w:color w:val="auto"/>
          <w:sz w:val="28"/>
          <w:szCs w:val="28"/>
          <w:highlight w:val="none"/>
        </w:rPr>
        <w:t>投诉书</w:t>
      </w:r>
    </w:p>
    <w:p>
      <w:pPr>
        <w:spacing w:line="36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一、投诉相关主体基本情况</w:t>
      </w:r>
    </w:p>
    <w:p>
      <w:pPr>
        <w:spacing w:line="360" w:lineRule="exact"/>
        <w:rPr>
          <w:rFonts w:asciiTheme="majorEastAsia" w:hAnsiTheme="majorEastAsia" w:eastAsiaTheme="majorEastAsia"/>
          <w:color w:val="auto"/>
          <w:sz w:val="24"/>
          <w:highlight w:val="none"/>
          <w:u w:val="dotted"/>
        </w:rPr>
      </w:pPr>
      <w:r>
        <w:rPr>
          <w:rFonts w:hint="eastAsia" w:asciiTheme="majorEastAsia" w:hAnsiTheme="majorEastAsia" w:eastAsiaTheme="majorEastAsia"/>
          <w:color w:val="auto"/>
          <w:sz w:val="24"/>
          <w:highlight w:val="none"/>
        </w:rPr>
        <w:t>投诉人：</w:t>
      </w:r>
      <w:r>
        <w:rPr>
          <w:rFonts w:hint="eastAsia" w:asciiTheme="majorEastAsia" w:hAnsiTheme="majorEastAsia" w:eastAsiaTheme="majorEastAsia"/>
          <w:color w:val="auto"/>
          <w:sz w:val="24"/>
          <w:highlight w:val="none"/>
          <w:u w:val="dotted"/>
        </w:rPr>
        <w:t xml:space="preserve">                                               </w:t>
      </w:r>
    </w:p>
    <w:p>
      <w:pPr>
        <w:spacing w:line="360" w:lineRule="exact"/>
        <w:rPr>
          <w:rFonts w:asciiTheme="majorEastAsia" w:hAnsiTheme="majorEastAsia" w:eastAsiaTheme="majorEastAsia"/>
          <w:color w:val="auto"/>
          <w:sz w:val="24"/>
          <w:highlight w:val="none"/>
          <w:u w:val="single"/>
        </w:rPr>
      </w:pPr>
      <w:r>
        <w:rPr>
          <w:rFonts w:hint="eastAsia" w:asciiTheme="majorEastAsia" w:hAnsiTheme="majorEastAsia" w:eastAsiaTheme="majorEastAsia"/>
          <w:color w:val="auto"/>
          <w:sz w:val="24"/>
          <w:highlight w:val="none"/>
        </w:rPr>
        <w:t>地     址：</w:t>
      </w:r>
      <w:r>
        <w:rPr>
          <w:rFonts w:hint="eastAsia" w:asciiTheme="majorEastAsia" w:hAnsiTheme="majorEastAsia" w:eastAsiaTheme="majorEastAsia"/>
          <w:color w:val="auto"/>
          <w:sz w:val="24"/>
          <w:highlight w:val="none"/>
          <w:u w:val="dotted"/>
        </w:rPr>
        <w:t xml:space="preserve">                             </w:t>
      </w:r>
      <w:r>
        <w:rPr>
          <w:rFonts w:hint="eastAsia" w:asciiTheme="majorEastAsia" w:hAnsiTheme="majorEastAsia" w:eastAsiaTheme="majorEastAsia"/>
          <w:color w:val="auto"/>
          <w:sz w:val="24"/>
          <w:highlight w:val="none"/>
        </w:rPr>
        <w:t>邮编：</w:t>
      </w:r>
      <w:r>
        <w:rPr>
          <w:rFonts w:hint="eastAsia" w:asciiTheme="majorEastAsia" w:hAnsiTheme="majorEastAsia" w:eastAsiaTheme="majorEastAsia"/>
          <w:color w:val="auto"/>
          <w:sz w:val="24"/>
          <w:highlight w:val="none"/>
          <w:u w:val="dotted"/>
        </w:rPr>
        <w:t xml:space="preserve">         </w:t>
      </w:r>
      <w:r>
        <w:rPr>
          <w:rFonts w:hint="eastAsia" w:asciiTheme="majorEastAsia" w:hAnsiTheme="majorEastAsia" w:eastAsiaTheme="majorEastAsia"/>
          <w:color w:val="auto"/>
          <w:sz w:val="24"/>
          <w:highlight w:val="none"/>
          <w:u w:val="single"/>
        </w:rPr>
        <w:t xml:space="preserve">   </w:t>
      </w:r>
    </w:p>
    <w:p>
      <w:pPr>
        <w:tabs>
          <w:tab w:val="left" w:pos="6510"/>
        </w:tabs>
        <w:spacing w:line="360" w:lineRule="exact"/>
        <w:jc w:val="lef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法定代表人/主要负责人：</w:t>
      </w:r>
      <w:r>
        <w:rPr>
          <w:rFonts w:hint="eastAsia" w:asciiTheme="majorEastAsia" w:hAnsiTheme="majorEastAsia" w:eastAsiaTheme="majorEastAsia"/>
          <w:color w:val="auto"/>
          <w:sz w:val="24"/>
          <w:highlight w:val="none"/>
          <w:u w:val="dotted"/>
        </w:rPr>
        <w:t xml:space="preserve">                                   </w:t>
      </w:r>
      <w:r>
        <w:rPr>
          <w:rFonts w:hint="eastAsia" w:asciiTheme="majorEastAsia" w:hAnsiTheme="majorEastAsia" w:eastAsiaTheme="majorEastAsia"/>
          <w:color w:val="auto"/>
          <w:sz w:val="24"/>
          <w:highlight w:val="none"/>
        </w:rPr>
        <w:t xml:space="preserve">  </w:t>
      </w:r>
    </w:p>
    <w:p>
      <w:pPr>
        <w:tabs>
          <w:tab w:val="left" w:pos="6510"/>
        </w:tabs>
        <w:spacing w:line="360" w:lineRule="exact"/>
        <w:rPr>
          <w:rFonts w:asciiTheme="majorEastAsia" w:hAnsiTheme="majorEastAsia" w:eastAsiaTheme="majorEastAsia"/>
          <w:color w:val="auto"/>
          <w:sz w:val="24"/>
          <w:highlight w:val="none"/>
          <w:u w:val="dotted"/>
        </w:rPr>
      </w:pPr>
      <w:r>
        <w:rPr>
          <w:rFonts w:hint="eastAsia" w:asciiTheme="majorEastAsia" w:hAnsiTheme="majorEastAsia" w:eastAsiaTheme="majorEastAsia"/>
          <w:color w:val="auto"/>
          <w:sz w:val="24"/>
          <w:highlight w:val="none"/>
        </w:rPr>
        <w:t>联系电话：</w:t>
      </w:r>
      <w:r>
        <w:rPr>
          <w:rFonts w:hint="eastAsia" w:asciiTheme="majorEastAsia" w:hAnsiTheme="majorEastAsia" w:eastAsiaTheme="majorEastAsia"/>
          <w:color w:val="auto"/>
          <w:sz w:val="24"/>
          <w:highlight w:val="none"/>
          <w:u w:val="dotted"/>
        </w:rPr>
        <w:t xml:space="preserve">                                             </w:t>
      </w:r>
    </w:p>
    <w:p>
      <w:pPr>
        <w:spacing w:line="360" w:lineRule="exact"/>
        <w:rPr>
          <w:rFonts w:asciiTheme="majorEastAsia" w:hAnsiTheme="majorEastAsia" w:eastAsiaTheme="majorEastAsia"/>
          <w:color w:val="auto"/>
          <w:sz w:val="24"/>
          <w:highlight w:val="none"/>
          <w:u w:val="dotted"/>
        </w:rPr>
      </w:pPr>
      <w:r>
        <w:rPr>
          <w:rFonts w:hint="eastAsia" w:asciiTheme="majorEastAsia" w:hAnsiTheme="majorEastAsia" w:eastAsiaTheme="majorEastAsia"/>
          <w:color w:val="auto"/>
          <w:sz w:val="24"/>
          <w:highlight w:val="none"/>
        </w:rPr>
        <w:t>授权代表：</w:t>
      </w:r>
      <w:r>
        <w:rPr>
          <w:rFonts w:hint="eastAsia" w:asciiTheme="majorEastAsia" w:hAnsiTheme="majorEastAsia" w:eastAsiaTheme="majorEastAsia"/>
          <w:color w:val="auto"/>
          <w:sz w:val="24"/>
          <w:highlight w:val="none"/>
          <w:u w:val="dotted"/>
        </w:rPr>
        <w:t xml:space="preserve">             </w:t>
      </w:r>
      <w:r>
        <w:rPr>
          <w:rFonts w:hint="eastAsia" w:asciiTheme="majorEastAsia" w:hAnsiTheme="majorEastAsia" w:eastAsiaTheme="majorEastAsia"/>
          <w:color w:val="auto"/>
          <w:sz w:val="24"/>
          <w:highlight w:val="none"/>
        </w:rPr>
        <w:t>联系电话</w:t>
      </w:r>
      <w:r>
        <w:rPr>
          <w:rFonts w:hint="eastAsia" w:asciiTheme="majorEastAsia" w:hAnsiTheme="majorEastAsia" w:eastAsiaTheme="majorEastAsia"/>
          <w:color w:val="auto"/>
          <w:sz w:val="24"/>
          <w:highlight w:val="none"/>
          <w:u w:val="dotted"/>
        </w:rPr>
        <w:t xml:space="preserve">：                  </w:t>
      </w:r>
    </w:p>
    <w:p>
      <w:pPr>
        <w:spacing w:line="360" w:lineRule="exact"/>
        <w:rPr>
          <w:rFonts w:asciiTheme="majorEastAsia" w:hAnsiTheme="majorEastAsia" w:eastAsiaTheme="majorEastAsia"/>
          <w:color w:val="auto"/>
          <w:sz w:val="24"/>
          <w:highlight w:val="none"/>
          <w:u w:val="dotted"/>
        </w:rPr>
      </w:pPr>
      <w:r>
        <w:rPr>
          <w:rFonts w:hint="eastAsia" w:asciiTheme="majorEastAsia" w:hAnsiTheme="majorEastAsia" w:eastAsiaTheme="majorEastAsia"/>
          <w:color w:val="auto"/>
          <w:sz w:val="24"/>
          <w:highlight w:val="none"/>
        </w:rPr>
        <w:t>地     址：</w:t>
      </w:r>
      <w:r>
        <w:rPr>
          <w:rFonts w:hint="eastAsia" w:asciiTheme="majorEastAsia" w:hAnsiTheme="majorEastAsia" w:eastAsiaTheme="majorEastAsia"/>
          <w:color w:val="auto"/>
          <w:sz w:val="24"/>
          <w:highlight w:val="none"/>
          <w:u w:val="dotted"/>
        </w:rPr>
        <w:t xml:space="preserve">                             </w:t>
      </w:r>
      <w:r>
        <w:rPr>
          <w:rFonts w:hint="eastAsia" w:asciiTheme="majorEastAsia" w:hAnsiTheme="majorEastAsia" w:eastAsiaTheme="majorEastAsia"/>
          <w:color w:val="auto"/>
          <w:sz w:val="24"/>
          <w:highlight w:val="none"/>
        </w:rPr>
        <w:t>邮编：</w:t>
      </w:r>
      <w:r>
        <w:rPr>
          <w:rFonts w:hint="eastAsia" w:asciiTheme="majorEastAsia" w:hAnsiTheme="majorEastAsia" w:eastAsiaTheme="majorEastAsia"/>
          <w:color w:val="auto"/>
          <w:sz w:val="24"/>
          <w:highlight w:val="none"/>
          <w:u w:val="dotted"/>
        </w:rPr>
        <w:t xml:space="preserve">         </w:t>
      </w:r>
      <w:r>
        <w:rPr>
          <w:rFonts w:hint="eastAsia" w:asciiTheme="majorEastAsia" w:hAnsiTheme="majorEastAsia" w:eastAsiaTheme="majorEastAsia"/>
          <w:color w:val="auto"/>
          <w:sz w:val="24"/>
          <w:highlight w:val="none"/>
          <w:u w:val="single"/>
        </w:rPr>
        <w:t xml:space="preserve"> </w:t>
      </w:r>
      <w:r>
        <w:rPr>
          <w:rFonts w:hint="eastAsia" w:asciiTheme="majorEastAsia" w:hAnsiTheme="majorEastAsia" w:eastAsiaTheme="majorEastAsia"/>
          <w:color w:val="auto"/>
          <w:sz w:val="24"/>
          <w:highlight w:val="none"/>
          <w:u w:val="dotted"/>
        </w:rPr>
        <w:t xml:space="preserve">                   </w:t>
      </w:r>
    </w:p>
    <w:p>
      <w:pPr>
        <w:spacing w:line="360" w:lineRule="exact"/>
        <w:rPr>
          <w:rFonts w:asciiTheme="majorEastAsia" w:hAnsiTheme="majorEastAsia" w:eastAsiaTheme="majorEastAsia"/>
          <w:color w:val="auto"/>
          <w:sz w:val="24"/>
          <w:highlight w:val="none"/>
          <w:u w:val="single"/>
        </w:rPr>
      </w:pPr>
      <w:r>
        <w:rPr>
          <w:rFonts w:hint="eastAsia" w:asciiTheme="majorEastAsia" w:hAnsiTheme="majorEastAsia" w:eastAsiaTheme="majorEastAsia"/>
          <w:color w:val="auto"/>
          <w:sz w:val="24"/>
          <w:highlight w:val="none"/>
        </w:rPr>
        <w:t>被投诉人1：</w:t>
      </w:r>
      <w:r>
        <w:rPr>
          <w:rFonts w:hint="eastAsia" w:asciiTheme="majorEastAsia" w:hAnsiTheme="majorEastAsia" w:eastAsiaTheme="majorEastAsia"/>
          <w:color w:val="auto"/>
          <w:sz w:val="24"/>
          <w:highlight w:val="none"/>
          <w:u w:val="dotted"/>
        </w:rPr>
        <w:t xml:space="preserve">                                           </w:t>
      </w:r>
      <w:r>
        <w:rPr>
          <w:rFonts w:hint="eastAsia" w:asciiTheme="majorEastAsia" w:hAnsiTheme="majorEastAsia" w:eastAsiaTheme="majorEastAsia"/>
          <w:color w:val="auto"/>
          <w:sz w:val="24"/>
          <w:highlight w:val="none"/>
          <w:u w:val="single"/>
        </w:rPr>
        <w:t xml:space="preserve">  </w:t>
      </w:r>
    </w:p>
    <w:p>
      <w:pPr>
        <w:spacing w:line="360" w:lineRule="exact"/>
        <w:rPr>
          <w:rFonts w:asciiTheme="majorEastAsia" w:hAnsiTheme="majorEastAsia" w:eastAsiaTheme="majorEastAsia"/>
          <w:color w:val="auto"/>
          <w:sz w:val="24"/>
          <w:highlight w:val="none"/>
          <w:u w:val="single"/>
        </w:rPr>
      </w:pPr>
      <w:r>
        <w:rPr>
          <w:rFonts w:hint="eastAsia" w:asciiTheme="majorEastAsia" w:hAnsiTheme="majorEastAsia" w:eastAsiaTheme="majorEastAsia"/>
          <w:color w:val="auto"/>
          <w:sz w:val="24"/>
          <w:highlight w:val="none"/>
        </w:rPr>
        <w:t>地     址：</w:t>
      </w:r>
      <w:r>
        <w:rPr>
          <w:rFonts w:hint="eastAsia" w:asciiTheme="majorEastAsia" w:hAnsiTheme="majorEastAsia" w:eastAsiaTheme="majorEastAsia"/>
          <w:color w:val="auto"/>
          <w:sz w:val="24"/>
          <w:highlight w:val="none"/>
          <w:u w:val="dotted"/>
        </w:rPr>
        <w:t xml:space="preserve">                             </w:t>
      </w:r>
      <w:r>
        <w:rPr>
          <w:rFonts w:hint="eastAsia" w:asciiTheme="majorEastAsia" w:hAnsiTheme="majorEastAsia" w:eastAsiaTheme="majorEastAsia"/>
          <w:color w:val="auto"/>
          <w:sz w:val="24"/>
          <w:highlight w:val="none"/>
        </w:rPr>
        <w:t>邮编：</w:t>
      </w:r>
      <w:r>
        <w:rPr>
          <w:rFonts w:hint="eastAsia" w:asciiTheme="majorEastAsia" w:hAnsiTheme="majorEastAsia" w:eastAsiaTheme="majorEastAsia"/>
          <w:color w:val="auto"/>
          <w:sz w:val="24"/>
          <w:highlight w:val="none"/>
          <w:u w:val="dotted"/>
        </w:rPr>
        <w:t xml:space="preserve">          </w:t>
      </w:r>
      <w:r>
        <w:rPr>
          <w:rFonts w:hint="eastAsia" w:asciiTheme="majorEastAsia" w:hAnsiTheme="majorEastAsia" w:eastAsiaTheme="majorEastAsia"/>
          <w:color w:val="auto"/>
          <w:sz w:val="24"/>
          <w:highlight w:val="none"/>
          <w:u w:val="single"/>
        </w:rPr>
        <w:t xml:space="preserve"> </w:t>
      </w:r>
    </w:p>
    <w:p>
      <w:pPr>
        <w:spacing w:line="360" w:lineRule="exact"/>
        <w:rPr>
          <w:rFonts w:asciiTheme="majorEastAsia" w:hAnsiTheme="majorEastAsia" w:eastAsiaTheme="majorEastAsia"/>
          <w:color w:val="auto"/>
          <w:sz w:val="24"/>
          <w:highlight w:val="none"/>
          <w:u w:val="single"/>
        </w:rPr>
      </w:pPr>
      <w:r>
        <w:rPr>
          <w:rFonts w:hint="eastAsia" w:asciiTheme="majorEastAsia" w:hAnsiTheme="majorEastAsia" w:eastAsiaTheme="majorEastAsia"/>
          <w:color w:val="auto"/>
          <w:sz w:val="24"/>
          <w:highlight w:val="none"/>
        </w:rPr>
        <w:t>联系人：</w:t>
      </w:r>
      <w:r>
        <w:rPr>
          <w:rFonts w:hint="eastAsia" w:asciiTheme="majorEastAsia" w:hAnsiTheme="majorEastAsia" w:eastAsiaTheme="majorEastAsia"/>
          <w:color w:val="auto"/>
          <w:sz w:val="24"/>
          <w:highlight w:val="none"/>
          <w:u w:val="dotted"/>
        </w:rPr>
        <w:t xml:space="preserve">               </w:t>
      </w:r>
      <w:r>
        <w:rPr>
          <w:rFonts w:hint="eastAsia" w:asciiTheme="majorEastAsia" w:hAnsiTheme="majorEastAsia" w:eastAsiaTheme="majorEastAsia"/>
          <w:color w:val="auto"/>
          <w:sz w:val="24"/>
          <w:highlight w:val="none"/>
        </w:rPr>
        <w:t>联系电话：</w:t>
      </w:r>
      <w:r>
        <w:rPr>
          <w:rFonts w:hint="eastAsia" w:asciiTheme="majorEastAsia" w:hAnsiTheme="majorEastAsia" w:eastAsiaTheme="majorEastAsia"/>
          <w:color w:val="auto"/>
          <w:sz w:val="24"/>
          <w:highlight w:val="none"/>
          <w:u w:val="dotted"/>
        </w:rPr>
        <w:t xml:space="preserve">                      </w:t>
      </w:r>
      <w:r>
        <w:rPr>
          <w:rFonts w:hint="eastAsia" w:asciiTheme="majorEastAsia" w:hAnsiTheme="majorEastAsia" w:eastAsiaTheme="majorEastAsia"/>
          <w:color w:val="auto"/>
          <w:sz w:val="24"/>
          <w:highlight w:val="none"/>
          <w:u w:val="single"/>
        </w:rPr>
        <w:t xml:space="preserve"> </w:t>
      </w:r>
    </w:p>
    <w:p>
      <w:pPr>
        <w:spacing w:line="36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被投诉人2</w:t>
      </w:r>
    </w:p>
    <w:p>
      <w:pPr>
        <w:spacing w:line="360" w:lineRule="exact"/>
        <w:rPr>
          <w:rFonts w:asciiTheme="majorEastAsia" w:hAnsiTheme="majorEastAsia" w:eastAsiaTheme="majorEastAsia"/>
          <w:color w:val="auto"/>
          <w:sz w:val="24"/>
          <w:highlight w:val="none"/>
          <w:u w:val="dotted"/>
        </w:rPr>
      </w:pPr>
      <w:r>
        <w:rPr>
          <w:rFonts w:hint="eastAsia" w:asciiTheme="majorEastAsia" w:hAnsiTheme="majorEastAsia" w:eastAsiaTheme="majorEastAsia"/>
          <w:color w:val="auto"/>
          <w:sz w:val="24"/>
          <w:highlight w:val="none"/>
        </w:rPr>
        <w:t>……</w:t>
      </w:r>
    </w:p>
    <w:p>
      <w:pPr>
        <w:spacing w:line="360" w:lineRule="exact"/>
        <w:rPr>
          <w:rFonts w:asciiTheme="majorEastAsia" w:hAnsiTheme="majorEastAsia" w:eastAsiaTheme="majorEastAsia"/>
          <w:color w:val="auto"/>
          <w:sz w:val="24"/>
          <w:highlight w:val="none"/>
          <w:u w:val="single"/>
        </w:rPr>
      </w:pPr>
      <w:r>
        <w:rPr>
          <w:rFonts w:hint="eastAsia" w:asciiTheme="majorEastAsia" w:hAnsiTheme="majorEastAsia" w:eastAsiaTheme="majorEastAsia"/>
          <w:color w:val="auto"/>
          <w:sz w:val="24"/>
          <w:highlight w:val="none"/>
        </w:rPr>
        <w:t>相关供应商：</w:t>
      </w:r>
      <w:r>
        <w:rPr>
          <w:rFonts w:hint="eastAsia" w:asciiTheme="majorEastAsia" w:hAnsiTheme="majorEastAsia" w:eastAsiaTheme="majorEastAsia"/>
          <w:color w:val="auto"/>
          <w:sz w:val="24"/>
          <w:highlight w:val="none"/>
          <w:u w:val="dotted"/>
        </w:rPr>
        <w:t xml:space="preserve">                                           </w:t>
      </w:r>
      <w:r>
        <w:rPr>
          <w:rFonts w:hint="eastAsia" w:asciiTheme="majorEastAsia" w:hAnsiTheme="majorEastAsia" w:eastAsiaTheme="majorEastAsia"/>
          <w:color w:val="auto"/>
          <w:sz w:val="24"/>
          <w:highlight w:val="none"/>
          <w:u w:val="single"/>
        </w:rPr>
        <w:t xml:space="preserve">    </w:t>
      </w:r>
    </w:p>
    <w:p>
      <w:pPr>
        <w:spacing w:line="360" w:lineRule="exact"/>
        <w:rPr>
          <w:rFonts w:asciiTheme="majorEastAsia" w:hAnsiTheme="majorEastAsia" w:eastAsiaTheme="majorEastAsia"/>
          <w:color w:val="auto"/>
          <w:sz w:val="24"/>
          <w:highlight w:val="none"/>
          <w:u w:val="single"/>
        </w:rPr>
      </w:pPr>
      <w:r>
        <w:rPr>
          <w:rFonts w:hint="eastAsia" w:asciiTheme="majorEastAsia" w:hAnsiTheme="majorEastAsia" w:eastAsiaTheme="majorEastAsia"/>
          <w:color w:val="auto"/>
          <w:sz w:val="24"/>
          <w:highlight w:val="none"/>
        </w:rPr>
        <w:t>地     址：</w:t>
      </w:r>
      <w:r>
        <w:rPr>
          <w:rFonts w:hint="eastAsia" w:asciiTheme="majorEastAsia" w:hAnsiTheme="majorEastAsia" w:eastAsiaTheme="majorEastAsia"/>
          <w:color w:val="auto"/>
          <w:sz w:val="24"/>
          <w:highlight w:val="none"/>
          <w:u w:val="dotted"/>
        </w:rPr>
        <w:t xml:space="preserve">                             </w:t>
      </w:r>
      <w:r>
        <w:rPr>
          <w:rFonts w:hint="eastAsia" w:asciiTheme="majorEastAsia" w:hAnsiTheme="majorEastAsia" w:eastAsiaTheme="majorEastAsia"/>
          <w:color w:val="auto"/>
          <w:sz w:val="24"/>
          <w:highlight w:val="none"/>
        </w:rPr>
        <w:t>邮编：</w:t>
      </w:r>
      <w:r>
        <w:rPr>
          <w:rFonts w:hint="eastAsia" w:asciiTheme="majorEastAsia" w:hAnsiTheme="majorEastAsia" w:eastAsiaTheme="majorEastAsia"/>
          <w:color w:val="auto"/>
          <w:sz w:val="24"/>
          <w:highlight w:val="none"/>
          <w:u w:val="dotted"/>
        </w:rPr>
        <w:t xml:space="preserve">          </w:t>
      </w:r>
      <w:r>
        <w:rPr>
          <w:rFonts w:hint="eastAsia" w:asciiTheme="majorEastAsia" w:hAnsiTheme="majorEastAsia" w:eastAsiaTheme="majorEastAsia"/>
          <w:color w:val="auto"/>
          <w:sz w:val="24"/>
          <w:highlight w:val="none"/>
          <w:u w:val="single"/>
        </w:rPr>
        <w:t xml:space="preserve"> </w:t>
      </w:r>
    </w:p>
    <w:p>
      <w:pPr>
        <w:spacing w:line="360" w:lineRule="exact"/>
        <w:rPr>
          <w:rFonts w:asciiTheme="majorEastAsia" w:hAnsiTheme="majorEastAsia" w:eastAsiaTheme="majorEastAsia"/>
          <w:color w:val="auto"/>
          <w:sz w:val="24"/>
          <w:highlight w:val="none"/>
          <w:u w:val="single"/>
        </w:rPr>
      </w:pPr>
      <w:r>
        <w:rPr>
          <w:rFonts w:hint="eastAsia" w:asciiTheme="majorEastAsia" w:hAnsiTheme="majorEastAsia" w:eastAsiaTheme="majorEastAsia"/>
          <w:color w:val="auto"/>
          <w:sz w:val="24"/>
          <w:highlight w:val="none"/>
        </w:rPr>
        <w:t>联系人：</w:t>
      </w:r>
      <w:r>
        <w:rPr>
          <w:rFonts w:hint="eastAsia" w:asciiTheme="majorEastAsia" w:hAnsiTheme="majorEastAsia" w:eastAsiaTheme="majorEastAsia"/>
          <w:color w:val="auto"/>
          <w:sz w:val="24"/>
          <w:highlight w:val="none"/>
          <w:u w:val="dotted"/>
        </w:rPr>
        <w:t xml:space="preserve">               </w:t>
      </w:r>
      <w:r>
        <w:rPr>
          <w:rFonts w:hint="eastAsia" w:asciiTheme="majorEastAsia" w:hAnsiTheme="majorEastAsia" w:eastAsiaTheme="majorEastAsia"/>
          <w:color w:val="auto"/>
          <w:sz w:val="24"/>
          <w:highlight w:val="none"/>
        </w:rPr>
        <w:t>联系电话：</w:t>
      </w:r>
      <w:r>
        <w:rPr>
          <w:rFonts w:hint="eastAsia" w:asciiTheme="majorEastAsia" w:hAnsiTheme="majorEastAsia" w:eastAsiaTheme="majorEastAsia"/>
          <w:color w:val="auto"/>
          <w:sz w:val="24"/>
          <w:highlight w:val="none"/>
          <w:u w:val="dotted"/>
        </w:rPr>
        <w:t xml:space="preserve">                      </w:t>
      </w:r>
      <w:r>
        <w:rPr>
          <w:rFonts w:hint="eastAsia" w:asciiTheme="majorEastAsia" w:hAnsiTheme="majorEastAsia" w:eastAsiaTheme="majorEastAsia"/>
          <w:color w:val="auto"/>
          <w:sz w:val="24"/>
          <w:highlight w:val="none"/>
          <w:u w:val="single"/>
        </w:rPr>
        <w:t xml:space="preserve">      </w:t>
      </w:r>
    </w:p>
    <w:p>
      <w:pPr>
        <w:spacing w:line="36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二、投诉项目基本情况</w:t>
      </w:r>
    </w:p>
    <w:p>
      <w:pPr>
        <w:spacing w:line="360" w:lineRule="exact"/>
        <w:rPr>
          <w:rFonts w:asciiTheme="majorEastAsia" w:hAnsiTheme="majorEastAsia" w:eastAsiaTheme="majorEastAsia"/>
          <w:color w:val="auto"/>
          <w:sz w:val="24"/>
          <w:highlight w:val="none"/>
          <w:u w:val="dotted"/>
        </w:rPr>
      </w:pPr>
      <w:r>
        <w:rPr>
          <w:rFonts w:hint="eastAsia" w:asciiTheme="majorEastAsia" w:hAnsiTheme="majorEastAsia" w:eastAsiaTheme="majorEastAsia"/>
          <w:color w:val="auto"/>
          <w:sz w:val="24"/>
          <w:highlight w:val="none"/>
        </w:rPr>
        <w:t>采购项目名称：</w:t>
      </w:r>
      <w:r>
        <w:rPr>
          <w:rFonts w:hint="eastAsia" w:asciiTheme="majorEastAsia" w:hAnsiTheme="majorEastAsia" w:eastAsiaTheme="majorEastAsia"/>
          <w:color w:val="auto"/>
          <w:sz w:val="24"/>
          <w:highlight w:val="none"/>
          <w:u w:val="dotted"/>
        </w:rPr>
        <w:t xml:space="preserve">                                        </w:t>
      </w:r>
    </w:p>
    <w:p>
      <w:pPr>
        <w:spacing w:line="360" w:lineRule="exact"/>
        <w:rPr>
          <w:rFonts w:asciiTheme="majorEastAsia" w:hAnsiTheme="majorEastAsia" w:eastAsiaTheme="majorEastAsia"/>
          <w:color w:val="auto"/>
          <w:sz w:val="24"/>
          <w:highlight w:val="none"/>
          <w:u w:val="single"/>
        </w:rPr>
      </w:pPr>
      <w:r>
        <w:rPr>
          <w:rFonts w:hint="eastAsia" w:asciiTheme="majorEastAsia" w:hAnsiTheme="majorEastAsia" w:eastAsiaTheme="majorEastAsia"/>
          <w:color w:val="auto"/>
          <w:sz w:val="24"/>
          <w:highlight w:val="none"/>
        </w:rPr>
        <w:t>采购项目编号：</w:t>
      </w:r>
      <w:r>
        <w:rPr>
          <w:rFonts w:hint="eastAsia" w:asciiTheme="majorEastAsia" w:hAnsiTheme="majorEastAsia" w:eastAsiaTheme="majorEastAsia"/>
          <w:color w:val="auto"/>
          <w:sz w:val="24"/>
          <w:highlight w:val="none"/>
          <w:u w:val="dotted"/>
        </w:rPr>
        <w:t xml:space="preserve">                 </w:t>
      </w:r>
      <w:r>
        <w:rPr>
          <w:rFonts w:hint="eastAsia" w:asciiTheme="majorEastAsia" w:hAnsiTheme="majorEastAsia" w:eastAsiaTheme="majorEastAsia"/>
          <w:color w:val="auto"/>
          <w:sz w:val="24"/>
          <w:highlight w:val="none"/>
        </w:rPr>
        <w:t>包号：</w:t>
      </w:r>
      <w:r>
        <w:rPr>
          <w:rFonts w:hint="eastAsia" w:asciiTheme="majorEastAsia" w:hAnsiTheme="majorEastAsia" w:eastAsiaTheme="majorEastAsia"/>
          <w:color w:val="auto"/>
          <w:sz w:val="24"/>
          <w:highlight w:val="none"/>
          <w:u w:val="dotted"/>
        </w:rPr>
        <w:t xml:space="preserve">              </w:t>
      </w:r>
    </w:p>
    <w:p>
      <w:pPr>
        <w:spacing w:line="36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采购人名称：</w:t>
      </w:r>
      <w:r>
        <w:rPr>
          <w:rFonts w:hint="eastAsia" w:asciiTheme="majorEastAsia" w:hAnsiTheme="majorEastAsia" w:eastAsiaTheme="majorEastAsia"/>
          <w:color w:val="auto"/>
          <w:sz w:val="24"/>
          <w:highlight w:val="none"/>
          <w:u w:val="dotted"/>
        </w:rPr>
        <w:t xml:space="preserve">                                           </w:t>
      </w:r>
      <w:r>
        <w:rPr>
          <w:rFonts w:hint="eastAsia" w:asciiTheme="majorEastAsia" w:hAnsiTheme="majorEastAsia" w:eastAsiaTheme="majorEastAsia"/>
          <w:color w:val="auto"/>
          <w:sz w:val="24"/>
          <w:highlight w:val="none"/>
          <w:u w:val="single"/>
        </w:rPr>
        <w:t xml:space="preserve">  </w:t>
      </w:r>
    </w:p>
    <w:p>
      <w:pPr>
        <w:spacing w:line="360" w:lineRule="exact"/>
        <w:rPr>
          <w:rFonts w:asciiTheme="majorEastAsia" w:hAnsiTheme="majorEastAsia" w:eastAsiaTheme="majorEastAsia"/>
          <w:color w:val="auto"/>
          <w:sz w:val="24"/>
          <w:highlight w:val="none"/>
          <w:u w:val="single"/>
        </w:rPr>
      </w:pPr>
      <w:r>
        <w:rPr>
          <w:rFonts w:hint="eastAsia" w:asciiTheme="majorEastAsia" w:hAnsiTheme="majorEastAsia" w:eastAsiaTheme="majorEastAsia"/>
          <w:color w:val="auto"/>
          <w:sz w:val="24"/>
          <w:highlight w:val="none"/>
        </w:rPr>
        <w:t>代理机构名称：</w:t>
      </w:r>
      <w:r>
        <w:rPr>
          <w:rFonts w:hint="eastAsia" w:asciiTheme="majorEastAsia" w:hAnsiTheme="majorEastAsia" w:eastAsiaTheme="majorEastAsia"/>
          <w:color w:val="auto"/>
          <w:sz w:val="24"/>
          <w:highlight w:val="none"/>
          <w:u w:val="dotted"/>
        </w:rPr>
        <w:t xml:space="preserve">                                         </w:t>
      </w:r>
    </w:p>
    <w:p>
      <w:pPr>
        <w:spacing w:line="360" w:lineRule="exact"/>
        <w:rPr>
          <w:rFonts w:asciiTheme="majorEastAsia" w:hAnsiTheme="majorEastAsia" w:eastAsiaTheme="majorEastAsia"/>
          <w:color w:val="auto"/>
          <w:sz w:val="24"/>
          <w:highlight w:val="none"/>
          <w:u w:val="dotted"/>
        </w:rPr>
      </w:pPr>
      <w:r>
        <w:rPr>
          <w:rFonts w:hint="eastAsia" w:asciiTheme="majorEastAsia" w:hAnsiTheme="majorEastAsia" w:eastAsiaTheme="majorEastAsia"/>
          <w:color w:val="auto"/>
          <w:sz w:val="24"/>
          <w:highlight w:val="none"/>
        </w:rPr>
        <w:t>采购文件公告:</w:t>
      </w:r>
      <w:r>
        <w:rPr>
          <w:rFonts w:hint="eastAsia" w:asciiTheme="majorEastAsia" w:hAnsiTheme="majorEastAsia" w:eastAsiaTheme="majorEastAsia"/>
          <w:color w:val="auto"/>
          <w:sz w:val="24"/>
          <w:highlight w:val="none"/>
          <w:u w:val="dotted"/>
        </w:rPr>
        <w:t xml:space="preserve">是/否 </w:t>
      </w:r>
      <w:r>
        <w:rPr>
          <w:rFonts w:hint="eastAsia" w:asciiTheme="majorEastAsia" w:hAnsiTheme="majorEastAsia" w:eastAsiaTheme="majorEastAsia"/>
          <w:color w:val="auto"/>
          <w:sz w:val="24"/>
          <w:highlight w:val="none"/>
        </w:rPr>
        <w:t>公告期限：</w:t>
      </w:r>
      <w:r>
        <w:rPr>
          <w:rFonts w:hint="eastAsia" w:asciiTheme="majorEastAsia" w:hAnsiTheme="majorEastAsia" w:eastAsiaTheme="majorEastAsia"/>
          <w:color w:val="auto"/>
          <w:sz w:val="24"/>
          <w:highlight w:val="none"/>
          <w:u w:val="dotted"/>
        </w:rPr>
        <w:t xml:space="preserve">                                 </w:t>
      </w:r>
    </w:p>
    <w:p>
      <w:pPr>
        <w:spacing w:line="360" w:lineRule="exact"/>
        <w:rPr>
          <w:rFonts w:asciiTheme="majorEastAsia" w:hAnsiTheme="majorEastAsia" w:eastAsiaTheme="majorEastAsia"/>
          <w:color w:val="auto"/>
          <w:sz w:val="24"/>
          <w:highlight w:val="none"/>
          <w:u w:val="single"/>
        </w:rPr>
      </w:pPr>
      <w:r>
        <w:rPr>
          <w:rFonts w:hint="eastAsia" w:asciiTheme="majorEastAsia" w:hAnsiTheme="majorEastAsia" w:eastAsiaTheme="majorEastAsia"/>
          <w:color w:val="auto"/>
          <w:sz w:val="24"/>
          <w:highlight w:val="none"/>
        </w:rPr>
        <w:t>采购结果公告:</w:t>
      </w:r>
      <w:r>
        <w:rPr>
          <w:rFonts w:hint="eastAsia" w:asciiTheme="majorEastAsia" w:hAnsiTheme="majorEastAsia" w:eastAsiaTheme="majorEastAsia"/>
          <w:color w:val="auto"/>
          <w:sz w:val="24"/>
          <w:highlight w:val="none"/>
          <w:u w:val="dotted"/>
        </w:rPr>
        <w:t xml:space="preserve">是/否 </w:t>
      </w:r>
      <w:r>
        <w:rPr>
          <w:rFonts w:hint="eastAsia" w:asciiTheme="majorEastAsia" w:hAnsiTheme="majorEastAsia" w:eastAsiaTheme="majorEastAsia"/>
          <w:color w:val="auto"/>
          <w:sz w:val="24"/>
          <w:highlight w:val="none"/>
        </w:rPr>
        <w:t>公告期限：</w:t>
      </w:r>
      <w:r>
        <w:rPr>
          <w:rFonts w:hint="eastAsia" w:asciiTheme="majorEastAsia" w:hAnsiTheme="majorEastAsia" w:eastAsiaTheme="majorEastAsia"/>
          <w:color w:val="auto"/>
          <w:sz w:val="24"/>
          <w:highlight w:val="none"/>
          <w:u w:val="dotted"/>
        </w:rPr>
        <w:t xml:space="preserve">                        </w:t>
      </w:r>
    </w:p>
    <w:p>
      <w:pPr>
        <w:spacing w:line="36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三、质疑基本情况</w:t>
      </w:r>
    </w:p>
    <w:p>
      <w:pPr>
        <w:spacing w:line="360" w:lineRule="exact"/>
        <w:ind w:firstLine="480" w:firstLineChars="200"/>
        <w:rPr>
          <w:rFonts w:asciiTheme="majorEastAsia" w:hAnsiTheme="majorEastAsia" w:eastAsiaTheme="majorEastAsia"/>
          <w:color w:val="auto"/>
          <w:sz w:val="24"/>
          <w:highlight w:val="none"/>
          <w:u w:val="dotted"/>
        </w:rPr>
      </w:pPr>
      <w:r>
        <w:rPr>
          <w:rFonts w:hint="eastAsia" w:asciiTheme="majorEastAsia" w:hAnsiTheme="majorEastAsia" w:eastAsiaTheme="majorEastAsia"/>
          <w:color w:val="auto"/>
          <w:sz w:val="24"/>
          <w:highlight w:val="none"/>
        </w:rPr>
        <w:t>投诉人于</w:t>
      </w:r>
      <w:r>
        <w:rPr>
          <w:rFonts w:hint="eastAsia" w:asciiTheme="majorEastAsia" w:hAnsiTheme="majorEastAsia" w:eastAsiaTheme="majorEastAsia"/>
          <w:color w:val="auto"/>
          <w:sz w:val="24"/>
          <w:highlight w:val="none"/>
          <w:u w:val="dotted"/>
        </w:rPr>
        <w:t xml:space="preserve">   </w:t>
      </w:r>
      <w:r>
        <w:rPr>
          <w:rFonts w:hint="eastAsia" w:asciiTheme="majorEastAsia" w:hAnsiTheme="majorEastAsia" w:eastAsiaTheme="majorEastAsia"/>
          <w:color w:val="auto"/>
          <w:sz w:val="24"/>
          <w:highlight w:val="none"/>
        </w:rPr>
        <w:t>年</w:t>
      </w:r>
      <w:r>
        <w:rPr>
          <w:rFonts w:hint="eastAsia" w:asciiTheme="majorEastAsia" w:hAnsiTheme="majorEastAsia" w:eastAsiaTheme="majorEastAsia"/>
          <w:color w:val="auto"/>
          <w:sz w:val="24"/>
          <w:highlight w:val="none"/>
          <w:u w:val="dotted"/>
        </w:rPr>
        <w:t xml:space="preserve">   </w:t>
      </w:r>
      <w:r>
        <w:rPr>
          <w:rFonts w:hint="eastAsia" w:asciiTheme="majorEastAsia" w:hAnsiTheme="majorEastAsia" w:eastAsiaTheme="majorEastAsia"/>
          <w:color w:val="auto"/>
          <w:sz w:val="24"/>
          <w:highlight w:val="none"/>
        </w:rPr>
        <w:t>月</w:t>
      </w:r>
      <w:r>
        <w:rPr>
          <w:rFonts w:hint="eastAsia" w:asciiTheme="majorEastAsia" w:hAnsiTheme="majorEastAsia" w:eastAsiaTheme="majorEastAsia"/>
          <w:color w:val="auto"/>
          <w:sz w:val="24"/>
          <w:highlight w:val="none"/>
          <w:u w:val="dotted"/>
        </w:rPr>
        <w:t xml:space="preserve">  </w:t>
      </w:r>
      <w:r>
        <w:rPr>
          <w:rFonts w:hint="eastAsia" w:asciiTheme="majorEastAsia" w:hAnsiTheme="majorEastAsia" w:eastAsiaTheme="majorEastAsia"/>
          <w:color w:val="auto"/>
          <w:sz w:val="24"/>
          <w:highlight w:val="none"/>
        </w:rPr>
        <w:t>日,向</w:t>
      </w:r>
      <w:r>
        <w:rPr>
          <w:rFonts w:hint="eastAsia" w:asciiTheme="majorEastAsia" w:hAnsiTheme="majorEastAsia" w:eastAsiaTheme="majorEastAsia"/>
          <w:color w:val="auto"/>
          <w:sz w:val="24"/>
          <w:highlight w:val="none"/>
          <w:u w:val="dotted"/>
        </w:rPr>
        <w:t xml:space="preserve">                   </w:t>
      </w:r>
      <w:r>
        <w:rPr>
          <w:rFonts w:hint="eastAsia" w:asciiTheme="majorEastAsia" w:hAnsiTheme="majorEastAsia" w:eastAsiaTheme="majorEastAsia"/>
          <w:color w:val="auto"/>
          <w:sz w:val="24"/>
          <w:highlight w:val="none"/>
        </w:rPr>
        <w:t>提出质疑，质疑事项为：</w:t>
      </w:r>
      <w:r>
        <w:rPr>
          <w:rFonts w:hint="eastAsia" w:asciiTheme="majorEastAsia" w:hAnsiTheme="majorEastAsia" w:eastAsiaTheme="majorEastAsia"/>
          <w:color w:val="auto"/>
          <w:sz w:val="24"/>
          <w:highlight w:val="none"/>
          <w:u w:val="dotted"/>
        </w:rPr>
        <w:t xml:space="preserve">                                </w:t>
      </w:r>
    </w:p>
    <w:p>
      <w:pPr>
        <w:spacing w:line="360" w:lineRule="exact"/>
        <w:rPr>
          <w:rFonts w:asciiTheme="majorEastAsia" w:hAnsiTheme="majorEastAsia" w:eastAsiaTheme="majorEastAsia"/>
          <w:color w:val="auto"/>
          <w:sz w:val="24"/>
          <w:highlight w:val="none"/>
          <w:u w:val="dotted"/>
        </w:rPr>
      </w:pPr>
      <w:r>
        <w:rPr>
          <w:rFonts w:hint="eastAsia" w:asciiTheme="majorEastAsia" w:hAnsiTheme="majorEastAsia" w:eastAsiaTheme="majorEastAsia"/>
          <w:color w:val="auto"/>
          <w:sz w:val="24"/>
          <w:highlight w:val="none"/>
          <w:u w:val="dotted"/>
        </w:rPr>
        <w:t xml:space="preserve">                                                     </w:t>
      </w:r>
      <w:r>
        <w:rPr>
          <w:rFonts w:hint="eastAsia" w:asciiTheme="majorEastAsia" w:hAnsiTheme="majorEastAsia" w:eastAsiaTheme="majorEastAsia"/>
          <w:color w:val="auto"/>
          <w:sz w:val="24"/>
          <w:highlight w:val="none"/>
        </w:rPr>
        <w:t xml:space="preserve">  </w:t>
      </w:r>
    </w:p>
    <w:p>
      <w:pPr>
        <w:spacing w:line="360" w:lineRule="exact"/>
        <w:ind w:firstLine="360" w:firstLineChars="15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u w:val="dotted"/>
        </w:rPr>
        <w:t>采购人/代理机构</w:t>
      </w:r>
      <w:r>
        <w:rPr>
          <w:rFonts w:hint="eastAsia" w:asciiTheme="majorEastAsia" w:hAnsiTheme="majorEastAsia" w:eastAsiaTheme="majorEastAsia"/>
          <w:color w:val="auto"/>
          <w:sz w:val="24"/>
          <w:highlight w:val="none"/>
        </w:rPr>
        <w:t>于</w:t>
      </w:r>
      <w:r>
        <w:rPr>
          <w:rFonts w:hint="eastAsia" w:asciiTheme="majorEastAsia" w:hAnsiTheme="majorEastAsia" w:eastAsiaTheme="majorEastAsia"/>
          <w:color w:val="auto"/>
          <w:sz w:val="24"/>
          <w:highlight w:val="none"/>
          <w:u w:val="dotted"/>
        </w:rPr>
        <w:t xml:space="preserve">   </w:t>
      </w:r>
      <w:r>
        <w:rPr>
          <w:rFonts w:hint="eastAsia" w:asciiTheme="majorEastAsia" w:hAnsiTheme="majorEastAsia" w:eastAsiaTheme="majorEastAsia"/>
          <w:color w:val="auto"/>
          <w:sz w:val="24"/>
          <w:highlight w:val="none"/>
        </w:rPr>
        <w:t>年</w:t>
      </w:r>
      <w:r>
        <w:rPr>
          <w:rFonts w:hint="eastAsia" w:asciiTheme="majorEastAsia" w:hAnsiTheme="majorEastAsia" w:eastAsiaTheme="majorEastAsia"/>
          <w:color w:val="auto"/>
          <w:sz w:val="24"/>
          <w:highlight w:val="none"/>
          <w:u w:val="dotted"/>
        </w:rPr>
        <w:t xml:space="preserve">   </w:t>
      </w:r>
      <w:r>
        <w:rPr>
          <w:rFonts w:hint="eastAsia" w:asciiTheme="majorEastAsia" w:hAnsiTheme="majorEastAsia" w:eastAsiaTheme="majorEastAsia"/>
          <w:color w:val="auto"/>
          <w:sz w:val="24"/>
          <w:highlight w:val="none"/>
        </w:rPr>
        <w:t>月</w:t>
      </w:r>
      <w:r>
        <w:rPr>
          <w:rFonts w:hint="eastAsia" w:asciiTheme="majorEastAsia" w:hAnsiTheme="majorEastAsia" w:eastAsiaTheme="majorEastAsia"/>
          <w:color w:val="auto"/>
          <w:sz w:val="24"/>
          <w:highlight w:val="none"/>
          <w:u w:val="dotted"/>
        </w:rPr>
        <w:t xml:space="preserve">   </w:t>
      </w:r>
      <w:r>
        <w:rPr>
          <w:rFonts w:hint="eastAsia" w:asciiTheme="majorEastAsia" w:hAnsiTheme="majorEastAsia" w:eastAsiaTheme="majorEastAsia"/>
          <w:color w:val="auto"/>
          <w:sz w:val="24"/>
          <w:highlight w:val="none"/>
        </w:rPr>
        <w:t>日,就质疑事项作出了答复/没有在法定期限内作出答复。</w:t>
      </w:r>
    </w:p>
    <w:p>
      <w:pPr>
        <w:spacing w:line="36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四、投诉事项具体内容</w:t>
      </w:r>
    </w:p>
    <w:p>
      <w:pPr>
        <w:spacing w:line="360" w:lineRule="exact"/>
        <w:rPr>
          <w:rFonts w:asciiTheme="majorEastAsia" w:hAnsiTheme="majorEastAsia" w:eastAsiaTheme="majorEastAsia"/>
          <w:color w:val="auto"/>
          <w:sz w:val="24"/>
          <w:highlight w:val="none"/>
          <w:u w:val="single"/>
        </w:rPr>
      </w:pPr>
      <w:r>
        <w:rPr>
          <w:rFonts w:hint="eastAsia" w:asciiTheme="majorEastAsia" w:hAnsiTheme="majorEastAsia" w:eastAsiaTheme="majorEastAsia"/>
          <w:color w:val="auto"/>
          <w:sz w:val="24"/>
          <w:highlight w:val="none"/>
        </w:rPr>
        <w:t>投诉事项 1：</w:t>
      </w:r>
      <w:r>
        <w:rPr>
          <w:rFonts w:hint="eastAsia" w:asciiTheme="majorEastAsia" w:hAnsiTheme="majorEastAsia" w:eastAsiaTheme="majorEastAsia"/>
          <w:color w:val="auto"/>
          <w:sz w:val="24"/>
          <w:highlight w:val="none"/>
          <w:u w:val="dotted"/>
        </w:rPr>
        <w:t xml:space="preserve">                                       </w:t>
      </w:r>
    </w:p>
    <w:p>
      <w:pPr>
        <w:spacing w:line="36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事实依据：</w:t>
      </w:r>
      <w:r>
        <w:rPr>
          <w:rFonts w:hint="eastAsia" w:asciiTheme="majorEastAsia" w:hAnsiTheme="majorEastAsia" w:eastAsiaTheme="majorEastAsia"/>
          <w:color w:val="auto"/>
          <w:sz w:val="24"/>
          <w:highlight w:val="none"/>
          <w:u w:val="dotted"/>
        </w:rPr>
        <w:t xml:space="preserve">                                         </w:t>
      </w:r>
    </w:p>
    <w:p>
      <w:pPr>
        <w:spacing w:line="360" w:lineRule="exact"/>
        <w:rPr>
          <w:rFonts w:asciiTheme="majorEastAsia" w:hAnsiTheme="majorEastAsia" w:eastAsiaTheme="majorEastAsia"/>
          <w:color w:val="auto"/>
          <w:sz w:val="24"/>
          <w:highlight w:val="none"/>
          <w:u w:val="dotted"/>
        </w:rPr>
      </w:pPr>
      <w:r>
        <w:rPr>
          <w:rFonts w:hint="eastAsia" w:asciiTheme="majorEastAsia" w:hAnsiTheme="majorEastAsia" w:eastAsiaTheme="majorEastAsia"/>
          <w:color w:val="auto"/>
          <w:sz w:val="24"/>
          <w:highlight w:val="none"/>
          <w:u w:val="dotted"/>
        </w:rPr>
        <w:t xml:space="preserve">                                                      </w:t>
      </w:r>
    </w:p>
    <w:p>
      <w:pPr>
        <w:spacing w:line="360" w:lineRule="exact"/>
        <w:rPr>
          <w:rFonts w:asciiTheme="majorEastAsia" w:hAnsiTheme="majorEastAsia" w:eastAsiaTheme="majorEastAsia"/>
          <w:color w:val="auto"/>
          <w:sz w:val="24"/>
          <w:highlight w:val="none"/>
          <w:u w:val="single"/>
        </w:rPr>
      </w:pPr>
      <w:r>
        <w:rPr>
          <w:rFonts w:hint="eastAsia" w:asciiTheme="majorEastAsia" w:hAnsiTheme="majorEastAsia" w:eastAsiaTheme="majorEastAsia"/>
          <w:color w:val="auto"/>
          <w:sz w:val="24"/>
          <w:highlight w:val="none"/>
        </w:rPr>
        <w:t>法律依据：</w:t>
      </w:r>
      <w:r>
        <w:rPr>
          <w:rFonts w:hint="eastAsia" w:asciiTheme="majorEastAsia" w:hAnsiTheme="majorEastAsia" w:eastAsiaTheme="majorEastAsia"/>
          <w:color w:val="auto"/>
          <w:sz w:val="24"/>
          <w:highlight w:val="none"/>
          <w:u w:val="dotted"/>
        </w:rPr>
        <w:t xml:space="preserve">                                          </w:t>
      </w:r>
    </w:p>
    <w:p>
      <w:pPr>
        <w:spacing w:line="360" w:lineRule="exact"/>
        <w:rPr>
          <w:rFonts w:asciiTheme="majorEastAsia" w:hAnsiTheme="majorEastAsia" w:eastAsiaTheme="majorEastAsia"/>
          <w:color w:val="auto"/>
          <w:sz w:val="24"/>
          <w:highlight w:val="none"/>
          <w:u w:val="dotted"/>
        </w:rPr>
      </w:pPr>
      <w:r>
        <w:rPr>
          <w:rFonts w:hint="eastAsia" w:asciiTheme="majorEastAsia" w:hAnsiTheme="majorEastAsia" w:eastAsiaTheme="majorEastAsia"/>
          <w:color w:val="auto"/>
          <w:sz w:val="24"/>
          <w:highlight w:val="none"/>
          <w:u w:val="dotted"/>
        </w:rPr>
        <w:t xml:space="preserve">                                                      </w:t>
      </w:r>
    </w:p>
    <w:p>
      <w:pPr>
        <w:spacing w:line="36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投诉事项2</w:t>
      </w:r>
    </w:p>
    <w:p>
      <w:pPr>
        <w:spacing w:line="360" w:lineRule="exact"/>
        <w:rPr>
          <w:rFonts w:asciiTheme="majorEastAsia" w:hAnsiTheme="majorEastAsia" w:eastAsiaTheme="majorEastAsia"/>
          <w:color w:val="auto"/>
          <w:sz w:val="24"/>
          <w:highlight w:val="none"/>
          <w:u w:val="dotted"/>
        </w:rPr>
      </w:pPr>
      <w:r>
        <w:rPr>
          <w:rFonts w:hint="eastAsia" w:asciiTheme="majorEastAsia" w:hAnsiTheme="majorEastAsia" w:eastAsiaTheme="majorEastAsia"/>
          <w:color w:val="auto"/>
          <w:sz w:val="24"/>
          <w:highlight w:val="none"/>
        </w:rPr>
        <w:t>……</w:t>
      </w:r>
    </w:p>
    <w:p>
      <w:pPr>
        <w:spacing w:line="36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五、与投诉事项相关的投诉请求</w:t>
      </w:r>
    </w:p>
    <w:p>
      <w:pPr>
        <w:spacing w:line="36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请求：</w:t>
      </w:r>
      <w:r>
        <w:rPr>
          <w:rFonts w:hint="eastAsia" w:asciiTheme="majorEastAsia" w:hAnsiTheme="majorEastAsia" w:eastAsiaTheme="majorEastAsia"/>
          <w:color w:val="auto"/>
          <w:sz w:val="24"/>
          <w:highlight w:val="none"/>
          <w:u w:val="dotted"/>
        </w:rPr>
        <w:t xml:space="preserve">                                              </w:t>
      </w:r>
      <w:r>
        <w:rPr>
          <w:rFonts w:hint="eastAsia" w:asciiTheme="majorEastAsia" w:hAnsiTheme="majorEastAsia" w:eastAsiaTheme="majorEastAsia"/>
          <w:color w:val="auto"/>
          <w:sz w:val="24"/>
          <w:highlight w:val="none"/>
        </w:rPr>
        <w:t xml:space="preserve"> </w:t>
      </w:r>
    </w:p>
    <w:p>
      <w:pPr>
        <w:spacing w:line="360" w:lineRule="exact"/>
        <w:rPr>
          <w:rFonts w:asciiTheme="majorEastAsia" w:hAnsiTheme="majorEastAsia" w:eastAsiaTheme="majorEastAsia"/>
          <w:color w:val="auto"/>
          <w:sz w:val="24"/>
          <w:highlight w:val="none"/>
          <w:u w:val="single"/>
        </w:rPr>
      </w:pPr>
      <w:r>
        <w:rPr>
          <w:rFonts w:hint="eastAsia" w:asciiTheme="majorEastAsia" w:hAnsiTheme="majorEastAsia" w:eastAsiaTheme="majorEastAsia"/>
          <w:color w:val="auto"/>
          <w:sz w:val="24"/>
          <w:highlight w:val="none"/>
        </w:rPr>
        <w:t xml:space="preserve">                                                                                                    </w:t>
      </w:r>
    </w:p>
    <w:p>
      <w:pPr>
        <w:spacing w:line="36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 xml:space="preserve">签字(签章)：                   公章：                      </w:t>
      </w:r>
    </w:p>
    <w:p>
      <w:pPr>
        <w:spacing w:line="36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 xml:space="preserve">日期：    </w:t>
      </w:r>
    </w:p>
    <w:p>
      <w:pPr>
        <w:spacing w:line="360" w:lineRule="exact"/>
        <w:rPr>
          <w:rFonts w:asciiTheme="majorEastAsia" w:hAnsiTheme="majorEastAsia" w:eastAsiaTheme="majorEastAsia"/>
          <w:b/>
          <w:color w:val="auto"/>
          <w:sz w:val="24"/>
          <w:highlight w:val="none"/>
        </w:rPr>
      </w:pPr>
    </w:p>
    <w:p>
      <w:pPr>
        <w:spacing w:line="360" w:lineRule="exact"/>
        <w:rPr>
          <w:rFonts w:asciiTheme="majorEastAsia" w:hAnsiTheme="majorEastAsia" w:eastAsiaTheme="majorEastAsia"/>
          <w:b/>
          <w:color w:val="auto"/>
          <w:sz w:val="24"/>
          <w:highlight w:val="none"/>
        </w:rPr>
      </w:pPr>
    </w:p>
    <w:p>
      <w:pPr>
        <w:spacing w:line="360" w:lineRule="exact"/>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投诉书制作说明：</w:t>
      </w:r>
    </w:p>
    <w:p>
      <w:pPr>
        <w:widowControl/>
        <w:spacing w:line="360" w:lineRule="exact"/>
        <w:ind w:firstLine="480" w:firstLineChars="200"/>
        <w:rPr>
          <w:rFonts w:cs="宋体" w:asciiTheme="majorEastAsia" w:hAnsiTheme="majorEastAsia" w:eastAsiaTheme="majorEastAsia"/>
          <w:color w:val="auto"/>
          <w:kern w:val="0"/>
          <w:sz w:val="24"/>
          <w:highlight w:val="none"/>
        </w:rPr>
      </w:pPr>
      <w:r>
        <w:rPr>
          <w:rFonts w:hint="eastAsia" w:asciiTheme="majorEastAsia" w:hAnsiTheme="majorEastAsia" w:eastAsiaTheme="majorEastAsia"/>
          <w:color w:val="auto"/>
          <w:sz w:val="24"/>
          <w:highlight w:val="none"/>
        </w:rPr>
        <w:t>1.投诉人提起投诉时，应当提交投诉书和必要的证明材料，并按照被投诉人和与投诉事项有关的供应商数量提供投诉书副本。</w:t>
      </w:r>
    </w:p>
    <w:p>
      <w:pPr>
        <w:widowControl/>
        <w:spacing w:line="360" w:lineRule="exact"/>
        <w:ind w:firstLine="480" w:firstLineChars="200"/>
        <w:jc w:val="left"/>
        <w:rPr>
          <w:rFonts w:cs="宋体" w:asciiTheme="majorEastAsia" w:hAnsiTheme="majorEastAsia" w:eastAsiaTheme="majorEastAsia"/>
          <w:color w:val="auto"/>
          <w:kern w:val="0"/>
          <w:sz w:val="24"/>
          <w:highlight w:val="none"/>
        </w:rPr>
      </w:pPr>
      <w:r>
        <w:rPr>
          <w:rFonts w:hint="eastAsia" w:asciiTheme="majorEastAsia" w:hAnsiTheme="majorEastAsia" w:eastAsiaTheme="majorEastAsia"/>
          <w:color w:val="auto"/>
          <w:sz w:val="24"/>
          <w:highlight w:val="none"/>
        </w:rPr>
        <w:t>2.投诉人若委托代理人进行投诉的，投诉书应按照要求列明“授权代表”的有关内容，并在附件中提交由</w:t>
      </w:r>
      <w:r>
        <w:rPr>
          <w:rFonts w:hint="eastAsia" w:cs="宋体" w:asciiTheme="majorEastAsia" w:hAnsiTheme="majorEastAsia" w:eastAsiaTheme="majorEastAsia"/>
          <w:color w:val="auto"/>
          <w:kern w:val="0"/>
          <w:sz w:val="24"/>
          <w:highlight w:val="none"/>
        </w:rPr>
        <w:t>投诉人签署的授权委托书。授权委托书应当载明代理人的姓名或者名称、代理事项、具体权限、期限和相关事项。</w:t>
      </w:r>
    </w:p>
    <w:p>
      <w:pPr>
        <w:widowControl/>
        <w:spacing w:line="360" w:lineRule="exact"/>
        <w:ind w:firstLine="480" w:firstLineChars="200"/>
        <w:jc w:val="lef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3.投诉人若对项目的某一分包进行投诉，投诉书应列明具体分包号。</w:t>
      </w:r>
    </w:p>
    <w:p>
      <w:pPr>
        <w:widowControl/>
        <w:spacing w:line="360" w:lineRule="exact"/>
        <w:ind w:firstLine="480" w:firstLineChars="200"/>
        <w:jc w:val="lef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4.投诉书应简要列明质疑事项，质疑函、质疑答复等作为附件材料提供。</w:t>
      </w:r>
    </w:p>
    <w:p>
      <w:pPr>
        <w:widowControl/>
        <w:spacing w:line="360" w:lineRule="exact"/>
        <w:ind w:firstLine="480" w:firstLineChars="200"/>
        <w:jc w:val="lef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5.投诉书的投诉事项应具体、明确，并有必要的事实依据和法律依据。</w:t>
      </w:r>
    </w:p>
    <w:p>
      <w:pPr>
        <w:widowControl/>
        <w:spacing w:line="360" w:lineRule="exact"/>
        <w:ind w:firstLine="480" w:firstLineChars="200"/>
        <w:jc w:val="lef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6.投诉书的投诉请求应与投诉事项相关。</w:t>
      </w:r>
    </w:p>
    <w:p>
      <w:pPr>
        <w:spacing w:line="36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exact"/>
        <w:rPr>
          <w:rFonts w:asciiTheme="majorEastAsia" w:hAnsiTheme="majorEastAsia" w:eastAsiaTheme="majorEastAsia"/>
          <w:color w:val="auto"/>
          <w:sz w:val="28"/>
          <w:szCs w:val="28"/>
          <w:highlight w:val="none"/>
        </w:rPr>
      </w:pPr>
    </w:p>
    <w:p>
      <w:pPr>
        <w:tabs>
          <w:tab w:val="left" w:pos="1087"/>
        </w:tabs>
        <w:spacing w:line="360" w:lineRule="auto"/>
        <w:rPr>
          <w:color w:val="auto"/>
          <w:sz w:val="24"/>
          <w:highlight w:val="none"/>
        </w:rPr>
      </w:pPr>
      <w:r>
        <w:rPr>
          <w:color w:val="auto"/>
          <w:sz w:val="24"/>
          <w:highlight w:val="none"/>
        </w:rPr>
        <w:tab/>
      </w:r>
    </w:p>
    <w:p>
      <w:pPr>
        <w:spacing w:line="360" w:lineRule="auto"/>
        <w:rPr>
          <w:color w:val="auto"/>
          <w:sz w:val="24"/>
          <w:highlight w:val="none"/>
        </w:rPr>
      </w:pPr>
    </w:p>
    <w:p>
      <w:pPr>
        <w:spacing w:line="360" w:lineRule="auto"/>
        <w:rPr>
          <w:color w:val="auto"/>
          <w:sz w:val="24"/>
          <w:highlight w:val="none"/>
        </w:rPr>
      </w:pPr>
    </w:p>
    <w:p>
      <w:pPr>
        <w:tabs>
          <w:tab w:val="left" w:pos="606"/>
        </w:tabs>
        <w:rPr>
          <w:color w:val="auto"/>
          <w:highlight w:val="none"/>
        </w:rPr>
      </w:pPr>
      <w:r>
        <w:rPr>
          <w:rFonts w:hint="eastAsia"/>
          <w:color w:val="auto"/>
          <w:highlight w:val="none"/>
        </w:rPr>
        <w:t xml:space="preserve"> </w:t>
      </w:r>
    </w:p>
    <w:p>
      <w:pPr>
        <w:tabs>
          <w:tab w:val="left" w:pos="606"/>
        </w:tabs>
        <w:rPr>
          <w:color w:val="auto"/>
          <w:highlight w:val="none"/>
        </w:rPr>
      </w:pPr>
    </w:p>
    <w:p>
      <w:pPr>
        <w:tabs>
          <w:tab w:val="left" w:pos="606"/>
        </w:tabs>
        <w:rPr>
          <w:color w:val="auto"/>
          <w:highlight w:val="none"/>
        </w:rPr>
      </w:pPr>
    </w:p>
    <w:p>
      <w:pPr>
        <w:tabs>
          <w:tab w:val="left" w:pos="606"/>
        </w:tabs>
        <w:rPr>
          <w:color w:val="auto"/>
          <w:highlight w:val="none"/>
        </w:rPr>
      </w:pPr>
    </w:p>
    <w:p>
      <w:pPr>
        <w:tabs>
          <w:tab w:val="left" w:pos="606"/>
        </w:tabs>
        <w:rPr>
          <w:color w:val="auto"/>
          <w:highlight w:val="none"/>
        </w:rPr>
      </w:pPr>
    </w:p>
    <w:p>
      <w:pPr>
        <w:tabs>
          <w:tab w:val="left" w:pos="606"/>
        </w:tabs>
        <w:rPr>
          <w:color w:val="auto"/>
          <w:highlight w:val="none"/>
        </w:rPr>
      </w:pPr>
    </w:p>
    <w:p>
      <w:pPr>
        <w:tabs>
          <w:tab w:val="left" w:pos="606"/>
        </w:tabs>
        <w:rPr>
          <w:color w:val="auto"/>
          <w:highlight w:val="none"/>
        </w:rPr>
      </w:pPr>
    </w:p>
    <w:p>
      <w:pPr>
        <w:tabs>
          <w:tab w:val="left" w:pos="606"/>
        </w:tabs>
        <w:rPr>
          <w:color w:val="auto"/>
          <w:highlight w:val="none"/>
        </w:rPr>
      </w:pPr>
    </w:p>
    <w:p>
      <w:pPr>
        <w:tabs>
          <w:tab w:val="left" w:pos="606"/>
        </w:tabs>
        <w:rPr>
          <w:color w:val="auto"/>
          <w:highlight w:val="none"/>
        </w:rPr>
      </w:pPr>
    </w:p>
    <w:p>
      <w:pPr>
        <w:tabs>
          <w:tab w:val="left" w:pos="606"/>
        </w:tabs>
        <w:rPr>
          <w:color w:val="auto"/>
          <w:highlight w:val="none"/>
        </w:rPr>
      </w:pPr>
    </w:p>
    <w:p>
      <w:pPr>
        <w:tabs>
          <w:tab w:val="left" w:pos="606"/>
        </w:tabs>
        <w:rPr>
          <w:color w:val="auto"/>
          <w:highlight w:val="none"/>
        </w:rPr>
      </w:pPr>
    </w:p>
    <w:p>
      <w:pPr>
        <w:tabs>
          <w:tab w:val="left" w:pos="606"/>
        </w:tabs>
        <w:rPr>
          <w:color w:val="auto"/>
          <w:highlight w:val="none"/>
        </w:rPr>
      </w:pPr>
    </w:p>
    <w:p>
      <w:pPr>
        <w:tabs>
          <w:tab w:val="left" w:pos="606"/>
        </w:tabs>
        <w:rPr>
          <w:color w:val="auto"/>
          <w:highlight w:val="none"/>
        </w:rPr>
      </w:pPr>
    </w:p>
    <w:p>
      <w:pPr>
        <w:tabs>
          <w:tab w:val="left" w:pos="606"/>
        </w:tabs>
        <w:rPr>
          <w:color w:val="auto"/>
          <w:highlight w:val="none"/>
        </w:rPr>
      </w:pPr>
    </w:p>
    <w:p>
      <w:pPr>
        <w:tabs>
          <w:tab w:val="left" w:pos="606"/>
        </w:tabs>
        <w:rPr>
          <w:color w:val="auto"/>
          <w:highlight w:val="none"/>
        </w:rPr>
      </w:pPr>
    </w:p>
    <w:p>
      <w:pPr>
        <w:tabs>
          <w:tab w:val="left" w:pos="606"/>
        </w:tabs>
        <w:rPr>
          <w:color w:val="auto"/>
          <w:highlight w:val="none"/>
        </w:rPr>
      </w:pPr>
    </w:p>
    <w:p>
      <w:pPr>
        <w:tabs>
          <w:tab w:val="left" w:pos="606"/>
        </w:tabs>
        <w:rPr>
          <w:color w:val="auto"/>
          <w:highlight w:val="none"/>
        </w:rPr>
      </w:pPr>
    </w:p>
    <w:p>
      <w:pPr>
        <w:tabs>
          <w:tab w:val="left" w:pos="606"/>
        </w:tabs>
        <w:rPr>
          <w:color w:val="auto"/>
          <w:highlight w:val="none"/>
        </w:rPr>
      </w:pPr>
    </w:p>
    <w:p>
      <w:pPr>
        <w:tabs>
          <w:tab w:val="left" w:pos="606"/>
        </w:tabs>
        <w:rPr>
          <w:color w:val="auto"/>
          <w:highlight w:val="none"/>
        </w:rPr>
      </w:pPr>
    </w:p>
    <w:p>
      <w:pPr>
        <w:tabs>
          <w:tab w:val="left" w:pos="606"/>
        </w:tabs>
        <w:rPr>
          <w:color w:val="auto"/>
          <w:highlight w:val="none"/>
        </w:rPr>
      </w:pPr>
    </w:p>
    <w:p>
      <w:pPr>
        <w:tabs>
          <w:tab w:val="left" w:pos="606"/>
        </w:tabs>
        <w:rPr>
          <w:color w:val="auto"/>
          <w:highlight w:val="none"/>
        </w:rPr>
      </w:pPr>
    </w:p>
    <w:p>
      <w:pPr>
        <w:tabs>
          <w:tab w:val="left" w:pos="606"/>
        </w:tabs>
        <w:rPr>
          <w:color w:val="auto"/>
          <w:highlight w:val="none"/>
        </w:rPr>
      </w:pPr>
      <w:r>
        <w:rPr>
          <w:rFonts w:hint="eastAsia" w:ascii="宋体" w:hAnsi="宋体" w:cs="宋体"/>
          <w:b/>
          <w:color w:val="auto"/>
          <w:kern w:val="0"/>
          <w:sz w:val="36"/>
          <w:szCs w:val="36"/>
          <w:highlight w:val="none"/>
        </w:rPr>
        <w:t>附件</w:t>
      </w:r>
    </w:p>
    <w:p>
      <w:pPr>
        <w:tabs>
          <w:tab w:val="left" w:pos="606"/>
        </w:tabs>
        <w:rPr>
          <w:color w:val="auto"/>
          <w:highlight w:val="none"/>
        </w:rPr>
      </w:pPr>
      <w:r>
        <w:rPr>
          <w:rFonts w:hint="eastAsia"/>
          <w:color w:val="auto"/>
          <w:highlight w:val="none"/>
        </w:rPr>
        <w:t xml:space="preserve"> </w:t>
      </w:r>
    </w:p>
    <w:p>
      <w:pPr>
        <w:widowControl/>
        <w:shd w:val="clear" w:color="auto" w:fill="FFFFFF"/>
        <w:spacing w:line="360" w:lineRule="auto"/>
        <w:ind w:firstLine="48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中标通知书</w:t>
      </w:r>
    </w:p>
    <w:p>
      <w:pPr>
        <w:tabs>
          <w:tab w:val="left" w:pos="606"/>
        </w:tabs>
        <w:rPr>
          <w:color w:val="auto"/>
          <w:sz w:val="24"/>
          <w:highlight w:val="none"/>
        </w:rPr>
      </w:pPr>
    </w:p>
    <w:p>
      <w:pPr>
        <w:tabs>
          <w:tab w:val="left" w:pos="606"/>
        </w:tabs>
        <w:rPr>
          <w:color w:val="auto"/>
          <w:sz w:val="28"/>
          <w:szCs w:val="28"/>
          <w:highlight w:val="none"/>
        </w:rPr>
      </w:pPr>
      <w:r>
        <w:rPr>
          <w:rFonts w:hint="eastAsia"/>
          <w:color w:val="auto"/>
          <w:sz w:val="28"/>
          <w:szCs w:val="28"/>
          <w:highlight w:val="none"/>
          <w:u w:val="single"/>
        </w:rPr>
        <w:t xml:space="preserve">              </w:t>
      </w:r>
      <w:r>
        <w:rPr>
          <w:rFonts w:hint="eastAsia"/>
          <w:color w:val="auto"/>
          <w:sz w:val="28"/>
          <w:szCs w:val="28"/>
          <w:highlight w:val="none"/>
        </w:rPr>
        <w:t>公司：</w:t>
      </w:r>
    </w:p>
    <w:p>
      <w:pPr>
        <w:tabs>
          <w:tab w:val="left" w:pos="606"/>
        </w:tabs>
        <w:ind w:firstLine="420"/>
        <w:rPr>
          <w:color w:val="auto"/>
          <w:sz w:val="28"/>
          <w:szCs w:val="28"/>
          <w:highlight w:val="none"/>
        </w:rPr>
      </w:pPr>
      <w:r>
        <w:rPr>
          <w:rFonts w:hint="eastAsia"/>
          <w:color w:val="auto"/>
          <w:sz w:val="28"/>
          <w:szCs w:val="28"/>
          <w:highlight w:val="none"/>
          <w:u w:val="single"/>
        </w:rPr>
        <w:t>（代理机构名称）</w:t>
      </w:r>
      <w:r>
        <w:rPr>
          <w:rFonts w:hint="eastAsia"/>
          <w:color w:val="auto"/>
          <w:sz w:val="28"/>
          <w:szCs w:val="28"/>
          <w:highlight w:val="none"/>
        </w:rPr>
        <w:t>受</w:t>
      </w:r>
      <w:r>
        <w:rPr>
          <w:rFonts w:hint="eastAsia"/>
          <w:color w:val="auto"/>
          <w:sz w:val="28"/>
          <w:szCs w:val="28"/>
          <w:highlight w:val="none"/>
          <w:u w:val="single"/>
        </w:rPr>
        <w:t>（采购单位名称）</w:t>
      </w:r>
      <w:r>
        <w:rPr>
          <w:rFonts w:hint="eastAsia"/>
          <w:color w:val="auto"/>
          <w:sz w:val="28"/>
          <w:szCs w:val="28"/>
          <w:highlight w:val="none"/>
        </w:rPr>
        <w:t>的委托，就</w:t>
      </w:r>
      <w:r>
        <w:rPr>
          <w:rFonts w:hint="eastAsia"/>
          <w:color w:val="auto"/>
          <w:sz w:val="28"/>
          <w:szCs w:val="28"/>
          <w:highlight w:val="none"/>
          <w:u w:val="single"/>
        </w:rPr>
        <w:t xml:space="preserve">              项目</w:t>
      </w:r>
      <w:r>
        <w:rPr>
          <w:rFonts w:hint="eastAsia"/>
          <w:color w:val="auto"/>
          <w:sz w:val="28"/>
          <w:szCs w:val="28"/>
          <w:highlight w:val="none"/>
        </w:rPr>
        <w:t>（项目编号：</w:t>
      </w:r>
      <w:r>
        <w:rPr>
          <w:rFonts w:hint="eastAsia"/>
          <w:color w:val="auto"/>
          <w:sz w:val="28"/>
          <w:szCs w:val="28"/>
          <w:highlight w:val="none"/>
          <w:u w:val="single"/>
        </w:rPr>
        <w:t xml:space="preserve">            </w:t>
      </w:r>
      <w:r>
        <w:rPr>
          <w:rFonts w:hint="eastAsia"/>
          <w:color w:val="auto"/>
          <w:sz w:val="28"/>
          <w:szCs w:val="28"/>
          <w:highlight w:val="none"/>
        </w:rPr>
        <w:t>；审批编号：</w:t>
      </w:r>
      <w:r>
        <w:rPr>
          <w:rFonts w:hint="eastAsia"/>
          <w:color w:val="auto"/>
          <w:sz w:val="28"/>
          <w:szCs w:val="28"/>
          <w:highlight w:val="none"/>
          <w:u w:val="single"/>
        </w:rPr>
        <w:t xml:space="preserve">            </w:t>
      </w:r>
      <w:r>
        <w:rPr>
          <w:rFonts w:hint="eastAsia"/>
          <w:color w:val="auto"/>
          <w:sz w:val="28"/>
          <w:szCs w:val="28"/>
          <w:highlight w:val="none"/>
        </w:rPr>
        <w:t>）采用</w:t>
      </w:r>
      <w:r>
        <w:rPr>
          <w:rFonts w:hint="eastAsia"/>
          <w:color w:val="auto"/>
          <w:sz w:val="28"/>
          <w:szCs w:val="28"/>
          <w:highlight w:val="none"/>
          <w:u w:val="single"/>
        </w:rPr>
        <w:t xml:space="preserve">   </w:t>
      </w:r>
      <w:r>
        <w:rPr>
          <w:rFonts w:hint="eastAsia"/>
          <w:color w:val="auto"/>
          <w:sz w:val="28"/>
          <w:szCs w:val="28"/>
          <w:highlight w:val="none"/>
        </w:rPr>
        <w:t>方式进行采购。经采购人确认，贵单位为</w:t>
      </w:r>
      <w:r>
        <w:rPr>
          <w:rFonts w:hint="eastAsia"/>
          <w:color w:val="auto"/>
          <w:sz w:val="28"/>
          <w:szCs w:val="28"/>
          <w:highlight w:val="none"/>
          <w:u w:val="single"/>
        </w:rPr>
        <w:t xml:space="preserve">            </w:t>
      </w:r>
      <w:r>
        <w:rPr>
          <w:rFonts w:hint="eastAsia"/>
          <w:color w:val="auto"/>
          <w:sz w:val="28"/>
          <w:szCs w:val="28"/>
          <w:highlight w:val="none"/>
        </w:rPr>
        <w:t>项目的中标单位，具体内容如下：</w:t>
      </w:r>
    </w:p>
    <w:p>
      <w:pPr>
        <w:tabs>
          <w:tab w:val="left" w:pos="606"/>
        </w:tabs>
        <w:ind w:firstLine="420"/>
        <w:rPr>
          <w:color w:val="auto"/>
          <w:sz w:val="28"/>
          <w:szCs w:val="28"/>
          <w:highlight w:val="none"/>
        </w:rPr>
      </w:pPr>
    </w:p>
    <w:p>
      <w:pPr>
        <w:tabs>
          <w:tab w:val="left" w:pos="606"/>
        </w:tabs>
        <w:ind w:firstLine="420"/>
        <w:rPr>
          <w:color w:val="auto"/>
          <w:sz w:val="28"/>
          <w:szCs w:val="28"/>
          <w:highlight w:val="none"/>
        </w:rPr>
      </w:pPr>
    </w:p>
    <w:p>
      <w:pPr>
        <w:tabs>
          <w:tab w:val="left" w:pos="606"/>
        </w:tabs>
        <w:ind w:firstLine="420"/>
        <w:rPr>
          <w:color w:val="auto"/>
          <w:sz w:val="28"/>
          <w:szCs w:val="28"/>
          <w:highlight w:val="none"/>
        </w:rPr>
      </w:pPr>
      <w:r>
        <w:rPr>
          <w:rFonts w:hint="eastAsia"/>
          <w:color w:val="auto"/>
          <w:sz w:val="28"/>
          <w:szCs w:val="28"/>
          <w:highlight w:val="none"/>
        </w:rPr>
        <w:t>中标单位：</w:t>
      </w:r>
      <w:r>
        <w:rPr>
          <w:rFonts w:hint="eastAsia"/>
          <w:color w:val="auto"/>
          <w:sz w:val="28"/>
          <w:szCs w:val="28"/>
          <w:highlight w:val="none"/>
          <w:u w:val="single"/>
        </w:rPr>
        <w:t xml:space="preserve">             </w:t>
      </w:r>
      <w:r>
        <w:rPr>
          <w:rFonts w:hint="eastAsia"/>
          <w:color w:val="auto"/>
          <w:sz w:val="28"/>
          <w:szCs w:val="28"/>
          <w:highlight w:val="none"/>
        </w:rPr>
        <w:t>公司</w:t>
      </w:r>
    </w:p>
    <w:p>
      <w:pPr>
        <w:tabs>
          <w:tab w:val="left" w:pos="606"/>
        </w:tabs>
        <w:ind w:firstLine="420"/>
        <w:rPr>
          <w:color w:val="auto"/>
          <w:sz w:val="28"/>
          <w:szCs w:val="28"/>
          <w:highlight w:val="none"/>
        </w:rPr>
      </w:pPr>
      <w:r>
        <w:rPr>
          <w:rFonts w:hint="eastAsia"/>
          <w:color w:val="auto"/>
          <w:sz w:val="28"/>
          <w:szCs w:val="28"/>
          <w:highlight w:val="none"/>
        </w:rPr>
        <w:t>企业规模：□中型 □小型 □微型 □其他</w:t>
      </w:r>
    </w:p>
    <w:p>
      <w:pPr>
        <w:tabs>
          <w:tab w:val="left" w:pos="606"/>
        </w:tabs>
        <w:ind w:firstLine="420"/>
        <w:rPr>
          <w:color w:val="auto"/>
          <w:sz w:val="28"/>
          <w:szCs w:val="28"/>
          <w:highlight w:val="none"/>
        </w:rPr>
      </w:pPr>
      <w:r>
        <w:rPr>
          <w:rFonts w:hint="eastAsia"/>
          <w:color w:val="auto"/>
          <w:sz w:val="28"/>
          <w:szCs w:val="28"/>
          <w:highlight w:val="none"/>
        </w:rPr>
        <w:t>中标金额：</w:t>
      </w:r>
      <w:r>
        <w:rPr>
          <w:rFonts w:hint="eastAsia"/>
          <w:color w:val="auto"/>
          <w:sz w:val="28"/>
          <w:szCs w:val="28"/>
          <w:highlight w:val="none"/>
          <w:u w:val="single"/>
        </w:rPr>
        <w:t xml:space="preserve">                </w:t>
      </w:r>
      <w:r>
        <w:rPr>
          <w:rFonts w:hint="eastAsia"/>
          <w:color w:val="auto"/>
          <w:sz w:val="28"/>
          <w:szCs w:val="28"/>
          <w:highlight w:val="none"/>
        </w:rPr>
        <w:t xml:space="preserve">（￥ </w:t>
      </w:r>
      <w:r>
        <w:rPr>
          <w:rFonts w:hint="eastAsia"/>
          <w:color w:val="auto"/>
          <w:sz w:val="28"/>
          <w:szCs w:val="28"/>
          <w:highlight w:val="none"/>
          <w:u w:val="single"/>
        </w:rPr>
        <w:t xml:space="preserve">         </w:t>
      </w:r>
      <w:r>
        <w:rPr>
          <w:rFonts w:hint="eastAsia"/>
          <w:color w:val="auto"/>
          <w:sz w:val="28"/>
          <w:szCs w:val="28"/>
          <w:highlight w:val="none"/>
        </w:rPr>
        <w:t xml:space="preserve"> 元）</w:t>
      </w:r>
    </w:p>
    <w:p>
      <w:pPr>
        <w:tabs>
          <w:tab w:val="left" w:pos="606"/>
        </w:tabs>
        <w:ind w:firstLine="420"/>
        <w:rPr>
          <w:color w:val="auto"/>
          <w:sz w:val="28"/>
          <w:szCs w:val="28"/>
          <w:highlight w:val="none"/>
        </w:rPr>
      </w:pPr>
      <w:r>
        <w:rPr>
          <w:rFonts w:hint="eastAsia"/>
          <w:color w:val="auto"/>
          <w:sz w:val="28"/>
          <w:szCs w:val="28"/>
          <w:highlight w:val="none"/>
        </w:rPr>
        <w:t>交货时间：自合同签定之日起</w:t>
      </w:r>
      <w:r>
        <w:rPr>
          <w:rFonts w:hint="eastAsia"/>
          <w:color w:val="auto"/>
          <w:sz w:val="28"/>
          <w:szCs w:val="28"/>
          <w:highlight w:val="none"/>
          <w:u w:val="single"/>
        </w:rPr>
        <w:t xml:space="preserve">    </w:t>
      </w:r>
      <w:r>
        <w:rPr>
          <w:rFonts w:hint="eastAsia"/>
          <w:color w:val="auto"/>
          <w:sz w:val="28"/>
          <w:szCs w:val="28"/>
          <w:highlight w:val="none"/>
        </w:rPr>
        <w:t>天内</w:t>
      </w:r>
    </w:p>
    <w:p>
      <w:pPr>
        <w:tabs>
          <w:tab w:val="left" w:pos="606"/>
        </w:tabs>
        <w:ind w:firstLine="420"/>
        <w:rPr>
          <w:color w:val="auto"/>
          <w:sz w:val="28"/>
          <w:szCs w:val="28"/>
          <w:highlight w:val="none"/>
        </w:rPr>
      </w:pPr>
    </w:p>
    <w:p>
      <w:pPr>
        <w:tabs>
          <w:tab w:val="left" w:pos="606"/>
        </w:tabs>
        <w:ind w:firstLine="420"/>
        <w:rPr>
          <w:color w:val="auto"/>
          <w:sz w:val="28"/>
          <w:szCs w:val="28"/>
          <w:highlight w:val="none"/>
        </w:rPr>
      </w:pPr>
      <w:r>
        <w:rPr>
          <w:rFonts w:hint="eastAsia"/>
          <w:color w:val="auto"/>
          <w:sz w:val="28"/>
          <w:szCs w:val="28"/>
          <w:highlight w:val="none"/>
        </w:rPr>
        <w:t>请贵单位接此通知书后</w:t>
      </w:r>
      <w:r>
        <w:rPr>
          <w:rFonts w:hint="eastAsia"/>
          <w:color w:val="auto"/>
          <w:sz w:val="28"/>
          <w:szCs w:val="28"/>
          <w:highlight w:val="none"/>
          <w:u w:val="single"/>
        </w:rPr>
        <w:t xml:space="preserve">    </w:t>
      </w:r>
      <w:r>
        <w:rPr>
          <w:rFonts w:hint="eastAsia"/>
          <w:color w:val="auto"/>
          <w:sz w:val="28"/>
          <w:szCs w:val="28"/>
          <w:highlight w:val="none"/>
        </w:rPr>
        <w:t>日内尽快与采购人签订合同，并按采购文件要求和投标文件的承诺履行合同。</w:t>
      </w:r>
    </w:p>
    <w:p>
      <w:pPr>
        <w:tabs>
          <w:tab w:val="left" w:pos="606"/>
        </w:tabs>
        <w:ind w:firstLine="420"/>
        <w:rPr>
          <w:color w:val="auto"/>
          <w:sz w:val="28"/>
          <w:szCs w:val="28"/>
          <w:highlight w:val="none"/>
        </w:rPr>
      </w:pPr>
      <w:r>
        <w:rPr>
          <w:rFonts w:hint="eastAsia"/>
          <w:color w:val="auto"/>
          <w:sz w:val="28"/>
          <w:szCs w:val="28"/>
          <w:highlight w:val="none"/>
        </w:rPr>
        <w:t>特此通知！</w:t>
      </w:r>
    </w:p>
    <w:p>
      <w:pPr>
        <w:tabs>
          <w:tab w:val="left" w:pos="606"/>
        </w:tabs>
        <w:rPr>
          <w:color w:val="auto"/>
          <w:sz w:val="28"/>
          <w:szCs w:val="28"/>
          <w:highlight w:val="none"/>
        </w:rPr>
      </w:pPr>
    </w:p>
    <w:p>
      <w:pPr>
        <w:tabs>
          <w:tab w:val="left" w:pos="606"/>
        </w:tabs>
        <w:ind w:firstLine="4480" w:firstLineChars="1600"/>
        <w:rPr>
          <w:color w:val="auto"/>
          <w:sz w:val="28"/>
          <w:szCs w:val="28"/>
          <w:highlight w:val="none"/>
        </w:rPr>
      </w:pPr>
      <w:r>
        <w:rPr>
          <w:rFonts w:hint="eastAsia"/>
          <w:color w:val="auto"/>
          <w:sz w:val="28"/>
          <w:szCs w:val="28"/>
          <w:highlight w:val="none"/>
        </w:rPr>
        <w:t>采购单位（盖章）：</w:t>
      </w:r>
    </w:p>
    <w:p>
      <w:pPr>
        <w:tabs>
          <w:tab w:val="left" w:pos="606"/>
        </w:tabs>
        <w:ind w:firstLine="4480" w:firstLineChars="1600"/>
        <w:rPr>
          <w:color w:val="auto"/>
          <w:sz w:val="28"/>
          <w:szCs w:val="28"/>
          <w:highlight w:val="none"/>
        </w:rPr>
      </w:pPr>
      <w:r>
        <w:rPr>
          <w:rFonts w:hint="eastAsia"/>
          <w:color w:val="auto"/>
          <w:sz w:val="28"/>
          <w:szCs w:val="28"/>
          <w:highlight w:val="none"/>
        </w:rPr>
        <w:t>代理机构（盖章）：</w:t>
      </w:r>
    </w:p>
    <w:p>
      <w:pPr>
        <w:tabs>
          <w:tab w:val="left" w:pos="606"/>
        </w:tabs>
        <w:ind w:firstLine="4480" w:firstLineChars="1600"/>
        <w:rPr>
          <w:color w:val="auto"/>
          <w:sz w:val="28"/>
          <w:szCs w:val="28"/>
          <w:highlight w:val="none"/>
        </w:rPr>
      </w:pPr>
      <w:r>
        <w:rPr>
          <w:rFonts w:hint="eastAsia"/>
          <w:color w:val="auto"/>
          <w:sz w:val="28"/>
          <w:szCs w:val="28"/>
          <w:highlight w:val="none"/>
        </w:rPr>
        <w:t>日期：  年  月  日</w:t>
      </w:r>
    </w:p>
    <w:p>
      <w:pPr>
        <w:tabs>
          <w:tab w:val="left" w:pos="606"/>
        </w:tabs>
        <w:rPr>
          <w:color w:val="auto"/>
          <w:highlight w:val="none"/>
        </w:rPr>
      </w:pPr>
    </w:p>
    <w:sectPr>
      <w:headerReference r:id="rId3" w:type="default"/>
      <w:footerReference r:id="rId4" w:type="default"/>
      <w:footerReference r:id="rId5" w:type="even"/>
      <w:pgSz w:w="11906" w:h="16838"/>
      <w:pgMar w:top="1134" w:right="1469" w:bottom="1134" w:left="1440" w:header="851" w:footer="992"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Times New Roman”“">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page" w:x="9837" w:y="120"/>
      <w:rPr>
        <w:rStyle w:val="40"/>
        <w:rFonts w:ascii="仿宋" w:hAnsi="仿宋" w:eastAsia="仿宋"/>
        <w:sz w:val="28"/>
        <w:szCs w:val="28"/>
      </w:rPr>
    </w:pPr>
    <w:r>
      <w:rPr>
        <w:rFonts w:ascii="仿宋" w:hAnsi="仿宋" w:eastAsia="仿宋"/>
        <w:sz w:val="28"/>
        <w:szCs w:val="28"/>
      </w:rPr>
      <w:fldChar w:fldCharType="begin"/>
    </w:r>
    <w:r>
      <w:rPr>
        <w:rStyle w:val="40"/>
        <w:rFonts w:ascii="仿宋" w:hAnsi="仿宋" w:eastAsia="仿宋"/>
        <w:sz w:val="28"/>
        <w:szCs w:val="28"/>
      </w:rPr>
      <w:instrText xml:space="preserve">PAGE  </w:instrText>
    </w:r>
    <w:r>
      <w:rPr>
        <w:rFonts w:ascii="仿宋" w:hAnsi="仿宋" w:eastAsia="仿宋"/>
        <w:sz w:val="28"/>
        <w:szCs w:val="28"/>
      </w:rPr>
      <w:fldChar w:fldCharType="separate"/>
    </w:r>
    <w:r>
      <w:rPr>
        <w:rStyle w:val="40"/>
        <w:rFonts w:ascii="仿宋" w:hAnsi="仿宋" w:eastAsia="仿宋"/>
        <w:sz w:val="28"/>
        <w:szCs w:val="28"/>
      </w:rPr>
      <w:t>- 47 -</w:t>
    </w:r>
    <w:r>
      <w:rPr>
        <w:rFonts w:ascii="仿宋" w:hAnsi="仿宋" w:eastAsia="仿宋"/>
        <w:sz w:val="28"/>
        <w:szCs w:val="28"/>
      </w:rPr>
      <w:fldChar w:fldCharType="end"/>
    </w:r>
  </w:p>
  <w:p>
    <w:pPr>
      <w:pStyle w:val="26"/>
      <w:wordWrap w:val="0"/>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0"/>
      </w:rPr>
    </w:pPr>
    <w:r>
      <w:fldChar w:fldCharType="begin"/>
    </w:r>
    <w:r>
      <w:rPr>
        <w:rStyle w:val="40"/>
      </w:rPr>
      <w:instrText xml:space="preserve">PAGE  </w:instrText>
    </w:r>
    <w:r>
      <w:fldChar w:fldCharType="separate"/>
    </w:r>
    <w:r>
      <w:rPr>
        <w:rStyle w:val="40"/>
      </w:rPr>
      <w:t>5</w:t>
    </w:r>
    <w:r>
      <w:fldChar w:fldCharType="end"/>
    </w:r>
  </w:p>
  <w:p>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373D3D"/>
    <w:multiLevelType w:val="singleLevel"/>
    <w:tmpl w:val="9A373D3D"/>
    <w:lvl w:ilvl="0" w:tentative="0">
      <w:start w:val="1"/>
      <w:numFmt w:val="decimal"/>
      <w:suff w:val="nothing"/>
      <w:lvlText w:val="（%1）"/>
      <w:lvlJc w:val="left"/>
    </w:lvl>
  </w:abstractNum>
  <w:abstractNum w:abstractNumId="1">
    <w:nsid w:val="C42004C3"/>
    <w:multiLevelType w:val="multilevel"/>
    <w:tmpl w:val="C42004C3"/>
    <w:lvl w:ilvl="0" w:tentative="0">
      <w:start w:val="1"/>
      <w:numFmt w:val="chineseCounting"/>
      <w:suff w:val="space"/>
      <w:lvlText w:val="第%1章 "/>
      <w:lvlJc w:val="left"/>
      <w:pPr>
        <w:tabs>
          <w:tab w:val="left" w:pos="420"/>
        </w:tabs>
        <w:ind w:left="0" w:firstLine="0"/>
      </w:pPr>
      <w:rPr>
        <w:rFonts w:hint="eastAsia" w:ascii="宋体" w:hAnsi="宋体" w:eastAsia="宋体" w:cs="宋体"/>
      </w:rPr>
    </w:lvl>
    <w:lvl w:ilvl="1" w:tentative="0">
      <w:start w:val="1"/>
      <w:numFmt w:val="chineseCounting"/>
      <w:suff w:val="nothing"/>
      <w:lvlText w:val="%2、"/>
      <w:lvlJc w:val="left"/>
      <w:pPr>
        <w:tabs>
          <w:tab w:val="left" w:pos="420"/>
        </w:tabs>
        <w:ind w:left="0" w:firstLine="0"/>
      </w:pPr>
      <w:rPr>
        <w:rFonts w:hint="eastAsia" w:ascii="宋体" w:hAnsi="宋体" w:eastAsia="宋体" w:cs="宋体"/>
      </w:rPr>
    </w:lvl>
    <w:lvl w:ilvl="2" w:tentative="0">
      <w:start w:val="1"/>
      <w:numFmt w:val="decimal"/>
      <w:isLgl/>
      <w:suff w:val="nothing"/>
      <w:lvlText w:val="%3."/>
      <w:lvlJc w:val="left"/>
      <w:pPr>
        <w:ind w:left="0" w:firstLine="0"/>
      </w:pPr>
      <w:rPr>
        <w:rFonts w:hint="eastAsia" w:ascii="宋体" w:hAnsi="宋体" w:eastAsia="宋体" w:cs="宋体"/>
      </w:rPr>
    </w:lvl>
    <w:lvl w:ilvl="3" w:tentative="0">
      <w:start w:val="1"/>
      <w:numFmt w:val="decimal"/>
      <w:isLgl/>
      <w:suff w:val="space"/>
      <w:lvlText w:val="%3.%4"/>
      <w:lvlJc w:val="left"/>
      <w:pPr>
        <w:tabs>
          <w:tab w:val="left" w:pos="420"/>
        </w:tabs>
        <w:ind w:left="0" w:firstLine="0"/>
      </w:pPr>
      <w:rPr>
        <w:rFonts w:hint="eastAsia" w:ascii="宋体" w:hAnsi="宋体" w:eastAsia="宋体" w:cs="宋体"/>
      </w:rPr>
    </w:lvl>
    <w:lvl w:ilvl="4" w:tentative="0">
      <w:start w:val="1"/>
      <w:numFmt w:val="decimal"/>
      <w:isLgl/>
      <w:suff w:val="space"/>
      <w:lvlText w:val="%3.%4.%5"/>
      <w:lvlJc w:val="left"/>
      <w:pPr>
        <w:tabs>
          <w:tab w:val="left" w:pos="420"/>
        </w:tabs>
        <w:ind w:left="0" w:firstLine="0"/>
      </w:pPr>
      <w:rPr>
        <w:rFonts w:hint="eastAsia" w:ascii="宋体" w:hAnsi="宋体" w:eastAsia="宋体" w:cs="宋体"/>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0C990A7C"/>
    <w:multiLevelType w:val="multilevel"/>
    <w:tmpl w:val="0C990A7C"/>
    <w:lvl w:ilvl="0" w:tentative="0">
      <w:start w:val="1"/>
      <w:numFmt w:val="decimalEnclosedCircle"/>
      <w:lvlText w:val="%1"/>
      <w:lvlJc w:val="left"/>
      <w:pPr>
        <w:ind w:left="780" w:hanging="360"/>
      </w:pPr>
      <w:rPr>
        <w:rFonts w:hint="default" w:ascii="宋体" w:hAnsi="宋体" w:eastAsia="宋体" w:cs="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36C27214"/>
    <w:multiLevelType w:val="singleLevel"/>
    <w:tmpl w:val="36C27214"/>
    <w:lvl w:ilvl="0" w:tentative="0">
      <w:start w:val="1"/>
      <w:numFmt w:val="decimal"/>
      <w:suff w:val="nothing"/>
      <w:lvlText w:val="（%1）"/>
      <w:lvlJc w:val="left"/>
    </w:lvl>
  </w:abstractNum>
  <w:abstractNum w:abstractNumId="4">
    <w:nsid w:val="5D79EFBD"/>
    <w:multiLevelType w:val="singleLevel"/>
    <w:tmpl w:val="5D79EFBD"/>
    <w:lvl w:ilvl="0" w:tentative="0">
      <w:start w:val="1"/>
      <w:numFmt w:val="decimal"/>
      <w:suff w:val="nothing"/>
      <w:lvlText w:val="（%1）"/>
      <w:lvlJc w:val="left"/>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3"/>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TKO">
    <w15:presenceInfo w15:providerId="None" w15:userId="N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trackRevisions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FB3"/>
    <w:rsid w:val="000018B2"/>
    <w:rsid w:val="00002412"/>
    <w:rsid w:val="00003B77"/>
    <w:rsid w:val="00003BBB"/>
    <w:rsid w:val="00004144"/>
    <w:rsid w:val="000047E1"/>
    <w:rsid w:val="000051DB"/>
    <w:rsid w:val="00005459"/>
    <w:rsid w:val="000101C7"/>
    <w:rsid w:val="00010723"/>
    <w:rsid w:val="00010DF5"/>
    <w:rsid w:val="00012F37"/>
    <w:rsid w:val="000138A1"/>
    <w:rsid w:val="00013A8F"/>
    <w:rsid w:val="000151E5"/>
    <w:rsid w:val="000155B3"/>
    <w:rsid w:val="00016122"/>
    <w:rsid w:val="00016161"/>
    <w:rsid w:val="00020002"/>
    <w:rsid w:val="00020380"/>
    <w:rsid w:val="000206C1"/>
    <w:rsid w:val="00021396"/>
    <w:rsid w:val="00021538"/>
    <w:rsid w:val="000216DA"/>
    <w:rsid w:val="00021E5B"/>
    <w:rsid w:val="00022859"/>
    <w:rsid w:val="00023023"/>
    <w:rsid w:val="00023D0F"/>
    <w:rsid w:val="00024704"/>
    <w:rsid w:val="00024820"/>
    <w:rsid w:val="00024C51"/>
    <w:rsid w:val="000257B8"/>
    <w:rsid w:val="00026337"/>
    <w:rsid w:val="00027C7D"/>
    <w:rsid w:val="00030B35"/>
    <w:rsid w:val="00033872"/>
    <w:rsid w:val="00035C93"/>
    <w:rsid w:val="000369F0"/>
    <w:rsid w:val="00037C8F"/>
    <w:rsid w:val="000403D6"/>
    <w:rsid w:val="00041914"/>
    <w:rsid w:val="00042EAA"/>
    <w:rsid w:val="00043BC4"/>
    <w:rsid w:val="00044292"/>
    <w:rsid w:val="0004471C"/>
    <w:rsid w:val="00044AFC"/>
    <w:rsid w:val="00045544"/>
    <w:rsid w:val="00047850"/>
    <w:rsid w:val="00047B43"/>
    <w:rsid w:val="00047DE2"/>
    <w:rsid w:val="00051654"/>
    <w:rsid w:val="00051AB7"/>
    <w:rsid w:val="00052F51"/>
    <w:rsid w:val="00053BBB"/>
    <w:rsid w:val="00054AA4"/>
    <w:rsid w:val="0005564B"/>
    <w:rsid w:val="000559D1"/>
    <w:rsid w:val="00055E63"/>
    <w:rsid w:val="00057E52"/>
    <w:rsid w:val="00060462"/>
    <w:rsid w:val="000617D3"/>
    <w:rsid w:val="00062FB0"/>
    <w:rsid w:val="00063921"/>
    <w:rsid w:val="00063B5B"/>
    <w:rsid w:val="00064254"/>
    <w:rsid w:val="000652C6"/>
    <w:rsid w:val="0006661A"/>
    <w:rsid w:val="0007118E"/>
    <w:rsid w:val="000716A9"/>
    <w:rsid w:val="00071F3E"/>
    <w:rsid w:val="00072269"/>
    <w:rsid w:val="00072290"/>
    <w:rsid w:val="00072336"/>
    <w:rsid w:val="000729C9"/>
    <w:rsid w:val="000741B8"/>
    <w:rsid w:val="00074E24"/>
    <w:rsid w:val="000769AF"/>
    <w:rsid w:val="00076C98"/>
    <w:rsid w:val="0007739A"/>
    <w:rsid w:val="000773E2"/>
    <w:rsid w:val="0007747B"/>
    <w:rsid w:val="00077C95"/>
    <w:rsid w:val="00077DB1"/>
    <w:rsid w:val="00080BAD"/>
    <w:rsid w:val="00081110"/>
    <w:rsid w:val="00081458"/>
    <w:rsid w:val="00082002"/>
    <w:rsid w:val="00082A83"/>
    <w:rsid w:val="00082CA5"/>
    <w:rsid w:val="00083923"/>
    <w:rsid w:val="00083AFB"/>
    <w:rsid w:val="00083EFF"/>
    <w:rsid w:val="00084524"/>
    <w:rsid w:val="000857A5"/>
    <w:rsid w:val="00090D8B"/>
    <w:rsid w:val="000924A6"/>
    <w:rsid w:val="0009253B"/>
    <w:rsid w:val="000935E3"/>
    <w:rsid w:val="00094717"/>
    <w:rsid w:val="00096217"/>
    <w:rsid w:val="000970AC"/>
    <w:rsid w:val="00097C11"/>
    <w:rsid w:val="000A039F"/>
    <w:rsid w:val="000A0C3A"/>
    <w:rsid w:val="000A0D4E"/>
    <w:rsid w:val="000A43CD"/>
    <w:rsid w:val="000A47E9"/>
    <w:rsid w:val="000A5688"/>
    <w:rsid w:val="000A5E1E"/>
    <w:rsid w:val="000A628D"/>
    <w:rsid w:val="000A6742"/>
    <w:rsid w:val="000A7022"/>
    <w:rsid w:val="000B1DBC"/>
    <w:rsid w:val="000B28F9"/>
    <w:rsid w:val="000B39E5"/>
    <w:rsid w:val="000B44FD"/>
    <w:rsid w:val="000B4781"/>
    <w:rsid w:val="000B4F8C"/>
    <w:rsid w:val="000B5175"/>
    <w:rsid w:val="000B5395"/>
    <w:rsid w:val="000C045D"/>
    <w:rsid w:val="000C073F"/>
    <w:rsid w:val="000C1EB7"/>
    <w:rsid w:val="000C2F55"/>
    <w:rsid w:val="000C31A8"/>
    <w:rsid w:val="000C3698"/>
    <w:rsid w:val="000C42E9"/>
    <w:rsid w:val="000C5D12"/>
    <w:rsid w:val="000C6888"/>
    <w:rsid w:val="000C7FD3"/>
    <w:rsid w:val="000D0A3E"/>
    <w:rsid w:val="000D10AA"/>
    <w:rsid w:val="000D16B9"/>
    <w:rsid w:val="000D1DD8"/>
    <w:rsid w:val="000D2D2A"/>
    <w:rsid w:val="000D2D9F"/>
    <w:rsid w:val="000D3116"/>
    <w:rsid w:val="000D36D8"/>
    <w:rsid w:val="000D3EDF"/>
    <w:rsid w:val="000D60AC"/>
    <w:rsid w:val="000D76E9"/>
    <w:rsid w:val="000E09E7"/>
    <w:rsid w:val="000E13DA"/>
    <w:rsid w:val="000E2BF2"/>
    <w:rsid w:val="000E3B6A"/>
    <w:rsid w:val="000E53BC"/>
    <w:rsid w:val="000E5B3D"/>
    <w:rsid w:val="000E5F87"/>
    <w:rsid w:val="000E6095"/>
    <w:rsid w:val="000E69EB"/>
    <w:rsid w:val="000E7233"/>
    <w:rsid w:val="000E7768"/>
    <w:rsid w:val="000F07AD"/>
    <w:rsid w:val="000F08E9"/>
    <w:rsid w:val="000F09AE"/>
    <w:rsid w:val="000F11D7"/>
    <w:rsid w:val="000F165B"/>
    <w:rsid w:val="000F2036"/>
    <w:rsid w:val="000F6442"/>
    <w:rsid w:val="000F6D2F"/>
    <w:rsid w:val="00103631"/>
    <w:rsid w:val="0010495C"/>
    <w:rsid w:val="00105882"/>
    <w:rsid w:val="00107D65"/>
    <w:rsid w:val="00111699"/>
    <w:rsid w:val="00112461"/>
    <w:rsid w:val="001125BB"/>
    <w:rsid w:val="00112DA4"/>
    <w:rsid w:val="001134AC"/>
    <w:rsid w:val="001147A6"/>
    <w:rsid w:val="00115D3C"/>
    <w:rsid w:val="00116835"/>
    <w:rsid w:val="001174CC"/>
    <w:rsid w:val="00117513"/>
    <w:rsid w:val="00120030"/>
    <w:rsid w:val="001222FD"/>
    <w:rsid w:val="00122373"/>
    <w:rsid w:val="00126C3C"/>
    <w:rsid w:val="00127B0D"/>
    <w:rsid w:val="00131634"/>
    <w:rsid w:val="00132A72"/>
    <w:rsid w:val="00132EAF"/>
    <w:rsid w:val="00133516"/>
    <w:rsid w:val="00133C68"/>
    <w:rsid w:val="00133D32"/>
    <w:rsid w:val="001348F7"/>
    <w:rsid w:val="00134BF7"/>
    <w:rsid w:val="00135C75"/>
    <w:rsid w:val="0013616C"/>
    <w:rsid w:val="001363C7"/>
    <w:rsid w:val="00136755"/>
    <w:rsid w:val="001373D9"/>
    <w:rsid w:val="00137A35"/>
    <w:rsid w:val="00141869"/>
    <w:rsid w:val="001421B0"/>
    <w:rsid w:val="001431A2"/>
    <w:rsid w:val="00143F6C"/>
    <w:rsid w:val="00145F39"/>
    <w:rsid w:val="00146229"/>
    <w:rsid w:val="0015130F"/>
    <w:rsid w:val="00152112"/>
    <w:rsid w:val="00152A00"/>
    <w:rsid w:val="00152F44"/>
    <w:rsid w:val="00153268"/>
    <w:rsid w:val="001539F5"/>
    <w:rsid w:val="00153C62"/>
    <w:rsid w:val="0015431C"/>
    <w:rsid w:val="00154774"/>
    <w:rsid w:val="001576DC"/>
    <w:rsid w:val="00157B5E"/>
    <w:rsid w:val="001610A9"/>
    <w:rsid w:val="00161318"/>
    <w:rsid w:val="00162436"/>
    <w:rsid w:val="00162933"/>
    <w:rsid w:val="00163720"/>
    <w:rsid w:val="00163AC9"/>
    <w:rsid w:val="00163E3E"/>
    <w:rsid w:val="0016511C"/>
    <w:rsid w:val="001651AC"/>
    <w:rsid w:val="0016544B"/>
    <w:rsid w:val="00165540"/>
    <w:rsid w:val="00165BE5"/>
    <w:rsid w:val="001661C8"/>
    <w:rsid w:val="00166B37"/>
    <w:rsid w:val="001673D1"/>
    <w:rsid w:val="001708A0"/>
    <w:rsid w:val="001718A3"/>
    <w:rsid w:val="00171BA6"/>
    <w:rsid w:val="00172264"/>
    <w:rsid w:val="00172A27"/>
    <w:rsid w:val="00174B92"/>
    <w:rsid w:val="00175316"/>
    <w:rsid w:val="00175EC7"/>
    <w:rsid w:val="001763F7"/>
    <w:rsid w:val="00182748"/>
    <w:rsid w:val="0018400C"/>
    <w:rsid w:val="001844E5"/>
    <w:rsid w:val="001848FB"/>
    <w:rsid w:val="00184F87"/>
    <w:rsid w:val="00185886"/>
    <w:rsid w:val="001862A8"/>
    <w:rsid w:val="0018760E"/>
    <w:rsid w:val="00191828"/>
    <w:rsid w:val="00191EE3"/>
    <w:rsid w:val="001925D6"/>
    <w:rsid w:val="001929B1"/>
    <w:rsid w:val="00192BB1"/>
    <w:rsid w:val="00192EAE"/>
    <w:rsid w:val="0019336D"/>
    <w:rsid w:val="001936FC"/>
    <w:rsid w:val="00194697"/>
    <w:rsid w:val="001946BA"/>
    <w:rsid w:val="00195FAD"/>
    <w:rsid w:val="001A04E3"/>
    <w:rsid w:val="001A1890"/>
    <w:rsid w:val="001A2D19"/>
    <w:rsid w:val="001A3C11"/>
    <w:rsid w:val="001A4663"/>
    <w:rsid w:val="001A4A4E"/>
    <w:rsid w:val="001A4B8D"/>
    <w:rsid w:val="001A4C0D"/>
    <w:rsid w:val="001A4F50"/>
    <w:rsid w:val="001A5A2D"/>
    <w:rsid w:val="001A6969"/>
    <w:rsid w:val="001A7307"/>
    <w:rsid w:val="001A76BF"/>
    <w:rsid w:val="001A78AC"/>
    <w:rsid w:val="001A7A8C"/>
    <w:rsid w:val="001B0343"/>
    <w:rsid w:val="001B0DB9"/>
    <w:rsid w:val="001B14EF"/>
    <w:rsid w:val="001B170C"/>
    <w:rsid w:val="001B26C9"/>
    <w:rsid w:val="001B2961"/>
    <w:rsid w:val="001B367C"/>
    <w:rsid w:val="001B390C"/>
    <w:rsid w:val="001B54BF"/>
    <w:rsid w:val="001C0E03"/>
    <w:rsid w:val="001C1415"/>
    <w:rsid w:val="001C1598"/>
    <w:rsid w:val="001C19A3"/>
    <w:rsid w:val="001C2AA5"/>
    <w:rsid w:val="001C31A3"/>
    <w:rsid w:val="001C3217"/>
    <w:rsid w:val="001C3CB0"/>
    <w:rsid w:val="001C5AA2"/>
    <w:rsid w:val="001C7C08"/>
    <w:rsid w:val="001D4861"/>
    <w:rsid w:val="001D5062"/>
    <w:rsid w:val="001D5B06"/>
    <w:rsid w:val="001D5D53"/>
    <w:rsid w:val="001D64D7"/>
    <w:rsid w:val="001E01EA"/>
    <w:rsid w:val="001E02AB"/>
    <w:rsid w:val="001E2591"/>
    <w:rsid w:val="001E2DB4"/>
    <w:rsid w:val="001E2F8F"/>
    <w:rsid w:val="001E37E2"/>
    <w:rsid w:val="001E627A"/>
    <w:rsid w:val="001E73BF"/>
    <w:rsid w:val="001E7B03"/>
    <w:rsid w:val="001F141C"/>
    <w:rsid w:val="001F16C1"/>
    <w:rsid w:val="001F33C1"/>
    <w:rsid w:val="001F36DC"/>
    <w:rsid w:val="001F3F63"/>
    <w:rsid w:val="001F4726"/>
    <w:rsid w:val="001F5BAB"/>
    <w:rsid w:val="001F6869"/>
    <w:rsid w:val="002005E2"/>
    <w:rsid w:val="00202EDB"/>
    <w:rsid w:val="00203DF9"/>
    <w:rsid w:val="0020491D"/>
    <w:rsid w:val="00205253"/>
    <w:rsid w:val="00205680"/>
    <w:rsid w:val="002057F0"/>
    <w:rsid w:val="00206AA8"/>
    <w:rsid w:val="00206DF5"/>
    <w:rsid w:val="00207266"/>
    <w:rsid w:val="002077B3"/>
    <w:rsid w:val="0021061A"/>
    <w:rsid w:val="00210771"/>
    <w:rsid w:val="002124F4"/>
    <w:rsid w:val="002137B5"/>
    <w:rsid w:val="00214A62"/>
    <w:rsid w:val="00214CBF"/>
    <w:rsid w:val="002164C0"/>
    <w:rsid w:val="00216AC6"/>
    <w:rsid w:val="00216E58"/>
    <w:rsid w:val="002177B1"/>
    <w:rsid w:val="002247C5"/>
    <w:rsid w:val="0022542B"/>
    <w:rsid w:val="002259F1"/>
    <w:rsid w:val="0022720F"/>
    <w:rsid w:val="00227F47"/>
    <w:rsid w:val="0023068F"/>
    <w:rsid w:val="00230D7A"/>
    <w:rsid w:val="00232951"/>
    <w:rsid w:val="00232C3F"/>
    <w:rsid w:val="00235232"/>
    <w:rsid w:val="002359C0"/>
    <w:rsid w:val="00236031"/>
    <w:rsid w:val="002376BA"/>
    <w:rsid w:val="00237AD9"/>
    <w:rsid w:val="00242B54"/>
    <w:rsid w:val="002432EE"/>
    <w:rsid w:val="00243D33"/>
    <w:rsid w:val="0024404A"/>
    <w:rsid w:val="00244BA6"/>
    <w:rsid w:val="0024629D"/>
    <w:rsid w:val="00246BFE"/>
    <w:rsid w:val="002500C2"/>
    <w:rsid w:val="002507FB"/>
    <w:rsid w:val="002509AC"/>
    <w:rsid w:val="00250B90"/>
    <w:rsid w:val="00250C56"/>
    <w:rsid w:val="00251501"/>
    <w:rsid w:val="00252AA1"/>
    <w:rsid w:val="002544B1"/>
    <w:rsid w:val="0025574B"/>
    <w:rsid w:val="002559FD"/>
    <w:rsid w:val="00255ED5"/>
    <w:rsid w:val="00257011"/>
    <w:rsid w:val="00257E53"/>
    <w:rsid w:val="002610E8"/>
    <w:rsid w:val="0026139F"/>
    <w:rsid w:val="0026191E"/>
    <w:rsid w:val="002628A3"/>
    <w:rsid w:val="00262C22"/>
    <w:rsid w:val="0026391E"/>
    <w:rsid w:val="00263CDF"/>
    <w:rsid w:val="00265F19"/>
    <w:rsid w:val="00265FA8"/>
    <w:rsid w:val="00266ACD"/>
    <w:rsid w:val="00271260"/>
    <w:rsid w:val="00272691"/>
    <w:rsid w:val="0027586C"/>
    <w:rsid w:val="002760F5"/>
    <w:rsid w:val="0028067B"/>
    <w:rsid w:val="00282766"/>
    <w:rsid w:val="0028501D"/>
    <w:rsid w:val="002872DF"/>
    <w:rsid w:val="0029198C"/>
    <w:rsid w:val="00291A75"/>
    <w:rsid w:val="002930FA"/>
    <w:rsid w:val="0029402C"/>
    <w:rsid w:val="002944A1"/>
    <w:rsid w:val="002965FE"/>
    <w:rsid w:val="00296843"/>
    <w:rsid w:val="002969C5"/>
    <w:rsid w:val="00297897"/>
    <w:rsid w:val="00297B4E"/>
    <w:rsid w:val="002A0A45"/>
    <w:rsid w:val="002A0BA5"/>
    <w:rsid w:val="002A5011"/>
    <w:rsid w:val="002A56B5"/>
    <w:rsid w:val="002B1210"/>
    <w:rsid w:val="002B1227"/>
    <w:rsid w:val="002B184E"/>
    <w:rsid w:val="002B47C9"/>
    <w:rsid w:val="002B6F4C"/>
    <w:rsid w:val="002B7383"/>
    <w:rsid w:val="002B760E"/>
    <w:rsid w:val="002C1634"/>
    <w:rsid w:val="002C1C3C"/>
    <w:rsid w:val="002C22C6"/>
    <w:rsid w:val="002C25B2"/>
    <w:rsid w:val="002C2919"/>
    <w:rsid w:val="002C41A5"/>
    <w:rsid w:val="002C4AC2"/>
    <w:rsid w:val="002C5303"/>
    <w:rsid w:val="002C66A0"/>
    <w:rsid w:val="002C6969"/>
    <w:rsid w:val="002C74F0"/>
    <w:rsid w:val="002C7CC1"/>
    <w:rsid w:val="002C7D11"/>
    <w:rsid w:val="002D07C7"/>
    <w:rsid w:val="002D121B"/>
    <w:rsid w:val="002D23DB"/>
    <w:rsid w:val="002D24C0"/>
    <w:rsid w:val="002D3717"/>
    <w:rsid w:val="002D3FDF"/>
    <w:rsid w:val="002D41A7"/>
    <w:rsid w:val="002D49AA"/>
    <w:rsid w:val="002D4AE8"/>
    <w:rsid w:val="002D5288"/>
    <w:rsid w:val="002D5702"/>
    <w:rsid w:val="002D7055"/>
    <w:rsid w:val="002D71CB"/>
    <w:rsid w:val="002D72CD"/>
    <w:rsid w:val="002D7920"/>
    <w:rsid w:val="002D7A45"/>
    <w:rsid w:val="002D7D66"/>
    <w:rsid w:val="002E1235"/>
    <w:rsid w:val="002E31E0"/>
    <w:rsid w:val="002E3300"/>
    <w:rsid w:val="002E409D"/>
    <w:rsid w:val="002E44B9"/>
    <w:rsid w:val="002E4869"/>
    <w:rsid w:val="002E4A87"/>
    <w:rsid w:val="002E5932"/>
    <w:rsid w:val="002F1032"/>
    <w:rsid w:val="002F1CB1"/>
    <w:rsid w:val="002F477C"/>
    <w:rsid w:val="002F603B"/>
    <w:rsid w:val="002F626F"/>
    <w:rsid w:val="003007B7"/>
    <w:rsid w:val="00301578"/>
    <w:rsid w:val="003020F2"/>
    <w:rsid w:val="00302E13"/>
    <w:rsid w:val="003067E9"/>
    <w:rsid w:val="0031025B"/>
    <w:rsid w:val="003110B1"/>
    <w:rsid w:val="00311184"/>
    <w:rsid w:val="003162BD"/>
    <w:rsid w:val="003178A8"/>
    <w:rsid w:val="00321E4E"/>
    <w:rsid w:val="0032217D"/>
    <w:rsid w:val="00322397"/>
    <w:rsid w:val="00322E72"/>
    <w:rsid w:val="003249B8"/>
    <w:rsid w:val="0032588B"/>
    <w:rsid w:val="00325C46"/>
    <w:rsid w:val="00325C4C"/>
    <w:rsid w:val="00326F66"/>
    <w:rsid w:val="00327D3C"/>
    <w:rsid w:val="00330B45"/>
    <w:rsid w:val="00332F5C"/>
    <w:rsid w:val="0033511A"/>
    <w:rsid w:val="00335348"/>
    <w:rsid w:val="00336844"/>
    <w:rsid w:val="00337141"/>
    <w:rsid w:val="0033721D"/>
    <w:rsid w:val="00337783"/>
    <w:rsid w:val="00340717"/>
    <w:rsid w:val="00340773"/>
    <w:rsid w:val="00342453"/>
    <w:rsid w:val="003426F1"/>
    <w:rsid w:val="00342F9B"/>
    <w:rsid w:val="003454C5"/>
    <w:rsid w:val="00345B1E"/>
    <w:rsid w:val="00347B08"/>
    <w:rsid w:val="00350D29"/>
    <w:rsid w:val="00351B61"/>
    <w:rsid w:val="00352804"/>
    <w:rsid w:val="003532AC"/>
    <w:rsid w:val="00353C61"/>
    <w:rsid w:val="00355399"/>
    <w:rsid w:val="003555FE"/>
    <w:rsid w:val="00357AE2"/>
    <w:rsid w:val="00357F88"/>
    <w:rsid w:val="00360599"/>
    <w:rsid w:val="003627AE"/>
    <w:rsid w:val="00363340"/>
    <w:rsid w:val="00363468"/>
    <w:rsid w:val="003647B0"/>
    <w:rsid w:val="00364A10"/>
    <w:rsid w:val="00364C04"/>
    <w:rsid w:val="00366222"/>
    <w:rsid w:val="00366766"/>
    <w:rsid w:val="003675E8"/>
    <w:rsid w:val="003721CD"/>
    <w:rsid w:val="0037238D"/>
    <w:rsid w:val="00372B87"/>
    <w:rsid w:val="00372BCF"/>
    <w:rsid w:val="00376050"/>
    <w:rsid w:val="00376387"/>
    <w:rsid w:val="003766F2"/>
    <w:rsid w:val="00376B1F"/>
    <w:rsid w:val="00376F5B"/>
    <w:rsid w:val="00377E92"/>
    <w:rsid w:val="00380A17"/>
    <w:rsid w:val="0038100C"/>
    <w:rsid w:val="003810F6"/>
    <w:rsid w:val="003818A6"/>
    <w:rsid w:val="00384347"/>
    <w:rsid w:val="003845B1"/>
    <w:rsid w:val="0038550D"/>
    <w:rsid w:val="00385B6A"/>
    <w:rsid w:val="00385E26"/>
    <w:rsid w:val="00386F7D"/>
    <w:rsid w:val="0038779F"/>
    <w:rsid w:val="00387EB0"/>
    <w:rsid w:val="00390A14"/>
    <w:rsid w:val="00390E69"/>
    <w:rsid w:val="0039277D"/>
    <w:rsid w:val="003939BE"/>
    <w:rsid w:val="00393CD8"/>
    <w:rsid w:val="00394B7D"/>
    <w:rsid w:val="003962CA"/>
    <w:rsid w:val="0039659F"/>
    <w:rsid w:val="00396C3F"/>
    <w:rsid w:val="003A0600"/>
    <w:rsid w:val="003A0FBC"/>
    <w:rsid w:val="003A1395"/>
    <w:rsid w:val="003A17E0"/>
    <w:rsid w:val="003A1C4F"/>
    <w:rsid w:val="003A1EA5"/>
    <w:rsid w:val="003A2C33"/>
    <w:rsid w:val="003A50FF"/>
    <w:rsid w:val="003A6122"/>
    <w:rsid w:val="003A6291"/>
    <w:rsid w:val="003B158D"/>
    <w:rsid w:val="003B172E"/>
    <w:rsid w:val="003B2091"/>
    <w:rsid w:val="003B28E9"/>
    <w:rsid w:val="003B29BB"/>
    <w:rsid w:val="003B2D44"/>
    <w:rsid w:val="003B3CBC"/>
    <w:rsid w:val="003B587B"/>
    <w:rsid w:val="003B6B52"/>
    <w:rsid w:val="003C0AA7"/>
    <w:rsid w:val="003C2E53"/>
    <w:rsid w:val="003C35DC"/>
    <w:rsid w:val="003C420B"/>
    <w:rsid w:val="003C49CE"/>
    <w:rsid w:val="003C53DD"/>
    <w:rsid w:val="003C5C87"/>
    <w:rsid w:val="003C5FB8"/>
    <w:rsid w:val="003C62EC"/>
    <w:rsid w:val="003C79EE"/>
    <w:rsid w:val="003D0073"/>
    <w:rsid w:val="003D10B0"/>
    <w:rsid w:val="003D23ED"/>
    <w:rsid w:val="003D3E88"/>
    <w:rsid w:val="003D4925"/>
    <w:rsid w:val="003D4EBD"/>
    <w:rsid w:val="003D5203"/>
    <w:rsid w:val="003D7E15"/>
    <w:rsid w:val="003E0271"/>
    <w:rsid w:val="003E0F76"/>
    <w:rsid w:val="003E183C"/>
    <w:rsid w:val="003E222A"/>
    <w:rsid w:val="003E3C47"/>
    <w:rsid w:val="003E4B7D"/>
    <w:rsid w:val="003E6162"/>
    <w:rsid w:val="003E67B3"/>
    <w:rsid w:val="003F05E1"/>
    <w:rsid w:val="003F1510"/>
    <w:rsid w:val="003F266A"/>
    <w:rsid w:val="003F2680"/>
    <w:rsid w:val="003F2A8A"/>
    <w:rsid w:val="003F378D"/>
    <w:rsid w:val="003F4C74"/>
    <w:rsid w:val="003F4D4F"/>
    <w:rsid w:val="003F65CB"/>
    <w:rsid w:val="003F6F61"/>
    <w:rsid w:val="003F6FF6"/>
    <w:rsid w:val="00401B66"/>
    <w:rsid w:val="00401DEF"/>
    <w:rsid w:val="004023C3"/>
    <w:rsid w:val="00402447"/>
    <w:rsid w:val="00403F3A"/>
    <w:rsid w:val="00404FD6"/>
    <w:rsid w:val="00405031"/>
    <w:rsid w:val="0040529F"/>
    <w:rsid w:val="0040602B"/>
    <w:rsid w:val="00406FA3"/>
    <w:rsid w:val="0040775C"/>
    <w:rsid w:val="00411515"/>
    <w:rsid w:val="00411E75"/>
    <w:rsid w:val="00412F0F"/>
    <w:rsid w:val="00413375"/>
    <w:rsid w:val="00413D1B"/>
    <w:rsid w:val="004141E9"/>
    <w:rsid w:val="004146F9"/>
    <w:rsid w:val="00415C48"/>
    <w:rsid w:val="00416744"/>
    <w:rsid w:val="00416A17"/>
    <w:rsid w:val="00416AAE"/>
    <w:rsid w:val="00416ABF"/>
    <w:rsid w:val="00416C37"/>
    <w:rsid w:val="0041714F"/>
    <w:rsid w:val="0041720E"/>
    <w:rsid w:val="004211F3"/>
    <w:rsid w:val="00421586"/>
    <w:rsid w:val="00421702"/>
    <w:rsid w:val="00421CD4"/>
    <w:rsid w:val="004228C3"/>
    <w:rsid w:val="00422972"/>
    <w:rsid w:val="00424134"/>
    <w:rsid w:val="004249F9"/>
    <w:rsid w:val="00424C14"/>
    <w:rsid w:val="004251F1"/>
    <w:rsid w:val="0042525E"/>
    <w:rsid w:val="00425861"/>
    <w:rsid w:val="0043063A"/>
    <w:rsid w:val="00430ADD"/>
    <w:rsid w:val="004327FC"/>
    <w:rsid w:val="004339AC"/>
    <w:rsid w:val="00433C3C"/>
    <w:rsid w:val="00434B75"/>
    <w:rsid w:val="00434D0D"/>
    <w:rsid w:val="00436580"/>
    <w:rsid w:val="004410C9"/>
    <w:rsid w:val="00441232"/>
    <w:rsid w:val="00442B01"/>
    <w:rsid w:val="0044363C"/>
    <w:rsid w:val="00444098"/>
    <w:rsid w:val="004443CB"/>
    <w:rsid w:val="00444717"/>
    <w:rsid w:val="0044538B"/>
    <w:rsid w:val="0044649C"/>
    <w:rsid w:val="00446637"/>
    <w:rsid w:val="0044759A"/>
    <w:rsid w:val="004478E6"/>
    <w:rsid w:val="00447CD9"/>
    <w:rsid w:val="00451415"/>
    <w:rsid w:val="00451A9B"/>
    <w:rsid w:val="00452A5B"/>
    <w:rsid w:val="00452ADD"/>
    <w:rsid w:val="004531C8"/>
    <w:rsid w:val="0045324D"/>
    <w:rsid w:val="00453BAF"/>
    <w:rsid w:val="00454591"/>
    <w:rsid w:val="00454C48"/>
    <w:rsid w:val="00455186"/>
    <w:rsid w:val="00455526"/>
    <w:rsid w:val="004564F0"/>
    <w:rsid w:val="004564F6"/>
    <w:rsid w:val="00456E98"/>
    <w:rsid w:val="0046029F"/>
    <w:rsid w:val="00461C4D"/>
    <w:rsid w:val="0046305D"/>
    <w:rsid w:val="004645C7"/>
    <w:rsid w:val="00464C9F"/>
    <w:rsid w:val="004673E2"/>
    <w:rsid w:val="00467751"/>
    <w:rsid w:val="00467B09"/>
    <w:rsid w:val="004734AB"/>
    <w:rsid w:val="00474A5F"/>
    <w:rsid w:val="00476484"/>
    <w:rsid w:val="0047703F"/>
    <w:rsid w:val="004776B6"/>
    <w:rsid w:val="0047776A"/>
    <w:rsid w:val="0048029F"/>
    <w:rsid w:val="0048083B"/>
    <w:rsid w:val="00480E49"/>
    <w:rsid w:val="00481766"/>
    <w:rsid w:val="00481B0F"/>
    <w:rsid w:val="00482922"/>
    <w:rsid w:val="004832E5"/>
    <w:rsid w:val="004836BA"/>
    <w:rsid w:val="00484809"/>
    <w:rsid w:val="00484D66"/>
    <w:rsid w:val="00485ADE"/>
    <w:rsid w:val="00485D4F"/>
    <w:rsid w:val="00486292"/>
    <w:rsid w:val="004903AA"/>
    <w:rsid w:val="00491072"/>
    <w:rsid w:val="00492196"/>
    <w:rsid w:val="0049378B"/>
    <w:rsid w:val="00493CA0"/>
    <w:rsid w:val="00494271"/>
    <w:rsid w:val="00494E0D"/>
    <w:rsid w:val="0049537D"/>
    <w:rsid w:val="004954A4"/>
    <w:rsid w:val="0049559F"/>
    <w:rsid w:val="004960A8"/>
    <w:rsid w:val="00496DEE"/>
    <w:rsid w:val="004975B4"/>
    <w:rsid w:val="004A1815"/>
    <w:rsid w:val="004A250B"/>
    <w:rsid w:val="004A34ED"/>
    <w:rsid w:val="004A3558"/>
    <w:rsid w:val="004A496D"/>
    <w:rsid w:val="004A52E4"/>
    <w:rsid w:val="004A7021"/>
    <w:rsid w:val="004A777C"/>
    <w:rsid w:val="004A7E51"/>
    <w:rsid w:val="004B0462"/>
    <w:rsid w:val="004B1823"/>
    <w:rsid w:val="004B30A6"/>
    <w:rsid w:val="004B40E0"/>
    <w:rsid w:val="004B4808"/>
    <w:rsid w:val="004B4DAD"/>
    <w:rsid w:val="004B5134"/>
    <w:rsid w:val="004B5D46"/>
    <w:rsid w:val="004B5DBB"/>
    <w:rsid w:val="004B63EC"/>
    <w:rsid w:val="004B7B43"/>
    <w:rsid w:val="004B7C1C"/>
    <w:rsid w:val="004C005A"/>
    <w:rsid w:val="004C0099"/>
    <w:rsid w:val="004C09CC"/>
    <w:rsid w:val="004C0D91"/>
    <w:rsid w:val="004C10FF"/>
    <w:rsid w:val="004C11B5"/>
    <w:rsid w:val="004C1478"/>
    <w:rsid w:val="004C1D09"/>
    <w:rsid w:val="004C2E4E"/>
    <w:rsid w:val="004C348C"/>
    <w:rsid w:val="004C3D14"/>
    <w:rsid w:val="004C5992"/>
    <w:rsid w:val="004D060C"/>
    <w:rsid w:val="004D2324"/>
    <w:rsid w:val="004D5C06"/>
    <w:rsid w:val="004D5C4A"/>
    <w:rsid w:val="004D71E0"/>
    <w:rsid w:val="004D7A81"/>
    <w:rsid w:val="004E0B4D"/>
    <w:rsid w:val="004E0FBA"/>
    <w:rsid w:val="004E1896"/>
    <w:rsid w:val="004E2A11"/>
    <w:rsid w:val="004E3C9D"/>
    <w:rsid w:val="004E3D7B"/>
    <w:rsid w:val="004E426E"/>
    <w:rsid w:val="004E4284"/>
    <w:rsid w:val="004E47D8"/>
    <w:rsid w:val="004E5FBB"/>
    <w:rsid w:val="004E6040"/>
    <w:rsid w:val="004E6159"/>
    <w:rsid w:val="004E62FE"/>
    <w:rsid w:val="004F04EA"/>
    <w:rsid w:val="004F0763"/>
    <w:rsid w:val="004F0D18"/>
    <w:rsid w:val="004F138D"/>
    <w:rsid w:val="004F212A"/>
    <w:rsid w:val="004F5807"/>
    <w:rsid w:val="004F6021"/>
    <w:rsid w:val="004F610A"/>
    <w:rsid w:val="004F65BD"/>
    <w:rsid w:val="00500947"/>
    <w:rsid w:val="00500E1F"/>
    <w:rsid w:val="005011CA"/>
    <w:rsid w:val="00504FFD"/>
    <w:rsid w:val="005051D7"/>
    <w:rsid w:val="00505388"/>
    <w:rsid w:val="00506B15"/>
    <w:rsid w:val="0050711B"/>
    <w:rsid w:val="00507A2F"/>
    <w:rsid w:val="00510671"/>
    <w:rsid w:val="0051507B"/>
    <w:rsid w:val="005157EB"/>
    <w:rsid w:val="005174BB"/>
    <w:rsid w:val="00517F2A"/>
    <w:rsid w:val="005213EF"/>
    <w:rsid w:val="005216A0"/>
    <w:rsid w:val="00521FBB"/>
    <w:rsid w:val="0052482B"/>
    <w:rsid w:val="00524854"/>
    <w:rsid w:val="00525368"/>
    <w:rsid w:val="005264E9"/>
    <w:rsid w:val="005270AB"/>
    <w:rsid w:val="00527C88"/>
    <w:rsid w:val="00527D53"/>
    <w:rsid w:val="00531F67"/>
    <w:rsid w:val="00532049"/>
    <w:rsid w:val="005345A0"/>
    <w:rsid w:val="0053487F"/>
    <w:rsid w:val="00535B41"/>
    <w:rsid w:val="00535CC5"/>
    <w:rsid w:val="005373A1"/>
    <w:rsid w:val="005406A3"/>
    <w:rsid w:val="00540A3D"/>
    <w:rsid w:val="00541329"/>
    <w:rsid w:val="00543422"/>
    <w:rsid w:val="0054478E"/>
    <w:rsid w:val="00544BC0"/>
    <w:rsid w:val="00544E50"/>
    <w:rsid w:val="0054515D"/>
    <w:rsid w:val="00545492"/>
    <w:rsid w:val="00545F0A"/>
    <w:rsid w:val="005471AD"/>
    <w:rsid w:val="00550A5D"/>
    <w:rsid w:val="00550F28"/>
    <w:rsid w:val="005517FC"/>
    <w:rsid w:val="00551871"/>
    <w:rsid w:val="00554384"/>
    <w:rsid w:val="005570D6"/>
    <w:rsid w:val="00557120"/>
    <w:rsid w:val="005577DE"/>
    <w:rsid w:val="00557A46"/>
    <w:rsid w:val="00557F1C"/>
    <w:rsid w:val="0056052E"/>
    <w:rsid w:val="00560B5E"/>
    <w:rsid w:val="005616B6"/>
    <w:rsid w:val="00561808"/>
    <w:rsid w:val="00561884"/>
    <w:rsid w:val="00561DF5"/>
    <w:rsid w:val="0056204A"/>
    <w:rsid w:val="00563D84"/>
    <w:rsid w:val="00566148"/>
    <w:rsid w:val="00566309"/>
    <w:rsid w:val="00566B9B"/>
    <w:rsid w:val="00566CD5"/>
    <w:rsid w:val="00566F2F"/>
    <w:rsid w:val="0056740F"/>
    <w:rsid w:val="005679F4"/>
    <w:rsid w:val="005712B6"/>
    <w:rsid w:val="00571BA2"/>
    <w:rsid w:val="00572470"/>
    <w:rsid w:val="00572EF3"/>
    <w:rsid w:val="00574645"/>
    <w:rsid w:val="00574FD3"/>
    <w:rsid w:val="00575B5B"/>
    <w:rsid w:val="005766F7"/>
    <w:rsid w:val="00576BC9"/>
    <w:rsid w:val="00577328"/>
    <w:rsid w:val="0058035B"/>
    <w:rsid w:val="005830C6"/>
    <w:rsid w:val="00583FB7"/>
    <w:rsid w:val="00584693"/>
    <w:rsid w:val="00585411"/>
    <w:rsid w:val="00585F41"/>
    <w:rsid w:val="0058601D"/>
    <w:rsid w:val="005862D1"/>
    <w:rsid w:val="00586A85"/>
    <w:rsid w:val="00586D1F"/>
    <w:rsid w:val="00591091"/>
    <w:rsid w:val="005911C7"/>
    <w:rsid w:val="00591964"/>
    <w:rsid w:val="00591AAC"/>
    <w:rsid w:val="005928E3"/>
    <w:rsid w:val="005939B2"/>
    <w:rsid w:val="00593BDA"/>
    <w:rsid w:val="0059489C"/>
    <w:rsid w:val="00597889"/>
    <w:rsid w:val="005A0014"/>
    <w:rsid w:val="005A08E5"/>
    <w:rsid w:val="005A0B11"/>
    <w:rsid w:val="005A18DF"/>
    <w:rsid w:val="005A2030"/>
    <w:rsid w:val="005A4453"/>
    <w:rsid w:val="005A4C93"/>
    <w:rsid w:val="005A5137"/>
    <w:rsid w:val="005A5528"/>
    <w:rsid w:val="005A5F07"/>
    <w:rsid w:val="005A662A"/>
    <w:rsid w:val="005A6755"/>
    <w:rsid w:val="005A7403"/>
    <w:rsid w:val="005A7793"/>
    <w:rsid w:val="005B0C26"/>
    <w:rsid w:val="005B0CBC"/>
    <w:rsid w:val="005B14F7"/>
    <w:rsid w:val="005B1B28"/>
    <w:rsid w:val="005B2600"/>
    <w:rsid w:val="005B29CA"/>
    <w:rsid w:val="005B305B"/>
    <w:rsid w:val="005B30AD"/>
    <w:rsid w:val="005B413A"/>
    <w:rsid w:val="005B4296"/>
    <w:rsid w:val="005B5996"/>
    <w:rsid w:val="005B6705"/>
    <w:rsid w:val="005B7B28"/>
    <w:rsid w:val="005C0CAE"/>
    <w:rsid w:val="005C18A3"/>
    <w:rsid w:val="005C1B38"/>
    <w:rsid w:val="005C325C"/>
    <w:rsid w:val="005C49AE"/>
    <w:rsid w:val="005C5048"/>
    <w:rsid w:val="005C60E9"/>
    <w:rsid w:val="005C736C"/>
    <w:rsid w:val="005C7F46"/>
    <w:rsid w:val="005D1088"/>
    <w:rsid w:val="005D1768"/>
    <w:rsid w:val="005D2219"/>
    <w:rsid w:val="005D23EA"/>
    <w:rsid w:val="005D365E"/>
    <w:rsid w:val="005D4BB0"/>
    <w:rsid w:val="005D529C"/>
    <w:rsid w:val="005E024A"/>
    <w:rsid w:val="005E04C2"/>
    <w:rsid w:val="005E09FC"/>
    <w:rsid w:val="005E24ED"/>
    <w:rsid w:val="005E3449"/>
    <w:rsid w:val="005E73ED"/>
    <w:rsid w:val="005F1538"/>
    <w:rsid w:val="005F18ED"/>
    <w:rsid w:val="005F2607"/>
    <w:rsid w:val="005F3A52"/>
    <w:rsid w:val="005F416A"/>
    <w:rsid w:val="005F66D9"/>
    <w:rsid w:val="006006DA"/>
    <w:rsid w:val="0060092E"/>
    <w:rsid w:val="0060140C"/>
    <w:rsid w:val="00602084"/>
    <w:rsid w:val="00602D7D"/>
    <w:rsid w:val="0060389B"/>
    <w:rsid w:val="00603DDF"/>
    <w:rsid w:val="006066D8"/>
    <w:rsid w:val="006067B9"/>
    <w:rsid w:val="00606AE0"/>
    <w:rsid w:val="006071E6"/>
    <w:rsid w:val="0060727A"/>
    <w:rsid w:val="006108AC"/>
    <w:rsid w:val="00611FE0"/>
    <w:rsid w:val="00613019"/>
    <w:rsid w:val="00613A2E"/>
    <w:rsid w:val="00613C5A"/>
    <w:rsid w:val="006143D7"/>
    <w:rsid w:val="006144FE"/>
    <w:rsid w:val="00614FA8"/>
    <w:rsid w:val="0061619C"/>
    <w:rsid w:val="0061711B"/>
    <w:rsid w:val="00621D99"/>
    <w:rsid w:val="00622AE9"/>
    <w:rsid w:val="00622D30"/>
    <w:rsid w:val="00622F79"/>
    <w:rsid w:val="006238A5"/>
    <w:rsid w:val="00624091"/>
    <w:rsid w:val="00624F75"/>
    <w:rsid w:val="00626726"/>
    <w:rsid w:val="00626C94"/>
    <w:rsid w:val="00627087"/>
    <w:rsid w:val="00627EB7"/>
    <w:rsid w:val="006300D8"/>
    <w:rsid w:val="0063029A"/>
    <w:rsid w:val="00630395"/>
    <w:rsid w:val="00631C4B"/>
    <w:rsid w:val="0063241C"/>
    <w:rsid w:val="00632D71"/>
    <w:rsid w:val="00633C7E"/>
    <w:rsid w:val="00633FDF"/>
    <w:rsid w:val="00634321"/>
    <w:rsid w:val="006346B9"/>
    <w:rsid w:val="0063552A"/>
    <w:rsid w:val="00637ACC"/>
    <w:rsid w:val="00640662"/>
    <w:rsid w:val="00642F11"/>
    <w:rsid w:val="006434CB"/>
    <w:rsid w:val="006439C6"/>
    <w:rsid w:val="00644E33"/>
    <w:rsid w:val="00644E78"/>
    <w:rsid w:val="00644F73"/>
    <w:rsid w:val="00644FC0"/>
    <w:rsid w:val="00646352"/>
    <w:rsid w:val="00646C96"/>
    <w:rsid w:val="006476AD"/>
    <w:rsid w:val="0065010E"/>
    <w:rsid w:val="00650D96"/>
    <w:rsid w:val="00650DE4"/>
    <w:rsid w:val="00651D59"/>
    <w:rsid w:val="00652332"/>
    <w:rsid w:val="00652A8D"/>
    <w:rsid w:val="00652D76"/>
    <w:rsid w:val="00652FEE"/>
    <w:rsid w:val="00653FC1"/>
    <w:rsid w:val="006542C4"/>
    <w:rsid w:val="006543C9"/>
    <w:rsid w:val="006568ED"/>
    <w:rsid w:val="00656C5A"/>
    <w:rsid w:val="00656E78"/>
    <w:rsid w:val="006571BD"/>
    <w:rsid w:val="006573CA"/>
    <w:rsid w:val="00657C59"/>
    <w:rsid w:val="00660C25"/>
    <w:rsid w:val="00661794"/>
    <w:rsid w:val="006625AC"/>
    <w:rsid w:val="00663640"/>
    <w:rsid w:val="00663E5B"/>
    <w:rsid w:val="00665EE2"/>
    <w:rsid w:val="00666E90"/>
    <w:rsid w:val="0067114C"/>
    <w:rsid w:val="006711B2"/>
    <w:rsid w:val="0067202E"/>
    <w:rsid w:val="00673A13"/>
    <w:rsid w:val="006758B8"/>
    <w:rsid w:val="00676634"/>
    <w:rsid w:val="006812F0"/>
    <w:rsid w:val="006813F1"/>
    <w:rsid w:val="00681B0C"/>
    <w:rsid w:val="0068257E"/>
    <w:rsid w:val="006828FB"/>
    <w:rsid w:val="00682E9E"/>
    <w:rsid w:val="00683108"/>
    <w:rsid w:val="00683348"/>
    <w:rsid w:val="006838E5"/>
    <w:rsid w:val="006870FB"/>
    <w:rsid w:val="0068744D"/>
    <w:rsid w:val="0069064F"/>
    <w:rsid w:val="0069096F"/>
    <w:rsid w:val="00691E40"/>
    <w:rsid w:val="00691ED8"/>
    <w:rsid w:val="00695231"/>
    <w:rsid w:val="00696B54"/>
    <w:rsid w:val="00696EA4"/>
    <w:rsid w:val="006A0888"/>
    <w:rsid w:val="006A0A97"/>
    <w:rsid w:val="006A0E78"/>
    <w:rsid w:val="006A24E1"/>
    <w:rsid w:val="006A3AC4"/>
    <w:rsid w:val="006A43D1"/>
    <w:rsid w:val="006A6AC6"/>
    <w:rsid w:val="006B0382"/>
    <w:rsid w:val="006B3599"/>
    <w:rsid w:val="006B3F10"/>
    <w:rsid w:val="006B4A80"/>
    <w:rsid w:val="006B5BE7"/>
    <w:rsid w:val="006B6523"/>
    <w:rsid w:val="006C03AA"/>
    <w:rsid w:val="006C0AB1"/>
    <w:rsid w:val="006C0B18"/>
    <w:rsid w:val="006C36CE"/>
    <w:rsid w:val="006C39A1"/>
    <w:rsid w:val="006C3D05"/>
    <w:rsid w:val="006C40AA"/>
    <w:rsid w:val="006C568C"/>
    <w:rsid w:val="006C5C99"/>
    <w:rsid w:val="006C6448"/>
    <w:rsid w:val="006C75F5"/>
    <w:rsid w:val="006C7E4C"/>
    <w:rsid w:val="006D1030"/>
    <w:rsid w:val="006D1282"/>
    <w:rsid w:val="006D2143"/>
    <w:rsid w:val="006D272A"/>
    <w:rsid w:val="006D42B5"/>
    <w:rsid w:val="006D5E49"/>
    <w:rsid w:val="006D6E63"/>
    <w:rsid w:val="006D74D3"/>
    <w:rsid w:val="006D75A8"/>
    <w:rsid w:val="006D7B1C"/>
    <w:rsid w:val="006E093E"/>
    <w:rsid w:val="006E1492"/>
    <w:rsid w:val="006E38B4"/>
    <w:rsid w:val="006E4CE4"/>
    <w:rsid w:val="006E5300"/>
    <w:rsid w:val="006E713C"/>
    <w:rsid w:val="006E7BEF"/>
    <w:rsid w:val="006E7FAE"/>
    <w:rsid w:val="006F04A4"/>
    <w:rsid w:val="006F0E50"/>
    <w:rsid w:val="006F1260"/>
    <w:rsid w:val="006F32D2"/>
    <w:rsid w:val="006F3FC3"/>
    <w:rsid w:val="006F47E5"/>
    <w:rsid w:val="006F6B1B"/>
    <w:rsid w:val="006F6CED"/>
    <w:rsid w:val="006F7014"/>
    <w:rsid w:val="00700620"/>
    <w:rsid w:val="00702215"/>
    <w:rsid w:val="00704446"/>
    <w:rsid w:val="00704C5A"/>
    <w:rsid w:val="00705393"/>
    <w:rsid w:val="00706672"/>
    <w:rsid w:val="007076EA"/>
    <w:rsid w:val="00710F93"/>
    <w:rsid w:val="00711501"/>
    <w:rsid w:val="00712B0E"/>
    <w:rsid w:val="00713159"/>
    <w:rsid w:val="007132B2"/>
    <w:rsid w:val="00716F83"/>
    <w:rsid w:val="0071704A"/>
    <w:rsid w:val="007177B4"/>
    <w:rsid w:val="00717ECF"/>
    <w:rsid w:val="00720583"/>
    <w:rsid w:val="00720667"/>
    <w:rsid w:val="00720D37"/>
    <w:rsid w:val="0072101E"/>
    <w:rsid w:val="00721A36"/>
    <w:rsid w:val="00722CA1"/>
    <w:rsid w:val="00724CB3"/>
    <w:rsid w:val="0072513B"/>
    <w:rsid w:val="00725687"/>
    <w:rsid w:val="007259B7"/>
    <w:rsid w:val="00725EF9"/>
    <w:rsid w:val="00727C3E"/>
    <w:rsid w:val="00727E43"/>
    <w:rsid w:val="00731C80"/>
    <w:rsid w:val="00732CA0"/>
    <w:rsid w:val="007342EA"/>
    <w:rsid w:val="00734411"/>
    <w:rsid w:val="00735EB9"/>
    <w:rsid w:val="007360CA"/>
    <w:rsid w:val="00736D48"/>
    <w:rsid w:val="007414E5"/>
    <w:rsid w:val="00741518"/>
    <w:rsid w:val="00743BC3"/>
    <w:rsid w:val="00743CDA"/>
    <w:rsid w:val="00744205"/>
    <w:rsid w:val="0074430D"/>
    <w:rsid w:val="00744891"/>
    <w:rsid w:val="00746C35"/>
    <w:rsid w:val="00746E6A"/>
    <w:rsid w:val="007508A5"/>
    <w:rsid w:val="00751C7A"/>
    <w:rsid w:val="00752670"/>
    <w:rsid w:val="00754BB9"/>
    <w:rsid w:val="00755100"/>
    <w:rsid w:val="00755C87"/>
    <w:rsid w:val="00755CE3"/>
    <w:rsid w:val="007604ED"/>
    <w:rsid w:val="007607CD"/>
    <w:rsid w:val="007633BD"/>
    <w:rsid w:val="00764AC7"/>
    <w:rsid w:val="00765FED"/>
    <w:rsid w:val="00766B22"/>
    <w:rsid w:val="00767981"/>
    <w:rsid w:val="00772BA9"/>
    <w:rsid w:val="00773C9F"/>
    <w:rsid w:val="007744F1"/>
    <w:rsid w:val="00775EDD"/>
    <w:rsid w:val="007771C3"/>
    <w:rsid w:val="007815D7"/>
    <w:rsid w:val="007821F1"/>
    <w:rsid w:val="00782678"/>
    <w:rsid w:val="00782E5C"/>
    <w:rsid w:val="00783C32"/>
    <w:rsid w:val="00783CDE"/>
    <w:rsid w:val="0078682B"/>
    <w:rsid w:val="00786E34"/>
    <w:rsid w:val="007903FD"/>
    <w:rsid w:val="00790FFB"/>
    <w:rsid w:val="0079359B"/>
    <w:rsid w:val="00795F26"/>
    <w:rsid w:val="00796F88"/>
    <w:rsid w:val="007A0C70"/>
    <w:rsid w:val="007A1126"/>
    <w:rsid w:val="007A144A"/>
    <w:rsid w:val="007A18AE"/>
    <w:rsid w:val="007A1AD0"/>
    <w:rsid w:val="007A28C1"/>
    <w:rsid w:val="007A57A9"/>
    <w:rsid w:val="007A6C52"/>
    <w:rsid w:val="007A6D8D"/>
    <w:rsid w:val="007B00E1"/>
    <w:rsid w:val="007B0ECA"/>
    <w:rsid w:val="007B1D25"/>
    <w:rsid w:val="007B374C"/>
    <w:rsid w:val="007B5435"/>
    <w:rsid w:val="007B5CCB"/>
    <w:rsid w:val="007B7269"/>
    <w:rsid w:val="007B7727"/>
    <w:rsid w:val="007B7FF2"/>
    <w:rsid w:val="007C06C5"/>
    <w:rsid w:val="007C0B2E"/>
    <w:rsid w:val="007C11DD"/>
    <w:rsid w:val="007C18BA"/>
    <w:rsid w:val="007C1D07"/>
    <w:rsid w:val="007C2AD0"/>
    <w:rsid w:val="007C428F"/>
    <w:rsid w:val="007C4A01"/>
    <w:rsid w:val="007C4BB4"/>
    <w:rsid w:val="007C51C8"/>
    <w:rsid w:val="007C5AC4"/>
    <w:rsid w:val="007C7CC3"/>
    <w:rsid w:val="007C7DFD"/>
    <w:rsid w:val="007D000F"/>
    <w:rsid w:val="007D1895"/>
    <w:rsid w:val="007D199A"/>
    <w:rsid w:val="007D28DC"/>
    <w:rsid w:val="007D2CA3"/>
    <w:rsid w:val="007D2FB0"/>
    <w:rsid w:val="007D3E61"/>
    <w:rsid w:val="007D468D"/>
    <w:rsid w:val="007D51D2"/>
    <w:rsid w:val="007D552F"/>
    <w:rsid w:val="007D5BD2"/>
    <w:rsid w:val="007D5CCA"/>
    <w:rsid w:val="007D5FED"/>
    <w:rsid w:val="007E14EB"/>
    <w:rsid w:val="007E2903"/>
    <w:rsid w:val="007E292B"/>
    <w:rsid w:val="007E303F"/>
    <w:rsid w:val="007E34F9"/>
    <w:rsid w:val="007E6678"/>
    <w:rsid w:val="007E6725"/>
    <w:rsid w:val="007F1378"/>
    <w:rsid w:val="007F302F"/>
    <w:rsid w:val="007F3FFE"/>
    <w:rsid w:val="007F5430"/>
    <w:rsid w:val="007F5C58"/>
    <w:rsid w:val="0080094F"/>
    <w:rsid w:val="008024F5"/>
    <w:rsid w:val="008028CF"/>
    <w:rsid w:val="00802E87"/>
    <w:rsid w:val="00803608"/>
    <w:rsid w:val="00803831"/>
    <w:rsid w:val="00803DDF"/>
    <w:rsid w:val="00806C7B"/>
    <w:rsid w:val="00807BE2"/>
    <w:rsid w:val="00811D59"/>
    <w:rsid w:val="00812218"/>
    <w:rsid w:val="00814583"/>
    <w:rsid w:val="00814E85"/>
    <w:rsid w:val="0081563A"/>
    <w:rsid w:val="0082369D"/>
    <w:rsid w:val="00823FC6"/>
    <w:rsid w:val="0082420E"/>
    <w:rsid w:val="0082467B"/>
    <w:rsid w:val="00824E6A"/>
    <w:rsid w:val="00824EFB"/>
    <w:rsid w:val="00825623"/>
    <w:rsid w:val="00825D72"/>
    <w:rsid w:val="00825F07"/>
    <w:rsid w:val="00826002"/>
    <w:rsid w:val="0082657A"/>
    <w:rsid w:val="00826637"/>
    <w:rsid w:val="008271A9"/>
    <w:rsid w:val="008274F8"/>
    <w:rsid w:val="00830089"/>
    <w:rsid w:val="00830527"/>
    <w:rsid w:val="008329ED"/>
    <w:rsid w:val="008344B1"/>
    <w:rsid w:val="008364BD"/>
    <w:rsid w:val="0083740A"/>
    <w:rsid w:val="0083749A"/>
    <w:rsid w:val="0083750A"/>
    <w:rsid w:val="00837F42"/>
    <w:rsid w:val="00841FE8"/>
    <w:rsid w:val="00842202"/>
    <w:rsid w:val="008422B7"/>
    <w:rsid w:val="0084262D"/>
    <w:rsid w:val="00843539"/>
    <w:rsid w:val="0084403C"/>
    <w:rsid w:val="00844417"/>
    <w:rsid w:val="0084496E"/>
    <w:rsid w:val="00844A7D"/>
    <w:rsid w:val="00844AE0"/>
    <w:rsid w:val="00846BF3"/>
    <w:rsid w:val="00847032"/>
    <w:rsid w:val="008473D5"/>
    <w:rsid w:val="00850386"/>
    <w:rsid w:val="00850A33"/>
    <w:rsid w:val="0085157E"/>
    <w:rsid w:val="0085190E"/>
    <w:rsid w:val="008520CE"/>
    <w:rsid w:val="008524CF"/>
    <w:rsid w:val="00853C98"/>
    <w:rsid w:val="00853EFC"/>
    <w:rsid w:val="008551FF"/>
    <w:rsid w:val="00855916"/>
    <w:rsid w:val="00856703"/>
    <w:rsid w:val="00856A75"/>
    <w:rsid w:val="00857925"/>
    <w:rsid w:val="0086035F"/>
    <w:rsid w:val="00860855"/>
    <w:rsid w:val="00861C03"/>
    <w:rsid w:val="00864153"/>
    <w:rsid w:val="008642D1"/>
    <w:rsid w:val="00864CD7"/>
    <w:rsid w:val="00865E52"/>
    <w:rsid w:val="00866379"/>
    <w:rsid w:val="0087022D"/>
    <w:rsid w:val="00870AE9"/>
    <w:rsid w:val="00870C14"/>
    <w:rsid w:val="00872669"/>
    <w:rsid w:val="008733E5"/>
    <w:rsid w:val="00873EA2"/>
    <w:rsid w:val="00874E61"/>
    <w:rsid w:val="00876D70"/>
    <w:rsid w:val="00876E3A"/>
    <w:rsid w:val="00877417"/>
    <w:rsid w:val="00877EFC"/>
    <w:rsid w:val="0088176B"/>
    <w:rsid w:val="00881DD3"/>
    <w:rsid w:val="008834CB"/>
    <w:rsid w:val="008836ED"/>
    <w:rsid w:val="008839C7"/>
    <w:rsid w:val="00884CC9"/>
    <w:rsid w:val="00885437"/>
    <w:rsid w:val="00890687"/>
    <w:rsid w:val="00891385"/>
    <w:rsid w:val="008916EF"/>
    <w:rsid w:val="00892E46"/>
    <w:rsid w:val="008933EB"/>
    <w:rsid w:val="00893AEC"/>
    <w:rsid w:val="00894ABA"/>
    <w:rsid w:val="00894EAB"/>
    <w:rsid w:val="00896B8C"/>
    <w:rsid w:val="008A0589"/>
    <w:rsid w:val="008A0D3F"/>
    <w:rsid w:val="008A155E"/>
    <w:rsid w:val="008A52DB"/>
    <w:rsid w:val="008A5E23"/>
    <w:rsid w:val="008B0339"/>
    <w:rsid w:val="008B09A0"/>
    <w:rsid w:val="008B3CC4"/>
    <w:rsid w:val="008B4AA4"/>
    <w:rsid w:val="008B507A"/>
    <w:rsid w:val="008B5608"/>
    <w:rsid w:val="008B59D2"/>
    <w:rsid w:val="008B70EB"/>
    <w:rsid w:val="008C0028"/>
    <w:rsid w:val="008C0F2D"/>
    <w:rsid w:val="008C1A4D"/>
    <w:rsid w:val="008C22F4"/>
    <w:rsid w:val="008C6CC4"/>
    <w:rsid w:val="008D10CD"/>
    <w:rsid w:val="008D190B"/>
    <w:rsid w:val="008D3B5E"/>
    <w:rsid w:val="008D4066"/>
    <w:rsid w:val="008D5214"/>
    <w:rsid w:val="008D5B39"/>
    <w:rsid w:val="008D696D"/>
    <w:rsid w:val="008D7974"/>
    <w:rsid w:val="008D7A85"/>
    <w:rsid w:val="008E267B"/>
    <w:rsid w:val="008E50EE"/>
    <w:rsid w:val="008E5879"/>
    <w:rsid w:val="008F12F2"/>
    <w:rsid w:val="008F15E6"/>
    <w:rsid w:val="008F1BD1"/>
    <w:rsid w:val="008F573A"/>
    <w:rsid w:val="008F7244"/>
    <w:rsid w:val="00902A0B"/>
    <w:rsid w:val="009031D1"/>
    <w:rsid w:val="009046F7"/>
    <w:rsid w:val="00905C23"/>
    <w:rsid w:val="00905F95"/>
    <w:rsid w:val="00906B2A"/>
    <w:rsid w:val="009078E4"/>
    <w:rsid w:val="00910919"/>
    <w:rsid w:val="00910DF3"/>
    <w:rsid w:val="009112B6"/>
    <w:rsid w:val="009117B4"/>
    <w:rsid w:val="0091395E"/>
    <w:rsid w:val="00914544"/>
    <w:rsid w:val="00915213"/>
    <w:rsid w:val="0091678B"/>
    <w:rsid w:val="00917405"/>
    <w:rsid w:val="00917E2E"/>
    <w:rsid w:val="009205D0"/>
    <w:rsid w:val="00920632"/>
    <w:rsid w:val="00920FB9"/>
    <w:rsid w:val="00922AA9"/>
    <w:rsid w:val="0092572B"/>
    <w:rsid w:val="00931510"/>
    <w:rsid w:val="00932DA7"/>
    <w:rsid w:val="00932F80"/>
    <w:rsid w:val="00933D97"/>
    <w:rsid w:val="00934871"/>
    <w:rsid w:val="00934A4A"/>
    <w:rsid w:val="0093641C"/>
    <w:rsid w:val="00936BD7"/>
    <w:rsid w:val="009379FF"/>
    <w:rsid w:val="00937B69"/>
    <w:rsid w:val="00937FC6"/>
    <w:rsid w:val="00942AB3"/>
    <w:rsid w:val="009440A1"/>
    <w:rsid w:val="00944DB0"/>
    <w:rsid w:val="00944E8C"/>
    <w:rsid w:val="00947271"/>
    <w:rsid w:val="00947FFD"/>
    <w:rsid w:val="00950438"/>
    <w:rsid w:val="009505A8"/>
    <w:rsid w:val="00950A79"/>
    <w:rsid w:val="00950E17"/>
    <w:rsid w:val="00950EA2"/>
    <w:rsid w:val="00953B2C"/>
    <w:rsid w:val="00955CD4"/>
    <w:rsid w:val="00955F16"/>
    <w:rsid w:val="0095661E"/>
    <w:rsid w:val="0096095A"/>
    <w:rsid w:val="00960BED"/>
    <w:rsid w:val="00960CF9"/>
    <w:rsid w:val="00961629"/>
    <w:rsid w:val="00961750"/>
    <w:rsid w:val="00961DCC"/>
    <w:rsid w:val="00961DE7"/>
    <w:rsid w:val="00963145"/>
    <w:rsid w:val="0096383D"/>
    <w:rsid w:val="00964738"/>
    <w:rsid w:val="0096786D"/>
    <w:rsid w:val="00972443"/>
    <w:rsid w:val="00974659"/>
    <w:rsid w:val="00974B1C"/>
    <w:rsid w:val="00975E20"/>
    <w:rsid w:val="00976358"/>
    <w:rsid w:val="00976621"/>
    <w:rsid w:val="00977091"/>
    <w:rsid w:val="00982F54"/>
    <w:rsid w:val="009842CD"/>
    <w:rsid w:val="0098431C"/>
    <w:rsid w:val="00984CEC"/>
    <w:rsid w:val="009857A2"/>
    <w:rsid w:val="00985A8B"/>
    <w:rsid w:val="00985D3C"/>
    <w:rsid w:val="00985F7B"/>
    <w:rsid w:val="009909C0"/>
    <w:rsid w:val="0099112E"/>
    <w:rsid w:val="00992773"/>
    <w:rsid w:val="00993DD0"/>
    <w:rsid w:val="0099632E"/>
    <w:rsid w:val="00996739"/>
    <w:rsid w:val="00997B6F"/>
    <w:rsid w:val="009A0032"/>
    <w:rsid w:val="009A05A7"/>
    <w:rsid w:val="009A0A43"/>
    <w:rsid w:val="009A0EB5"/>
    <w:rsid w:val="009A446F"/>
    <w:rsid w:val="009A58A1"/>
    <w:rsid w:val="009A7F56"/>
    <w:rsid w:val="009B0968"/>
    <w:rsid w:val="009B3048"/>
    <w:rsid w:val="009B373E"/>
    <w:rsid w:val="009B3C87"/>
    <w:rsid w:val="009B3EC3"/>
    <w:rsid w:val="009B43B8"/>
    <w:rsid w:val="009B482B"/>
    <w:rsid w:val="009B5293"/>
    <w:rsid w:val="009B798F"/>
    <w:rsid w:val="009C07D6"/>
    <w:rsid w:val="009C09C7"/>
    <w:rsid w:val="009C0F8D"/>
    <w:rsid w:val="009C147B"/>
    <w:rsid w:val="009C17AA"/>
    <w:rsid w:val="009C1A38"/>
    <w:rsid w:val="009C202F"/>
    <w:rsid w:val="009C3412"/>
    <w:rsid w:val="009C38D7"/>
    <w:rsid w:val="009C3900"/>
    <w:rsid w:val="009C4308"/>
    <w:rsid w:val="009C46AB"/>
    <w:rsid w:val="009C599B"/>
    <w:rsid w:val="009C59E4"/>
    <w:rsid w:val="009C7B8A"/>
    <w:rsid w:val="009D000A"/>
    <w:rsid w:val="009D142B"/>
    <w:rsid w:val="009D205F"/>
    <w:rsid w:val="009D3DBD"/>
    <w:rsid w:val="009D51AC"/>
    <w:rsid w:val="009D5A52"/>
    <w:rsid w:val="009D6014"/>
    <w:rsid w:val="009D6361"/>
    <w:rsid w:val="009D63C6"/>
    <w:rsid w:val="009E0D00"/>
    <w:rsid w:val="009E1699"/>
    <w:rsid w:val="009E355A"/>
    <w:rsid w:val="009E41E3"/>
    <w:rsid w:val="009E56D5"/>
    <w:rsid w:val="009E7397"/>
    <w:rsid w:val="009F1EEF"/>
    <w:rsid w:val="009F4AD9"/>
    <w:rsid w:val="009F59B6"/>
    <w:rsid w:val="009F5EDC"/>
    <w:rsid w:val="00A0284F"/>
    <w:rsid w:val="00A0313E"/>
    <w:rsid w:val="00A03541"/>
    <w:rsid w:val="00A03908"/>
    <w:rsid w:val="00A03CC5"/>
    <w:rsid w:val="00A03F54"/>
    <w:rsid w:val="00A04A13"/>
    <w:rsid w:val="00A05217"/>
    <w:rsid w:val="00A05C2C"/>
    <w:rsid w:val="00A05C96"/>
    <w:rsid w:val="00A06D47"/>
    <w:rsid w:val="00A07416"/>
    <w:rsid w:val="00A11E23"/>
    <w:rsid w:val="00A12BC5"/>
    <w:rsid w:val="00A12CA4"/>
    <w:rsid w:val="00A13B8C"/>
    <w:rsid w:val="00A13F53"/>
    <w:rsid w:val="00A14F76"/>
    <w:rsid w:val="00A155CD"/>
    <w:rsid w:val="00A165EB"/>
    <w:rsid w:val="00A16D29"/>
    <w:rsid w:val="00A17B40"/>
    <w:rsid w:val="00A207F7"/>
    <w:rsid w:val="00A2135E"/>
    <w:rsid w:val="00A217DF"/>
    <w:rsid w:val="00A23B8A"/>
    <w:rsid w:val="00A242C4"/>
    <w:rsid w:val="00A24D20"/>
    <w:rsid w:val="00A254FD"/>
    <w:rsid w:val="00A25524"/>
    <w:rsid w:val="00A263B3"/>
    <w:rsid w:val="00A26AE2"/>
    <w:rsid w:val="00A26F65"/>
    <w:rsid w:val="00A27F42"/>
    <w:rsid w:val="00A31D9F"/>
    <w:rsid w:val="00A3358A"/>
    <w:rsid w:val="00A34A78"/>
    <w:rsid w:val="00A3551B"/>
    <w:rsid w:val="00A35BB1"/>
    <w:rsid w:val="00A37EBC"/>
    <w:rsid w:val="00A40766"/>
    <w:rsid w:val="00A41109"/>
    <w:rsid w:val="00A411FA"/>
    <w:rsid w:val="00A413F1"/>
    <w:rsid w:val="00A42524"/>
    <w:rsid w:val="00A4259F"/>
    <w:rsid w:val="00A427EB"/>
    <w:rsid w:val="00A44490"/>
    <w:rsid w:val="00A44D5F"/>
    <w:rsid w:val="00A45347"/>
    <w:rsid w:val="00A45D64"/>
    <w:rsid w:val="00A468B3"/>
    <w:rsid w:val="00A474B3"/>
    <w:rsid w:val="00A47937"/>
    <w:rsid w:val="00A512CF"/>
    <w:rsid w:val="00A51D10"/>
    <w:rsid w:val="00A5367C"/>
    <w:rsid w:val="00A543CB"/>
    <w:rsid w:val="00A553C9"/>
    <w:rsid w:val="00A55E4C"/>
    <w:rsid w:val="00A564EC"/>
    <w:rsid w:val="00A6013C"/>
    <w:rsid w:val="00A6191D"/>
    <w:rsid w:val="00A61A1F"/>
    <w:rsid w:val="00A62921"/>
    <w:rsid w:val="00A634DB"/>
    <w:rsid w:val="00A6371A"/>
    <w:rsid w:val="00A63D0D"/>
    <w:rsid w:val="00A66FF7"/>
    <w:rsid w:val="00A71FF3"/>
    <w:rsid w:val="00A72223"/>
    <w:rsid w:val="00A72FEC"/>
    <w:rsid w:val="00A731BC"/>
    <w:rsid w:val="00A755F4"/>
    <w:rsid w:val="00A75D32"/>
    <w:rsid w:val="00A765B1"/>
    <w:rsid w:val="00A76B90"/>
    <w:rsid w:val="00A770F8"/>
    <w:rsid w:val="00A807ED"/>
    <w:rsid w:val="00A82E04"/>
    <w:rsid w:val="00A83251"/>
    <w:rsid w:val="00A83563"/>
    <w:rsid w:val="00A83B40"/>
    <w:rsid w:val="00A83B7E"/>
    <w:rsid w:val="00A855AA"/>
    <w:rsid w:val="00A85AF7"/>
    <w:rsid w:val="00A86B12"/>
    <w:rsid w:val="00A86B76"/>
    <w:rsid w:val="00A87536"/>
    <w:rsid w:val="00A9020F"/>
    <w:rsid w:val="00A90966"/>
    <w:rsid w:val="00A90D65"/>
    <w:rsid w:val="00A940BE"/>
    <w:rsid w:val="00A9476D"/>
    <w:rsid w:val="00A94AF4"/>
    <w:rsid w:val="00A96CC3"/>
    <w:rsid w:val="00A972B9"/>
    <w:rsid w:val="00AA1664"/>
    <w:rsid w:val="00AA1C68"/>
    <w:rsid w:val="00AA2FDB"/>
    <w:rsid w:val="00AA4A31"/>
    <w:rsid w:val="00AA6968"/>
    <w:rsid w:val="00AA7D5E"/>
    <w:rsid w:val="00AB0274"/>
    <w:rsid w:val="00AB0682"/>
    <w:rsid w:val="00AB12F2"/>
    <w:rsid w:val="00AB2856"/>
    <w:rsid w:val="00AB31EC"/>
    <w:rsid w:val="00AB35C9"/>
    <w:rsid w:val="00AB3B35"/>
    <w:rsid w:val="00AB4449"/>
    <w:rsid w:val="00AB5553"/>
    <w:rsid w:val="00AB624D"/>
    <w:rsid w:val="00AB6745"/>
    <w:rsid w:val="00AC0117"/>
    <w:rsid w:val="00AC0633"/>
    <w:rsid w:val="00AC2953"/>
    <w:rsid w:val="00AC3590"/>
    <w:rsid w:val="00AC3591"/>
    <w:rsid w:val="00AC4261"/>
    <w:rsid w:val="00AC46D4"/>
    <w:rsid w:val="00AC62D3"/>
    <w:rsid w:val="00AC7218"/>
    <w:rsid w:val="00AD26C8"/>
    <w:rsid w:val="00AD294E"/>
    <w:rsid w:val="00AD5E22"/>
    <w:rsid w:val="00AD5E9B"/>
    <w:rsid w:val="00AD64B9"/>
    <w:rsid w:val="00AD7830"/>
    <w:rsid w:val="00AD7E93"/>
    <w:rsid w:val="00AE0C23"/>
    <w:rsid w:val="00AE2C20"/>
    <w:rsid w:val="00AE35E8"/>
    <w:rsid w:val="00AE42E1"/>
    <w:rsid w:val="00AE4520"/>
    <w:rsid w:val="00AE54BB"/>
    <w:rsid w:val="00AE7D78"/>
    <w:rsid w:val="00AF015E"/>
    <w:rsid w:val="00AF0C6E"/>
    <w:rsid w:val="00AF152A"/>
    <w:rsid w:val="00AF3859"/>
    <w:rsid w:val="00AF426E"/>
    <w:rsid w:val="00AF6334"/>
    <w:rsid w:val="00AF64C9"/>
    <w:rsid w:val="00AF7111"/>
    <w:rsid w:val="00AF714C"/>
    <w:rsid w:val="00B000C1"/>
    <w:rsid w:val="00B008BD"/>
    <w:rsid w:val="00B012C2"/>
    <w:rsid w:val="00B02173"/>
    <w:rsid w:val="00B025B3"/>
    <w:rsid w:val="00B02C12"/>
    <w:rsid w:val="00B02E41"/>
    <w:rsid w:val="00B032C2"/>
    <w:rsid w:val="00B03A2C"/>
    <w:rsid w:val="00B04543"/>
    <w:rsid w:val="00B04876"/>
    <w:rsid w:val="00B04878"/>
    <w:rsid w:val="00B05123"/>
    <w:rsid w:val="00B052C6"/>
    <w:rsid w:val="00B055F6"/>
    <w:rsid w:val="00B06BAA"/>
    <w:rsid w:val="00B0756E"/>
    <w:rsid w:val="00B0797B"/>
    <w:rsid w:val="00B109CF"/>
    <w:rsid w:val="00B1188C"/>
    <w:rsid w:val="00B11B36"/>
    <w:rsid w:val="00B12827"/>
    <w:rsid w:val="00B14491"/>
    <w:rsid w:val="00B14710"/>
    <w:rsid w:val="00B14A65"/>
    <w:rsid w:val="00B15ACB"/>
    <w:rsid w:val="00B15DAF"/>
    <w:rsid w:val="00B167D6"/>
    <w:rsid w:val="00B17324"/>
    <w:rsid w:val="00B2039D"/>
    <w:rsid w:val="00B20B41"/>
    <w:rsid w:val="00B20FD2"/>
    <w:rsid w:val="00B23D3F"/>
    <w:rsid w:val="00B241CF"/>
    <w:rsid w:val="00B24C18"/>
    <w:rsid w:val="00B250BE"/>
    <w:rsid w:val="00B2551C"/>
    <w:rsid w:val="00B260BC"/>
    <w:rsid w:val="00B269F2"/>
    <w:rsid w:val="00B270C6"/>
    <w:rsid w:val="00B27855"/>
    <w:rsid w:val="00B27E98"/>
    <w:rsid w:val="00B30398"/>
    <w:rsid w:val="00B31075"/>
    <w:rsid w:val="00B3200A"/>
    <w:rsid w:val="00B32055"/>
    <w:rsid w:val="00B32886"/>
    <w:rsid w:val="00B33265"/>
    <w:rsid w:val="00B333C1"/>
    <w:rsid w:val="00B338B7"/>
    <w:rsid w:val="00B3588B"/>
    <w:rsid w:val="00B3631D"/>
    <w:rsid w:val="00B3752C"/>
    <w:rsid w:val="00B37F1F"/>
    <w:rsid w:val="00B40EDE"/>
    <w:rsid w:val="00B421F6"/>
    <w:rsid w:val="00B422DC"/>
    <w:rsid w:val="00B43798"/>
    <w:rsid w:val="00B45020"/>
    <w:rsid w:val="00B46698"/>
    <w:rsid w:val="00B46AD9"/>
    <w:rsid w:val="00B4740A"/>
    <w:rsid w:val="00B47A82"/>
    <w:rsid w:val="00B505C8"/>
    <w:rsid w:val="00B50D3C"/>
    <w:rsid w:val="00B50DDB"/>
    <w:rsid w:val="00B50EEA"/>
    <w:rsid w:val="00B5138C"/>
    <w:rsid w:val="00B51549"/>
    <w:rsid w:val="00B51AE5"/>
    <w:rsid w:val="00B51D5E"/>
    <w:rsid w:val="00B52237"/>
    <w:rsid w:val="00B53F2F"/>
    <w:rsid w:val="00B550A2"/>
    <w:rsid w:val="00B56878"/>
    <w:rsid w:val="00B569FA"/>
    <w:rsid w:val="00B57D49"/>
    <w:rsid w:val="00B57E6D"/>
    <w:rsid w:val="00B61747"/>
    <w:rsid w:val="00B62E97"/>
    <w:rsid w:val="00B635A5"/>
    <w:rsid w:val="00B640DC"/>
    <w:rsid w:val="00B70176"/>
    <w:rsid w:val="00B710B5"/>
    <w:rsid w:val="00B7244D"/>
    <w:rsid w:val="00B729FE"/>
    <w:rsid w:val="00B7339D"/>
    <w:rsid w:val="00B736A1"/>
    <w:rsid w:val="00B7370A"/>
    <w:rsid w:val="00B7443D"/>
    <w:rsid w:val="00B74B5A"/>
    <w:rsid w:val="00B75573"/>
    <w:rsid w:val="00B77A98"/>
    <w:rsid w:val="00B77F73"/>
    <w:rsid w:val="00B80D55"/>
    <w:rsid w:val="00B8196D"/>
    <w:rsid w:val="00B82E48"/>
    <w:rsid w:val="00B82F58"/>
    <w:rsid w:val="00B8402D"/>
    <w:rsid w:val="00B865B7"/>
    <w:rsid w:val="00B90664"/>
    <w:rsid w:val="00B916F3"/>
    <w:rsid w:val="00B921E6"/>
    <w:rsid w:val="00B923A0"/>
    <w:rsid w:val="00B9281E"/>
    <w:rsid w:val="00B93147"/>
    <w:rsid w:val="00B9533D"/>
    <w:rsid w:val="00B96158"/>
    <w:rsid w:val="00B9620B"/>
    <w:rsid w:val="00B978A9"/>
    <w:rsid w:val="00BA0054"/>
    <w:rsid w:val="00BA1226"/>
    <w:rsid w:val="00BA16EE"/>
    <w:rsid w:val="00BA2231"/>
    <w:rsid w:val="00BA3AD1"/>
    <w:rsid w:val="00BA3BA6"/>
    <w:rsid w:val="00BA48F9"/>
    <w:rsid w:val="00BA5652"/>
    <w:rsid w:val="00BA62CD"/>
    <w:rsid w:val="00BA64A2"/>
    <w:rsid w:val="00BB1B0D"/>
    <w:rsid w:val="00BB2320"/>
    <w:rsid w:val="00BB2C5F"/>
    <w:rsid w:val="00BB40BD"/>
    <w:rsid w:val="00BB41CF"/>
    <w:rsid w:val="00BB6A57"/>
    <w:rsid w:val="00BB7238"/>
    <w:rsid w:val="00BC08AE"/>
    <w:rsid w:val="00BC0B15"/>
    <w:rsid w:val="00BC3175"/>
    <w:rsid w:val="00BC3651"/>
    <w:rsid w:val="00BC3F96"/>
    <w:rsid w:val="00BC43CA"/>
    <w:rsid w:val="00BC48FE"/>
    <w:rsid w:val="00BC5530"/>
    <w:rsid w:val="00BC65AF"/>
    <w:rsid w:val="00BC745A"/>
    <w:rsid w:val="00BC74E1"/>
    <w:rsid w:val="00BD04A8"/>
    <w:rsid w:val="00BD35BB"/>
    <w:rsid w:val="00BD3DDD"/>
    <w:rsid w:val="00BD4F55"/>
    <w:rsid w:val="00BD5279"/>
    <w:rsid w:val="00BD5E04"/>
    <w:rsid w:val="00BD79B7"/>
    <w:rsid w:val="00BE01FE"/>
    <w:rsid w:val="00BE33D2"/>
    <w:rsid w:val="00BE3B61"/>
    <w:rsid w:val="00BE46A1"/>
    <w:rsid w:val="00BE68A2"/>
    <w:rsid w:val="00BF0FD9"/>
    <w:rsid w:val="00BF43AF"/>
    <w:rsid w:val="00BF5709"/>
    <w:rsid w:val="00BF5C38"/>
    <w:rsid w:val="00BF5FE4"/>
    <w:rsid w:val="00BF67A2"/>
    <w:rsid w:val="00BF7194"/>
    <w:rsid w:val="00C0146E"/>
    <w:rsid w:val="00C04CA0"/>
    <w:rsid w:val="00C04CE6"/>
    <w:rsid w:val="00C05A9B"/>
    <w:rsid w:val="00C0729A"/>
    <w:rsid w:val="00C076CC"/>
    <w:rsid w:val="00C07743"/>
    <w:rsid w:val="00C10AF2"/>
    <w:rsid w:val="00C10CEF"/>
    <w:rsid w:val="00C10F2C"/>
    <w:rsid w:val="00C1103B"/>
    <w:rsid w:val="00C12F4A"/>
    <w:rsid w:val="00C13A8B"/>
    <w:rsid w:val="00C13CCF"/>
    <w:rsid w:val="00C13F2D"/>
    <w:rsid w:val="00C157FC"/>
    <w:rsid w:val="00C15BDE"/>
    <w:rsid w:val="00C15F91"/>
    <w:rsid w:val="00C202B9"/>
    <w:rsid w:val="00C2051B"/>
    <w:rsid w:val="00C20633"/>
    <w:rsid w:val="00C20E2B"/>
    <w:rsid w:val="00C21529"/>
    <w:rsid w:val="00C22517"/>
    <w:rsid w:val="00C2332F"/>
    <w:rsid w:val="00C236CF"/>
    <w:rsid w:val="00C270FA"/>
    <w:rsid w:val="00C272F5"/>
    <w:rsid w:val="00C314AD"/>
    <w:rsid w:val="00C325F0"/>
    <w:rsid w:val="00C32D5D"/>
    <w:rsid w:val="00C33578"/>
    <w:rsid w:val="00C337E4"/>
    <w:rsid w:val="00C34662"/>
    <w:rsid w:val="00C34E51"/>
    <w:rsid w:val="00C34E58"/>
    <w:rsid w:val="00C35F17"/>
    <w:rsid w:val="00C40BE2"/>
    <w:rsid w:val="00C41810"/>
    <w:rsid w:val="00C43BE8"/>
    <w:rsid w:val="00C43E02"/>
    <w:rsid w:val="00C44002"/>
    <w:rsid w:val="00C452AA"/>
    <w:rsid w:val="00C4545D"/>
    <w:rsid w:val="00C46442"/>
    <w:rsid w:val="00C47BF8"/>
    <w:rsid w:val="00C50988"/>
    <w:rsid w:val="00C54581"/>
    <w:rsid w:val="00C54953"/>
    <w:rsid w:val="00C55CDD"/>
    <w:rsid w:val="00C56114"/>
    <w:rsid w:val="00C577FA"/>
    <w:rsid w:val="00C62FB6"/>
    <w:rsid w:val="00C63A6B"/>
    <w:rsid w:val="00C6420C"/>
    <w:rsid w:val="00C64C09"/>
    <w:rsid w:val="00C64CCC"/>
    <w:rsid w:val="00C65198"/>
    <w:rsid w:val="00C6574C"/>
    <w:rsid w:val="00C6670B"/>
    <w:rsid w:val="00C66CA5"/>
    <w:rsid w:val="00C707DE"/>
    <w:rsid w:val="00C70C7A"/>
    <w:rsid w:val="00C71C09"/>
    <w:rsid w:val="00C71CD9"/>
    <w:rsid w:val="00C71DC1"/>
    <w:rsid w:val="00C73664"/>
    <w:rsid w:val="00C741B0"/>
    <w:rsid w:val="00C745AF"/>
    <w:rsid w:val="00C77301"/>
    <w:rsid w:val="00C774E0"/>
    <w:rsid w:val="00C7766F"/>
    <w:rsid w:val="00C77A7C"/>
    <w:rsid w:val="00C81D99"/>
    <w:rsid w:val="00C84029"/>
    <w:rsid w:val="00C84435"/>
    <w:rsid w:val="00C84EE3"/>
    <w:rsid w:val="00C86FEC"/>
    <w:rsid w:val="00C93DAF"/>
    <w:rsid w:val="00C9446D"/>
    <w:rsid w:val="00C944EE"/>
    <w:rsid w:val="00C94859"/>
    <w:rsid w:val="00C94F1B"/>
    <w:rsid w:val="00C9542B"/>
    <w:rsid w:val="00C95706"/>
    <w:rsid w:val="00C9625C"/>
    <w:rsid w:val="00C9675D"/>
    <w:rsid w:val="00C96C4D"/>
    <w:rsid w:val="00C97E57"/>
    <w:rsid w:val="00C97F0C"/>
    <w:rsid w:val="00CA0A87"/>
    <w:rsid w:val="00CA1993"/>
    <w:rsid w:val="00CA1A88"/>
    <w:rsid w:val="00CA292D"/>
    <w:rsid w:val="00CA2A42"/>
    <w:rsid w:val="00CA2FB6"/>
    <w:rsid w:val="00CA3567"/>
    <w:rsid w:val="00CA3FA3"/>
    <w:rsid w:val="00CA58F6"/>
    <w:rsid w:val="00CA7BAD"/>
    <w:rsid w:val="00CA7E23"/>
    <w:rsid w:val="00CB01BE"/>
    <w:rsid w:val="00CB11A9"/>
    <w:rsid w:val="00CB1C9D"/>
    <w:rsid w:val="00CB1E7E"/>
    <w:rsid w:val="00CB1E85"/>
    <w:rsid w:val="00CB2B2B"/>
    <w:rsid w:val="00CB34A2"/>
    <w:rsid w:val="00CB53E7"/>
    <w:rsid w:val="00CB552B"/>
    <w:rsid w:val="00CB5569"/>
    <w:rsid w:val="00CB6812"/>
    <w:rsid w:val="00CB768D"/>
    <w:rsid w:val="00CB7E3A"/>
    <w:rsid w:val="00CC4F6F"/>
    <w:rsid w:val="00CC600E"/>
    <w:rsid w:val="00CC687C"/>
    <w:rsid w:val="00CC7713"/>
    <w:rsid w:val="00CC7772"/>
    <w:rsid w:val="00CD040A"/>
    <w:rsid w:val="00CD255F"/>
    <w:rsid w:val="00CD296D"/>
    <w:rsid w:val="00CD4DA0"/>
    <w:rsid w:val="00CD4E5B"/>
    <w:rsid w:val="00CD50ED"/>
    <w:rsid w:val="00CD56FA"/>
    <w:rsid w:val="00CD60D7"/>
    <w:rsid w:val="00CE1398"/>
    <w:rsid w:val="00CE1A20"/>
    <w:rsid w:val="00CE2F00"/>
    <w:rsid w:val="00CE5ABA"/>
    <w:rsid w:val="00CE7423"/>
    <w:rsid w:val="00CF0184"/>
    <w:rsid w:val="00CF0663"/>
    <w:rsid w:val="00CF0C5B"/>
    <w:rsid w:val="00CF12A0"/>
    <w:rsid w:val="00CF12C4"/>
    <w:rsid w:val="00CF1F94"/>
    <w:rsid w:val="00CF216F"/>
    <w:rsid w:val="00CF28DC"/>
    <w:rsid w:val="00CF3A3A"/>
    <w:rsid w:val="00CF4659"/>
    <w:rsid w:val="00CF5890"/>
    <w:rsid w:val="00CF6FCA"/>
    <w:rsid w:val="00CF7870"/>
    <w:rsid w:val="00CF79F9"/>
    <w:rsid w:val="00CF7CE0"/>
    <w:rsid w:val="00D008D7"/>
    <w:rsid w:val="00D03294"/>
    <w:rsid w:val="00D050BD"/>
    <w:rsid w:val="00D05EFA"/>
    <w:rsid w:val="00D060E5"/>
    <w:rsid w:val="00D0636B"/>
    <w:rsid w:val="00D069E7"/>
    <w:rsid w:val="00D075F1"/>
    <w:rsid w:val="00D07B7B"/>
    <w:rsid w:val="00D11497"/>
    <w:rsid w:val="00D1516E"/>
    <w:rsid w:val="00D15A1C"/>
    <w:rsid w:val="00D15F65"/>
    <w:rsid w:val="00D165E5"/>
    <w:rsid w:val="00D16789"/>
    <w:rsid w:val="00D21EBB"/>
    <w:rsid w:val="00D22CB7"/>
    <w:rsid w:val="00D22DC2"/>
    <w:rsid w:val="00D23EF2"/>
    <w:rsid w:val="00D241E8"/>
    <w:rsid w:val="00D24394"/>
    <w:rsid w:val="00D2535B"/>
    <w:rsid w:val="00D25DCF"/>
    <w:rsid w:val="00D26AD9"/>
    <w:rsid w:val="00D3021A"/>
    <w:rsid w:val="00D311D9"/>
    <w:rsid w:val="00D313C0"/>
    <w:rsid w:val="00D31EE3"/>
    <w:rsid w:val="00D32D55"/>
    <w:rsid w:val="00D33943"/>
    <w:rsid w:val="00D35829"/>
    <w:rsid w:val="00D35FE2"/>
    <w:rsid w:val="00D414C8"/>
    <w:rsid w:val="00D42E3B"/>
    <w:rsid w:val="00D45170"/>
    <w:rsid w:val="00D4647C"/>
    <w:rsid w:val="00D46B68"/>
    <w:rsid w:val="00D4711A"/>
    <w:rsid w:val="00D50505"/>
    <w:rsid w:val="00D52EC0"/>
    <w:rsid w:val="00D53328"/>
    <w:rsid w:val="00D5355E"/>
    <w:rsid w:val="00D57D57"/>
    <w:rsid w:val="00D57E6B"/>
    <w:rsid w:val="00D609EE"/>
    <w:rsid w:val="00D625BE"/>
    <w:rsid w:val="00D62677"/>
    <w:rsid w:val="00D62804"/>
    <w:rsid w:val="00D62A38"/>
    <w:rsid w:val="00D62CCD"/>
    <w:rsid w:val="00D62F3E"/>
    <w:rsid w:val="00D650D1"/>
    <w:rsid w:val="00D655E3"/>
    <w:rsid w:val="00D668CF"/>
    <w:rsid w:val="00D67005"/>
    <w:rsid w:val="00D67DF7"/>
    <w:rsid w:val="00D703CE"/>
    <w:rsid w:val="00D70FE0"/>
    <w:rsid w:val="00D711B6"/>
    <w:rsid w:val="00D71DC2"/>
    <w:rsid w:val="00D720FE"/>
    <w:rsid w:val="00D73235"/>
    <w:rsid w:val="00D734F0"/>
    <w:rsid w:val="00D75057"/>
    <w:rsid w:val="00D75DA9"/>
    <w:rsid w:val="00D77455"/>
    <w:rsid w:val="00D77904"/>
    <w:rsid w:val="00D8000D"/>
    <w:rsid w:val="00D803B9"/>
    <w:rsid w:val="00D813DE"/>
    <w:rsid w:val="00D81579"/>
    <w:rsid w:val="00D8178B"/>
    <w:rsid w:val="00D81E5D"/>
    <w:rsid w:val="00D840CE"/>
    <w:rsid w:val="00D849BB"/>
    <w:rsid w:val="00D85F39"/>
    <w:rsid w:val="00D87088"/>
    <w:rsid w:val="00D873F0"/>
    <w:rsid w:val="00D9017C"/>
    <w:rsid w:val="00D90321"/>
    <w:rsid w:val="00D908BE"/>
    <w:rsid w:val="00D90FEB"/>
    <w:rsid w:val="00D9139E"/>
    <w:rsid w:val="00D9192B"/>
    <w:rsid w:val="00D930DF"/>
    <w:rsid w:val="00D932D8"/>
    <w:rsid w:val="00D96109"/>
    <w:rsid w:val="00D96127"/>
    <w:rsid w:val="00D978D5"/>
    <w:rsid w:val="00DA0205"/>
    <w:rsid w:val="00DA1D27"/>
    <w:rsid w:val="00DA41C3"/>
    <w:rsid w:val="00DA6983"/>
    <w:rsid w:val="00DA774A"/>
    <w:rsid w:val="00DA7DA4"/>
    <w:rsid w:val="00DB0B5C"/>
    <w:rsid w:val="00DB0E24"/>
    <w:rsid w:val="00DB17B8"/>
    <w:rsid w:val="00DB25DD"/>
    <w:rsid w:val="00DB494A"/>
    <w:rsid w:val="00DB5877"/>
    <w:rsid w:val="00DB5D9D"/>
    <w:rsid w:val="00DB5F6D"/>
    <w:rsid w:val="00DB6E83"/>
    <w:rsid w:val="00DC083B"/>
    <w:rsid w:val="00DC14DF"/>
    <w:rsid w:val="00DC15F4"/>
    <w:rsid w:val="00DC1F0C"/>
    <w:rsid w:val="00DC22F8"/>
    <w:rsid w:val="00DC2ADD"/>
    <w:rsid w:val="00DC3389"/>
    <w:rsid w:val="00DC37B3"/>
    <w:rsid w:val="00DC3C43"/>
    <w:rsid w:val="00DC3E1F"/>
    <w:rsid w:val="00DC529B"/>
    <w:rsid w:val="00DC5C67"/>
    <w:rsid w:val="00DC6940"/>
    <w:rsid w:val="00DC7354"/>
    <w:rsid w:val="00DD18CA"/>
    <w:rsid w:val="00DD5D42"/>
    <w:rsid w:val="00DD6095"/>
    <w:rsid w:val="00DD6755"/>
    <w:rsid w:val="00DD6DAA"/>
    <w:rsid w:val="00DE00D1"/>
    <w:rsid w:val="00DE0A5B"/>
    <w:rsid w:val="00DE22DC"/>
    <w:rsid w:val="00DE2439"/>
    <w:rsid w:val="00DE4266"/>
    <w:rsid w:val="00DE461D"/>
    <w:rsid w:val="00DE5405"/>
    <w:rsid w:val="00DE5C15"/>
    <w:rsid w:val="00DE621D"/>
    <w:rsid w:val="00DE6EE9"/>
    <w:rsid w:val="00DF09AB"/>
    <w:rsid w:val="00DF0D62"/>
    <w:rsid w:val="00DF1094"/>
    <w:rsid w:val="00DF1ED5"/>
    <w:rsid w:val="00DF228A"/>
    <w:rsid w:val="00DF24F7"/>
    <w:rsid w:val="00DF290F"/>
    <w:rsid w:val="00DF383B"/>
    <w:rsid w:val="00DF3FDB"/>
    <w:rsid w:val="00DF40B6"/>
    <w:rsid w:val="00DF60B0"/>
    <w:rsid w:val="00DF6FB2"/>
    <w:rsid w:val="00E004C9"/>
    <w:rsid w:val="00E0169C"/>
    <w:rsid w:val="00E024FB"/>
    <w:rsid w:val="00E02B6E"/>
    <w:rsid w:val="00E02C97"/>
    <w:rsid w:val="00E03CD3"/>
    <w:rsid w:val="00E04711"/>
    <w:rsid w:val="00E04740"/>
    <w:rsid w:val="00E04C67"/>
    <w:rsid w:val="00E04EE3"/>
    <w:rsid w:val="00E100F8"/>
    <w:rsid w:val="00E10B39"/>
    <w:rsid w:val="00E10E7E"/>
    <w:rsid w:val="00E11D0B"/>
    <w:rsid w:val="00E12AD3"/>
    <w:rsid w:val="00E16381"/>
    <w:rsid w:val="00E1750B"/>
    <w:rsid w:val="00E21036"/>
    <w:rsid w:val="00E21AB0"/>
    <w:rsid w:val="00E22014"/>
    <w:rsid w:val="00E25DA1"/>
    <w:rsid w:val="00E2605A"/>
    <w:rsid w:val="00E26393"/>
    <w:rsid w:val="00E26492"/>
    <w:rsid w:val="00E273B1"/>
    <w:rsid w:val="00E30313"/>
    <w:rsid w:val="00E30895"/>
    <w:rsid w:val="00E30DF3"/>
    <w:rsid w:val="00E327ED"/>
    <w:rsid w:val="00E32994"/>
    <w:rsid w:val="00E34772"/>
    <w:rsid w:val="00E357D0"/>
    <w:rsid w:val="00E35866"/>
    <w:rsid w:val="00E35B4C"/>
    <w:rsid w:val="00E35C40"/>
    <w:rsid w:val="00E35FBD"/>
    <w:rsid w:val="00E36513"/>
    <w:rsid w:val="00E3692A"/>
    <w:rsid w:val="00E40AA9"/>
    <w:rsid w:val="00E41969"/>
    <w:rsid w:val="00E425DA"/>
    <w:rsid w:val="00E42F0A"/>
    <w:rsid w:val="00E43300"/>
    <w:rsid w:val="00E45074"/>
    <w:rsid w:val="00E457DA"/>
    <w:rsid w:val="00E458D9"/>
    <w:rsid w:val="00E50ADD"/>
    <w:rsid w:val="00E511E7"/>
    <w:rsid w:val="00E52000"/>
    <w:rsid w:val="00E532AF"/>
    <w:rsid w:val="00E543BE"/>
    <w:rsid w:val="00E56757"/>
    <w:rsid w:val="00E57843"/>
    <w:rsid w:val="00E6120E"/>
    <w:rsid w:val="00E61371"/>
    <w:rsid w:val="00E619D9"/>
    <w:rsid w:val="00E6289E"/>
    <w:rsid w:val="00E62BFA"/>
    <w:rsid w:val="00E64A7B"/>
    <w:rsid w:val="00E652B0"/>
    <w:rsid w:val="00E664A9"/>
    <w:rsid w:val="00E7031A"/>
    <w:rsid w:val="00E707F6"/>
    <w:rsid w:val="00E71750"/>
    <w:rsid w:val="00E71B62"/>
    <w:rsid w:val="00E724E1"/>
    <w:rsid w:val="00E73BA5"/>
    <w:rsid w:val="00E74B53"/>
    <w:rsid w:val="00E76211"/>
    <w:rsid w:val="00E76B45"/>
    <w:rsid w:val="00E77185"/>
    <w:rsid w:val="00E803FA"/>
    <w:rsid w:val="00E80FB1"/>
    <w:rsid w:val="00E8185F"/>
    <w:rsid w:val="00E82E8B"/>
    <w:rsid w:val="00E845A4"/>
    <w:rsid w:val="00E854E2"/>
    <w:rsid w:val="00E85B33"/>
    <w:rsid w:val="00E864E7"/>
    <w:rsid w:val="00E87575"/>
    <w:rsid w:val="00E87864"/>
    <w:rsid w:val="00E87896"/>
    <w:rsid w:val="00E87C69"/>
    <w:rsid w:val="00E9223D"/>
    <w:rsid w:val="00E938C2"/>
    <w:rsid w:val="00E943C5"/>
    <w:rsid w:val="00E9513F"/>
    <w:rsid w:val="00E9566B"/>
    <w:rsid w:val="00E9644B"/>
    <w:rsid w:val="00EA00B4"/>
    <w:rsid w:val="00EA485D"/>
    <w:rsid w:val="00EA4D23"/>
    <w:rsid w:val="00EA4F1C"/>
    <w:rsid w:val="00EA5415"/>
    <w:rsid w:val="00EA6AF2"/>
    <w:rsid w:val="00EA7CEC"/>
    <w:rsid w:val="00EB0BEE"/>
    <w:rsid w:val="00EB0E6F"/>
    <w:rsid w:val="00EB1178"/>
    <w:rsid w:val="00EB171B"/>
    <w:rsid w:val="00EB2118"/>
    <w:rsid w:val="00EB3B82"/>
    <w:rsid w:val="00EB5383"/>
    <w:rsid w:val="00EB62CC"/>
    <w:rsid w:val="00EB6653"/>
    <w:rsid w:val="00EB6701"/>
    <w:rsid w:val="00EB720E"/>
    <w:rsid w:val="00EC09FF"/>
    <w:rsid w:val="00EC134F"/>
    <w:rsid w:val="00EC1457"/>
    <w:rsid w:val="00EC2397"/>
    <w:rsid w:val="00EC49CE"/>
    <w:rsid w:val="00EC4EAA"/>
    <w:rsid w:val="00EC5D12"/>
    <w:rsid w:val="00EC6B81"/>
    <w:rsid w:val="00EC6C07"/>
    <w:rsid w:val="00EC7CF9"/>
    <w:rsid w:val="00EC7D59"/>
    <w:rsid w:val="00ED018E"/>
    <w:rsid w:val="00ED265D"/>
    <w:rsid w:val="00ED2853"/>
    <w:rsid w:val="00ED2F55"/>
    <w:rsid w:val="00ED3466"/>
    <w:rsid w:val="00ED384B"/>
    <w:rsid w:val="00ED39F6"/>
    <w:rsid w:val="00ED3AD1"/>
    <w:rsid w:val="00ED4E88"/>
    <w:rsid w:val="00ED5DEB"/>
    <w:rsid w:val="00ED616E"/>
    <w:rsid w:val="00ED6C42"/>
    <w:rsid w:val="00ED76E0"/>
    <w:rsid w:val="00ED7D8E"/>
    <w:rsid w:val="00EE14F7"/>
    <w:rsid w:val="00EE1C2F"/>
    <w:rsid w:val="00EE2DE8"/>
    <w:rsid w:val="00EE2FD5"/>
    <w:rsid w:val="00EE39B4"/>
    <w:rsid w:val="00EE42CB"/>
    <w:rsid w:val="00EE4877"/>
    <w:rsid w:val="00EE7677"/>
    <w:rsid w:val="00EE7AE0"/>
    <w:rsid w:val="00EE7DE5"/>
    <w:rsid w:val="00EF1700"/>
    <w:rsid w:val="00EF213F"/>
    <w:rsid w:val="00EF22DF"/>
    <w:rsid w:val="00EF2D4C"/>
    <w:rsid w:val="00EF33A8"/>
    <w:rsid w:val="00EF38D7"/>
    <w:rsid w:val="00EF3F1E"/>
    <w:rsid w:val="00EF4010"/>
    <w:rsid w:val="00EF4815"/>
    <w:rsid w:val="00EF48A0"/>
    <w:rsid w:val="00EF49C2"/>
    <w:rsid w:val="00EF501D"/>
    <w:rsid w:val="00EF558D"/>
    <w:rsid w:val="00F009AB"/>
    <w:rsid w:val="00F00F2C"/>
    <w:rsid w:val="00F015AC"/>
    <w:rsid w:val="00F01C31"/>
    <w:rsid w:val="00F029D6"/>
    <w:rsid w:val="00F03780"/>
    <w:rsid w:val="00F037DC"/>
    <w:rsid w:val="00F03AD2"/>
    <w:rsid w:val="00F04093"/>
    <w:rsid w:val="00F048A8"/>
    <w:rsid w:val="00F05B9F"/>
    <w:rsid w:val="00F05E1A"/>
    <w:rsid w:val="00F063CF"/>
    <w:rsid w:val="00F06B1A"/>
    <w:rsid w:val="00F07A0B"/>
    <w:rsid w:val="00F07F86"/>
    <w:rsid w:val="00F10195"/>
    <w:rsid w:val="00F11C55"/>
    <w:rsid w:val="00F12678"/>
    <w:rsid w:val="00F13ECA"/>
    <w:rsid w:val="00F1426C"/>
    <w:rsid w:val="00F14D19"/>
    <w:rsid w:val="00F1581A"/>
    <w:rsid w:val="00F165C4"/>
    <w:rsid w:val="00F1680A"/>
    <w:rsid w:val="00F20112"/>
    <w:rsid w:val="00F210FC"/>
    <w:rsid w:val="00F213C5"/>
    <w:rsid w:val="00F2258E"/>
    <w:rsid w:val="00F229A1"/>
    <w:rsid w:val="00F22D0C"/>
    <w:rsid w:val="00F238D1"/>
    <w:rsid w:val="00F26753"/>
    <w:rsid w:val="00F26911"/>
    <w:rsid w:val="00F26AD2"/>
    <w:rsid w:val="00F279B7"/>
    <w:rsid w:val="00F31D27"/>
    <w:rsid w:val="00F33C3B"/>
    <w:rsid w:val="00F36BFA"/>
    <w:rsid w:val="00F36E2B"/>
    <w:rsid w:val="00F40839"/>
    <w:rsid w:val="00F40A79"/>
    <w:rsid w:val="00F40BD2"/>
    <w:rsid w:val="00F41115"/>
    <w:rsid w:val="00F44905"/>
    <w:rsid w:val="00F4490F"/>
    <w:rsid w:val="00F44DCF"/>
    <w:rsid w:val="00F45C2E"/>
    <w:rsid w:val="00F46537"/>
    <w:rsid w:val="00F46A31"/>
    <w:rsid w:val="00F51D03"/>
    <w:rsid w:val="00F523E8"/>
    <w:rsid w:val="00F52BF6"/>
    <w:rsid w:val="00F5309E"/>
    <w:rsid w:val="00F53F78"/>
    <w:rsid w:val="00F549F1"/>
    <w:rsid w:val="00F55E10"/>
    <w:rsid w:val="00F56907"/>
    <w:rsid w:val="00F574B1"/>
    <w:rsid w:val="00F57C16"/>
    <w:rsid w:val="00F6078E"/>
    <w:rsid w:val="00F620DD"/>
    <w:rsid w:val="00F62FE4"/>
    <w:rsid w:val="00F63875"/>
    <w:rsid w:val="00F6575C"/>
    <w:rsid w:val="00F663C1"/>
    <w:rsid w:val="00F66C5C"/>
    <w:rsid w:val="00F67699"/>
    <w:rsid w:val="00F7019E"/>
    <w:rsid w:val="00F71229"/>
    <w:rsid w:val="00F75178"/>
    <w:rsid w:val="00F76136"/>
    <w:rsid w:val="00F77CBC"/>
    <w:rsid w:val="00F815B6"/>
    <w:rsid w:val="00F837F0"/>
    <w:rsid w:val="00F848A7"/>
    <w:rsid w:val="00F84FF4"/>
    <w:rsid w:val="00F85391"/>
    <w:rsid w:val="00F872AC"/>
    <w:rsid w:val="00F87619"/>
    <w:rsid w:val="00F916C7"/>
    <w:rsid w:val="00F924E0"/>
    <w:rsid w:val="00F92BF4"/>
    <w:rsid w:val="00F92FB4"/>
    <w:rsid w:val="00F93146"/>
    <w:rsid w:val="00F95012"/>
    <w:rsid w:val="00F95B6D"/>
    <w:rsid w:val="00F96154"/>
    <w:rsid w:val="00F96DFE"/>
    <w:rsid w:val="00F96E92"/>
    <w:rsid w:val="00F9786C"/>
    <w:rsid w:val="00F97BE1"/>
    <w:rsid w:val="00FA1F46"/>
    <w:rsid w:val="00FA257E"/>
    <w:rsid w:val="00FA3662"/>
    <w:rsid w:val="00FA39E9"/>
    <w:rsid w:val="00FA4102"/>
    <w:rsid w:val="00FA5F99"/>
    <w:rsid w:val="00FA6AA8"/>
    <w:rsid w:val="00FA7C64"/>
    <w:rsid w:val="00FB1366"/>
    <w:rsid w:val="00FB1DA7"/>
    <w:rsid w:val="00FB1E7C"/>
    <w:rsid w:val="00FB2BA7"/>
    <w:rsid w:val="00FB5795"/>
    <w:rsid w:val="00FB5BEE"/>
    <w:rsid w:val="00FB7D22"/>
    <w:rsid w:val="00FC0390"/>
    <w:rsid w:val="00FC1CF1"/>
    <w:rsid w:val="00FC1EF5"/>
    <w:rsid w:val="00FC3EAA"/>
    <w:rsid w:val="00FC5CF4"/>
    <w:rsid w:val="00FC7198"/>
    <w:rsid w:val="00FC7F0E"/>
    <w:rsid w:val="00FD33B6"/>
    <w:rsid w:val="00FD346C"/>
    <w:rsid w:val="00FD3585"/>
    <w:rsid w:val="00FD36C3"/>
    <w:rsid w:val="00FD40CE"/>
    <w:rsid w:val="00FD48CA"/>
    <w:rsid w:val="00FD57ED"/>
    <w:rsid w:val="00FD59FE"/>
    <w:rsid w:val="00FD6CDA"/>
    <w:rsid w:val="00FE029D"/>
    <w:rsid w:val="00FE169D"/>
    <w:rsid w:val="00FE18A7"/>
    <w:rsid w:val="00FE26FB"/>
    <w:rsid w:val="00FE2BAD"/>
    <w:rsid w:val="00FE38DC"/>
    <w:rsid w:val="00FE6083"/>
    <w:rsid w:val="00FE781E"/>
    <w:rsid w:val="00FF11A5"/>
    <w:rsid w:val="00FF4CFE"/>
    <w:rsid w:val="00FF4E3B"/>
    <w:rsid w:val="00FF5DCD"/>
    <w:rsid w:val="01C759C5"/>
    <w:rsid w:val="02382DDE"/>
    <w:rsid w:val="03795DEE"/>
    <w:rsid w:val="05DF58DF"/>
    <w:rsid w:val="064A30D4"/>
    <w:rsid w:val="09F93B90"/>
    <w:rsid w:val="0D8A642F"/>
    <w:rsid w:val="0F43506A"/>
    <w:rsid w:val="100B4F14"/>
    <w:rsid w:val="124E5EF1"/>
    <w:rsid w:val="1385438C"/>
    <w:rsid w:val="1487284F"/>
    <w:rsid w:val="159E2E02"/>
    <w:rsid w:val="170245FA"/>
    <w:rsid w:val="17642F7D"/>
    <w:rsid w:val="17B91401"/>
    <w:rsid w:val="18A313AC"/>
    <w:rsid w:val="18AC0737"/>
    <w:rsid w:val="1AC64865"/>
    <w:rsid w:val="1BB3705B"/>
    <w:rsid w:val="1CBF3FAC"/>
    <w:rsid w:val="1F1872FC"/>
    <w:rsid w:val="23442FD2"/>
    <w:rsid w:val="242C20CF"/>
    <w:rsid w:val="257B5A82"/>
    <w:rsid w:val="27E379AD"/>
    <w:rsid w:val="2968303D"/>
    <w:rsid w:val="29D72F37"/>
    <w:rsid w:val="2B235820"/>
    <w:rsid w:val="2C2375A4"/>
    <w:rsid w:val="2C2A0CC4"/>
    <w:rsid w:val="2E364565"/>
    <w:rsid w:val="2F224420"/>
    <w:rsid w:val="31274C0F"/>
    <w:rsid w:val="315B3D53"/>
    <w:rsid w:val="31971208"/>
    <w:rsid w:val="33A36384"/>
    <w:rsid w:val="349B7D92"/>
    <w:rsid w:val="377819A9"/>
    <w:rsid w:val="38506A19"/>
    <w:rsid w:val="398426E4"/>
    <w:rsid w:val="3DA02DE7"/>
    <w:rsid w:val="3DCB2D4F"/>
    <w:rsid w:val="3F3A4EF2"/>
    <w:rsid w:val="3F456218"/>
    <w:rsid w:val="40FE76B2"/>
    <w:rsid w:val="42A51567"/>
    <w:rsid w:val="46633F55"/>
    <w:rsid w:val="46C14E45"/>
    <w:rsid w:val="4963367C"/>
    <w:rsid w:val="4A2B62BC"/>
    <w:rsid w:val="4CF211F0"/>
    <w:rsid w:val="4D0A6F77"/>
    <w:rsid w:val="4E6A7AA9"/>
    <w:rsid w:val="4F6C29FB"/>
    <w:rsid w:val="50391098"/>
    <w:rsid w:val="50674669"/>
    <w:rsid w:val="53E0432F"/>
    <w:rsid w:val="57804A56"/>
    <w:rsid w:val="582317A5"/>
    <w:rsid w:val="59434C65"/>
    <w:rsid w:val="5A211CC7"/>
    <w:rsid w:val="5C9A0172"/>
    <w:rsid w:val="5F061477"/>
    <w:rsid w:val="607E0381"/>
    <w:rsid w:val="62886A65"/>
    <w:rsid w:val="634E739E"/>
    <w:rsid w:val="63F94DF5"/>
    <w:rsid w:val="679B0775"/>
    <w:rsid w:val="67DA029A"/>
    <w:rsid w:val="68AC408D"/>
    <w:rsid w:val="696634C3"/>
    <w:rsid w:val="6A713C22"/>
    <w:rsid w:val="6B6F668D"/>
    <w:rsid w:val="6B7A2541"/>
    <w:rsid w:val="6E581B78"/>
    <w:rsid w:val="724661A5"/>
    <w:rsid w:val="76AB623E"/>
    <w:rsid w:val="793C51A6"/>
    <w:rsid w:val="795507C0"/>
    <w:rsid w:val="79B26D29"/>
    <w:rsid w:val="7E694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link w:val="50"/>
    <w:qFormat/>
    <w:uiPriority w:val="0"/>
    <w:pPr>
      <w:keepNext/>
      <w:keepLines/>
      <w:adjustRightInd w:val="0"/>
      <w:snapToGrid w:val="0"/>
      <w:spacing w:before="120" w:after="120"/>
      <w:outlineLvl w:val="3"/>
    </w:pPr>
    <w:rPr>
      <w:rFonts w:ascii="Arial" w:hAnsi="Arial"/>
      <w:b/>
      <w:bCs/>
      <w:sz w:val="28"/>
      <w:szCs w:val="28"/>
    </w:rPr>
  </w:style>
  <w:style w:type="paragraph" w:styleId="7">
    <w:name w:val="heading 5"/>
    <w:basedOn w:val="1"/>
    <w:next w:val="8"/>
    <w:qFormat/>
    <w:uiPriority w:val="0"/>
    <w:pPr>
      <w:keepNext/>
      <w:keepLines/>
      <w:spacing w:before="280" w:after="290" w:line="376" w:lineRule="auto"/>
      <w:outlineLvl w:val="4"/>
    </w:pPr>
    <w:rPr>
      <w:b/>
      <w:sz w:val="28"/>
    </w:rPr>
  </w:style>
  <w:style w:type="paragraph" w:styleId="9">
    <w:name w:val="heading 6"/>
    <w:basedOn w:val="1"/>
    <w:next w:val="8"/>
    <w:qFormat/>
    <w:uiPriority w:val="0"/>
    <w:pPr>
      <w:keepNext/>
      <w:keepLines/>
      <w:spacing w:before="240" w:after="64" w:line="320" w:lineRule="auto"/>
      <w:outlineLvl w:val="5"/>
    </w:pPr>
    <w:rPr>
      <w:rFonts w:ascii="Arial" w:hAnsi="Arial" w:eastAsia="黑体"/>
      <w:b/>
      <w:sz w:val="24"/>
    </w:rPr>
  </w:style>
  <w:style w:type="paragraph" w:styleId="10">
    <w:name w:val="heading 7"/>
    <w:basedOn w:val="1"/>
    <w:next w:val="8"/>
    <w:qFormat/>
    <w:uiPriority w:val="0"/>
    <w:pPr>
      <w:keepNext/>
      <w:keepLines/>
      <w:spacing w:before="240" w:after="64" w:line="320" w:lineRule="auto"/>
      <w:outlineLvl w:val="6"/>
    </w:pPr>
    <w:rPr>
      <w:b/>
      <w:sz w:val="24"/>
    </w:rPr>
  </w:style>
  <w:style w:type="paragraph" w:styleId="11">
    <w:name w:val="heading 8"/>
    <w:basedOn w:val="1"/>
    <w:next w:val="8"/>
    <w:qFormat/>
    <w:uiPriority w:val="0"/>
    <w:pPr>
      <w:keepNext/>
      <w:keepLines/>
      <w:spacing w:before="240" w:after="64" w:line="320" w:lineRule="auto"/>
      <w:outlineLvl w:val="7"/>
    </w:pPr>
    <w:rPr>
      <w:rFonts w:ascii="Arial" w:hAnsi="Arial" w:eastAsia="黑体"/>
      <w:sz w:val="24"/>
    </w:rPr>
  </w:style>
  <w:style w:type="paragraph" w:styleId="12">
    <w:name w:val="heading 9"/>
    <w:basedOn w:val="1"/>
    <w:next w:val="8"/>
    <w:qFormat/>
    <w:uiPriority w:val="0"/>
    <w:pPr>
      <w:keepNext/>
      <w:keepLines/>
      <w:spacing w:before="240" w:after="64" w:line="320" w:lineRule="auto"/>
      <w:outlineLvl w:val="8"/>
    </w:pPr>
    <w:rPr>
      <w:rFonts w:ascii="Arial" w:hAnsi="Arial" w:eastAsia="黑体"/>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80" w:lineRule="exact"/>
    </w:pPr>
    <w:rPr>
      <w:sz w:val="24"/>
    </w:rPr>
  </w:style>
  <w:style w:type="paragraph" w:styleId="8">
    <w:name w:val="Normal Indent"/>
    <w:basedOn w:val="1"/>
    <w:qFormat/>
    <w:uiPriority w:val="0"/>
    <w:pPr>
      <w:ind w:firstLine="420"/>
    </w:pPr>
    <w:rPr>
      <w:szCs w:val="20"/>
    </w:rPr>
  </w:style>
  <w:style w:type="paragraph" w:styleId="13">
    <w:name w:val="List Number"/>
    <w:basedOn w:val="1"/>
    <w:qFormat/>
    <w:uiPriority w:val="0"/>
    <w:pPr>
      <w:widowControl/>
      <w:tabs>
        <w:tab w:val="left" w:pos="454"/>
        <w:tab w:val="left" w:pos="720"/>
        <w:tab w:val="left" w:pos="840"/>
        <w:tab w:val="left" w:pos="900"/>
      </w:tabs>
      <w:spacing w:afterLines="50"/>
      <w:ind w:left="454"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qFormat/>
    <w:uiPriority w:val="0"/>
    <w:pPr>
      <w:shd w:val="clear" w:color="auto" w:fill="000080"/>
    </w:pPr>
  </w:style>
  <w:style w:type="paragraph" w:styleId="16">
    <w:name w:val="annotation text"/>
    <w:basedOn w:val="1"/>
    <w:link w:val="51"/>
    <w:qFormat/>
    <w:uiPriority w:val="0"/>
    <w:pPr>
      <w:jc w:val="left"/>
    </w:pPr>
  </w:style>
  <w:style w:type="paragraph" w:styleId="17">
    <w:name w:val="Body Text 3"/>
    <w:basedOn w:val="1"/>
    <w:qFormat/>
    <w:uiPriority w:val="0"/>
    <w:pPr>
      <w:spacing w:line="500" w:lineRule="exact"/>
    </w:pPr>
    <w:rPr>
      <w:b/>
      <w:bCs/>
      <w:sz w:val="24"/>
    </w:rPr>
  </w:style>
  <w:style w:type="paragraph" w:styleId="18">
    <w:name w:val="Body Text Indent"/>
    <w:basedOn w:val="1"/>
    <w:link w:val="109"/>
    <w:qFormat/>
    <w:uiPriority w:val="0"/>
    <w:pPr>
      <w:ind w:firstLine="830" w:firstLineChars="352"/>
    </w:pPr>
    <w:rPr>
      <w:rFonts w:ascii="仿宋_GB2312" w:eastAsia="仿宋_GB2312"/>
      <w:sz w:val="32"/>
      <w:szCs w:val="20"/>
    </w:rPr>
  </w:style>
  <w:style w:type="paragraph" w:styleId="19">
    <w:name w:val="List Number 3"/>
    <w:basedOn w:val="1"/>
    <w:qFormat/>
    <w:uiPriority w:val="0"/>
  </w:style>
  <w:style w:type="paragraph" w:styleId="20">
    <w:name w:val="List 2"/>
    <w:basedOn w:val="1"/>
    <w:qFormat/>
    <w:uiPriority w:val="0"/>
    <w:pPr>
      <w:ind w:left="100" w:leftChars="200" w:hanging="200" w:hangingChars="200"/>
    </w:pPr>
    <w:rPr>
      <w:sz w:val="28"/>
    </w:rPr>
  </w:style>
  <w:style w:type="paragraph" w:styleId="21">
    <w:name w:val="toc 3"/>
    <w:basedOn w:val="1"/>
    <w:next w:val="1"/>
    <w:qFormat/>
    <w:uiPriority w:val="39"/>
    <w:pPr>
      <w:ind w:left="840" w:leftChars="400"/>
    </w:pPr>
  </w:style>
  <w:style w:type="paragraph" w:styleId="22">
    <w:name w:val="Plain Text"/>
    <w:basedOn w:val="1"/>
    <w:link w:val="46"/>
    <w:qFormat/>
    <w:uiPriority w:val="0"/>
    <w:rPr>
      <w:rFonts w:ascii="宋体" w:hAnsi="Courier New" w:cs="Courier New"/>
      <w:szCs w:val="21"/>
    </w:rPr>
  </w:style>
  <w:style w:type="paragraph" w:styleId="23">
    <w:name w:val="Date"/>
    <w:basedOn w:val="1"/>
    <w:next w:val="1"/>
    <w:qFormat/>
    <w:uiPriority w:val="0"/>
    <w:pPr>
      <w:ind w:left="100" w:leftChars="2500"/>
    </w:pPr>
    <w:rPr>
      <w:rFonts w:ascii="宋体" w:hAnsi="Courier New" w:cs="Courier New"/>
      <w:szCs w:val="21"/>
    </w:rPr>
  </w:style>
  <w:style w:type="paragraph" w:styleId="24">
    <w:name w:val="Body Text Indent 2"/>
    <w:basedOn w:val="1"/>
    <w:qFormat/>
    <w:uiPriority w:val="0"/>
    <w:pPr>
      <w:ind w:firstLine="630"/>
    </w:pPr>
    <w:rPr>
      <w:sz w:val="32"/>
      <w:szCs w:val="20"/>
    </w:rPr>
  </w:style>
  <w:style w:type="paragraph" w:styleId="25">
    <w:name w:val="Balloon Text"/>
    <w:basedOn w:val="1"/>
    <w:qFormat/>
    <w:uiPriority w:val="0"/>
    <w:rPr>
      <w:sz w:val="18"/>
      <w:szCs w:val="18"/>
    </w:rPr>
  </w:style>
  <w:style w:type="paragraph" w:styleId="26">
    <w:name w:val="footer"/>
    <w:basedOn w:val="1"/>
    <w:link w:val="112"/>
    <w:qFormat/>
    <w:uiPriority w:val="99"/>
    <w:pPr>
      <w:tabs>
        <w:tab w:val="center" w:pos="4153"/>
        <w:tab w:val="right" w:pos="8306"/>
      </w:tabs>
      <w:snapToGrid w:val="0"/>
      <w:jc w:val="left"/>
    </w:pPr>
    <w:rPr>
      <w:sz w:val="18"/>
      <w:szCs w:val="18"/>
    </w:rPr>
  </w:style>
  <w:style w:type="paragraph" w:styleId="27">
    <w:name w:val="header"/>
    <w:basedOn w:val="1"/>
    <w:link w:val="111"/>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29">
    <w:name w:val="List"/>
    <w:basedOn w:val="1"/>
    <w:qFormat/>
    <w:uiPriority w:val="0"/>
    <w:pPr>
      <w:ind w:left="200" w:hanging="200" w:hangingChars="200"/>
    </w:pPr>
    <w:rPr>
      <w:sz w:val="28"/>
    </w:rPr>
  </w:style>
  <w:style w:type="paragraph" w:styleId="30">
    <w:name w:val="Body Text Indent 3"/>
    <w:basedOn w:val="1"/>
    <w:qFormat/>
    <w:uiPriority w:val="0"/>
    <w:pPr>
      <w:spacing w:after="120"/>
      <w:ind w:left="420" w:leftChars="200"/>
    </w:pPr>
    <w:rPr>
      <w:sz w:val="16"/>
      <w:szCs w:val="16"/>
    </w:rPr>
  </w:style>
  <w:style w:type="paragraph" w:styleId="31">
    <w:name w:val="toc 2"/>
    <w:basedOn w:val="1"/>
    <w:next w:val="1"/>
    <w:qFormat/>
    <w:uiPriority w:val="39"/>
    <w:pPr>
      <w:ind w:left="420" w:leftChars="200"/>
    </w:pPr>
  </w:style>
  <w:style w:type="paragraph" w:styleId="32">
    <w:name w:val="Body Text 2"/>
    <w:basedOn w:val="1"/>
    <w:qFormat/>
    <w:uiPriority w:val="0"/>
    <w:pPr>
      <w:spacing w:after="120" w:line="480" w:lineRule="auto"/>
    </w:pPr>
  </w:style>
  <w:style w:type="paragraph" w:styleId="33">
    <w:name w:val="Normal (Web)"/>
    <w:basedOn w:val="1"/>
    <w:link w:val="48"/>
    <w:qFormat/>
    <w:uiPriority w:val="99"/>
    <w:pPr>
      <w:widowControl/>
      <w:spacing w:before="100" w:beforeAutospacing="1" w:after="100" w:afterAutospacing="1"/>
      <w:jc w:val="left"/>
    </w:pPr>
    <w:rPr>
      <w:rFonts w:ascii="宋体" w:hAnsi="宋体"/>
      <w:kern w:val="0"/>
      <w:sz w:val="24"/>
    </w:rPr>
  </w:style>
  <w:style w:type="paragraph" w:styleId="34">
    <w:name w:val="index 1"/>
    <w:basedOn w:val="1"/>
    <w:next w:val="1"/>
    <w:qFormat/>
    <w:uiPriority w:val="0"/>
    <w:pPr>
      <w:spacing w:line="400" w:lineRule="exact"/>
      <w:ind w:firstLine="420" w:firstLineChars="200"/>
    </w:pPr>
    <w:rPr>
      <w:rFonts w:ascii="宋体" w:hAnsi="Courier New"/>
      <w:b/>
      <w:szCs w:val="20"/>
    </w:rPr>
  </w:style>
  <w:style w:type="paragraph" w:styleId="35">
    <w:name w:val="annotation subject"/>
    <w:basedOn w:val="16"/>
    <w:next w:val="16"/>
    <w:link w:val="52"/>
    <w:qFormat/>
    <w:uiPriority w:val="0"/>
    <w:rPr>
      <w:b/>
      <w:bCs/>
    </w:r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0"/>
    <w:rPr>
      <w:b/>
      <w:bCs/>
    </w:rPr>
  </w:style>
  <w:style w:type="character" w:styleId="40">
    <w:name w:val="page number"/>
    <w:basedOn w:val="38"/>
    <w:qFormat/>
    <w:uiPriority w:val="0"/>
  </w:style>
  <w:style w:type="character" w:styleId="41">
    <w:name w:val="FollowedHyperlink"/>
    <w:qFormat/>
    <w:uiPriority w:val="0"/>
    <w:rPr>
      <w:color w:val="800080"/>
      <w:u w:val="single"/>
    </w:rPr>
  </w:style>
  <w:style w:type="character" w:styleId="42">
    <w:name w:val="Hyperlink"/>
    <w:qFormat/>
    <w:uiPriority w:val="99"/>
    <w:rPr>
      <w:color w:val="0000FF"/>
      <w:u w:val="single"/>
    </w:rPr>
  </w:style>
  <w:style w:type="character" w:styleId="43">
    <w:name w:val="annotation reference"/>
    <w:qFormat/>
    <w:uiPriority w:val="0"/>
    <w:rPr>
      <w:sz w:val="21"/>
      <w:szCs w:val="21"/>
    </w:rPr>
  </w:style>
  <w:style w:type="character" w:customStyle="1" w:styleId="44">
    <w:name w:val="普通文字 Char Char2"/>
    <w:qFormat/>
    <w:uiPriority w:val="0"/>
    <w:rPr>
      <w:rFonts w:ascii="宋体" w:hAnsi="Courier New" w:eastAsia="宋体" w:cs="Courier New"/>
      <w:b/>
      <w:i/>
      <w:iCs/>
      <w:color w:val="000000"/>
      <w:kern w:val="2"/>
      <w:sz w:val="21"/>
      <w:szCs w:val="21"/>
      <w:lang w:val="en-US" w:eastAsia="zh-CN" w:bidi="ar-SA"/>
    </w:rPr>
  </w:style>
  <w:style w:type="character" w:customStyle="1" w:styleId="45">
    <w:name w:val="Char Char4"/>
    <w:qFormat/>
    <w:uiPriority w:val="0"/>
    <w:rPr>
      <w:rFonts w:ascii="宋体" w:hAnsi="Courier New" w:eastAsia="宋体" w:cs="Courier New"/>
      <w:kern w:val="2"/>
      <w:sz w:val="21"/>
      <w:szCs w:val="21"/>
      <w:lang w:val="en-US" w:eastAsia="zh-CN" w:bidi="ar-SA"/>
    </w:rPr>
  </w:style>
  <w:style w:type="character" w:customStyle="1" w:styleId="46">
    <w:name w:val="纯文本 Char"/>
    <w:link w:val="22"/>
    <w:qFormat/>
    <w:uiPriority w:val="0"/>
    <w:rPr>
      <w:rFonts w:ascii="宋体" w:hAnsi="Courier New" w:eastAsia="宋体" w:cs="Courier New"/>
      <w:kern w:val="2"/>
      <w:sz w:val="21"/>
      <w:szCs w:val="21"/>
      <w:lang w:val="en-US" w:eastAsia="zh-CN" w:bidi="ar-SA"/>
    </w:rPr>
  </w:style>
  <w:style w:type="character" w:customStyle="1" w:styleId="47">
    <w:name w:val="Plain Text Char"/>
    <w:qFormat/>
    <w:locked/>
    <w:uiPriority w:val="0"/>
    <w:rPr>
      <w:rFonts w:ascii="宋体" w:hAnsi="Courier New" w:eastAsia="宋体" w:cs="Courier New"/>
      <w:kern w:val="2"/>
      <w:sz w:val="21"/>
      <w:szCs w:val="21"/>
      <w:lang w:val="en-US" w:eastAsia="zh-CN" w:bidi="ar-SA"/>
    </w:rPr>
  </w:style>
  <w:style w:type="character" w:customStyle="1" w:styleId="48">
    <w:name w:val="普通(网站) Char"/>
    <w:link w:val="33"/>
    <w:qFormat/>
    <w:locked/>
    <w:uiPriority w:val="0"/>
    <w:rPr>
      <w:rFonts w:ascii="宋体" w:hAnsi="宋体"/>
      <w:sz w:val="24"/>
      <w:szCs w:val="24"/>
    </w:rPr>
  </w:style>
  <w:style w:type="character" w:customStyle="1" w:styleId="49">
    <w:name w:val="apple-converted-space"/>
    <w:basedOn w:val="38"/>
    <w:qFormat/>
    <w:uiPriority w:val="0"/>
  </w:style>
  <w:style w:type="character" w:customStyle="1" w:styleId="50">
    <w:name w:val="标题 4 Char"/>
    <w:link w:val="6"/>
    <w:qFormat/>
    <w:uiPriority w:val="0"/>
    <w:rPr>
      <w:rFonts w:ascii="Arial" w:hAnsi="Arial"/>
      <w:b/>
      <w:bCs/>
      <w:kern w:val="2"/>
      <w:sz w:val="28"/>
      <w:szCs w:val="28"/>
    </w:rPr>
  </w:style>
  <w:style w:type="character" w:customStyle="1" w:styleId="51">
    <w:name w:val="批注文字 Char"/>
    <w:link w:val="16"/>
    <w:qFormat/>
    <w:uiPriority w:val="0"/>
    <w:rPr>
      <w:kern w:val="2"/>
      <w:sz w:val="21"/>
      <w:szCs w:val="24"/>
    </w:rPr>
  </w:style>
  <w:style w:type="character" w:customStyle="1" w:styleId="52">
    <w:name w:val="批注主题 Char"/>
    <w:link w:val="35"/>
    <w:qFormat/>
    <w:uiPriority w:val="0"/>
    <w:rPr>
      <w:b/>
      <w:bCs/>
      <w:kern w:val="2"/>
      <w:sz w:val="21"/>
      <w:szCs w:val="24"/>
    </w:rPr>
  </w:style>
  <w:style w:type="character" w:customStyle="1" w:styleId="53">
    <w:name w:val="Char Char2"/>
    <w:qFormat/>
    <w:uiPriority w:val="0"/>
    <w:rPr>
      <w:rFonts w:ascii="宋体" w:hAnsi="宋体" w:eastAsia="宋体"/>
      <w:kern w:val="2"/>
      <w:sz w:val="21"/>
      <w:szCs w:val="24"/>
      <w:lang w:val="en-US" w:eastAsia="zh-CN" w:bidi="ar-SA"/>
    </w:rPr>
  </w:style>
  <w:style w:type="character" w:customStyle="1" w:styleId="54">
    <w:name w:val="无间隔 Char"/>
    <w:link w:val="55"/>
    <w:qFormat/>
    <w:uiPriority w:val="0"/>
    <w:rPr>
      <w:rFonts w:ascii="Calibri" w:hAnsi="Calibri"/>
      <w:sz w:val="22"/>
      <w:szCs w:val="22"/>
      <w:lang w:val="en-US" w:eastAsia="zh-CN" w:bidi="ar-SA"/>
    </w:rPr>
  </w:style>
  <w:style w:type="paragraph" w:styleId="55">
    <w:name w:val="No Spacing"/>
    <w:link w:val="54"/>
    <w:qFormat/>
    <w:uiPriority w:val="0"/>
    <w:rPr>
      <w:rFonts w:ascii="Calibri" w:hAnsi="Calibri" w:eastAsia="宋体" w:cs="Times New Roman"/>
      <w:sz w:val="22"/>
      <w:szCs w:val="22"/>
      <w:lang w:val="en-US" w:eastAsia="zh-CN" w:bidi="ar-SA"/>
    </w:rPr>
  </w:style>
  <w:style w:type="character" w:customStyle="1" w:styleId="56">
    <w:name w:val="case31"/>
    <w:qFormat/>
    <w:uiPriority w:val="0"/>
    <w:rPr>
      <w:rFonts w:hint="default"/>
      <w:sz w:val="21"/>
      <w:szCs w:val="21"/>
    </w:rPr>
  </w:style>
  <w:style w:type="character" w:customStyle="1" w:styleId="57">
    <w:name w:val="样式 body + 仿宋_GB2312 三号"/>
    <w:qFormat/>
    <w:uiPriority w:val="0"/>
    <w:rPr>
      <w:rFonts w:ascii="宋体" w:eastAsia="宋体"/>
      <w:kern w:val="0"/>
      <w:sz w:val="24"/>
      <w:szCs w:val="24"/>
      <w:lang w:val="en-US" w:eastAsia="zh-CN" w:bidi="ar-SA"/>
    </w:rPr>
  </w:style>
  <w:style w:type="character" w:customStyle="1" w:styleId="58">
    <w:name w:val="14"/>
    <w:basedOn w:val="38"/>
    <w:qFormat/>
    <w:uiPriority w:val="0"/>
  </w:style>
  <w:style w:type="character" w:customStyle="1" w:styleId="59">
    <w:name w:val="lb1"/>
    <w:qFormat/>
    <w:uiPriority w:val="0"/>
    <w:rPr>
      <w:rFonts w:hint="default"/>
      <w:b/>
      <w:bCs/>
      <w:color w:val="0851A5"/>
      <w:sz w:val="27"/>
      <w:szCs w:val="27"/>
    </w:rPr>
  </w:style>
  <w:style w:type="character" w:customStyle="1" w:styleId="60">
    <w:name w:val="textcontents"/>
    <w:basedOn w:val="38"/>
    <w:qFormat/>
    <w:uiPriority w:val="0"/>
  </w:style>
  <w:style w:type="character" w:customStyle="1" w:styleId="61">
    <w:name w:val="Char Char Char"/>
    <w:qFormat/>
    <w:uiPriority w:val="0"/>
    <w:rPr>
      <w:rFonts w:ascii="宋体" w:hAnsi="Courier New" w:eastAsia="宋体"/>
      <w:kern w:val="2"/>
      <w:sz w:val="21"/>
      <w:lang w:val="en-US" w:eastAsia="zh-CN" w:bidi="ar-SA"/>
    </w:rPr>
  </w:style>
  <w:style w:type="paragraph" w:customStyle="1" w:styleId="62">
    <w:name w:val="xl5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4">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65">
    <w:name w:val="正文段"/>
    <w:basedOn w:val="1"/>
    <w:qFormat/>
    <w:uiPriority w:val="0"/>
    <w:pPr>
      <w:widowControl/>
      <w:snapToGrid w:val="0"/>
      <w:spacing w:afterLines="50"/>
      <w:ind w:firstLine="200" w:firstLineChars="200"/>
    </w:pPr>
    <w:rPr>
      <w:kern w:val="0"/>
      <w:sz w:val="24"/>
      <w:szCs w:val="20"/>
    </w:rPr>
  </w:style>
  <w:style w:type="paragraph" w:customStyle="1" w:styleId="6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8"/>
      <w:szCs w:val="18"/>
    </w:rPr>
  </w:style>
  <w:style w:type="paragraph" w:customStyle="1" w:styleId="68">
    <w:name w:val="正文首行缩进两字符"/>
    <w:basedOn w:val="1"/>
    <w:qFormat/>
    <w:uiPriority w:val="0"/>
    <w:pPr>
      <w:spacing w:line="360" w:lineRule="auto"/>
      <w:ind w:firstLine="200" w:firstLineChars="200"/>
    </w:pPr>
  </w:style>
  <w:style w:type="paragraph" w:customStyle="1" w:styleId="69">
    <w:name w:val="font6"/>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70">
    <w:name w:val="Char2"/>
    <w:basedOn w:val="15"/>
    <w:semiHidden/>
    <w:qFormat/>
    <w:uiPriority w:val="0"/>
    <w:rPr>
      <w:rFonts w:ascii="Tahoma" w:hAnsi="Tahoma" w:cs="Tahoma"/>
      <w:kern w:val="0"/>
      <w:sz w:val="18"/>
    </w:rPr>
  </w:style>
  <w:style w:type="paragraph" w:customStyle="1" w:styleId="71">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72">
    <w:name w:val="样式 标题 1第A章标题 1 Char Char CharH1h1Level 1 Topic HeadingH11..."/>
    <w:basedOn w:val="3"/>
    <w:qFormat/>
    <w:uiPriority w:val="0"/>
    <w:pPr>
      <w:spacing w:before="0" w:after="0" w:line="460" w:lineRule="exact"/>
      <w:ind w:left="-4"/>
      <w:jc w:val="left"/>
    </w:pPr>
    <w:rPr>
      <w:rFonts w:ascii="仿宋_GB2312" w:hAnsi="宋体" w:eastAsia="仿宋_GB2312" w:cs="宋体"/>
      <w:sz w:val="32"/>
      <w:szCs w:val="32"/>
    </w:rPr>
  </w:style>
  <w:style w:type="paragraph" w:customStyle="1" w:styleId="73">
    <w:name w:val="表格"/>
    <w:basedOn w:val="1"/>
    <w:qFormat/>
    <w:uiPriority w:val="0"/>
    <w:pPr>
      <w:spacing w:line="400" w:lineRule="exact"/>
    </w:pPr>
    <w:rPr>
      <w:sz w:val="24"/>
    </w:rPr>
  </w:style>
  <w:style w:type="paragraph" w:customStyle="1" w:styleId="74">
    <w:name w:val="xl5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75">
    <w:name w:val="_Style 81"/>
    <w:basedOn w:val="15"/>
    <w:qFormat/>
    <w:uiPriority w:val="0"/>
    <w:pPr>
      <w:widowControl/>
      <w:ind w:firstLine="454"/>
      <w:jc w:val="left"/>
    </w:pPr>
  </w:style>
  <w:style w:type="paragraph" w:customStyle="1" w:styleId="76">
    <w:name w:val="样式 首行缩进:  2 字符"/>
    <w:basedOn w:val="1"/>
    <w:qFormat/>
    <w:uiPriority w:val="0"/>
    <w:pPr>
      <w:spacing w:line="400" w:lineRule="exact"/>
      <w:ind w:firstLine="200" w:firstLineChars="200"/>
    </w:pPr>
    <w:rPr>
      <w:rFonts w:cs="宋体"/>
      <w:sz w:val="24"/>
    </w:rPr>
  </w:style>
  <w:style w:type="paragraph" w:customStyle="1" w:styleId="77">
    <w:name w:val="font8"/>
    <w:basedOn w:val="1"/>
    <w:qFormat/>
    <w:uiPriority w:val="0"/>
    <w:pPr>
      <w:widowControl/>
      <w:spacing w:before="100" w:beforeAutospacing="1" w:after="100" w:afterAutospacing="1"/>
      <w:jc w:val="left"/>
    </w:pPr>
    <w:rPr>
      <w:rFonts w:ascii="宋体" w:hAnsi="宋体" w:cs="宋体"/>
      <w:color w:val="FF0000"/>
      <w:kern w:val="0"/>
      <w:sz w:val="16"/>
      <w:szCs w:val="16"/>
    </w:rPr>
  </w:style>
  <w:style w:type="paragraph" w:customStyle="1" w:styleId="78">
    <w:name w:val="Char1"/>
    <w:basedOn w:val="1"/>
    <w:qFormat/>
    <w:uiPriority w:val="0"/>
    <w:rPr>
      <w:szCs w:val="21"/>
    </w:rPr>
  </w:style>
  <w:style w:type="paragraph" w:customStyle="1" w:styleId="79">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80">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8"/>
      <w:szCs w:val="18"/>
    </w:rPr>
  </w:style>
  <w:style w:type="paragraph" w:customStyle="1" w:styleId="81">
    <w:name w:val="font9"/>
    <w:basedOn w:val="1"/>
    <w:qFormat/>
    <w:uiPriority w:val="0"/>
    <w:pPr>
      <w:widowControl/>
      <w:spacing w:before="100" w:beforeAutospacing="1" w:after="100" w:afterAutospacing="1"/>
      <w:jc w:val="left"/>
    </w:pPr>
    <w:rPr>
      <w:color w:val="FF0000"/>
      <w:kern w:val="0"/>
      <w:sz w:val="16"/>
      <w:szCs w:val="16"/>
    </w:rPr>
  </w:style>
  <w:style w:type="paragraph" w:customStyle="1" w:styleId="82">
    <w:name w:val="xl31"/>
    <w:basedOn w:val="1"/>
    <w:qFormat/>
    <w:uiPriority w:val="0"/>
    <w:pPr>
      <w:widowControl/>
      <w:spacing w:before="100" w:beforeAutospacing="1" w:after="100" w:afterAutospacing="1"/>
      <w:jc w:val="center"/>
    </w:pPr>
    <w:rPr>
      <w:rFonts w:ascii="Arial Unicode MS" w:hAnsi="Arial Unicode MS"/>
      <w:kern w:val="0"/>
      <w:sz w:val="24"/>
    </w:rPr>
  </w:style>
  <w:style w:type="paragraph" w:customStyle="1" w:styleId="83">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FF0000"/>
      <w:kern w:val="0"/>
      <w:sz w:val="16"/>
      <w:szCs w:val="16"/>
    </w:rPr>
  </w:style>
  <w:style w:type="paragraph" w:customStyle="1" w:styleId="84">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85">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86">
    <w:name w:val="xl5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7">
    <w:name w:val="Char Char Char Char Char Char"/>
    <w:basedOn w:val="1"/>
    <w:qFormat/>
    <w:uiPriority w:val="0"/>
  </w:style>
  <w:style w:type="paragraph" w:customStyle="1" w:styleId="88">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89">
    <w:name w:val="列出段落1"/>
    <w:basedOn w:val="1"/>
    <w:qFormat/>
    <w:uiPriority w:val="0"/>
    <w:pPr>
      <w:widowControl/>
      <w:spacing w:after="200" w:line="276" w:lineRule="auto"/>
      <w:ind w:left="720"/>
      <w:contextualSpacing/>
      <w:jc w:val="left"/>
    </w:pPr>
    <w:rPr>
      <w:rFonts w:ascii="Calibri" w:hAnsi="Calibri"/>
      <w:kern w:val="0"/>
      <w:sz w:val="22"/>
      <w:szCs w:val="22"/>
    </w:rPr>
  </w:style>
  <w:style w:type="paragraph" w:customStyle="1" w:styleId="90">
    <w:name w:val="修订1"/>
    <w:qFormat/>
    <w:uiPriority w:val="0"/>
    <w:rPr>
      <w:rFonts w:ascii="Times New Roman" w:hAnsi="Times New Roman" w:eastAsia="宋体" w:cs="Times New Roman"/>
      <w:kern w:val="2"/>
      <w:sz w:val="21"/>
      <w:szCs w:val="24"/>
      <w:lang w:val="en-US" w:eastAsia="zh-CN" w:bidi="ar-SA"/>
    </w:rPr>
  </w:style>
  <w:style w:type="paragraph" w:customStyle="1" w:styleId="9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6"/>
      <w:szCs w:val="16"/>
    </w:rPr>
  </w:style>
  <w:style w:type="paragraph" w:customStyle="1" w:styleId="93">
    <w:name w:val="font7"/>
    <w:basedOn w:val="1"/>
    <w:qFormat/>
    <w:uiPriority w:val="0"/>
    <w:pPr>
      <w:widowControl/>
      <w:spacing w:before="100" w:beforeAutospacing="1" w:after="100" w:afterAutospacing="1"/>
      <w:jc w:val="left"/>
    </w:pPr>
    <w:rPr>
      <w:kern w:val="0"/>
      <w:sz w:val="16"/>
      <w:szCs w:val="16"/>
    </w:rPr>
  </w:style>
  <w:style w:type="paragraph" w:customStyle="1" w:styleId="94">
    <w:name w:val="Char"/>
    <w:basedOn w:val="1"/>
    <w:qFormat/>
    <w:uiPriority w:val="0"/>
  </w:style>
  <w:style w:type="paragraph" w:customStyle="1" w:styleId="95">
    <w:name w:val="默认段落字体 Para Char"/>
    <w:basedOn w:val="1"/>
    <w:qFormat/>
    <w:uiPriority w:val="0"/>
    <w:pPr>
      <w:adjustRightInd w:val="0"/>
      <w:spacing w:line="360" w:lineRule="auto"/>
    </w:pPr>
    <w:rPr>
      <w:kern w:val="0"/>
      <w:sz w:val="24"/>
      <w:szCs w:val="20"/>
    </w:rPr>
  </w:style>
  <w:style w:type="paragraph" w:customStyle="1" w:styleId="96">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97">
    <w:name w:val="Char3"/>
    <w:basedOn w:val="15"/>
    <w:qFormat/>
    <w:uiPriority w:val="0"/>
    <w:pPr>
      <w:widowControl/>
      <w:ind w:firstLine="454"/>
      <w:jc w:val="left"/>
    </w:pPr>
    <w:rPr>
      <w:rFonts w:ascii="Tahoma" w:hAnsi="Tahoma" w:cs="宋体"/>
      <w:kern w:val="0"/>
      <w:sz w:val="24"/>
      <w:szCs w:val="20"/>
    </w:rPr>
  </w:style>
  <w:style w:type="paragraph" w:customStyle="1" w:styleId="9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styleId="99">
    <w:name w:val="List Paragraph"/>
    <w:basedOn w:val="1"/>
    <w:qFormat/>
    <w:uiPriority w:val="0"/>
    <w:pPr>
      <w:widowControl/>
      <w:ind w:firstLine="420" w:firstLineChars="200"/>
      <w:jc w:val="left"/>
    </w:pPr>
    <w:rPr>
      <w:rFonts w:ascii="宋体" w:hAnsi="宋体" w:cs="宋体"/>
      <w:kern w:val="0"/>
      <w:sz w:val="24"/>
    </w:rPr>
  </w:style>
  <w:style w:type="paragraph" w:customStyle="1" w:styleId="100">
    <w:name w:val="默认段落字体 Para Char Char Char Char Char Char Char Char Char1 Char Char Char Char"/>
    <w:basedOn w:val="1"/>
    <w:qFormat/>
    <w:uiPriority w:val="0"/>
    <w:rPr>
      <w:rFonts w:ascii="Tahoma" w:hAnsi="Tahoma"/>
      <w:sz w:val="24"/>
      <w:szCs w:val="20"/>
    </w:rPr>
  </w:style>
  <w:style w:type="paragraph" w:customStyle="1" w:styleId="10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18"/>
      <w:szCs w:val="18"/>
    </w:rPr>
  </w:style>
  <w:style w:type="paragraph" w:customStyle="1" w:styleId="102">
    <w:name w:val="表内文字"/>
    <w:basedOn w:val="1"/>
    <w:qFormat/>
    <w:uiPriority w:val="0"/>
    <w:pPr>
      <w:snapToGrid w:val="0"/>
      <w:jc w:val="center"/>
    </w:pPr>
    <w:rPr>
      <w:rFonts w:ascii="宋体" w:hAnsi="宋体"/>
      <w:color w:val="FF0000"/>
      <w:sz w:val="24"/>
    </w:rPr>
  </w:style>
  <w:style w:type="paragraph" w:customStyle="1" w:styleId="103">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宋体" w:eastAsia="黑体" w:cs="宋体"/>
      <w:b/>
      <w:bCs/>
      <w:kern w:val="0"/>
      <w:sz w:val="18"/>
      <w:szCs w:val="18"/>
    </w:rPr>
  </w:style>
  <w:style w:type="paragraph" w:customStyle="1" w:styleId="104">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105">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18"/>
      <w:szCs w:val="18"/>
    </w:rPr>
  </w:style>
  <w:style w:type="paragraph" w:customStyle="1" w:styleId="106">
    <w:name w:val="xl5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0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08">
    <w:name w:val="char"/>
    <w:basedOn w:val="1"/>
    <w:qFormat/>
    <w:uiPriority w:val="0"/>
    <w:pPr>
      <w:widowControl/>
      <w:adjustRightInd w:val="0"/>
      <w:snapToGrid w:val="0"/>
      <w:spacing w:beforeLines="50" w:after="160" w:line="360" w:lineRule="exact"/>
      <w:ind w:firstLine="496" w:firstLineChars="200"/>
      <w:jc w:val="left"/>
    </w:pPr>
    <w:rPr>
      <w:rFonts w:ascii="宋体" w:hAnsi="宋体" w:cs="”“Times New Roman”“"/>
      <w:color w:val="000000"/>
      <w:spacing w:val="4"/>
      <w:kern w:val="0"/>
      <w:sz w:val="24"/>
      <w:lang w:eastAsia="en-US"/>
    </w:rPr>
  </w:style>
  <w:style w:type="character" w:customStyle="1" w:styleId="109">
    <w:name w:val="正文文本缩进 Char"/>
    <w:link w:val="18"/>
    <w:qFormat/>
    <w:uiPriority w:val="0"/>
    <w:rPr>
      <w:rFonts w:ascii="仿宋_GB2312" w:eastAsia="仿宋_GB2312"/>
      <w:kern w:val="2"/>
      <w:sz w:val="32"/>
    </w:rPr>
  </w:style>
  <w:style w:type="paragraph" w:customStyle="1" w:styleId="11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character" w:customStyle="1" w:styleId="111">
    <w:name w:val="页眉 Char"/>
    <w:basedOn w:val="38"/>
    <w:link w:val="27"/>
    <w:qFormat/>
    <w:uiPriority w:val="99"/>
    <w:rPr>
      <w:kern w:val="2"/>
      <w:sz w:val="18"/>
      <w:szCs w:val="18"/>
    </w:rPr>
  </w:style>
  <w:style w:type="character" w:customStyle="1" w:styleId="112">
    <w:name w:val="页脚 Char"/>
    <w:basedOn w:val="38"/>
    <w:link w:val="26"/>
    <w:qFormat/>
    <w:uiPriority w:val="99"/>
    <w:rPr>
      <w:kern w:val="2"/>
      <w:sz w:val="18"/>
      <w:szCs w:val="18"/>
    </w:rPr>
  </w:style>
  <w:style w:type="paragraph" w:customStyle="1" w:styleId="113">
    <w:name w:val="1"/>
    <w:basedOn w:val="1"/>
    <w:next w:val="22"/>
    <w:qFormat/>
    <w:uiPriority w:val="0"/>
    <w:rPr>
      <w:rFonts w:ascii="宋体" w:hAnsi="Courier New"/>
      <w:szCs w:val="20"/>
    </w:rPr>
  </w:style>
  <w:style w:type="paragraph" w:customStyle="1" w:styleId="114">
    <w:name w:val="link_wenben"/>
    <w:basedOn w:val="3"/>
    <w:qFormat/>
    <w:uiPriority w:val="0"/>
    <w:pPr>
      <w:keepNext w:val="0"/>
      <w:keepLines w:val="0"/>
      <w:tabs>
        <w:tab w:val="left" w:pos="420"/>
      </w:tabs>
      <w:adjustRightInd w:val="0"/>
      <w:spacing w:before="0" w:afterLines="25" w:line="360" w:lineRule="auto"/>
      <w:ind w:firstLine="200" w:firstLineChars="200"/>
      <w:jc w:val="left"/>
      <w:outlineLvl w:val="9"/>
    </w:pPr>
    <w:rPr>
      <w:rFonts w:ascii="宋体" w:hAnsi="宋体" w:eastAsia="仿宋"/>
      <w:b w:val="0"/>
      <w:bCs w:val="0"/>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7328</Words>
  <Characters>41772</Characters>
  <Lines>348</Lines>
  <Paragraphs>98</Paragraphs>
  <TotalTime>2</TotalTime>
  <ScaleCrop>false</ScaleCrop>
  <LinksUpToDate>false</LinksUpToDate>
  <CharactersWithSpaces>49002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2018-12-12T07:00:00Z</dcterms:created>
  <dc:creator>User</dc:creator>
  <cp:lastModifiedBy>NTKO</cp:lastModifiedBy>
  <cp:lastPrinted>2018-10-23T02:55:00Z</cp:lastPrinted>
  <dcterms:modified xsi:type="dcterms:W3CDTF">2020-07-13T10:09:37Z</dcterms:modified>
  <dc:title>广西壮族自治区建设工程机电设备招标中心</dc:title>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