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ascii="宋体" w:cs="宋体"/>
          <w:color w:val="auto"/>
          <w:sz w:val="44"/>
          <w:highlight w:val="none"/>
        </w:rPr>
      </w:pPr>
      <w:bookmarkStart w:id="0" w:name="_Toc454283094"/>
      <w:r>
        <w:rPr>
          <w:rFonts w:hint="eastAsia" w:ascii="宋体" w:cs="宋体"/>
          <w:color w:val="auto"/>
          <w:sz w:val="32"/>
          <w:highlight w:val="none"/>
        </w:rPr>
        <w:t>第三部分 专用合同条款</w:t>
      </w:r>
      <w:bookmarkEnd w:id="0"/>
    </w:p>
    <w:p>
      <w:pPr>
        <w:pStyle w:val="9"/>
        <w:spacing w:before="0" w:after="0"/>
        <w:rPr>
          <w:rFonts w:hint="eastAsia" w:ascii="宋体" w:cs="宋体"/>
          <w:color w:val="auto"/>
          <w:highlight w:val="none"/>
        </w:rPr>
      </w:pPr>
      <w:bookmarkStart w:id="1" w:name="_Toc351203633"/>
      <w:bookmarkStart w:id="2" w:name="_Toc454283095"/>
      <w:bookmarkStart w:id="3" w:name="_Toc417904268"/>
      <w:bookmarkStart w:id="4" w:name="_Toc417904364"/>
      <w:bookmarkStart w:id="5" w:name="_Toc454283187"/>
      <w:r>
        <w:rPr>
          <w:rFonts w:hint="eastAsia" w:ascii="宋体" w:cs="宋体"/>
          <w:color w:val="auto"/>
          <w:highlight w:val="none"/>
        </w:rPr>
        <w:t>1</w:t>
      </w:r>
      <w:bookmarkStart w:id="6" w:name="_Toc296347155"/>
      <w:bookmarkStart w:id="7" w:name="_Toc296891196"/>
      <w:bookmarkStart w:id="8" w:name="_Toc297120456"/>
      <w:bookmarkStart w:id="9" w:name="_Toc296346657"/>
      <w:bookmarkStart w:id="10" w:name="_Toc296944495"/>
      <w:bookmarkStart w:id="11" w:name="_Toc296503156"/>
      <w:bookmarkStart w:id="12" w:name="_Toc292559866"/>
      <w:bookmarkStart w:id="13" w:name="_Toc292559361"/>
      <w:bookmarkStart w:id="14" w:name="_Toc297048342"/>
      <w:bookmarkStart w:id="15" w:name="_Toc296890984"/>
      <w:r>
        <w:rPr>
          <w:rFonts w:hint="eastAsia" w:ascii="宋体" w:cs="宋体"/>
          <w:color w:val="auto"/>
          <w:highlight w:val="none"/>
        </w:rPr>
        <w:t>. 一般约定</w:t>
      </w:r>
      <w:bookmarkEnd w:id="1"/>
      <w:bookmarkEnd w:id="2"/>
      <w:bookmarkEnd w:id="3"/>
    </w:p>
    <w:bookmarkEnd w:id="6"/>
    <w:bookmarkEnd w:id="7"/>
    <w:bookmarkEnd w:id="8"/>
    <w:bookmarkEnd w:id="9"/>
    <w:bookmarkEnd w:id="10"/>
    <w:bookmarkEnd w:id="11"/>
    <w:bookmarkEnd w:id="12"/>
    <w:bookmarkEnd w:id="13"/>
    <w:bookmarkEnd w:id="14"/>
    <w:bookmarkEnd w:id="15"/>
    <w:p>
      <w:pPr>
        <w:pStyle w:val="9"/>
        <w:spacing w:before="0" w:after="0"/>
        <w:rPr>
          <w:rFonts w:hint="eastAsia" w:ascii="宋体" w:cs="宋体"/>
          <w:color w:val="auto"/>
          <w:highlight w:val="none"/>
        </w:rPr>
      </w:pPr>
      <w:bookmarkStart w:id="16" w:name="_Toc454283096"/>
      <w:bookmarkStart w:id="17" w:name="_Toc417904269"/>
      <w:r>
        <w:rPr>
          <w:rFonts w:hint="eastAsia" w:ascii="宋体" w:cs="宋体"/>
          <w:color w:val="auto"/>
          <w:highlight w:val="none"/>
        </w:rPr>
        <w:t>1.1 词语定义</w:t>
      </w:r>
      <w:bookmarkEnd w:id="16"/>
      <w:bookmarkEnd w:id="17"/>
    </w:p>
    <w:p>
      <w:pPr>
        <w:pStyle w:val="10"/>
        <w:rPr>
          <w:rFonts w:hint="eastAsia" w:ascii="宋体" w:hAnsi="宋体" w:cs="宋体"/>
          <w:color w:val="auto"/>
          <w:highlight w:val="none"/>
        </w:rPr>
      </w:pPr>
      <w:r>
        <w:rPr>
          <w:rFonts w:hint="eastAsia" w:ascii="宋体" w:hAnsi="宋体" w:cs="宋体"/>
          <w:color w:val="auto"/>
          <w:highlight w:val="none"/>
        </w:rPr>
        <w:t>1.1.1合同</w:t>
      </w:r>
    </w:p>
    <w:p>
      <w:pPr>
        <w:pStyle w:val="10"/>
        <w:rPr>
          <w:rFonts w:hint="eastAsia" w:ascii="宋体" w:hAnsi="宋体" w:cs="宋体"/>
          <w:color w:val="auto"/>
          <w:highlight w:val="none"/>
        </w:rPr>
      </w:pPr>
      <w:r>
        <w:rPr>
          <w:rFonts w:hint="eastAsia" w:ascii="宋体" w:hAnsi="宋体" w:cs="宋体"/>
          <w:color w:val="auto"/>
          <w:highlight w:val="none"/>
        </w:rPr>
        <w:t>1.1.1.10其他合同文件包括：</w:t>
      </w:r>
      <w:r>
        <w:rPr>
          <w:rFonts w:hint="eastAsia" w:ascii="宋体" w:hAnsi="宋体" w:cs="宋体"/>
          <w:color w:val="auto"/>
          <w:highlight w:val="none"/>
          <w:u w:val="single"/>
        </w:rPr>
        <w:t>（1）本合同协议书；（2）中标通知书；（3）投标书及其附件；（4）本合同专用条款及补充条款；（5）本合同通用条款；（6）标准、规范及有关技术文件；（7）图纸（含图纸修改通知单及图纸设计变更文件）；（8）工程量清单；（9）本工程预算控制价造价成果文件及其他合同文件。</w:t>
      </w:r>
    </w:p>
    <w:p>
      <w:pPr>
        <w:pStyle w:val="10"/>
        <w:rPr>
          <w:rFonts w:hint="eastAsia" w:ascii="宋体" w:hAnsi="宋体" w:cs="宋体"/>
          <w:color w:val="auto"/>
          <w:highlight w:val="none"/>
        </w:rPr>
      </w:pPr>
      <w:r>
        <w:rPr>
          <w:rFonts w:hint="eastAsia" w:ascii="宋体" w:hAnsi="宋体" w:cs="宋体"/>
          <w:color w:val="auto"/>
          <w:highlight w:val="none"/>
        </w:rPr>
        <w:t>1.1.2 合同当事人及其他相关方</w:t>
      </w:r>
    </w:p>
    <w:p>
      <w:pPr>
        <w:pStyle w:val="10"/>
        <w:rPr>
          <w:rFonts w:hint="eastAsia" w:ascii="宋体" w:hAnsi="宋体" w:cs="宋体"/>
          <w:color w:val="auto"/>
          <w:highlight w:val="none"/>
        </w:rPr>
      </w:pPr>
      <w:r>
        <w:rPr>
          <w:rFonts w:hint="eastAsia" w:ascii="宋体" w:hAnsi="宋体" w:cs="宋体"/>
          <w:color w:val="auto"/>
          <w:highlight w:val="none"/>
        </w:rPr>
        <w:t>1.1.2.4监理人：</w:t>
      </w:r>
    </w:p>
    <w:p>
      <w:pPr>
        <w:pStyle w:val="10"/>
        <w:rPr>
          <w:rFonts w:hint="eastAsia"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u w:val="single"/>
        </w:rPr>
        <w:t xml:space="preserve">         中标后填写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color w:val="auto"/>
          <w:highlight w:val="none"/>
          <w:u w:val="single"/>
        </w:rPr>
        <w:t xml:space="preserve">       中标后填写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中标后填写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中标后填写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中标后填写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1.1.2.5 设计人：</w:t>
      </w:r>
    </w:p>
    <w:p>
      <w:pPr>
        <w:pStyle w:val="10"/>
        <w:rPr>
          <w:rFonts w:hint="eastAsia"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u w:val="single"/>
        </w:rPr>
        <w:t xml:space="preserve">          中标后填写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color w:val="auto"/>
          <w:highlight w:val="none"/>
          <w:u w:val="single"/>
        </w:rPr>
        <w:t xml:space="preserve">     中标后填写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中标后填写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中标后填写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中标后填写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1.1.3 工程和设备</w:t>
      </w:r>
    </w:p>
    <w:p>
      <w:pPr>
        <w:pStyle w:val="10"/>
        <w:rPr>
          <w:rFonts w:hint="eastAsia" w:ascii="宋体" w:hAnsi="宋体" w:cs="宋体"/>
          <w:color w:val="auto"/>
          <w:highlight w:val="none"/>
        </w:rPr>
      </w:pPr>
      <w:r>
        <w:rPr>
          <w:rFonts w:hint="eastAsia" w:ascii="宋体" w:hAnsi="宋体" w:cs="宋体"/>
          <w:color w:val="auto"/>
          <w:highlight w:val="none"/>
        </w:rPr>
        <w:t>1.1.3.7 作为施工现场组成部分的其他场所包括：</w:t>
      </w:r>
      <w:r>
        <w:rPr>
          <w:rFonts w:hint="eastAsia" w:ascii="宋体" w:hAnsi="宋体" w:cs="宋体"/>
          <w:color w:val="auto"/>
          <w:highlight w:val="none"/>
          <w:u w:val="single"/>
        </w:rPr>
        <w:t xml:space="preserve">  临时设施和临时用地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1.1.3.9 永久占地包括：</w:t>
      </w:r>
      <w:r>
        <w:rPr>
          <w:rFonts w:hint="eastAsia" w:ascii="宋体" w:hAnsi="宋体" w:cs="宋体"/>
          <w:color w:val="auto"/>
          <w:highlight w:val="none"/>
          <w:u w:val="single"/>
        </w:rPr>
        <w:t xml:space="preserve">      建、构筑物用地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1.1.3.10 临时占地包括：</w:t>
      </w:r>
      <w:r>
        <w:rPr>
          <w:rFonts w:hint="eastAsia" w:ascii="宋体" w:hAnsi="宋体" w:cs="宋体"/>
          <w:color w:val="auto"/>
          <w:highlight w:val="none"/>
          <w:u w:val="single"/>
        </w:rPr>
        <w:t xml:space="preserve">      临时设施和临时用地                  </w:t>
      </w:r>
      <w:r>
        <w:rPr>
          <w:rFonts w:hint="eastAsia" w:ascii="宋体" w:hAnsi="宋体" w:cs="宋体"/>
          <w:color w:val="auto"/>
          <w:highlight w:val="none"/>
        </w:rPr>
        <w:t>。</w:t>
      </w:r>
    </w:p>
    <w:p>
      <w:pPr>
        <w:pStyle w:val="9"/>
        <w:spacing w:before="0" w:after="0"/>
        <w:rPr>
          <w:rFonts w:hint="eastAsia" w:ascii="宋体" w:cs="宋体"/>
          <w:color w:val="auto"/>
          <w:highlight w:val="none"/>
        </w:rPr>
      </w:pPr>
      <w:bookmarkStart w:id="18" w:name="_Toc454283097"/>
      <w:bookmarkStart w:id="19" w:name="_Toc417904270"/>
      <w:r>
        <w:rPr>
          <w:rFonts w:hint="eastAsia" w:ascii="宋体" w:cs="宋体"/>
          <w:color w:val="auto"/>
          <w:highlight w:val="none"/>
        </w:rPr>
        <w:t>1.3法律</w:t>
      </w:r>
      <w:bookmarkEnd w:id="18"/>
      <w:bookmarkEnd w:id="19"/>
      <w:r>
        <w:rPr>
          <w:rFonts w:hint="eastAsia" w:ascii="宋体" w:cs="宋体"/>
          <w:color w:val="auto"/>
          <w:highlight w:val="none"/>
        </w:rPr>
        <w:t xml:space="preserve"> </w:t>
      </w:r>
    </w:p>
    <w:p>
      <w:pPr>
        <w:pStyle w:val="10"/>
        <w:rPr>
          <w:rFonts w:hint="eastAsia" w:ascii="宋体" w:hAnsi="宋体" w:cs="宋体"/>
          <w:color w:val="auto"/>
          <w:highlight w:val="none"/>
        </w:rPr>
      </w:pPr>
      <w:r>
        <w:rPr>
          <w:rFonts w:hint="eastAsia" w:ascii="宋体" w:hAnsi="宋体" w:cs="宋体"/>
          <w:color w:val="auto"/>
          <w:highlight w:val="none"/>
        </w:rPr>
        <w:t>适用于合同的其他规范性文件：</w:t>
      </w:r>
      <w:r>
        <w:rPr>
          <w:rFonts w:hint="eastAsia" w:ascii="宋体" w:hAnsi="宋体" w:cs="宋体"/>
          <w:color w:val="auto"/>
          <w:highlight w:val="none"/>
          <w:u w:val="single"/>
        </w:rPr>
        <w:t xml:space="preserve">  建筑安装相关   </w:t>
      </w:r>
      <w:r>
        <w:rPr>
          <w:rFonts w:hint="eastAsia" w:ascii="宋体" w:hAnsi="宋体" w:cs="宋体"/>
          <w:color w:val="auto"/>
          <w:highlight w:val="none"/>
        </w:rPr>
        <w:t>。</w:t>
      </w:r>
    </w:p>
    <w:p>
      <w:pPr>
        <w:pStyle w:val="9"/>
        <w:spacing w:before="0" w:after="0"/>
        <w:rPr>
          <w:rFonts w:hint="eastAsia" w:ascii="宋体" w:cs="宋体"/>
          <w:color w:val="auto"/>
          <w:highlight w:val="none"/>
        </w:rPr>
      </w:pPr>
      <w:bookmarkStart w:id="20" w:name="_Toc417904271"/>
      <w:bookmarkStart w:id="21" w:name="_Toc454283098"/>
      <w:r>
        <w:rPr>
          <w:rFonts w:hint="eastAsia" w:ascii="宋体" w:cs="宋体"/>
          <w:color w:val="auto"/>
          <w:highlight w:val="none"/>
        </w:rPr>
        <w:t>1.4 标准和规范</w:t>
      </w:r>
      <w:bookmarkEnd w:id="20"/>
      <w:bookmarkEnd w:id="21"/>
    </w:p>
    <w:p>
      <w:pPr>
        <w:pStyle w:val="10"/>
        <w:rPr>
          <w:rFonts w:hint="eastAsia" w:ascii="宋体" w:hAnsi="宋体" w:cs="宋体"/>
          <w:color w:val="auto"/>
          <w:highlight w:val="none"/>
        </w:rPr>
      </w:pPr>
      <w:r>
        <w:rPr>
          <w:rFonts w:hint="eastAsia" w:ascii="宋体" w:hAnsi="宋体" w:cs="宋体"/>
          <w:color w:val="auto"/>
          <w:highlight w:val="none"/>
        </w:rPr>
        <w:t>1.4.1适用于工程的标准规范包括：</w:t>
      </w:r>
      <w:r>
        <w:rPr>
          <w:rFonts w:hint="eastAsia" w:ascii="宋体" w:hAnsi="宋体" w:cs="宋体"/>
          <w:color w:val="auto"/>
          <w:highlight w:val="none"/>
          <w:u w:val="single"/>
        </w:rPr>
        <w:t xml:space="preserve">     国家和地方性规范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1.4.2 发包人提供国外标准、规范的名称：</w:t>
      </w:r>
      <w:r>
        <w:rPr>
          <w:rFonts w:hint="eastAsia" w:ascii="宋体" w:hAnsi="宋体" w:cs="宋体"/>
          <w:color w:val="auto"/>
          <w:highlight w:val="none"/>
          <w:u w:val="single"/>
        </w:rPr>
        <w:t xml:space="preserve">  无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发包人提供国外标准、规范的份数：</w:t>
      </w:r>
      <w:r>
        <w:rPr>
          <w:rFonts w:hint="eastAsia" w:ascii="宋体" w:hAnsi="宋体" w:cs="宋体"/>
          <w:color w:val="auto"/>
          <w:highlight w:val="none"/>
          <w:u w:val="single"/>
        </w:rPr>
        <w:t xml:space="preserve">    无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发包人提供国外标准、规范的名称：</w:t>
      </w:r>
      <w:r>
        <w:rPr>
          <w:rFonts w:hint="eastAsia" w:ascii="宋体" w:hAnsi="宋体" w:cs="宋体"/>
          <w:color w:val="auto"/>
          <w:highlight w:val="none"/>
          <w:u w:val="single"/>
        </w:rPr>
        <w:t xml:space="preserve">      无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1.4.3发包人对工程的技术标准和功能要求的特殊要求：</w:t>
      </w:r>
      <w:r>
        <w:rPr>
          <w:rFonts w:hint="eastAsia" w:ascii="宋体" w:hAnsi="宋体" w:cs="宋体"/>
          <w:color w:val="auto"/>
          <w:highlight w:val="none"/>
          <w:u w:val="single"/>
        </w:rPr>
        <w:t xml:space="preserve">无    </w:t>
      </w:r>
      <w:r>
        <w:rPr>
          <w:rFonts w:hint="eastAsia" w:ascii="宋体" w:hAnsi="宋体" w:cs="宋体"/>
          <w:color w:val="auto"/>
          <w:highlight w:val="none"/>
        </w:rPr>
        <w:t>。</w:t>
      </w:r>
    </w:p>
    <w:p>
      <w:pPr>
        <w:pStyle w:val="9"/>
        <w:spacing w:before="0" w:after="0"/>
        <w:rPr>
          <w:rFonts w:hint="eastAsia" w:ascii="宋体" w:cs="宋体"/>
          <w:color w:val="auto"/>
          <w:highlight w:val="none"/>
        </w:rPr>
      </w:pPr>
      <w:bookmarkStart w:id="22" w:name="_Toc417904272"/>
      <w:bookmarkStart w:id="23" w:name="_Toc454283099"/>
      <w:r>
        <w:rPr>
          <w:rFonts w:hint="eastAsia" w:ascii="宋体" w:cs="宋体"/>
          <w:color w:val="auto"/>
          <w:highlight w:val="none"/>
        </w:rPr>
        <w:t>1.5 合同文件的优先顺序</w:t>
      </w:r>
      <w:bookmarkEnd w:id="22"/>
      <w:bookmarkEnd w:id="23"/>
    </w:p>
    <w:p>
      <w:pPr>
        <w:spacing w:line="400" w:lineRule="exact"/>
        <w:ind w:firstLine="525" w:firstLineChars="250"/>
        <w:rPr>
          <w:rFonts w:hint="eastAsia" w:ascii="宋体" w:hAnsi="宋体" w:cs="宋体"/>
          <w:color w:val="auto"/>
          <w:sz w:val="21"/>
          <w:szCs w:val="21"/>
          <w:highlight w:val="none"/>
        </w:rPr>
      </w:pPr>
      <w:r>
        <w:rPr>
          <w:rFonts w:hint="eastAsia" w:ascii="宋体" w:hAnsi="宋体" w:cs="宋体"/>
          <w:color w:val="auto"/>
          <w:sz w:val="21"/>
          <w:szCs w:val="21"/>
          <w:highlight w:val="none"/>
        </w:rPr>
        <w:t>合同文件组成及优先顺序为：</w:t>
      </w:r>
      <w:r>
        <w:rPr>
          <w:rFonts w:hint="eastAsia" w:ascii="宋体" w:hAnsi="宋体" w:cs="宋体"/>
          <w:color w:val="auto"/>
          <w:sz w:val="21"/>
          <w:szCs w:val="21"/>
          <w:highlight w:val="none"/>
          <w:u w:val="single"/>
        </w:rPr>
        <w:t>（1）本合同协议书；（2）中标通知书；（3）投标书及其附件；（4）本合同专用条款及补充条款；（5）本合同通用条款；（6）标准、规范及有关技术文件；（7）图纸（含图纸修改通知单及图纸设计变更文件）；（8）工程量清单；（9）本工程最高投标限价造价成果文件及其他合同文件。</w:t>
      </w:r>
    </w:p>
    <w:p>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图纸与技术标准和要求之间有矛盾或者不一致的，以其中要求较严格的标准为准。</w:t>
      </w:r>
    </w:p>
    <w:p>
      <w:pPr>
        <w:pStyle w:val="10"/>
        <w:ind w:firstLine="0" w:firstLineChars="0"/>
        <w:rPr>
          <w:rFonts w:hint="eastAsia" w:ascii="宋体" w:hAnsi="宋体" w:cs="宋体"/>
          <w:color w:val="auto"/>
          <w:highlight w:val="none"/>
        </w:rPr>
      </w:pPr>
      <w:r>
        <w:rPr>
          <w:rFonts w:hint="eastAsia" w:ascii="宋体" w:hAnsi="宋体" w:cs="宋体"/>
          <w:color w:val="auto"/>
          <w:highlight w:val="none"/>
        </w:rPr>
        <w:t>合同双方在合同履行过程中签订的补充协议亦构成合同文件的组成部分，其解释顺序视其内容与其他合同文件的相互关系而定。</w:t>
      </w:r>
    </w:p>
    <w:p>
      <w:pPr>
        <w:pStyle w:val="9"/>
        <w:spacing w:before="0" w:after="0"/>
        <w:rPr>
          <w:rFonts w:hint="eastAsia" w:ascii="宋体" w:cs="宋体"/>
          <w:color w:val="auto"/>
          <w:highlight w:val="none"/>
        </w:rPr>
      </w:pPr>
      <w:bookmarkStart w:id="24" w:name="_Toc417904273"/>
      <w:bookmarkStart w:id="25" w:name="_Toc454283100"/>
      <w:r>
        <w:rPr>
          <w:rFonts w:hint="eastAsia" w:ascii="宋体" w:cs="宋体"/>
          <w:color w:val="auto"/>
          <w:highlight w:val="none"/>
        </w:rPr>
        <w:t>1.6 图纸和承包人文件</w:t>
      </w:r>
      <w:bookmarkEnd w:id="24"/>
      <w:bookmarkEnd w:id="25"/>
      <w:r>
        <w:rPr>
          <w:rFonts w:hint="eastAsia" w:ascii="宋体" w:cs="宋体"/>
          <w:color w:val="auto"/>
          <w:highlight w:val="none"/>
        </w:rPr>
        <w:tab/>
      </w:r>
    </w:p>
    <w:p>
      <w:pPr>
        <w:pStyle w:val="10"/>
        <w:rPr>
          <w:rFonts w:hint="eastAsia" w:ascii="宋体" w:hAnsi="宋体" w:cs="宋体"/>
          <w:color w:val="auto"/>
          <w:highlight w:val="none"/>
        </w:rPr>
      </w:pPr>
      <w:r>
        <w:rPr>
          <w:rFonts w:hint="eastAsia" w:ascii="宋体" w:hAnsi="宋体" w:cs="宋体"/>
          <w:color w:val="auto"/>
          <w:highlight w:val="none"/>
        </w:rPr>
        <w:t>1.6.1 图纸的提供</w:t>
      </w:r>
    </w:p>
    <w:p>
      <w:pPr>
        <w:pStyle w:val="10"/>
        <w:rPr>
          <w:rFonts w:hint="eastAsia" w:ascii="宋体" w:hAnsi="宋体" w:cs="宋体"/>
          <w:color w:val="auto"/>
          <w:highlight w:val="none"/>
          <w:u w:val="single"/>
        </w:rPr>
      </w:pPr>
      <w:r>
        <w:rPr>
          <w:rFonts w:hint="eastAsia" w:ascii="宋体" w:hAnsi="宋体" w:cs="宋体"/>
          <w:color w:val="auto"/>
          <w:highlight w:val="none"/>
        </w:rPr>
        <w:t>发包人向承包人提供图纸的期限：</w:t>
      </w:r>
      <w:r>
        <w:rPr>
          <w:rFonts w:hint="eastAsia" w:ascii="宋体" w:hAnsi="宋体" w:cs="宋体"/>
          <w:color w:val="auto"/>
          <w:highlight w:val="none"/>
          <w:u w:val="single"/>
        </w:rPr>
        <w:t>合同生效后7天内；</w:t>
      </w:r>
    </w:p>
    <w:p>
      <w:pPr>
        <w:pStyle w:val="10"/>
        <w:rPr>
          <w:rFonts w:hint="eastAsia" w:ascii="宋体" w:hAnsi="宋体" w:cs="宋体"/>
          <w:color w:val="auto"/>
          <w:highlight w:val="none"/>
        </w:rPr>
      </w:pPr>
      <w:r>
        <w:rPr>
          <w:rFonts w:hint="eastAsia" w:ascii="宋体" w:hAnsi="宋体" w:cs="宋体"/>
          <w:color w:val="auto"/>
          <w:highlight w:val="none"/>
        </w:rPr>
        <w:t>发包人向承包人提供图纸的数量：</w:t>
      </w:r>
      <w:r>
        <w:rPr>
          <w:rFonts w:hint="eastAsia" w:ascii="宋体" w:hAnsi="宋体" w:cs="宋体"/>
          <w:color w:val="auto"/>
          <w:highlight w:val="none"/>
          <w:u w:val="single"/>
        </w:rPr>
        <w:t>图纸和其他技术资料壹份（标准图集由承包人自备）</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发包人向承包人提供图纸的内容：</w:t>
      </w:r>
      <w:r>
        <w:rPr>
          <w:rFonts w:hint="eastAsia" w:ascii="宋体" w:hAnsi="宋体" w:cs="宋体"/>
          <w:color w:val="auto"/>
          <w:highlight w:val="none"/>
          <w:u w:val="single"/>
        </w:rPr>
        <w:t xml:space="preserve">   与本项目相关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1.6.4 承包人文件</w:t>
      </w:r>
    </w:p>
    <w:p>
      <w:pPr>
        <w:pStyle w:val="10"/>
        <w:rPr>
          <w:rFonts w:hint="eastAsia" w:ascii="宋体" w:hAnsi="宋体" w:eastAsia="宋体" w:cs="宋体"/>
          <w:color w:val="auto"/>
          <w:highlight w:val="none"/>
          <w:lang w:val="en-US" w:eastAsia="zh-CN"/>
        </w:rPr>
      </w:pPr>
      <w:r>
        <w:rPr>
          <w:rFonts w:hint="eastAsia" w:ascii="宋体" w:hAnsi="宋体" w:cs="宋体"/>
          <w:color w:val="auto"/>
          <w:highlight w:val="none"/>
        </w:rPr>
        <w:t>需要由承包人提供的文件，包括：</w:t>
      </w:r>
      <w:r>
        <w:rPr>
          <w:rFonts w:hint="eastAsia" w:ascii="宋体" w:hAnsi="宋体" w:cs="宋体"/>
          <w:color w:val="auto"/>
          <w:sz w:val="21"/>
          <w:szCs w:val="21"/>
          <w:highlight w:val="none"/>
          <w:u w:val="single"/>
        </w:rPr>
        <w:t>1、施工组织设计；2、工程进度计划；3、管理人员名单、职称、职务、上岗证等；4、安全文明施工措施；5、质量保证体系；6、施工图以外的大样图、加工图、标准图等；</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rPr>
        <w:t>与工程施工有关的文件</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w:t>
      </w:r>
    </w:p>
    <w:p>
      <w:pPr>
        <w:pStyle w:val="10"/>
        <w:rPr>
          <w:rFonts w:hint="eastAsia" w:ascii="宋体" w:hAnsi="宋体" w:cs="宋体"/>
          <w:color w:val="auto"/>
          <w:highlight w:val="none"/>
        </w:rPr>
      </w:pPr>
      <w:r>
        <w:rPr>
          <w:rFonts w:hint="eastAsia" w:ascii="宋体" w:hAnsi="宋体" w:cs="宋体"/>
          <w:color w:val="auto"/>
          <w:highlight w:val="none"/>
        </w:rPr>
        <w:t>承包人提供的文件的期限为：</w:t>
      </w:r>
      <w:r>
        <w:rPr>
          <w:rFonts w:hint="eastAsia" w:ascii="宋体" w:hAnsi="宋体" w:cs="宋体"/>
          <w:color w:val="auto"/>
          <w:highlight w:val="none"/>
          <w:u w:val="single"/>
        </w:rPr>
        <w:t xml:space="preserve">  构件开始施工前7天内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承包人提供的文件的数量为：</w:t>
      </w:r>
      <w:r>
        <w:rPr>
          <w:rFonts w:hint="eastAsia" w:ascii="宋体" w:hAnsi="宋体" w:cs="宋体"/>
          <w:color w:val="auto"/>
          <w:highlight w:val="none"/>
          <w:u w:val="single"/>
        </w:rPr>
        <w:t xml:space="preserve">      5份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承包人提供的文件的形式为：</w:t>
      </w:r>
      <w:r>
        <w:rPr>
          <w:rFonts w:hint="eastAsia" w:ascii="宋体" w:hAnsi="宋体" w:cs="宋体"/>
          <w:color w:val="auto"/>
          <w:highlight w:val="none"/>
          <w:u w:val="single"/>
        </w:rPr>
        <w:t xml:space="preserve">      书面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发包人审批承包人文件的期限：</w:t>
      </w:r>
      <w:r>
        <w:rPr>
          <w:rFonts w:hint="eastAsia" w:ascii="宋体" w:hAnsi="宋体" w:cs="宋体"/>
          <w:color w:val="auto"/>
          <w:highlight w:val="none"/>
          <w:u w:val="single"/>
        </w:rPr>
        <w:t xml:space="preserve">     15天内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1.6.5 现场图纸准备</w:t>
      </w:r>
    </w:p>
    <w:p>
      <w:pPr>
        <w:pStyle w:val="10"/>
        <w:rPr>
          <w:rFonts w:hint="eastAsia" w:ascii="宋体" w:hAnsi="宋体" w:cs="宋体"/>
          <w:color w:val="auto"/>
          <w:highlight w:val="none"/>
        </w:rPr>
      </w:pPr>
      <w:r>
        <w:rPr>
          <w:rFonts w:hint="eastAsia" w:ascii="宋体" w:hAnsi="宋体" w:cs="宋体"/>
          <w:color w:val="auto"/>
          <w:highlight w:val="none"/>
        </w:rPr>
        <w:t>关于现场图纸准备的约定：</w:t>
      </w:r>
      <w:r>
        <w:rPr>
          <w:rFonts w:hint="eastAsia" w:ascii="宋体" w:hAnsi="宋体" w:cs="宋体"/>
          <w:color w:val="auto"/>
          <w:highlight w:val="none"/>
          <w:u w:val="single"/>
        </w:rPr>
        <w:t xml:space="preserve">    按规定            </w:t>
      </w:r>
      <w:r>
        <w:rPr>
          <w:rFonts w:hint="eastAsia" w:ascii="宋体" w:hAnsi="宋体" w:cs="宋体"/>
          <w:color w:val="auto"/>
          <w:highlight w:val="none"/>
        </w:rPr>
        <w:t>。</w:t>
      </w:r>
    </w:p>
    <w:p>
      <w:pPr>
        <w:pStyle w:val="9"/>
        <w:spacing w:before="0" w:after="0"/>
        <w:rPr>
          <w:rFonts w:hint="eastAsia" w:ascii="宋体" w:cs="宋体"/>
          <w:color w:val="auto"/>
          <w:highlight w:val="none"/>
        </w:rPr>
      </w:pPr>
      <w:bookmarkStart w:id="26" w:name="_Toc454283101"/>
      <w:bookmarkStart w:id="27" w:name="_Toc417904274"/>
      <w:r>
        <w:rPr>
          <w:rFonts w:hint="eastAsia" w:ascii="宋体" w:cs="宋体"/>
          <w:color w:val="auto"/>
          <w:highlight w:val="none"/>
        </w:rPr>
        <w:t>1.7 联络</w:t>
      </w:r>
      <w:bookmarkEnd w:id="26"/>
      <w:bookmarkEnd w:id="27"/>
    </w:p>
    <w:p>
      <w:pPr>
        <w:pStyle w:val="10"/>
        <w:rPr>
          <w:rFonts w:hint="eastAsia" w:ascii="宋体" w:hAnsi="宋体" w:cs="宋体"/>
          <w:color w:val="auto"/>
          <w:highlight w:val="none"/>
        </w:rPr>
      </w:pPr>
      <w:r>
        <w:rPr>
          <w:rFonts w:hint="eastAsia" w:ascii="宋体" w:hAnsi="宋体" w:cs="宋体"/>
          <w:color w:val="auto"/>
          <w:highlight w:val="none"/>
        </w:rPr>
        <w:t>1.7.1发包人和承包人应当在</w:t>
      </w:r>
      <w:r>
        <w:rPr>
          <w:rFonts w:hint="eastAsia" w:ascii="宋体" w:hAnsi="宋体" w:cs="宋体"/>
          <w:color w:val="auto"/>
          <w:highlight w:val="none"/>
          <w:u w:val="single"/>
        </w:rPr>
        <w:t xml:space="preserve">   中标后填写   </w:t>
      </w:r>
      <w:r>
        <w:rPr>
          <w:rFonts w:hint="eastAsia" w:ascii="宋体" w:hAnsi="宋体" w:cs="宋体"/>
          <w:color w:val="auto"/>
          <w:highlight w:val="none"/>
        </w:rPr>
        <w:t>天内将与合同有关的通知、批准、证明、证书、指示、指令、要求、请求、同意、意见、确定和决定等书面函件送达对方当事人。</w:t>
      </w:r>
    </w:p>
    <w:p>
      <w:pPr>
        <w:pStyle w:val="10"/>
        <w:rPr>
          <w:rFonts w:hint="eastAsia" w:ascii="宋体" w:hAnsi="宋体" w:cs="宋体"/>
          <w:color w:val="auto"/>
          <w:highlight w:val="none"/>
        </w:rPr>
      </w:pPr>
      <w:r>
        <w:rPr>
          <w:rFonts w:hint="eastAsia" w:ascii="宋体" w:hAnsi="宋体" w:cs="宋体"/>
          <w:color w:val="auto"/>
          <w:highlight w:val="none"/>
        </w:rPr>
        <w:t>1.7.2 发包人接收文件的地点：</w:t>
      </w:r>
      <w:r>
        <w:rPr>
          <w:rFonts w:hint="eastAsia" w:ascii="宋体" w:hAnsi="宋体" w:cs="宋体"/>
          <w:color w:val="auto"/>
          <w:highlight w:val="none"/>
          <w:u w:val="single"/>
        </w:rPr>
        <w:t xml:space="preserve">  桂林市区内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发包人指定的接收人为：</w:t>
      </w:r>
      <w:r>
        <w:rPr>
          <w:rFonts w:hint="eastAsia" w:ascii="宋体" w:hAnsi="宋体" w:cs="宋体"/>
          <w:color w:val="auto"/>
          <w:highlight w:val="none"/>
          <w:u w:val="single"/>
        </w:rPr>
        <w:t xml:space="preserve">   双方按实际情况现场约定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承包人接收文件的地点：</w:t>
      </w:r>
      <w:r>
        <w:rPr>
          <w:rFonts w:hint="eastAsia" w:ascii="宋体" w:hAnsi="宋体" w:cs="宋体"/>
          <w:color w:val="auto"/>
          <w:highlight w:val="none"/>
          <w:u w:val="single"/>
        </w:rPr>
        <w:t xml:space="preserve">     发包人资料室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承包人指定的接收人为：</w:t>
      </w:r>
      <w:r>
        <w:rPr>
          <w:rFonts w:hint="eastAsia" w:ascii="宋体" w:hAnsi="宋体" w:cs="宋体"/>
          <w:color w:val="auto"/>
          <w:highlight w:val="none"/>
          <w:u w:val="single"/>
        </w:rPr>
        <w:t xml:space="preserve">     中标后填写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监理人接收文件的地点：</w:t>
      </w:r>
      <w:r>
        <w:rPr>
          <w:rFonts w:hint="eastAsia" w:ascii="宋体" w:hAnsi="宋体" w:cs="宋体"/>
          <w:color w:val="auto"/>
          <w:highlight w:val="none"/>
          <w:u w:val="single"/>
        </w:rPr>
        <w:t xml:space="preserve">     发包人资料室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监理人指定的接收人为：</w:t>
      </w:r>
      <w:r>
        <w:rPr>
          <w:rFonts w:hint="eastAsia" w:ascii="宋体" w:hAnsi="宋体" w:cs="宋体"/>
          <w:color w:val="auto"/>
          <w:highlight w:val="none"/>
          <w:u w:val="single"/>
        </w:rPr>
        <w:t xml:space="preserve">      中标后填写           </w:t>
      </w:r>
      <w:r>
        <w:rPr>
          <w:rFonts w:hint="eastAsia" w:ascii="宋体" w:hAnsi="宋体" w:cs="宋体"/>
          <w:color w:val="auto"/>
          <w:highlight w:val="none"/>
        </w:rPr>
        <w:t>。</w:t>
      </w:r>
    </w:p>
    <w:p>
      <w:pPr>
        <w:pStyle w:val="9"/>
        <w:spacing w:before="0" w:after="0"/>
        <w:rPr>
          <w:rFonts w:hint="eastAsia" w:ascii="宋体" w:cs="宋体"/>
          <w:color w:val="auto"/>
          <w:highlight w:val="none"/>
        </w:rPr>
      </w:pPr>
      <w:bookmarkStart w:id="28" w:name="_Toc417904275"/>
      <w:bookmarkStart w:id="29" w:name="_Toc454283102"/>
      <w:r>
        <w:rPr>
          <w:rFonts w:hint="eastAsia" w:ascii="宋体" w:cs="宋体"/>
          <w:color w:val="auto"/>
          <w:highlight w:val="none"/>
        </w:rPr>
        <w:t>1.10 交通运输</w:t>
      </w:r>
      <w:bookmarkEnd w:id="28"/>
      <w:bookmarkEnd w:id="29"/>
    </w:p>
    <w:p>
      <w:pPr>
        <w:pStyle w:val="10"/>
        <w:rPr>
          <w:rFonts w:hint="eastAsia" w:ascii="宋体" w:hAnsi="宋体" w:cs="宋体"/>
          <w:color w:val="auto"/>
          <w:highlight w:val="none"/>
        </w:rPr>
      </w:pPr>
      <w:r>
        <w:rPr>
          <w:rFonts w:hint="eastAsia" w:ascii="宋体" w:hAnsi="宋体" w:cs="宋体"/>
          <w:color w:val="auto"/>
          <w:highlight w:val="none"/>
        </w:rPr>
        <w:t>1</w:t>
      </w:r>
      <w:bookmarkStart w:id="30" w:name="_Toc318581155"/>
      <w:bookmarkStart w:id="31" w:name="_Toc304295521"/>
      <w:bookmarkStart w:id="32" w:name="_Toc303539100"/>
      <w:bookmarkStart w:id="33" w:name="_Toc312677986"/>
      <w:bookmarkStart w:id="34" w:name="_Toc300934943"/>
      <w:r>
        <w:rPr>
          <w:rFonts w:hint="eastAsia" w:ascii="宋体" w:hAnsi="宋体" w:cs="宋体"/>
          <w:color w:val="auto"/>
          <w:highlight w:val="none"/>
        </w:rPr>
        <w:t>.10.1 出入现场的权利</w:t>
      </w:r>
    </w:p>
    <w:p>
      <w:pPr>
        <w:pStyle w:val="10"/>
        <w:ind w:firstLine="0" w:firstLineChars="0"/>
        <w:rPr>
          <w:rFonts w:hint="eastAsia" w:ascii="宋体" w:hAnsi="宋体" w:cs="宋体"/>
          <w:color w:val="auto"/>
          <w:highlight w:val="none"/>
        </w:rPr>
      </w:pPr>
      <w:r>
        <w:rPr>
          <w:rFonts w:hint="eastAsia" w:ascii="宋体" w:hAnsi="宋体" w:cs="宋体"/>
          <w:color w:val="auto"/>
          <w:highlight w:val="none"/>
        </w:rPr>
        <w:t>关于出入现场的权利的约定：</w:t>
      </w:r>
      <w:r>
        <w:rPr>
          <w:rFonts w:hint="eastAsia" w:ascii="宋体" w:hAnsi="宋体" w:cs="宋体"/>
          <w:color w:val="auto"/>
          <w:highlight w:val="none"/>
          <w:u w:val="single"/>
        </w:rPr>
        <w:t xml:space="preserve">  </w:t>
      </w:r>
      <w:r>
        <w:rPr>
          <w:rFonts w:hint="eastAsia" w:ascii="宋体" w:hAnsi="宋体" w:cs="宋体"/>
          <w:color w:val="auto"/>
          <w:highlight w:val="none"/>
          <w:u w:val="single"/>
        </w:rPr>
        <w:t xml:space="preserve"> 由承包人自行解决费用自理  </w:t>
      </w:r>
      <w:r>
        <w:rPr>
          <w:rFonts w:hint="eastAsia" w:ascii="宋体" w:hAnsi="宋体" w:cs="宋体"/>
          <w:color w:val="auto"/>
          <w:highlight w:val="none"/>
        </w:rPr>
        <w:t>。</w:t>
      </w:r>
    </w:p>
    <w:bookmarkEnd w:id="30"/>
    <w:bookmarkEnd w:id="31"/>
    <w:bookmarkEnd w:id="32"/>
    <w:bookmarkEnd w:id="33"/>
    <w:bookmarkEnd w:id="34"/>
    <w:p>
      <w:pPr>
        <w:pStyle w:val="10"/>
        <w:rPr>
          <w:rFonts w:hint="eastAsia" w:ascii="宋体" w:hAnsi="宋体" w:cs="宋体"/>
          <w:color w:val="auto"/>
          <w:highlight w:val="none"/>
        </w:rPr>
      </w:pPr>
      <w:r>
        <w:rPr>
          <w:rFonts w:hint="eastAsia" w:ascii="宋体" w:hAnsi="宋体" w:cs="宋体"/>
          <w:color w:val="auto"/>
          <w:highlight w:val="none"/>
        </w:rPr>
        <w:t>1</w:t>
      </w:r>
      <w:bookmarkStart w:id="35" w:name="_Toc318581156"/>
      <w:bookmarkStart w:id="36" w:name="_Toc300934944"/>
      <w:bookmarkStart w:id="37" w:name="_Toc303539101"/>
      <w:bookmarkStart w:id="38" w:name="_Toc312677987"/>
      <w:bookmarkStart w:id="39" w:name="_Toc304295522"/>
      <w:r>
        <w:rPr>
          <w:rFonts w:hint="eastAsia" w:ascii="宋体" w:hAnsi="宋体" w:cs="宋体"/>
          <w:color w:val="auto"/>
          <w:highlight w:val="none"/>
        </w:rPr>
        <w:t>.10.3 场内交通</w:t>
      </w:r>
    </w:p>
    <w:p>
      <w:pPr>
        <w:pStyle w:val="10"/>
        <w:ind w:firstLine="0" w:firstLineChars="0"/>
        <w:rPr>
          <w:rFonts w:hint="eastAsia" w:ascii="宋体" w:hAnsi="宋体" w:cs="宋体"/>
          <w:color w:val="auto"/>
          <w:highlight w:val="none"/>
        </w:rPr>
      </w:pPr>
      <w:r>
        <w:rPr>
          <w:rFonts w:hint="eastAsia" w:ascii="宋体" w:hAnsi="宋体" w:cs="宋体"/>
          <w:color w:val="auto"/>
          <w:highlight w:val="none"/>
        </w:rPr>
        <w:t>关于场外交通和场内交通的边界的约定：</w:t>
      </w:r>
      <w:r>
        <w:rPr>
          <w:rFonts w:hint="eastAsia" w:ascii="宋体" w:hAnsi="宋体" w:cs="宋体"/>
          <w:color w:val="auto"/>
          <w:highlight w:val="none"/>
          <w:u w:val="single"/>
        </w:rPr>
        <w:t xml:space="preserve">   规划用边线     </w:t>
      </w:r>
      <w:r>
        <w:rPr>
          <w:rFonts w:hint="eastAsia" w:ascii="宋体" w:hAnsi="宋体" w:cs="宋体"/>
          <w:color w:val="auto"/>
          <w:highlight w:val="none"/>
        </w:rPr>
        <w:t>。</w:t>
      </w:r>
    </w:p>
    <w:p>
      <w:pPr>
        <w:pStyle w:val="10"/>
        <w:ind w:firstLine="0" w:firstLineChars="0"/>
        <w:rPr>
          <w:rFonts w:hint="eastAsia" w:ascii="宋体" w:hAnsi="宋体" w:cs="宋体"/>
          <w:color w:val="auto"/>
          <w:highlight w:val="none"/>
        </w:rPr>
      </w:pPr>
      <w:r>
        <w:rPr>
          <w:rFonts w:hint="eastAsia" w:ascii="宋体" w:hAnsi="宋体" w:cs="宋体"/>
          <w:color w:val="auto"/>
          <w:highlight w:val="none"/>
        </w:rPr>
        <w:t>关于发包人向承包人免费提供满足工程施工需要的场内道路和交通设施的约定：</w:t>
      </w:r>
      <w:r>
        <w:rPr>
          <w:rFonts w:hint="eastAsia" w:ascii="宋体" w:hAnsi="宋体" w:cs="宋体"/>
          <w:color w:val="auto"/>
          <w:sz w:val="21"/>
          <w:szCs w:val="21"/>
          <w:highlight w:val="none"/>
          <w:u w:val="single"/>
        </w:rPr>
        <w:t>由承包人负责场内道路和交通设施的修建并承担相应费用</w:t>
      </w:r>
      <w:r>
        <w:rPr>
          <w:rFonts w:hint="eastAsia" w:ascii="宋体" w:hAnsi="宋体" w:cs="宋体"/>
          <w:color w:val="auto"/>
          <w:highlight w:val="none"/>
          <w:u w:val="single"/>
        </w:rPr>
        <w:t xml:space="preserve"> </w:t>
      </w:r>
      <w:r>
        <w:rPr>
          <w:rFonts w:hint="eastAsia" w:ascii="宋体" w:hAnsi="宋体" w:cs="宋体"/>
          <w:color w:val="auto"/>
          <w:highlight w:val="none"/>
        </w:rPr>
        <w:t>。</w:t>
      </w:r>
      <w:bookmarkEnd w:id="35"/>
      <w:bookmarkEnd w:id="36"/>
      <w:bookmarkEnd w:id="37"/>
      <w:bookmarkEnd w:id="38"/>
      <w:bookmarkEnd w:id="39"/>
      <w:r>
        <w:rPr>
          <w:rFonts w:hint="eastAsia" w:ascii="宋体" w:hAnsi="宋体" w:cs="宋体"/>
          <w:color w:val="auto"/>
          <w:highlight w:val="none"/>
        </w:rPr>
        <w:t xml:space="preserve">  </w:t>
      </w:r>
      <w:bookmarkStart w:id="40" w:name="_Toc318581157"/>
    </w:p>
    <w:p>
      <w:pPr>
        <w:pStyle w:val="10"/>
        <w:rPr>
          <w:rFonts w:hint="eastAsia" w:ascii="宋体" w:hAnsi="宋体" w:cs="宋体"/>
          <w:color w:val="auto"/>
          <w:highlight w:val="none"/>
        </w:rPr>
      </w:pPr>
      <w:r>
        <w:rPr>
          <w:rFonts w:hint="eastAsia" w:ascii="宋体" w:hAnsi="宋体" w:cs="宋体"/>
          <w:color w:val="auto"/>
          <w:highlight w:val="none"/>
        </w:rPr>
        <w:t>1.10.4超大件和超重件的运输</w:t>
      </w:r>
    </w:p>
    <w:p>
      <w:pPr>
        <w:pStyle w:val="10"/>
        <w:rPr>
          <w:rFonts w:hint="eastAsia" w:ascii="宋体" w:hAnsi="宋体" w:cs="宋体"/>
          <w:color w:val="auto"/>
          <w:highlight w:val="none"/>
        </w:rPr>
      </w:pPr>
      <w:r>
        <w:rPr>
          <w:rFonts w:hint="eastAsia" w:ascii="宋体" w:hAnsi="宋体" w:cs="宋体"/>
          <w:color w:val="auto"/>
          <w:highlight w:val="none"/>
        </w:rPr>
        <w:t>运输超大件或超重件所需的道路和桥梁临时加固改造费用和其他有关费用由承包人承担。</w:t>
      </w:r>
    </w:p>
    <w:bookmarkEnd w:id="40"/>
    <w:p>
      <w:pPr>
        <w:pStyle w:val="9"/>
        <w:spacing w:before="0" w:after="0"/>
        <w:rPr>
          <w:rFonts w:hint="eastAsia" w:ascii="宋体" w:cs="宋体"/>
          <w:color w:val="auto"/>
          <w:highlight w:val="none"/>
        </w:rPr>
      </w:pPr>
      <w:bookmarkStart w:id="41" w:name="_Toc417904276"/>
      <w:bookmarkStart w:id="42" w:name="_Toc454283103"/>
      <w:r>
        <w:rPr>
          <w:rFonts w:hint="eastAsia" w:ascii="宋体" w:cs="宋体"/>
          <w:color w:val="auto"/>
          <w:highlight w:val="none"/>
        </w:rPr>
        <w:t>1.11 知识产权</w:t>
      </w:r>
      <w:bookmarkEnd w:id="41"/>
      <w:bookmarkEnd w:id="42"/>
    </w:p>
    <w:p>
      <w:pPr>
        <w:pStyle w:val="10"/>
        <w:ind w:firstLine="0" w:firstLineChars="0"/>
        <w:rPr>
          <w:rFonts w:hint="eastAsia" w:ascii="宋体" w:hAnsi="宋体" w:cs="宋体"/>
          <w:color w:val="auto"/>
          <w:highlight w:val="none"/>
        </w:rPr>
      </w:pPr>
      <w:r>
        <w:rPr>
          <w:rFonts w:hint="eastAsia" w:ascii="宋体" w:hAnsi="宋体" w:cs="宋体"/>
          <w:color w:val="auto"/>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highlight w:val="none"/>
          <w:u w:val="single"/>
        </w:rPr>
        <w:t xml:space="preserve">    发包人   </w:t>
      </w:r>
      <w:r>
        <w:rPr>
          <w:rFonts w:hint="eastAsia" w:ascii="宋体" w:hAnsi="宋体" w:cs="宋体"/>
          <w:color w:val="auto"/>
          <w:highlight w:val="none"/>
        </w:rPr>
        <w:t>。</w:t>
      </w:r>
    </w:p>
    <w:p>
      <w:pPr>
        <w:pStyle w:val="10"/>
        <w:ind w:firstLine="0" w:firstLineChars="0"/>
        <w:rPr>
          <w:rFonts w:hint="eastAsia" w:ascii="宋体" w:hAnsi="宋体" w:cs="宋体"/>
          <w:color w:val="auto"/>
          <w:highlight w:val="none"/>
        </w:rPr>
      </w:pPr>
      <w:r>
        <w:rPr>
          <w:rFonts w:hint="eastAsia" w:ascii="宋体" w:hAnsi="宋体" w:cs="宋体"/>
          <w:color w:val="auto"/>
          <w:highlight w:val="none"/>
        </w:rPr>
        <w:t>关于发包人提供的上述文件的使用限制的要求：</w:t>
      </w:r>
      <w:r>
        <w:rPr>
          <w:rFonts w:hint="eastAsia" w:ascii="宋体" w:hAnsi="宋体" w:cs="宋体"/>
          <w:color w:val="auto"/>
          <w:highlight w:val="none"/>
          <w:u w:val="single"/>
        </w:rPr>
        <w:t xml:space="preserve">    本项目   </w:t>
      </w:r>
      <w:r>
        <w:rPr>
          <w:rFonts w:hint="eastAsia" w:ascii="宋体" w:hAnsi="宋体" w:cs="宋体"/>
          <w:color w:val="auto"/>
          <w:highlight w:val="none"/>
        </w:rPr>
        <w:t>。</w:t>
      </w:r>
    </w:p>
    <w:p>
      <w:pPr>
        <w:pStyle w:val="10"/>
        <w:ind w:firstLine="0" w:firstLineChars="0"/>
        <w:rPr>
          <w:rFonts w:hint="eastAsia" w:ascii="宋体" w:hAnsi="宋体" w:cs="宋体"/>
          <w:color w:val="auto"/>
          <w:highlight w:val="none"/>
        </w:rPr>
      </w:pPr>
      <w:r>
        <w:rPr>
          <w:rFonts w:hint="eastAsia" w:ascii="宋体" w:hAnsi="宋体" w:cs="宋体"/>
          <w:color w:val="auto"/>
          <w:highlight w:val="none"/>
        </w:rPr>
        <w:t>1.11.2 关于承包人为实施工程所编制文件的著作权的归属：</w:t>
      </w:r>
      <w:r>
        <w:rPr>
          <w:rFonts w:hint="eastAsia" w:ascii="宋体" w:hAnsi="宋体" w:cs="宋体"/>
          <w:color w:val="auto"/>
          <w:highlight w:val="none"/>
          <w:u w:val="single"/>
        </w:rPr>
        <w:t xml:space="preserve">      发包人     </w:t>
      </w:r>
      <w:r>
        <w:rPr>
          <w:rFonts w:hint="eastAsia" w:ascii="宋体" w:hAnsi="宋体" w:cs="宋体"/>
          <w:color w:val="auto"/>
          <w:highlight w:val="none"/>
        </w:rPr>
        <w:t>。</w:t>
      </w:r>
    </w:p>
    <w:p>
      <w:pPr>
        <w:pStyle w:val="10"/>
        <w:ind w:firstLine="0" w:firstLineChars="0"/>
        <w:rPr>
          <w:rFonts w:hint="eastAsia" w:ascii="宋体" w:hAnsi="宋体" w:cs="宋体"/>
          <w:color w:val="auto"/>
          <w:highlight w:val="none"/>
        </w:rPr>
      </w:pPr>
      <w:r>
        <w:rPr>
          <w:rFonts w:hint="eastAsia" w:ascii="宋体" w:hAnsi="宋体" w:cs="宋体"/>
          <w:color w:val="auto"/>
          <w:highlight w:val="none"/>
        </w:rPr>
        <w:t>关于承包人提供的上述文件的使用限制的要求：</w:t>
      </w:r>
      <w:r>
        <w:rPr>
          <w:rFonts w:hint="eastAsia" w:ascii="宋体" w:hAnsi="宋体" w:cs="宋体"/>
          <w:color w:val="auto"/>
          <w:highlight w:val="none"/>
          <w:u w:val="single"/>
        </w:rPr>
        <w:t xml:space="preserve">       本项目            </w:t>
      </w:r>
      <w:r>
        <w:rPr>
          <w:rFonts w:hint="eastAsia" w:ascii="宋体" w:hAnsi="宋体" w:cs="宋体"/>
          <w:color w:val="auto"/>
          <w:highlight w:val="none"/>
        </w:rPr>
        <w:t>。</w:t>
      </w:r>
    </w:p>
    <w:p>
      <w:pPr>
        <w:pStyle w:val="10"/>
        <w:ind w:firstLine="0" w:firstLineChars="0"/>
        <w:rPr>
          <w:rFonts w:hint="eastAsia" w:ascii="宋体" w:hAnsi="宋体" w:cs="宋体"/>
          <w:color w:val="auto"/>
          <w:highlight w:val="none"/>
        </w:rPr>
      </w:pPr>
      <w:r>
        <w:rPr>
          <w:rFonts w:hint="eastAsia" w:ascii="宋体" w:hAnsi="宋体" w:cs="宋体"/>
          <w:color w:val="auto"/>
          <w:highlight w:val="none"/>
        </w:rPr>
        <w:t>1.11.4 承包人在施工过程中所采用的专利、专有技术、技术秘密的使用费的承担方式：</w:t>
      </w:r>
      <w:r>
        <w:rPr>
          <w:rFonts w:hint="eastAsia" w:ascii="宋体" w:hAnsi="宋体" w:cs="宋体"/>
          <w:color w:val="auto"/>
          <w:highlight w:val="none"/>
          <w:u w:val="single"/>
        </w:rPr>
        <w:t xml:space="preserve">  承包人承担  </w:t>
      </w:r>
      <w:r>
        <w:rPr>
          <w:rFonts w:hint="eastAsia" w:ascii="宋体" w:hAnsi="宋体" w:cs="宋体"/>
          <w:color w:val="auto"/>
          <w:highlight w:val="none"/>
        </w:rPr>
        <w:t>。</w:t>
      </w:r>
    </w:p>
    <w:p>
      <w:pPr>
        <w:pStyle w:val="10"/>
        <w:ind w:firstLine="0" w:firstLineChars="0"/>
        <w:rPr>
          <w:rFonts w:hint="eastAsia" w:ascii="宋体" w:hAnsi="宋体" w:cs="宋体"/>
          <w:color w:val="auto"/>
          <w:highlight w:val="none"/>
        </w:rPr>
      </w:pPr>
      <w:r>
        <w:rPr>
          <w:rFonts w:hint="eastAsia" w:ascii="宋体" w:hAnsi="宋体" w:cs="宋体"/>
          <w:color w:val="auto"/>
          <w:highlight w:val="none"/>
        </w:rPr>
        <w:t>1.13工程量清单错误的修正</w:t>
      </w:r>
    </w:p>
    <w:p>
      <w:pPr>
        <w:pStyle w:val="10"/>
        <w:rPr>
          <w:rFonts w:hint="eastAsia" w:ascii="宋体" w:hAnsi="宋体" w:cs="宋体"/>
          <w:color w:val="auto"/>
          <w:highlight w:val="none"/>
        </w:rPr>
      </w:pPr>
      <w:r>
        <w:rPr>
          <w:rFonts w:hint="eastAsia" w:ascii="宋体" w:hAnsi="宋体" w:cs="宋体"/>
          <w:color w:val="auto"/>
          <w:highlight w:val="none"/>
        </w:rPr>
        <w:t>出现工程量清单错误时，是否调整合同价</w:t>
      </w:r>
      <w:r>
        <w:rPr>
          <w:rFonts w:hint="eastAsia" w:ascii="宋体" w:hAnsi="宋体" w:cs="宋体"/>
          <w:color w:val="auto"/>
          <w:highlight w:val="none"/>
        </w:rPr>
        <w:t>格：</w:t>
      </w:r>
      <w:r>
        <w:rPr>
          <w:rFonts w:hint="eastAsia" w:ascii="宋体" w:hAnsi="宋体" w:cs="宋体"/>
          <w:color w:val="auto"/>
          <w:highlight w:val="none"/>
          <w:u w:val="single"/>
        </w:rPr>
        <w:t xml:space="preserve">同通用条款  </w:t>
      </w:r>
      <w:r>
        <w:rPr>
          <w:rFonts w:hint="eastAsia" w:ascii="宋体" w:hAnsi="宋体" w:cs="宋体"/>
          <w:color w:val="auto"/>
          <w:highlight w:val="none"/>
        </w:rPr>
        <w:t>。</w:t>
      </w:r>
    </w:p>
    <w:p>
      <w:pPr>
        <w:pStyle w:val="10"/>
        <w:ind w:firstLine="420" w:firstLineChars="200"/>
        <w:rPr>
          <w:rFonts w:hint="eastAsia" w:ascii="宋体" w:hAnsi="宋体" w:cs="宋体"/>
          <w:color w:val="auto"/>
          <w:highlight w:val="none"/>
        </w:rPr>
      </w:pPr>
      <w:r>
        <w:rPr>
          <w:rFonts w:hint="eastAsia" w:ascii="宋体" w:hAnsi="宋体" w:cs="宋体"/>
          <w:color w:val="auto"/>
          <w:highlight w:val="none"/>
        </w:rPr>
        <w:t>允许调整合同价格的工程量偏差范围：</w:t>
      </w:r>
      <w:r>
        <w:rPr>
          <w:rFonts w:hint="eastAsia" w:ascii="宋体" w:hAnsi="宋体" w:cs="宋体"/>
          <w:color w:val="auto"/>
          <w:sz w:val="21"/>
          <w:szCs w:val="21"/>
          <w:highlight w:val="none"/>
          <w:u w:val="single"/>
        </w:rPr>
        <w:t>调整办法按《建设工程工程量清单计价规范》（GB50500－2013）和及其广西壮族自治区实施细则、《建设工程工程量清单计算规范》（GB50854~50862－2013）及其广西实施细则（修订本）</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pStyle w:val="9"/>
        <w:spacing w:before="0" w:after="0"/>
        <w:rPr>
          <w:rFonts w:hint="eastAsia" w:ascii="宋体" w:cs="宋体"/>
          <w:color w:val="auto"/>
          <w:highlight w:val="none"/>
        </w:rPr>
      </w:pPr>
      <w:bookmarkStart w:id="43" w:name="_Toc417904277"/>
      <w:bookmarkStart w:id="44" w:name="_Toc454283104"/>
      <w:bookmarkStart w:id="45" w:name="_Toc351203634"/>
      <w:r>
        <w:rPr>
          <w:rFonts w:hint="eastAsia" w:ascii="宋体" w:cs="宋体"/>
          <w:color w:val="auto"/>
          <w:highlight w:val="none"/>
        </w:rPr>
        <w:t>2</w:t>
      </w:r>
      <w:bookmarkStart w:id="46" w:name="_Toc296503157"/>
      <w:bookmarkStart w:id="47" w:name="_Toc292559362"/>
      <w:bookmarkStart w:id="48" w:name="_Toc296890985"/>
      <w:bookmarkStart w:id="49" w:name="_Toc297048343"/>
      <w:bookmarkStart w:id="50" w:name="_Toc296346658"/>
      <w:bookmarkStart w:id="51" w:name="_Toc297120457"/>
      <w:bookmarkStart w:id="52" w:name="_Toc292559867"/>
      <w:bookmarkStart w:id="53" w:name="_Toc296944496"/>
      <w:bookmarkStart w:id="54" w:name="_Toc296347156"/>
      <w:bookmarkStart w:id="55" w:name="_Toc296891197"/>
      <w:r>
        <w:rPr>
          <w:rFonts w:hint="eastAsia" w:ascii="宋体" w:cs="宋体"/>
          <w:color w:val="auto"/>
          <w:highlight w:val="none"/>
        </w:rPr>
        <w:t>. 发包人</w:t>
      </w:r>
      <w:bookmarkEnd w:id="43"/>
      <w:bookmarkEnd w:id="44"/>
      <w:bookmarkEnd w:id="45"/>
    </w:p>
    <w:bookmarkEnd w:id="46"/>
    <w:bookmarkEnd w:id="47"/>
    <w:bookmarkEnd w:id="48"/>
    <w:bookmarkEnd w:id="49"/>
    <w:bookmarkEnd w:id="50"/>
    <w:bookmarkEnd w:id="51"/>
    <w:bookmarkEnd w:id="52"/>
    <w:bookmarkEnd w:id="53"/>
    <w:bookmarkEnd w:id="54"/>
    <w:bookmarkEnd w:id="55"/>
    <w:p>
      <w:pPr>
        <w:pStyle w:val="9"/>
        <w:spacing w:before="0" w:after="0"/>
        <w:rPr>
          <w:rFonts w:hint="eastAsia" w:ascii="宋体" w:cs="宋体"/>
          <w:color w:val="auto"/>
          <w:highlight w:val="none"/>
        </w:rPr>
      </w:pPr>
      <w:bookmarkStart w:id="56" w:name="_Toc417904278"/>
      <w:bookmarkStart w:id="57" w:name="_Toc454283105"/>
      <w:r>
        <w:rPr>
          <w:rFonts w:hint="eastAsia" w:ascii="宋体" w:cs="宋体"/>
          <w:color w:val="auto"/>
          <w:highlight w:val="none"/>
        </w:rPr>
        <w:t>2.2 发包人代表</w:t>
      </w:r>
      <w:bookmarkEnd w:id="56"/>
      <w:bookmarkEnd w:id="57"/>
    </w:p>
    <w:p>
      <w:pPr>
        <w:pStyle w:val="10"/>
        <w:rPr>
          <w:rFonts w:hint="eastAsia" w:ascii="宋体" w:hAnsi="宋体" w:cs="宋体"/>
          <w:color w:val="auto"/>
          <w:highlight w:val="none"/>
        </w:rPr>
      </w:pPr>
      <w:r>
        <w:rPr>
          <w:rFonts w:hint="eastAsia" w:ascii="宋体" w:hAnsi="宋体" w:cs="宋体"/>
          <w:color w:val="auto"/>
          <w:highlight w:val="none"/>
        </w:rPr>
        <w:t>发包人代表：</w:t>
      </w:r>
    </w:p>
    <w:p>
      <w:pPr>
        <w:pStyle w:val="10"/>
        <w:rPr>
          <w:rFonts w:hint="eastAsia"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中标后填写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身份证号：</w:t>
      </w:r>
      <w:r>
        <w:rPr>
          <w:rFonts w:hint="eastAsia" w:ascii="宋体" w:hAnsi="宋体" w:cs="宋体"/>
          <w:color w:val="auto"/>
          <w:highlight w:val="none"/>
          <w:u w:val="single"/>
        </w:rPr>
        <w:t xml:space="preserve">       中标后填写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职    务：</w:t>
      </w:r>
      <w:r>
        <w:rPr>
          <w:rFonts w:hint="eastAsia" w:ascii="宋体" w:hAnsi="宋体" w:cs="宋体"/>
          <w:color w:val="auto"/>
          <w:highlight w:val="none"/>
          <w:u w:val="single"/>
        </w:rPr>
        <w:t xml:space="preserve">       中标后填写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中标后填写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中标后填写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中标后填写               </w:t>
      </w:r>
      <w:r>
        <w:rPr>
          <w:rFonts w:hint="eastAsia" w:ascii="宋体" w:hAnsi="宋体" w:cs="宋体"/>
          <w:color w:val="auto"/>
          <w:highlight w:val="none"/>
        </w:rPr>
        <w:t>。</w:t>
      </w:r>
    </w:p>
    <w:p>
      <w:pPr>
        <w:pStyle w:val="10"/>
        <w:rPr>
          <w:rFonts w:hint="eastAsia" w:ascii="宋体" w:hAnsi="宋体" w:cs="宋体"/>
          <w:b/>
          <w:color w:val="auto"/>
          <w:highlight w:val="none"/>
        </w:rPr>
      </w:pPr>
      <w:r>
        <w:rPr>
          <w:rFonts w:hint="eastAsia" w:ascii="宋体" w:hAnsi="宋体" w:cs="宋体"/>
          <w:color w:val="auto"/>
          <w:highlight w:val="none"/>
        </w:rPr>
        <w:t>发包人对发包人代表的授权范围如下：</w:t>
      </w:r>
      <w:r>
        <w:rPr>
          <w:rFonts w:hint="eastAsia" w:ascii="宋体" w:hAnsi="宋体" w:cs="宋体"/>
          <w:color w:val="auto"/>
          <w:highlight w:val="none"/>
          <w:u w:val="single"/>
        </w:rPr>
        <w:t xml:space="preserve">   中标后填写  </w:t>
      </w:r>
      <w:r>
        <w:rPr>
          <w:rFonts w:hint="eastAsia" w:ascii="宋体" w:hAnsi="宋体" w:cs="宋体"/>
          <w:color w:val="auto"/>
          <w:highlight w:val="none"/>
        </w:rPr>
        <w:t>。</w:t>
      </w:r>
    </w:p>
    <w:p>
      <w:pPr>
        <w:pStyle w:val="9"/>
        <w:spacing w:before="0" w:after="0"/>
        <w:rPr>
          <w:rFonts w:hint="eastAsia" w:ascii="宋体" w:cs="宋体"/>
          <w:color w:val="auto"/>
          <w:highlight w:val="none"/>
        </w:rPr>
      </w:pPr>
      <w:bookmarkStart w:id="58" w:name="_Toc417904279"/>
      <w:bookmarkStart w:id="59" w:name="_Toc454283106"/>
      <w:r>
        <w:rPr>
          <w:rFonts w:hint="eastAsia" w:ascii="宋体" w:cs="宋体"/>
          <w:color w:val="auto"/>
          <w:highlight w:val="none"/>
        </w:rPr>
        <w:t>2.4 施工现场、施工条件和基础资料的提供</w:t>
      </w:r>
      <w:bookmarkEnd w:id="58"/>
      <w:bookmarkEnd w:id="59"/>
    </w:p>
    <w:p>
      <w:pPr>
        <w:pStyle w:val="10"/>
        <w:rPr>
          <w:rFonts w:hint="eastAsia" w:ascii="宋体" w:hAnsi="宋体" w:cs="宋体"/>
          <w:color w:val="auto"/>
          <w:highlight w:val="none"/>
        </w:rPr>
      </w:pPr>
      <w:r>
        <w:rPr>
          <w:rFonts w:hint="eastAsia" w:ascii="宋体" w:hAnsi="宋体" w:cs="宋体"/>
          <w:color w:val="auto"/>
          <w:highlight w:val="none"/>
        </w:rPr>
        <w:t>2.4.1 提供施工现场</w:t>
      </w:r>
    </w:p>
    <w:p>
      <w:pPr>
        <w:pStyle w:val="10"/>
        <w:ind w:firstLine="0" w:firstLineChars="0"/>
        <w:rPr>
          <w:rFonts w:hint="eastAsia" w:ascii="宋体" w:hAnsi="宋体" w:cs="宋体"/>
          <w:color w:val="auto"/>
          <w:highlight w:val="none"/>
        </w:rPr>
      </w:pPr>
      <w:r>
        <w:rPr>
          <w:rFonts w:hint="eastAsia" w:ascii="宋体" w:hAnsi="宋体" w:cs="宋体"/>
          <w:color w:val="auto"/>
          <w:highlight w:val="none"/>
        </w:rPr>
        <w:t>关于发包人移交施工现场的期限要求：</w:t>
      </w:r>
      <w:r>
        <w:rPr>
          <w:rFonts w:hint="eastAsia" w:ascii="宋体" w:hAnsi="宋体" w:cs="宋体"/>
          <w:color w:val="auto"/>
          <w:highlight w:val="none"/>
          <w:u w:val="single"/>
        </w:rPr>
        <w:t xml:space="preserve">  以发包人发出的开工令为准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2.4.2 提供施工条件</w:t>
      </w:r>
    </w:p>
    <w:p>
      <w:pPr>
        <w:pStyle w:val="10"/>
        <w:ind w:firstLine="0" w:firstLineChars="0"/>
        <w:rPr>
          <w:rFonts w:hint="eastAsia" w:ascii="宋体" w:hAnsi="宋体" w:eastAsia="宋体" w:cs="宋体"/>
          <w:color w:val="auto"/>
          <w:highlight w:val="none"/>
          <w:u w:val="single"/>
          <w:lang w:eastAsia="zh-CN"/>
        </w:rPr>
      </w:pPr>
      <w:r>
        <w:rPr>
          <w:rFonts w:hint="eastAsia" w:ascii="宋体" w:hAnsi="宋体" w:cs="宋体"/>
          <w:color w:val="auto"/>
          <w:highlight w:val="none"/>
        </w:rPr>
        <w:t>关于发包人应负责提供施工所需要的条件，包括：</w:t>
      </w:r>
      <w:r>
        <w:rPr>
          <w:rFonts w:hint="eastAsia" w:ascii="宋体" w:hAnsi="宋体" w:cs="宋体"/>
          <w:color w:val="auto"/>
          <w:highlight w:val="none"/>
          <w:u w:val="single"/>
          <w:lang w:val="zh-CN"/>
        </w:rPr>
        <w:t>发包人按承包人的施工现场总平面布置图的要</w:t>
      </w:r>
      <w:r>
        <w:rPr>
          <w:rFonts w:hint="eastAsia" w:ascii="宋体" w:hAnsi="宋体" w:cs="宋体"/>
          <w:color w:val="auto"/>
          <w:highlight w:val="none"/>
          <w:u w:val="single"/>
        </w:rPr>
        <w:t>求于开工7日前达到三通一平的施工要求，</w:t>
      </w:r>
      <w:r>
        <w:rPr>
          <w:rFonts w:hint="eastAsia" w:ascii="宋体" w:hAnsi="宋体" w:cs="宋体"/>
          <w:color w:val="auto"/>
          <w:highlight w:val="none"/>
          <w:u w:val="single"/>
          <w:lang w:val="zh-CN"/>
        </w:rPr>
        <w:t>将水、电接至距拟建建筑物外墙（或构筑物外边线）200米范围内。电讯线路的接通由承包人自费解决</w:t>
      </w:r>
      <w:r>
        <w:rPr>
          <w:rFonts w:hint="eastAsia" w:ascii="宋体" w:hAnsi="宋体" w:cs="宋体"/>
          <w:color w:val="auto"/>
          <w:highlight w:val="none"/>
          <w:u w:val="single" w:color="0000FF"/>
          <w:lang w:val="zh-CN"/>
        </w:rPr>
        <w:t>；</w:t>
      </w:r>
      <w:r>
        <w:rPr>
          <w:rFonts w:hint="eastAsia" w:ascii="宋体" w:hAnsi="宋体" w:cs="宋体"/>
          <w:color w:val="auto"/>
          <w:highlight w:val="none"/>
          <w:u w:val="single"/>
        </w:rPr>
        <w:t>电气管线</w:t>
      </w:r>
      <w:r>
        <w:rPr>
          <w:rFonts w:hint="eastAsia" w:ascii="宋体" w:hAnsi="宋体" w:cs="宋体"/>
          <w:color w:val="auto"/>
          <w:highlight w:val="none"/>
          <w:u w:val="single"/>
          <w:lang w:val="zh-CN"/>
        </w:rPr>
        <w:t>的接通由承包人自费解决；承包人施工期间的生活用水、电、电讯、</w:t>
      </w:r>
      <w:r>
        <w:rPr>
          <w:rFonts w:hint="eastAsia" w:ascii="宋体" w:hAnsi="宋体" w:cs="宋体"/>
          <w:color w:val="auto"/>
          <w:highlight w:val="none"/>
          <w:u w:val="single"/>
        </w:rPr>
        <w:t>电气</w:t>
      </w:r>
      <w:r>
        <w:rPr>
          <w:rFonts w:hint="eastAsia" w:ascii="宋体" w:hAnsi="宋体" w:cs="宋体"/>
          <w:color w:val="auto"/>
          <w:highlight w:val="none"/>
          <w:u w:val="single"/>
          <w:lang w:val="zh-CN"/>
        </w:rPr>
        <w:t>费用由承包人支付；承包人负责在发包人指定的部位安装计量表，水电费按表计量度数</w:t>
      </w:r>
      <w:r>
        <w:rPr>
          <w:rFonts w:hint="eastAsia" w:ascii="宋体" w:hAnsi="宋体" w:cs="宋体"/>
          <w:color w:val="auto"/>
          <w:highlight w:val="none"/>
          <w:lang w:eastAsia="zh-CN"/>
        </w:rPr>
        <w:t>，</w:t>
      </w:r>
      <w:r>
        <w:rPr>
          <w:rFonts w:hint="eastAsia" w:ascii="宋体" w:hAnsi="宋体" w:cs="宋体"/>
          <w:b/>
          <w:color w:val="auto"/>
          <w:highlight w:val="none"/>
          <w:u w:val="single"/>
          <w:lang w:val="zh-CN"/>
        </w:rPr>
        <w:t>水电费必须按月交付，否则发包方可以从工程款直接扣除</w:t>
      </w:r>
      <w:r>
        <w:rPr>
          <w:rFonts w:hint="eastAsia" w:ascii="宋体" w:hAnsi="宋体" w:cs="宋体"/>
          <w:b/>
          <w:color w:val="auto"/>
          <w:highlight w:val="none"/>
        </w:rPr>
        <w:t>。</w:t>
      </w:r>
    </w:p>
    <w:p>
      <w:pPr>
        <w:pStyle w:val="9"/>
        <w:spacing w:before="0" w:after="0"/>
        <w:rPr>
          <w:rFonts w:hint="eastAsia" w:ascii="宋体" w:cs="宋体"/>
          <w:color w:val="auto"/>
          <w:highlight w:val="none"/>
        </w:rPr>
      </w:pPr>
      <w:bookmarkStart w:id="60" w:name="_Toc454283107"/>
      <w:bookmarkStart w:id="61" w:name="_Toc417904280"/>
      <w:r>
        <w:rPr>
          <w:rFonts w:hint="eastAsia" w:ascii="宋体" w:cs="宋体"/>
          <w:color w:val="auto"/>
          <w:highlight w:val="none"/>
        </w:rPr>
        <w:t>2.5 资金来源证明及支付担保</w:t>
      </w:r>
      <w:bookmarkEnd w:id="60"/>
      <w:bookmarkEnd w:id="61"/>
    </w:p>
    <w:p>
      <w:pPr>
        <w:pStyle w:val="10"/>
        <w:rPr>
          <w:rFonts w:hint="eastAsia" w:ascii="宋体" w:hAnsi="宋体" w:cs="宋体"/>
          <w:color w:val="auto"/>
          <w:highlight w:val="none"/>
          <w:u w:val="single"/>
        </w:rPr>
      </w:pPr>
      <w:r>
        <w:rPr>
          <w:rFonts w:hint="eastAsia" w:ascii="宋体" w:hAnsi="宋体" w:cs="宋体"/>
          <w:color w:val="auto"/>
          <w:highlight w:val="none"/>
        </w:rPr>
        <w:t>发包人提供资金来源证明的期限要求：</w:t>
      </w:r>
      <w:r>
        <w:rPr>
          <w:rFonts w:hint="eastAsia" w:ascii="宋体" w:hAnsi="宋体" w:cs="宋体"/>
          <w:color w:val="auto"/>
          <w:highlight w:val="none"/>
          <w:u w:val="single"/>
        </w:rPr>
        <w:t>本合同生效之日起至发包人实际支付竣工付款之日止。</w:t>
      </w:r>
    </w:p>
    <w:p>
      <w:pPr>
        <w:pStyle w:val="10"/>
        <w:rPr>
          <w:rFonts w:hint="eastAsia" w:ascii="宋体" w:hAnsi="宋体" w:cs="宋体"/>
          <w:color w:val="auto"/>
          <w:highlight w:val="none"/>
        </w:rPr>
      </w:pPr>
      <w:r>
        <w:rPr>
          <w:rFonts w:hint="eastAsia" w:ascii="宋体" w:hAnsi="宋体" w:cs="宋体"/>
          <w:color w:val="auto"/>
          <w:highlight w:val="none"/>
        </w:rPr>
        <w:t>发包人是否提供支付担保：</w:t>
      </w:r>
      <w:r>
        <w:rPr>
          <w:rFonts w:hint="eastAsia" w:ascii="宋体" w:hAnsi="宋体" w:cs="宋体"/>
          <w:color w:val="auto"/>
          <w:highlight w:val="none"/>
          <w:u w:val="single"/>
        </w:rPr>
        <w:t>不提供。</w:t>
      </w:r>
    </w:p>
    <w:p>
      <w:pPr>
        <w:pStyle w:val="10"/>
        <w:rPr>
          <w:rFonts w:hint="eastAsia" w:ascii="宋体" w:hAnsi="宋体" w:cs="宋体"/>
          <w:color w:val="auto"/>
          <w:highlight w:val="none"/>
          <w:u w:val="single"/>
        </w:rPr>
      </w:pPr>
      <w:r>
        <w:rPr>
          <w:rFonts w:hint="eastAsia" w:ascii="宋体" w:hAnsi="宋体" w:cs="宋体"/>
          <w:color w:val="auto"/>
          <w:highlight w:val="none"/>
        </w:rPr>
        <w:t>发包人提供支付担保的形式：</w:t>
      </w:r>
      <w:r>
        <w:rPr>
          <w:rFonts w:hint="eastAsia" w:ascii="宋体" w:hAnsi="宋体" w:cs="宋体"/>
          <w:color w:val="auto"/>
          <w:highlight w:val="none"/>
          <w:u w:val="single"/>
        </w:rPr>
        <w:t xml:space="preserve">   无       </w:t>
      </w:r>
      <w:r>
        <w:rPr>
          <w:rFonts w:hint="eastAsia" w:ascii="宋体" w:hAnsi="宋体" w:cs="宋体"/>
          <w:color w:val="auto"/>
          <w:highlight w:val="none"/>
        </w:rPr>
        <w:t>。</w:t>
      </w:r>
    </w:p>
    <w:p>
      <w:pPr>
        <w:pStyle w:val="9"/>
        <w:spacing w:before="0" w:after="0"/>
        <w:rPr>
          <w:rFonts w:hint="eastAsia" w:ascii="宋体" w:cs="宋体"/>
          <w:color w:val="auto"/>
          <w:highlight w:val="none"/>
        </w:rPr>
      </w:pPr>
      <w:bookmarkStart w:id="62" w:name="_Toc417904281"/>
      <w:bookmarkStart w:id="63" w:name="_Toc454283108"/>
      <w:bookmarkStart w:id="64" w:name="_Toc351203635"/>
      <w:r>
        <w:rPr>
          <w:rFonts w:hint="eastAsia" w:ascii="宋体" w:cs="宋体"/>
          <w:color w:val="auto"/>
          <w:highlight w:val="none"/>
        </w:rPr>
        <w:t>3</w:t>
      </w:r>
      <w:bookmarkStart w:id="65" w:name="_Toc296891198"/>
      <w:bookmarkStart w:id="66" w:name="_Toc296346659"/>
      <w:bookmarkStart w:id="67" w:name="_Toc296347157"/>
      <w:bookmarkStart w:id="68" w:name="_Toc297120458"/>
      <w:bookmarkStart w:id="69" w:name="_Toc292559363"/>
      <w:bookmarkStart w:id="70" w:name="_Toc297048344"/>
      <w:bookmarkStart w:id="71" w:name="_Toc296944497"/>
      <w:bookmarkStart w:id="72" w:name="_Toc296890986"/>
      <w:bookmarkStart w:id="73" w:name="_Toc292559868"/>
      <w:bookmarkStart w:id="74" w:name="_Toc296503158"/>
      <w:r>
        <w:rPr>
          <w:rFonts w:hint="eastAsia" w:ascii="宋体" w:cs="宋体"/>
          <w:color w:val="auto"/>
          <w:highlight w:val="none"/>
        </w:rPr>
        <w:t>. 承包人</w:t>
      </w:r>
      <w:bookmarkEnd w:id="62"/>
      <w:bookmarkEnd w:id="63"/>
      <w:bookmarkEnd w:id="64"/>
    </w:p>
    <w:bookmarkEnd w:id="65"/>
    <w:bookmarkEnd w:id="66"/>
    <w:bookmarkEnd w:id="67"/>
    <w:bookmarkEnd w:id="68"/>
    <w:bookmarkEnd w:id="69"/>
    <w:bookmarkEnd w:id="70"/>
    <w:bookmarkEnd w:id="71"/>
    <w:bookmarkEnd w:id="72"/>
    <w:bookmarkEnd w:id="73"/>
    <w:bookmarkEnd w:id="74"/>
    <w:p>
      <w:pPr>
        <w:pStyle w:val="9"/>
        <w:spacing w:before="0" w:after="0"/>
        <w:rPr>
          <w:rFonts w:hint="eastAsia" w:ascii="宋体" w:cs="宋体"/>
          <w:color w:val="auto"/>
          <w:sz w:val="21"/>
          <w:szCs w:val="21"/>
          <w:highlight w:val="none"/>
        </w:rPr>
      </w:pPr>
      <w:bookmarkStart w:id="75" w:name="_Toc454283109"/>
      <w:bookmarkStart w:id="76" w:name="_Toc417904282"/>
      <w:r>
        <w:rPr>
          <w:rFonts w:hint="eastAsia" w:ascii="宋体" w:cs="宋体"/>
          <w:color w:val="auto"/>
          <w:highlight w:val="none"/>
        </w:rPr>
        <w:t>3.1 承包人的一般</w:t>
      </w:r>
      <w:r>
        <w:rPr>
          <w:rFonts w:hint="eastAsia" w:ascii="宋体" w:cs="宋体"/>
          <w:color w:val="auto"/>
          <w:sz w:val="21"/>
          <w:szCs w:val="21"/>
          <w:highlight w:val="none"/>
        </w:rPr>
        <w:t>义务</w:t>
      </w:r>
      <w:bookmarkEnd w:id="75"/>
      <w:bookmarkEnd w:id="76"/>
    </w:p>
    <w:p>
      <w:pPr>
        <w:pStyle w:val="10"/>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（9）承包人提交的竣工资料的内容：</w:t>
      </w:r>
      <w:r>
        <w:rPr>
          <w:rFonts w:hint="eastAsia" w:ascii="宋体" w:hAnsi="宋体" w:cs="宋体"/>
          <w:color w:val="auto"/>
          <w:sz w:val="21"/>
          <w:szCs w:val="21"/>
          <w:highlight w:val="none"/>
          <w:u w:val="single"/>
        </w:rPr>
        <w:t xml:space="preserve">  1、工程具备竣工验收条件，承包人按工程竣工验收有关规定，向发包人提交符合城建档案馆归档要求内容的完整竣工资料及竣工验收报告、工程竣工图；2、承包人所提交的竣工资料必须符合《建设工程文件归档整理规范》要求，并在结算审批时出具发包人接收档案资料清单证明</w:t>
      </w:r>
      <w:r>
        <w:rPr>
          <w:rFonts w:hint="eastAsia" w:ascii="宋体" w:hAnsi="宋体" w:cs="宋体"/>
          <w:color w:val="auto"/>
          <w:sz w:val="21"/>
          <w:szCs w:val="21"/>
          <w:highlight w:val="none"/>
        </w:rPr>
        <w:t>。</w:t>
      </w:r>
    </w:p>
    <w:p>
      <w:pPr>
        <w:pStyle w:val="10"/>
        <w:rPr>
          <w:rFonts w:hint="eastAsia" w:ascii="宋体" w:hAnsi="宋体" w:cs="宋体"/>
          <w:color w:val="auto"/>
          <w:sz w:val="21"/>
          <w:szCs w:val="21"/>
          <w:highlight w:val="none"/>
        </w:rPr>
      </w:pPr>
      <w:r>
        <w:rPr>
          <w:rFonts w:hint="eastAsia" w:ascii="宋体" w:hAnsi="宋体" w:cs="宋体"/>
          <w:color w:val="auto"/>
          <w:sz w:val="21"/>
          <w:szCs w:val="21"/>
          <w:highlight w:val="none"/>
        </w:rPr>
        <w:t>承包人需要提交的竣工资料套数：</w:t>
      </w:r>
      <w:r>
        <w:rPr>
          <w:rFonts w:hint="eastAsia" w:ascii="宋体" w:hAnsi="宋体" w:cs="宋体"/>
          <w:color w:val="auto"/>
          <w:sz w:val="21"/>
          <w:szCs w:val="21"/>
          <w:highlight w:val="none"/>
          <w:u w:val="single"/>
        </w:rPr>
        <w:t xml:space="preserve">      8份           </w:t>
      </w:r>
      <w:r>
        <w:rPr>
          <w:rFonts w:hint="eastAsia" w:ascii="宋体" w:hAnsi="宋体" w:cs="宋体"/>
          <w:color w:val="auto"/>
          <w:sz w:val="21"/>
          <w:szCs w:val="21"/>
          <w:highlight w:val="none"/>
        </w:rPr>
        <w:t>。</w:t>
      </w:r>
    </w:p>
    <w:p>
      <w:pPr>
        <w:pStyle w:val="10"/>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承包人提交的竣工资料的费用承担：</w:t>
      </w:r>
      <w:r>
        <w:rPr>
          <w:rFonts w:hint="eastAsia" w:ascii="宋体" w:hAnsi="宋体" w:cs="宋体"/>
          <w:color w:val="auto"/>
          <w:sz w:val="21"/>
          <w:szCs w:val="21"/>
          <w:highlight w:val="none"/>
          <w:u w:val="single"/>
        </w:rPr>
        <w:t xml:space="preserve">     由承包人自行承担         </w:t>
      </w:r>
      <w:r>
        <w:rPr>
          <w:rFonts w:hint="eastAsia" w:ascii="宋体" w:hAnsi="宋体" w:cs="宋体"/>
          <w:color w:val="auto"/>
          <w:sz w:val="21"/>
          <w:szCs w:val="21"/>
          <w:highlight w:val="none"/>
        </w:rPr>
        <w:t>。</w:t>
      </w:r>
    </w:p>
    <w:p>
      <w:pPr>
        <w:pStyle w:val="10"/>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承包人提交的竣工资料移交时间：</w:t>
      </w:r>
      <w:r>
        <w:rPr>
          <w:rFonts w:hint="eastAsia" w:ascii="宋体" w:hAnsi="宋体" w:cs="宋体"/>
          <w:color w:val="auto"/>
          <w:sz w:val="21"/>
          <w:szCs w:val="21"/>
          <w:highlight w:val="none"/>
          <w:u w:val="single"/>
        </w:rPr>
        <w:t xml:space="preserve">    竣工验收15天内       </w:t>
      </w:r>
      <w:r>
        <w:rPr>
          <w:rFonts w:hint="eastAsia" w:ascii="宋体" w:hAnsi="宋体" w:cs="宋体"/>
          <w:color w:val="auto"/>
          <w:sz w:val="21"/>
          <w:szCs w:val="21"/>
          <w:highlight w:val="none"/>
        </w:rPr>
        <w:t>。</w:t>
      </w:r>
    </w:p>
    <w:p>
      <w:pPr>
        <w:pStyle w:val="5"/>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承包人提交的竣工资料形式要求：</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符合桂林市城建档案馆工程档案验收要求</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pPr>
        <w:pStyle w:val="10"/>
        <w:rPr>
          <w:rFonts w:hint="eastAsia" w:ascii="宋体" w:hAnsi="宋体" w:cs="宋体"/>
          <w:color w:val="auto"/>
          <w:highlight w:val="none"/>
        </w:rPr>
      </w:pPr>
      <w:r>
        <w:rPr>
          <w:rFonts w:hint="eastAsia" w:ascii="宋体" w:hAnsi="宋体" w:cs="宋体"/>
          <w:color w:val="auto"/>
          <w:highlight w:val="none"/>
        </w:rPr>
        <w:t>（10）承包人应履行的其他义务：</w:t>
      </w:r>
      <w:r>
        <w:rPr>
          <w:rFonts w:hint="eastAsia" w:ascii="宋体" w:hAnsi="宋体" w:cs="宋体"/>
          <w:color w:val="auto"/>
          <w:highlight w:val="none"/>
          <w:u w:val="single"/>
        </w:rPr>
        <w:t xml:space="preserve">  承包人应当主动配合发包人协调与施工现场周边的关系，确保项目施工顺利进行；为发包人依法发包的专业工程承包商提供一切施工方便　</w:t>
      </w:r>
      <w:r>
        <w:rPr>
          <w:rFonts w:hint="eastAsia" w:ascii="宋体" w:hAnsi="宋体" w:cs="宋体"/>
          <w:color w:val="auto"/>
          <w:highlight w:val="none"/>
        </w:rPr>
        <w:t>。</w:t>
      </w:r>
    </w:p>
    <w:p>
      <w:pPr>
        <w:pStyle w:val="10"/>
        <w:rPr>
          <w:rFonts w:hint="eastAsia" w:ascii="宋体" w:cs="宋体"/>
          <w:color w:val="auto"/>
          <w:highlight w:val="none"/>
        </w:rPr>
      </w:pPr>
      <w:bookmarkStart w:id="77" w:name="_Toc417904283"/>
      <w:bookmarkStart w:id="78" w:name="_Toc454283110"/>
      <w:r>
        <w:rPr>
          <w:rFonts w:ascii="宋体" w:hAnsi="宋体" w:cs="宋体"/>
          <w:color w:val="auto"/>
          <w:highlight w:val="none"/>
        </w:rPr>
        <w:t>（</w:t>
      </w:r>
      <w:r>
        <w:rPr>
          <w:rFonts w:hint="eastAsia" w:ascii="宋体" w:hAnsi="宋体" w:cs="宋体"/>
          <w:color w:val="auto"/>
          <w:highlight w:val="none"/>
        </w:rPr>
        <w:t>1</w:t>
      </w:r>
      <w:r>
        <w:rPr>
          <w:rFonts w:ascii="宋体" w:hAnsi="宋体" w:cs="宋体"/>
          <w:color w:val="auto"/>
          <w:highlight w:val="none"/>
        </w:rPr>
        <w:t>1）本工程产生的建筑垃圾由承包人负责清理。</w:t>
      </w:r>
    </w:p>
    <w:p>
      <w:pPr>
        <w:pStyle w:val="9"/>
        <w:spacing w:before="0" w:after="0"/>
        <w:rPr>
          <w:rFonts w:hint="eastAsia" w:ascii="宋体" w:cs="宋体"/>
          <w:color w:val="auto"/>
          <w:highlight w:val="none"/>
        </w:rPr>
      </w:pPr>
      <w:r>
        <w:rPr>
          <w:rFonts w:hint="eastAsia" w:ascii="宋体" w:cs="宋体"/>
          <w:color w:val="auto"/>
          <w:highlight w:val="none"/>
        </w:rPr>
        <w:t>3.2 项目经理</w:t>
      </w:r>
      <w:bookmarkEnd w:id="77"/>
      <w:bookmarkEnd w:id="78"/>
    </w:p>
    <w:p>
      <w:pPr>
        <w:pStyle w:val="10"/>
        <w:ind w:left="560" w:leftChars="200" w:firstLine="0" w:firstLineChars="0"/>
        <w:rPr>
          <w:rFonts w:hint="eastAsia" w:ascii="宋体" w:hAnsi="宋体" w:cs="宋体"/>
          <w:color w:val="auto"/>
          <w:highlight w:val="none"/>
        </w:rPr>
      </w:pPr>
      <w:r>
        <w:rPr>
          <w:rFonts w:hint="eastAsia" w:ascii="宋体" w:hAnsi="宋体" w:cs="宋体"/>
          <w:color w:val="auto"/>
          <w:highlight w:val="none"/>
        </w:rPr>
        <w:t xml:space="preserve">3.2.1项目经理： </w:t>
      </w:r>
    </w:p>
    <w:p>
      <w:pPr>
        <w:pStyle w:val="10"/>
        <w:rPr>
          <w:rFonts w:hint="eastAsia"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中标后填写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身份证号：</w:t>
      </w:r>
      <w:r>
        <w:rPr>
          <w:rFonts w:hint="eastAsia" w:ascii="宋体" w:hAnsi="宋体" w:cs="宋体"/>
          <w:color w:val="auto"/>
          <w:highlight w:val="none"/>
          <w:u w:val="single"/>
        </w:rPr>
        <w:t xml:space="preserve">    中标后填写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建造师执业资格等级：</w:t>
      </w:r>
      <w:r>
        <w:rPr>
          <w:rFonts w:hint="eastAsia" w:ascii="宋体" w:hAnsi="宋体" w:cs="宋体"/>
          <w:color w:val="auto"/>
          <w:highlight w:val="none"/>
          <w:u w:val="single"/>
        </w:rPr>
        <w:t xml:space="preserve">  中标后填写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建造师注册证书号：</w:t>
      </w:r>
      <w:r>
        <w:rPr>
          <w:rFonts w:hint="eastAsia" w:ascii="宋体" w:hAnsi="宋体" w:cs="宋体"/>
          <w:color w:val="auto"/>
          <w:highlight w:val="none"/>
          <w:u w:val="single"/>
        </w:rPr>
        <w:t xml:space="preserve">  中标后填写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建造师执业印章号：</w:t>
      </w:r>
      <w:r>
        <w:rPr>
          <w:rFonts w:hint="eastAsia" w:ascii="宋体" w:hAnsi="宋体" w:cs="宋体"/>
          <w:color w:val="auto"/>
          <w:highlight w:val="none"/>
          <w:u w:val="single"/>
        </w:rPr>
        <w:t xml:space="preserve">      中标后填写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安全生产考核合格证书号：</w:t>
      </w:r>
      <w:r>
        <w:rPr>
          <w:rFonts w:hint="eastAsia" w:ascii="宋体" w:hAnsi="宋体" w:cs="宋体"/>
          <w:color w:val="auto"/>
          <w:highlight w:val="none"/>
          <w:u w:val="single"/>
        </w:rPr>
        <w:t xml:space="preserve">   中标后填写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中标后填写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中标后填写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中标后填写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承包人对项目经理的授权范围如下：</w:t>
      </w:r>
      <w:r>
        <w:rPr>
          <w:rFonts w:hint="eastAsia" w:ascii="宋体" w:hAnsi="宋体" w:cs="宋体"/>
          <w:color w:val="auto"/>
          <w:highlight w:val="none"/>
          <w:u w:val="single"/>
        </w:rPr>
        <w:t xml:space="preserve">   中标后填写　</w:t>
      </w:r>
      <w:r>
        <w:rPr>
          <w:rFonts w:hint="eastAsia" w:ascii="宋体" w:hAnsi="宋体" w:cs="宋体"/>
          <w:color w:val="auto"/>
          <w:highlight w:val="none"/>
        </w:rPr>
        <w:t>。</w:t>
      </w:r>
    </w:p>
    <w:p>
      <w:pPr>
        <w:pStyle w:val="10"/>
        <w:rPr>
          <w:rFonts w:hint="eastAsia" w:ascii="宋体" w:hAnsi="宋体" w:cs="宋体"/>
          <w:color w:val="auto"/>
          <w:highlight w:val="none"/>
          <w:u w:val="single"/>
        </w:rPr>
      </w:pPr>
      <w:r>
        <w:rPr>
          <w:rFonts w:hint="eastAsia" w:ascii="宋体" w:hAnsi="宋体" w:cs="宋体"/>
          <w:color w:val="auto"/>
          <w:highlight w:val="none"/>
        </w:rPr>
        <w:t>关于项目经理每月在施工现场的时间要求：</w:t>
      </w:r>
      <w:r>
        <w:rPr>
          <w:rFonts w:hint="eastAsia" w:ascii="宋体" w:hAnsi="宋体" w:cs="宋体"/>
          <w:color w:val="auto"/>
          <w:highlight w:val="none"/>
          <w:u w:val="single"/>
        </w:rPr>
        <w:t xml:space="preserve">  22天　　</w:t>
      </w:r>
    </w:p>
    <w:p>
      <w:pPr>
        <w:pStyle w:val="10"/>
        <w:rPr>
          <w:rFonts w:hint="eastAsia" w:ascii="宋体" w:hAnsi="宋体" w:cs="宋体"/>
          <w:color w:val="auto"/>
          <w:highlight w:val="none"/>
          <w:u w:val="single"/>
        </w:rPr>
      </w:pPr>
      <w:r>
        <w:rPr>
          <w:rFonts w:hint="eastAsia" w:ascii="宋体" w:hAnsi="宋体" w:cs="宋体"/>
          <w:color w:val="auto"/>
          <w:highlight w:val="none"/>
        </w:rPr>
        <w:t>项目经理未经批准，擅自离开施工现场的违约责任：</w:t>
      </w:r>
      <w:r>
        <w:rPr>
          <w:rFonts w:hint="eastAsia" w:ascii="宋体" w:hAnsi="宋体" w:cs="宋体"/>
          <w:color w:val="auto"/>
          <w:highlight w:val="none"/>
          <w:u w:val="single"/>
        </w:rPr>
        <w:t>项目经理每月在岗带班时间不得少于当月施工时间的80%。未经发包人同意或正当理由，项目经理每月在岗带班时间少于当月施工时间80%的，少在岗带班一天，发包人有权处违约金1000元/日（人民币）</w:t>
      </w:r>
      <w:r>
        <w:rPr>
          <w:rFonts w:hint="eastAsia" w:ascii="宋体" w:hAnsi="宋体" w:cs="宋体"/>
          <w:color w:val="auto"/>
          <w:sz w:val="21"/>
          <w:szCs w:val="21"/>
          <w:highlight w:val="none"/>
          <w:u w:val="single"/>
        </w:rPr>
        <w:t>且必须参加每周工程例会，因故不能参加的应提前4个小时提出申请，在获得发包人批准后方可缺席</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承包人未提交劳动合同，以及没有为项目经理缴纳社会保险证明的违约责任：</w:t>
      </w:r>
      <w:r>
        <w:rPr>
          <w:rFonts w:hint="eastAsia" w:ascii="宋体" w:hAnsi="宋体" w:cs="宋体"/>
          <w:color w:val="auto"/>
          <w:highlight w:val="none"/>
          <w:u w:val="single"/>
        </w:rPr>
        <w:t xml:space="preserve">若经发包人检查发现承包人违约则扣款2万元，若承包人不按要求及时整改，发包人有权解除合同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3.2.3承包人擅自更换项目经理的违约责任：</w:t>
      </w:r>
      <w:r>
        <w:rPr>
          <w:rFonts w:hint="eastAsia" w:ascii="宋体" w:hAnsi="宋体" w:cs="宋体"/>
          <w:color w:val="auto"/>
          <w:highlight w:val="none"/>
          <w:u w:val="single"/>
        </w:rPr>
        <w:t>承包人项目经理必须与承包人投标时所承诺的人员一致，并在约定开工日期前到任。在监理人向承包人颁发竣工证明材料名称前，项目经理不得同时兼任其他任何项目的项目经理（符合桂建管﹝2013﹞17号和桂建管﹝2014﹞25号文除外）。未经发包人书面同意，承包人擅自更换项目经理的视为违约，违约金处20000.00元/人•次（人民币）</w:t>
      </w:r>
      <w:r>
        <w:rPr>
          <w:rFonts w:hint="eastAsia" w:ascii="宋体" w:hAnsi="宋体" w:cs="宋体"/>
          <w:color w:val="auto"/>
          <w:highlight w:val="none"/>
          <w:u w:val="single"/>
        </w:rPr>
        <w:t>，</w:t>
      </w:r>
      <w:r>
        <w:rPr>
          <w:rFonts w:hint="eastAsia" w:ascii="宋体" w:hAnsi="宋体" w:cs="宋体"/>
          <w:b/>
          <w:color w:val="auto"/>
          <w:highlight w:val="none"/>
          <w:u w:val="single"/>
        </w:rPr>
        <w:t>同时</w:t>
      </w:r>
      <w:r>
        <w:rPr>
          <w:rFonts w:hint="eastAsia" w:ascii="宋体" w:hAnsi="宋体" w:cs="宋体"/>
          <w:b/>
          <w:color w:val="auto"/>
          <w:highlight w:val="none"/>
          <w:u w:val="single"/>
          <w:lang w:eastAsia="zh-CN"/>
        </w:rPr>
        <w:t>发包人</w:t>
      </w:r>
      <w:r>
        <w:rPr>
          <w:rFonts w:hint="eastAsia" w:ascii="宋体" w:hAnsi="宋体" w:cs="宋体"/>
          <w:b/>
          <w:color w:val="auto"/>
          <w:highlight w:val="none"/>
          <w:u w:val="single"/>
        </w:rPr>
        <w:t>可以解除施工合同，责任由承包方承担</w:t>
      </w:r>
      <w:r>
        <w:rPr>
          <w:rFonts w:hint="eastAsia" w:ascii="宋体" w:hAnsi="宋体" w:cs="宋体"/>
          <w:b/>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3.2.4承包人无正当理由拒绝更换项目经理的违约责任：</w:t>
      </w:r>
      <w:r>
        <w:rPr>
          <w:rFonts w:hint="eastAsia" w:ascii="宋体" w:hAnsi="宋体" w:cs="宋体"/>
          <w:color w:val="auto"/>
          <w:highlight w:val="none"/>
          <w:u w:val="single"/>
        </w:rPr>
        <w:t>因承包人项目经理不称职，发包人要求调换而未及时调换的，视为承包人违约，必须向发包人交纳处罚金5000.00元/人•次（人民币）</w:t>
      </w:r>
      <w:r>
        <w:rPr>
          <w:rFonts w:hint="eastAsia" w:ascii="宋体" w:hAnsi="宋体" w:cs="宋体"/>
          <w:color w:val="auto"/>
          <w:highlight w:val="none"/>
        </w:rPr>
        <w:t>。</w:t>
      </w:r>
    </w:p>
    <w:p>
      <w:pPr>
        <w:pStyle w:val="2"/>
        <w:keepNext w:val="0"/>
        <w:keepLines w:val="0"/>
        <w:pageBreakBefore w:val="0"/>
        <w:widowControl w:val="0"/>
        <w:kinsoku/>
        <w:wordWrap/>
        <w:overflowPunct/>
        <w:topLinePunct w:val="0"/>
        <w:autoSpaceDE/>
        <w:autoSpaceDN/>
        <w:bidi w:val="0"/>
        <w:adjustRightInd/>
        <w:snapToGrid/>
        <w:spacing w:line="400" w:lineRule="exact"/>
        <w:ind w:right="0" w:firstLine="420" w:firstLineChars="200"/>
        <w:jc w:val="both"/>
        <w:textAlignment w:val="auto"/>
        <w:rPr>
          <w:color w:val="auto"/>
          <w:sz w:val="21"/>
          <w:szCs w:val="21"/>
          <w:highlight w:val="none"/>
        </w:rPr>
      </w:pPr>
      <w:bookmarkStart w:id="79" w:name="_Toc389065275"/>
      <w:bookmarkStart w:id="80" w:name="_Toc395382511"/>
      <w:bookmarkStart w:id="81" w:name="_Toc417904284"/>
      <w:bookmarkStart w:id="82" w:name="_Toc373227709"/>
      <w:bookmarkStart w:id="83" w:name="_Toc454283111"/>
      <w:bookmarkStart w:id="84" w:name="_Toc373478356"/>
      <w:r>
        <w:rPr>
          <w:color w:val="auto"/>
          <w:sz w:val="21"/>
          <w:szCs w:val="21"/>
          <w:highlight w:val="none"/>
        </w:rPr>
        <w:t>3.2.</w:t>
      </w:r>
      <w:r>
        <w:rPr>
          <w:rFonts w:hint="eastAsia"/>
          <w:color w:val="auto"/>
          <w:sz w:val="21"/>
          <w:szCs w:val="21"/>
          <w:highlight w:val="none"/>
        </w:rPr>
        <w:t>5</w:t>
      </w:r>
      <w:r>
        <w:rPr>
          <w:color w:val="auto"/>
          <w:sz w:val="21"/>
          <w:szCs w:val="21"/>
          <w:highlight w:val="none"/>
        </w:rPr>
        <w:t xml:space="preserve"> </w:t>
      </w:r>
      <w:r>
        <w:rPr>
          <w:rFonts w:hint="eastAsia"/>
          <w:color w:val="auto"/>
          <w:sz w:val="21"/>
          <w:szCs w:val="21"/>
          <w:highlight w:val="none"/>
        </w:rPr>
        <w:t>承包人有以下条款所述问题之一的人员，经发包人要求，必须在24小时内调离本工程范围，同时，承包人应在3天内安排经发包人批准的合格人员代替上述调离的相应岗位人员。</w:t>
      </w:r>
    </w:p>
    <w:p>
      <w:pPr>
        <w:pStyle w:val="2"/>
        <w:keepNext w:val="0"/>
        <w:keepLines w:val="0"/>
        <w:pageBreakBefore w:val="0"/>
        <w:widowControl w:val="0"/>
        <w:kinsoku/>
        <w:wordWrap/>
        <w:overflowPunct/>
        <w:topLinePunct w:val="0"/>
        <w:autoSpaceDE/>
        <w:autoSpaceDN/>
        <w:bidi w:val="0"/>
        <w:adjustRightInd/>
        <w:snapToGrid/>
        <w:spacing w:line="400" w:lineRule="exact"/>
        <w:ind w:right="0" w:firstLine="420" w:firstLineChars="200"/>
        <w:jc w:val="both"/>
        <w:textAlignment w:val="auto"/>
        <w:rPr>
          <w:color w:val="auto"/>
          <w:sz w:val="21"/>
          <w:szCs w:val="21"/>
          <w:highlight w:val="none"/>
        </w:rPr>
      </w:pPr>
      <w:r>
        <w:rPr>
          <w:rFonts w:hint="eastAsia"/>
          <w:color w:val="auto"/>
          <w:sz w:val="21"/>
          <w:szCs w:val="21"/>
          <w:highlight w:val="none"/>
        </w:rPr>
        <w:t>a、发包人确认无法胜任工作者，包括:对分部分项工程施工进度及施工质量达不到合同要求负有责任的施工人员，不熟悉本专业工作的施工人员，工作责任心不强的施工人员等;</w:t>
      </w:r>
    </w:p>
    <w:p>
      <w:pPr>
        <w:pStyle w:val="2"/>
        <w:keepNext w:val="0"/>
        <w:keepLines w:val="0"/>
        <w:pageBreakBefore w:val="0"/>
        <w:widowControl w:val="0"/>
        <w:kinsoku/>
        <w:wordWrap/>
        <w:overflowPunct/>
        <w:topLinePunct w:val="0"/>
        <w:autoSpaceDE/>
        <w:autoSpaceDN/>
        <w:bidi w:val="0"/>
        <w:adjustRightInd/>
        <w:snapToGrid/>
        <w:spacing w:line="400" w:lineRule="exact"/>
        <w:ind w:right="0" w:firstLine="420" w:firstLineChars="200"/>
        <w:jc w:val="left"/>
        <w:textAlignment w:val="auto"/>
        <w:rPr>
          <w:color w:val="auto"/>
          <w:sz w:val="21"/>
          <w:szCs w:val="21"/>
          <w:highlight w:val="none"/>
        </w:rPr>
      </w:pPr>
      <w:r>
        <w:rPr>
          <w:rFonts w:hint="eastAsia"/>
          <w:color w:val="auto"/>
          <w:sz w:val="21"/>
          <w:szCs w:val="21"/>
          <w:highlight w:val="none"/>
        </w:rPr>
        <w:t>b、在接到发包人通知后不能积极配合发包人正常工作者;</w:t>
      </w:r>
    </w:p>
    <w:p>
      <w:pPr>
        <w:pStyle w:val="2"/>
        <w:keepNext w:val="0"/>
        <w:keepLines w:val="0"/>
        <w:pageBreakBefore w:val="0"/>
        <w:widowControl w:val="0"/>
        <w:kinsoku/>
        <w:wordWrap/>
        <w:overflowPunct/>
        <w:topLinePunct w:val="0"/>
        <w:autoSpaceDE/>
        <w:autoSpaceDN/>
        <w:bidi w:val="0"/>
        <w:adjustRightInd/>
        <w:snapToGrid/>
        <w:spacing w:line="400" w:lineRule="exact"/>
        <w:ind w:right="0" w:firstLine="420" w:firstLineChars="200"/>
        <w:jc w:val="left"/>
        <w:textAlignment w:val="auto"/>
        <w:rPr>
          <w:color w:val="auto"/>
          <w:sz w:val="21"/>
          <w:szCs w:val="21"/>
          <w:highlight w:val="none"/>
        </w:rPr>
      </w:pPr>
      <w:r>
        <w:rPr>
          <w:rFonts w:hint="eastAsia"/>
          <w:color w:val="auto"/>
          <w:sz w:val="21"/>
          <w:szCs w:val="21"/>
          <w:highlight w:val="none"/>
        </w:rPr>
        <w:t>c、违反发包人或承包人工地现场管理规定者</w:t>
      </w:r>
    </w:p>
    <w:p>
      <w:pPr>
        <w:pStyle w:val="2"/>
        <w:keepNext w:val="0"/>
        <w:keepLines w:val="0"/>
        <w:pageBreakBefore w:val="0"/>
        <w:widowControl w:val="0"/>
        <w:kinsoku/>
        <w:wordWrap/>
        <w:overflowPunct/>
        <w:topLinePunct w:val="0"/>
        <w:autoSpaceDE/>
        <w:autoSpaceDN/>
        <w:bidi w:val="0"/>
        <w:adjustRightInd/>
        <w:snapToGrid/>
        <w:spacing w:line="400" w:lineRule="exact"/>
        <w:ind w:right="0" w:firstLine="420" w:firstLineChars="200"/>
        <w:jc w:val="left"/>
        <w:textAlignment w:val="auto"/>
        <w:rPr>
          <w:color w:val="auto"/>
          <w:sz w:val="21"/>
          <w:szCs w:val="21"/>
          <w:highlight w:val="none"/>
        </w:rPr>
      </w:pPr>
      <w:r>
        <w:rPr>
          <w:rFonts w:hint="eastAsia"/>
          <w:color w:val="auto"/>
          <w:sz w:val="21"/>
          <w:szCs w:val="21"/>
          <w:highlight w:val="none"/>
        </w:rPr>
        <w:t>d、无证上岗者（适用于按规定必须有上岗证的人员);</w:t>
      </w:r>
    </w:p>
    <w:p>
      <w:pPr>
        <w:pStyle w:val="2"/>
        <w:keepNext w:val="0"/>
        <w:keepLines w:val="0"/>
        <w:pageBreakBefore w:val="0"/>
        <w:widowControl w:val="0"/>
        <w:kinsoku/>
        <w:wordWrap/>
        <w:overflowPunct/>
        <w:topLinePunct w:val="0"/>
        <w:autoSpaceDE/>
        <w:autoSpaceDN/>
        <w:bidi w:val="0"/>
        <w:adjustRightInd/>
        <w:snapToGrid/>
        <w:spacing w:line="400" w:lineRule="exact"/>
        <w:ind w:right="0" w:firstLine="420" w:firstLineChars="200"/>
        <w:jc w:val="left"/>
        <w:textAlignment w:val="auto"/>
        <w:rPr>
          <w:color w:val="auto"/>
          <w:sz w:val="21"/>
          <w:szCs w:val="21"/>
          <w:highlight w:val="none"/>
        </w:rPr>
      </w:pPr>
      <w:r>
        <w:rPr>
          <w:rFonts w:hint="eastAsia"/>
          <w:color w:val="auto"/>
          <w:sz w:val="21"/>
          <w:szCs w:val="21"/>
          <w:highlight w:val="none"/>
        </w:rPr>
        <w:t>e、与本工程无关人员。</w:t>
      </w:r>
    </w:p>
    <w:p>
      <w:pPr>
        <w:pStyle w:val="2"/>
        <w:keepNext w:val="0"/>
        <w:keepLines w:val="0"/>
        <w:pageBreakBefore w:val="0"/>
        <w:widowControl w:val="0"/>
        <w:kinsoku/>
        <w:wordWrap/>
        <w:overflowPunct/>
        <w:topLinePunct w:val="0"/>
        <w:autoSpaceDE/>
        <w:autoSpaceDN/>
        <w:bidi w:val="0"/>
        <w:adjustRightInd/>
        <w:snapToGrid/>
        <w:spacing w:line="400" w:lineRule="exact"/>
        <w:ind w:right="0" w:firstLine="420" w:firstLineChars="200"/>
        <w:jc w:val="left"/>
        <w:textAlignment w:val="auto"/>
        <w:rPr>
          <w:rFonts w:hint="eastAsia" w:ascii="宋体" w:cs="宋体"/>
          <w:color w:val="auto"/>
          <w:highlight w:val="none"/>
        </w:rPr>
      </w:pPr>
      <w:r>
        <w:rPr>
          <w:rFonts w:hint="eastAsia"/>
          <w:color w:val="auto"/>
          <w:sz w:val="21"/>
          <w:szCs w:val="21"/>
          <w:highlight w:val="none"/>
        </w:rPr>
        <w:t>承包人未将本款所述人员在24小时内调离本工程范围的，则因按每人次每天向发包人支付违约金500元;承包人未在3天内内安排经发包人批准的合格人员代替上述调离的相应岗位人员的，则每延迟一天，按每人次每天向发包人支付违约金</w:t>
      </w:r>
      <w:r>
        <w:rPr>
          <w:rFonts w:hint="eastAsia"/>
          <w:color w:val="auto"/>
          <w:sz w:val="21"/>
          <w:szCs w:val="21"/>
          <w:highlight w:val="none"/>
          <w:u w:val="single"/>
        </w:rPr>
        <w:t>2000</w:t>
      </w:r>
      <w:r>
        <w:rPr>
          <w:rFonts w:hint="eastAsia"/>
          <w:color w:val="auto"/>
          <w:sz w:val="21"/>
          <w:szCs w:val="21"/>
          <w:highlight w:val="none"/>
        </w:rPr>
        <w:t>元。</w:t>
      </w:r>
    </w:p>
    <w:p>
      <w:pPr>
        <w:pStyle w:val="9"/>
        <w:spacing w:before="0" w:after="0"/>
        <w:rPr>
          <w:rFonts w:hint="eastAsia" w:ascii="宋体" w:cs="宋体"/>
          <w:color w:val="auto"/>
          <w:highlight w:val="none"/>
        </w:rPr>
      </w:pPr>
      <w:r>
        <w:rPr>
          <w:rFonts w:hint="eastAsia" w:ascii="宋体" w:cs="宋体"/>
          <w:color w:val="auto"/>
          <w:highlight w:val="none"/>
        </w:rPr>
        <w:t>3.3 承包人人员</w:t>
      </w:r>
      <w:bookmarkEnd w:id="79"/>
      <w:bookmarkEnd w:id="80"/>
      <w:bookmarkEnd w:id="81"/>
      <w:bookmarkEnd w:id="82"/>
      <w:bookmarkEnd w:id="83"/>
      <w:bookmarkEnd w:id="84"/>
    </w:p>
    <w:p>
      <w:pPr>
        <w:pStyle w:val="10"/>
        <w:rPr>
          <w:rFonts w:hint="eastAsia" w:ascii="宋体" w:hAnsi="宋体" w:cs="宋体"/>
          <w:color w:val="auto"/>
          <w:highlight w:val="none"/>
        </w:rPr>
      </w:pPr>
      <w:r>
        <w:rPr>
          <w:rFonts w:hint="eastAsia" w:ascii="宋体" w:hAnsi="宋体" w:cs="宋体"/>
          <w:color w:val="auto"/>
          <w:highlight w:val="none"/>
        </w:rPr>
        <w:t>3.3.1 承包人提交项目管理机构及施工现场管理人员安排报告（格式见合同附件3）的期限：</w:t>
      </w:r>
    </w:p>
    <w:p>
      <w:pPr>
        <w:pStyle w:val="10"/>
        <w:ind w:firstLine="0" w:firstLineChars="0"/>
        <w:rPr>
          <w:rFonts w:hint="eastAsia" w:ascii="宋体" w:hAnsi="宋体" w:cs="宋体"/>
          <w:color w:val="auto"/>
          <w:highlight w:val="none"/>
        </w:rPr>
      </w:pPr>
      <w:r>
        <w:rPr>
          <w:rFonts w:hint="eastAsia" w:ascii="宋体" w:hAnsi="宋体" w:cs="宋体"/>
          <w:color w:val="auto"/>
          <w:highlight w:val="none"/>
          <w:u w:val="single"/>
        </w:rPr>
        <w:t xml:space="preserve">   合同签订后3天内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3.3.3承包人无正当理由拒绝撤换主要施工管理人员的违约责任：</w:t>
      </w:r>
      <w:r>
        <w:rPr>
          <w:rFonts w:hint="eastAsia" w:ascii="宋体" w:hAnsi="宋体" w:cs="宋体"/>
          <w:color w:val="auto"/>
          <w:highlight w:val="none"/>
          <w:u w:val="single"/>
        </w:rPr>
        <w:t>因承包人主要施工管理人员不称职，发包人要求调换而无正当理由拒绝撤换或未及时调换的，视为承包人违约，必须向发包人交纳处罚金，处罚标准：技术负责人5000元/人•次（人民币）；专业工程师2000元/人•次（人民币）</w:t>
      </w:r>
      <w:r>
        <w:rPr>
          <w:rFonts w:hint="eastAsia" w:ascii="宋体" w:hAnsi="宋体" w:cs="宋体"/>
          <w:color w:val="auto"/>
          <w:highlight w:val="none"/>
        </w:rPr>
        <w:t>。</w:t>
      </w:r>
    </w:p>
    <w:p>
      <w:pPr>
        <w:pStyle w:val="10"/>
        <w:rPr>
          <w:rFonts w:hint="eastAsia" w:ascii="宋体" w:hAnsi="宋体" w:cs="宋体"/>
          <w:color w:val="auto"/>
          <w:highlight w:val="none"/>
          <w:u w:val="single"/>
        </w:rPr>
      </w:pPr>
      <w:r>
        <w:rPr>
          <w:rFonts w:hint="eastAsia" w:ascii="宋体" w:hAnsi="宋体" w:cs="宋体"/>
          <w:color w:val="auto"/>
          <w:highlight w:val="none"/>
        </w:rPr>
        <w:t>3.3.4 承包人主要施工管理人员离开施工现场的批准要求：</w:t>
      </w:r>
      <w:r>
        <w:rPr>
          <w:rFonts w:hint="eastAsia" w:ascii="宋体" w:hAnsi="宋体" w:cs="宋体"/>
          <w:color w:val="auto"/>
          <w:highlight w:val="none"/>
          <w:u w:val="single"/>
        </w:rPr>
        <w:t xml:space="preserve">  向发包人书面申请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3.3.5承包人擅自更换主要施工管理人员的违约责任：</w:t>
      </w:r>
      <w:r>
        <w:rPr>
          <w:rFonts w:hint="eastAsia" w:ascii="宋体" w:hAnsi="宋体" w:cs="宋体"/>
          <w:color w:val="auto"/>
          <w:highlight w:val="none"/>
          <w:u w:val="single"/>
        </w:rPr>
        <w:t>项目技术负责人、专职安全员及其承诺的其它在场管理人员未经发包人书面同意不准擅自更换，擅自更换项目技术负责人处5000元/人•次（人民币）违约金；擅自更换专职安全员处2000元/人•次（人民币）违约金；擅自更换其它在场管理人员处1000元/人•次（人民币）违约金</w:t>
      </w:r>
      <w:r>
        <w:rPr>
          <w:rFonts w:hint="eastAsia" w:ascii="宋体" w:hAnsi="宋体" w:cs="宋体"/>
          <w:color w:val="auto"/>
          <w:highlight w:val="none"/>
        </w:rPr>
        <w:t>。</w:t>
      </w:r>
    </w:p>
    <w:p>
      <w:pPr>
        <w:pStyle w:val="10"/>
        <w:spacing w:line="440" w:lineRule="exact"/>
        <w:rPr>
          <w:rFonts w:hint="eastAsia" w:ascii="宋体" w:hAnsi="宋体" w:cs="宋体"/>
          <w:color w:val="auto"/>
          <w:highlight w:val="none"/>
        </w:rPr>
      </w:pPr>
      <w:r>
        <w:rPr>
          <w:rFonts w:hint="eastAsia" w:ascii="宋体" w:hAnsi="宋体" w:cs="宋体"/>
          <w:color w:val="auto"/>
          <w:highlight w:val="none"/>
        </w:rPr>
        <w:t>承包人主要施工管理人员擅自离开施工现场的违约责任：</w:t>
      </w:r>
      <w:r>
        <w:rPr>
          <w:rFonts w:hint="eastAsia" w:ascii="宋体" w:hAnsi="宋体" w:cs="宋体"/>
          <w:color w:val="auto"/>
          <w:highlight w:val="none"/>
          <w:u w:val="single"/>
        </w:rPr>
        <w:t>未经发包人同意，项目技术负责人擅自离岗的，视为承包人违约，发包人有权处违约金2000元/人•次（人民币）；未经发包人同意，专职安全员擅自离岗的，视为承包人违约，发包人有权处违约金1000元/人•次（人民币）；其它在场管理人员擅自离岗的，视为承包人违约，发包人有权处违约金5000元/人•次（人民币）</w:t>
      </w:r>
      <w:r>
        <w:rPr>
          <w:rFonts w:hint="eastAsia" w:ascii="宋体" w:hAnsi="宋体" w:cs="宋体"/>
          <w:color w:val="auto"/>
          <w:highlight w:val="none"/>
        </w:rPr>
        <w:t xml:space="preserve">。    </w:t>
      </w:r>
    </w:p>
    <w:p>
      <w:pPr>
        <w:pStyle w:val="9"/>
        <w:spacing w:before="0" w:after="0" w:line="440" w:lineRule="exact"/>
        <w:rPr>
          <w:rFonts w:hint="eastAsia" w:ascii="宋体" w:cs="宋体"/>
          <w:color w:val="auto"/>
          <w:highlight w:val="none"/>
        </w:rPr>
      </w:pPr>
      <w:bookmarkStart w:id="85" w:name="_Toc454283112"/>
      <w:bookmarkStart w:id="86" w:name="_Toc417904285"/>
      <w:r>
        <w:rPr>
          <w:rFonts w:hint="eastAsia" w:ascii="宋体" w:cs="宋体"/>
          <w:color w:val="auto"/>
          <w:highlight w:val="none"/>
        </w:rPr>
        <w:t>3</w:t>
      </w:r>
      <w:bookmarkStart w:id="87" w:name="_Toc303539102"/>
      <w:bookmarkStart w:id="88" w:name="_Toc300934945"/>
      <w:bookmarkStart w:id="89" w:name="_Toc297216151"/>
      <w:bookmarkStart w:id="90" w:name="_Toc297123492"/>
      <w:bookmarkStart w:id="91" w:name="_Toc304295523"/>
      <w:bookmarkStart w:id="92" w:name="_Toc297120459"/>
      <w:bookmarkStart w:id="93" w:name="_Toc292559869"/>
      <w:bookmarkStart w:id="94" w:name="_Toc296346660"/>
      <w:bookmarkStart w:id="95" w:name="_Toc296944498"/>
      <w:bookmarkStart w:id="96" w:name="_Toc296347158"/>
      <w:bookmarkStart w:id="97" w:name="_Toc296503159"/>
      <w:bookmarkStart w:id="98" w:name="_Toc312677988"/>
      <w:bookmarkStart w:id="99" w:name="_Toc292559364"/>
      <w:bookmarkStart w:id="100" w:name="_Toc296891199"/>
      <w:bookmarkStart w:id="101" w:name="_Toc296890987"/>
      <w:bookmarkStart w:id="102" w:name="_Toc297048345"/>
      <w:r>
        <w:rPr>
          <w:rFonts w:hint="eastAsia" w:ascii="宋体" w:cs="宋体"/>
          <w:color w:val="auto"/>
          <w:highlight w:val="none"/>
        </w:rPr>
        <w:t>.5 分包</w:t>
      </w:r>
      <w:bookmarkEnd w:id="85"/>
      <w:bookmarkEnd w:id="86"/>
    </w:p>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Pr>
        <w:pStyle w:val="10"/>
        <w:spacing w:line="440" w:lineRule="exact"/>
        <w:rPr>
          <w:rFonts w:hint="eastAsia" w:ascii="宋体" w:hAnsi="宋体" w:cs="宋体"/>
          <w:color w:val="auto"/>
          <w:highlight w:val="none"/>
        </w:rPr>
      </w:pPr>
      <w:r>
        <w:rPr>
          <w:rFonts w:hint="eastAsia" w:ascii="宋体" w:hAnsi="宋体" w:cs="宋体"/>
          <w:color w:val="auto"/>
          <w:highlight w:val="none"/>
        </w:rPr>
        <w:t>3</w:t>
      </w:r>
      <w:bookmarkStart w:id="103" w:name="_Toc292559365"/>
      <w:bookmarkStart w:id="104" w:name="_Toc297216152"/>
      <w:bookmarkStart w:id="105" w:name="_Toc292559870"/>
      <w:bookmarkStart w:id="106" w:name="_Toc300934946"/>
      <w:bookmarkStart w:id="107" w:name="_Toc296347159"/>
      <w:bookmarkStart w:id="108" w:name="_Toc297048346"/>
      <w:bookmarkStart w:id="109" w:name="_Toc296944499"/>
      <w:bookmarkStart w:id="110" w:name="_Toc296891200"/>
      <w:bookmarkStart w:id="111" w:name="_Toc297123493"/>
      <w:bookmarkStart w:id="112" w:name="_Toc296503160"/>
      <w:bookmarkStart w:id="113" w:name="_Toc297120460"/>
      <w:bookmarkStart w:id="114" w:name="_Toc296890988"/>
      <w:bookmarkStart w:id="115" w:name="_Toc304295524"/>
      <w:bookmarkStart w:id="116" w:name="_Toc303539103"/>
      <w:bookmarkStart w:id="117" w:name="_Toc296346661"/>
      <w:bookmarkStart w:id="118" w:name="_Toc312677989"/>
      <w:bookmarkStart w:id="119" w:name="_Toc318581158"/>
      <w:r>
        <w:rPr>
          <w:rFonts w:hint="eastAsia" w:ascii="宋体" w:hAnsi="宋体" w:cs="宋体"/>
          <w:color w:val="auto"/>
          <w:highlight w:val="none"/>
        </w:rPr>
        <w:t>.5.1 分包的一般约定</w:t>
      </w:r>
    </w:p>
    <w:p>
      <w:pPr>
        <w:pStyle w:val="10"/>
        <w:spacing w:line="440" w:lineRule="exact"/>
        <w:rPr>
          <w:rFonts w:hint="eastAsia" w:ascii="宋体" w:hAnsi="宋体" w:cs="宋体"/>
          <w:color w:val="auto"/>
          <w:highlight w:val="none"/>
        </w:rPr>
      </w:pPr>
      <w:r>
        <w:rPr>
          <w:rFonts w:hint="eastAsia" w:ascii="宋体" w:hAnsi="宋体" w:cs="宋体"/>
          <w:color w:val="auto"/>
          <w:highlight w:val="none"/>
        </w:rPr>
        <w:t>禁止分包的工程包括：</w:t>
      </w:r>
      <w:r>
        <w:rPr>
          <w:rFonts w:hint="eastAsia" w:ascii="宋体" w:hAnsi="宋体" w:cs="宋体"/>
          <w:color w:val="auto"/>
          <w:highlight w:val="none"/>
          <w:u w:val="single"/>
        </w:rPr>
        <w:t xml:space="preserve">  按国家规定及招标要求   </w:t>
      </w:r>
      <w:r>
        <w:rPr>
          <w:rFonts w:hint="eastAsia" w:ascii="宋体" w:hAnsi="宋体" w:cs="宋体"/>
          <w:color w:val="auto"/>
          <w:highlight w:val="none"/>
        </w:rPr>
        <w:t>。</w:t>
      </w:r>
    </w:p>
    <w:p>
      <w:pPr>
        <w:pStyle w:val="10"/>
        <w:spacing w:line="440" w:lineRule="exact"/>
        <w:rPr>
          <w:rFonts w:hint="eastAsia" w:ascii="宋体" w:hAnsi="宋体" w:cs="宋体"/>
          <w:color w:val="auto"/>
          <w:highlight w:val="none"/>
          <w:u w:val="single"/>
        </w:rPr>
      </w:pPr>
      <w:r>
        <w:rPr>
          <w:rFonts w:hint="eastAsia" w:ascii="宋体" w:hAnsi="宋体" w:cs="宋体"/>
          <w:color w:val="auto"/>
          <w:highlight w:val="none"/>
        </w:rPr>
        <w:t>主体结构、关键性工作的范围：</w:t>
      </w:r>
      <w:r>
        <w:rPr>
          <w:rFonts w:hint="eastAsia" w:ascii="宋体" w:hAnsi="宋体" w:cs="宋体"/>
          <w:color w:val="auto"/>
          <w:highlight w:val="none"/>
          <w:u w:val="single"/>
        </w:rPr>
        <w:t xml:space="preserve">  不允许分包　</w:t>
      </w:r>
      <w:r>
        <w:rPr>
          <w:rFonts w:hint="eastAsia" w:ascii="宋体" w:hAnsi="宋体" w:cs="宋体"/>
          <w:color w:val="auto"/>
          <w:highlight w:val="none"/>
        </w:rPr>
        <w:t>。</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Start w:id="120" w:name="_Toc296346662"/>
      <w:bookmarkStart w:id="121" w:name="_Toc296891201"/>
      <w:bookmarkStart w:id="122" w:name="_Toc296890989"/>
      <w:bookmarkStart w:id="123" w:name="_Toc300934947"/>
      <w:bookmarkStart w:id="124" w:name="_Toc297123494"/>
      <w:bookmarkStart w:id="125" w:name="_Toc296944500"/>
      <w:bookmarkStart w:id="126" w:name="_Toc304295525"/>
      <w:bookmarkStart w:id="127" w:name="_Toc297048347"/>
      <w:bookmarkStart w:id="128" w:name="_Toc296503161"/>
      <w:bookmarkStart w:id="129" w:name="_Toc297120461"/>
      <w:bookmarkStart w:id="130" w:name="_Toc296347160"/>
      <w:bookmarkStart w:id="131" w:name="_Toc303539104"/>
      <w:bookmarkStart w:id="132" w:name="_Toc297216153"/>
    </w:p>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Pr>
        <w:pStyle w:val="9"/>
        <w:spacing w:before="0" w:after="0" w:line="440" w:lineRule="exact"/>
        <w:rPr>
          <w:rFonts w:hint="eastAsia" w:ascii="宋体" w:cs="宋体"/>
          <w:color w:val="auto"/>
          <w:highlight w:val="none"/>
        </w:rPr>
      </w:pPr>
      <w:bookmarkStart w:id="133" w:name="_Toc454283113"/>
      <w:bookmarkStart w:id="134" w:name="_Toc417904286"/>
      <w:r>
        <w:rPr>
          <w:rFonts w:hint="eastAsia" w:ascii="宋体" w:cs="宋体"/>
          <w:color w:val="auto"/>
          <w:highlight w:val="none"/>
        </w:rPr>
        <w:t>3.6 工程照管与成品、半成品保护</w:t>
      </w:r>
      <w:bookmarkEnd w:id="133"/>
      <w:bookmarkEnd w:id="134"/>
    </w:p>
    <w:p>
      <w:pPr>
        <w:pStyle w:val="10"/>
        <w:spacing w:line="440" w:lineRule="exact"/>
        <w:rPr>
          <w:rFonts w:hint="eastAsia" w:ascii="宋体" w:hAnsi="宋体" w:cs="宋体"/>
          <w:color w:val="auto"/>
          <w:highlight w:val="none"/>
          <w:u w:val="single"/>
        </w:rPr>
      </w:pPr>
      <w:r>
        <w:rPr>
          <w:rFonts w:hint="eastAsia" w:ascii="宋体" w:hAnsi="宋体" w:cs="宋体"/>
          <w:color w:val="auto"/>
          <w:highlight w:val="none"/>
        </w:rPr>
        <w:t>承包人负责照管工程及工程相关的材料、工程设备的时间：发包人移交施工现场至</w:t>
      </w:r>
      <w:r>
        <w:rPr>
          <w:rFonts w:hint="eastAsia" w:ascii="宋体" w:hAnsi="宋体" w:cs="宋体"/>
          <w:color w:val="auto"/>
          <w:highlight w:val="none"/>
          <w:u w:val="single"/>
        </w:rPr>
        <w:t xml:space="preserve"> 验收交付发包人使用前　 </w:t>
      </w:r>
      <w:r>
        <w:rPr>
          <w:rFonts w:hint="eastAsia" w:ascii="宋体" w:hAnsi="宋体" w:cs="宋体"/>
          <w:color w:val="auto"/>
          <w:highlight w:val="none"/>
        </w:rPr>
        <w:t>。</w:t>
      </w:r>
    </w:p>
    <w:p>
      <w:pPr>
        <w:pStyle w:val="9"/>
        <w:spacing w:before="0" w:after="0" w:line="440" w:lineRule="exact"/>
        <w:rPr>
          <w:rFonts w:hint="eastAsia" w:ascii="宋体" w:cs="宋体"/>
          <w:color w:val="auto"/>
          <w:highlight w:val="none"/>
        </w:rPr>
      </w:pPr>
      <w:bookmarkStart w:id="135" w:name="_Toc417904287"/>
      <w:bookmarkStart w:id="136" w:name="_Toc454283114"/>
      <w:r>
        <w:rPr>
          <w:rFonts w:hint="eastAsia" w:ascii="宋体" w:cs="宋体"/>
          <w:color w:val="auto"/>
          <w:highlight w:val="none"/>
        </w:rPr>
        <w:t>3.7 履约保证金</w:t>
      </w:r>
      <w:bookmarkEnd w:id="135"/>
      <w:bookmarkEnd w:id="136"/>
    </w:p>
    <w:p>
      <w:pPr>
        <w:pStyle w:val="10"/>
        <w:spacing w:line="440" w:lineRule="exact"/>
        <w:rPr>
          <w:rFonts w:hint="eastAsia" w:ascii="宋体" w:hAnsi="宋体" w:cs="宋体"/>
          <w:color w:val="auto"/>
          <w:highlight w:val="none"/>
        </w:rPr>
      </w:pPr>
      <w:r>
        <w:rPr>
          <w:rFonts w:hint="eastAsia" w:ascii="宋体" w:hAnsi="宋体" w:cs="宋体"/>
          <w:color w:val="auto"/>
          <w:highlight w:val="none"/>
        </w:rPr>
        <w:t>承包人是否提供履约保证金：</w:t>
      </w:r>
      <w:r>
        <w:rPr>
          <w:rFonts w:hint="eastAsia" w:ascii="宋体" w:hAnsi="宋体" w:cs="宋体"/>
          <w:color w:val="auto"/>
          <w:highlight w:val="none"/>
          <w:u w:val="single"/>
        </w:rPr>
        <w:t xml:space="preserve">   提交 　</w:t>
      </w:r>
      <w:r>
        <w:rPr>
          <w:rFonts w:hint="eastAsia" w:ascii="宋体" w:hAnsi="宋体" w:cs="宋体"/>
          <w:color w:val="auto"/>
          <w:highlight w:val="none"/>
        </w:rPr>
        <w:t>。</w:t>
      </w:r>
    </w:p>
    <w:p>
      <w:pPr>
        <w:spacing w:line="440" w:lineRule="exact"/>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承包人提供履约保证金的形式、金额及期限的：</w:t>
      </w:r>
      <w:r>
        <w:rPr>
          <w:rFonts w:hint="eastAsia" w:ascii="宋体" w:hAnsi="宋体" w:cs="宋体"/>
          <w:color w:val="auto"/>
          <w:sz w:val="21"/>
          <w:szCs w:val="21"/>
          <w:highlight w:val="none"/>
          <w:u w:val="single"/>
        </w:rPr>
        <w:t>承包人在收到中标通知书后，须在30日内向发包人提交合同价款扣除社会保险费、发包人材料价款、暂估专业工程、暂列金额后的5 %履约担保（可以采用现金、银行保函、工程担保或保证保险等形式）。履约担保的有效期应当自本合同生效之日起至发包人签认并由监理人向承包人出具（竣工证明材料名称）之日止。如果承包人无法获得一份不带具体截止日期的担保，履约担保中应当有“变更工程竣工日期的，保证期间按照变更后的竣工日期做相应调整”或类似约定的条款。</w:t>
      </w:r>
      <w:r>
        <w:rPr>
          <w:rFonts w:hint="eastAsia" w:ascii="宋体" w:hAnsi="宋体" w:cs="宋体"/>
          <w:color w:val="auto"/>
          <w:sz w:val="21"/>
          <w:szCs w:val="21"/>
          <w:highlight w:val="none"/>
          <w:u w:val="single"/>
        </w:rPr>
        <w:t xml:space="preserve">      </w:t>
      </w:r>
    </w:p>
    <w:p>
      <w:pPr>
        <w:spacing w:line="44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承包人在中标后7个工作日内，按桂劳社发[2009]50号文件规定将农民工工资保障金存入帐户。工程竣工验收结算经审定后，按照规定程序，将农民工工资保障金没有使用或剩余的金额退还给承包人。</w:t>
      </w:r>
    </w:p>
    <w:p>
      <w:pPr>
        <w:pStyle w:val="9"/>
        <w:spacing w:before="0" w:after="0" w:line="440" w:lineRule="exact"/>
        <w:rPr>
          <w:rFonts w:hint="eastAsia" w:ascii="宋体" w:cs="宋体"/>
          <w:color w:val="auto"/>
          <w:highlight w:val="none"/>
        </w:rPr>
      </w:pPr>
      <w:bookmarkStart w:id="137" w:name="_Toc417904288"/>
      <w:bookmarkStart w:id="138" w:name="_Toc454283115"/>
      <w:bookmarkStart w:id="139" w:name="_Toc351203636"/>
      <w:r>
        <w:rPr>
          <w:rFonts w:hint="eastAsia" w:ascii="宋体" w:cs="宋体"/>
          <w:color w:val="auto"/>
          <w:highlight w:val="none"/>
        </w:rPr>
        <w:t>4</w:t>
      </w:r>
      <w:bookmarkStart w:id="140" w:name="_Toc297048348"/>
      <w:bookmarkStart w:id="141" w:name="_Toc296944501"/>
      <w:bookmarkStart w:id="142" w:name="_Toc297120462"/>
      <w:bookmarkStart w:id="143" w:name="_Toc296890990"/>
      <w:bookmarkStart w:id="144" w:name="_Toc296346663"/>
      <w:bookmarkStart w:id="145" w:name="_Toc296891202"/>
      <w:bookmarkStart w:id="146" w:name="_Toc296503162"/>
      <w:bookmarkStart w:id="147" w:name="_Toc267251413"/>
      <w:bookmarkStart w:id="148" w:name="_Toc292559871"/>
      <w:bookmarkStart w:id="149" w:name="_Toc292559366"/>
      <w:bookmarkStart w:id="150" w:name="_Toc296347161"/>
      <w:r>
        <w:rPr>
          <w:rFonts w:hint="eastAsia" w:ascii="宋体" w:cs="宋体"/>
          <w:color w:val="auto"/>
          <w:highlight w:val="none"/>
        </w:rPr>
        <w:t>. 监</w:t>
      </w:r>
      <w:bookmarkEnd w:id="140"/>
      <w:bookmarkEnd w:id="141"/>
      <w:bookmarkEnd w:id="142"/>
      <w:bookmarkEnd w:id="143"/>
      <w:bookmarkEnd w:id="144"/>
      <w:bookmarkEnd w:id="145"/>
      <w:bookmarkEnd w:id="146"/>
      <w:bookmarkEnd w:id="147"/>
      <w:bookmarkEnd w:id="148"/>
      <w:bookmarkEnd w:id="149"/>
      <w:bookmarkEnd w:id="150"/>
      <w:r>
        <w:rPr>
          <w:rFonts w:hint="eastAsia" w:ascii="宋体" w:cs="宋体"/>
          <w:color w:val="auto"/>
          <w:highlight w:val="none"/>
        </w:rPr>
        <w:t>理人</w:t>
      </w:r>
      <w:bookmarkEnd w:id="137"/>
      <w:bookmarkEnd w:id="138"/>
      <w:bookmarkEnd w:id="139"/>
    </w:p>
    <w:p>
      <w:pPr>
        <w:pStyle w:val="9"/>
        <w:spacing w:before="0" w:after="0" w:line="440" w:lineRule="exact"/>
        <w:rPr>
          <w:rFonts w:hint="eastAsia" w:ascii="宋体" w:cs="宋体"/>
          <w:color w:val="auto"/>
          <w:highlight w:val="none"/>
        </w:rPr>
      </w:pPr>
      <w:bookmarkStart w:id="151" w:name="_Toc417904289"/>
      <w:bookmarkStart w:id="152" w:name="_Toc454283116"/>
      <w:r>
        <w:rPr>
          <w:rFonts w:hint="eastAsia" w:ascii="宋体" w:cs="宋体"/>
          <w:color w:val="auto"/>
          <w:highlight w:val="none"/>
        </w:rPr>
        <w:t>4.1监理人的一般规定</w:t>
      </w:r>
      <w:bookmarkEnd w:id="151"/>
      <w:bookmarkEnd w:id="152"/>
    </w:p>
    <w:p>
      <w:pPr>
        <w:pStyle w:val="10"/>
        <w:spacing w:line="440" w:lineRule="exact"/>
        <w:rPr>
          <w:rFonts w:hint="eastAsia" w:ascii="宋体" w:hAnsi="宋体" w:cs="宋体"/>
          <w:color w:val="auto"/>
          <w:highlight w:val="none"/>
        </w:rPr>
      </w:pPr>
      <w:r>
        <w:rPr>
          <w:rFonts w:hint="eastAsia" w:ascii="宋体" w:hAnsi="宋体" w:cs="宋体"/>
          <w:color w:val="auto"/>
          <w:highlight w:val="none"/>
        </w:rPr>
        <w:t>关于监理人的监理内容：</w:t>
      </w:r>
      <w:r>
        <w:rPr>
          <w:rFonts w:hint="eastAsia" w:ascii="宋体" w:hAnsi="宋体" w:cs="宋体"/>
          <w:color w:val="auto"/>
          <w:highlight w:val="none"/>
          <w:u w:val="single"/>
        </w:rPr>
        <w:t xml:space="preserve">  中标后填写</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pPr>
        <w:pStyle w:val="10"/>
        <w:spacing w:line="440" w:lineRule="exact"/>
        <w:rPr>
          <w:rFonts w:hint="eastAsia" w:ascii="宋体" w:hAnsi="宋体" w:cs="宋体"/>
          <w:color w:val="auto"/>
          <w:highlight w:val="none"/>
        </w:rPr>
      </w:pPr>
      <w:r>
        <w:rPr>
          <w:rFonts w:hint="eastAsia" w:ascii="宋体" w:hAnsi="宋体" w:cs="宋体"/>
          <w:color w:val="auto"/>
          <w:highlight w:val="none"/>
        </w:rPr>
        <w:t>关于监理人的监理权限：</w:t>
      </w:r>
      <w:r>
        <w:rPr>
          <w:rFonts w:hint="eastAsia" w:ascii="宋体" w:hAnsi="宋体" w:cs="宋体"/>
          <w:color w:val="auto"/>
          <w:highlight w:val="none"/>
          <w:u w:val="single"/>
        </w:rPr>
        <w:t xml:space="preserve">  中标后填写   </w:t>
      </w:r>
      <w:r>
        <w:rPr>
          <w:rFonts w:hint="eastAsia" w:ascii="宋体" w:hAnsi="宋体" w:cs="宋体"/>
          <w:color w:val="auto"/>
          <w:highlight w:val="none"/>
        </w:rPr>
        <w:t xml:space="preserve">。 </w:t>
      </w:r>
    </w:p>
    <w:p>
      <w:pPr>
        <w:pStyle w:val="10"/>
        <w:spacing w:line="440" w:lineRule="exact"/>
        <w:ind w:firstLine="0" w:firstLineChars="0"/>
        <w:rPr>
          <w:rFonts w:hint="eastAsia" w:ascii="宋体" w:hAnsi="宋体" w:cs="宋体"/>
          <w:color w:val="auto"/>
          <w:highlight w:val="none"/>
        </w:rPr>
      </w:pPr>
      <w:r>
        <w:rPr>
          <w:rFonts w:hint="eastAsia" w:ascii="宋体" w:hAnsi="宋体" w:cs="宋体"/>
          <w:color w:val="auto"/>
          <w:highlight w:val="none"/>
        </w:rPr>
        <w:t>关于监理人在施工现场的办公场所、生活场所的提供和费用承担的约定：</w:t>
      </w:r>
      <w:r>
        <w:rPr>
          <w:rFonts w:hint="eastAsia" w:ascii="宋体" w:hAnsi="宋体" w:cs="宋体"/>
          <w:color w:val="auto"/>
          <w:highlight w:val="none"/>
          <w:u w:val="single"/>
        </w:rPr>
        <w:t xml:space="preserve">   发包人与监理人约定 </w:t>
      </w:r>
      <w:r>
        <w:rPr>
          <w:rFonts w:hint="eastAsia" w:ascii="宋体" w:hAnsi="宋体" w:cs="宋体"/>
          <w:color w:val="auto"/>
          <w:highlight w:val="none"/>
        </w:rPr>
        <w:t>。</w:t>
      </w:r>
    </w:p>
    <w:p>
      <w:pPr>
        <w:pStyle w:val="9"/>
        <w:spacing w:before="0" w:after="0" w:line="440" w:lineRule="exact"/>
        <w:rPr>
          <w:rFonts w:hint="eastAsia" w:ascii="宋体" w:cs="宋体"/>
          <w:color w:val="auto"/>
          <w:highlight w:val="none"/>
        </w:rPr>
      </w:pPr>
      <w:bookmarkStart w:id="153" w:name="_Toc454283117"/>
      <w:bookmarkStart w:id="154" w:name="_Toc417904290"/>
      <w:r>
        <w:rPr>
          <w:rFonts w:hint="eastAsia" w:ascii="宋体" w:cs="宋体"/>
          <w:color w:val="auto"/>
          <w:highlight w:val="none"/>
        </w:rPr>
        <w:t>4.2 监理人员</w:t>
      </w:r>
      <w:bookmarkEnd w:id="153"/>
      <w:bookmarkEnd w:id="154"/>
    </w:p>
    <w:p>
      <w:pPr>
        <w:pStyle w:val="10"/>
        <w:spacing w:line="440" w:lineRule="exact"/>
        <w:rPr>
          <w:rFonts w:hint="eastAsia" w:ascii="宋体" w:hAnsi="宋体" w:cs="宋体"/>
          <w:color w:val="auto"/>
          <w:highlight w:val="none"/>
        </w:rPr>
      </w:pPr>
      <w:r>
        <w:rPr>
          <w:rFonts w:hint="eastAsia" w:ascii="宋体" w:hAnsi="宋体" w:cs="宋体"/>
          <w:color w:val="auto"/>
          <w:highlight w:val="none"/>
        </w:rPr>
        <w:t>总监理工程师：</w:t>
      </w:r>
    </w:p>
    <w:p>
      <w:pPr>
        <w:pStyle w:val="10"/>
        <w:spacing w:line="440" w:lineRule="exact"/>
        <w:rPr>
          <w:rFonts w:hint="eastAsia"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中标后填写       </w:t>
      </w:r>
      <w:r>
        <w:rPr>
          <w:rFonts w:hint="eastAsia" w:ascii="宋体" w:hAnsi="宋体" w:cs="宋体"/>
          <w:color w:val="auto"/>
          <w:highlight w:val="none"/>
        </w:rPr>
        <w:t>；</w:t>
      </w:r>
    </w:p>
    <w:p>
      <w:pPr>
        <w:pStyle w:val="10"/>
        <w:spacing w:line="440" w:lineRule="exact"/>
        <w:rPr>
          <w:rFonts w:hint="eastAsia" w:ascii="宋体" w:hAnsi="宋体" w:cs="宋体"/>
          <w:color w:val="auto"/>
          <w:highlight w:val="none"/>
        </w:rPr>
      </w:pPr>
      <w:r>
        <w:rPr>
          <w:rFonts w:hint="eastAsia" w:ascii="宋体" w:hAnsi="宋体" w:cs="宋体"/>
          <w:color w:val="auto"/>
          <w:highlight w:val="none"/>
        </w:rPr>
        <w:t>职    务：</w:t>
      </w:r>
      <w:r>
        <w:rPr>
          <w:rFonts w:hint="eastAsia" w:ascii="宋体" w:hAnsi="宋体" w:cs="宋体"/>
          <w:color w:val="auto"/>
          <w:highlight w:val="none"/>
          <w:u w:val="single"/>
        </w:rPr>
        <w:t>中标后填写 </w:t>
      </w:r>
      <w:r>
        <w:rPr>
          <w:rFonts w:hint="eastAsia" w:ascii="宋体" w:hAnsi="宋体" w:cs="宋体"/>
          <w:color w:val="auto"/>
          <w:highlight w:val="none"/>
        </w:rPr>
        <w:t>；</w:t>
      </w:r>
    </w:p>
    <w:p>
      <w:pPr>
        <w:pStyle w:val="10"/>
        <w:spacing w:line="440" w:lineRule="exact"/>
        <w:rPr>
          <w:rFonts w:hint="eastAsia" w:ascii="宋体" w:hAnsi="宋体" w:cs="宋体"/>
          <w:color w:val="auto"/>
          <w:highlight w:val="none"/>
        </w:rPr>
      </w:pPr>
      <w:r>
        <w:rPr>
          <w:rFonts w:hint="eastAsia" w:ascii="宋体" w:hAnsi="宋体" w:cs="宋体"/>
          <w:color w:val="auto"/>
          <w:highlight w:val="none"/>
        </w:rPr>
        <w:t>监理工程师执业资格证书号：</w:t>
      </w:r>
      <w:r>
        <w:rPr>
          <w:rFonts w:hint="eastAsia" w:ascii="宋体" w:hAnsi="宋体" w:cs="宋体"/>
          <w:color w:val="auto"/>
          <w:highlight w:val="none"/>
          <w:u w:val="single"/>
        </w:rPr>
        <w:t>中标后填写</w:t>
      </w:r>
      <w:r>
        <w:rPr>
          <w:rFonts w:hint="eastAsia" w:ascii="宋体" w:hAnsi="宋体" w:cs="宋体"/>
          <w:color w:val="auto"/>
          <w:highlight w:val="none"/>
        </w:rPr>
        <w:t>；</w:t>
      </w:r>
    </w:p>
    <w:p>
      <w:pPr>
        <w:pStyle w:val="10"/>
        <w:spacing w:line="440" w:lineRule="exact"/>
        <w:rPr>
          <w:rFonts w:hint="eastAsia"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中标后填写</w:t>
      </w:r>
      <w:r>
        <w:rPr>
          <w:rFonts w:hint="eastAsia" w:ascii="宋体" w:hAnsi="宋体" w:cs="宋体"/>
          <w:color w:val="auto"/>
          <w:highlight w:val="none"/>
        </w:rPr>
        <w:t>；</w:t>
      </w:r>
    </w:p>
    <w:p>
      <w:pPr>
        <w:pStyle w:val="10"/>
        <w:spacing w:line="440" w:lineRule="exact"/>
        <w:rPr>
          <w:rFonts w:hint="eastAsia"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中标后填写</w:t>
      </w:r>
      <w:r>
        <w:rPr>
          <w:rFonts w:hint="eastAsia" w:ascii="宋体" w:hAnsi="宋体" w:cs="宋体"/>
          <w:color w:val="auto"/>
          <w:highlight w:val="none"/>
        </w:rPr>
        <w:t>；</w:t>
      </w:r>
    </w:p>
    <w:p>
      <w:pPr>
        <w:pStyle w:val="10"/>
        <w:spacing w:line="440" w:lineRule="exact"/>
        <w:rPr>
          <w:rFonts w:hint="eastAsia"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中标后填写</w:t>
      </w:r>
      <w:r>
        <w:rPr>
          <w:rFonts w:hint="eastAsia" w:ascii="宋体" w:hAnsi="宋体" w:cs="宋体"/>
          <w:color w:val="auto"/>
          <w:highlight w:val="none"/>
        </w:rPr>
        <w:t>；</w:t>
      </w:r>
    </w:p>
    <w:p>
      <w:pPr>
        <w:pStyle w:val="10"/>
        <w:spacing w:line="440" w:lineRule="exact"/>
        <w:rPr>
          <w:rFonts w:hint="eastAsia" w:ascii="宋体" w:hAnsi="宋体" w:cs="宋体"/>
          <w:color w:val="auto"/>
          <w:highlight w:val="none"/>
        </w:rPr>
      </w:pPr>
      <w:r>
        <w:rPr>
          <w:rFonts w:hint="eastAsia" w:ascii="宋体" w:hAnsi="宋体" w:cs="宋体"/>
          <w:color w:val="auto"/>
          <w:highlight w:val="none"/>
        </w:rPr>
        <w:t>关于监理人的其他约定：</w:t>
      </w:r>
      <w:r>
        <w:rPr>
          <w:rFonts w:hint="eastAsia" w:ascii="宋体" w:hAnsi="宋体" w:cs="宋体"/>
          <w:color w:val="auto"/>
          <w:highlight w:val="none"/>
          <w:u w:val="single"/>
        </w:rPr>
        <w:t>中标后填写</w:t>
      </w:r>
      <w:r>
        <w:rPr>
          <w:rFonts w:hint="eastAsia" w:ascii="宋体" w:hAnsi="宋体" w:cs="宋体"/>
          <w:color w:val="auto"/>
          <w:highlight w:val="none"/>
        </w:rPr>
        <w:t>。</w:t>
      </w:r>
    </w:p>
    <w:p>
      <w:pPr>
        <w:pStyle w:val="9"/>
        <w:spacing w:before="0" w:after="0" w:line="400" w:lineRule="exact"/>
        <w:rPr>
          <w:rFonts w:hint="eastAsia" w:ascii="宋体" w:cs="宋体"/>
          <w:color w:val="auto"/>
          <w:highlight w:val="none"/>
        </w:rPr>
      </w:pPr>
      <w:bookmarkStart w:id="155" w:name="_Toc454283118"/>
      <w:bookmarkStart w:id="156" w:name="_Toc417904291"/>
      <w:r>
        <w:rPr>
          <w:rFonts w:hint="eastAsia" w:ascii="宋体" w:cs="宋体"/>
          <w:color w:val="auto"/>
          <w:highlight w:val="none"/>
        </w:rPr>
        <w:t>4.4 商定或确定</w:t>
      </w:r>
      <w:bookmarkEnd w:id="155"/>
      <w:bookmarkEnd w:id="156"/>
    </w:p>
    <w:p>
      <w:pPr>
        <w:pStyle w:val="10"/>
        <w:spacing w:line="400" w:lineRule="exact"/>
        <w:rPr>
          <w:rFonts w:hint="eastAsia" w:ascii="宋体" w:hAnsi="宋体" w:cs="宋体"/>
          <w:color w:val="auto"/>
          <w:highlight w:val="none"/>
        </w:rPr>
      </w:pPr>
      <w:bookmarkStart w:id="157" w:name="_Toc267251418"/>
      <w:r>
        <w:rPr>
          <w:rFonts w:hint="eastAsia" w:ascii="宋体" w:hAnsi="宋体" w:cs="宋体"/>
          <w:color w:val="auto"/>
          <w:highlight w:val="none"/>
        </w:rPr>
        <w:t>在发包人和承包人不能通过协商达成一致意见时，发包人授权监理人对以下事项进行确定：</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u w:val="single"/>
        </w:rPr>
        <w:t xml:space="preserve">      中标后填写        </w:t>
      </w:r>
      <w:r>
        <w:rPr>
          <w:rFonts w:hint="eastAsia" w:ascii="宋体" w:hAnsi="宋体" w:cs="宋体"/>
          <w:color w:val="auto"/>
          <w:highlight w:val="none"/>
        </w:rPr>
        <w:t>；</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 xml:space="preserve">     中标后填写          </w:t>
      </w:r>
      <w:r>
        <w:rPr>
          <w:rFonts w:hint="eastAsia" w:ascii="宋体" w:hAnsi="宋体" w:cs="宋体"/>
          <w:color w:val="auto"/>
          <w:highlight w:val="none"/>
        </w:rPr>
        <w:t>；</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u w:val="single"/>
        </w:rPr>
        <w:t xml:space="preserve">      中标后填写     </w:t>
      </w:r>
      <w:r>
        <w:rPr>
          <w:rFonts w:hint="eastAsia" w:ascii="宋体" w:hAnsi="宋体" w:cs="宋体"/>
          <w:color w:val="auto"/>
          <w:highlight w:val="none"/>
        </w:rPr>
        <w:t>。</w:t>
      </w:r>
    </w:p>
    <w:p>
      <w:pPr>
        <w:pStyle w:val="9"/>
        <w:spacing w:before="0" w:after="0" w:line="400" w:lineRule="exact"/>
        <w:rPr>
          <w:rFonts w:hint="eastAsia" w:ascii="宋体" w:cs="宋体"/>
          <w:color w:val="auto"/>
          <w:highlight w:val="none"/>
        </w:rPr>
      </w:pPr>
      <w:bookmarkStart w:id="158" w:name="_Toc454283119"/>
      <w:bookmarkStart w:id="159" w:name="_Toc417904292"/>
      <w:bookmarkStart w:id="160" w:name="_Toc351203637"/>
      <w:r>
        <w:rPr>
          <w:rFonts w:hint="eastAsia" w:ascii="宋体" w:cs="宋体"/>
          <w:color w:val="auto"/>
          <w:highlight w:val="none"/>
        </w:rPr>
        <w:t>5</w:t>
      </w:r>
      <w:bookmarkEnd w:id="157"/>
      <w:bookmarkStart w:id="161" w:name="_Toc297120463"/>
      <w:bookmarkStart w:id="162" w:name="_Toc292559367"/>
      <w:bookmarkStart w:id="163" w:name="_Toc296503163"/>
      <w:bookmarkStart w:id="164" w:name="_Toc292559872"/>
      <w:bookmarkStart w:id="165" w:name="_Toc296890991"/>
      <w:bookmarkStart w:id="166" w:name="_Toc296891203"/>
      <w:bookmarkStart w:id="167" w:name="_Toc297048349"/>
      <w:bookmarkStart w:id="168" w:name="_Toc296944502"/>
      <w:bookmarkStart w:id="169" w:name="_Toc296346664"/>
      <w:bookmarkStart w:id="170" w:name="_Toc296347162"/>
      <w:r>
        <w:rPr>
          <w:rFonts w:hint="eastAsia" w:ascii="宋体" w:cs="宋体"/>
          <w:color w:val="auto"/>
          <w:highlight w:val="none"/>
        </w:rPr>
        <w:t>. 工程质量</w:t>
      </w:r>
      <w:bookmarkEnd w:id="158"/>
      <w:bookmarkEnd w:id="159"/>
      <w:bookmarkEnd w:id="160"/>
    </w:p>
    <w:p>
      <w:pPr>
        <w:pStyle w:val="9"/>
        <w:spacing w:before="0" w:after="0" w:line="400" w:lineRule="exact"/>
        <w:rPr>
          <w:rFonts w:hint="eastAsia" w:ascii="宋体" w:cs="宋体"/>
          <w:color w:val="auto"/>
          <w:highlight w:val="none"/>
        </w:rPr>
      </w:pPr>
      <w:bookmarkStart w:id="171" w:name="_Toc417904293"/>
      <w:bookmarkStart w:id="172" w:name="_Toc454283120"/>
      <w:r>
        <w:rPr>
          <w:rFonts w:hint="eastAsia" w:ascii="宋体" w:cs="宋体"/>
          <w:color w:val="auto"/>
          <w:highlight w:val="none"/>
        </w:rPr>
        <w:t>5.1 质量要求</w:t>
      </w:r>
      <w:bookmarkEnd w:id="171"/>
      <w:bookmarkEnd w:id="172"/>
    </w:p>
    <w:p>
      <w:pPr>
        <w:pStyle w:val="10"/>
        <w:spacing w:line="400" w:lineRule="exact"/>
        <w:rPr>
          <w:rFonts w:hint="eastAsia" w:ascii="宋体" w:hAnsi="宋体" w:cs="宋体"/>
          <w:color w:val="auto"/>
          <w:highlight w:val="none"/>
        </w:rPr>
      </w:pPr>
      <w:r>
        <w:rPr>
          <w:rFonts w:hint="eastAsia" w:ascii="宋体" w:hAnsi="宋体" w:cs="宋体"/>
          <w:color w:val="auto"/>
          <w:highlight w:val="none"/>
        </w:rPr>
        <w:t>5</w:t>
      </w:r>
      <w:bookmarkStart w:id="173" w:name="_Toc318581164"/>
      <w:bookmarkStart w:id="174" w:name="_Toc297216155"/>
      <w:bookmarkStart w:id="175" w:name="_Toc297123496"/>
      <w:bookmarkStart w:id="176" w:name="_Toc303539106"/>
      <w:bookmarkStart w:id="177" w:name="_Toc300934949"/>
      <w:bookmarkStart w:id="178" w:name="_Toc312677997"/>
      <w:bookmarkStart w:id="179" w:name="_Toc304295527"/>
      <w:r>
        <w:rPr>
          <w:rFonts w:hint="eastAsia" w:ascii="宋体" w:hAnsi="宋体" w:cs="宋体"/>
          <w:color w:val="auto"/>
          <w:highlight w:val="none"/>
        </w:rPr>
        <w:t>.1.1 特殊质量标准和要求：</w:t>
      </w:r>
      <w:r>
        <w:rPr>
          <w:rFonts w:hint="eastAsia" w:ascii="宋体" w:hAnsi="宋体" w:cs="宋体"/>
          <w:color w:val="auto"/>
          <w:highlight w:val="none"/>
          <w:u w:val="single"/>
        </w:rPr>
        <w:t xml:space="preserve">   按国家规定   </w:t>
      </w:r>
      <w:r>
        <w:rPr>
          <w:rFonts w:hint="eastAsia" w:ascii="宋体" w:hAnsi="宋体" w:cs="宋体"/>
          <w:color w:val="auto"/>
          <w:highlight w:val="none"/>
        </w:rPr>
        <w:t>。</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关于工程奖项的约定：</w:t>
      </w:r>
      <w:r>
        <w:rPr>
          <w:rFonts w:hint="eastAsia" w:ascii="宋体" w:hAnsi="宋体" w:cs="宋体"/>
          <w:color w:val="auto"/>
          <w:highlight w:val="none"/>
          <w:u w:val="single"/>
        </w:rPr>
        <w:t xml:space="preserve">   无   </w:t>
      </w:r>
      <w:r>
        <w:rPr>
          <w:rFonts w:hint="eastAsia" w:ascii="宋体" w:hAnsi="宋体" w:cs="宋体"/>
          <w:color w:val="auto"/>
          <w:highlight w:val="none"/>
        </w:rPr>
        <w:t>。</w:t>
      </w:r>
    </w:p>
    <w:p>
      <w:pPr>
        <w:pStyle w:val="10"/>
        <w:spacing w:line="400" w:lineRule="exact"/>
        <w:rPr>
          <w:rFonts w:hint="eastAsia" w:ascii="宋体" w:eastAsia="宋体" w:cs="宋体"/>
          <w:color w:val="auto"/>
          <w:highlight w:val="none"/>
          <w:lang w:eastAsia="zh-CN"/>
        </w:rPr>
      </w:pPr>
      <w:bookmarkStart w:id="180" w:name="_Toc454283121"/>
      <w:bookmarkStart w:id="181" w:name="_Toc417904294"/>
      <w:r>
        <w:rPr>
          <w:rFonts w:hint="eastAsia" w:ascii="宋体" w:hAnsi="宋体" w:cs="宋体"/>
          <w:color w:val="auto"/>
          <w:highlight w:val="none"/>
          <w:lang w:val="en-US" w:eastAsia="zh-CN"/>
        </w:rPr>
        <w:t>5.1.2</w:t>
      </w:r>
      <w:r>
        <w:rPr>
          <w:rFonts w:ascii="宋体" w:hAnsi="宋体" w:cs="宋体"/>
          <w:color w:val="auto"/>
          <w:highlight w:val="none"/>
        </w:rPr>
        <w:t>对</w:t>
      </w:r>
      <w:r>
        <w:rPr>
          <w:rFonts w:hint="eastAsia" w:ascii="宋体" w:hAnsi="宋体" w:cs="宋体"/>
          <w:color w:val="auto"/>
          <w:highlight w:val="none"/>
        </w:rPr>
        <w:t>已验收合格工程经发包单位抽查后仍存在重大安全质量隐患，则每发生一次，承包人应支付违约金1000～2000元</w:t>
      </w:r>
      <w:r>
        <w:rPr>
          <w:rFonts w:hint="eastAsia" w:ascii="宋体" w:hAnsi="宋体" w:cs="宋体"/>
          <w:color w:val="auto"/>
          <w:highlight w:val="none"/>
          <w:lang w:eastAsia="zh-CN"/>
        </w:rPr>
        <w:t>。</w:t>
      </w:r>
    </w:p>
    <w:p>
      <w:pPr>
        <w:pStyle w:val="9"/>
        <w:spacing w:before="0" w:after="0" w:line="400" w:lineRule="exact"/>
        <w:rPr>
          <w:rFonts w:hint="eastAsia" w:ascii="宋体" w:cs="宋体"/>
          <w:color w:val="auto"/>
          <w:highlight w:val="none"/>
        </w:rPr>
      </w:pPr>
      <w:r>
        <w:rPr>
          <w:rFonts w:hint="eastAsia" w:ascii="宋体" w:cs="宋体"/>
          <w:color w:val="auto"/>
          <w:highlight w:val="none"/>
        </w:rPr>
        <w:t>5.3 隐蔽工程检查</w:t>
      </w:r>
      <w:bookmarkEnd w:id="180"/>
      <w:bookmarkEnd w:id="181"/>
    </w:p>
    <w:p>
      <w:pPr>
        <w:pStyle w:val="10"/>
        <w:spacing w:line="400" w:lineRule="exact"/>
        <w:rPr>
          <w:rFonts w:hint="eastAsia" w:ascii="宋体" w:hAnsi="宋体" w:cs="宋体"/>
          <w:color w:val="auto"/>
          <w:highlight w:val="none"/>
        </w:rPr>
      </w:pPr>
      <w:r>
        <w:rPr>
          <w:rFonts w:hint="eastAsia" w:ascii="宋体" w:hAnsi="宋体" w:cs="宋体"/>
          <w:color w:val="auto"/>
          <w:highlight w:val="none"/>
        </w:rPr>
        <w:t>5.3.2承包人提前通知监理人隐蔽工程检查的期限的约定：</w:t>
      </w:r>
      <w:r>
        <w:rPr>
          <w:rFonts w:hint="eastAsia" w:ascii="宋体" w:hAnsi="宋体" w:cs="宋体"/>
          <w:color w:val="auto"/>
          <w:highlight w:val="none"/>
          <w:u w:val="single"/>
        </w:rPr>
        <w:t xml:space="preserve">　提前7天   </w:t>
      </w:r>
      <w:r>
        <w:rPr>
          <w:rFonts w:hint="eastAsia" w:ascii="宋体" w:hAnsi="宋体" w:cs="宋体"/>
          <w:color w:val="auto"/>
          <w:highlight w:val="none"/>
        </w:rPr>
        <w:t>。</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监理人不能按时进行检查时，应提前</w:t>
      </w:r>
      <w:r>
        <w:rPr>
          <w:rFonts w:hint="eastAsia" w:ascii="宋体" w:hAnsi="宋体" w:cs="宋体"/>
          <w:color w:val="auto"/>
          <w:highlight w:val="none"/>
          <w:u w:val="single"/>
        </w:rPr>
        <w:t xml:space="preserve">  24  </w:t>
      </w:r>
      <w:r>
        <w:rPr>
          <w:rFonts w:hint="eastAsia" w:ascii="宋体" w:hAnsi="宋体" w:cs="宋体"/>
          <w:color w:val="auto"/>
          <w:highlight w:val="none"/>
        </w:rPr>
        <w:t>小时提交书面延期要求。</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关于延期最长不得超过：</w:t>
      </w:r>
      <w:r>
        <w:rPr>
          <w:rFonts w:hint="eastAsia" w:ascii="宋体" w:hAnsi="宋体" w:cs="宋体"/>
          <w:color w:val="auto"/>
          <w:highlight w:val="none"/>
          <w:u w:val="single"/>
        </w:rPr>
        <w:t xml:space="preserve">  48  </w:t>
      </w:r>
      <w:r>
        <w:rPr>
          <w:rFonts w:hint="eastAsia" w:ascii="宋体" w:hAnsi="宋体" w:cs="宋体"/>
          <w:color w:val="auto"/>
          <w:highlight w:val="none"/>
        </w:rPr>
        <w:t>小时。</w:t>
      </w:r>
    </w:p>
    <w:p>
      <w:pPr>
        <w:pStyle w:val="9"/>
        <w:spacing w:before="0" w:after="0" w:line="400" w:lineRule="exact"/>
        <w:rPr>
          <w:rFonts w:hint="eastAsia" w:ascii="宋体" w:cs="宋体"/>
          <w:color w:val="auto"/>
          <w:highlight w:val="none"/>
        </w:rPr>
      </w:pPr>
      <w:bookmarkStart w:id="182" w:name="_Toc351203638"/>
      <w:bookmarkStart w:id="183" w:name="_Toc454283122"/>
      <w:bookmarkStart w:id="184" w:name="_Toc417904295"/>
      <w:r>
        <w:rPr>
          <w:rFonts w:hint="eastAsia" w:ascii="宋体" w:cs="宋体"/>
          <w:color w:val="auto"/>
          <w:highlight w:val="none"/>
        </w:rPr>
        <w:t>6. 安全文明施工与环境保护</w:t>
      </w:r>
      <w:bookmarkEnd w:id="182"/>
      <w:bookmarkEnd w:id="183"/>
      <w:bookmarkEnd w:id="184"/>
    </w:p>
    <w:p>
      <w:pPr>
        <w:pStyle w:val="9"/>
        <w:spacing w:before="0" w:after="0" w:line="400" w:lineRule="exact"/>
        <w:rPr>
          <w:rFonts w:hint="eastAsia" w:ascii="宋体" w:cs="宋体"/>
          <w:color w:val="auto"/>
          <w:highlight w:val="none"/>
        </w:rPr>
      </w:pPr>
      <w:bookmarkStart w:id="185" w:name="_Toc417904296"/>
      <w:bookmarkStart w:id="186" w:name="_Toc454283123"/>
      <w:r>
        <w:rPr>
          <w:rFonts w:hint="eastAsia" w:ascii="宋体" w:cs="宋体"/>
          <w:color w:val="auto"/>
          <w:highlight w:val="none"/>
        </w:rPr>
        <w:t>6.1安全文明施工</w:t>
      </w:r>
      <w:bookmarkEnd w:id="185"/>
      <w:bookmarkEnd w:id="186"/>
    </w:p>
    <w:p>
      <w:pPr>
        <w:pStyle w:val="10"/>
        <w:spacing w:line="400" w:lineRule="exact"/>
        <w:rPr>
          <w:rFonts w:hint="eastAsia" w:ascii="宋体" w:hAnsi="宋体" w:cs="宋体"/>
          <w:color w:val="auto"/>
          <w:highlight w:val="none"/>
        </w:rPr>
      </w:pPr>
      <w:r>
        <w:rPr>
          <w:rFonts w:hint="eastAsia" w:ascii="宋体" w:hAnsi="宋体" w:cs="宋体"/>
          <w:color w:val="auto"/>
          <w:highlight w:val="none"/>
        </w:rPr>
        <w:t>6.1.1 项目安全生产的达标目标及相应事项的约定：</w:t>
      </w:r>
      <w:r>
        <w:rPr>
          <w:rFonts w:hint="eastAsia" w:ascii="宋体" w:hAnsi="宋体" w:cs="宋体"/>
          <w:color w:val="auto"/>
          <w:highlight w:val="none"/>
          <w:u w:val="single"/>
        </w:rPr>
        <w:t xml:space="preserve">   按国家规定   </w:t>
      </w:r>
      <w:r>
        <w:rPr>
          <w:rFonts w:hint="eastAsia" w:ascii="宋体" w:hAnsi="宋体" w:cs="宋体"/>
          <w:color w:val="auto"/>
          <w:highlight w:val="none"/>
        </w:rPr>
        <w:t>。</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6.1.4关于治安保卫的特别约定：</w:t>
      </w:r>
      <w:r>
        <w:rPr>
          <w:rFonts w:hint="eastAsia" w:ascii="宋体" w:hAnsi="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关于编制施工场地治安管理计划的约定：</w:t>
      </w:r>
      <w:r>
        <w:rPr>
          <w:rFonts w:hint="eastAsia" w:ascii="宋体" w:hAnsi="宋体" w:cs="宋体"/>
          <w:color w:val="auto"/>
          <w:highlight w:val="none"/>
          <w:u w:val="single"/>
        </w:rPr>
        <w:t xml:space="preserve">   合同签订后7天内      </w:t>
      </w:r>
      <w:r>
        <w:rPr>
          <w:rFonts w:hint="eastAsia" w:ascii="宋体" w:hAnsi="宋体" w:cs="宋体"/>
          <w:color w:val="auto"/>
          <w:highlight w:val="none"/>
        </w:rPr>
        <w:t>。</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6.1.5 文明施工</w:t>
      </w:r>
    </w:p>
    <w:p>
      <w:pPr>
        <w:spacing w:line="40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合同当事人对文明施工的要求：</w:t>
      </w:r>
      <w:r>
        <w:rPr>
          <w:rFonts w:hint="eastAsia" w:ascii="宋体" w:hAnsi="宋体" w:cs="宋体"/>
          <w:color w:val="auto"/>
          <w:sz w:val="21"/>
          <w:szCs w:val="21"/>
          <w:highlight w:val="none"/>
          <w:u w:val="single"/>
        </w:rPr>
        <w:t xml:space="preserve">   承包人应遵守工程建设安全生产有关管理规定，严格按安全标准组织施工，并随时接受行业安全检查人员依法实施的监督检查，采取必要的安全防护措施，消除事故隐患。如承包人未履行上述义务而造成工程、财产和人身伤害，由承包人承担责任及所发生的费用。因承包人施工现场安全措施不力而引起的第三方事故，其责任应由承包人承担。安全生产文明施工管理目标要求严格执行市住建办〔2013〕29号《桂林市建筑工程文明施工导则》，达到合格工地。若被有关监督部门查到本工程的文明施工未达标，承包人自行出资修改并达到文明施工要求若文明施工三次未达标，按监督部门意见处理</w:t>
      </w:r>
      <w:r>
        <w:rPr>
          <w:rFonts w:hint="eastAsia" w:ascii="宋体" w:hAnsi="宋体" w:cs="宋体"/>
          <w:color w:val="auto"/>
          <w:sz w:val="21"/>
          <w:szCs w:val="21"/>
          <w:highlight w:val="none"/>
        </w:rPr>
        <w:t>。</w:t>
      </w:r>
    </w:p>
    <w:p>
      <w:pPr>
        <w:pStyle w:val="10"/>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施工场地清洁卫生的要求:承包人应在施工场地内文明施工，场地内外的卫生清洁应符合政府有关部门的规定和发包人的要求，并接受其监督管理;及时清理建筑垃圾，做到即出即清;做好施工组织管理、维持现场整洁、道路畅通，工地范围内、出入口、临近道路必须有专人清扫，运输车辆应按指定路线行驶;装载物做到不滴、不漏、不洒、不扬，对进出工地的车辆须派专人及时进行冲洗清扫，防止污染交通道路。所发生费用已包含在合同总价中。发包人有权检查，对发包人要求整改部分承包人逾期未整改的，发包人可另行处理，并有权从工程进度款中扣减所发生费用双倍的金额。</w:t>
      </w:r>
    </w:p>
    <w:p>
      <w:pPr>
        <w:pStyle w:val="10"/>
        <w:spacing w:line="400" w:lineRule="exact"/>
        <w:rPr>
          <w:rFonts w:hint="eastAsia" w:ascii="宋体" w:hAnsi="宋体" w:cs="宋体"/>
          <w:color w:val="auto"/>
          <w:highlight w:val="none"/>
          <w:u w:val="single"/>
        </w:rPr>
      </w:pPr>
      <w:r>
        <w:rPr>
          <w:rFonts w:hint="eastAsia" w:ascii="宋体" w:hAnsi="宋体" w:cs="宋体"/>
          <w:color w:val="auto"/>
          <w:highlight w:val="none"/>
        </w:rPr>
        <w:t>6.1.6关于安全文明施工费支付比例和支付期限的约定：</w:t>
      </w:r>
      <w:r>
        <w:rPr>
          <w:rFonts w:hint="eastAsia" w:ascii="宋体" w:hAnsi="宋体" w:cs="宋体"/>
          <w:color w:val="auto"/>
          <w:highlight w:val="none"/>
          <w:u w:val="single"/>
        </w:rPr>
        <w:t>使用要求：专款专用。</w:t>
      </w:r>
      <w:r>
        <w:rPr>
          <w:rFonts w:hint="eastAsia" w:ascii="宋体" w:hAnsi="宋体" w:cs="宋体"/>
          <w:color w:val="auto"/>
          <w:highlight w:val="none"/>
          <w:u w:val="single"/>
        </w:rPr>
        <w:t>具体按桂建质（2015）16号文《广西壮族自治区建设工程安全文明施工费使用管理细则》和桂林市建规[2007]131号文及市建规[2008]224号文相关规定执行。</w:t>
      </w:r>
    </w:p>
    <w:p>
      <w:pPr>
        <w:pStyle w:val="9"/>
        <w:spacing w:before="0" w:after="0" w:line="400" w:lineRule="exact"/>
        <w:rPr>
          <w:rFonts w:hint="eastAsia" w:ascii="宋体" w:cs="宋体"/>
          <w:color w:val="auto"/>
          <w:highlight w:val="none"/>
        </w:rPr>
      </w:pPr>
      <w:bookmarkStart w:id="187" w:name="_Toc395382523"/>
      <w:bookmarkStart w:id="188" w:name="_Toc373478368"/>
      <w:bookmarkStart w:id="189" w:name="_Toc389065287"/>
      <w:bookmarkStart w:id="190" w:name="_Toc373227721"/>
      <w:r>
        <w:rPr>
          <w:rFonts w:hint="eastAsia" w:ascii="宋体" w:cs="宋体"/>
          <w:color w:val="auto"/>
          <w:highlight w:val="none"/>
        </w:rPr>
        <w:t>6.3 环境保护</w:t>
      </w:r>
      <w:bookmarkEnd w:id="187"/>
      <w:bookmarkEnd w:id="188"/>
      <w:bookmarkEnd w:id="189"/>
      <w:bookmarkEnd w:id="190"/>
    </w:p>
    <w:p>
      <w:pPr>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因施工需要，经发包人批准，由承包人办理有关施工场地交通、环卫和施工噪音管理等手续，费用由承包人负责。</w:t>
      </w:r>
    </w:p>
    <w:p>
      <w:pPr>
        <w:pStyle w:val="10"/>
        <w:spacing w:line="400" w:lineRule="exact"/>
        <w:rPr>
          <w:rFonts w:hint="eastAsia" w:ascii="宋体" w:hAnsi="宋体" w:cs="宋体"/>
          <w:color w:val="auto"/>
          <w:highlight w:val="none"/>
          <w:u w:val="single"/>
        </w:rPr>
      </w:pPr>
      <w:r>
        <w:rPr>
          <w:rFonts w:hint="eastAsia" w:ascii="宋体" w:hAnsi="宋体" w:cs="宋体"/>
          <w:color w:val="auto"/>
          <w:highlight w:val="none"/>
          <w:u w:val="single"/>
        </w:rPr>
        <w:t>经过城市道路的施工车辆，必须按交警、城管、运输等部门相关规定执行。由于施工车辆造成的道路、环境等污染，其责任和费用均由承包人承担。</w:t>
      </w:r>
    </w:p>
    <w:bookmarkEnd w:id="173"/>
    <w:bookmarkEnd w:id="174"/>
    <w:bookmarkEnd w:id="175"/>
    <w:bookmarkEnd w:id="176"/>
    <w:bookmarkEnd w:id="177"/>
    <w:bookmarkEnd w:id="178"/>
    <w:bookmarkEnd w:id="179"/>
    <w:p>
      <w:pPr>
        <w:pStyle w:val="9"/>
        <w:spacing w:before="0" w:after="0" w:line="400" w:lineRule="exact"/>
        <w:rPr>
          <w:rFonts w:hint="eastAsia" w:ascii="宋体" w:cs="宋体"/>
          <w:color w:val="auto"/>
          <w:highlight w:val="none"/>
        </w:rPr>
      </w:pPr>
      <w:bookmarkStart w:id="191" w:name="_Toc351203639"/>
      <w:bookmarkStart w:id="192" w:name="_Toc454283124"/>
      <w:bookmarkStart w:id="193" w:name="_Toc417904297"/>
      <w:r>
        <w:rPr>
          <w:rFonts w:hint="eastAsia" w:ascii="宋体" w:cs="宋体"/>
          <w:color w:val="auto"/>
          <w:highlight w:val="none"/>
        </w:rPr>
        <w:t>7. 工期和进度</w:t>
      </w:r>
      <w:bookmarkEnd w:id="191"/>
      <w:bookmarkEnd w:id="192"/>
      <w:bookmarkEnd w:id="193"/>
    </w:p>
    <w:p>
      <w:pPr>
        <w:pStyle w:val="9"/>
        <w:spacing w:before="0" w:after="0" w:line="400" w:lineRule="exact"/>
        <w:rPr>
          <w:rFonts w:hint="eastAsia" w:ascii="宋体" w:cs="宋体"/>
          <w:color w:val="auto"/>
          <w:highlight w:val="none"/>
        </w:rPr>
      </w:pPr>
      <w:bookmarkStart w:id="194" w:name="_Toc454283125"/>
      <w:bookmarkStart w:id="195" w:name="_Toc417904298"/>
      <w:r>
        <w:rPr>
          <w:rFonts w:hint="eastAsia" w:ascii="宋体" w:cs="宋体"/>
          <w:color w:val="auto"/>
          <w:highlight w:val="none"/>
        </w:rPr>
        <w:t>7.1 施工组织设计</w:t>
      </w:r>
      <w:bookmarkEnd w:id="194"/>
      <w:bookmarkEnd w:id="195"/>
    </w:p>
    <w:p>
      <w:pPr>
        <w:pStyle w:val="10"/>
        <w:spacing w:line="400" w:lineRule="exact"/>
        <w:rPr>
          <w:rFonts w:hint="eastAsia" w:ascii="宋体" w:hAnsi="宋体" w:cs="宋体"/>
          <w:color w:val="auto"/>
          <w:highlight w:val="none"/>
        </w:rPr>
      </w:pPr>
      <w:r>
        <w:rPr>
          <w:rFonts w:hint="eastAsia" w:ascii="宋体" w:hAnsi="宋体" w:cs="宋体"/>
          <w:color w:val="auto"/>
          <w:highlight w:val="none"/>
        </w:rPr>
        <w:t>7.1.1 合同当</w:t>
      </w:r>
      <w:r>
        <w:rPr>
          <w:rFonts w:hint="eastAsia" w:ascii="宋体" w:hAnsi="宋体" w:cs="宋体"/>
          <w:color w:val="auto"/>
          <w:highlight w:val="none"/>
        </w:rPr>
        <w:t>事人约定的施工组织设计应包括的其他内容：</w:t>
      </w:r>
      <w:r>
        <w:rPr>
          <w:rFonts w:hint="eastAsia" w:ascii="宋体" w:hAnsi="宋体" w:cs="宋体"/>
          <w:color w:val="auto"/>
          <w:highlight w:val="none"/>
          <w:u w:val="single"/>
        </w:rPr>
        <w:t xml:space="preserve"> </w:t>
      </w:r>
      <w:r>
        <w:rPr>
          <w:rFonts w:hint="eastAsia" w:ascii="宋体" w:hAnsi="宋体" w:cs="宋体"/>
          <w:color w:val="auto"/>
          <w:sz w:val="21"/>
          <w:szCs w:val="21"/>
          <w:highlight w:val="none"/>
          <w:u w:val="single"/>
        </w:rPr>
        <w:t>(1)管理人员名单，含职称、职务并附相关人员岗位证书等复印件；（2）国家及地方有关规定应当提交的内容</w:t>
      </w:r>
      <w:r>
        <w:rPr>
          <w:rFonts w:hint="eastAsia" w:ascii="宋体" w:hAnsi="宋体" w:cs="宋体"/>
          <w:color w:val="auto"/>
          <w:sz w:val="21"/>
          <w:szCs w:val="21"/>
          <w:highlight w:val="none"/>
        </w:rPr>
        <w:t>。</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7.1.2 施工组织设计的提交和修改</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承包人提交详细施工组织设计的期限的约定：</w:t>
      </w:r>
      <w:r>
        <w:rPr>
          <w:rFonts w:hint="eastAsia" w:ascii="宋体" w:hAnsi="宋体" w:cs="宋体"/>
          <w:color w:val="auto"/>
          <w:highlight w:val="none"/>
          <w:u w:val="single"/>
        </w:rPr>
        <w:t xml:space="preserve">    合同签订后7天内     </w:t>
      </w:r>
      <w:r>
        <w:rPr>
          <w:rFonts w:hint="eastAsia" w:ascii="宋体" w:hAnsi="宋体" w:cs="宋体"/>
          <w:color w:val="auto"/>
          <w:highlight w:val="none"/>
        </w:rPr>
        <w:t>。</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发包人和监理人在收到详细的施工组织设计后确认或提出修改意见的期限：</w:t>
      </w:r>
      <w:r>
        <w:rPr>
          <w:rFonts w:hint="eastAsia" w:ascii="宋体" w:hAnsi="宋体" w:cs="宋体"/>
          <w:color w:val="auto"/>
          <w:highlight w:val="none"/>
          <w:u w:val="single"/>
        </w:rPr>
        <w:t xml:space="preserve">  7天内 </w:t>
      </w:r>
      <w:r>
        <w:rPr>
          <w:rFonts w:hint="eastAsia" w:ascii="宋体" w:hAnsi="宋体" w:cs="宋体"/>
          <w:color w:val="auto"/>
          <w:highlight w:val="none"/>
        </w:rPr>
        <w:t>。</w:t>
      </w:r>
    </w:p>
    <w:p>
      <w:pPr>
        <w:pStyle w:val="9"/>
        <w:spacing w:before="0" w:after="0" w:line="400" w:lineRule="exact"/>
        <w:rPr>
          <w:rFonts w:hint="eastAsia" w:ascii="宋体" w:cs="宋体"/>
          <w:color w:val="auto"/>
          <w:highlight w:val="none"/>
        </w:rPr>
      </w:pPr>
      <w:bookmarkStart w:id="196" w:name="_Toc454283126"/>
      <w:bookmarkStart w:id="197" w:name="_Toc417904299"/>
      <w:r>
        <w:rPr>
          <w:rFonts w:hint="eastAsia" w:ascii="宋体" w:cs="宋体"/>
          <w:color w:val="auto"/>
          <w:highlight w:val="none"/>
        </w:rPr>
        <w:t>7</w:t>
      </w:r>
      <w:bookmarkStart w:id="198" w:name="_Toc297123514"/>
      <w:bookmarkStart w:id="199" w:name="_Toc297216173"/>
      <w:bookmarkStart w:id="200" w:name="_Toc304295541"/>
      <w:bookmarkStart w:id="201" w:name="_Toc303539123"/>
      <w:bookmarkStart w:id="202" w:name="_Toc300934966"/>
      <w:bookmarkStart w:id="203" w:name="_Toc312677479"/>
      <w:bookmarkStart w:id="204" w:name="_Toc312678005"/>
      <w:r>
        <w:rPr>
          <w:rFonts w:hint="eastAsia" w:ascii="宋体" w:cs="宋体"/>
          <w:color w:val="auto"/>
          <w:highlight w:val="none"/>
        </w:rPr>
        <w:t>.2 施工进度计划</w:t>
      </w:r>
      <w:bookmarkEnd w:id="196"/>
      <w:bookmarkEnd w:id="197"/>
    </w:p>
    <w:p>
      <w:pPr>
        <w:pStyle w:val="9"/>
        <w:spacing w:before="0" w:after="0" w:line="410" w:lineRule="exact"/>
        <w:ind w:firstLine="422" w:firstLineChars="200"/>
        <w:rPr>
          <w:rFonts w:hint="eastAsia" w:ascii="宋体" w:hAnsi="宋体" w:cs="宋体"/>
          <w:color w:val="auto"/>
          <w:highlight w:val="none"/>
        </w:rPr>
      </w:pPr>
      <w:r>
        <w:rPr>
          <w:rFonts w:hint="eastAsia" w:ascii="宋体" w:cs="宋体"/>
          <w:color w:val="auto"/>
          <w:sz w:val="21"/>
          <w:szCs w:val="21"/>
          <w:highlight w:val="none"/>
          <w:lang w:val="en-US" w:eastAsia="zh-CN"/>
        </w:rPr>
        <w:t>7.2.1</w:t>
      </w:r>
      <w:r>
        <w:rPr>
          <w:rFonts w:hint="eastAsia" w:ascii="宋体" w:hAnsi="宋体" w:cs="宋体"/>
          <w:color w:val="auto"/>
          <w:sz w:val="21"/>
          <w:szCs w:val="21"/>
          <w:highlight w:val="none"/>
        </w:rPr>
        <w:t>承包人提交进度计划的期限的约定：</w:t>
      </w:r>
      <w:r>
        <w:rPr>
          <w:rFonts w:hint="eastAsia" w:ascii="宋体" w:hAnsi="宋体" w:cs="宋体"/>
          <w:color w:val="auto"/>
          <w:sz w:val="21"/>
          <w:szCs w:val="21"/>
          <w:highlight w:val="none"/>
          <w:u w:val="single"/>
        </w:rPr>
        <w:t xml:space="preserve">合同签订后14天内，最迟不得晚于开工通知载明的开工日期前7天提交总进度计划；每月末、周末提出下月及下周详细施工作业计划； </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7.2.2 施工进度计划的修订</w:t>
      </w:r>
    </w:p>
    <w:p>
      <w:pPr>
        <w:pStyle w:val="10"/>
        <w:spacing w:line="410" w:lineRule="exact"/>
        <w:rPr>
          <w:rFonts w:hint="eastAsia" w:ascii="宋体" w:hAnsi="宋体" w:cs="宋体"/>
          <w:color w:val="auto"/>
          <w:highlight w:val="none"/>
        </w:rPr>
      </w:pPr>
      <w:r>
        <w:rPr>
          <w:rFonts w:hint="eastAsia" w:ascii="宋体" w:hAnsi="宋体" w:cs="宋体"/>
          <w:color w:val="auto"/>
          <w:highlight w:val="none"/>
        </w:rPr>
        <w:t>发包人和监理人在收到修订的施工进度计划后确认或提出修改意见的期限：</w:t>
      </w:r>
      <w:r>
        <w:rPr>
          <w:rFonts w:hint="eastAsia" w:ascii="宋体" w:hAnsi="宋体" w:cs="宋体"/>
          <w:color w:val="auto"/>
          <w:highlight w:val="none"/>
          <w:u w:val="single"/>
        </w:rPr>
        <w:t>收到修订合同进度计划后7天</w:t>
      </w:r>
      <w:r>
        <w:rPr>
          <w:rFonts w:hint="eastAsia" w:ascii="宋体" w:hAnsi="宋体" w:cs="宋体"/>
          <w:color w:val="auto"/>
          <w:highlight w:val="none"/>
        </w:rPr>
        <w:t>。</w:t>
      </w:r>
    </w:p>
    <w:p>
      <w:pPr>
        <w:pStyle w:val="9"/>
        <w:spacing w:before="0" w:after="0" w:line="410" w:lineRule="exact"/>
        <w:rPr>
          <w:rFonts w:hint="eastAsia" w:ascii="宋体" w:cs="宋体"/>
          <w:color w:val="auto"/>
          <w:highlight w:val="none"/>
        </w:rPr>
      </w:pPr>
      <w:bookmarkStart w:id="205" w:name="_Toc417904300"/>
      <w:bookmarkStart w:id="206" w:name="_Toc454283127"/>
      <w:r>
        <w:rPr>
          <w:rFonts w:hint="eastAsia" w:ascii="宋体" w:cs="宋体"/>
          <w:color w:val="auto"/>
          <w:highlight w:val="none"/>
        </w:rPr>
        <w:t>7.3 开工</w:t>
      </w:r>
      <w:bookmarkEnd w:id="205"/>
      <w:bookmarkEnd w:id="206"/>
    </w:p>
    <w:p>
      <w:pPr>
        <w:pStyle w:val="10"/>
        <w:spacing w:line="410" w:lineRule="exact"/>
        <w:rPr>
          <w:rFonts w:hint="eastAsia" w:ascii="宋体" w:hAnsi="宋体" w:cs="宋体"/>
          <w:color w:val="auto"/>
          <w:highlight w:val="none"/>
        </w:rPr>
      </w:pPr>
      <w:r>
        <w:rPr>
          <w:rFonts w:hint="eastAsia" w:ascii="宋体" w:hAnsi="宋体" w:cs="宋体"/>
          <w:color w:val="auto"/>
          <w:highlight w:val="none"/>
        </w:rPr>
        <w:t>7.3.1 开工准备</w:t>
      </w:r>
    </w:p>
    <w:p>
      <w:pPr>
        <w:pStyle w:val="10"/>
        <w:spacing w:line="410" w:lineRule="exact"/>
        <w:rPr>
          <w:rFonts w:hint="eastAsia" w:ascii="宋体" w:hAnsi="宋体" w:cs="宋体"/>
          <w:color w:val="auto"/>
          <w:highlight w:val="none"/>
          <w:u w:val="single"/>
        </w:rPr>
      </w:pPr>
      <w:r>
        <w:rPr>
          <w:rFonts w:hint="eastAsia" w:ascii="宋体" w:hAnsi="宋体" w:cs="宋体"/>
          <w:color w:val="auto"/>
          <w:highlight w:val="none"/>
        </w:rPr>
        <w:t>关于承包人提交工程开工报审表的期限：</w:t>
      </w:r>
      <w:r>
        <w:rPr>
          <w:rFonts w:hint="eastAsia" w:ascii="宋体" w:hAnsi="宋体" w:cs="宋体"/>
          <w:color w:val="auto"/>
          <w:highlight w:val="none"/>
          <w:u w:val="single"/>
        </w:rPr>
        <w:t xml:space="preserve">  合同签订后7天  </w:t>
      </w:r>
      <w:r>
        <w:rPr>
          <w:rFonts w:hint="eastAsia" w:ascii="宋体" w:hAnsi="宋体" w:cs="宋体"/>
          <w:color w:val="auto"/>
          <w:highlight w:val="none"/>
        </w:rPr>
        <w:t>。</w:t>
      </w:r>
    </w:p>
    <w:p>
      <w:pPr>
        <w:pStyle w:val="10"/>
        <w:spacing w:line="410" w:lineRule="exact"/>
        <w:rPr>
          <w:rFonts w:hint="eastAsia" w:ascii="宋体" w:hAnsi="宋体" w:cs="宋体"/>
          <w:color w:val="auto"/>
          <w:highlight w:val="none"/>
        </w:rPr>
      </w:pPr>
      <w:r>
        <w:rPr>
          <w:rFonts w:hint="eastAsia" w:ascii="宋体" w:hAnsi="宋体" w:cs="宋体"/>
          <w:color w:val="auto"/>
          <w:highlight w:val="none"/>
        </w:rPr>
        <w:t>关于发包人应完成的其他开工准备工作及期限：</w:t>
      </w:r>
      <w:r>
        <w:rPr>
          <w:rFonts w:hint="eastAsia" w:ascii="宋体" w:hAnsi="宋体" w:cs="宋体"/>
          <w:color w:val="auto"/>
          <w:highlight w:val="none"/>
          <w:u w:val="single"/>
        </w:rPr>
        <w:t xml:space="preserve">  合同签订后7天   </w:t>
      </w:r>
      <w:r>
        <w:rPr>
          <w:rFonts w:hint="eastAsia" w:ascii="宋体" w:hAnsi="宋体" w:cs="宋体"/>
          <w:color w:val="auto"/>
          <w:highlight w:val="none"/>
        </w:rPr>
        <w:t>。</w:t>
      </w:r>
    </w:p>
    <w:p>
      <w:pPr>
        <w:pStyle w:val="10"/>
        <w:spacing w:line="410" w:lineRule="exact"/>
        <w:rPr>
          <w:rFonts w:hint="eastAsia" w:ascii="宋体" w:hAnsi="宋体" w:cs="宋体"/>
          <w:color w:val="auto"/>
          <w:highlight w:val="none"/>
        </w:rPr>
      </w:pPr>
      <w:r>
        <w:rPr>
          <w:rFonts w:hint="eastAsia" w:ascii="宋体" w:hAnsi="宋体" w:cs="宋体"/>
          <w:color w:val="auto"/>
          <w:highlight w:val="none"/>
        </w:rPr>
        <w:t>关于承包人应完成的其他开工准备工作及期限：</w:t>
      </w:r>
      <w:r>
        <w:rPr>
          <w:rFonts w:hint="eastAsia" w:ascii="宋体" w:hAnsi="宋体" w:cs="宋体"/>
          <w:color w:val="auto"/>
          <w:highlight w:val="none"/>
          <w:u w:val="single"/>
        </w:rPr>
        <w:t xml:space="preserve">   合同签订后7天   </w:t>
      </w:r>
      <w:r>
        <w:rPr>
          <w:rFonts w:hint="eastAsia" w:ascii="宋体" w:hAnsi="宋体" w:cs="宋体"/>
          <w:color w:val="auto"/>
          <w:highlight w:val="none"/>
        </w:rPr>
        <w:t>。</w:t>
      </w:r>
    </w:p>
    <w:p>
      <w:pPr>
        <w:pStyle w:val="10"/>
        <w:spacing w:line="410" w:lineRule="exact"/>
        <w:rPr>
          <w:rFonts w:hint="eastAsia" w:ascii="宋体" w:hAnsi="宋体" w:cs="宋体"/>
          <w:color w:val="auto"/>
          <w:highlight w:val="none"/>
        </w:rPr>
      </w:pPr>
      <w:r>
        <w:rPr>
          <w:rFonts w:hint="eastAsia" w:ascii="宋体" w:hAnsi="宋体" w:cs="宋体"/>
          <w:color w:val="auto"/>
          <w:highlight w:val="none"/>
        </w:rPr>
        <w:t>7.3.2开工通知</w:t>
      </w:r>
    </w:p>
    <w:p>
      <w:pPr>
        <w:pStyle w:val="10"/>
        <w:spacing w:line="410" w:lineRule="exact"/>
        <w:rPr>
          <w:rFonts w:hint="eastAsia" w:ascii="宋体" w:hAnsi="宋体" w:cs="宋体"/>
          <w:color w:val="auto"/>
          <w:highlight w:val="none"/>
        </w:rPr>
      </w:pPr>
      <w:r>
        <w:rPr>
          <w:rFonts w:hint="eastAsia" w:ascii="宋体" w:hAnsi="宋体" w:cs="宋体"/>
          <w:color w:val="auto"/>
          <w:highlight w:val="none"/>
        </w:rPr>
        <w:t>因发包人原因造成监理人未能在计划开工日期之日起</w:t>
      </w:r>
      <w:r>
        <w:rPr>
          <w:rFonts w:hint="eastAsia" w:ascii="宋体" w:hAnsi="宋体" w:cs="宋体"/>
          <w:color w:val="auto"/>
          <w:highlight w:val="none"/>
          <w:u w:val="single"/>
        </w:rPr>
        <w:t>180</w:t>
      </w:r>
      <w:r>
        <w:rPr>
          <w:rFonts w:hint="eastAsia" w:ascii="宋体" w:hAnsi="宋体" w:cs="宋体"/>
          <w:color w:val="auto"/>
          <w:highlight w:val="none"/>
        </w:rPr>
        <w:t>天内发出开工通知的，承包人有权提出价格调整要求，或者解除合同。</w:t>
      </w:r>
    </w:p>
    <w:bookmarkEnd w:id="198"/>
    <w:bookmarkEnd w:id="199"/>
    <w:bookmarkEnd w:id="200"/>
    <w:bookmarkEnd w:id="201"/>
    <w:bookmarkEnd w:id="202"/>
    <w:bookmarkEnd w:id="203"/>
    <w:bookmarkEnd w:id="204"/>
    <w:p>
      <w:pPr>
        <w:pStyle w:val="9"/>
        <w:spacing w:before="0" w:after="0" w:line="410" w:lineRule="exact"/>
        <w:rPr>
          <w:rFonts w:hint="eastAsia" w:ascii="宋体" w:cs="宋体"/>
          <w:color w:val="auto"/>
          <w:highlight w:val="none"/>
        </w:rPr>
      </w:pPr>
      <w:bookmarkStart w:id="207" w:name="_Toc417904301"/>
      <w:bookmarkStart w:id="208" w:name="_Toc454283128"/>
      <w:r>
        <w:rPr>
          <w:rFonts w:hint="eastAsia" w:ascii="宋体" w:cs="宋体"/>
          <w:color w:val="auto"/>
          <w:highlight w:val="none"/>
        </w:rPr>
        <w:t>7.4 测量放线</w:t>
      </w:r>
      <w:bookmarkEnd w:id="207"/>
      <w:bookmarkEnd w:id="208"/>
    </w:p>
    <w:p>
      <w:pPr>
        <w:pStyle w:val="10"/>
        <w:spacing w:line="410" w:lineRule="exact"/>
        <w:rPr>
          <w:rFonts w:hint="eastAsia" w:ascii="宋体" w:hAnsi="宋体" w:cs="宋体"/>
          <w:color w:val="auto"/>
          <w:highlight w:val="none"/>
          <w:u w:val="single"/>
        </w:rPr>
      </w:pPr>
      <w:r>
        <w:rPr>
          <w:rFonts w:hint="eastAsia" w:ascii="宋体" w:hAnsi="宋体" w:cs="宋体"/>
          <w:color w:val="auto"/>
          <w:highlight w:val="none"/>
        </w:rPr>
        <w:t>7.4.1发包人通过监理人向承包人提供测量基准点、基准线和水准点及其书面资料的期限：</w:t>
      </w:r>
      <w:r>
        <w:rPr>
          <w:rFonts w:hint="eastAsia" w:ascii="宋体" w:hAnsi="宋体" w:cs="宋体"/>
          <w:color w:val="auto"/>
          <w:highlight w:val="none"/>
          <w:u w:val="single"/>
        </w:rPr>
        <w:t xml:space="preserve">合同签订后14天　  </w:t>
      </w:r>
      <w:r>
        <w:rPr>
          <w:rFonts w:hint="eastAsia" w:ascii="宋体" w:hAnsi="宋体" w:cs="宋体"/>
          <w:color w:val="auto"/>
          <w:highlight w:val="none"/>
        </w:rPr>
        <w:t>。</w:t>
      </w:r>
    </w:p>
    <w:p>
      <w:pPr>
        <w:pStyle w:val="9"/>
        <w:spacing w:before="0" w:after="0" w:line="410" w:lineRule="exact"/>
        <w:rPr>
          <w:rFonts w:hint="eastAsia" w:ascii="宋体" w:cs="宋体"/>
          <w:color w:val="auto"/>
          <w:highlight w:val="none"/>
        </w:rPr>
      </w:pPr>
      <w:bookmarkStart w:id="209" w:name="_Toc417904302"/>
      <w:bookmarkStart w:id="210" w:name="_Toc454283129"/>
      <w:r>
        <w:rPr>
          <w:rFonts w:hint="eastAsia" w:ascii="宋体" w:cs="宋体"/>
          <w:color w:val="auto"/>
          <w:highlight w:val="none"/>
        </w:rPr>
        <w:t>7</w:t>
      </w:r>
      <w:bookmarkStart w:id="211" w:name="_Toc312677484"/>
      <w:bookmarkStart w:id="212" w:name="_Toc297123516"/>
      <w:bookmarkStart w:id="213" w:name="_Toc312678010"/>
      <w:bookmarkStart w:id="214" w:name="_Toc300934968"/>
      <w:bookmarkStart w:id="215" w:name="_Toc297216175"/>
      <w:bookmarkStart w:id="216" w:name="_Toc304295546"/>
      <w:bookmarkStart w:id="217" w:name="_Toc303539125"/>
      <w:r>
        <w:rPr>
          <w:rFonts w:hint="eastAsia" w:ascii="宋体" w:cs="宋体"/>
          <w:color w:val="auto"/>
          <w:highlight w:val="none"/>
        </w:rPr>
        <w:t>.5 工期延误</w:t>
      </w:r>
      <w:bookmarkEnd w:id="209"/>
      <w:bookmarkEnd w:id="210"/>
    </w:p>
    <w:bookmarkEnd w:id="211"/>
    <w:bookmarkEnd w:id="212"/>
    <w:bookmarkEnd w:id="213"/>
    <w:bookmarkEnd w:id="214"/>
    <w:bookmarkEnd w:id="215"/>
    <w:bookmarkEnd w:id="216"/>
    <w:bookmarkEnd w:id="217"/>
    <w:p>
      <w:pPr>
        <w:pStyle w:val="10"/>
        <w:spacing w:line="410" w:lineRule="exact"/>
        <w:outlineLvl w:val="0"/>
        <w:rPr>
          <w:rFonts w:hint="eastAsia" w:ascii="宋体" w:hAnsi="宋体" w:cs="宋体"/>
          <w:color w:val="auto"/>
          <w:highlight w:val="none"/>
        </w:rPr>
      </w:pPr>
      <w:bookmarkStart w:id="218" w:name="_Toc417904303"/>
      <w:bookmarkStart w:id="219" w:name="_Toc454283130"/>
      <w:r>
        <w:rPr>
          <w:rFonts w:hint="eastAsia" w:ascii="宋体" w:hAnsi="宋体" w:cs="宋体"/>
          <w:color w:val="auto"/>
          <w:highlight w:val="none"/>
        </w:rPr>
        <w:t>7.5.1 因发包人原因导致工期延误</w:t>
      </w:r>
      <w:bookmarkEnd w:id="218"/>
      <w:bookmarkEnd w:id="219"/>
    </w:p>
    <w:p>
      <w:pPr>
        <w:pStyle w:val="10"/>
        <w:spacing w:line="410" w:lineRule="exact"/>
        <w:rPr>
          <w:rFonts w:hint="eastAsia" w:ascii="宋体" w:hAnsi="宋体" w:cs="宋体"/>
          <w:color w:val="auto"/>
          <w:highlight w:val="none"/>
        </w:rPr>
      </w:pPr>
      <w:r>
        <w:rPr>
          <w:rFonts w:hint="eastAsia" w:ascii="宋体" w:hAnsi="宋体" w:cs="宋体"/>
          <w:color w:val="auto"/>
          <w:highlight w:val="none"/>
        </w:rPr>
        <w:t>（7）因发包人原因导致工期延误的其他情形：</w:t>
      </w:r>
      <w:r>
        <w:rPr>
          <w:rFonts w:hint="eastAsia" w:ascii="宋体" w:hAnsi="宋体" w:cs="宋体"/>
          <w:color w:val="auto"/>
          <w:highlight w:val="none"/>
          <w:u w:val="single"/>
        </w:rPr>
        <w:t xml:space="preserve">  无   </w:t>
      </w:r>
      <w:r>
        <w:rPr>
          <w:rFonts w:hint="eastAsia" w:ascii="宋体" w:hAnsi="宋体" w:cs="宋体"/>
          <w:color w:val="auto"/>
          <w:highlight w:val="none"/>
        </w:rPr>
        <w:t>。</w:t>
      </w:r>
    </w:p>
    <w:p>
      <w:pPr>
        <w:pStyle w:val="10"/>
        <w:spacing w:line="410" w:lineRule="exact"/>
        <w:rPr>
          <w:rFonts w:hint="eastAsia" w:ascii="宋体" w:hAnsi="宋体" w:cs="宋体"/>
          <w:color w:val="auto"/>
          <w:highlight w:val="none"/>
        </w:rPr>
      </w:pPr>
      <w:r>
        <w:rPr>
          <w:rFonts w:hint="eastAsia" w:ascii="宋体" w:hAnsi="宋体" w:cs="宋体"/>
          <w:color w:val="auto"/>
          <w:highlight w:val="none"/>
        </w:rPr>
        <w:t>7</w:t>
      </w:r>
      <w:bookmarkStart w:id="220" w:name="_Toc318581169"/>
      <w:bookmarkStart w:id="221" w:name="_Toc312678012"/>
      <w:bookmarkStart w:id="222" w:name="_Toc312677486"/>
      <w:bookmarkStart w:id="223" w:name="_Toc304295548"/>
      <w:bookmarkStart w:id="224" w:name="_Toc300934970"/>
      <w:bookmarkStart w:id="225" w:name="_Toc303539127"/>
      <w:bookmarkStart w:id="226" w:name="_Toc297123518"/>
      <w:bookmarkStart w:id="227" w:name="_Toc297216177"/>
      <w:r>
        <w:rPr>
          <w:rFonts w:hint="eastAsia" w:ascii="宋体" w:hAnsi="宋体" w:cs="宋体"/>
          <w:color w:val="auto"/>
          <w:highlight w:val="none"/>
        </w:rPr>
        <w:t>.5.2 因承包人原因导致工期延误</w:t>
      </w:r>
    </w:p>
    <w:bookmarkEnd w:id="220"/>
    <w:bookmarkEnd w:id="221"/>
    <w:bookmarkEnd w:id="222"/>
    <w:p>
      <w:pPr>
        <w:pStyle w:val="10"/>
        <w:spacing w:line="410" w:lineRule="exact"/>
        <w:rPr>
          <w:rFonts w:hint="eastAsia" w:ascii="宋体" w:hAnsi="宋体" w:cs="宋体"/>
          <w:color w:val="auto"/>
          <w:highlight w:val="none"/>
          <w:u w:val="single"/>
        </w:rPr>
      </w:pPr>
      <w:r>
        <w:rPr>
          <w:rFonts w:hint="eastAsia" w:ascii="宋体" w:hAnsi="宋体" w:cs="宋体"/>
          <w:color w:val="auto"/>
          <w:highlight w:val="none"/>
        </w:rPr>
        <w:t>因</w:t>
      </w:r>
      <w:bookmarkStart w:id="228" w:name="_Toc312678013"/>
      <w:bookmarkStart w:id="229" w:name="_Toc312677487"/>
      <w:bookmarkStart w:id="230" w:name="_Toc318581170"/>
      <w:r>
        <w:rPr>
          <w:rFonts w:hint="eastAsia" w:ascii="宋体" w:hAnsi="宋体" w:cs="宋体"/>
          <w:color w:val="auto"/>
          <w:highlight w:val="none"/>
        </w:rPr>
        <w:t>承包人原因造成工期延误，逾期竣工违约金的计算方法为：</w:t>
      </w:r>
      <w:r>
        <w:rPr>
          <w:rFonts w:hint="eastAsia" w:ascii="宋体" w:hAnsi="宋体" w:cs="宋体"/>
          <w:color w:val="auto"/>
          <w:highlight w:val="none"/>
          <w:u w:val="single"/>
        </w:rPr>
        <w:t>非上述原因，承包人不能按合同约定的时间竣工，承包人应承担违约责任。应向发包人支付误期赔偿费</w:t>
      </w:r>
      <w:r>
        <w:rPr>
          <w:rFonts w:hint="eastAsia" w:ascii="宋体" w:hAnsi="宋体" w:cs="宋体"/>
          <w:color w:val="auto"/>
          <w:highlight w:val="none"/>
          <w:u w:val="single"/>
        </w:rPr>
        <w:t>（每天赔偿金额为合同价款扣除建安劳保费、发包人材料价款、暂估专业工程款、暂列金额后的的万分</w:t>
      </w:r>
      <w:r>
        <w:rPr>
          <w:rFonts w:hint="eastAsia" w:ascii="宋体" w:hAnsi="宋体" w:cs="宋体"/>
          <w:color w:val="auto"/>
          <w:highlight w:val="none"/>
          <w:u w:val="single"/>
        </w:rPr>
        <w:t>之</w:t>
      </w:r>
      <w:r>
        <w:rPr>
          <w:rFonts w:hint="eastAsia" w:ascii="宋体" w:hAnsi="宋体" w:cs="宋体"/>
          <w:color w:val="auto"/>
          <w:highlight w:val="none"/>
          <w:u w:val="single"/>
          <w:lang w:eastAsia="zh-CN"/>
        </w:rPr>
        <w:t>八</w:t>
      </w:r>
      <w:r>
        <w:rPr>
          <w:rFonts w:hint="eastAsia" w:ascii="宋体" w:hAnsi="宋体" w:cs="宋体"/>
          <w:color w:val="auto"/>
          <w:highlight w:val="none"/>
          <w:u w:val="single"/>
        </w:rPr>
        <w:t>）</w:t>
      </w:r>
      <w:r>
        <w:rPr>
          <w:rFonts w:hint="eastAsia" w:ascii="宋体" w:hAnsi="宋体" w:cs="宋体"/>
          <w:color w:val="auto"/>
          <w:highlight w:val="none"/>
          <w:u w:val="single"/>
        </w:rPr>
        <w:t>，</w:t>
      </w:r>
      <w:r>
        <w:rPr>
          <w:rFonts w:hint="eastAsia" w:ascii="宋体" w:hAnsi="宋体" w:cs="宋体"/>
          <w:color w:val="auto"/>
          <w:highlight w:val="none"/>
          <w:u w:val="single"/>
        </w:rPr>
        <w:t xml:space="preserve">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p>
    <w:p>
      <w:pPr>
        <w:pStyle w:val="10"/>
        <w:spacing w:line="410" w:lineRule="exact"/>
        <w:rPr>
          <w:rFonts w:hint="eastAsia" w:ascii="宋体" w:hAnsi="宋体" w:cs="宋体"/>
          <w:color w:val="auto"/>
          <w:highlight w:val="none"/>
        </w:rPr>
      </w:pPr>
      <w:r>
        <w:rPr>
          <w:rFonts w:hint="eastAsia" w:ascii="宋体" w:hAnsi="宋体" w:cs="宋体"/>
          <w:color w:val="auto"/>
          <w:highlight w:val="none"/>
        </w:rPr>
        <w:t>因承包人原因造成工期延误，逾期竣工违约金的上限：</w:t>
      </w:r>
      <w:r>
        <w:rPr>
          <w:rFonts w:hint="eastAsia" w:ascii="宋体" w:hAnsi="宋体" w:cs="宋体"/>
          <w:color w:val="auto"/>
          <w:highlight w:val="none"/>
          <w:u w:val="single"/>
        </w:rPr>
        <w:t>合同价扣除建安劳保费、发包人材料价款、暂估专业工程、暂列金额后</w:t>
      </w:r>
      <w:r>
        <w:rPr>
          <w:rFonts w:hint="eastAsia" w:ascii="宋体" w:hAnsi="宋体" w:cs="宋体"/>
          <w:color w:val="auto"/>
          <w:highlight w:val="none"/>
          <w:u w:val="single"/>
        </w:rPr>
        <w:t>的</w:t>
      </w:r>
      <w:r>
        <w:rPr>
          <w:rFonts w:ascii="宋体" w:hAnsi="宋体" w:cs="宋体"/>
          <w:b/>
          <w:color w:val="auto"/>
          <w:highlight w:val="none"/>
          <w:u w:val="single"/>
        </w:rPr>
        <w:t>4</w:t>
      </w:r>
      <w:r>
        <w:rPr>
          <w:rFonts w:hint="eastAsia" w:ascii="宋体" w:hAnsi="宋体" w:cs="宋体"/>
          <w:b/>
          <w:color w:val="auto"/>
          <w:highlight w:val="none"/>
          <w:u w:val="single"/>
        </w:rPr>
        <w:t>%</w:t>
      </w:r>
      <w:r>
        <w:rPr>
          <w:rFonts w:hint="eastAsia" w:ascii="宋体" w:hAnsi="宋体" w:cs="宋体"/>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bookmarkEnd w:id="223"/>
      <w:bookmarkEnd w:id="224"/>
      <w:bookmarkEnd w:id="225"/>
      <w:bookmarkEnd w:id="226"/>
      <w:bookmarkEnd w:id="227"/>
      <w:bookmarkEnd w:id="228"/>
      <w:bookmarkEnd w:id="229"/>
    </w:p>
    <w:bookmarkEnd w:id="230"/>
    <w:p>
      <w:pPr>
        <w:pStyle w:val="9"/>
        <w:spacing w:before="0" w:after="0" w:line="410" w:lineRule="exact"/>
        <w:rPr>
          <w:rFonts w:hint="eastAsia" w:ascii="宋体" w:cs="宋体"/>
          <w:color w:val="auto"/>
          <w:highlight w:val="none"/>
        </w:rPr>
      </w:pPr>
      <w:bookmarkStart w:id="231" w:name="_Toc417904304"/>
      <w:bookmarkStart w:id="232" w:name="_Toc454283131"/>
      <w:r>
        <w:rPr>
          <w:rFonts w:hint="eastAsia" w:ascii="宋体" w:cs="宋体"/>
          <w:color w:val="auto"/>
          <w:highlight w:val="none"/>
        </w:rPr>
        <w:t>7</w:t>
      </w:r>
      <w:bookmarkStart w:id="233" w:name="_Toc304295549"/>
      <w:bookmarkStart w:id="234" w:name="_Toc297216178"/>
      <w:bookmarkStart w:id="235" w:name="_Toc303539128"/>
      <w:bookmarkStart w:id="236" w:name="_Toc300934971"/>
      <w:bookmarkStart w:id="237" w:name="_Toc297123519"/>
      <w:bookmarkStart w:id="238" w:name="_Toc312678015"/>
      <w:r>
        <w:rPr>
          <w:rFonts w:hint="eastAsia" w:ascii="宋体" w:cs="宋体"/>
          <w:color w:val="auto"/>
          <w:highlight w:val="none"/>
        </w:rPr>
        <w:t>.6 不</w:t>
      </w:r>
      <w:bookmarkEnd w:id="233"/>
      <w:bookmarkEnd w:id="234"/>
      <w:bookmarkEnd w:id="235"/>
      <w:bookmarkEnd w:id="236"/>
      <w:bookmarkEnd w:id="237"/>
      <w:bookmarkEnd w:id="238"/>
      <w:r>
        <w:rPr>
          <w:rFonts w:hint="eastAsia" w:ascii="宋体" w:cs="宋体"/>
          <w:color w:val="auto"/>
          <w:highlight w:val="none"/>
        </w:rPr>
        <w:t>利物质条件</w:t>
      </w:r>
      <w:bookmarkEnd w:id="231"/>
      <w:bookmarkEnd w:id="232"/>
    </w:p>
    <w:p>
      <w:pPr>
        <w:pStyle w:val="10"/>
        <w:spacing w:line="410" w:lineRule="exact"/>
        <w:rPr>
          <w:rFonts w:hint="eastAsia" w:ascii="宋体" w:hAnsi="宋体" w:cs="宋体"/>
          <w:color w:val="auto"/>
          <w:highlight w:val="none"/>
        </w:rPr>
      </w:pPr>
      <w:bookmarkStart w:id="239" w:name="_Toc297123520"/>
      <w:bookmarkStart w:id="240" w:name="_Toc300934972"/>
      <w:bookmarkStart w:id="241" w:name="_Toc303539129"/>
      <w:bookmarkStart w:id="242" w:name="_Toc304295550"/>
      <w:bookmarkStart w:id="243" w:name="_Toc318581172"/>
      <w:bookmarkStart w:id="244" w:name="_Toc312678016"/>
      <w:bookmarkStart w:id="245" w:name="_Toc297216179"/>
      <w:r>
        <w:rPr>
          <w:rFonts w:hint="eastAsia" w:ascii="宋体" w:hAnsi="宋体" w:cs="宋体"/>
          <w:color w:val="auto"/>
          <w:highlight w:val="none"/>
        </w:rPr>
        <w:t>不利物质条件的其他情形和有关约定：</w:t>
      </w:r>
      <w:r>
        <w:rPr>
          <w:rFonts w:hint="eastAsia" w:ascii="宋体" w:hAnsi="宋体" w:cs="宋体"/>
          <w:color w:val="auto"/>
          <w:highlight w:val="none"/>
          <w:u w:val="single"/>
        </w:rPr>
        <w:t xml:space="preserve">一周内非承包人原因，停水、停电、停气造成停工连续超过8小时；重大设计变更和工程量增加；发包人手续不全致使施工不能正常进行；发包人未能按约定时间支付工程款致使施工不能正常进行的；非承包人原因的政府及发包人有关的停工通知，以上不利物质条件延误工期的相应延长工期，因发包人原因给承包人造成损失的由发包人相应赔偿承包人，属政府和环境等原因的，双方协商处理。 </w:t>
      </w:r>
    </w:p>
    <w:bookmarkEnd w:id="239"/>
    <w:bookmarkEnd w:id="240"/>
    <w:bookmarkEnd w:id="241"/>
    <w:bookmarkEnd w:id="242"/>
    <w:bookmarkEnd w:id="243"/>
    <w:bookmarkEnd w:id="244"/>
    <w:bookmarkEnd w:id="245"/>
    <w:p>
      <w:pPr>
        <w:pStyle w:val="9"/>
        <w:spacing w:before="0" w:after="0" w:line="410" w:lineRule="exact"/>
        <w:rPr>
          <w:rFonts w:hint="eastAsia" w:ascii="宋体" w:cs="宋体"/>
          <w:color w:val="auto"/>
          <w:highlight w:val="none"/>
        </w:rPr>
      </w:pPr>
      <w:bookmarkStart w:id="246" w:name="_Toc417904305"/>
      <w:bookmarkStart w:id="247" w:name="_Toc454283132"/>
      <w:r>
        <w:rPr>
          <w:rFonts w:hint="eastAsia" w:ascii="宋体" w:cs="宋体"/>
          <w:color w:val="auto"/>
          <w:highlight w:val="none"/>
        </w:rPr>
        <w:t>7</w:t>
      </w:r>
      <w:bookmarkStart w:id="248" w:name="_Toc297123521"/>
      <w:bookmarkStart w:id="249" w:name="_Toc304295551"/>
      <w:bookmarkStart w:id="250" w:name="_Toc312678017"/>
      <w:bookmarkStart w:id="251" w:name="_Toc300934973"/>
      <w:bookmarkStart w:id="252" w:name="_Toc297216180"/>
      <w:bookmarkStart w:id="253" w:name="_Toc303539130"/>
      <w:r>
        <w:rPr>
          <w:rFonts w:hint="eastAsia" w:ascii="宋体" w:cs="宋体"/>
          <w:color w:val="auto"/>
          <w:highlight w:val="none"/>
        </w:rPr>
        <w:t>.7异常恶劣的气候条件</w:t>
      </w:r>
      <w:bookmarkEnd w:id="246"/>
      <w:bookmarkEnd w:id="247"/>
    </w:p>
    <w:bookmarkEnd w:id="248"/>
    <w:bookmarkEnd w:id="249"/>
    <w:bookmarkEnd w:id="250"/>
    <w:bookmarkEnd w:id="251"/>
    <w:bookmarkEnd w:id="252"/>
    <w:bookmarkEnd w:id="253"/>
    <w:p>
      <w:pPr>
        <w:pStyle w:val="10"/>
        <w:spacing w:line="430" w:lineRule="exact"/>
        <w:rPr>
          <w:rFonts w:hint="eastAsia" w:ascii="宋体" w:hAnsi="宋体" w:cs="宋体"/>
          <w:color w:val="auto"/>
          <w:highlight w:val="none"/>
          <w:u w:val="single"/>
          <w:lang w:val="zh-CN"/>
        </w:rPr>
      </w:pPr>
      <w:r>
        <w:rPr>
          <w:rFonts w:hint="eastAsia" w:ascii="宋体" w:hAnsi="宋体" w:cs="宋体"/>
          <w:color w:val="auto"/>
          <w:highlight w:val="none"/>
        </w:rPr>
        <w:t>发包人和承包人同意以下情形视为异常恶劣的气候条件：</w:t>
      </w:r>
      <w:r>
        <w:rPr>
          <w:rFonts w:hint="eastAsia" w:ascii="宋体" w:hAnsi="宋体" w:cs="宋体"/>
          <w:color w:val="auto"/>
          <w:highlight w:val="none"/>
          <w:u w:val="single"/>
          <w:lang w:val="zh-CN"/>
        </w:rPr>
        <w:t>（1）10级及以上持续1天的大风；（2）暴雨级以上持续1天的大雨天；（3）50年及以上未发生过，持续2天的高温天气；（4）50年及以上未发生过，持续2天的低温天气  。</w:t>
      </w:r>
    </w:p>
    <w:p>
      <w:pPr>
        <w:pStyle w:val="9"/>
        <w:spacing w:before="0" w:after="0" w:line="430" w:lineRule="exact"/>
        <w:rPr>
          <w:rFonts w:hint="eastAsia" w:ascii="宋体" w:cs="宋体"/>
          <w:color w:val="auto"/>
          <w:highlight w:val="none"/>
        </w:rPr>
      </w:pPr>
      <w:bookmarkStart w:id="254" w:name="_Toc454283133"/>
      <w:bookmarkStart w:id="255" w:name="_Toc417904306"/>
      <w:r>
        <w:rPr>
          <w:rFonts w:hint="eastAsia" w:ascii="宋体" w:cs="宋体"/>
          <w:color w:val="auto"/>
          <w:highlight w:val="none"/>
        </w:rPr>
        <w:t>7.9 提前竣工的奖励</w:t>
      </w:r>
      <w:bookmarkEnd w:id="254"/>
      <w:bookmarkEnd w:id="255"/>
    </w:p>
    <w:p>
      <w:pPr>
        <w:pStyle w:val="10"/>
        <w:spacing w:line="430" w:lineRule="exact"/>
        <w:rPr>
          <w:rFonts w:hint="eastAsia" w:ascii="宋体" w:hAnsi="宋体" w:cs="宋体"/>
          <w:color w:val="auto"/>
          <w:highlight w:val="none"/>
        </w:rPr>
      </w:pPr>
      <w:r>
        <w:rPr>
          <w:rFonts w:hint="eastAsia" w:ascii="宋体" w:hAnsi="宋体" w:cs="宋体"/>
          <w:color w:val="auto"/>
          <w:highlight w:val="none"/>
        </w:rPr>
        <w:t>7.9.2提前竣工的奖励：</w:t>
      </w:r>
      <w:r>
        <w:rPr>
          <w:rFonts w:hint="eastAsia" w:ascii="宋体" w:hAnsi="宋体" w:cs="宋体"/>
          <w:color w:val="auto"/>
          <w:highlight w:val="none"/>
          <w:u w:val="single"/>
        </w:rPr>
        <w:t xml:space="preserve">     无      </w:t>
      </w:r>
      <w:r>
        <w:rPr>
          <w:rFonts w:hint="eastAsia" w:ascii="宋体" w:hAnsi="宋体" w:cs="宋体"/>
          <w:color w:val="auto"/>
          <w:highlight w:val="none"/>
        </w:rPr>
        <w:t>。</w:t>
      </w:r>
    </w:p>
    <w:p>
      <w:pPr>
        <w:pStyle w:val="9"/>
        <w:spacing w:before="0" w:after="0" w:line="430" w:lineRule="exact"/>
        <w:rPr>
          <w:rFonts w:hint="eastAsia" w:ascii="宋体" w:cs="宋体"/>
          <w:color w:val="auto"/>
          <w:highlight w:val="none"/>
        </w:rPr>
      </w:pPr>
      <w:bookmarkStart w:id="256" w:name="_Toc351203640"/>
      <w:bookmarkStart w:id="257" w:name="_Toc454283134"/>
      <w:bookmarkStart w:id="258" w:name="_Toc417904307"/>
      <w:r>
        <w:rPr>
          <w:rFonts w:hint="eastAsia" w:ascii="宋体" w:cs="宋体"/>
          <w:color w:val="auto"/>
          <w:highlight w:val="none"/>
        </w:rPr>
        <w:t>8. 材料与设备</w:t>
      </w:r>
      <w:bookmarkEnd w:id="256"/>
      <w:bookmarkEnd w:id="257"/>
      <w:bookmarkEnd w:id="258"/>
    </w:p>
    <w:bookmarkEnd w:id="161"/>
    <w:bookmarkEnd w:id="162"/>
    <w:bookmarkEnd w:id="163"/>
    <w:bookmarkEnd w:id="164"/>
    <w:bookmarkEnd w:id="165"/>
    <w:bookmarkEnd w:id="166"/>
    <w:bookmarkEnd w:id="167"/>
    <w:bookmarkEnd w:id="168"/>
    <w:bookmarkEnd w:id="169"/>
    <w:bookmarkEnd w:id="170"/>
    <w:p>
      <w:pPr>
        <w:pStyle w:val="9"/>
        <w:spacing w:before="0" w:after="0" w:line="430" w:lineRule="exact"/>
        <w:rPr>
          <w:rFonts w:hint="eastAsia" w:ascii="宋体" w:cs="宋体"/>
          <w:color w:val="auto"/>
          <w:highlight w:val="none"/>
        </w:rPr>
      </w:pPr>
      <w:bookmarkStart w:id="259" w:name="_Toc417904308"/>
      <w:bookmarkStart w:id="260" w:name="_Toc454283135"/>
      <w:r>
        <w:rPr>
          <w:rFonts w:hint="eastAsia" w:ascii="宋体" w:cs="宋体"/>
          <w:color w:val="auto"/>
          <w:highlight w:val="none"/>
        </w:rPr>
        <w:t>8</w:t>
      </w:r>
      <w:bookmarkStart w:id="261" w:name="_Toc312677493"/>
      <w:bookmarkStart w:id="262" w:name="_Toc312678019"/>
      <w:bookmarkStart w:id="263" w:name="_Toc296346668"/>
      <w:bookmarkStart w:id="264" w:name="_Toc303539136"/>
      <w:bookmarkStart w:id="265" w:name="_Toc296944506"/>
      <w:bookmarkStart w:id="266" w:name="_Toc296890995"/>
      <w:bookmarkStart w:id="267" w:name="_Toc297216186"/>
      <w:bookmarkStart w:id="268" w:name="_Toc297123527"/>
      <w:bookmarkStart w:id="269" w:name="_Toc280868654"/>
      <w:bookmarkStart w:id="270" w:name="_Toc296891207"/>
      <w:bookmarkStart w:id="271" w:name="_Toc292559877"/>
      <w:bookmarkStart w:id="272" w:name="_Toc300934979"/>
      <w:bookmarkStart w:id="273" w:name="_Toc296347166"/>
      <w:bookmarkStart w:id="274" w:name="_Toc297048353"/>
      <w:bookmarkStart w:id="275" w:name="_Toc304295556"/>
      <w:bookmarkStart w:id="276" w:name="_Toc296503167"/>
      <w:bookmarkStart w:id="277" w:name="_Toc292559372"/>
      <w:bookmarkStart w:id="278" w:name="_Toc297120467"/>
      <w:bookmarkStart w:id="279" w:name="_Toc280868655"/>
      <w:bookmarkStart w:id="280" w:name="_Toc267251424"/>
      <w:bookmarkStart w:id="281" w:name="_Toc280868656"/>
      <w:r>
        <w:rPr>
          <w:rFonts w:hint="eastAsia" w:ascii="宋体" w:cs="宋体"/>
          <w:color w:val="auto"/>
          <w:highlight w:val="none"/>
        </w:rPr>
        <w:t>.4材料与工程设备的保管与使用</w:t>
      </w:r>
      <w:bookmarkEnd w:id="259"/>
      <w:bookmarkEnd w:id="260"/>
    </w:p>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Pr>
        <w:pStyle w:val="10"/>
        <w:spacing w:line="430" w:lineRule="exact"/>
        <w:rPr>
          <w:rFonts w:hint="eastAsia" w:ascii="宋体" w:hAnsi="宋体" w:cs="宋体"/>
          <w:color w:val="auto"/>
          <w:highlight w:val="none"/>
        </w:rPr>
      </w:pPr>
      <w:r>
        <w:rPr>
          <w:rFonts w:hint="eastAsia" w:ascii="宋体" w:hAnsi="宋体" w:cs="宋体"/>
          <w:color w:val="auto"/>
          <w:highlight w:val="none"/>
        </w:rPr>
        <w:t>8</w:t>
      </w:r>
      <w:bookmarkStart w:id="282" w:name="_Toc292559373"/>
      <w:bookmarkStart w:id="283" w:name="_Toc292559878"/>
      <w:bookmarkStart w:id="284" w:name="_Toc297123528"/>
      <w:bookmarkStart w:id="285" w:name="_Toc296503168"/>
      <w:bookmarkStart w:id="286" w:name="_Toc312677494"/>
      <w:bookmarkStart w:id="287" w:name="_Toc296891208"/>
      <w:bookmarkStart w:id="288" w:name="_Toc296944507"/>
      <w:bookmarkStart w:id="289" w:name="_Toc304295557"/>
      <w:bookmarkStart w:id="290" w:name="_Toc296346669"/>
      <w:bookmarkStart w:id="291" w:name="_Toc318581173"/>
      <w:bookmarkStart w:id="292" w:name="_Toc297216187"/>
      <w:bookmarkStart w:id="293" w:name="_Toc297048354"/>
      <w:bookmarkStart w:id="294" w:name="_Toc296890996"/>
      <w:bookmarkStart w:id="295" w:name="_Toc296347167"/>
      <w:bookmarkStart w:id="296" w:name="_Toc297120468"/>
      <w:bookmarkStart w:id="297" w:name="_Toc303539137"/>
      <w:bookmarkStart w:id="298" w:name="_Toc312678020"/>
      <w:bookmarkStart w:id="299" w:name="_Toc300934980"/>
      <w:r>
        <w:rPr>
          <w:rFonts w:hint="eastAsia" w:ascii="宋体" w:hAnsi="宋体" w:cs="宋体"/>
          <w:color w:val="auto"/>
          <w:highlight w:val="none"/>
        </w:rPr>
        <w:t>.4.1发包人供应的材料设备的保管费用的承担：</w:t>
      </w:r>
      <w:r>
        <w:rPr>
          <w:rFonts w:hint="eastAsia" w:ascii="宋体" w:hAnsi="宋体" w:cs="宋体"/>
          <w:color w:val="auto"/>
          <w:highlight w:val="none"/>
          <w:u w:val="single"/>
        </w:rPr>
        <w:t xml:space="preserve">承包人承担 </w:t>
      </w:r>
      <w:r>
        <w:rPr>
          <w:rFonts w:hint="eastAsia" w:ascii="宋体" w:hAnsi="宋体" w:cs="宋体"/>
          <w:color w:val="auto"/>
          <w:highlight w:val="none"/>
        </w:rPr>
        <w:t>。</w:t>
      </w:r>
      <w:bookmarkEnd w:id="282"/>
      <w:bookmarkEnd w:id="283"/>
    </w:p>
    <w:p>
      <w:pPr>
        <w:autoSpaceDE w:val="0"/>
        <w:autoSpaceDN w:val="0"/>
        <w:adjustRightIn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8.6.1 样品的报送与封存</w:t>
      </w:r>
    </w:p>
    <w:p>
      <w:pPr>
        <w:autoSpaceDE w:val="0"/>
        <w:autoSpaceDN w:val="0"/>
        <w:adjustRightIn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kern w:val="0"/>
          <w:sz w:val="21"/>
          <w:szCs w:val="21"/>
          <w:highlight w:val="none"/>
        </w:rPr>
        <w:t>需要承包人报送样品的材料或工程设备，样品的种类、名称、规格、数量要求：</w:t>
      </w:r>
      <w:r>
        <w:rPr>
          <w:rFonts w:hint="eastAsia" w:ascii="宋体" w:hAnsi="宋体" w:cs="宋体"/>
          <w:color w:val="auto"/>
          <w:sz w:val="21"/>
          <w:szCs w:val="21"/>
          <w:highlight w:val="none"/>
          <w:u w:val="single"/>
        </w:rPr>
        <w:t>主要材料涉及品种、款式、颜色等方面内容的，承包人应提交准备合格的材料样品送发包人选定。</w:t>
      </w:r>
    </w:p>
    <w:p>
      <w:pPr>
        <w:pStyle w:val="4"/>
        <w:spacing w:before="0" w:after="0" w:line="400" w:lineRule="exact"/>
        <w:rPr>
          <w:rFonts w:hint="eastAsia" w:ascii="宋体" w:hAnsi="宋体" w:cs="宋体"/>
          <w:color w:val="auto"/>
          <w:sz w:val="21"/>
          <w:szCs w:val="21"/>
          <w:highlight w:val="none"/>
        </w:rPr>
      </w:pPr>
      <w:bookmarkStart w:id="300" w:name="_Toc395382536"/>
      <w:bookmarkStart w:id="301" w:name="_Toc373227734"/>
      <w:bookmarkStart w:id="302" w:name="_Toc389065300"/>
      <w:bookmarkStart w:id="303" w:name="_Toc373478381"/>
      <w:r>
        <w:rPr>
          <w:rFonts w:hint="eastAsia" w:ascii="宋体" w:hAnsi="宋体" w:cs="宋体"/>
          <w:color w:val="auto"/>
          <w:sz w:val="21"/>
          <w:szCs w:val="21"/>
          <w:highlight w:val="none"/>
        </w:rPr>
        <w:t>8.6 样品</w:t>
      </w:r>
      <w:bookmarkEnd w:id="300"/>
      <w:bookmarkEnd w:id="301"/>
      <w:bookmarkEnd w:id="302"/>
      <w:bookmarkEnd w:id="303"/>
    </w:p>
    <w:p>
      <w:pPr>
        <w:autoSpaceDE w:val="0"/>
        <w:autoSpaceDN w:val="0"/>
        <w:adjustRightIn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8.6.1 样品的报送与封存</w:t>
      </w:r>
    </w:p>
    <w:p>
      <w:pPr>
        <w:pStyle w:val="10"/>
        <w:spacing w:line="430" w:lineRule="exact"/>
        <w:rPr>
          <w:rFonts w:hint="eastAsia" w:ascii="宋体" w:hAnsi="宋体" w:cs="宋体"/>
          <w:color w:val="auto"/>
          <w:highlight w:val="none"/>
        </w:rPr>
      </w:pPr>
      <w:r>
        <w:rPr>
          <w:rFonts w:hint="eastAsia" w:ascii="宋体" w:hAnsi="宋体" w:cs="宋体"/>
          <w:color w:val="auto"/>
          <w:highlight w:val="none"/>
        </w:rPr>
        <w:t>需要承包人报送样品的材料或工程设备，样品的种类、名称、规格、数量要求：</w:t>
      </w:r>
      <w:r>
        <w:rPr>
          <w:rFonts w:hint="eastAsia" w:ascii="宋体" w:hAnsi="宋体" w:cs="宋体"/>
          <w:color w:val="auto"/>
          <w:highlight w:val="none"/>
          <w:u w:val="single"/>
        </w:rPr>
        <w:t>主要材料涉及品种、款式、颜色等方面内容的，承包人应提交准备合格的材料样品送发包人选定。</w:t>
      </w:r>
    </w:p>
    <w:p>
      <w:pPr>
        <w:pStyle w:val="9"/>
        <w:spacing w:before="0" w:after="0" w:line="430" w:lineRule="exact"/>
        <w:rPr>
          <w:rFonts w:hint="eastAsia" w:ascii="宋体" w:cs="宋体"/>
          <w:color w:val="auto"/>
          <w:highlight w:val="none"/>
        </w:rPr>
      </w:pPr>
      <w:bookmarkStart w:id="304" w:name="_Toc454283137"/>
      <w:bookmarkStart w:id="305" w:name="_Toc417904310"/>
      <w:r>
        <w:rPr>
          <w:rFonts w:hint="eastAsia" w:ascii="宋体" w:cs="宋体"/>
          <w:color w:val="auto"/>
          <w:highlight w:val="none"/>
        </w:rPr>
        <w:t>8.8 施工设备和临时设施</w:t>
      </w:r>
      <w:bookmarkEnd w:id="304"/>
      <w:bookmarkEnd w:id="305"/>
    </w:p>
    <w:p>
      <w:pPr>
        <w:pStyle w:val="10"/>
        <w:spacing w:line="430" w:lineRule="exact"/>
        <w:rPr>
          <w:rFonts w:hint="eastAsia" w:ascii="宋体" w:hAnsi="宋体" w:cs="宋体"/>
          <w:color w:val="auto"/>
          <w:highlight w:val="none"/>
        </w:rPr>
      </w:pPr>
      <w:r>
        <w:rPr>
          <w:rFonts w:hint="eastAsia" w:ascii="宋体" w:hAnsi="宋体" w:cs="宋体"/>
          <w:color w:val="auto"/>
          <w:highlight w:val="none"/>
        </w:rPr>
        <w:t>8.8.1 承包人提供的施工设备和临时设施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pPr>
        <w:pStyle w:val="10"/>
        <w:spacing w:line="430" w:lineRule="exact"/>
        <w:rPr>
          <w:rFonts w:hint="eastAsia" w:ascii="宋体" w:hAnsi="宋体" w:cs="宋体"/>
          <w:color w:val="auto"/>
          <w:highlight w:val="none"/>
        </w:rPr>
      </w:pPr>
      <w:r>
        <w:rPr>
          <w:rFonts w:hint="eastAsia" w:ascii="宋体" w:hAnsi="宋体" w:cs="宋体"/>
          <w:color w:val="auto"/>
          <w:highlight w:val="none"/>
        </w:rPr>
        <w:t xml:space="preserve">关于修建临时设施费用承担的约定： </w:t>
      </w:r>
    </w:p>
    <w:p>
      <w:pPr>
        <w:pStyle w:val="10"/>
        <w:spacing w:line="430" w:lineRule="exact"/>
        <w:rPr>
          <w:rFonts w:hint="eastAsia" w:ascii="宋体" w:hAnsi="宋体" w:cs="宋体"/>
          <w:color w:val="auto"/>
          <w:highlight w:val="none"/>
          <w:u w:val="single"/>
        </w:rPr>
      </w:pPr>
      <w:r>
        <w:rPr>
          <w:rFonts w:hint="eastAsia" w:ascii="宋体" w:hAnsi="宋体" w:cs="宋体"/>
          <w:color w:val="auto"/>
          <w:highlight w:val="none"/>
          <w:u w:val="single"/>
        </w:rPr>
        <w:t>①承包人的临时用地（含项目部驻地等）租用费（含拆迁补偿）、临时用地的环保、恢复、临时用地的青苗补偿及地面附着物拆除等费用均由承包人负责，以上费用在投标报价中综合考虑。</w:t>
      </w:r>
    </w:p>
    <w:p>
      <w:pPr>
        <w:pStyle w:val="10"/>
        <w:spacing w:line="430" w:lineRule="exact"/>
        <w:rPr>
          <w:rFonts w:hint="eastAsia" w:ascii="宋体" w:hAnsi="宋体" w:cs="宋体"/>
          <w:color w:val="auto"/>
          <w:highlight w:val="none"/>
          <w:u w:val="single"/>
        </w:rPr>
      </w:pPr>
      <w:r>
        <w:rPr>
          <w:rFonts w:hint="eastAsia" w:ascii="宋体" w:hAnsi="宋体" w:cs="宋体"/>
          <w:color w:val="auto"/>
          <w:highlight w:val="none"/>
          <w:u w:val="single"/>
        </w:rPr>
        <w:t>②承包人负责合同实施期间其合同段内临时交通道路（含场内外连接公共交通道路）和交通设施的修建、维修、养护和交通管理工作，并承担一切费用。</w:t>
      </w:r>
    </w:p>
    <w:p>
      <w:pPr>
        <w:pStyle w:val="10"/>
        <w:spacing w:line="430" w:lineRule="exact"/>
        <w:rPr>
          <w:rFonts w:hint="eastAsia" w:ascii="宋体" w:hAnsi="宋体" w:cs="宋体"/>
          <w:color w:val="auto"/>
          <w:highlight w:val="none"/>
        </w:rPr>
      </w:pPr>
      <w:r>
        <w:rPr>
          <w:rFonts w:hint="eastAsia" w:ascii="宋体" w:hAnsi="宋体" w:cs="宋体"/>
          <w:color w:val="auto"/>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autoSpaceDE w:val="0"/>
        <w:autoSpaceDN w:val="0"/>
        <w:adjustRightInd w:val="0"/>
        <w:spacing w:line="43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8.8.2 发包人提供的施工设备和临时设施</w:t>
      </w:r>
    </w:p>
    <w:p>
      <w:pPr>
        <w:autoSpaceDE w:val="0"/>
        <w:autoSpaceDN w:val="0"/>
        <w:adjustRightInd w:val="0"/>
        <w:spacing w:line="43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发包人提供的施工设备和临时设施：</w:t>
      </w:r>
      <w:r>
        <w:rPr>
          <w:rFonts w:hint="eastAsia" w:ascii="宋体" w:hAnsi="宋体" w:cs="宋体"/>
          <w:color w:val="auto"/>
          <w:sz w:val="21"/>
          <w:szCs w:val="21"/>
          <w:highlight w:val="none"/>
          <w:u w:val="single"/>
        </w:rPr>
        <w:t xml:space="preserve">        无                  </w:t>
      </w:r>
      <w:r>
        <w:rPr>
          <w:rFonts w:hint="eastAsia" w:ascii="宋体" w:hAnsi="宋体" w:cs="宋体"/>
          <w:color w:val="auto"/>
          <w:sz w:val="21"/>
          <w:szCs w:val="21"/>
          <w:highlight w:val="none"/>
        </w:rPr>
        <w:t>。</w:t>
      </w:r>
    </w:p>
    <w:p>
      <w:pPr>
        <w:autoSpaceDE w:val="0"/>
        <w:autoSpaceDN w:val="0"/>
        <w:adjustRightInd w:val="0"/>
        <w:spacing w:line="43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发包人提供的施工设备和临时设施的运行、维护、拆除、清运费用的承担人：</w:t>
      </w:r>
      <w:r>
        <w:rPr>
          <w:rFonts w:hint="eastAsia" w:ascii="宋体" w:hAnsi="宋体" w:cs="宋体"/>
          <w:color w:val="auto"/>
          <w:sz w:val="21"/>
          <w:szCs w:val="21"/>
          <w:highlight w:val="none"/>
          <w:u w:val="single"/>
        </w:rPr>
        <w:t xml:space="preserve">   无   </w:t>
      </w:r>
      <w:r>
        <w:rPr>
          <w:rFonts w:hint="eastAsia" w:ascii="宋体" w:hAnsi="宋体" w:cs="宋体"/>
          <w:color w:val="auto"/>
          <w:sz w:val="21"/>
          <w:szCs w:val="21"/>
          <w:highlight w:val="none"/>
        </w:rPr>
        <w:t>。</w:t>
      </w:r>
    </w:p>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Pr>
        <w:pStyle w:val="9"/>
        <w:spacing w:before="0" w:after="0" w:line="430" w:lineRule="exact"/>
        <w:rPr>
          <w:rFonts w:hint="eastAsia" w:ascii="宋体" w:cs="宋体"/>
          <w:color w:val="auto"/>
          <w:highlight w:val="none"/>
        </w:rPr>
      </w:pPr>
      <w:bookmarkStart w:id="306" w:name="_Toc417904311"/>
      <w:bookmarkStart w:id="307" w:name="_Toc454283138"/>
      <w:bookmarkStart w:id="308" w:name="_Toc351203641"/>
      <w:r>
        <w:rPr>
          <w:rFonts w:hint="eastAsia" w:ascii="宋体" w:cs="宋体"/>
          <w:color w:val="auto"/>
          <w:highlight w:val="none"/>
        </w:rPr>
        <w:t>9</w:t>
      </w:r>
      <w:bookmarkEnd w:id="279"/>
      <w:bookmarkEnd w:id="280"/>
      <w:bookmarkEnd w:id="281"/>
      <w:bookmarkStart w:id="309" w:name="_Toc303539139"/>
      <w:bookmarkStart w:id="310" w:name="_Toc312677495"/>
      <w:bookmarkStart w:id="311" w:name="_Toc304295559"/>
      <w:bookmarkStart w:id="312" w:name="_Toc300934982"/>
      <w:bookmarkStart w:id="313" w:name="_Toc297216192"/>
      <w:bookmarkStart w:id="314" w:name="_Toc297123533"/>
      <w:bookmarkStart w:id="315" w:name="_Toc312678021"/>
      <w:bookmarkStart w:id="316" w:name="_Toc296944512"/>
      <w:bookmarkStart w:id="317" w:name="_Toc267251427"/>
      <w:bookmarkStart w:id="318" w:name="_Toc292559883"/>
      <w:bookmarkStart w:id="319" w:name="_Toc296891213"/>
      <w:bookmarkStart w:id="320" w:name="_Toc267251428"/>
      <w:bookmarkStart w:id="321" w:name="_Toc296503173"/>
      <w:bookmarkStart w:id="322" w:name="_Toc297120473"/>
      <w:bookmarkStart w:id="323" w:name="_Toc292559378"/>
      <w:bookmarkStart w:id="324" w:name="_Toc297048359"/>
      <w:bookmarkStart w:id="325" w:name="_Toc296346674"/>
      <w:bookmarkStart w:id="326" w:name="_Toc296891001"/>
      <w:bookmarkStart w:id="327" w:name="_Toc296347172"/>
      <w:r>
        <w:rPr>
          <w:rFonts w:hint="eastAsia" w:ascii="宋体" w:cs="宋体"/>
          <w:color w:val="auto"/>
          <w:highlight w:val="none"/>
        </w:rPr>
        <w:t>. 试验与检验</w:t>
      </w:r>
      <w:bookmarkEnd w:id="306"/>
      <w:bookmarkEnd w:id="307"/>
      <w:bookmarkEnd w:id="308"/>
    </w:p>
    <w:bookmarkEnd w:id="309"/>
    <w:bookmarkEnd w:id="310"/>
    <w:bookmarkEnd w:id="311"/>
    <w:bookmarkEnd w:id="312"/>
    <w:bookmarkEnd w:id="313"/>
    <w:bookmarkEnd w:id="314"/>
    <w:bookmarkEnd w:id="315"/>
    <w:p>
      <w:pPr>
        <w:pStyle w:val="9"/>
        <w:spacing w:before="0" w:after="0"/>
        <w:rPr>
          <w:rFonts w:hint="eastAsia" w:ascii="宋体" w:cs="宋体"/>
          <w:color w:val="auto"/>
          <w:highlight w:val="none"/>
        </w:rPr>
      </w:pPr>
      <w:bookmarkStart w:id="328" w:name="_Toc417904312"/>
      <w:bookmarkStart w:id="329" w:name="_Toc454283139"/>
      <w:r>
        <w:rPr>
          <w:rFonts w:hint="eastAsia" w:ascii="宋体" w:cs="宋体"/>
          <w:color w:val="auto"/>
          <w:highlight w:val="none"/>
        </w:rPr>
        <w:t>9</w:t>
      </w:r>
      <w:bookmarkStart w:id="330" w:name="_Toc300934983"/>
      <w:bookmarkStart w:id="331" w:name="_Toc312678022"/>
      <w:bookmarkStart w:id="332" w:name="_Toc303539140"/>
      <w:bookmarkStart w:id="333" w:name="_Toc304295560"/>
      <w:bookmarkStart w:id="334" w:name="_Toc312677496"/>
      <w:bookmarkStart w:id="335" w:name="_Toc297216193"/>
      <w:bookmarkStart w:id="336" w:name="_Toc297123534"/>
      <w:r>
        <w:rPr>
          <w:rFonts w:hint="eastAsia" w:ascii="宋体" w:cs="宋体"/>
          <w:color w:val="auto"/>
          <w:highlight w:val="none"/>
        </w:rPr>
        <w:t>.1试验设备与试验人员</w:t>
      </w:r>
      <w:bookmarkEnd w:id="328"/>
      <w:bookmarkEnd w:id="329"/>
    </w:p>
    <w:bookmarkEnd w:id="330"/>
    <w:bookmarkEnd w:id="331"/>
    <w:bookmarkEnd w:id="332"/>
    <w:bookmarkEnd w:id="333"/>
    <w:bookmarkEnd w:id="334"/>
    <w:bookmarkEnd w:id="335"/>
    <w:bookmarkEnd w:id="336"/>
    <w:p>
      <w:pPr>
        <w:pStyle w:val="10"/>
        <w:rPr>
          <w:rFonts w:hint="eastAsia" w:ascii="宋体" w:hAnsi="宋体" w:cs="宋体"/>
          <w:color w:val="auto"/>
          <w:highlight w:val="none"/>
        </w:rPr>
      </w:pPr>
      <w:r>
        <w:rPr>
          <w:rFonts w:hint="eastAsia" w:ascii="宋体" w:hAnsi="宋体" w:cs="宋体"/>
          <w:color w:val="auto"/>
          <w:highlight w:val="none"/>
        </w:rPr>
        <w:t>9</w:t>
      </w:r>
      <w:bookmarkStart w:id="337" w:name="_Toc297123535"/>
      <w:bookmarkStart w:id="338" w:name="_Toc312678023"/>
      <w:bookmarkStart w:id="339" w:name="_Toc304295561"/>
      <w:bookmarkStart w:id="340" w:name="_Toc303539141"/>
      <w:bookmarkStart w:id="341" w:name="_Toc297216194"/>
      <w:bookmarkStart w:id="342" w:name="_Toc300934984"/>
      <w:bookmarkStart w:id="343" w:name="_Toc312677497"/>
      <w:bookmarkStart w:id="344" w:name="_Toc318581174"/>
      <w:r>
        <w:rPr>
          <w:rFonts w:hint="eastAsia" w:ascii="宋体" w:hAnsi="宋体" w:cs="宋体"/>
          <w:color w:val="auto"/>
          <w:highlight w:val="none"/>
        </w:rPr>
        <w:t>.1.2 试验设备</w:t>
      </w:r>
    </w:p>
    <w:p>
      <w:pPr>
        <w:pStyle w:val="10"/>
        <w:rPr>
          <w:rFonts w:hint="eastAsia" w:ascii="宋体" w:hAnsi="宋体" w:cs="宋体"/>
          <w:color w:val="auto"/>
          <w:highlight w:val="none"/>
        </w:rPr>
      </w:pPr>
      <w:r>
        <w:rPr>
          <w:rFonts w:hint="eastAsia" w:ascii="宋体" w:hAnsi="宋体" w:cs="宋体"/>
          <w:color w:val="auto"/>
          <w:highlight w:val="none"/>
        </w:rPr>
        <w:t>施工现场需要配置的试验场所：</w:t>
      </w:r>
      <w:bookmarkEnd w:id="337"/>
      <w:bookmarkEnd w:id="338"/>
      <w:bookmarkEnd w:id="339"/>
      <w:bookmarkEnd w:id="340"/>
      <w:bookmarkEnd w:id="341"/>
      <w:bookmarkEnd w:id="342"/>
      <w:bookmarkEnd w:id="343"/>
      <w:bookmarkStart w:id="345" w:name="_Toc300934985"/>
      <w:bookmarkStart w:id="346" w:name="_Toc297123536"/>
      <w:bookmarkStart w:id="347" w:name="_Toc297216195"/>
      <w:bookmarkStart w:id="348" w:name="_Toc304295562"/>
      <w:bookmarkStart w:id="349" w:name="_Toc312678024"/>
      <w:bookmarkStart w:id="350" w:name="_Toc303539142"/>
      <w:bookmarkStart w:id="351" w:name="_Toc312677498"/>
      <w:r>
        <w:rPr>
          <w:rFonts w:hint="eastAsia" w:ascii="宋体" w:hAnsi="宋体" w:cs="宋体"/>
          <w:color w:val="auto"/>
          <w:highlight w:val="none"/>
          <w:u w:val="single"/>
        </w:rPr>
        <w:t xml:space="preserve">   按实际需要和国家规定 </w:t>
      </w:r>
      <w:r>
        <w:rPr>
          <w:rFonts w:hint="eastAsia" w:ascii="宋体" w:hAnsi="宋体" w:cs="宋体"/>
          <w:color w:val="auto"/>
          <w:highlight w:val="none"/>
        </w:rPr>
        <w:t xml:space="preserve">。 </w:t>
      </w:r>
    </w:p>
    <w:p>
      <w:pPr>
        <w:pStyle w:val="10"/>
        <w:rPr>
          <w:rFonts w:hint="eastAsia" w:ascii="宋体" w:hAnsi="宋体" w:cs="宋体"/>
          <w:color w:val="auto"/>
          <w:highlight w:val="none"/>
        </w:rPr>
      </w:pPr>
      <w:r>
        <w:rPr>
          <w:rFonts w:hint="eastAsia" w:ascii="宋体" w:hAnsi="宋体" w:cs="宋体"/>
          <w:color w:val="auto"/>
          <w:highlight w:val="none"/>
        </w:rPr>
        <w:t>施工现场需要配备的试验设备：</w:t>
      </w:r>
      <w:r>
        <w:rPr>
          <w:rFonts w:hint="eastAsia" w:ascii="宋体" w:hAnsi="宋体" w:cs="宋体"/>
          <w:color w:val="auto"/>
          <w:highlight w:val="none"/>
          <w:u w:val="single"/>
        </w:rPr>
        <w:t xml:space="preserve">    按实际需要和国家规定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施工现场需要具备的其他试验条件：</w:t>
      </w:r>
      <w:r>
        <w:rPr>
          <w:rFonts w:hint="eastAsia" w:ascii="宋体" w:hAnsi="宋体" w:cs="宋体"/>
          <w:color w:val="auto"/>
          <w:highlight w:val="none"/>
          <w:u w:val="single"/>
        </w:rPr>
        <w:t xml:space="preserve">   按实际需要和国家规定  </w:t>
      </w:r>
      <w:r>
        <w:rPr>
          <w:rFonts w:hint="eastAsia" w:ascii="宋体" w:hAnsi="宋体" w:cs="宋体"/>
          <w:color w:val="auto"/>
          <w:highlight w:val="none"/>
        </w:rPr>
        <w:t>。</w:t>
      </w:r>
    </w:p>
    <w:p>
      <w:pPr>
        <w:pStyle w:val="9"/>
        <w:spacing w:before="0" w:after="0"/>
        <w:rPr>
          <w:rFonts w:hint="eastAsia" w:ascii="宋体" w:cs="宋体"/>
          <w:color w:val="auto"/>
          <w:highlight w:val="none"/>
        </w:rPr>
      </w:pPr>
      <w:bookmarkStart w:id="352" w:name="_Toc454283140"/>
      <w:bookmarkStart w:id="353" w:name="_Toc417904313"/>
      <w:r>
        <w:rPr>
          <w:rFonts w:hint="eastAsia" w:ascii="宋体" w:cs="宋体"/>
          <w:color w:val="auto"/>
          <w:highlight w:val="none"/>
        </w:rPr>
        <w:t>9.4 现场工艺试验</w:t>
      </w:r>
      <w:bookmarkEnd w:id="352"/>
      <w:bookmarkEnd w:id="353"/>
      <w:r>
        <w:rPr>
          <w:rFonts w:hint="eastAsia" w:ascii="宋体" w:cs="宋体"/>
          <w:color w:val="auto"/>
          <w:highlight w:val="none"/>
        </w:rPr>
        <w:t xml:space="preserve"> </w:t>
      </w:r>
    </w:p>
    <w:p>
      <w:pPr>
        <w:pStyle w:val="10"/>
        <w:rPr>
          <w:rFonts w:hint="eastAsia" w:ascii="宋体" w:hAnsi="宋体" w:cs="宋体"/>
          <w:color w:val="auto"/>
          <w:highlight w:val="none"/>
        </w:rPr>
      </w:pPr>
      <w:r>
        <w:rPr>
          <w:rFonts w:hint="eastAsia" w:ascii="宋体" w:hAnsi="宋体" w:cs="宋体"/>
          <w:color w:val="auto"/>
          <w:highlight w:val="none"/>
        </w:rPr>
        <w:t>现场工艺试验的有关约定：</w:t>
      </w:r>
      <w:r>
        <w:rPr>
          <w:rFonts w:hint="eastAsia" w:ascii="宋体" w:hAnsi="宋体" w:cs="宋体"/>
          <w:color w:val="auto"/>
          <w:highlight w:val="none"/>
          <w:u w:val="single"/>
        </w:rPr>
        <w:t xml:space="preserve">    按实际需要和国家规定  </w:t>
      </w:r>
      <w:r>
        <w:rPr>
          <w:rFonts w:hint="eastAsia" w:ascii="宋体" w:hAnsi="宋体" w:cs="宋体"/>
          <w:color w:val="auto"/>
          <w:highlight w:val="none"/>
        </w:rPr>
        <w:t>。</w:t>
      </w:r>
    </w:p>
    <w:p>
      <w:pPr>
        <w:pStyle w:val="9"/>
        <w:spacing w:before="0" w:after="0"/>
        <w:rPr>
          <w:rFonts w:hint="eastAsia" w:ascii="宋体" w:cs="宋体"/>
          <w:color w:val="auto"/>
          <w:highlight w:val="none"/>
        </w:rPr>
      </w:pPr>
      <w:bookmarkStart w:id="354" w:name="_Toc406420990"/>
      <w:bookmarkStart w:id="355" w:name="_Toc417904314"/>
      <w:bookmarkStart w:id="356" w:name="_Toc395382541"/>
      <w:bookmarkStart w:id="357" w:name="_Toc454283141"/>
      <w:r>
        <w:rPr>
          <w:rFonts w:hint="eastAsia" w:ascii="宋体" w:cs="宋体"/>
          <w:color w:val="auto"/>
          <w:highlight w:val="none"/>
        </w:rPr>
        <w:t>9.5 检验费用</w:t>
      </w:r>
      <w:bookmarkEnd w:id="354"/>
      <w:bookmarkEnd w:id="355"/>
      <w:bookmarkEnd w:id="356"/>
      <w:bookmarkEnd w:id="357"/>
    </w:p>
    <w:p>
      <w:pPr>
        <w:spacing w:line="360" w:lineRule="auto"/>
        <w:ind w:firstLine="411" w:firstLineChars="196"/>
        <w:rPr>
          <w:rFonts w:hint="eastAsia" w:ascii="宋体" w:hAnsi="宋体" w:cs="宋体"/>
          <w:color w:val="auto"/>
          <w:sz w:val="21"/>
          <w:szCs w:val="21"/>
          <w:highlight w:val="none"/>
        </w:rPr>
      </w:pPr>
      <w:r>
        <w:rPr>
          <w:rFonts w:hint="eastAsia" w:ascii="宋体" w:hAnsi="宋体" w:cs="宋体"/>
          <w:color w:val="auto"/>
          <w:sz w:val="21"/>
          <w:szCs w:val="21"/>
          <w:highlight w:val="none"/>
        </w:rPr>
        <w:t>根据《建设工程质量检测管理办法》（建设部令第141号）以及</w:t>
      </w:r>
      <w:r>
        <w:rPr>
          <w:rFonts w:hint="eastAsia" w:ascii="宋体" w:hAnsi="宋体" w:cs="宋体"/>
          <w:bCs/>
          <w:color w:val="auto"/>
          <w:sz w:val="21"/>
          <w:szCs w:val="21"/>
          <w:highlight w:val="none"/>
        </w:rPr>
        <w:t>《广西壮族自治区建设工程质量检测管理规定》（桂建管〔2013〕11号）、及行业</w:t>
      </w:r>
      <w:r>
        <w:rPr>
          <w:rFonts w:hint="eastAsia" w:ascii="宋体" w:hAnsi="宋体" w:cs="宋体"/>
          <w:color w:val="auto"/>
          <w:sz w:val="21"/>
          <w:szCs w:val="21"/>
          <w:highlight w:val="none"/>
        </w:rPr>
        <w:t>规定，工程质量检测业务由采购人委托有相应资质的检测机构检测。费用从采购人的项目建设经费中支出并直接支付给检测机构，不计入合同价款内。</w:t>
      </w:r>
    </w:p>
    <w:bookmarkEnd w:id="344"/>
    <w:bookmarkEnd w:id="345"/>
    <w:bookmarkEnd w:id="346"/>
    <w:bookmarkEnd w:id="347"/>
    <w:bookmarkEnd w:id="348"/>
    <w:bookmarkEnd w:id="349"/>
    <w:bookmarkEnd w:id="350"/>
    <w:bookmarkEnd w:id="351"/>
    <w:p>
      <w:pPr>
        <w:pStyle w:val="9"/>
        <w:spacing w:before="0" w:after="0"/>
        <w:rPr>
          <w:rFonts w:hint="eastAsia" w:ascii="宋体" w:cs="宋体"/>
          <w:color w:val="auto"/>
          <w:highlight w:val="none"/>
        </w:rPr>
      </w:pPr>
      <w:bookmarkStart w:id="358" w:name="_Toc417904315"/>
      <w:bookmarkStart w:id="359" w:name="_Toc454283142"/>
      <w:bookmarkStart w:id="360" w:name="_Toc351203642"/>
      <w:r>
        <w:rPr>
          <w:rFonts w:hint="eastAsia" w:ascii="宋体" w:cs="宋体"/>
          <w:color w:val="auto"/>
          <w:highlight w:val="none"/>
        </w:rPr>
        <w:t>1</w:t>
      </w:r>
      <w:bookmarkEnd w:id="316"/>
      <w:bookmarkEnd w:id="317"/>
      <w:bookmarkEnd w:id="318"/>
      <w:bookmarkEnd w:id="319"/>
      <w:bookmarkEnd w:id="320"/>
      <w:bookmarkEnd w:id="321"/>
      <w:bookmarkEnd w:id="322"/>
      <w:bookmarkEnd w:id="323"/>
      <w:bookmarkEnd w:id="324"/>
      <w:bookmarkEnd w:id="325"/>
      <w:bookmarkEnd w:id="326"/>
      <w:bookmarkEnd w:id="327"/>
      <w:bookmarkStart w:id="361" w:name="_Toc297120493"/>
      <w:bookmarkStart w:id="362" w:name="_Toc292559398"/>
      <w:bookmarkStart w:id="363" w:name="_Toc292559903"/>
      <w:bookmarkStart w:id="364" w:name="_Toc297216199"/>
      <w:bookmarkStart w:id="365" w:name="_Toc297048379"/>
      <w:bookmarkStart w:id="366" w:name="_Toc304295566"/>
      <w:bookmarkStart w:id="367" w:name="_Toc296347192"/>
      <w:bookmarkStart w:id="368" w:name="_Toc303539146"/>
      <w:bookmarkStart w:id="369" w:name="_Toc296503193"/>
      <w:bookmarkStart w:id="370" w:name="_Toc300934989"/>
      <w:bookmarkStart w:id="371" w:name="_Toc296944532"/>
      <w:bookmarkStart w:id="372" w:name="_Toc296346694"/>
      <w:bookmarkStart w:id="373" w:name="_Toc296891233"/>
      <w:bookmarkStart w:id="374" w:name="_Toc297123540"/>
      <w:bookmarkStart w:id="375" w:name="_Toc296891021"/>
      <w:bookmarkStart w:id="376" w:name="_Toc312677499"/>
      <w:bookmarkStart w:id="377" w:name="_Toc312678025"/>
      <w:bookmarkStart w:id="378" w:name="_Toc267251435"/>
      <w:bookmarkStart w:id="379" w:name="_Toc267251440"/>
      <w:bookmarkStart w:id="380" w:name="_Toc267251441"/>
      <w:bookmarkStart w:id="381" w:name="_Toc267251439"/>
      <w:bookmarkStart w:id="382" w:name="_Toc267251433"/>
      <w:bookmarkStart w:id="383" w:name="_Toc267251437"/>
      <w:bookmarkStart w:id="384" w:name="_Toc267251442"/>
      <w:r>
        <w:rPr>
          <w:rFonts w:hint="eastAsia" w:ascii="宋体" w:cs="宋体"/>
          <w:color w:val="auto"/>
          <w:highlight w:val="none"/>
        </w:rPr>
        <w:t>0. 变更</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bookmarkEnd w:id="376"/>
    <w:bookmarkEnd w:id="377"/>
    <w:p>
      <w:pPr>
        <w:pStyle w:val="9"/>
        <w:spacing w:before="0" w:after="0"/>
        <w:rPr>
          <w:rFonts w:hint="eastAsia" w:ascii="宋体" w:cs="宋体"/>
          <w:color w:val="auto"/>
          <w:highlight w:val="none"/>
        </w:rPr>
      </w:pPr>
      <w:bookmarkStart w:id="385" w:name="_Toc417904316"/>
      <w:bookmarkStart w:id="386" w:name="_Toc454283143"/>
      <w:r>
        <w:rPr>
          <w:rFonts w:hint="eastAsia" w:ascii="宋体" w:cs="宋体"/>
          <w:color w:val="auto"/>
          <w:highlight w:val="none"/>
        </w:rPr>
        <w:t>1</w:t>
      </w:r>
      <w:bookmarkStart w:id="387" w:name="_Toc296944533"/>
      <w:bookmarkStart w:id="388" w:name="_Toc296503194"/>
      <w:bookmarkStart w:id="389" w:name="_Toc296347193"/>
      <w:bookmarkStart w:id="390" w:name="_Toc296891022"/>
      <w:bookmarkStart w:id="391" w:name="_Toc297048380"/>
      <w:bookmarkStart w:id="392" w:name="_Toc300934990"/>
      <w:bookmarkStart w:id="393" w:name="_Toc304295567"/>
      <w:bookmarkStart w:id="394" w:name="_Toc312678026"/>
      <w:bookmarkStart w:id="395" w:name="_Toc292559399"/>
      <w:bookmarkStart w:id="396" w:name="_Toc303539147"/>
      <w:bookmarkStart w:id="397" w:name="_Toc292559904"/>
      <w:bookmarkStart w:id="398" w:name="_Toc297120494"/>
      <w:bookmarkStart w:id="399" w:name="_Toc296891234"/>
      <w:bookmarkStart w:id="400" w:name="_Toc297123541"/>
      <w:bookmarkStart w:id="401" w:name="_Toc312677500"/>
      <w:bookmarkStart w:id="402" w:name="_Toc297216200"/>
      <w:bookmarkStart w:id="403" w:name="_Toc296346695"/>
      <w:r>
        <w:rPr>
          <w:rFonts w:hint="eastAsia" w:ascii="宋体" w:cs="宋体"/>
          <w:color w:val="auto"/>
          <w:highlight w:val="none"/>
        </w:rPr>
        <w:t>0.1变更的范围</w:t>
      </w:r>
      <w:bookmarkEnd w:id="385"/>
      <w:bookmarkEnd w:id="386"/>
    </w:p>
    <w:p>
      <w:pPr>
        <w:pStyle w:val="10"/>
        <w:rPr>
          <w:rFonts w:hint="eastAsia" w:ascii="宋体" w:hAnsi="宋体" w:cs="宋体"/>
          <w:color w:val="auto"/>
          <w:highlight w:val="none"/>
        </w:rPr>
      </w:pPr>
      <w:r>
        <w:rPr>
          <w:rFonts w:hint="eastAsia" w:ascii="宋体" w:hAnsi="宋体" w:cs="宋体"/>
          <w:color w:val="auto"/>
          <w:highlight w:val="none"/>
        </w:rPr>
        <w:t>关于变更的范围的约定：</w:t>
      </w:r>
      <w:r>
        <w:rPr>
          <w:rFonts w:hint="eastAsia" w:ascii="宋体" w:hAnsi="宋体" w:cs="宋体"/>
          <w:color w:val="auto"/>
          <w:highlight w:val="none"/>
          <w:u w:val="single"/>
        </w:rPr>
        <w:t>因设计变更或者现场签证导致变更后的预算</w:t>
      </w:r>
      <w:r>
        <w:rPr>
          <w:rFonts w:hint="eastAsia" w:ascii="宋体" w:hAnsi="宋体" w:cs="宋体"/>
          <w:color w:val="auto"/>
          <w:highlight w:val="none"/>
          <w:u w:val="single"/>
        </w:rPr>
        <w:t>超</w:t>
      </w:r>
      <w:r>
        <w:rPr>
          <w:rFonts w:hint="eastAsia" w:ascii="宋体" w:hAnsi="宋体" w:cs="宋体"/>
          <w:color w:val="auto"/>
          <w:highlight w:val="none"/>
          <w:u w:val="single"/>
        </w:rPr>
        <w:t>过分项预算或者总预算的，</w:t>
      </w:r>
      <w:r>
        <w:rPr>
          <w:rFonts w:hint="eastAsia" w:ascii="宋体" w:hAnsi="宋体" w:cs="宋体"/>
          <w:color w:val="auto"/>
          <w:highlight w:val="none"/>
          <w:u w:val="single"/>
        </w:rPr>
        <w:t>须经发包人审核后实施</w:t>
      </w:r>
      <w:r>
        <w:rPr>
          <w:rFonts w:hint="eastAsia" w:ascii="宋体" w:hAnsi="宋体" w:cs="宋体"/>
          <w:color w:val="auto"/>
          <w:highlight w:val="none"/>
        </w:rPr>
        <w:t>。发包人可以取消部分工作内容的施工。</w:t>
      </w:r>
    </w:p>
    <w:p>
      <w:pPr>
        <w:pStyle w:val="9"/>
        <w:spacing w:before="0" w:after="0"/>
        <w:rPr>
          <w:rFonts w:hint="eastAsia" w:ascii="宋体" w:cs="宋体"/>
          <w:color w:val="auto"/>
          <w:highlight w:val="none"/>
        </w:rPr>
      </w:pPr>
      <w:bookmarkStart w:id="404" w:name="_Toc395382544"/>
      <w:bookmarkStart w:id="405" w:name="_Toc373227741"/>
      <w:bookmarkStart w:id="406" w:name="_Toc454283144"/>
      <w:bookmarkStart w:id="407" w:name="_Toc373478388"/>
      <w:bookmarkStart w:id="408" w:name="_Toc389065307"/>
      <w:bookmarkStart w:id="409" w:name="_Toc417904317"/>
      <w:r>
        <w:rPr>
          <w:rFonts w:hint="eastAsia" w:ascii="宋体" w:cs="宋体"/>
          <w:color w:val="auto"/>
          <w:highlight w:val="none"/>
        </w:rPr>
        <w:t>10.3 变更程序</w:t>
      </w:r>
      <w:bookmarkEnd w:id="404"/>
      <w:bookmarkEnd w:id="405"/>
      <w:bookmarkEnd w:id="406"/>
      <w:bookmarkEnd w:id="407"/>
      <w:bookmarkEnd w:id="408"/>
      <w:bookmarkEnd w:id="409"/>
    </w:p>
    <w:p>
      <w:pPr>
        <w:pStyle w:val="10"/>
        <w:rPr>
          <w:rFonts w:hint="eastAsia" w:ascii="宋体" w:hAnsi="宋体" w:cs="宋体"/>
          <w:bCs/>
          <w:color w:val="auto"/>
          <w:highlight w:val="none"/>
        </w:rPr>
      </w:pPr>
      <w:r>
        <w:rPr>
          <w:rFonts w:hint="eastAsia" w:ascii="宋体" w:hAnsi="宋体" w:cs="宋体"/>
          <w:bCs/>
          <w:color w:val="auto"/>
          <w:highlight w:val="none"/>
        </w:rPr>
        <w:t>10.3.2 非国有投资项目：</w:t>
      </w:r>
      <w:r>
        <w:rPr>
          <w:rFonts w:hint="eastAsia" w:ascii="宋体" w:hAnsi="宋体" w:cs="宋体"/>
          <w:color w:val="auto"/>
          <w:highlight w:val="none"/>
          <w:u w:val="single"/>
        </w:rPr>
        <w:t>无</w:t>
      </w:r>
      <w:r>
        <w:rPr>
          <w:rFonts w:hint="eastAsia" w:ascii="宋体" w:hAnsi="宋体" w:cs="宋体"/>
          <w:bCs/>
          <w:color w:val="auto"/>
          <w:highlight w:val="none"/>
          <w:u w:val="single"/>
        </w:rPr>
        <w:t xml:space="preserve">  </w:t>
      </w:r>
      <w:r>
        <w:rPr>
          <w:rFonts w:hint="eastAsia" w:ascii="宋体" w:hAnsi="宋体" w:cs="宋体"/>
          <w:bCs/>
          <w:color w:val="auto"/>
          <w:highlight w:val="none"/>
        </w:rPr>
        <w:t>。</w:t>
      </w:r>
    </w:p>
    <w:p>
      <w:pPr>
        <w:pStyle w:val="9"/>
        <w:spacing w:before="0" w:after="0"/>
        <w:rPr>
          <w:rFonts w:hint="eastAsia" w:ascii="宋体" w:cs="宋体"/>
          <w:color w:val="auto"/>
          <w:highlight w:val="none"/>
        </w:rPr>
      </w:pPr>
      <w:bookmarkStart w:id="410" w:name="_Toc417904318"/>
      <w:bookmarkStart w:id="411" w:name="_Toc454283145"/>
      <w:r>
        <w:rPr>
          <w:rFonts w:hint="eastAsia" w:ascii="宋体" w:cs="宋体"/>
          <w:color w:val="auto"/>
          <w:highlight w:val="none"/>
        </w:rPr>
        <w:t>10.4 变更估价</w:t>
      </w:r>
      <w:bookmarkEnd w:id="410"/>
      <w:bookmarkEnd w:id="411"/>
    </w:p>
    <w:p>
      <w:pPr>
        <w:pStyle w:val="10"/>
        <w:rPr>
          <w:rFonts w:hint="eastAsia" w:ascii="宋体" w:hAnsi="宋体" w:cs="宋体"/>
          <w:color w:val="auto"/>
          <w:highlight w:val="none"/>
          <w:u w:val="single"/>
        </w:rPr>
      </w:pPr>
      <w:r>
        <w:rPr>
          <w:rFonts w:hint="eastAsia" w:ascii="宋体" w:hAnsi="宋体" w:cs="宋体"/>
          <w:color w:val="auto"/>
          <w:highlight w:val="none"/>
        </w:rPr>
        <w:t>10.4.1变更估价原则:</w:t>
      </w:r>
      <w:bookmarkStart w:id="412" w:name="_Toc251051742"/>
      <w:r>
        <w:rPr>
          <w:rFonts w:hint="eastAsia" w:ascii="宋体" w:hAnsi="宋体" w:cs="宋体"/>
          <w:bCs/>
          <w:color w:val="auto"/>
          <w:highlight w:val="none"/>
          <w:u w:val="single"/>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计算，其中材料价格按施工期间的《桂林市建设工程造价信息》相应价格信息进行计算；《桂林市建设工程造价信息》没有相应价格信息的按市场价计算；无定额可套的，根据市场价格协商确定综合价格；对于国有资产投资的项目，新增项目的单价必须经发包人委托的第三方审核机构审定</w:t>
      </w:r>
      <w:bookmarkEnd w:id="412"/>
      <w:r>
        <w:rPr>
          <w:rFonts w:hint="eastAsia" w:ascii="宋体" w:hAnsi="宋体" w:cs="宋体"/>
          <w:color w:val="auto"/>
          <w:highlight w:val="none"/>
        </w:rPr>
        <w:t>。</w:t>
      </w:r>
    </w:p>
    <w:p>
      <w:pPr>
        <w:spacing w:line="40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 xml:space="preserve">关于变更估价的约定: </w:t>
      </w:r>
      <w:r>
        <w:rPr>
          <w:rFonts w:hint="eastAsia" w:ascii="宋体" w:hAnsi="宋体" w:cs="宋体"/>
          <w:color w:val="auto"/>
          <w:sz w:val="21"/>
          <w:szCs w:val="21"/>
          <w:highlight w:val="none"/>
          <w:u w:val="single"/>
        </w:rPr>
        <w:t xml:space="preserve"> （1）投标报价中已有适用于变更工程的综合单价，按已有的综合单价，综合单价不随工程量的增减而变化，（2）投标报价中有类似变更工程的综合单价，可参照投标报价中类似的综合单价确定（3）投标报价中没有适用或类似于变更工程的综合单价，则有定额的套定额计算，执行本工程编制招标控制价的参考依据，其中材料价格有信息价的按合同该新增子项实施期间《桂林市建设工程造价信息》的平均值计取，无信息价的，按市场价格由发包人、承包人、发包人代表、发包人委托的造价咨询机构、现场监管代表及监理协商确定材料价，不在下浮范围之内；新增结算综合单价=定额计算的综合单价×（中标的投标报价/招标控制价），新增项目无定额可套时，由发包人、承包人驻现场代表（包括发包人建房代表、发包人委托的造价咨询机构）及监理三方共同协商确定包干价，不在下浮范围之内。</w:t>
      </w:r>
      <w:r>
        <w:rPr>
          <w:rFonts w:hint="eastAsia" w:ascii="宋体" w:hAnsi="宋体" w:cs="宋体"/>
          <w:b/>
          <w:color w:val="auto"/>
          <w:sz w:val="21"/>
          <w:szCs w:val="21"/>
          <w:highlight w:val="none"/>
          <w:u w:val="single"/>
        </w:rPr>
        <w:t>暂定价调整方法为：暂定材料价格部分仅调整合同实施期间材料市场价与暂定价之间的价差并计相应的规费和增值税，投标书中相应的综合单价不再调整。</w:t>
      </w:r>
    </w:p>
    <w:p>
      <w:pPr>
        <w:pStyle w:val="10"/>
        <w:spacing w:line="400" w:lineRule="exact"/>
        <w:rPr>
          <w:rFonts w:hint="eastAsia" w:ascii="宋体" w:hAnsi="宋体" w:cs="宋体"/>
          <w:color w:val="auto"/>
          <w:highlight w:val="none"/>
          <w:u w:val="single"/>
        </w:rPr>
      </w:pPr>
      <w:r>
        <w:rPr>
          <w:rFonts w:hint="eastAsia" w:ascii="宋体" w:hAnsi="宋体" w:cs="宋体"/>
          <w:color w:val="auto"/>
          <w:highlight w:val="none"/>
        </w:rPr>
        <w:t>无约定的参照我区现行《建设工程工程量清单计价规范》相关规定执行。</w:t>
      </w:r>
    </w:p>
    <w:p>
      <w:pPr>
        <w:pStyle w:val="9"/>
        <w:spacing w:before="0" w:after="0" w:line="400" w:lineRule="exact"/>
        <w:rPr>
          <w:rFonts w:hint="eastAsia" w:ascii="宋体" w:cs="宋体"/>
          <w:color w:val="auto"/>
          <w:highlight w:val="none"/>
        </w:rPr>
      </w:pPr>
      <w:bookmarkStart w:id="413" w:name="_Toc454283146"/>
      <w:bookmarkStart w:id="414" w:name="_Toc417904319"/>
      <w:r>
        <w:rPr>
          <w:rFonts w:hint="eastAsia" w:ascii="宋体" w:cs="宋体"/>
          <w:color w:val="auto"/>
          <w:highlight w:val="none"/>
        </w:rPr>
        <w:t>1</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Start w:id="415" w:name="_Toc297216203"/>
      <w:bookmarkStart w:id="416" w:name="_Toc297048383"/>
      <w:bookmarkStart w:id="417" w:name="_Toc303539150"/>
      <w:bookmarkStart w:id="418" w:name="_Toc292559907"/>
      <w:bookmarkStart w:id="419" w:name="_Toc296891237"/>
      <w:bookmarkStart w:id="420" w:name="_Toc296503197"/>
      <w:bookmarkStart w:id="421" w:name="_Toc297123544"/>
      <w:bookmarkStart w:id="422" w:name="_Toc296944536"/>
      <w:bookmarkStart w:id="423" w:name="_Toc296347196"/>
      <w:bookmarkStart w:id="424" w:name="_Toc292559402"/>
      <w:bookmarkStart w:id="425" w:name="_Toc297120497"/>
      <w:bookmarkStart w:id="426" w:name="_Toc296891025"/>
      <w:bookmarkStart w:id="427" w:name="_Toc300934993"/>
      <w:bookmarkStart w:id="428" w:name="_Toc296346698"/>
      <w:bookmarkStart w:id="429" w:name="_Toc304295570"/>
      <w:bookmarkStart w:id="430" w:name="_Toc312677503"/>
      <w:bookmarkStart w:id="431" w:name="_Toc312678029"/>
      <w:r>
        <w:rPr>
          <w:rFonts w:hint="eastAsia" w:ascii="宋体" w:cs="宋体"/>
          <w:color w:val="auto"/>
          <w:highlight w:val="none"/>
        </w:rPr>
        <w:t>0.5承</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Start w:id="432" w:name="_Toc296346704"/>
      <w:bookmarkStart w:id="433" w:name="_Toc297048389"/>
      <w:bookmarkStart w:id="434" w:name="_Toc296891031"/>
      <w:bookmarkStart w:id="435" w:name="_Toc303539151"/>
      <w:bookmarkStart w:id="436" w:name="_Toc296891243"/>
      <w:bookmarkStart w:id="437" w:name="_Toc296944542"/>
      <w:bookmarkStart w:id="438" w:name="_Toc300934994"/>
      <w:bookmarkStart w:id="439" w:name="_Toc297120503"/>
      <w:bookmarkStart w:id="440" w:name="_Toc296347202"/>
      <w:bookmarkStart w:id="441" w:name="_Toc296503203"/>
      <w:bookmarkStart w:id="442" w:name="_Toc292559408"/>
      <w:bookmarkStart w:id="443" w:name="_Toc292559913"/>
      <w:bookmarkStart w:id="444" w:name="_Toc297216204"/>
      <w:bookmarkStart w:id="445" w:name="_Toc297123545"/>
      <w:r>
        <w:rPr>
          <w:rFonts w:hint="eastAsia" w:ascii="宋体" w:cs="宋体"/>
          <w:color w:val="auto"/>
          <w:highlight w:val="none"/>
        </w:rPr>
        <w:t>包人的合理化建议</w:t>
      </w:r>
      <w:bookmarkEnd w:id="413"/>
      <w:bookmarkEnd w:id="414"/>
    </w:p>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Pr>
        <w:pStyle w:val="10"/>
        <w:spacing w:line="400" w:lineRule="exact"/>
        <w:rPr>
          <w:rFonts w:hint="eastAsia" w:ascii="宋体" w:hAnsi="宋体" w:cs="宋体"/>
          <w:color w:val="auto"/>
          <w:highlight w:val="none"/>
        </w:rPr>
      </w:pPr>
      <w:r>
        <w:rPr>
          <w:rFonts w:hint="eastAsia" w:ascii="宋体" w:hAnsi="宋体" w:cs="宋体"/>
          <w:color w:val="auto"/>
          <w:highlight w:val="none"/>
        </w:rPr>
        <w:t>监理人审查承包人合理化建议的期限：</w:t>
      </w:r>
      <w:r>
        <w:rPr>
          <w:rFonts w:hint="eastAsia" w:ascii="宋体" w:hAnsi="宋体" w:cs="宋体"/>
          <w:color w:val="auto"/>
          <w:highlight w:val="none"/>
          <w:u w:val="single"/>
        </w:rPr>
        <w:t xml:space="preserve">    7天内      </w:t>
      </w:r>
      <w:r>
        <w:rPr>
          <w:rFonts w:hint="eastAsia" w:ascii="宋体" w:hAnsi="宋体" w:cs="宋体"/>
          <w:color w:val="auto"/>
          <w:highlight w:val="none"/>
        </w:rPr>
        <w:t>。</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发包人审批承包人合理化建议的期限：</w:t>
      </w:r>
      <w:r>
        <w:rPr>
          <w:rFonts w:hint="eastAsia" w:ascii="宋体" w:hAnsi="宋体" w:cs="宋体"/>
          <w:color w:val="auto"/>
          <w:highlight w:val="none"/>
          <w:u w:val="single"/>
        </w:rPr>
        <w:t xml:space="preserve">     7天内      </w:t>
      </w:r>
      <w:r>
        <w:rPr>
          <w:rFonts w:hint="eastAsia" w:ascii="宋体" w:hAnsi="宋体" w:cs="宋体"/>
          <w:color w:val="auto"/>
          <w:highlight w:val="none"/>
        </w:rPr>
        <w:t>。</w:t>
      </w:r>
    </w:p>
    <w:p>
      <w:pPr>
        <w:pStyle w:val="10"/>
        <w:spacing w:line="400" w:lineRule="exact"/>
        <w:rPr>
          <w:rFonts w:hint="eastAsia" w:ascii="宋体" w:hAnsi="宋体" w:cs="宋体"/>
          <w:color w:val="auto"/>
          <w:highlight w:val="none"/>
          <w:u w:val="single"/>
        </w:rPr>
      </w:pPr>
      <w:r>
        <w:rPr>
          <w:rFonts w:hint="eastAsia" w:ascii="宋体" w:hAnsi="宋体" w:cs="宋体"/>
          <w:color w:val="auto"/>
          <w:highlight w:val="none"/>
        </w:rPr>
        <w:t>承</w:t>
      </w:r>
      <w:bookmarkStart w:id="446" w:name="_Toc296891032"/>
      <w:bookmarkStart w:id="447" w:name="_Toc297048390"/>
      <w:bookmarkStart w:id="448" w:name="_Toc296346705"/>
      <w:bookmarkStart w:id="449" w:name="_Toc303539152"/>
      <w:bookmarkStart w:id="450" w:name="_Toc312677504"/>
      <w:bookmarkStart w:id="451" w:name="_Toc312678030"/>
      <w:bookmarkStart w:id="452" w:name="_Toc297120504"/>
      <w:bookmarkStart w:id="453" w:name="_Toc296347203"/>
      <w:bookmarkStart w:id="454" w:name="_Toc297123546"/>
      <w:bookmarkStart w:id="455" w:name="_Toc296503204"/>
      <w:bookmarkStart w:id="456" w:name="_Toc300934995"/>
      <w:bookmarkStart w:id="457" w:name="_Toc292559914"/>
      <w:bookmarkStart w:id="458" w:name="_Toc318581175"/>
      <w:bookmarkStart w:id="459" w:name="_Toc297216205"/>
      <w:bookmarkStart w:id="460" w:name="_Toc292559409"/>
      <w:bookmarkStart w:id="461" w:name="_Toc296891244"/>
      <w:bookmarkStart w:id="462" w:name="_Toc304295571"/>
      <w:bookmarkStart w:id="463" w:name="_Toc296944543"/>
      <w:r>
        <w:rPr>
          <w:rFonts w:hint="eastAsia" w:ascii="宋体" w:hAnsi="宋体" w:cs="宋体"/>
          <w:color w:val="auto"/>
          <w:highlight w:val="none"/>
        </w:rPr>
        <w:t>包人提出的合理化建议降低了合同价格或者提高了工程经济效益的奖励的方法和金额为：</w:t>
      </w:r>
      <w:r>
        <w:rPr>
          <w:rFonts w:hint="eastAsia" w:ascii="宋体" w:hAnsi="宋体" w:cs="宋体"/>
          <w:color w:val="auto"/>
          <w:highlight w:val="none"/>
          <w:u w:val="single"/>
        </w:rPr>
        <w:t xml:space="preserve">无 </w:t>
      </w:r>
      <w:r>
        <w:rPr>
          <w:rFonts w:hint="eastAsia" w:ascii="宋体" w:hAnsi="宋体" w:cs="宋体"/>
          <w:color w:val="auto"/>
          <w:highlight w:val="none"/>
        </w:rPr>
        <w:t>。</w:t>
      </w:r>
    </w:p>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Pr>
        <w:pStyle w:val="9"/>
        <w:spacing w:before="0" w:after="0" w:line="400" w:lineRule="exact"/>
        <w:rPr>
          <w:rFonts w:hint="eastAsia" w:ascii="宋体" w:cs="宋体"/>
          <w:color w:val="auto"/>
          <w:highlight w:val="none"/>
        </w:rPr>
      </w:pPr>
      <w:bookmarkStart w:id="464" w:name="_Toc454283147"/>
      <w:bookmarkStart w:id="465" w:name="_Toc417904320"/>
      <w:r>
        <w:rPr>
          <w:rFonts w:hint="eastAsia" w:ascii="宋体" w:cs="宋体"/>
          <w:color w:val="auto"/>
          <w:highlight w:val="none"/>
        </w:rPr>
        <w:t>1</w:t>
      </w:r>
      <w:bookmarkStart w:id="466" w:name="_Toc292559909"/>
      <w:bookmarkStart w:id="467" w:name="_Toc303539154"/>
      <w:bookmarkStart w:id="468" w:name="_Toc296503199"/>
      <w:bookmarkStart w:id="469" w:name="_Toc312678033"/>
      <w:bookmarkStart w:id="470" w:name="_Toc312677507"/>
      <w:bookmarkStart w:id="471" w:name="_Toc296891027"/>
      <w:bookmarkStart w:id="472" w:name="_Toc304295574"/>
      <w:bookmarkStart w:id="473" w:name="_Toc296346700"/>
      <w:bookmarkStart w:id="474" w:name="_Toc297048385"/>
      <w:bookmarkStart w:id="475" w:name="_Toc296944538"/>
      <w:bookmarkStart w:id="476" w:name="_Toc296891239"/>
      <w:bookmarkStart w:id="477" w:name="_Toc297123548"/>
      <w:bookmarkStart w:id="478" w:name="_Toc297120499"/>
      <w:bookmarkStart w:id="479" w:name="_Toc292559404"/>
      <w:bookmarkStart w:id="480" w:name="_Toc296347198"/>
      <w:bookmarkStart w:id="481" w:name="_Toc297216207"/>
      <w:bookmarkStart w:id="482" w:name="_Toc300934997"/>
      <w:r>
        <w:rPr>
          <w:rFonts w:hint="eastAsia" w:ascii="宋体" w:cs="宋体"/>
          <w:color w:val="auto"/>
          <w:highlight w:val="none"/>
        </w:rPr>
        <w:t>0.7 暂估价</w:t>
      </w:r>
      <w:bookmarkEnd w:id="464"/>
      <w:bookmarkEnd w:id="465"/>
    </w:p>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Pr>
        <w:pStyle w:val="10"/>
        <w:spacing w:line="400" w:lineRule="exact"/>
        <w:rPr>
          <w:rFonts w:hint="eastAsia" w:ascii="宋体" w:hAnsi="宋体" w:cs="宋体"/>
          <w:color w:val="auto"/>
          <w:highlight w:val="none"/>
        </w:rPr>
      </w:pPr>
      <w:r>
        <w:rPr>
          <w:rFonts w:hint="eastAsia" w:ascii="宋体" w:hAnsi="宋体" w:cs="宋体"/>
          <w:color w:val="auto"/>
          <w:highlight w:val="none"/>
        </w:rPr>
        <w:t>暂估价材料和工程设备的明细详见附件11：《暂估价一览表》。</w:t>
      </w:r>
    </w:p>
    <w:p>
      <w:pPr>
        <w:pStyle w:val="10"/>
        <w:spacing w:line="400" w:lineRule="exact"/>
        <w:outlineLvl w:val="0"/>
        <w:rPr>
          <w:rFonts w:hint="eastAsia" w:ascii="宋体" w:hAnsi="宋体" w:cs="宋体"/>
          <w:color w:val="auto"/>
          <w:highlight w:val="none"/>
        </w:rPr>
      </w:pPr>
      <w:bookmarkStart w:id="483" w:name="_Toc417904321"/>
      <w:bookmarkStart w:id="484" w:name="_Toc406522266"/>
      <w:bookmarkStart w:id="485" w:name="_Toc406419390"/>
      <w:bookmarkStart w:id="486" w:name="_Toc454283148"/>
      <w:r>
        <w:rPr>
          <w:rFonts w:hint="eastAsia" w:ascii="宋体" w:hAnsi="宋体" w:cs="宋体"/>
          <w:color w:val="auto"/>
          <w:highlight w:val="none"/>
        </w:rPr>
        <w:t>1</w:t>
      </w:r>
      <w:bookmarkStart w:id="487" w:name="_Toc312678035"/>
      <w:bookmarkStart w:id="488" w:name="_Toc318581177"/>
      <w:bookmarkStart w:id="489" w:name="_Toc312677509"/>
      <w:r>
        <w:rPr>
          <w:rFonts w:hint="eastAsia" w:ascii="宋体" w:hAnsi="宋体" w:cs="宋体"/>
          <w:color w:val="auto"/>
          <w:highlight w:val="none"/>
        </w:rPr>
        <w:t>0.7.1 依法必须招标的暂估价项目</w:t>
      </w:r>
      <w:bookmarkEnd w:id="483"/>
      <w:bookmarkEnd w:id="484"/>
      <w:bookmarkEnd w:id="485"/>
      <w:bookmarkEnd w:id="486"/>
    </w:p>
    <w:bookmarkEnd w:id="487"/>
    <w:bookmarkEnd w:id="488"/>
    <w:bookmarkEnd w:id="489"/>
    <w:p>
      <w:pPr>
        <w:pStyle w:val="10"/>
        <w:spacing w:line="400" w:lineRule="exact"/>
        <w:rPr>
          <w:rFonts w:hint="eastAsia" w:ascii="宋体" w:hAnsi="宋体" w:cs="宋体"/>
          <w:color w:val="auto"/>
          <w:highlight w:val="none"/>
        </w:rPr>
      </w:pPr>
      <w:r>
        <w:rPr>
          <w:rFonts w:hint="eastAsia" w:ascii="宋体" w:hAnsi="宋体" w:cs="宋体"/>
          <w:color w:val="auto"/>
          <w:highlight w:val="none"/>
        </w:rPr>
        <w:t>对于依法必须招标的暂估价项目的确认和批准采取第</w:t>
      </w:r>
      <w:r>
        <w:rPr>
          <w:rFonts w:hint="eastAsia" w:ascii="宋体" w:hAnsi="宋体" w:cs="宋体"/>
          <w:color w:val="auto"/>
          <w:highlight w:val="none"/>
          <w:u w:val="single"/>
        </w:rPr>
        <w:t xml:space="preserve">  双方协商方式确定  </w:t>
      </w:r>
      <w:r>
        <w:rPr>
          <w:rFonts w:hint="eastAsia" w:ascii="宋体" w:hAnsi="宋体" w:cs="宋体"/>
          <w:color w:val="auto"/>
          <w:highlight w:val="none"/>
        </w:rPr>
        <w:t>种方式确定。</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10.7.2 不属于依法必须招标的暂估价项目</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对于不属于依法必须招标的暂估价项目的确认和批准采取第</w:t>
      </w:r>
      <w:r>
        <w:rPr>
          <w:rFonts w:hint="eastAsia" w:ascii="宋体" w:hAnsi="宋体" w:cs="宋体"/>
          <w:color w:val="auto"/>
          <w:highlight w:val="none"/>
          <w:u w:val="single"/>
        </w:rPr>
        <w:t xml:space="preserve"> 3  </w:t>
      </w:r>
      <w:r>
        <w:rPr>
          <w:rFonts w:hint="eastAsia" w:ascii="宋体" w:hAnsi="宋体" w:cs="宋体"/>
          <w:color w:val="auto"/>
          <w:highlight w:val="none"/>
        </w:rPr>
        <w:t xml:space="preserve"> 种方式确定。</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第3种方式：承包人直接实施的暂估价项目</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承包人直接实施的暂估价项目的约定：（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（2）承包人应当根据施工进度计划，提前14天将招标档通过监理人报送发包人审批，发包人应当在收到承包人报送的相关档后7天内完成审批或提出修改意见；发包人有权确定招标控制价并委派评标委员会成员；</w:t>
      </w:r>
    </w:p>
    <w:p>
      <w:pPr>
        <w:pStyle w:val="10"/>
        <w:spacing w:line="400" w:lineRule="exact"/>
        <w:rPr>
          <w:rFonts w:hint="eastAsia" w:ascii="宋体" w:cs="宋体"/>
          <w:color w:val="auto"/>
          <w:highlight w:val="none"/>
        </w:rPr>
      </w:pPr>
      <w:r>
        <w:rPr>
          <w:rFonts w:hint="eastAsia" w:ascii="宋体" w:hAnsi="宋体" w:cs="宋体"/>
          <w:color w:val="auto"/>
          <w:highlight w:val="non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bookmarkStart w:id="490" w:name="_Toc417904322"/>
      <w:bookmarkStart w:id="491" w:name="_Toc454283149"/>
    </w:p>
    <w:p>
      <w:pPr>
        <w:pStyle w:val="9"/>
        <w:spacing w:before="0" w:after="0" w:line="400" w:lineRule="exact"/>
        <w:rPr>
          <w:rFonts w:hint="eastAsia" w:ascii="宋体" w:cs="宋体"/>
          <w:color w:val="auto"/>
          <w:highlight w:val="none"/>
        </w:rPr>
      </w:pPr>
      <w:r>
        <w:rPr>
          <w:rFonts w:hint="eastAsia" w:ascii="宋体" w:cs="宋体"/>
          <w:color w:val="auto"/>
          <w:highlight w:val="none"/>
        </w:rPr>
        <w:t>10.8 暂列金额</w:t>
      </w:r>
      <w:bookmarkEnd w:id="490"/>
      <w:bookmarkEnd w:id="491"/>
    </w:p>
    <w:p>
      <w:pPr>
        <w:pStyle w:val="10"/>
        <w:spacing w:line="400" w:lineRule="exact"/>
        <w:rPr>
          <w:rFonts w:hint="eastAsia" w:ascii="宋体" w:hAnsi="宋体" w:cs="宋体"/>
          <w:color w:val="auto"/>
          <w:highlight w:val="none"/>
        </w:rPr>
      </w:pPr>
      <w:r>
        <w:rPr>
          <w:rFonts w:hint="eastAsia" w:ascii="宋体" w:hAnsi="宋体" w:cs="宋体"/>
          <w:color w:val="auto"/>
          <w:highlight w:val="none"/>
        </w:rPr>
        <w:t>合同当事人关于暂列金额使用的约定：</w:t>
      </w:r>
      <w:r>
        <w:rPr>
          <w:rFonts w:hint="eastAsia" w:ascii="宋体" w:hAnsi="宋体" w:cs="宋体"/>
          <w:color w:val="auto"/>
          <w:highlight w:val="none"/>
          <w:u w:val="single"/>
        </w:rPr>
        <w:t xml:space="preserve">暂列金额是指发包人在工程量清单或预算书中暂定并包括在合同价款中的一笔款项。用于工程合同签订时尚未确定或者不可预见的所需材料、工程设备、服务的采购，施工中可能发生的工程变更、合同约定调整因素出现时的合同价款调整以及发生的索赔、现场签证等确认的费用。暂列金不计入工程款付款的基数       </w:t>
      </w:r>
      <w:r>
        <w:rPr>
          <w:rFonts w:hint="eastAsia" w:ascii="宋体" w:hAnsi="宋体" w:cs="宋体"/>
          <w:color w:val="auto"/>
          <w:highlight w:val="none"/>
        </w:rPr>
        <w:t>。</w:t>
      </w:r>
    </w:p>
    <w:p>
      <w:pPr>
        <w:pStyle w:val="9"/>
        <w:spacing w:before="0" w:after="0" w:line="400" w:lineRule="exact"/>
        <w:rPr>
          <w:rFonts w:hint="eastAsia" w:ascii="宋体" w:cs="宋体"/>
          <w:color w:val="auto"/>
          <w:highlight w:val="none"/>
        </w:rPr>
      </w:pPr>
      <w:bookmarkStart w:id="492" w:name="_Toc351203643"/>
      <w:bookmarkStart w:id="493" w:name="_Toc417904323"/>
      <w:bookmarkStart w:id="494" w:name="_Toc454283150"/>
      <w:r>
        <w:rPr>
          <w:rFonts w:hint="eastAsia" w:ascii="宋体" w:cs="宋体"/>
          <w:color w:val="auto"/>
          <w:highlight w:val="none"/>
        </w:rPr>
        <w:t>11. 价格调整</w:t>
      </w:r>
      <w:bookmarkEnd w:id="492"/>
      <w:bookmarkEnd w:id="493"/>
      <w:bookmarkEnd w:id="494"/>
    </w:p>
    <w:p>
      <w:pPr>
        <w:pStyle w:val="10"/>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11.1</w:t>
      </w:r>
      <w:r>
        <w:rPr>
          <w:rFonts w:hint="eastAsia" w:ascii="宋体" w:cs="宋体"/>
          <w:b/>
          <w:bCs/>
          <w:color w:val="auto"/>
          <w:highlight w:val="none"/>
        </w:rPr>
        <w:t>市场价格波动引起的调整</w:t>
      </w:r>
    </w:p>
    <w:p>
      <w:pPr>
        <w:pStyle w:val="10"/>
        <w:rPr>
          <w:rFonts w:hint="eastAsia" w:ascii="宋体" w:hAnsi="宋体" w:cs="宋体"/>
          <w:color w:val="auto"/>
          <w:highlight w:val="none"/>
        </w:rPr>
      </w:pPr>
      <w:r>
        <w:rPr>
          <w:rFonts w:hint="eastAsia" w:ascii="宋体" w:hAnsi="宋体" w:cs="宋体"/>
          <w:color w:val="auto"/>
          <w:highlight w:val="none"/>
        </w:rPr>
        <w:t>市场价格波动是否调整合同价格的约定：</w:t>
      </w:r>
      <w:r>
        <w:rPr>
          <w:rFonts w:hint="eastAsia" w:ascii="宋体" w:hAnsi="宋体" w:cs="宋体"/>
          <w:color w:val="auto"/>
          <w:highlight w:val="none"/>
          <w:u w:val="single"/>
        </w:rPr>
        <w:t xml:space="preserve">     不调整    </w:t>
      </w:r>
      <w:r>
        <w:rPr>
          <w:rFonts w:hint="eastAsia" w:ascii="宋体" w:hAnsi="宋体" w:cs="宋体"/>
          <w:color w:val="auto"/>
          <w:highlight w:val="none"/>
        </w:rPr>
        <w:t>。</w:t>
      </w:r>
    </w:p>
    <w:bookmarkEnd w:id="378"/>
    <w:bookmarkEnd w:id="379"/>
    <w:bookmarkEnd w:id="380"/>
    <w:bookmarkEnd w:id="381"/>
    <w:bookmarkEnd w:id="382"/>
    <w:bookmarkEnd w:id="383"/>
    <w:p>
      <w:pPr>
        <w:spacing w:line="420" w:lineRule="exact"/>
        <w:ind w:firstLine="420" w:firstLineChars="200"/>
        <w:jc w:val="left"/>
        <w:rPr>
          <w:rFonts w:hint="eastAsia" w:ascii="宋体" w:hAnsi="宋体" w:cs="宋体"/>
          <w:color w:val="auto"/>
          <w:sz w:val="21"/>
          <w:szCs w:val="21"/>
          <w:highlight w:val="none"/>
        </w:rPr>
      </w:pPr>
      <w:bookmarkStart w:id="495" w:name="_Toc292559410"/>
      <w:bookmarkStart w:id="496" w:name="_Toc297048391"/>
      <w:bookmarkStart w:id="497" w:name="_Toc292559915"/>
      <w:bookmarkStart w:id="498" w:name="_Toc296503205"/>
      <w:bookmarkStart w:id="499" w:name="_Toc296347204"/>
      <w:bookmarkStart w:id="500" w:name="_Toc296891245"/>
      <w:bookmarkStart w:id="501" w:name="_Toc296944544"/>
      <w:bookmarkStart w:id="502" w:name="_Toc296346706"/>
      <w:bookmarkStart w:id="503" w:name="_Toc297120505"/>
      <w:bookmarkStart w:id="504" w:name="_Toc296891033"/>
      <w:bookmarkStart w:id="505" w:name="_Toc351203644"/>
      <w:bookmarkStart w:id="506" w:name="_Toc454283151"/>
      <w:bookmarkStart w:id="507" w:name="_Toc417904325"/>
      <w:bookmarkStart w:id="508" w:name="_Toc304295579"/>
      <w:bookmarkStart w:id="509" w:name="_Toc297216211"/>
      <w:bookmarkStart w:id="510" w:name="_Toc300935002"/>
      <w:bookmarkStart w:id="511" w:name="_Toc312678040"/>
      <w:bookmarkStart w:id="512" w:name="_Toc297123552"/>
      <w:bookmarkStart w:id="513" w:name="_Toc303539159"/>
      <w:r>
        <w:rPr>
          <w:rFonts w:hint="eastAsia" w:ascii="宋体" w:hAnsi="宋体" w:cs="宋体"/>
          <w:color w:val="auto"/>
          <w:sz w:val="21"/>
          <w:szCs w:val="21"/>
          <w:highlight w:val="none"/>
        </w:rPr>
        <w:t>因市场价格波动调整合同价格，采用以下第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种方式对合同价格进行调整：</w:t>
      </w:r>
    </w:p>
    <w:p>
      <w:pPr>
        <w:spacing w:line="42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第1种方式：采用价格指数进行价格调整。</w:t>
      </w:r>
    </w:p>
    <w:p>
      <w:pPr>
        <w:spacing w:line="420" w:lineRule="exact"/>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关于各可调因子、定值和变值权重，以及基本价格指数及其来源的约定：</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spacing w:line="42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第2种方式：采用造价信息进行价格调整。</w:t>
      </w:r>
    </w:p>
    <w:p>
      <w:pPr>
        <w:spacing w:line="42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（2）关于基准价格的约定：</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pPr>
        <w:spacing w:line="42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%时，或材料单价跌幅以已标价工程量清单或预算书中载明材料单价为基础超过</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%时，其超过部分据实调整。</w:t>
      </w:r>
    </w:p>
    <w:p>
      <w:pPr>
        <w:spacing w:line="42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%时，材料单价涨幅以已标价工程量清单或预算书中载明材料单价为基础超过</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%时，其超过部分据实调整。</w:t>
      </w:r>
    </w:p>
    <w:p>
      <w:pPr>
        <w:spacing w:line="420" w:lineRule="exact"/>
        <w:ind w:firstLine="645"/>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%时，其超过部分据实调整。</w:t>
      </w:r>
    </w:p>
    <w:p>
      <w:pPr>
        <w:spacing w:line="420" w:lineRule="exact"/>
        <w:ind w:firstLine="645"/>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第3种方式：其他价格调整方式：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pPr>
        <w:pStyle w:val="9"/>
        <w:spacing w:before="0" w:after="0"/>
        <w:rPr>
          <w:rFonts w:hint="eastAsia" w:ascii="宋体" w:cs="宋体"/>
          <w:color w:val="auto"/>
          <w:highlight w:val="none"/>
        </w:rPr>
      </w:pPr>
      <w:r>
        <w:rPr>
          <w:rFonts w:hint="eastAsia" w:ascii="宋体" w:cs="宋体"/>
          <w:color w:val="auto"/>
          <w:highlight w:val="none"/>
        </w:rPr>
        <w:t xml:space="preserve">12. </w:t>
      </w:r>
      <w:bookmarkEnd w:id="495"/>
      <w:bookmarkEnd w:id="496"/>
      <w:bookmarkEnd w:id="497"/>
      <w:bookmarkEnd w:id="498"/>
      <w:bookmarkEnd w:id="499"/>
      <w:bookmarkEnd w:id="500"/>
      <w:bookmarkEnd w:id="501"/>
      <w:bookmarkEnd w:id="502"/>
      <w:bookmarkEnd w:id="503"/>
      <w:bookmarkEnd w:id="504"/>
      <w:r>
        <w:rPr>
          <w:rFonts w:hint="eastAsia" w:ascii="宋体" w:cs="宋体"/>
          <w:color w:val="auto"/>
          <w:highlight w:val="none"/>
        </w:rPr>
        <w:t>合同价格、计量与支付</w:t>
      </w:r>
      <w:bookmarkEnd w:id="505"/>
      <w:bookmarkEnd w:id="506"/>
      <w:bookmarkEnd w:id="507"/>
    </w:p>
    <w:bookmarkEnd w:id="508"/>
    <w:bookmarkEnd w:id="509"/>
    <w:bookmarkEnd w:id="510"/>
    <w:bookmarkEnd w:id="511"/>
    <w:bookmarkEnd w:id="512"/>
    <w:bookmarkEnd w:id="513"/>
    <w:p>
      <w:pPr>
        <w:pStyle w:val="9"/>
        <w:spacing w:before="0" w:after="0"/>
        <w:rPr>
          <w:rFonts w:hint="eastAsia" w:ascii="宋体" w:cs="宋体"/>
          <w:color w:val="auto"/>
          <w:highlight w:val="none"/>
        </w:rPr>
      </w:pPr>
      <w:bookmarkStart w:id="514" w:name="_Toc267251461"/>
      <w:bookmarkStart w:id="515" w:name="_Toc292559411"/>
      <w:bookmarkStart w:id="516" w:name="_Toc292559916"/>
      <w:bookmarkStart w:id="517" w:name="_Toc297048392"/>
      <w:bookmarkStart w:id="518" w:name="_Toc297120506"/>
      <w:bookmarkStart w:id="519" w:name="_Toc296891246"/>
      <w:bookmarkStart w:id="520" w:name="_Toc296503206"/>
      <w:bookmarkStart w:id="521" w:name="_Toc296346707"/>
      <w:bookmarkStart w:id="522" w:name="_Toc296347205"/>
      <w:bookmarkStart w:id="523" w:name="_Toc296944545"/>
      <w:bookmarkStart w:id="524" w:name="_Toc296891034"/>
      <w:bookmarkStart w:id="525" w:name="_Toc454283152"/>
      <w:bookmarkStart w:id="526" w:name="_Toc395382552"/>
      <w:bookmarkStart w:id="527" w:name="_Toc373478396"/>
      <w:bookmarkStart w:id="528" w:name="_Toc373227749"/>
      <w:bookmarkStart w:id="529" w:name="_Toc389065314"/>
      <w:bookmarkStart w:id="530" w:name="_Toc406421001"/>
      <w:bookmarkStart w:id="531" w:name="_Toc417904326"/>
      <w:bookmarkStart w:id="532" w:name="_Toc297123553"/>
      <w:bookmarkStart w:id="533" w:name="_Toc303539160"/>
      <w:bookmarkStart w:id="534" w:name="_Toc297216212"/>
      <w:bookmarkStart w:id="535" w:name="_Toc300935003"/>
      <w:bookmarkStart w:id="536" w:name="_Toc312678041"/>
      <w:bookmarkStart w:id="537" w:name="_Toc304295580"/>
      <w:bookmarkStart w:id="538" w:name="_Toc304295581"/>
      <w:bookmarkStart w:id="539" w:name="_Toc297123554"/>
      <w:bookmarkStart w:id="540" w:name="_Toc297216213"/>
      <w:bookmarkStart w:id="541" w:name="_Toc300935004"/>
      <w:bookmarkStart w:id="542" w:name="_Toc312678042"/>
      <w:bookmarkStart w:id="543" w:name="_Toc303539161"/>
      <w:bookmarkStart w:id="544" w:name="_Toc292559412"/>
      <w:bookmarkStart w:id="545" w:name="_Toc297120507"/>
      <w:bookmarkStart w:id="546" w:name="_Toc296503207"/>
      <w:bookmarkStart w:id="547" w:name="_Toc296891247"/>
      <w:bookmarkStart w:id="548" w:name="_Toc296891035"/>
      <w:bookmarkStart w:id="549" w:name="_Toc297048393"/>
      <w:bookmarkStart w:id="550" w:name="_Toc296346708"/>
      <w:bookmarkStart w:id="551" w:name="_Toc296944546"/>
      <w:bookmarkStart w:id="552" w:name="_Toc296347206"/>
      <w:bookmarkStart w:id="553" w:name="_Toc292559917"/>
      <w:r>
        <w:rPr>
          <w:rFonts w:hint="eastAsia" w:ascii="宋体" w:cs="宋体"/>
          <w:color w:val="auto"/>
          <w:highlight w:val="none"/>
        </w:rPr>
        <w:t>12.1 合</w:t>
      </w:r>
      <w:bookmarkEnd w:id="514"/>
      <w:bookmarkEnd w:id="515"/>
      <w:bookmarkEnd w:id="516"/>
      <w:r>
        <w:rPr>
          <w:rFonts w:hint="eastAsia" w:ascii="宋体" w:cs="宋体"/>
          <w:color w:val="auto"/>
          <w:highlight w:val="none"/>
        </w:rPr>
        <w:t>同价</w:t>
      </w:r>
      <w:bookmarkEnd w:id="517"/>
      <w:bookmarkEnd w:id="518"/>
      <w:bookmarkEnd w:id="519"/>
      <w:bookmarkEnd w:id="520"/>
      <w:bookmarkEnd w:id="521"/>
      <w:bookmarkEnd w:id="522"/>
      <w:bookmarkEnd w:id="523"/>
      <w:bookmarkEnd w:id="524"/>
      <w:r>
        <w:rPr>
          <w:rFonts w:hint="eastAsia" w:ascii="宋体" w:cs="宋体"/>
          <w:color w:val="auto"/>
          <w:highlight w:val="none"/>
        </w:rPr>
        <w:t>格形式</w:t>
      </w:r>
      <w:bookmarkEnd w:id="525"/>
      <w:bookmarkEnd w:id="526"/>
      <w:bookmarkEnd w:id="527"/>
      <w:bookmarkEnd w:id="528"/>
      <w:bookmarkEnd w:id="529"/>
      <w:bookmarkEnd w:id="530"/>
      <w:bookmarkEnd w:id="531"/>
    </w:p>
    <w:bookmarkEnd w:id="532"/>
    <w:bookmarkEnd w:id="533"/>
    <w:bookmarkEnd w:id="534"/>
    <w:bookmarkEnd w:id="535"/>
    <w:bookmarkEnd w:id="536"/>
    <w:bookmarkEnd w:id="537"/>
    <w:p>
      <w:pPr>
        <w:adjustRightInd w:val="0"/>
        <w:snapToGrid w:val="0"/>
        <w:spacing w:line="42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（1）单价合同。</w:t>
      </w:r>
    </w:p>
    <w:p>
      <w:pPr>
        <w:adjustRightInd w:val="0"/>
        <w:snapToGrid w:val="0"/>
        <w:spacing w:line="42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本合同价款采用固定综</w:t>
      </w:r>
      <w:r>
        <w:rPr>
          <w:rFonts w:hint="eastAsia" w:ascii="宋体" w:hAnsi="宋体" w:cs="宋体"/>
          <w:color w:val="auto"/>
          <w:sz w:val="21"/>
          <w:szCs w:val="21"/>
          <w:highlight w:val="none"/>
        </w:rPr>
        <w:t>合单价方式</w:t>
      </w:r>
      <w:bookmarkStart w:id="761" w:name="_GoBack"/>
      <w:bookmarkEnd w:id="761"/>
      <w:r>
        <w:rPr>
          <w:rFonts w:hint="eastAsia" w:ascii="宋体" w:hAnsi="宋体" w:cs="宋体"/>
          <w:color w:val="auto"/>
          <w:sz w:val="21"/>
          <w:szCs w:val="21"/>
          <w:highlight w:val="none"/>
        </w:rPr>
        <w:t>确定。</w:t>
      </w:r>
    </w:p>
    <w:p>
      <w:pPr>
        <w:adjustRightInd w:val="0"/>
        <w:snapToGrid w:val="0"/>
        <w:spacing w:line="42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综合单价包含的风险范围：</w:t>
      </w:r>
      <w:r>
        <w:rPr>
          <w:rFonts w:hint="eastAsia" w:ascii="宋体" w:hAnsi="宋体" w:cs="宋体"/>
          <w:color w:val="auto"/>
          <w:sz w:val="21"/>
          <w:szCs w:val="21"/>
          <w:highlight w:val="none"/>
          <w:u w:val="single"/>
        </w:rPr>
        <w:t>除工程变更、政策性调整、《承包人提供主要材料和设备一览表》约定的材料、设备价格变动风险以外因素。</w:t>
      </w:r>
    </w:p>
    <w:p>
      <w:pPr>
        <w:adjustRightInd w:val="0"/>
        <w:snapToGrid w:val="0"/>
        <w:spacing w:line="420" w:lineRule="exact"/>
        <w:ind w:firstLine="441" w:firstLineChars="210"/>
        <w:rPr>
          <w:rFonts w:hint="eastAsia" w:ascii="宋体" w:hAnsi="宋体" w:cs="宋体"/>
          <w:color w:val="auto"/>
          <w:sz w:val="21"/>
          <w:szCs w:val="21"/>
          <w:highlight w:val="none"/>
        </w:rPr>
      </w:pPr>
      <w:r>
        <w:rPr>
          <w:rFonts w:hint="eastAsia" w:ascii="宋体" w:hAnsi="宋体" w:cs="宋体"/>
          <w:color w:val="auto"/>
          <w:sz w:val="21"/>
          <w:szCs w:val="21"/>
          <w:highlight w:val="none"/>
        </w:rPr>
        <w:t>风险范围以外合同价格的调整方法：　</w:t>
      </w:r>
    </w:p>
    <w:p>
      <w:pPr>
        <w:adjustRightInd w:val="0"/>
        <w:snapToGrid w:val="0"/>
        <w:spacing w:line="420" w:lineRule="exact"/>
        <w:ind w:firstLine="441" w:firstLineChars="210"/>
        <w:rPr>
          <w:rFonts w:hint="eastAsia" w:ascii="宋体" w:hAnsi="宋体" w:cs="宋体"/>
          <w:color w:val="auto"/>
          <w:sz w:val="21"/>
          <w:szCs w:val="21"/>
          <w:highlight w:val="none"/>
        </w:rPr>
      </w:pPr>
      <w:r>
        <w:rPr>
          <w:rFonts w:hint="eastAsia" w:ascii="宋体" w:hAnsi="宋体" w:cs="宋体"/>
          <w:color w:val="auto"/>
          <w:sz w:val="21"/>
          <w:szCs w:val="21"/>
          <w:highlight w:val="none"/>
        </w:rPr>
        <w:t>①工程变更：按10.4.1变更估价原则的约定调整。</w:t>
      </w:r>
    </w:p>
    <w:p>
      <w:pPr>
        <w:adjustRightInd w:val="0"/>
        <w:snapToGrid w:val="0"/>
        <w:spacing w:line="420" w:lineRule="exact"/>
        <w:ind w:firstLine="441" w:firstLineChars="210"/>
        <w:rPr>
          <w:rFonts w:hint="eastAsia" w:ascii="宋体" w:hAnsi="宋体" w:cs="宋体"/>
          <w:color w:val="auto"/>
          <w:sz w:val="21"/>
          <w:szCs w:val="21"/>
          <w:highlight w:val="none"/>
        </w:rPr>
      </w:pPr>
      <w:r>
        <w:rPr>
          <w:rFonts w:hint="eastAsia" w:ascii="宋体" w:hAnsi="宋体" w:cs="宋体"/>
          <w:color w:val="auto"/>
          <w:sz w:val="21"/>
          <w:szCs w:val="21"/>
          <w:highlight w:val="none"/>
        </w:rPr>
        <w:t>②政策性调整：按自治区建设行政主管部门颁布的文件执行。</w:t>
      </w:r>
    </w:p>
    <w:p>
      <w:pPr>
        <w:adjustRightInd w:val="0"/>
        <w:snapToGrid w:val="0"/>
        <w:spacing w:line="420" w:lineRule="exact"/>
        <w:ind w:firstLine="441" w:firstLineChars="210"/>
        <w:rPr>
          <w:rFonts w:hint="eastAsia" w:ascii="宋体" w:hAnsi="宋体" w:cs="宋体"/>
          <w:color w:val="auto"/>
          <w:sz w:val="21"/>
          <w:szCs w:val="21"/>
          <w:highlight w:val="none"/>
        </w:rPr>
      </w:pPr>
      <w:r>
        <w:rPr>
          <w:rFonts w:hint="eastAsia" w:ascii="宋体" w:hAnsi="宋体" w:cs="宋体"/>
          <w:color w:val="auto"/>
          <w:sz w:val="21"/>
          <w:szCs w:val="21"/>
          <w:highlight w:val="none"/>
        </w:rPr>
        <w:t>③材料价格风险</w:t>
      </w:r>
      <w:r>
        <w:rPr>
          <w:rFonts w:hint="eastAsia" w:ascii="宋体" w:hAnsi="宋体" w:cs="宋体"/>
          <w:color w:val="auto"/>
          <w:sz w:val="21"/>
          <w:szCs w:val="21"/>
          <w:highlight w:val="none"/>
        </w:rPr>
        <w:t>：按11.1的约定调整。</w:t>
      </w:r>
    </w:p>
    <w:p>
      <w:pPr>
        <w:adjustRightInd w:val="0"/>
        <w:snapToGrid w:val="0"/>
        <w:spacing w:line="42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④其它：</w:t>
      </w:r>
      <w:r>
        <w:rPr>
          <w:rFonts w:hint="eastAsia" w:ascii="宋体" w:hAnsi="宋体" w:cs="宋体"/>
          <w:color w:val="auto"/>
          <w:sz w:val="21"/>
          <w:szCs w:val="21"/>
          <w:highlight w:val="none"/>
          <w:u w:val="single"/>
        </w:rPr>
        <w:t xml:space="preserve">       无         </w:t>
      </w:r>
      <w:r>
        <w:rPr>
          <w:rFonts w:hint="eastAsia" w:ascii="宋体" w:hAnsi="宋体" w:cs="宋体"/>
          <w:color w:val="auto"/>
          <w:sz w:val="21"/>
          <w:szCs w:val="21"/>
          <w:highlight w:val="none"/>
        </w:rPr>
        <w:t>。</w:t>
      </w:r>
    </w:p>
    <w:p>
      <w:pPr>
        <w:pStyle w:val="9"/>
        <w:spacing w:before="0" w:after="0"/>
        <w:rPr>
          <w:rFonts w:hint="eastAsia" w:ascii="宋体" w:cs="宋体"/>
          <w:color w:val="auto"/>
          <w:highlight w:val="none"/>
        </w:rPr>
      </w:pPr>
      <w:bookmarkStart w:id="554" w:name="_Toc417904327"/>
      <w:bookmarkStart w:id="555" w:name="_Toc454283153"/>
      <w:r>
        <w:rPr>
          <w:rFonts w:hint="eastAsia" w:ascii="宋体" w:cs="宋体"/>
          <w:color w:val="auto"/>
          <w:highlight w:val="none"/>
        </w:rPr>
        <w:t>12.2 预付</w:t>
      </w:r>
      <w:bookmarkEnd w:id="554"/>
      <w:bookmarkEnd w:id="555"/>
    </w:p>
    <w:bookmarkEnd w:id="538"/>
    <w:bookmarkEnd w:id="539"/>
    <w:bookmarkEnd w:id="540"/>
    <w:bookmarkEnd w:id="541"/>
    <w:bookmarkEnd w:id="542"/>
    <w:bookmarkEnd w:id="543"/>
    <w:p>
      <w:pPr>
        <w:pStyle w:val="10"/>
        <w:rPr>
          <w:rFonts w:hint="eastAsia" w:ascii="宋体" w:hAnsi="宋体" w:cs="宋体"/>
          <w:color w:val="auto"/>
          <w:highlight w:val="none"/>
        </w:rPr>
      </w:pPr>
      <w:r>
        <w:rPr>
          <w:rFonts w:hint="eastAsia" w:ascii="宋体" w:hAnsi="宋体" w:cs="宋体"/>
          <w:color w:val="auto"/>
          <w:highlight w:val="none"/>
        </w:rPr>
        <w:t>12.2.1 预付款的支付</w:t>
      </w:r>
    </w:p>
    <w:p>
      <w:pPr>
        <w:pStyle w:val="10"/>
        <w:ind w:firstLine="422"/>
        <w:rPr>
          <w:rFonts w:hint="eastAsia" w:ascii="宋体" w:hAnsi="宋体" w:cs="宋体"/>
          <w:color w:val="auto"/>
          <w:highlight w:val="none"/>
        </w:rPr>
      </w:pPr>
      <w:r>
        <w:rPr>
          <w:rFonts w:hint="eastAsia" w:ascii="宋体" w:hAnsi="宋体" w:cs="宋体"/>
          <w:b/>
          <w:color w:val="auto"/>
          <w:highlight w:val="none"/>
        </w:rPr>
        <w:t>预付款支付比例或金额：</w:t>
      </w:r>
      <w:r>
        <w:rPr>
          <w:rFonts w:hint="eastAsia" w:ascii="宋体" w:hAnsi="宋体" w:cs="宋体"/>
          <w:b/>
          <w:color w:val="auto"/>
          <w:highlight w:val="none"/>
          <w:u w:val="single"/>
        </w:rPr>
        <w:t xml:space="preserve">由发包方根据资金情况另行签订补充协议约定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预付款支付期限：</w:t>
      </w:r>
      <w:r>
        <w:rPr>
          <w:rFonts w:hint="eastAsia" w:ascii="宋体" w:hAnsi="宋体" w:cs="宋体"/>
          <w:color w:val="auto"/>
          <w:highlight w:val="none"/>
          <w:u w:val="single"/>
        </w:rPr>
        <w:t>如有，</w:t>
      </w:r>
      <w:r>
        <w:rPr>
          <w:rFonts w:hint="eastAsia" w:ascii="宋体" w:hAnsi="宋体" w:cs="宋体"/>
          <w:color w:val="auto"/>
          <w:highlight w:val="none"/>
          <w:u w:val="single"/>
        </w:rPr>
        <w:t xml:space="preserve">本协议生效之日起15日内   </w:t>
      </w:r>
    </w:p>
    <w:p>
      <w:pPr>
        <w:pStyle w:val="10"/>
        <w:rPr>
          <w:rFonts w:hint="eastAsia" w:ascii="宋体" w:hAnsi="宋体" w:cs="宋体"/>
          <w:color w:val="auto"/>
          <w:highlight w:val="none"/>
        </w:rPr>
      </w:pPr>
      <w:r>
        <w:rPr>
          <w:rFonts w:hint="eastAsia" w:ascii="宋体" w:hAnsi="宋体" w:cs="宋体"/>
          <w:color w:val="auto"/>
          <w:highlight w:val="none"/>
        </w:rPr>
        <w:t>预付款扣回的方式：</w:t>
      </w:r>
      <w:r>
        <w:rPr>
          <w:rFonts w:hint="eastAsia" w:ascii="宋体" w:hAnsi="宋体" w:cs="宋体"/>
          <w:color w:val="auto"/>
          <w:highlight w:val="none"/>
          <w:u w:val="single"/>
        </w:rPr>
        <w:t>如有，</w:t>
      </w:r>
      <w:r>
        <w:rPr>
          <w:rFonts w:hint="eastAsia" w:ascii="宋体" w:hAnsi="宋体" w:cs="宋体"/>
          <w:color w:val="auto"/>
          <w:highlight w:val="none"/>
          <w:u w:val="single"/>
        </w:rPr>
        <w:t>工程预付款在工程进度完成至总工程量的</w:t>
      </w:r>
      <w:r>
        <w:rPr>
          <w:rFonts w:ascii="宋体" w:hAnsi="宋体" w:cs="宋体"/>
          <w:color w:val="auto"/>
          <w:highlight w:val="none"/>
          <w:u w:val="single"/>
        </w:rPr>
        <w:t>4</w:t>
      </w:r>
      <w:r>
        <w:rPr>
          <w:rFonts w:hint="eastAsia" w:ascii="宋体" w:hAnsi="宋体" w:cs="宋体"/>
          <w:color w:val="auto"/>
          <w:highlight w:val="none"/>
          <w:u w:val="single"/>
        </w:rPr>
        <w:t>0%</w:t>
      </w:r>
      <w:r>
        <w:rPr>
          <w:rFonts w:hint="eastAsia" w:ascii="宋体" w:hAnsi="宋体" w:cs="宋体"/>
          <w:color w:val="auto"/>
          <w:highlight w:val="none"/>
          <w:u w:val="single"/>
        </w:rPr>
        <w:t>时开始扣回,每次从工程进度款中予以抵扣，</w:t>
      </w:r>
      <w:r>
        <w:rPr>
          <w:rFonts w:hint="eastAsia" w:ascii="宋体" w:hAnsi="宋体" w:cs="宋体"/>
          <w:color w:val="auto"/>
          <w:highlight w:val="none"/>
          <w:u w:val="single"/>
        </w:rPr>
        <w:t>分三次平均扣回，</w:t>
      </w:r>
      <w:r>
        <w:rPr>
          <w:rFonts w:hint="eastAsia" w:ascii="宋体" w:hAnsi="宋体" w:cs="宋体"/>
          <w:color w:val="auto"/>
          <w:highlight w:val="none"/>
          <w:u w:val="single"/>
        </w:rPr>
        <w:t xml:space="preserve">至工程竣工验收前全部扣回 </w:t>
      </w:r>
      <w:r>
        <w:rPr>
          <w:rFonts w:hint="eastAsia" w:ascii="宋体" w:hAnsi="宋体" w:cs="宋体"/>
          <w:color w:val="auto"/>
          <w:highlight w:val="none"/>
        </w:rPr>
        <w:t xml:space="preserve"> </w:t>
      </w:r>
    </w:p>
    <w:p>
      <w:pPr>
        <w:pStyle w:val="10"/>
        <w:rPr>
          <w:rFonts w:hint="eastAsia" w:ascii="宋体" w:hAnsi="宋体" w:cs="宋体"/>
          <w:color w:val="auto"/>
          <w:highlight w:val="none"/>
        </w:rPr>
      </w:pPr>
      <w:bookmarkStart w:id="556" w:name="_Toc406522273"/>
      <w:bookmarkStart w:id="557" w:name="_Toc406419397"/>
      <w:bookmarkStart w:id="558" w:name="_Toc417904328"/>
      <w:bookmarkStart w:id="559" w:name="_Toc454283154"/>
      <w:r>
        <w:rPr>
          <w:rFonts w:hint="eastAsia" w:ascii="宋体" w:hAnsi="宋体" w:cs="宋体"/>
          <w:color w:val="auto"/>
          <w:highlight w:val="none"/>
        </w:rPr>
        <w:t>12.2.2 预付款担保</w:t>
      </w:r>
      <w:bookmarkEnd w:id="556"/>
      <w:bookmarkEnd w:id="557"/>
      <w:bookmarkEnd w:id="558"/>
      <w:bookmarkEnd w:id="559"/>
    </w:p>
    <w:p>
      <w:pPr>
        <w:pStyle w:val="10"/>
        <w:rPr>
          <w:rFonts w:hint="eastAsia" w:ascii="宋体" w:hAnsi="宋体" w:cs="宋体"/>
          <w:color w:val="auto"/>
          <w:highlight w:val="none"/>
          <w:u w:val="single"/>
        </w:rPr>
      </w:pPr>
      <w:r>
        <w:rPr>
          <w:rFonts w:hint="eastAsia" w:ascii="宋体" w:hAnsi="宋体" w:cs="宋体"/>
          <w:color w:val="auto"/>
          <w:highlight w:val="none"/>
        </w:rPr>
        <w:t>承包人提交预付款担保的期限：</w:t>
      </w:r>
      <w:r>
        <w:rPr>
          <w:rFonts w:hint="eastAsia" w:ascii="宋体" w:hAnsi="宋体" w:cs="宋体"/>
          <w:color w:val="auto"/>
          <w:highlight w:val="none"/>
          <w:u w:val="single"/>
        </w:rPr>
        <w:t xml:space="preserve">   /   </w:t>
      </w:r>
    </w:p>
    <w:p>
      <w:pPr>
        <w:pStyle w:val="10"/>
        <w:rPr>
          <w:rFonts w:hint="eastAsia" w:ascii="宋体" w:hAnsi="宋体" w:cs="宋体"/>
          <w:color w:val="auto"/>
          <w:highlight w:val="none"/>
        </w:rPr>
      </w:pPr>
      <w:r>
        <w:rPr>
          <w:rFonts w:hint="eastAsia" w:ascii="宋体" w:hAnsi="宋体" w:cs="宋体"/>
          <w:color w:val="auto"/>
          <w:highlight w:val="none"/>
        </w:rPr>
        <w:t>预付款担保的形式为：</w:t>
      </w:r>
      <w:r>
        <w:rPr>
          <w:rFonts w:hint="eastAsia" w:ascii="宋体" w:hAnsi="宋体" w:cs="宋体"/>
          <w:color w:val="auto"/>
          <w:highlight w:val="none"/>
          <w:u w:val="single"/>
        </w:rPr>
        <w:t xml:space="preserve">      /     </w:t>
      </w:r>
    </w:p>
    <w:bookmarkEnd w:id="544"/>
    <w:bookmarkEnd w:id="545"/>
    <w:bookmarkEnd w:id="546"/>
    <w:bookmarkEnd w:id="547"/>
    <w:bookmarkEnd w:id="548"/>
    <w:bookmarkEnd w:id="549"/>
    <w:bookmarkEnd w:id="550"/>
    <w:bookmarkEnd w:id="551"/>
    <w:bookmarkEnd w:id="552"/>
    <w:bookmarkEnd w:id="553"/>
    <w:p>
      <w:pPr>
        <w:pStyle w:val="9"/>
        <w:spacing w:before="0" w:after="0"/>
        <w:rPr>
          <w:rFonts w:hint="eastAsia" w:ascii="宋体" w:cs="宋体"/>
          <w:color w:val="auto"/>
          <w:highlight w:val="none"/>
        </w:rPr>
      </w:pPr>
      <w:bookmarkStart w:id="560" w:name="_Toc454283155"/>
      <w:bookmarkStart w:id="561" w:name="_Toc417904329"/>
      <w:r>
        <w:rPr>
          <w:rFonts w:hint="eastAsia" w:ascii="宋体" w:cs="宋体"/>
          <w:color w:val="auto"/>
          <w:highlight w:val="none"/>
        </w:rPr>
        <w:t>12.3 计量</w:t>
      </w:r>
      <w:bookmarkEnd w:id="560"/>
      <w:bookmarkEnd w:id="561"/>
    </w:p>
    <w:p>
      <w:pPr>
        <w:spacing w:line="360" w:lineRule="auto"/>
        <w:ind w:firstLine="420" w:firstLineChars="200"/>
        <w:jc w:val="left"/>
        <w:rPr>
          <w:rFonts w:hint="eastAsia" w:ascii="宋体" w:hAnsi="宋体" w:cs="宋体"/>
          <w:color w:val="auto"/>
          <w:sz w:val="21"/>
          <w:szCs w:val="21"/>
          <w:highlight w:val="none"/>
        </w:rPr>
      </w:pPr>
      <w:bookmarkStart w:id="562" w:name="_Toc406419399"/>
      <w:r>
        <w:rPr>
          <w:rFonts w:hint="eastAsia" w:ascii="宋体" w:hAnsi="宋体" w:cs="宋体"/>
          <w:color w:val="auto"/>
          <w:sz w:val="21"/>
          <w:szCs w:val="21"/>
          <w:highlight w:val="none"/>
        </w:rPr>
        <w:t>12.3.1 计量原则</w:t>
      </w:r>
    </w:p>
    <w:p>
      <w:pPr>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工程量计算规则：</w:t>
      </w:r>
      <w:r>
        <w:rPr>
          <w:rFonts w:hint="eastAsia" w:ascii="宋体" w:hAnsi="宋体" w:cs="宋体"/>
          <w:color w:val="auto"/>
          <w:sz w:val="21"/>
          <w:szCs w:val="21"/>
          <w:highlight w:val="none"/>
          <w:u w:val="single"/>
        </w:rPr>
        <w:t>工程的计量均以《建设工程工程量清单计价规范广西壮族自治区实施细则》(修订本) (GB50854～50862-2013)及其广西实施细则、本工程补充项目清单为准。</w:t>
      </w:r>
    </w:p>
    <w:p>
      <w:pPr>
        <w:pStyle w:val="12"/>
        <w:spacing w:line="390" w:lineRule="exact"/>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措施项目费调整原则按《建设工程工程量清单计价规范-广西壮族自治区实施细则》执行</w:t>
      </w:r>
    </w:p>
    <w:p>
      <w:pPr>
        <w:pStyle w:val="12"/>
        <w:spacing w:line="390" w:lineRule="exact"/>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国家和自治区、桂林市政策性调整有关费用标准的，按文件规定执行。</w:t>
      </w:r>
    </w:p>
    <w:p>
      <w:pPr>
        <w:pStyle w:val="12"/>
        <w:spacing w:line="390" w:lineRule="exact"/>
        <w:ind w:firstLine="422" w:firstLineChars="200"/>
        <w:rPr>
          <w:rFonts w:hint="eastAsia" w:ascii="宋体" w:hAnsi="宋体" w:cs="宋体"/>
          <w:b/>
          <w:color w:val="auto"/>
          <w:szCs w:val="21"/>
          <w:highlight w:val="none"/>
          <w:u w:val="single"/>
        </w:rPr>
      </w:pPr>
      <w:bookmarkStart w:id="563" w:name="_Toc454283156"/>
      <w:bookmarkStart w:id="564" w:name="_Toc406522275"/>
      <w:bookmarkStart w:id="565" w:name="_Toc417904330"/>
      <w:r>
        <w:rPr>
          <w:rFonts w:hint="eastAsia" w:ascii="宋体" w:hAnsi="宋体" w:cs="宋体"/>
          <w:b/>
          <w:color w:val="auto"/>
          <w:szCs w:val="21"/>
          <w:highlight w:val="none"/>
          <w:u w:val="single"/>
        </w:rPr>
        <w:t>本工程最终结算价以财政部门的审定为准，如财政部门允许则以发包方确定的第三方审计机构审定为准。</w:t>
      </w:r>
    </w:p>
    <w:p>
      <w:pPr>
        <w:pStyle w:val="10"/>
        <w:outlineLvl w:val="0"/>
        <w:rPr>
          <w:rFonts w:hint="eastAsia" w:ascii="宋体" w:hAnsi="宋体" w:cs="宋体"/>
          <w:color w:val="auto"/>
          <w:highlight w:val="none"/>
        </w:rPr>
      </w:pPr>
      <w:r>
        <w:rPr>
          <w:rFonts w:hint="eastAsia" w:ascii="宋体" w:hAnsi="宋体" w:cs="宋体"/>
          <w:color w:val="auto"/>
          <w:highlight w:val="none"/>
        </w:rPr>
        <w:t>12.3.2 计量周期</w:t>
      </w:r>
      <w:bookmarkEnd w:id="562"/>
      <w:bookmarkEnd w:id="563"/>
      <w:bookmarkEnd w:id="564"/>
      <w:bookmarkEnd w:id="565"/>
    </w:p>
    <w:p>
      <w:pPr>
        <w:pStyle w:val="10"/>
        <w:rPr>
          <w:rFonts w:hint="eastAsia" w:ascii="宋体" w:hAnsi="宋体" w:cs="宋体"/>
          <w:color w:val="auto"/>
          <w:highlight w:val="none"/>
        </w:rPr>
      </w:pPr>
      <w:r>
        <w:rPr>
          <w:rFonts w:hint="eastAsia" w:ascii="宋体" w:hAnsi="宋体" w:cs="宋体"/>
          <w:color w:val="auto"/>
          <w:highlight w:val="none"/>
        </w:rPr>
        <w:t>关于计量周期的约定：</w:t>
      </w:r>
      <w:r>
        <w:rPr>
          <w:rFonts w:hint="eastAsia" w:ascii="宋体" w:hAnsi="宋体" w:cs="宋体"/>
          <w:color w:val="auto"/>
          <w:highlight w:val="none"/>
          <w:u w:val="single"/>
        </w:rPr>
        <w:t>本合同的计量周期为月，每月25日为当月计量截止日期（不含当日）和下月计量起始日期（含当日）。</w:t>
      </w:r>
    </w:p>
    <w:p>
      <w:pPr>
        <w:pStyle w:val="10"/>
        <w:rPr>
          <w:rFonts w:hint="eastAsia" w:ascii="宋体" w:hAnsi="宋体" w:cs="宋体"/>
          <w:color w:val="auto"/>
          <w:highlight w:val="none"/>
        </w:rPr>
      </w:pPr>
      <w:r>
        <w:rPr>
          <w:rFonts w:hint="eastAsia" w:ascii="宋体" w:hAnsi="宋体" w:cs="宋体"/>
          <w:color w:val="auto"/>
          <w:highlight w:val="none"/>
        </w:rPr>
        <w:t>12.3.3 单价合同的计量</w:t>
      </w:r>
    </w:p>
    <w:p>
      <w:pPr>
        <w:pStyle w:val="10"/>
        <w:rPr>
          <w:rFonts w:hint="eastAsia" w:ascii="宋体" w:hAnsi="宋体" w:cs="宋体"/>
          <w:color w:val="auto"/>
          <w:highlight w:val="none"/>
        </w:rPr>
      </w:pPr>
      <w:r>
        <w:rPr>
          <w:rFonts w:hint="eastAsia" w:ascii="宋体" w:hAnsi="宋体" w:cs="宋体"/>
          <w:color w:val="auto"/>
          <w:highlight w:val="none"/>
        </w:rPr>
        <w:t>关于单价合同计量的约定：</w:t>
      </w:r>
      <w:r>
        <w:rPr>
          <w:rFonts w:hint="eastAsia" w:ascii="宋体" w:hAnsi="宋体" w:cs="宋体"/>
          <w:color w:val="auto"/>
          <w:highlight w:val="none"/>
          <w:u w:val="single"/>
        </w:rPr>
        <w:t xml:space="preserve">      按实际完成量           </w:t>
      </w:r>
      <w:r>
        <w:rPr>
          <w:rFonts w:hint="eastAsia" w:ascii="宋体" w:hAnsi="宋体" w:cs="宋体"/>
          <w:color w:val="auto"/>
          <w:highlight w:val="none"/>
        </w:rPr>
        <w:t>。</w:t>
      </w:r>
    </w:p>
    <w:p>
      <w:pPr>
        <w:pStyle w:val="10"/>
        <w:outlineLvl w:val="0"/>
        <w:rPr>
          <w:rFonts w:hint="eastAsia" w:ascii="宋体" w:hAnsi="宋体" w:cs="宋体"/>
          <w:color w:val="auto"/>
          <w:highlight w:val="none"/>
        </w:rPr>
      </w:pPr>
      <w:bookmarkStart w:id="566" w:name="_Toc406522276"/>
      <w:bookmarkStart w:id="567" w:name="_Toc417904331"/>
      <w:bookmarkStart w:id="568" w:name="_Toc454283157"/>
      <w:bookmarkStart w:id="569" w:name="_Toc406419400"/>
      <w:r>
        <w:rPr>
          <w:rFonts w:hint="eastAsia" w:ascii="宋体" w:hAnsi="宋体" w:cs="宋体"/>
          <w:color w:val="auto"/>
          <w:highlight w:val="none"/>
        </w:rPr>
        <w:t>12.3.4 总价合同的计量</w:t>
      </w:r>
      <w:bookmarkEnd w:id="566"/>
      <w:bookmarkEnd w:id="567"/>
      <w:bookmarkEnd w:id="568"/>
      <w:bookmarkEnd w:id="569"/>
    </w:p>
    <w:p>
      <w:pPr>
        <w:pStyle w:val="10"/>
        <w:rPr>
          <w:rFonts w:hint="eastAsia" w:ascii="宋体" w:hAnsi="宋体" w:cs="宋体"/>
          <w:color w:val="auto"/>
          <w:highlight w:val="none"/>
        </w:rPr>
      </w:pPr>
      <w:r>
        <w:rPr>
          <w:rFonts w:hint="eastAsia" w:ascii="宋体" w:hAnsi="宋体" w:cs="宋体"/>
          <w:color w:val="auto"/>
          <w:highlight w:val="none"/>
        </w:rPr>
        <w:t>关于总价合同计量的约定：</w:t>
      </w:r>
      <w:r>
        <w:rPr>
          <w:rFonts w:hint="eastAsia" w:ascii="宋体" w:hAnsi="宋体" w:cs="宋体"/>
          <w:color w:val="auto"/>
          <w:highlight w:val="none"/>
          <w:u w:val="single"/>
        </w:rPr>
        <w:t xml:space="preserve">     无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12.3.5总价合同采用支付分解表计量支付的，是否适用第12.3.4项〔总价合同的计量〕约定进行计量：</w:t>
      </w:r>
      <w:r>
        <w:rPr>
          <w:rFonts w:hint="eastAsia" w:ascii="宋体" w:hAnsi="宋体" w:cs="宋体"/>
          <w:color w:val="auto"/>
          <w:highlight w:val="none"/>
          <w:u w:val="single"/>
        </w:rPr>
        <w:t xml:space="preserve">       无      </w:t>
      </w:r>
      <w:r>
        <w:rPr>
          <w:rFonts w:hint="eastAsia" w:ascii="宋体" w:hAnsi="宋体" w:cs="宋体"/>
          <w:color w:val="auto"/>
          <w:highlight w:val="none"/>
        </w:rPr>
        <w:t>。</w:t>
      </w:r>
    </w:p>
    <w:p>
      <w:pPr>
        <w:pStyle w:val="10"/>
        <w:outlineLvl w:val="0"/>
        <w:rPr>
          <w:rFonts w:hint="eastAsia" w:ascii="宋体" w:hAnsi="宋体" w:cs="宋体"/>
          <w:color w:val="auto"/>
          <w:highlight w:val="none"/>
        </w:rPr>
      </w:pPr>
      <w:bookmarkStart w:id="570" w:name="_Toc406522277"/>
      <w:bookmarkStart w:id="571" w:name="_Toc417904332"/>
      <w:bookmarkStart w:id="572" w:name="_Toc454283158"/>
      <w:bookmarkStart w:id="573" w:name="_Toc406419401"/>
      <w:r>
        <w:rPr>
          <w:rFonts w:hint="eastAsia" w:ascii="宋体" w:hAnsi="宋体" w:cs="宋体"/>
          <w:color w:val="auto"/>
          <w:highlight w:val="none"/>
        </w:rPr>
        <w:t>12.3.6 其他价格形式合同的计量</w:t>
      </w:r>
      <w:bookmarkEnd w:id="570"/>
      <w:bookmarkEnd w:id="571"/>
      <w:bookmarkEnd w:id="572"/>
      <w:bookmarkEnd w:id="573"/>
    </w:p>
    <w:p>
      <w:pPr>
        <w:pStyle w:val="10"/>
        <w:rPr>
          <w:rFonts w:hint="eastAsia" w:ascii="宋体" w:hAnsi="宋体" w:cs="宋体"/>
          <w:color w:val="auto"/>
          <w:highlight w:val="none"/>
        </w:rPr>
      </w:pPr>
      <w:r>
        <w:rPr>
          <w:rFonts w:hint="eastAsia" w:ascii="宋体" w:hAnsi="宋体" w:cs="宋体"/>
          <w:color w:val="auto"/>
          <w:highlight w:val="none"/>
        </w:rPr>
        <w:t>其他价格形式的计量方式和程序：</w:t>
      </w:r>
      <w:r>
        <w:rPr>
          <w:rFonts w:hint="eastAsia" w:ascii="宋体" w:hAnsi="宋体" w:cs="宋体"/>
          <w:color w:val="auto"/>
          <w:highlight w:val="none"/>
          <w:u w:val="single"/>
        </w:rPr>
        <w:t xml:space="preserve">    无       </w:t>
      </w:r>
      <w:r>
        <w:rPr>
          <w:rFonts w:hint="eastAsia" w:ascii="宋体" w:hAnsi="宋体" w:cs="宋体"/>
          <w:color w:val="auto"/>
          <w:highlight w:val="none"/>
        </w:rPr>
        <w:t>。</w:t>
      </w:r>
    </w:p>
    <w:p>
      <w:pPr>
        <w:pStyle w:val="9"/>
        <w:spacing w:before="0" w:after="0"/>
        <w:rPr>
          <w:rFonts w:hint="eastAsia" w:ascii="宋体" w:cs="宋体"/>
          <w:color w:val="auto"/>
          <w:highlight w:val="none"/>
        </w:rPr>
      </w:pPr>
      <w:bookmarkStart w:id="574" w:name="_Toc417904333"/>
      <w:bookmarkStart w:id="575" w:name="_Toc454283159"/>
      <w:r>
        <w:rPr>
          <w:rFonts w:hint="eastAsia" w:ascii="宋体" w:cs="宋体"/>
          <w:color w:val="auto"/>
          <w:highlight w:val="none"/>
        </w:rPr>
        <w:t>12.4 工程进度款支付</w:t>
      </w:r>
      <w:bookmarkEnd w:id="574"/>
      <w:bookmarkEnd w:id="575"/>
    </w:p>
    <w:p>
      <w:pPr>
        <w:pStyle w:val="10"/>
        <w:rPr>
          <w:rFonts w:hint="eastAsia" w:ascii="宋体" w:hAnsi="宋体" w:cs="宋体"/>
          <w:color w:val="auto"/>
          <w:highlight w:val="none"/>
        </w:rPr>
      </w:pPr>
      <w:bookmarkStart w:id="576" w:name="_Toc296944550"/>
      <w:bookmarkStart w:id="577" w:name="_Toc296891039"/>
      <w:bookmarkStart w:id="578" w:name="_Toc296346712"/>
      <w:bookmarkStart w:id="579" w:name="_Toc300935006"/>
      <w:bookmarkStart w:id="580" w:name="_Toc292559921"/>
      <w:bookmarkStart w:id="581" w:name="_Toc296891251"/>
      <w:bookmarkStart w:id="582" w:name="_Toc297216215"/>
      <w:bookmarkStart w:id="583" w:name="_Toc296347210"/>
      <w:bookmarkStart w:id="584" w:name="_Toc296503211"/>
      <w:bookmarkStart w:id="585" w:name="_Toc297123556"/>
      <w:bookmarkStart w:id="586" w:name="_Toc297048397"/>
      <w:bookmarkStart w:id="587" w:name="_Toc292559416"/>
      <w:bookmarkStart w:id="588" w:name="_Toc303539163"/>
      <w:bookmarkStart w:id="589" w:name="_Toc297120511"/>
      <w:r>
        <w:rPr>
          <w:rFonts w:hint="eastAsia" w:ascii="宋体" w:hAnsi="宋体" w:cs="宋体"/>
          <w:color w:val="auto"/>
          <w:highlight w:val="none"/>
        </w:rPr>
        <w:t>12.4.1 付款周期</w:t>
      </w:r>
    </w:p>
    <w:p>
      <w:pPr>
        <w:spacing w:line="390" w:lineRule="exact"/>
        <w:ind w:firstLine="422" w:firstLineChars="200"/>
        <w:rPr>
          <w:rFonts w:hint="eastAsia" w:ascii="宋体" w:hAnsi="宋体" w:eastAsia="宋体" w:cs="宋体"/>
          <w:color w:val="auto"/>
          <w:sz w:val="21"/>
          <w:szCs w:val="21"/>
          <w:highlight w:val="none"/>
          <w:lang w:eastAsia="zh-CN"/>
        </w:rPr>
      </w:pPr>
      <w:r>
        <w:rPr>
          <w:rFonts w:hint="eastAsia" w:ascii="宋体" w:hAnsi="宋体" w:cs="宋体"/>
          <w:b/>
          <w:color w:val="auto"/>
          <w:sz w:val="21"/>
          <w:szCs w:val="21"/>
          <w:highlight w:val="none"/>
        </w:rPr>
        <w:t>工程</w:t>
      </w:r>
      <w:r>
        <w:rPr>
          <w:rFonts w:hint="eastAsia" w:ascii="宋体" w:hAnsi="宋体" w:cs="宋体"/>
          <w:b/>
          <w:color w:val="auto"/>
          <w:sz w:val="21"/>
          <w:szCs w:val="21"/>
          <w:highlight w:val="none"/>
        </w:rPr>
        <w:t>款支付方式：</w:t>
      </w:r>
      <w:r>
        <w:rPr>
          <w:rFonts w:hint="eastAsia" w:ascii="宋体" w:hAnsi="宋体" w:cs="宋体"/>
          <w:b/>
          <w:color w:val="auto"/>
          <w:sz w:val="21"/>
          <w:szCs w:val="21"/>
          <w:highlight w:val="none"/>
          <w:u w:val="single"/>
        </w:rPr>
        <w:t>发包人以银行转帐的方式将所有工程款转入承包人在本合同中指定的开户银行及帐号内</w:t>
      </w:r>
      <w:r>
        <w:rPr>
          <w:rFonts w:hint="eastAsia" w:ascii="宋体" w:hAnsi="宋体" w:cs="宋体"/>
          <w:b/>
          <w:bCs w:val="0"/>
          <w:color w:val="auto"/>
          <w:sz w:val="21"/>
          <w:szCs w:val="21"/>
          <w:highlight w:val="none"/>
          <w:u w:val="single"/>
          <w:lang w:eastAsia="zh-CN"/>
        </w:rPr>
        <w:t>，</w:t>
      </w:r>
      <w:r>
        <w:rPr>
          <w:rFonts w:hint="eastAsia" w:ascii="宋体" w:hAnsi="宋体" w:cs="宋体"/>
          <w:b/>
          <w:bCs w:val="0"/>
          <w:color w:val="auto"/>
          <w:sz w:val="21"/>
          <w:szCs w:val="21"/>
          <w:highlight w:val="none"/>
          <w:u w:val="single"/>
        </w:rPr>
        <w:t>必要时承包人需设立本项目专用账户用于支付合同价款。</w:t>
      </w:r>
    </w:p>
    <w:p>
      <w:pPr>
        <w:pStyle w:val="10"/>
        <w:rPr>
          <w:rFonts w:hint="eastAsia" w:ascii="宋体" w:hAnsi="宋体" w:cs="宋体"/>
          <w:color w:val="auto"/>
          <w:highlight w:val="none"/>
          <w:u w:val="single"/>
        </w:rPr>
      </w:pPr>
      <w:bookmarkStart w:id="590" w:name="_Toc406419403"/>
      <w:bookmarkStart w:id="591" w:name="_Toc454283160"/>
      <w:bookmarkStart w:id="592" w:name="_Toc417904334"/>
      <w:bookmarkStart w:id="593" w:name="_Toc406522279"/>
      <w:r>
        <w:rPr>
          <w:rFonts w:hint="eastAsia" w:ascii="宋体" w:hAnsi="宋体" w:cs="宋体"/>
          <w:color w:val="auto"/>
          <w:highlight w:val="none"/>
          <w:u w:val="single"/>
        </w:rPr>
        <w:t>工程款原则上按月支付，合同内进度款支付限额为已完成工程量的8</w:t>
      </w:r>
      <w:r>
        <w:rPr>
          <w:rFonts w:hint="eastAsia" w:ascii="宋体" w:hAnsi="宋体" w:cs="宋体"/>
          <w:color w:val="auto"/>
          <w:highlight w:val="none"/>
          <w:u w:val="single"/>
          <w:lang w:val="en-US" w:eastAsia="zh-CN"/>
        </w:rPr>
        <w:t>0</w:t>
      </w:r>
      <w:r>
        <w:rPr>
          <w:rFonts w:hint="eastAsia" w:ascii="宋体" w:hAnsi="宋体" w:cs="宋体"/>
          <w:color w:val="auto"/>
          <w:highlight w:val="none"/>
          <w:u w:val="single"/>
        </w:rPr>
        <w:t>%，工程变更部分进度款支付限额为已完成工程量的</w:t>
      </w:r>
      <w:r>
        <w:rPr>
          <w:rFonts w:hint="eastAsia" w:ascii="宋体" w:hAnsi="宋体" w:cs="宋体"/>
          <w:color w:val="auto"/>
          <w:highlight w:val="none"/>
          <w:u w:val="single"/>
          <w:lang w:val="en-US" w:eastAsia="zh-CN"/>
        </w:rPr>
        <w:t>6</w:t>
      </w:r>
      <w:r>
        <w:rPr>
          <w:rFonts w:hint="eastAsia" w:ascii="宋体" w:hAnsi="宋体" w:cs="宋体"/>
          <w:color w:val="auto"/>
          <w:highlight w:val="none"/>
          <w:u w:val="single"/>
        </w:rPr>
        <w:t>0%；工程完工验收达到质量要求，结算经审定后，工程款支付至最终结算总造价的97%；发包人按工程最终结算总造价的3%预留工程质量保修金，待工程质量保修期满后返还。</w:t>
      </w:r>
    </w:p>
    <w:p>
      <w:pPr>
        <w:pStyle w:val="10"/>
        <w:outlineLvl w:val="0"/>
        <w:rPr>
          <w:rFonts w:hint="eastAsia" w:ascii="宋体" w:hAnsi="宋体" w:cs="宋体"/>
          <w:color w:val="auto"/>
          <w:highlight w:val="none"/>
        </w:rPr>
      </w:pPr>
      <w:r>
        <w:rPr>
          <w:rFonts w:hint="eastAsia" w:ascii="宋体" w:hAnsi="宋体" w:cs="宋体"/>
          <w:color w:val="auto"/>
          <w:highlight w:val="none"/>
        </w:rPr>
        <w:t>12.4.2 进度付款申请单的编制</w:t>
      </w:r>
      <w:bookmarkEnd w:id="590"/>
      <w:bookmarkEnd w:id="591"/>
      <w:bookmarkEnd w:id="592"/>
      <w:bookmarkEnd w:id="593"/>
    </w:p>
    <w:p>
      <w:pPr>
        <w:pStyle w:val="10"/>
        <w:spacing w:line="480" w:lineRule="exact"/>
        <w:rPr>
          <w:rFonts w:hint="eastAsia" w:ascii="宋体" w:hAnsi="宋体" w:cs="宋体"/>
          <w:color w:val="auto"/>
          <w:highlight w:val="none"/>
          <w:u w:val="single"/>
        </w:rPr>
      </w:pPr>
      <w:r>
        <w:rPr>
          <w:rFonts w:hint="eastAsia" w:ascii="宋体" w:hAnsi="宋体" w:cs="宋体"/>
          <w:color w:val="auto"/>
          <w:highlight w:val="none"/>
        </w:rPr>
        <w:t>关于进度付款申请单编制的约定：</w:t>
      </w:r>
      <w:r>
        <w:rPr>
          <w:rFonts w:hint="eastAsia" w:ascii="宋体" w:hAnsi="宋体" w:cs="宋体"/>
          <w:color w:val="auto"/>
          <w:highlight w:val="none"/>
          <w:u w:val="single"/>
        </w:rPr>
        <w:t>承包人应在每个计量周期到期后的7天内向发包人提交已完工程进度款支付申请一式四份，详细说明此周期自己认为有权得到的款额，包括分包人已完工程的价款。</w:t>
      </w:r>
    </w:p>
    <w:p>
      <w:pPr>
        <w:spacing w:line="480" w:lineRule="exact"/>
        <w:ind w:firstLine="422" w:firstLineChars="200"/>
        <w:rPr>
          <w:rFonts w:hint="eastAsia" w:ascii="宋体" w:hAnsi="宋体" w:cs="宋体"/>
          <w:color w:val="auto"/>
          <w:sz w:val="21"/>
          <w:szCs w:val="21"/>
          <w:highlight w:val="none"/>
          <w:u w:val="single"/>
        </w:rPr>
      </w:pPr>
      <w:r>
        <w:rPr>
          <w:rFonts w:hint="eastAsia" w:ascii="宋体" w:hAnsi="宋体" w:cs="宋体"/>
          <w:b/>
          <w:bCs/>
          <w:color w:val="auto"/>
          <w:sz w:val="21"/>
          <w:szCs w:val="21"/>
          <w:highlight w:val="none"/>
        </w:rPr>
        <w:t>工程完工验收合格后</w:t>
      </w:r>
      <w:r>
        <w:rPr>
          <w:rFonts w:hint="eastAsia" w:ascii="宋体" w:hAnsi="宋体" w:cs="宋体"/>
          <w:bCs/>
          <w:color w:val="auto"/>
          <w:sz w:val="21"/>
          <w:szCs w:val="21"/>
          <w:highlight w:val="none"/>
        </w:rPr>
        <w:t>，</w:t>
      </w:r>
      <w:r>
        <w:rPr>
          <w:rFonts w:hint="eastAsia" w:ascii="宋体" w:hAnsi="宋体" w:cs="宋体"/>
          <w:color w:val="auto"/>
          <w:kern w:val="0"/>
          <w:sz w:val="21"/>
          <w:szCs w:val="21"/>
          <w:highlight w:val="none"/>
        </w:rPr>
        <w:t>经发包人委托的中介机构审定后方可办理工程结算或竣工决算，经按相关规定审核确认最终造价后15日内，发包人将工程款付至工程审核造价的97%；</w:t>
      </w:r>
      <w:r>
        <w:rPr>
          <w:rFonts w:hint="eastAsia" w:ascii="宋体" w:hAnsi="宋体" w:cs="宋体"/>
          <w:color w:val="auto"/>
          <w:kern w:val="0"/>
          <w:sz w:val="21"/>
          <w:szCs w:val="21"/>
          <w:highlight w:val="none"/>
        </w:rPr>
        <w:t>工程</w:t>
      </w:r>
      <w:r>
        <w:rPr>
          <w:rFonts w:hint="eastAsia" w:ascii="宋体" w:hAnsi="宋体" w:cs="宋体"/>
          <w:color w:val="auto"/>
          <w:kern w:val="0"/>
          <w:sz w:val="21"/>
          <w:szCs w:val="21"/>
          <w:highlight w:val="none"/>
        </w:rPr>
        <w:t>审核造价金额的3%作为质保金（无息）。</w:t>
      </w:r>
    </w:p>
    <w:p>
      <w:pPr>
        <w:pStyle w:val="10"/>
        <w:spacing w:line="480" w:lineRule="exact"/>
        <w:rPr>
          <w:rFonts w:hint="eastAsia" w:ascii="宋体" w:hAnsi="宋体" w:cs="宋体"/>
          <w:color w:val="auto"/>
          <w:highlight w:val="none"/>
        </w:rPr>
      </w:pPr>
      <w:r>
        <w:rPr>
          <w:rFonts w:hint="eastAsia" w:ascii="宋体" w:hAnsi="宋体" w:cs="宋体"/>
          <w:color w:val="auto"/>
          <w:highlight w:val="none"/>
        </w:rPr>
        <w:t>1</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Pr>
          <w:rFonts w:hint="eastAsia" w:ascii="宋体" w:hAnsi="宋体" w:cs="宋体"/>
          <w:color w:val="auto"/>
          <w:highlight w:val="none"/>
        </w:rPr>
        <w:t>2.4.3 进度付款申请单的提交</w:t>
      </w:r>
    </w:p>
    <w:p>
      <w:pPr>
        <w:pStyle w:val="10"/>
        <w:spacing w:line="480" w:lineRule="exact"/>
        <w:rPr>
          <w:rFonts w:hint="eastAsia" w:ascii="宋体" w:hAnsi="宋体" w:cs="宋体"/>
          <w:color w:val="auto"/>
          <w:highlight w:val="none"/>
        </w:rPr>
      </w:pPr>
      <w:r>
        <w:rPr>
          <w:rFonts w:hint="eastAsia" w:ascii="宋体" w:hAnsi="宋体" w:cs="宋体"/>
          <w:color w:val="auto"/>
          <w:highlight w:val="none"/>
        </w:rPr>
        <w:t>（1）单价合同进度付款申请单提交的约定：</w:t>
      </w:r>
      <w:r>
        <w:rPr>
          <w:rFonts w:hint="eastAsia" w:ascii="宋体" w:hAnsi="宋体" w:cs="宋体"/>
          <w:color w:val="auto"/>
          <w:highlight w:val="none"/>
          <w:u w:val="single"/>
        </w:rPr>
        <w:t xml:space="preserve">   </w:t>
      </w:r>
      <w:r>
        <w:rPr>
          <w:rFonts w:hint="eastAsia" w:ascii="宋体" w:hAnsi="宋体" w:cs="宋体"/>
          <w:color w:val="auto"/>
          <w:sz w:val="21"/>
          <w:szCs w:val="21"/>
          <w:highlight w:val="none"/>
          <w:u w:val="single"/>
        </w:rPr>
        <w:t>《工程用款支付证书》；已完工程量计算书；监理审核计算书；其他需要补充说明的材料 （当月已完工程量报表、下月进度计划、材料供应计划，以上计划及报表须经监理单位认可后报发包人，如监理单位对以上资料进行合理化优化或调整，承包人需无条件执行并在不超过3天的规定时间内完成合格的资料上报）</w:t>
      </w:r>
      <w:r>
        <w:rPr>
          <w:rFonts w:hint="eastAsia" w:ascii="宋体" w:hAnsi="宋体" w:cs="宋体"/>
          <w:color w:val="auto"/>
          <w:highlight w:val="none"/>
          <w:u w:val="single"/>
        </w:rPr>
        <w:t>　</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pStyle w:val="10"/>
        <w:spacing w:line="480" w:lineRule="exact"/>
        <w:rPr>
          <w:rFonts w:hint="eastAsia" w:ascii="宋体" w:hAnsi="宋体" w:cs="宋体"/>
          <w:color w:val="auto"/>
          <w:highlight w:val="none"/>
        </w:rPr>
      </w:pPr>
      <w:r>
        <w:rPr>
          <w:rFonts w:hint="eastAsia" w:ascii="宋体" w:hAnsi="宋体" w:cs="宋体"/>
          <w:color w:val="auto"/>
          <w:highlight w:val="none"/>
        </w:rPr>
        <w:t>（2）总价合同进度付款申请单提交的约定：</w:t>
      </w:r>
      <w:r>
        <w:rPr>
          <w:rFonts w:hint="eastAsia" w:ascii="宋体" w:hAnsi="宋体" w:cs="宋体"/>
          <w:color w:val="auto"/>
          <w:highlight w:val="none"/>
          <w:u w:val="single"/>
        </w:rPr>
        <w:t xml:space="preserve">   无　　  </w:t>
      </w:r>
      <w:r>
        <w:rPr>
          <w:rFonts w:hint="eastAsia" w:ascii="宋体" w:hAnsi="宋体" w:cs="宋体"/>
          <w:color w:val="auto"/>
          <w:highlight w:val="none"/>
        </w:rPr>
        <w:t>。</w:t>
      </w:r>
    </w:p>
    <w:p>
      <w:pPr>
        <w:pStyle w:val="10"/>
        <w:spacing w:line="480" w:lineRule="exact"/>
        <w:rPr>
          <w:rFonts w:hint="eastAsia" w:ascii="宋体" w:hAnsi="宋体" w:cs="宋体"/>
          <w:color w:val="auto"/>
          <w:highlight w:val="none"/>
        </w:rPr>
      </w:pPr>
      <w:r>
        <w:rPr>
          <w:rFonts w:hint="eastAsia" w:ascii="宋体" w:hAnsi="宋体" w:cs="宋体"/>
          <w:color w:val="auto"/>
          <w:highlight w:val="none"/>
        </w:rPr>
        <w:t>（3）其他价格形式合同进度付款申请单提交的约定：</w:t>
      </w:r>
      <w:r>
        <w:rPr>
          <w:rFonts w:hint="eastAsia" w:ascii="宋体" w:hAnsi="宋体" w:cs="宋体"/>
          <w:color w:val="auto"/>
          <w:highlight w:val="none"/>
          <w:u w:val="single"/>
        </w:rPr>
        <w:t xml:space="preserve">   无    　  </w:t>
      </w:r>
      <w:r>
        <w:rPr>
          <w:rFonts w:hint="eastAsia" w:ascii="宋体" w:hAnsi="宋体" w:cs="宋体"/>
          <w:color w:val="auto"/>
          <w:highlight w:val="none"/>
        </w:rPr>
        <w:t>。</w:t>
      </w:r>
    </w:p>
    <w:p>
      <w:pPr>
        <w:pStyle w:val="10"/>
        <w:spacing w:line="480" w:lineRule="exact"/>
        <w:outlineLvl w:val="0"/>
        <w:rPr>
          <w:rFonts w:hint="eastAsia" w:ascii="宋体" w:hAnsi="宋体" w:cs="宋体"/>
          <w:color w:val="auto"/>
          <w:highlight w:val="none"/>
        </w:rPr>
      </w:pPr>
      <w:bookmarkStart w:id="594" w:name="_Toc417904335"/>
      <w:bookmarkStart w:id="595" w:name="_Toc454283161"/>
      <w:bookmarkStart w:id="596" w:name="_Toc406522280"/>
      <w:bookmarkStart w:id="597" w:name="_Toc406419404"/>
      <w:r>
        <w:rPr>
          <w:rFonts w:hint="eastAsia" w:ascii="宋体" w:hAnsi="宋体" w:cs="宋体"/>
          <w:color w:val="auto"/>
          <w:highlight w:val="none"/>
        </w:rPr>
        <w:t>12.4.4 进度款审核和支付</w:t>
      </w:r>
      <w:bookmarkEnd w:id="594"/>
      <w:bookmarkEnd w:id="595"/>
      <w:bookmarkEnd w:id="596"/>
      <w:bookmarkEnd w:id="597"/>
    </w:p>
    <w:p>
      <w:pPr>
        <w:pStyle w:val="10"/>
        <w:spacing w:line="480" w:lineRule="exact"/>
        <w:rPr>
          <w:rFonts w:hint="eastAsia" w:ascii="宋体" w:hAnsi="宋体" w:cs="宋体"/>
          <w:color w:val="auto"/>
          <w:highlight w:val="none"/>
          <w:u w:val="single"/>
        </w:rPr>
      </w:pPr>
      <w:r>
        <w:rPr>
          <w:rFonts w:hint="eastAsia" w:ascii="宋体" w:hAnsi="宋体" w:cs="宋体"/>
          <w:color w:val="auto"/>
          <w:highlight w:val="none"/>
        </w:rPr>
        <w:t>（1）监理人审查并报送发包人的期限：</w:t>
      </w:r>
      <w:r>
        <w:rPr>
          <w:rFonts w:hint="eastAsia" w:ascii="宋体" w:hAnsi="宋体" w:cs="宋体"/>
          <w:color w:val="auto"/>
          <w:highlight w:val="none"/>
          <w:u w:val="single"/>
        </w:rPr>
        <w:t xml:space="preserve">  3天内　</w:t>
      </w:r>
      <w:r>
        <w:rPr>
          <w:rFonts w:hint="eastAsia" w:ascii="宋体" w:hAnsi="宋体" w:cs="宋体"/>
          <w:color w:val="auto"/>
          <w:highlight w:val="none"/>
        </w:rPr>
        <w:t>。</w:t>
      </w:r>
    </w:p>
    <w:p>
      <w:pPr>
        <w:pStyle w:val="10"/>
        <w:spacing w:line="480" w:lineRule="exact"/>
        <w:rPr>
          <w:rFonts w:hint="eastAsia" w:ascii="宋体" w:hAnsi="宋体" w:cs="宋体"/>
          <w:color w:val="auto"/>
          <w:highlight w:val="none"/>
        </w:rPr>
      </w:pPr>
      <w:r>
        <w:rPr>
          <w:rFonts w:hint="eastAsia" w:ascii="宋体" w:hAnsi="宋体" w:cs="宋体"/>
          <w:color w:val="auto"/>
          <w:highlight w:val="none"/>
        </w:rPr>
        <w:t>发包人完成审批并签发进度款支付证书的期限：</w:t>
      </w:r>
      <w:r>
        <w:rPr>
          <w:rFonts w:hint="eastAsia" w:ascii="宋体" w:hAnsi="宋体" w:cs="宋体"/>
          <w:color w:val="auto"/>
          <w:highlight w:val="none"/>
          <w:u w:val="single"/>
        </w:rPr>
        <w:t xml:space="preserve">     7天内        </w:t>
      </w:r>
      <w:r>
        <w:rPr>
          <w:rFonts w:hint="eastAsia" w:ascii="宋体" w:hAnsi="宋体" w:cs="宋体"/>
          <w:color w:val="auto"/>
          <w:highlight w:val="none"/>
        </w:rPr>
        <w:t>。</w:t>
      </w:r>
    </w:p>
    <w:p>
      <w:pPr>
        <w:pStyle w:val="10"/>
        <w:spacing w:line="480" w:lineRule="exact"/>
        <w:rPr>
          <w:rFonts w:hint="eastAsia" w:ascii="宋体" w:hAnsi="宋体" w:cs="宋体"/>
          <w:color w:val="auto"/>
          <w:highlight w:val="none"/>
        </w:rPr>
      </w:pPr>
      <w:r>
        <w:rPr>
          <w:rFonts w:hint="eastAsia" w:ascii="宋体" w:hAnsi="宋体" w:cs="宋体"/>
          <w:color w:val="auto"/>
          <w:highlight w:val="none"/>
        </w:rPr>
        <w:t>（2）发包人支付进度款的期限：</w:t>
      </w:r>
      <w:r>
        <w:rPr>
          <w:rFonts w:hint="eastAsia" w:ascii="宋体" w:hAnsi="宋体" w:cs="宋体"/>
          <w:color w:val="auto"/>
          <w:highlight w:val="none"/>
          <w:u w:val="single"/>
        </w:rPr>
        <w:t xml:space="preserve">   承包人提出书面申请后10天内    　　　</w:t>
      </w:r>
      <w:r>
        <w:rPr>
          <w:rFonts w:hint="eastAsia" w:ascii="宋体" w:hAnsi="宋体" w:cs="宋体"/>
          <w:color w:val="auto"/>
          <w:highlight w:val="none"/>
        </w:rPr>
        <w:t>。</w:t>
      </w:r>
    </w:p>
    <w:p>
      <w:pPr>
        <w:pStyle w:val="10"/>
        <w:spacing w:line="480" w:lineRule="exact"/>
        <w:rPr>
          <w:rFonts w:hint="eastAsia" w:ascii="宋体" w:hAnsi="宋体" w:cs="宋体"/>
          <w:color w:val="auto"/>
          <w:highlight w:val="none"/>
        </w:rPr>
      </w:pPr>
      <w:r>
        <w:rPr>
          <w:rFonts w:hint="eastAsia" w:ascii="宋体" w:hAnsi="宋体" w:cs="宋体"/>
          <w:color w:val="auto"/>
          <w:highlight w:val="none"/>
        </w:rPr>
        <w:t>发包人逾期支付进度款的违约金的计算方式：</w:t>
      </w:r>
      <w:r>
        <w:rPr>
          <w:rFonts w:hint="eastAsia" w:ascii="宋体" w:hAnsi="宋体" w:cs="宋体"/>
          <w:color w:val="auto"/>
          <w:highlight w:val="none"/>
          <w:u w:val="single"/>
        </w:rPr>
        <w:t xml:space="preserve">      无     </w:t>
      </w:r>
      <w:r>
        <w:rPr>
          <w:rFonts w:hint="eastAsia" w:ascii="宋体" w:hAnsi="宋体" w:cs="宋体"/>
          <w:color w:val="auto"/>
          <w:highlight w:val="none"/>
        </w:rPr>
        <w:t>。</w:t>
      </w:r>
    </w:p>
    <w:p>
      <w:pPr>
        <w:pStyle w:val="10"/>
        <w:spacing w:line="480" w:lineRule="exact"/>
        <w:rPr>
          <w:rFonts w:hint="eastAsia" w:ascii="宋体" w:hAnsi="宋体" w:cs="宋体"/>
          <w:color w:val="auto"/>
          <w:highlight w:val="none"/>
        </w:rPr>
      </w:pPr>
      <w:r>
        <w:rPr>
          <w:rFonts w:hint="eastAsia" w:ascii="宋体" w:hAnsi="宋体" w:cs="宋体"/>
          <w:color w:val="auto"/>
          <w:highlight w:val="none"/>
        </w:rPr>
        <w:t>12.4.6 支付分解表的编制</w:t>
      </w:r>
    </w:p>
    <w:p>
      <w:pPr>
        <w:pStyle w:val="10"/>
        <w:spacing w:line="480" w:lineRule="exact"/>
        <w:rPr>
          <w:rFonts w:hint="eastAsia" w:ascii="宋体" w:hAnsi="宋体" w:cs="宋体"/>
          <w:color w:val="auto"/>
          <w:highlight w:val="none"/>
        </w:rPr>
      </w:pPr>
      <w:r>
        <w:rPr>
          <w:rFonts w:hint="eastAsia" w:ascii="宋体" w:hAnsi="宋体" w:cs="宋体"/>
          <w:color w:val="auto"/>
          <w:highlight w:val="none"/>
        </w:rPr>
        <w:t>2、总价合同支付分解表的编制与审批：</w:t>
      </w:r>
      <w:r>
        <w:rPr>
          <w:rFonts w:hint="eastAsia" w:ascii="宋体" w:hAnsi="宋体" w:cs="宋体"/>
          <w:color w:val="auto"/>
          <w:highlight w:val="none"/>
          <w:u w:val="single"/>
        </w:rPr>
        <w:t xml:space="preserve">    无   </w:t>
      </w:r>
      <w:r>
        <w:rPr>
          <w:rFonts w:hint="eastAsia" w:ascii="宋体" w:hAnsi="宋体" w:cs="宋体"/>
          <w:color w:val="auto"/>
          <w:highlight w:val="none"/>
        </w:rPr>
        <w:t>。</w:t>
      </w:r>
    </w:p>
    <w:p>
      <w:pPr>
        <w:pStyle w:val="10"/>
        <w:spacing w:line="480" w:lineRule="exact"/>
        <w:rPr>
          <w:rFonts w:hint="eastAsia" w:ascii="宋体" w:hAnsi="宋体" w:cs="宋体"/>
          <w:color w:val="auto"/>
          <w:highlight w:val="none"/>
        </w:rPr>
      </w:pPr>
      <w:r>
        <w:rPr>
          <w:rFonts w:hint="eastAsia" w:ascii="宋体" w:hAnsi="宋体" w:cs="宋体"/>
          <w:color w:val="auto"/>
          <w:highlight w:val="none"/>
        </w:rPr>
        <w:t>3、单价合同的总价项目支付分解表的编制与审批：</w:t>
      </w:r>
      <w:r>
        <w:rPr>
          <w:rFonts w:hint="eastAsia" w:ascii="宋体" w:hAnsi="宋体" w:cs="宋体"/>
          <w:color w:val="auto"/>
          <w:highlight w:val="none"/>
          <w:u w:val="single"/>
        </w:rPr>
        <w:t xml:space="preserve">    按支付方式      </w:t>
      </w:r>
      <w:r>
        <w:rPr>
          <w:rFonts w:hint="eastAsia" w:ascii="宋体" w:hAnsi="宋体" w:cs="宋体"/>
          <w:color w:val="auto"/>
          <w:highlight w:val="none"/>
        </w:rPr>
        <w:t>。</w:t>
      </w:r>
    </w:p>
    <w:bookmarkEnd w:id="384"/>
    <w:p>
      <w:pPr>
        <w:pStyle w:val="9"/>
        <w:spacing w:before="0" w:after="0" w:line="480" w:lineRule="exact"/>
        <w:rPr>
          <w:rFonts w:hint="eastAsia" w:ascii="宋体" w:cs="宋体"/>
          <w:color w:val="auto"/>
          <w:highlight w:val="none"/>
        </w:rPr>
      </w:pPr>
      <w:bookmarkStart w:id="598" w:name="_Toc454283162"/>
      <w:bookmarkStart w:id="599" w:name="_Toc351203645"/>
      <w:bookmarkStart w:id="600" w:name="_Toc417904336"/>
      <w:bookmarkStart w:id="601" w:name="_Toc297123564"/>
      <w:bookmarkStart w:id="602" w:name="_Toc296891259"/>
      <w:bookmarkStart w:id="603" w:name="_Toc296347218"/>
      <w:bookmarkStart w:id="604" w:name="_Toc297048405"/>
      <w:bookmarkStart w:id="605" w:name="_Toc297216223"/>
      <w:bookmarkStart w:id="606" w:name="_Toc292559424"/>
      <w:bookmarkStart w:id="607" w:name="_Toc296346720"/>
      <w:bookmarkStart w:id="608" w:name="_Toc292559929"/>
      <w:bookmarkStart w:id="609" w:name="_Toc296891047"/>
      <w:bookmarkStart w:id="610" w:name="_Toc296944558"/>
      <w:bookmarkStart w:id="611" w:name="_Toc300935015"/>
      <w:bookmarkStart w:id="612" w:name="_Toc304295593"/>
      <w:bookmarkStart w:id="613" w:name="_Toc296503219"/>
      <w:bookmarkStart w:id="614" w:name="_Toc312678053"/>
      <w:bookmarkStart w:id="615" w:name="_Toc303539172"/>
      <w:bookmarkStart w:id="616" w:name="_Toc297120519"/>
      <w:r>
        <w:rPr>
          <w:rFonts w:hint="eastAsia" w:ascii="宋体" w:cs="宋体"/>
          <w:color w:val="auto"/>
          <w:highlight w:val="none"/>
        </w:rPr>
        <w:t>13. 验收</w:t>
      </w:r>
      <w:bookmarkEnd w:id="598"/>
      <w:bookmarkEnd w:id="599"/>
      <w:bookmarkEnd w:id="600"/>
    </w:p>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Pr>
        <w:pStyle w:val="9"/>
        <w:spacing w:before="0" w:after="0" w:line="480" w:lineRule="exact"/>
        <w:rPr>
          <w:rFonts w:hint="eastAsia" w:ascii="宋体" w:cs="宋体"/>
          <w:color w:val="auto"/>
          <w:highlight w:val="none"/>
        </w:rPr>
      </w:pPr>
      <w:bookmarkStart w:id="617" w:name="_Toc454283163"/>
      <w:bookmarkStart w:id="618" w:name="_Toc417904337"/>
      <w:r>
        <w:rPr>
          <w:rFonts w:hint="eastAsia" w:ascii="宋体" w:cs="宋体"/>
          <w:color w:val="auto"/>
          <w:highlight w:val="none"/>
        </w:rPr>
        <w:t>13.1 分部分项工程验收</w:t>
      </w:r>
      <w:bookmarkEnd w:id="617"/>
      <w:bookmarkEnd w:id="618"/>
    </w:p>
    <w:p>
      <w:pPr>
        <w:pStyle w:val="10"/>
        <w:spacing w:line="480" w:lineRule="exact"/>
        <w:rPr>
          <w:rFonts w:hint="eastAsia" w:ascii="宋体" w:hAnsi="宋体" w:cs="宋体"/>
          <w:color w:val="auto"/>
          <w:highlight w:val="none"/>
        </w:rPr>
      </w:pPr>
      <w:r>
        <w:rPr>
          <w:rFonts w:hint="eastAsia" w:ascii="宋体" w:hAnsi="宋体" w:cs="宋体"/>
          <w:color w:val="auto"/>
          <w:highlight w:val="none"/>
        </w:rPr>
        <w:t>13.1.2监理人不能按时进行验收时，应提前</w:t>
      </w:r>
      <w:r>
        <w:rPr>
          <w:rFonts w:hint="eastAsia" w:ascii="宋体" w:hAnsi="宋体" w:cs="宋体"/>
          <w:color w:val="auto"/>
          <w:highlight w:val="none"/>
          <w:u w:val="single"/>
        </w:rPr>
        <w:t xml:space="preserve">  24   </w:t>
      </w:r>
      <w:r>
        <w:rPr>
          <w:rFonts w:hint="eastAsia" w:ascii="宋体" w:hAnsi="宋体" w:cs="宋体"/>
          <w:color w:val="auto"/>
          <w:highlight w:val="none"/>
        </w:rPr>
        <w:t>小时提交书面延期要求。</w:t>
      </w:r>
    </w:p>
    <w:p>
      <w:pPr>
        <w:pStyle w:val="10"/>
        <w:spacing w:line="480" w:lineRule="exact"/>
        <w:rPr>
          <w:rFonts w:hint="eastAsia" w:ascii="宋体" w:hAnsi="宋体" w:cs="宋体"/>
          <w:b/>
          <w:color w:val="auto"/>
          <w:highlight w:val="none"/>
        </w:rPr>
      </w:pPr>
      <w:r>
        <w:rPr>
          <w:rFonts w:hint="eastAsia" w:ascii="宋体" w:hAnsi="宋体" w:cs="宋体"/>
          <w:color w:val="auto"/>
          <w:highlight w:val="none"/>
        </w:rPr>
        <w:t>关于延期最长不得超过：</w:t>
      </w:r>
      <w:r>
        <w:rPr>
          <w:rFonts w:hint="eastAsia" w:ascii="宋体" w:hAnsi="宋体" w:cs="宋体"/>
          <w:color w:val="auto"/>
          <w:highlight w:val="none"/>
          <w:u w:val="single"/>
        </w:rPr>
        <w:t xml:space="preserve">    48    </w:t>
      </w:r>
      <w:r>
        <w:rPr>
          <w:rFonts w:hint="eastAsia" w:ascii="宋体" w:hAnsi="宋体" w:cs="宋体"/>
          <w:color w:val="auto"/>
          <w:highlight w:val="none"/>
        </w:rPr>
        <w:t>小时。</w:t>
      </w:r>
    </w:p>
    <w:p>
      <w:pPr>
        <w:pStyle w:val="9"/>
        <w:spacing w:before="0" w:after="0" w:line="480" w:lineRule="exact"/>
        <w:rPr>
          <w:rFonts w:hint="eastAsia" w:ascii="宋体" w:cs="宋体"/>
          <w:color w:val="auto"/>
          <w:highlight w:val="none"/>
        </w:rPr>
      </w:pPr>
      <w:bookmarkStart w:id="619" w:name="_Toc417904338"/>
      <w:bookmarkStart w:id="620" w:name="_Toc454283164"/>
      <w:bookmarkStart w:id="621" w:name="_Toc304295596"/>
      <w:bookmarkStart w:id="622" w:name="_Toc297123565"/>
      <w:bookmarkStart w:id="623" w:name="_Toc303539173"/>
      <w:bookmarkStart w:id="624" w:name="_Toc296891263"/>
      <w:bookmarkStart w:id="625" w:name="_Toc300935016"/>
      <w:bookmarkStart w:id="626" w:name="_Toc296503223"/>
      <w:bookmarkStart w:id="627" w:name="_Toc296944562"/>
      <w:bookmarkStart w:id="628" w:name="_Toc297048409"/>
      <w:bookmarkStart w:id="629" w:name="_Toc292559933"/>
      <w:bookmarkStart w:id="630" w:name="_Toc297120523"/>
      <w:bookmarkStart w:id="631" w:name="_Toc296891051"/>
      <w:bookmarkStart w:id="632" w:name="_Toc312678056"/>
      <w:bookmarkStart w:id="633" w:name="_Toc296347222"/>
      <w:bookmarkStart w:id="634" w:name="_Toc297216224"/>
      <w:bookmarkStart w:id="635" w:name="_Toc292559428"/>
      <w:bookmarkStart w:id="636" w:name="_Toc296346724"/>
      <w:bookmarkStart w:id="637" w:name="_Toc267251472"/>
      <w:bookmarkStart w:id="638" w:name="_Toc267251475"/>
      <w:bookmarkStart w:id="639" w:name="_Toc267251470"/>
      <w:bookmarkStart w:id="640" w:name="_Toc267251476"/>
      <w:bookmarkStart w:id="641" w:name="_Toc267251473"/>
      <w:bookmarkStart w:id="642" w:name="_Toc267251471"/>
      <w:bookmarkStart w:id="643" w:name="_Toc267251474"/>
      <w:r>
        <w:rPr>
          <w:rFonts w:hint="eastAsia" w:ascii="宋体" w:cs="宋体"/>
          <w:color w:val="auto"/>
          <w:highlight w:val="none"/>
        </w:rPr>
        <w:t>13.2 竣工验收</w:t>
      </w:r>
      <w:bookmarkEnd w:id="619"/>
      <w:bookmarkEnd w:id="620"/>
    </w:p>
    <w:p>
      <w:pPr>
        <w:pStyle w:val="10"/>
        <w:spacing w:line="480" w:lineRule="exact"/>
        <w:rPr>
          <w:rFonts w:hint="eastAsia" w:ascii="宋体" w:hAnsi="宋体" w:cs="宋体"/>
          <w:color w:val="auto"/>
          <w:highlight w:val="none"/>
        </w:rPr>
      </w:pPr>
      <w:r>
        <w:rPr>
          <w:rFonts w:hint="eastAsia" w:ascii="宋体" w:hAnsi="宋体" w:cs="宋体"/>
          <w:color w:val="auto"/>
          <w:highlight w:val="none"/>
        </w:rPr>
        <w:t>13.2.1竣工验收条件</w:t>
      </w:r>
    </w:p>
    <w:p>
      <w:pPr>
        <w:pStyle w:val="10"/>
        <w:spacing w:line="480" w:lineRule="exact"/>
        <w:rPr>
          <w:rFonts w:hint="eastAsia" w:ascii="宋体" w:hAnsi="宋体" w:cs="宋体"/>
          <w:color w:val="auto"/>
          <w:highlight w:val="none"/>
        </w:rPr>
      </w:pPr>
      <w:r>
        <w:rPr>
          <w:rFonts w:hint="eastAsia" w:ascii="宋体" w:hAnsi="宋体" w:cs="宋体"/>
          <w:color w:val="auto"/>
          <w:highlight w:val="none"/>
        </w:rPr>
        <w:t>（3）承包人负责整理和提交的竣工验收资料应当符合工程所在地建设行政主管部门和(或)行政管理机构有关施工资料的要求，具体内容包括：</w:t>
      </w:r>
      <w:r>
        <w:rPr>
          <w:rFonts w:hint="eastAsia" w:ascii="宋体" w:hAnsi="宋体" w:cs="宋体"/>
          <w:color w:val="auto"/>
          <w:highlight w:val="none"/>
          <w:u w:val="single"/>
        </w:rPr>
        <w:t>①工程具备竣工验收条件，承包人按工程竣工验收有关规定，向发包人提交符合行业标准归档要求内容装订成册的完整竣工资料及竣工验收报告、工程竣工图；②承包人所提交的竣工资料必须符合《建设工程文件归档整理规范》要求</w:t>
      </w:r>
      <w:r>
        <w:rPr>
          <w:rFonts w:hint="eastAsia" w:ascii="宋体" w:hAnsi="宋体" w:cs="宋体"/>
          <w:color w:val="auto"/>
          <w:highlight w:val="none"/>
        </w:rPr>
        <w:t>。</w:t>
      </w:r>
    </w:p>
    <w:p>
      <w:pPr>
        <w:pStyle w:val="10"/>
        <w:spacing w:line="480" w:lineRule="exact"/>
        <w:rPr>
          <w:rFonts w:hint="eastAsia" w:ascii="宋体" w:hAnsi="宋体" w:cs="宋体"/>
          <w:color w:val="auto"/>
          <w:highlight w:val="none"/>
        </w:rPr>
      </w:pPr>
      <w:r>
        <w:rPr>
          <w:rFonts w:hint="eastAsia" w:ascii="宋体" w:hAnsi="宋体" w:cs="宋体"/>
          <w:color w:val="auto"/>
          <w:highlight w:val="none"/>
        </w:rPr>
        <w:t>竣工验收资料的份数：</w:t>
      </w:r>
      <w:r>
        <w:rPr>
          <w:rFonts w:hint="eastAsia" w:ascii="宋体" w:hAnsi="宋体" w:cs="宋体"/>
          <w:color w:val="auto"/>
          <w:highlight w:val="none"/>
          <w:u w:val="single"/>
        </w:rPr>
        <w:t xml:space="preserve">   4份     </w:t>
      </w:r>
      <w:r>
        <w:rPr>
          <w:rFonts w:hint="eastAsia" w:ascii="宋体" w:hAnsi="宋体" w:cs="宋体"/>
          <w:color w:val="auto"/>
          <w:highlight w:val="none"/>
        </w:rPr>
        <w:t>。</w:t>
      </w:r>
    </w:p>
    <w:p>
      <w:pPr>
        <w:pStyle w:val="10"/>
        <w:spacing w:line="480" w:lineRule="exact"/>
        <w:rPr>
          <w:rFonts w:hint="eastAsia" w:ascii="宋体" w:hAnsi="宋体" w:cs="宋体"/>
          <w:color w:val="auto"/>
          <w:highlight w:val="none"/>
        </w:rPr>
      </w:pPr>
      <w:r>
        <w:rPr>
          <w:rFonts w:hint="eastAsia" w:ascii="宋体" w:hAnsi="宋体" w:cs="宋体"/>
          <w:bCs/>
          <w:color w:val="auto"/>
          <w:highlight w:val="none"/>
        </w:rPr>
        <w:t>承包人提供竣工图的约定：</w:t>
      </w:r>
      <w:r>
        <w:rPr>
          <w:rFonts w:hint="eastAsia" w:ascii="宋体" w:hAnsi="宋体" w:cs="宋体"/>
          <w:bCs/>
          <w:color w:val="auto"/>
          <w:highlight w:val="none"/>
          <w:u w:val="single"/>
        </w:rPr>
        <w:t>竣工验收正式通过后5天（工程造价在500万元以下含500万元）、10天（工程造价在500万元至1000万元之间含1000万元）、15天（工程造价在1000万元以上），提供竣工图的数量6套。</w:t>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Pr>
        <w:pStyle w:val="10"/>
        <w:spacing w:line="480" w:lineRule="exact"/>
        <w:rPr>
          <w:rFonts w:hint="eastAsia" w:ascii="宋体" w:hAnsi="宋体" w:cs="宋体"/>
          <w:color w:val="auto"/>
          <w:highlight w:val="none"/>
        </w:rPr>
      </w:pPr>
      <w:bookmarkStart w:id="644" w:name="_Toc280868704"/>
      <w:bookmarkStart w:id="645" w:name="_Toc280868705"/>
      <w:bookmarkStart w:id="646" w:name="_Toc280868706"/>
      <w:bookmarkStart w:id="647" w:name="_Toc280868707"/>
      <w:bookmarkStart w:id="648" w:name="_Toc280868708"/>
      <w:bookmarkStart w:id="649" w:name="_Toc280868709"/>
      <w:r>
        <w:rPr>
          <w:rFonts w:hint="eastAsia" w:ascii="宋体" w:hAnsi="宋体" w:cs="宋体"/>
          <w:color w:val="auto"/>
          <w:highlight w:val="none"/>
        </w:rPr>
        <w:t>13.2.2竣工验收程序</w:t>
      </w:r>
    </w:p>
    <w:bookmarkEnd w:id="644"/>
    <w:p>
      <w:pPr>
        <w:pStyle w:val="10"/>
        <w:spacing w:line="480" w:lineRule="exact"/>
        <w:rPr>
          <w:rFonts w:hint="eastAsia" w:ascii="宋体" w:hAnsi="宋体" w:cs="宋体"/>
          <w:color w:val="auto"/>
          <w:highlight w:val="none"/>
        </w:rPr>
      </w:pPr>
      <w:r>
        <w:rPr>
          <w:rFonts w:hint="eastAsia" w:ascii="宋体" w:hAnsi="宋体" w:cs="宋体"/>
          <w:color w:val="auto"/>
          <w:highlight w:val="none"/>
        </w:rPr>
        <w:t>关于竣工验收程序的约定：</w:t>
      </w:r>
      <w:r>
        <w:rPr>
          <w:rFonts w:hint="eastAsia" w:ascii="宋体" w:hAnsi="宋体" w:cs="宋体"/>
          <w:color w:val="auto"/>
          <w:highlight w:val="none"/>
          <w:u w:val="single"/>
        </w:rPr>
        <w:t xml:space="preserve">  按国家及地方规定和行业规范要求 </w:t>
      </w:r>
      <w:r>
        <w:rPr>
          <w:rFonts w:hint="eastAsia" w:ascii="宋体" w:hAnsi="宋体" w:cs="宋体"/>
          <w:color w:val="auto"/>
          <w:highlight w:val="none"/>
        </w:rPr>
        <w:t>。</w:t>
      </w:r>
    </w:p>
    <w:p>
      <w:pPr>
        <w:pStyle w:val="10"/>
        <w:spacing w:line="480" w:lineRule="exact"/>
        <w:rPr>
          <w:rFonts w:hint="eastAsia" w:ascii="宋体" w:hAnsi="宋体" w:cs="宋体"/>
          <w:color w:val="auto"/>
          <w:highlight w:val="none"/>
        </w:rPr>
      </w:pPr>
      <w:r>
        <w:rPr>
          <w:rFonts w:hint="eastAsia" w:ascii="宋体" w:hAnsi="宋体" w:cs="宋体"/>
          <w:color w:val="auto"/>
          <w:highlight w:val="none"/>
        </w:rPr>
        <w:t>发包人不按照本项约定组织竣工验收、颁发工程接收证书的违约金的计算方法：</w:t>
      </w:r>
      <w:r>
        <w:rPr>
          <w:rFonts w:hint="eastAsia" w:ascii="宋体" w:hAnsi="宋体" w:cs="宋体"/>
          <w:color w:val="auto"/>
          <w:highlight w:val="none"/>
          <w:u w:val="single"/>
        </w:rPr>
        <w:t xml:space="preserve"> 无</w:t>
      </w:r>
      <w:r>
        <w:rPr>
          <w:rFonts w:hint="eastAsia" w:ascii="宋体" w:hAnsi="宋体" w:cs="宋体"/>
          <w:color w:val="auto"/>
          <w:highlight w:val="none"/>
        </w:rPr>
        <w:t>。</w:t>
      </w:r>
    </w:p>
    <w:bookmarkEnd w:id="645"/>
    <w:p>
      <w:pPr>
        <w:spacing w:line="400" w:lineRule="exact"/>
        <w:ind w:firstLine="420" w:firstLineChars="200"/>
        <w:jc w:val="left"/>
        <w:rPr>
          <w:rFonts w:ascii="宋体" w:hAnsi="宋体" w:cs="宋体"/>
          <w:color w:val="auto"/>
          <w:sz w:val="21"/>
          <w:szCs w:val="21"/>
          <w:highlight w:val="none"/>
        </w:rPr>
      </w:pPr>
      <w:r>
        <w:rPr>
          <w:rFonts w:ascii="宋体" w:hAnsi="宋体" w:cs="宋体"/>
          <w:color w:val="auto"/>
          <w:sz w:val="21"/>
          <w:szCs w:val="21"/>
          <w:highlight w:val="none"/>
        </w:rPr>
        <w:t>13.2.</w:t>
      </w:r>
      <w:r>
        <w:rPr>
          <w:rFonts w:hint="eastAsia" w:ascii="宋体" w:hAnsi="宋体" w:cs="宋体"/>
          <w:color w:val="auto"/>
          <w:sz w:val="21"/>
          <w:szCs w:val="21"/>
          <w:highlight w:val="none"/>
        </w:rPr>
        <w:t>3竣工清理</w:t>
      </w:r>
    </w:p>
    <w:p>
      <w:pPr>
        <w:spacing w:line="40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在工程竣工后，不管发包人是否已办妥政府有关机构所要求的一切必要的批准、备案手续以及是否已发布移交证书，承包人应全面履行其合同责任和义务，包括;</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（1）从现场清除所有剩余材料、杂物、垃圾等;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(2)从现场拆除所有的临时建筑物、构筑物和临时设施并恢复地面原状;但经监理工程师批准的护坡桩、锚杆等无法或无需拆除的临时设施允许保留;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(3)清洗工程的所有墙面、地面、楼面等表面;清洗和擦洗所有玻璃、磁砖、石材和所有金属面;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(4)修缮所有损坏、清除所有污迹、替换所有需更换的材料;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(5)所有表面完成约定的装修和装饰;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(6)检查和调试所有的门、窗、抽屉等以确保他们开启的顺畅;检查和调试所有的五金件并上油: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(7)检查、测试和确保所有的服务系统、设施和设备达到良好的运行状态和效果;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(8)为所有钥匙贴上标签并固定到钥匙排上交给监理工程师。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highlight w:val="none"/>
        </w:rPr>
      </w:pPr>
      <w:r>
        <w:rPr>
          <w:rFonts w:hint="eastAsia" w:ascii="宋体" w:hAnsi="宋体" w:cs="宋体"/>
          <w:color w:val="auto"/>
          <w:sz w:val="21"/>
          <w:szCs w:val="21"/>
          <w:highlight w:val="none"/>
        </w:rPr>
        <w:t>（9)整个工程应达到干净、整洁和能随时投入使用的状态。</w:t>
      </w:r>
    </w:p>
    <w:p>
      <w:pPr>
        <w:pStyle w:val="10"/>
        <w:spacing w:line="480" w:lineRule="exact"/>
        <w:rPr>
          <w:rFonts w:hint="eastAsia" w:ascii="宋体" w:hAnsi="宋体" w:cs="宋体"/>
          <w:color w:val="auto"/>
          <w:highlight w:val="none"/>
        </w:rPr>
      </w:pPr>
      <w:r>
        <w:rPr>
          <w:rFonts w:hint="eastAsia" w:ascii="宋体" w:hAnsi="宋体" w:cs="宋体"/>
          <w:color w:val="auto"/>
          <w:highlight w:val="none"/>
        </w:rPr>
        <w:t>13.2.5移交、接收全部与部分工程</w:t>
      </w:r>
    </w:p>
    <w:bookmarkEnd w:id="646"/>
    <w:p>
      <w:pPr>
        <w:pStyle w:val="10"/>
        <w:spacing w:line="480" w:lineRule="exact"/>
        <w:rPr>
          <w:rFonts w:hint="eastAsia" w:ascii="宋体" w:hAnsi="宋体" w:cs="宋体"/>
          <w:color w:val="auto"/>
          <w:highlight w:val="none"/>
        </w:rPr>
      </w:pPr>
      <w:r>
        <w:rPr>
          <w:rFonts w:hint="eastAsia" w:ascii="宋体" w:hAnsi="宋体" w:cs="宋体"/>
          <w:color w:val="auto"/>
          <w:highlight w:val="none"/>
        </w:rPr>
        <w:t>承包人向发包人移交工程的期限：</w:t>
      </w:r>
      <w:r>
        <w:rPr>
          <w:rFonts w:hint="eastAsia" w:ascii="宋体" w:hAnsi="宋体" w:cs="宋体"/>
          <w:color w:val="auto"/>
          <w:highlight w:val="none"/>
          <w:u w:val="single"/>
        </w:rPr>
        <w:t xml:space="preserve">  竣工验收</w:t>
      </w:r>
      <w:r>
        <w:rPr>
          <w:rFonts w:hint="eastAsia" w:ascii="宋体" w:hAnsi="宋体" w:cs="宋体"/>
          <w:b/>
          <w:color w:val="auto"/>
          <w:highlight w:val="none"/>
          <w:u w:val="single"/>
        </w:rPr>
        <w:t>合格</w:t>
      </w:r>
      <w:r>
        <w:rPr>
          <w:rFonts w:hint="eastAsia" w:ascii="宋体" w:hAnsi="宋体" w:cs="宋体"/>
          <w:color w:val="auto"/>
          <w:highlight w:val="none"/>
          <w:u w:val="single"/>
        </w:rPr>
        <w:t xml:space="preserve">后7天内   </w:t>
      </w:r>
      <w:r>
        <w:rPr>
          <w:rFonts w:hint="eastAsia" w:ascii="宋体" w:hAnsi="宋体" w:cs="宋体"/>
          <w:color w:val="auto"/>
          <w:highlight w:val="none"/>
        </w:rPr>
        <w:t>。</w:t>
      </w:r>
    </w:p>
    <w:p>
      <w:pPr>
        <w:pStyle w:val="10"/>
        <w:spacing w:line="480" w:lineRule="exact"/>
        <w:rPr>
          <w:rFonts w:hint="eastAsia" w:ascii="宋体" w:hAnsi="宋体" w:cs="宋体"/>
          <w:color w:val="auto"/>
          <w:highlight w:val="none"/>
          <w:u w:val="single"/>
        </w:rPr>
      </w:pPr>
      <w:r>
        <w:rPr>
          <w:rFonts w:hint="eastAsia" w:ascii="宋体" w:hAnsi="宋体" w:cs="宋体"/>
          <w:color w:val="auto"/>
          <w:highlight w:val="none"/>
        </w:rPr>
        <w:t>发包人未按本合同约定接收全部或部分工程的，违约金的计算方法为：</w:t>
      </w:r>
      <w:r>
        <w:rPr>
          <w:rFonts w:hint="eastAsia" w:ascii="宋体" w:hAnsi="宋体" w:cs="宋体"/>
          <w:color w:val="auto"/>
          <w:highlight w:val="none"/>
          <w:u w:val="single"/>
        </w:rPr>
        <w:t xml:space="preserve"> 按延期工程造价万分之二，最高限额为延期工程造价2%　 </w:t>
      </w:r>
      <w:r>
        <w:rPr>
          <w:rFonts w:hint="eastAsia" w:ascii="宋体" w:hAnsi="宋体" w:cs="宋体"/>
          <w:color w:val="auto"/>
          <w:highlight w:val="none"/>
        </w:rPr>
        <w:t>。</w:t>
      </w:r>
    </w:p>
    <w:bookmarkEnd w:id="647"/>
    <w:p>
      <w:pPr>
        <w:pStyle w:val="10"/>
        <w:spacing w:line="480" w:lineRule="exact"/>
        <w:rPr>
          <w:rFonts w:hint="eastAsia" w:ascii="宋体" w:hAnsi="宋体" w:cs="宋体"/>
          <w:color w:val="auto"/>
          <w:highlight w:val="none"/>
        </w:rPr>
      </w:pPr>
      <w:r>
        <w:rPr>
          <w:rFonts w:hint="eastAsia" w:ascii="宋体" w:hAnsi="宋体" w:cs="宋体"/>
          <w:color w:val="auto"/>
          <w:highlight w:val="none"/>
        </w:rPr>
        <w:t>承包人未按时移交工程的，违约金的计算方法为：</w:t>
      </w:r>
      <w:r>
        <w:rPr>
          <w:rFonts w:hint="eastAsia" w:ascii="宋体" w:hAnsi="宋体" w:cs="宋体"/>
          <w:color w:val="auto"/>
          <w:highlight w:val="none"/>
          <w:u w:val="single"/>
        </w:rPr>
        <w:t>按延期工程造价万分</w:t>
      </w:r>
      <w:r>
        <w:rPr>
          <w:rFonts w:hint="eastAsia" w:ascii="宋体" w:hAnsi="宋体" w:cs="宋体"/>
          <w:color w:val="auto"/>
          <w:highlight w:val="none"/>
          <w:u w:val="single"/>
        </w:rPr>
        <w:t>之</w:t>
      </w:r>
      <w:r>
        <w:rPr>
          <w:rFonts w:hint="eastAsia" w:ascii="宋体" w:hAnsi="宋体" w:cs="宋体"/>
          <w:color w:val="auto"/>
          <w:highlight w:val="none"/>
          <w:u w:val="single"/>
          <w:lang w:eastAsia="zh-CN"/>
        </w:rPr>
        <w:t>八</w:t>
      </w:r>
      <w:r>
        <w:rPr>
          <w:rFonts w:hint="eastAsia" w:ascii="宋体" w:hAnsi="宋体" w:cs="宋体"/>
          <w:color w:val="auto"/>
          <w:highlight w:val="none"/>
          <w:u w:val="single"/>
        </w:rPr>
        <w:t>，最高限额为延期工程造价</w:t>
      </w:r>
      <w:r>
        <w:rPr>
          <w:rFonts w:hint="eastAsia" w:ascii="宋体" w:hAnsi="宋体" w:cs="宋体"/>
          <w:color w:val="auto"/>
          <w:highlight w:val="none"/>
          <w:u w:val="single"/>
          <w:lang w:val="en-US" w:eastAsia="zh-CN"/>
        </w:rPr>
        <w:t>4</w:t>
      </w:r>
      <w:r>
        <w:rPr>
          <w:rFonts w:hint="eastAsia" w:ascii="宋体" w:hAnsi="宋体" w:cs="宋体"/>
          <w:color w:val="auto"/>
          <w:highlight w:val="none"/>
          <w:u w:val="single"/>
        </w:rPr>
        <w:t xml:space="preserve">% </w:t>
      </w:r>
      <w:r>
        <w:rPr>
          <w:rFonts w:hint="eastAsia" w:ascii="宋体" w:hAnsi="宋体" w:cs="宋体"/>
          <w:color w:val="auto"/>
          <w:highlight w:val="none"/>
        </w:rPr>
        <w:t>。</w:t>
      </w:r>
    </w:p>
    <w:bookmarkEnd w:id="648"/>
    <w:p>
      <w:pPr>
        <w:pStyle w:val="9"/>
        <w:spacing w:before="0" w:after="0"/>
        <w:rPr>
          <w:rFonts w:hint="eastAsia" w:ascii="宋体" w:cs="宋体"/>
          <w:color w:val="auto"/>
          <w:highlight w:val="none"/>
        </w:rPr>
      </w:pPr>
      <w:bookmarkStart w:id="650" w:name="_Toc417904342"/>
      <w:bookmarkStart w:id="651" w:name="_Toc454283165"/>
      <w:r>
        <w:rPr>
          <w:rFonts w:hint="eastAsia" w:ascii="宋体" w:cs="宋体"/>
          <w:color w:val="auto"/>
          <w:highlight w:val="none"/>
        </w:rPr>
        <w:t>13.6 竣工退场</w:t>
      </w:r>
      <w:bookmarkEnd w:id="650"/>
      <w:bookmarkEnd w:id="651"/>
    </w:p>
    <w:p>
      <w:pPr>
        <w:pStyle w:val="10"/>
        <w:spacing w:line="480" w:lineRule="exact"/>
        <w:rPr>
          <w:rFonts w:hint="eastAsia" w:ascii="宋体" w:hAnsi="宋体" w:cs="宋体"/>
          <w:color w:val="auto"/>
          <w:highlight w:val="none"/>
        </w:rPr>
      </w:pPr>
      <w:r>
        <w:rPr>
          <w:rFonts w:hint="eastAsia" w:ascii="宋体" w:hAnsi="宋体" w:cs="宋体"/>
          <w:color w:val="auto"/>
          <w:highlight w:val="none"/>
        </w:rPr>
        <w:t>13.6.1 竣工退场</w:t>
      </w:r>
    </w:p>
    <w:p>
      <w:pPr>
        <w:spacing w:line="480" w:lineRule="exact"/>
        <w:ind w:firstLine="420" w:firstLineChars="20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承包人完成竣工退场的期限：</w:t>
      </w:r>
      <w:r>
        <w:rPr>
          <w:rFonts w:hint="eastAsia" w:ascii="宋体" w:hAnsi="宋体" w:cs="宋体"/>
          <w:color w:val="auto"/>
          <w:sz w:val="21"/>
          <w:szCs w:val="21"/>
          <w:highlight w:val="none"/>
        </w:rPr>
        <w:t>承包人按照通用合同条款定撤离施工场地（现场）时，监理人和承包人应当办理永久工程和施工场地移交手续，移交手续以书面方式出具，并分别经过发包人、监理人和承包人的签认。</w:t>
      </w:r>
    </w:p>
    <w:p>
      <w:pPr>
        <w:pStyle w:val="10"/>
        <w:spacing w:line="480" w:lineRule="exact"/>
        <w:rPr>
          <w:rFonts w:hint="eastAsia" w:ascii="宋体" w:hAnsi="宋体" w:cs="宋体"/>
          <w:color w:val="auto"/>
          <w:highlight w:val="none"/>
        </w:rPr>
      </w:pPr>
      <w:r>
        <w:rPr>
          <w:rFonts w:hint="eastAsia" w:ascii="宋体" w:hAnsi="宋体" w:cs="宋体"/>
          <w:color w:val="auto"/>
          <w:highlight w:val="none"/>
        </w:rPr>
        <w:t>缺陷责任期满时，承包人可以继续在施工场地保留的人员和施工设备以及最终撤离的期限：</w:t>
      </w:r>
      <w:r>
        <w:rPr>
          <w:rFonts w:hint="eastAsia" w:ascii="宋体" w:hAnsi="宋体" w:cs="宋体"/>
          <w:color w:val="auto"/>
          <w:highlight w:val="none"/>
          <w:u w:val="single"/>
        </w:rPr>
        <w:t xml:space="preserve">         同通用条款 </w:t>
      </w:r>
      <w:r>
        <w:rPr>
          <w:rFonts w:hint="eastAsia" w:ascii="宋体" w:hAnsi="宋体" w:cs="宋体"/>
          <w:color w:val="auto"/>
          <w:highlight w:val="none"/>
        </w:rPr>
        <w:t>。</w:t>
      </w:r>
    </w:p>
    <w:p>
      <w:pPr>
        <w:pStyle w:val="9"/>
        <w:spacing w:before="0" w:after="0"/>
        <w:rPr>
          <w:rFonts w:hint="eastAsia" w:ascii="宋体" w:cs="宋体"/>
          <w:color w:val="auto"/>
          <w:highlight w:val="none"/>
        </w:rPr>
      </w:pPr>
      <w:bookmarkStart w:id="652" w:name="_Toc417904343"/>
      <w:bookmarkStart w:id="653" w:name="_Toc351203646"/>
      <w:bookmarkStart w:id="654" w:name="_Toc454283166"/>
      <w:r>
        <w:rPr>
          <w:rFonts w:hint="eastAsia" w:ascii="宋体" w:cs="宋体"/>
          <w:color w:val="auto"/>
          <w:highlight w:val="none"/>
        </w:rPr>
        <w:t>14. 竣工结算</w:t>
      </w:r>
      <w:bookmarkEnd w:id="652"/>
      <w:bookmarkEnd w:id="653"/>
      <w:bookmarkEnd w:id="654"/>
    </w:p>
    <w:p>
      <w:pPr>
        <w:pStyle w:val="9"/>
        <w:spacing w:before="0" w:after="0"/>
        <w:rPr>
          <w:rFonts w:hint="eastAsia" w:ascii="宋体" w:cs="宋体"/>
          <w:color w:val="auto"/>
          <w:highlight w:val="none"/>
        </w:rPr>
      </w:pPr>
      <w:bookmarkStart w:id="655" w:name="_Toc417904344"/>
      <w:bookmarkStart w:id="656" w:name="_Toc454283167"/>
      <w:r>
        <w:rPr>
          <w:rFonts w:hint="eastAsia" w:ascii="宋体" w:cs="宋体"/>
          <w:color w:val="auto"/>
          <w:highlight w:val="none"/>
        </w:rPr>
        <w:t>14.1 竣工结算申请</w:t>
      </w:r>
      <w:bookmarkEnd w:id="655"/>
      <w:bookmarkEnd w:id="656"/>
    </w:p>
    <w:p>
      <w:pPr>
        <w:pStyle w:val="10"/>
        <w:spacing w:line="480" w:lineRule="exact"/>
        <w:rPr>
          <w:rFonts w:hint="eastAsia" w:ascii="宋体" w:hAnsi="宋体" w:cs="宋体"/>
          <w:color w:val="auto"/>
          <w:highlight w:val="none"/>
        </w:rPr>
      </w:pPr>
      <w:r>
        <w:rPr>
          <w:rFonts w:hint="eastAsia" w:ascii="宋体" w:hAnsi="宋体" w:cs="宋体"/>
          <w:color w:val="auto"/>
          <w:highlight w:val="none"/>
        </w:rPr>
        <w:t>承包人提交竣工结算申请单的期限：</w:t>
      </w:r>
      <w:r>
        <w:rPr>
          <w:rFonts w:hint="eastAsia" w:ascii="宋体" w:hAnsi="宋体" w:cs="宋体"/>
          <w:color w:val="auto"/>
          <w:highlight w:val="none"/>
          <w:u w:val="single"/>
        </w:rPr>
        <w:t xml:space="preserve">  28天内 </w:t>
      </w:r>
      <w:r>
        <w:rPr>
          <w:rFonts w:hint="eastAsia" w:ascii="宋体" w:hAnsi="宋体" w:cs="宋体"/>
          <w:color w:val="auto"/>
          <w:highlight w:val="none"/>
        </w:rPr>
        <w:t>。</w:t>
      </w:r>
    </w:p>
    <w:p>
      <w:pPr>
        <w:pStyle w:val="10"/>
        <w:spacing w:line="480" w:lineRule="exact"/>
        <w:rPr>
          <w:rFonts w:hint="eastAsia" w:ascii="宋体" w:hAnsi="宋体" w:cs="宋体"/>
          <w:color w:val="auto"/>
          <w:highlight w:val="none"/>
        </w:rPr>
      </w:pPr>
      <w:r>
        <w:rPr>
          <w:rFonts w:hint="eastAsia" w:ascii="宋体" w:hAnsi="宋体" w:cs="宋体"/>
          <w:color w:val="auto"/>
          <w:highlight w:val="none"/>
        </w:rPr>
        <w:t>竣工结算申请单应包括的内容：</w:t>
      </w:r>
      <w:r>
        <w:rPr>
          <w:rFonts w:hint="eastAsia" w:ascii="宋体" w:hAnsi="宋体" w:cs="宋体"/>
          <w:color w:val="auto"/>
          <w:highlight w:val="none"/>
          <w:u w:val="single"/>
        </w:rPr>
        <w:t xml:space="preserve">    已竣工完成的工程量  </w:t>
      </w:r>
      <w:r>
        <w:rPr>
          <w:rFonts w:hint="eastAsia" w:ascii="宋体" w:hAnsi="宋体" w:cs="宋体"/>
          <w:color w:val="auto"/>
          <w:highlight w:val="none"/>
        </w:rPr>
        <w:t>。</w:t>
      </w:r>
    </w:p>
    <w:p>
      <w:pPr>
        <w:pStyle w:val="9"/>
        <w:spacing w:before="0" w:after="0"/>
        <w:rPr>
          <w:rFonts w:hint="eastAsia" w:ascii="宋体" w:cs="宋体"/>
          <w:color w:val="auto"/>
          <w:highlight w:val="none"/>
        </w:rPr>
      </w:pPr>
      <w:bookmarkStart w:id="657" w:name="_Toc417904345"/>
      <w:bookmarkStart w:id="658" w:name="_Toc454283168"/>
      <w:r>
        <w:rPr>
          <w:rFonts w:hint="eastAsia" w:ascii="宋体" w:cs="宋体"/>
          <w:color w:val="auto"/>
          <w:highlight w:val="none"/>
        </w:rPr>
        <w:t>14.2 竣工结算审核</w:t>
      </w:r>
      <w:bookmarkEnd w:id="657"/>
      <w:bookmarkEnd w:id="658"/>
    </w:p>
    <w:p>
      <w:pPr>
        <w:pStyle w:val="12"/>
        <w:spacing w:line="39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（1）本工程最终竣工结算需报财政部门</w:t>
      </w:r>
      <w:r>
        <w:rPr>
          <w:rFonts w:hint="eastAsia" w:ascii="宋体" w:hAnsi="宋体" w:cs="宋体"/>
          <w:b/>
          <w:bCs/>
          <w:color w:val="auto"/>
          <w:szCs w:val="21"/>
          <w:highlight w:val="none"/>
        </w:rPr>
        <w:t>（或第三方审定机构）</w:t>
      </w:r>
      <w:r>
        <w:rPr>
          <w:rFonts w:hint="eastAsia" w:ascii="宋体" w:hAnsi="宋体" w:cs="宋体"/>
          <w:b/>
          <w:bCs/>
          <w:color w:val="auto"/>
          <w:szCs w:val="21"/>
          <w:highlight w:val="none"/>
        </w:rPr>
        <w:t>审定，承包人所编制的工程竣工资料经发包人审核后，送到财政部门之日起，承包人所遗漏的与工程造价有关的资料不再作为结算审核依据，按自动放弃处理。</w:t>
      </w:r>
    </w:p>
    <w:p>
      <w:pPr>
        <w:pStyle w:val="12"/>
        <w:spacing w:line="39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（2）如承包人报送的工程结算总价过高，造成该结算审减率超</w:t>
      </w:r>
      <w:r>
        <w:rPr>
          <w:rFonts w:hint="eastAsia" w:ascii="宋体" w:hAnsi="宋体" w:cs="宋体"/>
          <w:b/>
          <w:bCs/>
          <w:color w:val="auto"/>
          <w:szCs w:val="21"/>
          <w:highlight w:val="none"/>
          <w:lang w:eastAsia="zh-CN"/>
        </w:rPr>
        <w:t>出</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%以上的，则超出</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%以上部分的审核费由承包人承担</w:t>
      </w:r>
      <w:r>
        <w:rPr>
          <w:rFonts w:hint="eastAsia" w:ascii="宋体" w:hAnsi="宋体" w:cs="宋体"/>
          <w:b/>
          <w:bCs/>
          <w:color w:val="auto"/>
          <w:szCs w:val="21"/>
          <w:highlight w:val="none"/>
          <w:lang w:eastAsia="zh-CN"/>
        </w:rPr>
        <w:t>；审减率超出10%的，则全部审核费用由承包人承担</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费用由发包人从承包人工程结算款中扣除。审减率=（送审造价-审定造价）/送审造价*100%。</w:t>
      </w:r>
    </w:p>
    <w:p>
      <w:pPr>
        <w:pStyle w:val="12"/>
        <w:spacing w:line="39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（3）发包人竣工结算报告审查时间</w:t>
      </w:r>
    </w:p>
    <w:tbl>
      <w:tblPr>
        <w:tblStyle w:val="7"/>
        <w:tblW w:w="0" w:type="auto"/>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2835"/>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1" w:type="dxa"/>
            <w:tcBorders>
              <w:top w:val="single" w:color="auto" w:sz="4" w:space="0"/>
              <w:left w:val="single" w:color="auto" w:sz="4" w:space="0"/>
              <w:bottom w:val="single" w:color="auto" w:sz="4" w:space="0"/>
              <w:right w:val="single" w:color="auto" w:sz="4" w:space="0"/>
            </w:tcBorders>
            <w:noWrap w:val="0"/>
            <w:vAlign w:val="top"/>
          </w:tcPr>
          <w:p>
            <w:pPr>
              <w:pStyle w:val="12"/>
              <w:spacing w:line="390" w:lineRule="exact"/>
              <w:ind w:right="-140" w:rightChars="-50"/>
              <w:rPr>
                <w:rFonts w:hint="eastAsia" w:ascii="宋体" w:hAnsi="宋体" w:cs="宋体"/>
                <w:b/>
                <w:bCs/>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top"/>
          </w:tcPr>
          <w:p>
            <w:pPr>
              <w:pStyle w:val="12"/>
              <w:spacing w:line="390" w:lineRule="exact"/>
              <w:ind w:right="-140" w:rightChars="-50"/>
              <w:jc w:val="center"/>
              <w:rPr>
                <w:rFonts w:hint="eastAsia" w:ascii="宋体" w:hAnsi="宋体" w:cs="宋体"/>
                <w:b/>
                <w:bCs/>
                <w:color w:val="auto"/>
                <w:szCs w:val="21"/>
                <w:highlight w:val="none"/>
              </w:rPr>
            </w:pPr>
            <w:r>
              <w:rPr>
                <w:rFonts w:hint="eastAsia" w:ascii="宋体" w:hAnsi="宋体" w:cs="宋体"/>
                <w:b/>
                <w:bCs/>
                <w:color w:val="auto"/>
                <w:szCs w:val="21"/>
                <w:highlight w:val="none"/>
              </w:rPr>
              <w:t>工程竣工结算报告金额</w:t>
            </w:r>
          </w:p>
        </w:tc>
        <w:tc>
          <w:tcPr>
            <w:tcW w:w="5812" w:type="dxa"/>
            <w:tcBorders>
              <w:top w:val="single" w:color="auto" w:sz="4" w:space="0"/>
              <w:left w:val="single" w:color="auto" w:sz="4" w:space="0"/>
              <w:bottom w:val="single" w:color="auto" w:sz="4" w:space="0"/>
              <w:right w:val="single" w:color="auto" w:sz="4" w:space="0"/>
            </w:tcBorders>
            <w:noWrap w:val="0"/>
            <w:vAlign w:val="top"/>
          </w:tcPr>
          <w:p>
            <w:pPr>
              <w:pStyle w:val="12"/>
              <w:spacing w:line="390" w:lineRule="exact"/>
              <w:ind w:right="-140" w:rightChars="-50"/>
              <w:jc w:val="center"/>
              <w:rPr>
                <w:rFonts w:hint="eastAsia" w:ascii="宋体" w:hAnsi="宋体" w:cs="宋体"/>
                <w:b/>
                <w:bCs/>
                <w:color w:val="auto"/>
                <w:szCs w:val="21"/>
                <w:highlight w:val="none"/>
              </w:rPr>
            </w:pPr>
            <w:r>
              <w:rPr>
                <w:rFonts w:hint="eastAsia" w:ascii="宋体" w:hAnsi="宋体" w:cs="宋体"/>
                <w:b/>
                <w:bCs/>
                <w:color w:val="auto"/>
                <w:szCs w:val="21"/>
                <w:highlight w:val="none"/>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1" w:type="dxa"/>
            <w:tcBorders>
              <w:top w:val="single" w:color="auto" w:sz="4" w:space="0"/>
              <w:left w:val="single" w:color="auto" w:sz="4" w:space="0"/>
              <w:bottom w:val="single" w:color="auto" w:sz="4" w:space="0"/>
              <w:right w:val="single" w:color="auto" w:sz="4" w:space="0"/>
            </w:tcBorders>
            <w:noWrap w:val="0"/>
            <w:vAlign w:val="top"/>
          </w:tcPr>
          <w:p>
            <w:pPr>
              <w:pStyle w:val="12"/>
              <w:spacing w:line="390" w:lineRule="exact"/>
              <w:ind w:right="-140" w:rightChars="-50"/>
              <w:rPr>
                <w:rFonts w:hint="eastAsia" w:ascii="宋体" w:hAnsi="宋体" w:cs="宋体"/>
                <w:b/>
                <w:bCs/>
                <w:color w:val="auto"/>
                <w:szCs w:val="21"/>
                <w:highlight w:val="none"/>
              </w:rPr>
            </w:pPr>
            <w:r>
              <w:rPr>
                <w:rFonts w:hint="eastAsia" w:ascii="宋体" w:hAnsi="宋体" w:cs="宋体"/>
                <w:b/>
                <w:bCs/>
                <w:color w:val="auto"/>
                <w:szCs w:val="21"/>
                <w:highlight w:val="none"/>
              </w:rPr>
              <w:t>1</w:t>
            </w:r>
          </w:p>
        </w:tc>
        <w:tc>
          <w:tcPr>
            <w:tcW w:w="2835" w:type="dxa"/>
            <w:tcBorders>
              <w:top w:val="single" w:color="auto" w:sz="4" w:space="0"/>
              <w:left w:val="single" w:color="auto" w:sz="4" w:space="0"/>
              <w:bottom w:val="single" w:color="auto" w:sz="4" w:space="0"/>
              <w:right w:val="single" w:color="auto" w:sz="4" w:space="0"/>
            </w:tcBorders>
            <w:noWrap w:val="0"/>
            <w:vAlign w:val="top"/>
          </w:tcPr>
          <w:p>
            <w:pPr>
              <w:pStyle w:val="12"/>
              <w:spacing w:line="390" w:lineRule="exact"/>
              <w:ind w:right="-140" w:rightChars="-50"/>
              <w:jc w:val="center"/>
              <w:rPr>
                <w:rFonts w:hint="eastAsia" w:ascii="宋体" w:hAnsi="宋体" w:cs="宋体"/>
                <w:b/>
                <w:bCs/>
                <w:color w:val="auto"/>
                <w:szCs w:val="21"/>
                <w:highlight w:val="none"/>
              </w:rPr>
            </w:pPr>
            <w:r>
              <w:rPr>
                <w:rFonts w:hint="eastAsia" w:ascii="宋体" w:hAnsi="宋体" w:cs="宋体"/>
                <w:b/>
                <w:bCs/>
                <w:color w:val="auto"/>
                <w:szCs w:val="21"/>
                <w:highlight w:val="none"/>
              </w:rPr>
              <w:t>500万元以下</w:t>
            </w:r>
          </w:p>
        </w:tc>
        <w:tc>
          <w:tcPr>
            <w:tcW w:w="5812" w:type="dxa"/>
            <w:tcBorders>
              <w:top w:val="single" w:color="auto" w:sz="4" w:space="0"/>
              <w:left w:val="single" w:color="auto" w:sz="4" w:space="0"/>
              <w:bottom w:val="single" w:color="auto" w:sz="4" w:space="0"/>
              <w:right w:val="single" w:color="auto" w:sz="4" w:space="0"/>
            </w:tcBorders>
            <w:noWrap w:val="0"/>
            <w:vAlign w:val="top"/>
          </w:tcPr>
          <w:p>
            <w:pPr>
              <w:pStyle w:val="12"/>
              <w:spacing w:line="390" w:lineRule="exact"/>
              <w:ind w:right="-140" w:rightChars="-50"/>
              <w:jc w:val="center"/>
              <w:rPr>
                <w:rFonts w:hint="eastAsia" w:ascii="宋体" w:hAnsi="宋体" w:cs="宋体"/>
                <w:b/>
                <w:bCs/>
                <w:color w:val="auto"/>
                <w:szCs w:val="21"/>
                <w:highlight w:val="none"/>
              </w:rPr>
            </w:pPr>
            <w:r>
              <w:rPr>
                <w:rFonts w:hint="eastAsia" w:ascii="宋体" w:hAnsi="宋体" w:cs="宋体"/>
                <w:b/>
                <w:bCs/>
                <w:color w:val="auto"/>
                <w:szCs w:val="21"/>
                <w:highlight w:val="none"/>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1" w:type="dxa"/>
            <w:tcBorders>
              <w:top w:val="single" w:color="auto" w:sz="4" w:space="0"/>
              <w:left w:val="single" w:color="auto" w:sz="4" w:space="0"/>
              <w:bottom w:val="single" w:color="auto" w:sz="4" w:space="0"/>
              <w:right w:val="single" w:color="auto" w:sz="4" w:space="0"/>
            </w:tcBorders>
            <w:noWrap w:val="0"/>
            <w:vAlign w:val="top"/>
          </w:tcPr>
          <w:p>
            <w:pPr>
              <w:pStyle w:val="12"/>
              <w:spacing w:line="390" w:lineRule="exact"/>
              <w:ind w:right="-140" w:rightChars="-50"/>
              <w:rPr>
                <w:rFonts w:hint="eastAsia" w:ascii="宋体" w:hAnsi="宋体" w:cs="宋体"/>
                <w:b/>
                <w:bCs/>
                <w:color w:val="auto"/>
                <w:szCs w:val="21"/>
                <w:highlight w:val="none"/>
              </w:rPr>
            </w:pPr>
            <w:r>
              <w:rPr>
                <w:rFonts w:hint="eastAsia" w:ascii="宋体" w:hAnsi="宋体" w:cs="宋体"/>
                <w:b/>
                <w:bCs/>
                <w:color w:val="auto"/>
                <w:szCs w:val="21"/>
                <w:highlight w:val="none"/>
              </w:rPr>
              <w:t>2</w:t>
            </w:r>
          </w:p>
        </w:tc>
        <w:tc>
          <w:tcPr>
            <w:tcW w:w="2835" w:type="dxa"/>
            <w:tcBorders>
              <w:top w:val="single" w:color="auto" w:sz="4" w:space="0"/>
              <w:left w:val="single" w:color="auto" w:sz="4" w:space="0"/>
              <w:bottom w:val="single" w:color="auto" w:sz="4" w:space="0"/>
              <w:right w:val="single" w:color="auto" w:sz="4" w:space="0"/>
            </w:tcBorders>
            <w:noWrap w:val="0"/>
            <w:vAlign w:val="top"/>
          </w:tcPr>
          <w:p>
            <w:pPr>
              <w:pStyle w:val="12"/>
              <w:spacing w:line="390" w:lineRule="exact"/>
              <w:ind w:right="-140" w:rightChars="-50"/>
              <w:jc w:val="center"/>
              <w:rPr>
                <w:rFonts w:hint="eastAsia" w:ascii="宋体" w:hAnsi="宋体" w:cs="宋体"/>
                <w:b/>
                <w:bCs/>
                <w:color w:val="auto"/>
                <w:szCs w:val="21"/>
                <w:highlight w:val="none"/>
              </w:rPr>
            </w:pPr>
            <w:r>
              <w:rPr>
                <w:rFonts w:hint="eastAsia" w:ascii="宋体" w:hAnsi="宋体" w:cs="宋体"/>
                <w:b/>
                <w:bCs/>
                <w:color w:val="auto"/>
                <w:szCs w:val="21"/>
                <w:highlight w:val="none"/>
              </w:rPr>
              <w:t>500万元-2000万元</w:t>
            </w:r>
          </w:p>
        </w:tc>
        <w:tc>
          <w:tcPr>
            <w:tcW w:w="5812" w:type="dxa"/>
            <w:tcBorders>
              <w:top w:val="single" w:color="auto" w:sz="4" w:space="0"/>
              <w:left w:val="single" w:color="auto" w:sz="4" w:space="0"/>
              <w:bottom w:val="single" w:color="auto" w:sz="4" w:space="0"/>
              <w:right w:val="single" w:color="auto" w:sz="4" w:space="0"/>
            </w:tcBorders>
            <w:noWrap w:val="0"/>
            <w:vAlign w:val="top"/>
          </w:tcPr>
          <w:p>
            <w:pPr>
              <w:pStyle w:val="12"/>
              <w:spacing w:line="390" w:lineRule="exact"/>
              <w:ind w:right="-140" w:rightChars="-50"/>
              <w:jc w:val="center"/>
              <w:rPr>
                <w:rFonts w:hint="eastAsia" w:ascii="宋体" w:hAnsi="宋体" w:cs="宋体"/>
                <w:b/>
                <w:bCs/>
                <w:color w:val="auto"/>
                <w:szCs w:val="21"/>
                <w:highlight w:val="none"/>
              </w:rPr>
            </w:pPr>
            <w:r>
              <w:rPr>
                <w:rFonts w:hint="eastAsia" w:ascii="宋体" w:hAnsi="宋体" w:cs="宋体"/>
                <w:b/>
                <w:bCs/>
                <w:color w:val="auto"/>
                <w:szCs w:val="21"/>
                <w:highlight w:val="none"/>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1" w:type="dxa"/>
            <w:tcBorders>
              <w:top w:val="single" w:color="auto" w:sz="4" w:space="0"/>
              <w:left w:val="single" w:color="auto" w:sz="4" w:space="0"/>
              <w:bottom w:val="single" w:color="auto" w:sz="4" w:space="0"/>
              <w:right w:val="single" w:color="auto" w:sz="4" w:space="0"/>
            </w:tcBorders>
            <w:noWrap w:val="0"/>
            <w:vAlign w:val="top"/>
          </w:tcPr>
          <w:p>
            <w:pPr>
              <w:pStyle w:val="12"/>
              <w:spacing w:line="390" w:lineRule="exact"/>
              <w:ind w:right="-140" w:rightChars="-50"/>
              <w:rPr>
                <w:rFonts w:hint="eastAsia" w:ascii="宋体" w:hAnsi="宋体" w:cs="宋体"/>
                <w:b/>
                <w:bCs/>
                <w:color w:val="auto"/>
                <w:szCs w:val="21"/>
                <w:highlight w:val="none"/>
              </w:rPr>
            </w:pPr>
            <w:r>
              <w:rPr>
                <w:rFonts w:hint="eastAsia" w:ascii="宋体" w:hAnsi="宋体" w:cs="宋体"/>
                <w:b/>
                <w:bCs/>
                <w:color w:val="auto"/>
                <w:szCs w:val="21"/>
                <w:highlight w:val="none"/>
              </w:rPr>
              <w:t>3</w:t>
            </w:r>
          </w:p>
        </w:tc>
        <w:tc>
          <w:tcPr>
            <w:tcW w:w="2835" w:type="dxa"/>
            <w:tcBorders>
              <w:top w:val="single" w:color="auto" w:sz="4" w:space="0"/>
              <w:left w:val="single" w:color="auto" w:sz="4" w:space="0"/>
              <w:bottom w:val="single" w:color="auto" w:sz="4" w:space="0"/>
              <w:right w:val="single" w:color="auto" w:sz="4" w:space="0"/>
            </w:tcBorders>
            <w:noWrap w:val="0"/>
            <w:vAlign w:val="top"/>
          </w:tcPr>
          <w:p>
            <w:pPr>
              <w:pStyle w:val="12"/>
              <w:spacing w:line="390" w:lineRule="exact"/>
              <w:ind w:right="-140" w:rightChars="-50"/>
              <w:jc w:val="center"/>
              <w:rPr>
                <w:rFonts w:hint="eastAsia" w:ascii="宋体" w:hAnsi="宋体" w:cs="宋体"/>
                <w:b/>
                <w:bCs/>
                <w:color w:val="auto"/>
                <w:szCs w:val="21"/>
                <w:highlight w:val="none"/>
              </w:rPr>
            </w:pPr>
            <w:r>
              <w:rPr>
                <w:rFonts w:hint="eastAsia" w:ascii="宋体" w:hAnsi="宋体" w:cs="宋体"/>
                <w:b/>
                <w:bCs/>
                <w:color w:val="auto"/>
                <w:szCs w:val="21"/>
                <w:highlight w:val="none"/>
              </w:rPr>
              <w:t>2000万元-5000万元</w:t>
            </w:r>
          </w:p>
        </w:tc>
        <w:tc>
          <w:tcPr>
            <w:tcW w:w="5812" w:type="dxa"/>
            <w:tcBorders>
              <w:top w:val="single" w:color="auto" w:sz="4" w:space="0"/>
              <w:left w:val="single" w:color="auto" w:sz="4" w:space="0"/>
              <w:bottom w:val="single" w:color="auto" w:sz="4" w:space="0"/>
              <w:right w:val="single" w:color="auto" w:sz="4" w:space="0"/>
            </w:tcBorders>
            <w:noWrap w:val="0"/>
            <w:vAlign w:val="top"/>
          </w:tcPr>
          <w:p>
            <w:pPr>
              <w:pStyle w:val="12"/>
              <w:spacing w:line="390" w:lineRule="exact"/>
              <w:ind w:right="-140" w:rightChars="-50"/>
              <w:jc w:val="center"/>
              <w:rPr>
                <w:rFonts w:hint="eastAsia" w:ascii="宋体" w:hAnsi="宋体" w:cs="宋体"/>
                <w:b/>
                <w:bCs/>
                <w:color w:val="auto"/>
                <w:szCs w:val="21"/>
                <w:highlight w:val="none"/>
              </w:rPr>
            </w:pPr>
            <w:r>
              <w:rPr>
                <w:rFonts w:hint="eastAsia" w:ascii="宋体" w:hAnsi="宋体" w:cs="宋体"/>
                <w:b/>
                <w:bCs/>
                <w:color w:val="auto"/>
                <w:szCs w:val="21"/>
                <w:highlight w:val="none"/>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1" w:type="dxa"/>
            <w:tcBorders>
              <w:top w:val="single" w:color="auto" w:sz="4" w:space="0"/>
              <w:left w:val="single" w:color="auto" w:sz="4" w:space="0"/>
              <w:bottom w:val="single" w:color="auto" w:sz="4" w:space="0"/>
              <w:right w:val="single" w:color="auto" w:sz="4" w:space="0"/>
            </w:tcBorders>
            <w:noWrap w:val="0"/>
            <w:vAlign w:val="top"/>
          </w:tcPr>
          <w:p>
            <w:pPr>
              <w:pStyle w:val="12"/>
              <w:spacing w:line="390" w:lineRule="exact"/>
              <w:ind w:right="-140" w:rightChars="-50"/>
              <w:rPr>
                <w:rFonts w:hint="eastAsia" w:ascii="宋体" w:hAnsi="宋体" w:cs="宋体"/>
                <w:b/>
                <w:bCs/>
                <w:color w:val="auto"/>
                <w:szCs w:val="21"/>
                <w:highlight w:val="none"/>
              </w:rPr>
            </w:pPr>
            <w:r>
              <w:rPr>
                <w:rFonts w:hint="eastAsia" w:ascii="宋体" w:hAnsi="宋体" w:cs="宋体"/>
                <w:b/>
                <w:bCs/>
                <w:color w:val="auto"/>
                <w:szCs w:val="21"/>
                <w:highlight w:val="none"/>
              </w:rPr>
              <w:t>4</w:t>
            </w:r>
          </w:p>
        </w:tc>
        <w:tc>
          <w:tcPr>
            <w:tcW w:w="2835" w:type="dxa"/>
            <w:tcBorders>
              <w:top w:val="single" w:color="auto" w:sz="4" w:space="0"/>
              <w:left w:val="single" w:color="auto" w:sz="4" w:space="0"/>
              <w:bottom w:val="single" w:color="auto" w:sz="4" w:space="0"/>
              <w:right w:val="single" w:color="auto" w:sz="4" w:space="0"/>
            </w:tcBorders>
            <w:noWrap w:val="0"/>
            <w:vAlign w:val="top"/>
          </w:tcPr>
          <w:p>
            <w:pPr>
              <w:pStyle w:val="12"/>
              <w:spacing w:line="390" w:lineRule="exact"/>
              <w:ind w:right="-140" w:rightChars="-50"/>
              <w:jc w:val="center"/>
              <w:rPr>
                <w:rFonts w:hint="eastAsia" w:ascii="宋体" w:hAnsi="宋体" w:cs="宋体"/>
                <w:b/>
                <w:bCs/>
                <w:color w:val="auto"/>
                <w:szCs w:val="21"/>
                <w:highlight w:val="none"/>
              </w:rPr>
            </w:pPr>
            <w:r>
              <w:rPr>
                <w:rFonts w:hint="eastAsia" w:ascii="宋体" w:hAnsi="宋体" w:cs="宋体"/>
                <w:b/>
                <w:bCs/>
                <w:color w:val="auto"/>
                <w:szCs w:val="21"/>
                <w:highlight w:val="none"/>
              </w:rPr>
              <w:t>5000万元以上</w:t>
            </w:r>
          </w:p>
        </w:tc>
        <w:tc>
          <w:tcPr>
            <w:tcW w:w="5812" w:type="dxa"/>
            <w:tcBorders>
              <w:top w:val="single" w:color="auto" w:sz="4" w:space="0"/>
              <w:left w:val="single" w:color="auto" w:sz="4" w:space="0"/>
              <w:bottom w:val="single" w:color="auto" w:sz="4" w:space="0"/>
              <w:right w:val="single" w:color="auto" w:sz="4" w:space="0"/>
            </w:tcBorders>
            <w:noWrap w:val="0"/>
            <w:vAlign w:val="top"/>
          </w:tcPr>
          <w:p>
            <w:pPr>
              <w:pStyle w:val="12"/>
              <w:spacing w:line="390" w:lineRule="exact"/>
              <w:ind w:right="-140" w:rightChars="-50"/>
              <w:jc w:val="center"/>
              <w:rPr>
                <w:rFonts w:hint="eastAsia" w:ascii="宋体" w:hAnsi="宋体" w:cs="宋体"/>
                <w:b/>
                <w:bCs/>
                <w:color w:val="auto"/>
                <w:szCs w:val="21"/>
                <w:highlight w:val="none"/>
              </w:rPr>
            </w:pPr>
            <w:r>
              <w:rPr>
                <w:rFonts w:hint="eastAsia" w:ascii="宋体" w:hAnsi="宋体" w:cs="宋体"/>
                <w:b/>
                <w:bCs/>
                <w:color w:val="auto"/>
                <w:szCs w:val="21"/>
                <w:highlight w:val="none"/>
              </w:rPr>
              <w:t>从接到竣工结算报告和完整的竣工结算资料之日起60天</w:t>
            </w:r>
          </w:p>
        </w:tc>
      </w:tr>
    </w:tbl>
    <w:p>
      <w:pPr>
        <w:pStyle w:val="10"/>
        <w:ind w:firstLine="422"/>
        <w:rPr>
          <w:rFonts w:hint="eastAsia" w:ascii="宋体" w:hAnsi="宋体" w:cs="宋体"/>
          <w:b/>
          <w:bCs/>
          <w:color w:val="auto"/>
          <w:highlight w:val="none"/>
        </w:rPr>
      </w:pPr>
      <w:r>
        <w:rPr>
          <w:rFonts w:hint="eastAsia" w:ascii="宋体" w:hAnsi="宋体" w:cs="宋体"/>
          <w:b/>
          <w:bCs/>
          <w:color w:val="auto"/>
          <w:highlight w:val="none"/>
        </w:rPr>
        <w:t>因承包人提供的结算资料不完整而需要补充或承包人不按时对账耽误时间时，审查时间应相应顺延；如项目需财政评审的，则以财政评审时间为准。</w:t>
      </w:r>
    </w:p>
    <w:p>
      <w:pPr>
        <w:pStyle w:val="10"/>
        <w:rPr>
          <w:rFonts w:hint="eastAsia" w:ascii="宋体" w:hAnsi="宋体" w:cs="宋体"/>
          <w:color w:val="auto"/>
          <w:highlight w:val="none"/>
        </w:rPr>
      </w:pPr>
      <w:r>
        <w:rPr>
          <w:rFonts w:hint="eastAsia" w:ascii="宋体" w:hAnsi="宋体" w:cs="宋体"/>
          <w:color w:val="auto"/>
          <w:highlight w:val="none"/>
        </w:rPr>
        <w:t>发包人审批竣工付款申请单的期限：</w:t>
      </w:r>
      <w:r>
        <w:rPr>
          <w:rFonts w:hint="eastAsia" w:ascii="宋体" w:hAnsi="宋体" w:cs="宋体"/>
          <w:color w:val="auto"/>
          <w:highlight w:val="none"/>
          <w:u w:val="single"/>
        </w:rPr>
        <w:t xml:space="preserve">      承包人提出</w:t>
      </w:r>
      <w:r>
        <w:rPr>
          <w:rFonts w:hint="eastAsia" w:ascii="宋体" w:hAnsi="宋体" w:cs="宋体"/>
          <w:color w:val="auto"/>
          <w:highlight w:val="none"/>
          <w:u w:val="single"/>
        </w:rPr>
        <w:t xml:space="preserve">书面申请14个工作日内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发包人完成竣工付款的期限：</w:t>
      </w:r>
      <w:r>
        <w:rPr>
          <w:rFonts w:hint="eastAsia" w:ascii="宋体" w:hAnsi="宋体" w:cs="宋体"/>
          <w:color w:val="auto"/>
          <w:highlight w:val="none"/>
          <w:u w:val="single"/>
        </w:rPr>
        <w:t xml:space="preserve">          承包人提出书面申请14个工作日内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关于竣工付款证书异议部分复核的方式和程序：</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pStyle w:val="9"/>
        <w:spacing w:before="0" w:after="0"/>
        <w:rPr>
          <w:rFonts w:hint="eastAsia" w:ascii="宋体" w:cs="宋体"/>
          <w:color w:val="auto"/>
          <w:highlight w:val="none"/>
        </w:rPr>
      </w:pPr>
      <w:bookmarkStart w:id="659" w:name="_Toc454283169"/>
      <w:bookmarkStart w:id="660" w:name="_Toc417904346"/>
      <w:r>
        <w:rPr>
          <w:rFonts w:hint="eastAsia" w:ascii="宋体" w:cs="宋体"/>
          <w:color w:val="auto"/>
          <w:highlight w:val="none"/>
        </w:rPr>
        <w:t>14.4 最终结清</w:t>
      </w:r>
      <w:bookmarkEnd w:id="659"/>
      <w:bookmarkEnd w:id="660"/>
    </w:p>
    <w:p>
      <w:pPr>
        <w:pStyle w:val="10"/>
        <w:rPr>
          <w:rFonts w:hint="eastAsia" w:ascii="宋体" w:hAnsi="宋体" w:cs="宋体"/>
          <w:color w:val="auto"/>
          <w:highlight w:val="none"/>
        </w:rPr>
      </w:pPr>
      <w:r>
        <w:rPr>
          <w:rFonts w:hint="eastAsia" w:ascii="宋体" w:hAnsi="宋体" w:cs="宋体"/>
          <w:color w:val="auto"/>
          <w:highlight w:val="none"/>
        </w:rPr>
        <w:t>14.4.1 最终结清申请单</w:t>
      </w:r>
    </w:p>
    <w:p>
      <w:pPr>
        <w:pStyle w:val="10"/>
        <w:rPr>
          <w:rFonts w:hint="eastAsia" w:ascii="宋体" w:hAnsi="宋体" w:cs="宋体"/>
          <w:color w:val="auto"/>
          <w:highlight w:val="none"/>
        </w:rPr>
      </w:pPr>
      <w:r>
        <w:rPr>
          <w:rFonts w:hint="eastAsia" w:ascii="宋体" w:hAnsi="宋体" w:cs="宋体"/>
          <w:color w:val="auto"/>
          <w:highlight w:val="none"/>
        </w:rPr>
        <w:t>承包人提交最终结清申请单的份数：</w:t>
      </w:r>
      <w:r>
        <w:rPr>
          <w:rFonts w:hint="eastAsia" w:ascii="宋体" w:hAnsi="宋体" w:cs="宋体"/>
          <w:color w:val="auto"/>
          <w:highlight w:val="none"/>
          <w:u w:val="single"/>
        </w:rPr>
        <w:t xml:space="preserve">  四份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承包人提交最终结算申请单的期限：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从接到竣工结算报告</w:t>
      </w:r>
      <w:r>
        <w:rPr>
          <w:rFonts w:hint="eastAsia" w:ascii="宋体" w:hAnsi="宋体" w:cs="宋体"/>
          <w:color w:val="auto"/>
          <w:highlight w:val="none"/>
          <w:u w:val="single"/>
        </w:rPr>
        <w:t xml:space="preserve">14天内    </w:t>
      </w:r>
      <w:r>
        <w:rPr>
          <w:rFonts w:hint="eastAsia" w:ascii="宋体" w:hAnsi="宋体" w:cs="宋体"/>
          <w:color w:val="auto"/>
          <w:highlight w:val="none"/>
        </w:rPr>
        <w:t xml:space="preserve">。 </w:t>
      </w:r>
    </w:p>
    <w:p>
      <w:pPr>
        <w:pStyle w:val="10"/>
        <w:rPr>
          <w:rFonts w:hint="eastAsia" w:ascii="宋体" w:hAnsi="宋体" w:cs="宋体"/>
          <w:color w:val="auto"/>
          <w:highlight w:val="none"/>
        </w:rPr>
      </w:pPr>
      <w:r>
        <w:rPr>
          <w:rFonts w:hint="eastAsia" w:ascii="宋体" w:hAnsi="宋体" w:cs="宋体"/>
          <w:color w:val="auto"/>
          <w:highlight w:val="none"/>
        </w:rPr>
        <w:t>14.4.2 最终结清证书和支付</w:t>
      </w:r>
    </w:p>
    <w:p>
      <w:pPr>
        <w:pStyle w:val="10"/>
        <w:rPr>
          <w:rFonts w:hint="eastAsia" w:ascii="宋体" w:hAnsi="宋体" w:cs="宋体"/>
          <w:color w:val="auto"/>
          <w:highlight w:val="none"/>
        </w:rPr>
      </w:pPr>
      <w:r>
        <w:rPr>
          <w:rFonts w:hint="eastAsia" w:ascii="宋体" w:hAnsi="宋体" w:cs="宋体"/>
          <w:color w:val="auto"/>
          <w:highlight w:val="none"/>
        </w:rPr>
        <w:t>（1）发包人完成最终结清申请单的审批并颁发最终结清证书的期限：</w:t>
      </w:r>
      <w:r>
        <w:rPr>
          <w:rFonts w:hint="eastAsia" w:ascii="宋体" w:hAnsi="宋体" w:cs="宋体"/>
          <w:color w:val="auto"/>
          <w:highlight w:val="none"/>
          <w:u w:val="single"/>
        </w:rPr>
        <w:t xml:space="preserve">承包人提出书面申请14天内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（2）发包人完成支付的期限：</w:t>
      </w:r>
      <w:r>
        <w:rPr>
          <w:rFonts w:hint="eastAsia" w:ascii="宋体" w:hAnsi="宋体" w:cs="宋体"/>
          <w:color w:val="auto"/>
          <w:highlight w:val="none"/>
          <w:u w:val="single"/>
        </w:rPr>
        <w:t xml:space="preserve">  承包人提出书面申请14天内    </w:t>
      </w:r>
      <w:r>
        <w:rPr>
          <w:rFonts w:hint="eastAsia" w:ascii="宋体" w:hAnsi="宋体" w:cs="宋体"/>
          <w:color w:val="auto"/>
          <w:highlight w:val="none"/>
        </w:rPr>
        <w:t>。</w:t>
      </w:r>
    </w:p>
    <w:bookmarkEnd w:id="637"/>
    <w:bookmarkEnd w:id="638"/>
    <w:bookmarkEnd w:id="639"/>
    <w:bookmarkEnd w:id="640"/>
    <w:bookmarkEnd w:id="641"/>
    <w:bookmarkEnd w:id="642"/>
    <w:bookmarkEnd w:id="643"/>
    <w:bookmarkEnd w:id="649"/>
    <w:p>
      <w:pPr>
        <w:pStyle w:val="9"/>
        <w:spacing w:before="0" w:after="0"/>
        <w:rPr>
          <w:rFonts w:hint="eastAsia" w:ascii="宋体" w:cs="宋体"/>
          <w:color w:val="auto"/>
          <w:highlight w:val="none"/>
        </w:rPr>
      </w:pPr>
      <w:bookmarkStart w:id="661" w:name="_Toc454283170"/>
      <w:bookmarkStart w:id="662" w:name="_Toc417904347"/>
      <w:bookmarkStart w:id="663" w:name="_Toc351203647"/>
      <w:bookmarkStart w:id="664" w:name="_Toc267251483"/>
      <w:bookmarkStart w:id="665" w:name="_Toc267251482"/>
      <w:bookmarkStart w:id="666" w:name="_Toc267251484"/>
      <w:bookmarkStart w:id="667" w:name="_Toc267251485"/>
      <w:bookmarkStart w:id="668" w:name="_Toc267251486"/>
      <w:bookmarkStart w:id="669" w:name="_Toc267251489"/>
      <w:bookmarkStart w:id="670" w:name="_Toc267251488"/>
      <w:bookmarkStart w:id="671" w:name="_Toc267251490"/>
      <w:bookmarkStart w:id="672" w:name="_Toc267251498"/>
      <w:bookmarkStart w:id="673" w:name="_Toc267251497"/>
      <w:bookmarkStart w:id="674" w:name="_Toc267251499"/>
      <w:bookmarkStart w:id="675" w:name="_Toc267251501"/>
      <w:bookmarkStart w:id="676" w:name="_Toc267251496"/>
      <w:bookmarkStart w:id="677" w:name="_Toc267251491"/>
      <w:bookmarkStart w:id="678" w:name="_Toc267251492"/>
      <w:bookmarkStart w:id="679" w:name="_Toc267251503"/>
      <w:bookmarkStart w:id="680" w:name="_Toc267251502"/>
      <w:bookmarkStart w:id="681" w:name="_Toc267251494"/>
      <w:bookmarkStart w:id="682" w:name="_Toc267251495"/>
      <w:bookmarkStart w:id="683" w:name="_Toc267251493"/>
      <w:bookmarkStart w:id="684" w:name="_Toc267251506"/>
      <w:bookmarkStart w:id="685" w:name="_Toc267251504"/>
      <w:bookmarkStart w:id="686" w:name="_Toc267251507"/>
      <w:bookmarkStart w:id="687" w:name="_Toc267251508"/>
      <w:bookmarkStart w:id="688" w:name="_Toc267251514"/>
      <w:bookmarkStart w:id="689" w:name="_Toc267251510"/>
      <w:bookmarkStart w:id="690" w:name="_Toc267251511"/>
      <w:bookmarkStart w:id="691" w:name="_Toc267251513"/>
      <w:bookmarkStart w:id="692" w:name="_Toc267251515"/>
      <w:bookmarkStart w:id="693" w:name="_Toc267251509"/>
      <w:r>
        <w:rPr>
          <w:rFonts w:hint="eastAsia" w:ascii="宋体" w:cs="宋体"/>
          <w:color w:val="auto"/>
          <w:highlight w:val="none"/>
        </w:rPr>
        <w:t>15. 缺陷责任期与保修</w:t>
      </w:r>
      <w:bookmarkEnd w:id="661"/>
      <w:bookmarkEnd w:id="662"/>
      <w:bookmarkEnd w:id="663"/>
    </w:p>
    <w:p>
      <w:pPr>
        <w:pStyle w:val="9"/>
        <w:spacing w:before="0" w:after="0"/>
        <w:rPr>
          <w:rFonts w:hint="eastAsia" w:ascii="宋体" w:cs="宋体"/>
          <w:color w:val="auto"/>
          <w:highlight w:val="none"/>
        </w:rPr>
      </w:pPr>
      <w:bookmarkStart w:id="694" w:name="_Toc417904348"/>
      <w:bookmarkStart w:id="695" w:name="_Toc454283171"/>
      <w:r>
        <w:rPr>
          <w:rFonts w:hint="eastAsia" w:ascii="宋体" w:cs="宋体"/>
          <w:color w:val="auto"/>
          <w:highlight w:val="none"/>
        </w:rPr>
        <w:t>15.2缺陷责任期</w:t>
      </w:r>
      <w:bookmarkEnd w:id="664"/>
      <w:bookmarkEnd w:id="694"/>
      <w:bookmarkEnd w:id="695"/>
    </w:p>
    <w:p>
      <w:pPr>
        <w:pStyle w:val="10"/>
        <w:rPr>
          <w:rFonts w:hint="eastAsia" w:ascii="宋体" w:hAnsi="宋体" w:cs="宋体"/>
          <w:color w:val="auto"/>
          <w:highlight w:val="none"/>
        </w:rPr>
      </w:pPr>
      <w:r>
        <w:rPr>
          <w:rFonts w:hint="eastAsia" w:ascii="宋体" w:hAnsi="宋体" w:cs="宋体"/>
          <w:color w:val="auto"/>
          <w:highlight w:val="none"/>
        </w:rPr>
        <w:t>缺陷责任期的具体期限：</w:t>
      </w:r>
      <w:r>
        <w:rPr>
          <w:rFonts w:hint="eastAsia" w:ascii="宋体" w:hAnsi="宋体" w:cs="宋体"/>
          <w:color w:val="auto"/>
          <w:highlight w:val="none"/>
          <w:u w:val="single"/>
        </w:rPr>
        <w:t>按国家规范要求</w:t>
      </w:r>
    </w:p>
    <w:p>
      <w:pPr>
        <w:pStyle w:val="9"/>
        <w:spacing w:before="0" w:after="0"/>
        <w:rPr>
          <w:rFonts w:hint="eastAsia" w:ascii="宋体" w:cs="宋体"/>
          <w:color w:val="auto"/>
          <w:highlight w:val="none"/>
        </w:rPr>
      </w:pPr>
      <w:bookmarkStart w:id="696" w:name="_Toc417904349"/>
      <w:bookmarkStart w:id="697" w:name="_Toc454283172"/>
      <w:r>
        <w:rPr>
          <w:rFonts w:hint="eastAsia" w:ascii="宋体" w:cs="宋体"/>
          <w:color w:val="auto"/>
          <w:highlight w:val="none"/>
        </w:rPr>
        <w:t>15.3 质量保证金</w:t>
      </w:r>
      <w:bookmarkEnd w:id="696"/>
      <w:bookmarkEnd w:id="697"/>
    </w:p>
    <w:p>
      <w:pPr>
        <w:pStyle w:val="10"/>
        <w:rPr>
          <w:rFonts w:hint="eastAsia" w:ascii="宋体" w:hAnsi="宋体" w:cs="宋体"/>
          <w:color w:val="auto"/>
          <w:highlight w:val="none"/>
        </w:rPr>
      </w:pPr>
      <w:r>
        <w:rPr>
          <w:rFonts w:hint="eastAsia" w:ascii="宋体" w:hAnsi="宋体" w:cs="宋体"/>
          <w:color w:val="auto"/>
          <w:highlight w:val="none"/>
        </w:rPr>
        <w:t>关于是否扣留质量保证金的约定：</w:t>
      </w:r>
      <w:r>
        <w:rPr>
          <w:rFonts w:hint="eastAsia" w:ascii="宋体" w:hAnsi="宋体" w:cs="宋体"/>
          <w:color w:val="auto"/>
          <w:highlight w:val="none"/>
          <w:u w:val="single"/>
        </w:rPr>
        <w:t xml:space="preserve">    是      </w:t>
      </w:r>
      <w:r>
        <w:rPr>
          <w:rFonts w:hint="eastAsia" w:ascii="宋体" w:hAnsi="宋体" w:cs="宋体"/>
          <w:color w:val="auto"/>
          <w:highlight w:val="none"/>
        </w:rPr>
        <w:t>。</w:t>
      </w:r>
    </w:p>
    <w:p>
      <w:pPr>
        <w:pStyle w:val="10"/>
        <w:rPr>
          <w:rFonts w:hint="eastAsia" w:ascii="宋体" w:hAnsi="宋体" w:cs="宋体"/>
          <w:color w:val="auto"/>
          <w:highlight w:val="none"/>
        </w:rPr>
      </w:pPr>
      <w:r>
        <w:rPr>
          <w:rFonts w:hint="eastAsia" w:ascii="宋体" w:hAnsi="宋体" w:cs="宋体"/>
          <w:color w:val="auto"/>
          <w:highlight w:val="none"/>
        </w:rPr>
        <w:t>15.3.1 承包人提供质量保证金的方式</w:t>
      </w:r>
    </w:p>
    <w:p>
      <w:pPr>
        <w:pStyle w:val="10"/>
        <w:rPr>
          <w:rFonts w:hint="eastAsia" w:ascii="宋体" w:hAnsi="宋体" w:cs="宋体"/>
          <w:color w:val="auto"/>
          <w:highlight w:val="none"/>
        </w:rPr>
      </w:pPr>
      <w:r>
        <w:rPr>
          <w:rFonts w:hint="eastAsia" w:ascii="宋体" w:hAnsi="宋体" w:cs="宋体"/>
          <w:color w:val="auto"/>
          <w:highlight w:val="none"/>
        </w:rPr>
        <w:t>质量保证金采用以下第</w:t>
      </w:r>
      <w:r>
        <w:rPr>
          <w:rFonts w:hint="eastAsia" w:ascii="宋体" w:hAnsi="宋体" w:cs="宋体"/>
          <w:color w:val="auto"/>
          <w:highlight w:val="none"/>
          <w:u w:val="single"/>
        </w:rPr>
        <w:t xml:space="preserve"> 2 </w:t>
      </w:r>
      <w:r>
        <w:rPr>
          <w:rFonts w:hint="eastAsia" w:ascii="宋体" w:hAnsi="宋体" w:cs="宋体"/>
          <w:color w:val="auto"/>
          <w:highlight w:val="none"/>
        </w:rPr>
        <w:t>种方式：</w:t>
      </w:r>
    </w:p>
    <w:p>
      <w:pPr>
        <w:pStyle w:val="10"/>
        <w:rPr>
          <w:rFonts w:hint="eastAsia" w:ascii="宋体" w:hAnsi="宋体" w:cs="宋体"/>
          <w:color w:val="auto"/>
          <w:highlight w:val="none"/>
        </w:rPr>
      </w:pPr>
      <w:r>
        <w:rPr>
          <w:rFonts w:hint="eastAsia" w:ascii="宋体" w:hAnsi="宋体" w:cs="宋体"/>
          <w:color w:val="auto"/>
          <w:highlight w:val="none"/>
        </w:rPr>
        <w:t>（1）质量保证金保函，保证金额为：</w:t>
      </w:r>
      <w:r>
        <w:rPr>
          <w:rFonts w:hint="eastAsia" w:ascii="宋体" w:hAnsi="宋体" w:cs="宋体"/>
          <w:bCs/>
          <w:color w:val="auto"/>
          <w:highlight w:val="none"/>
          <w:u w:val="single"/>
        </w:rPr>
        <w:t>工程价款结算总额的</w:t>
      </w:r>
      <w:r>
        <w:rPr>
          <w:rFonts w:ascii="宋体" w:hAnsi="宋体" w:cs="宋体"/>
          <w:b/>
          <w:bCs/>
          <w:color w:val="auto"/>
          <w:highlight w:val="none"/>
          <w:u w:val="single"/>
        </w:rPr>
        <w:t>3</w:t>
      </w:r>
      <w:r>
        <w:rPr>
          <w:rFonts w:hint="eastAsia" w:ascii="宋体" w:hAnsi="宋体" w:cs="宋体"/>
          <w:bCs/>
          <w:color w:val="auto"/>
          <w:highlight w:val="none"/>
          <w:u w:val="single"/>
        </w:rPr>
        <w:t xml:space="preserve"> %</w:t>
      </w:r>
      <w:r>
        <w:rPr>
          <w:rFonts w:hint="eastAsia" w:ascii="宋体" w:hAnsi="宋体" w:cs="宋体"/>
          <w:color w:val="auto"/>
          <w:highlight w:val="none"/>
        </w:rPr>
        <w:t xml:space="preserve">； </w:t>
      </w:r>
    </w:p>
    <w:p>
      <w:pPr>
        <w:autoSpaceDE w:val="0"/>
        <w:autoSpaceDN w:val="0"/>
        <w:adjustRightIn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hint="eastAsia" w:ascii="宋体" w:hAnsi="宋体" w:cs="宋体"/>
          <w:bCs/>
          <w:color w:val="auto"/>
          <w:sz w:val="21"/>
          <w:szCs w:val="21"/>
          <w:highlight w:val="none"/>
        </w:rPr>
        <w:t>发包人按</w:t>
      </w:r>
      <w:r>
        <w:rPr>
          <w:rFonts w:hint="eastAsia" w:ascii="宋体" w:hAnsi="宋体" w:cs="宋体"/>
          <w:bCs/>
          <w:color w:val="auto"/>
          <w:sz w:val="21"/>
          <w:szCs w:val="21"/>
          <w:highlight w:val="none"/>
          <w:u w:val="single"/>
        </w:rPr>
        <w:t>工程价款结算总额</w:t>
      </w:r>
      <w:r>
        <w:rPr>
          <w:rFonts w:hint="eastAsia" w:ascii="宋体" w:hAnsi="宋体" w:cs="宋体"/>
          <w:bCs/>
          <w:color w:val="auto"/>
          <w:sz w:val="21"/>
          <w:szCs w:val="21"/>
          <w:highlight w:val="none"/>
        </w:rPr>
        <w:t>的</w:t>
      </w:r>
      <w:r>
        <w:rPr>
          <w:rFonts w:hint="eastAsia" w:ascii="宋体" w:hAnsi="宋体" w:cs="宋体"/>
          <w:bCs/>
          <w:color w:val="auto"/>
          <w:sz w:val="21"/>
          <w:szCs w:val="21"/>
          <w:highlight w:val="none"/>
          <w:u w:val="single"/>
        </w:rPr>
        <w:t xml:space="preserve"> 3 </w:t>
      </w:r>
      <w:r>
        <w:rPr>
          <w:rFonts w:hint="eastAsia" w:ascii="宋体" w:hAnsi="宋体" w:cs="宋体"/>
          <w:bCs/>
          <w:color w:val="auto"/>
          <w:sz w:val="21"/>
          <w:szCs w:val="21"/>
          <w:highlight w:val="none"/>
        </w:rPr>
        <w:t>%预留工程质量保修金，待缺陷责任期满后返还</w:t>
      </w:r>
      <w:r>
        <w:rPr>
          <w:rFonts w:hint="eastAsia" w:ascii="宋体" w:hAnsi="宋体" w:cs="宋体"/>
          <w:color w:val="auto"/>
          <w:kern w:val="0"/>
          <w:sz w:val="21"/>
          <w:szCs w:val="21"/>
          <w:highlight w:val="none"/>
        </w:rPr>
        <w:t>；</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 xml:space="preserve">15.3.2 质量保证金的扣留 </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质量保证金的扣留采取以下第</w:t>
      </w:r>
      <w:r>
        <w:rPr>
          <w:rFonts w:hint="eastAsia" w:ascii="宋体" w:hAnsi="宋体" w:cs="宋体"/>
          <w:color w:val="auto"/>
          <w:highlight w:val="none"/>
          <w:u w:val="single"/>
        </w:rPr>
        <w:t xml:space="preserve"> 2  </w:t>
      </w:r>
      <w:r>
        <w:rPr>
          <w:rFonts w:hint="eastAsia" w:ascii="宋体" w:hAnsi="宋体" w:cs="宋体"/>
          <w:color w:val="auto"/>
          <w:highlight w:val="none"/>
        </w:rPr>
        <w:t>种方式：</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（1）在支付工程进度款时逐次扣留，在此情形下，质量保证金的计算基数不包括预付款的支付、扣回以及价格调整的金额；</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（2）工程竣工结算时一次性扣留质量保证金；</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（3）其他扣留方式:</w:t>
      </w:r>
      <w:r>
        <w:rPr>
          <w:rFonts w:hint="eastAsia" w:ascii="宋体" w:hAnsi="宋体" w:cs="宋体"/>
          <w:color w:val="auto"/>
          <w:highlight w:val="none"/>
          <w:u w:val="single"/>
        </w:rPr>
        <w:t xml:space="preserve">   无         </w:t>
      </w:r>
      <w:r>
        <w:rPr>
          <w:rFonts w:hint="eastAsia" w:ascii="宋体" w:hAnsi="宋体" w:cs="宋体"/>
          <w:color w:val="auto"/>
          <w:highlight w:val="none"/>
        </w:rPr>
        <w:t>。</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关于质量保证金的补充约定：</w:t>
      </w:r>
    </w:p>
    <w:p>
      <w:pPr>
        <w:pStyle w:val="10"/>
        <w:spacing w:line="400" w:lineRule="exact"/>
        <w:rPr>
          <w:rFonts w:hint="eastAsia" w:ascii="宋体" w:hAnsi="宋体" w:cs="宋体"/>
          <w:color w:val="auto"/>
          <w:highlight w:val="none"/>
          <w:u w:val="single"/>
        </w:rPr>
      </w:pPr>
      <w:r>
        <w:rPr>
          <w:rFonts w:hint="eastAsia" w:ascii="宋体" w:hAnsi="宋体" w:cs="宋体"/>
          <w:color w:val="auto"/>
          <w:highlight w:val="none"/>
          <w:u w:val="single"/>
        </w:rPr>
        <w:t>质量保证金分一次返还承包人:发包人在工程竣工验收合格之日起满两年后承包人提出申请14天内将保修金返回给承包人（无息）。质量保证金的返还，并不能免除承包人按照合同约定应承担的质量保修责任和应履行的质量保修义务。</w:t>
      </w:r>
    </w:p>
    <w:bookmarkEnd w:id="665"/>
    <w:bookmarkEnd w:id="666"/>
    <w:p>
      <w:pPr>
        <w:pStyle w:val="9"/>
        <w:spacing w:before="0" w:after="0" w:line="400" w:lineRule="exact"/>
        <w:rPr>
          <w:rFonts w:hint="eastAsia" w:ascii="宋体" w:cs="宋体"/>
          <w:color w:val="auto"/>
          <w:highlight w:val="none"/>
        </w:rPr>
      </w:pPr>
      <w:bookmarkStart w:id="698" w:name="_Toc454283173"/>
      <w:bookmarkStart w:id="699" w:name="_Toc417904350"/>
      <w:r>
        <w:rPr>
          <w:rFonts w:hint="eastAsia" w:ascii="宋体" w:cs="宋体"/>
          <w:color w:val="auto"/>
          <w:highlight w:val="none"/>
        </w:rPr>
        <w:t>15.4保修</w:t>
      </w:r>
      <w:bookmarkEnd w:id="698"/>
      <w:bookmarkEnd w:id="699"/>
    </w:p>
    <w:bookmarkEnd w:id="667"/>
    <w:p>
      <w:pPr>
        <w:pStyle w:val="10"/>
        <w:spacing w:line="400" w:lineRule="exact"/>
        <w:rPr>
          <w:rFonts w:hint="eastAsia" w:ascii="宋体" w:hAnsi="宋体" w:cs="宋体"/>
          <w:color w:val="auto"/>
          <w:highlight w:val="none"/>
        </w:rPr>
      </w:pPr>
      <w:r>
        <w:rPr>
          <w:rFonts w:hint="eastAsia" w:ascii="宋体" w:hAnsi="宋体" w:cs="宋体"/>
          <w:color w:val="auto"/>
          <w:highlight w:val="none"/>
        </w:rPr>
        <w:t>15.4.1 保修责任</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工程保修期为：</w:t>
      </w:r>
      <w:r>
        <w:rPr>
          <w:rFonts w:hint="eastAsia" w:ascii="宋体" w:hAnsi="宋体" w:cs="宋体"/>
          <w:color w:val="auto"/>
          <w:highlight w:val="none"/>
          <w:u w:val="single"/>
        </w:rPr>
        <w:t>（1）地基基础工程和主体结构工程为设计文件规定的该工程合理使用年限；（2）屋面防水工程、有防水要求的卫生间、房间和外墙面的防渗漏为5年；（3）装修工程为2年；（4）电气管线、给排水管道、设备安装工程为2年；（5）供热与供冷系统为2个采暖期、供冷期；（6）给排水设施、道路等配套工程为2年。</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15.4.3 修复通知</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承包人收到保修通知并到达工程现场的合理时间：</w:t>
      </w:r>
      <w:r>
        <w:rPr>
          <w:rFonts w:hint="eastAsia" w:ascii="宋体" w:hAnsi="宋体" w:cs="宋体"/>
          <w:color w:val="auto"/>
          <w:highlight w:val="none"/>
          <w:u w:val="single"/>
        </w:rPr>
        <w:t>1、属于保修范围、内容的项目，承包人应当在接到保修通知之日起7天内派人保修。承包人不在约定期限内派人保修的，发包人可以委托他人修理</w:t>
      </w:r>
      <w:r>
        <w:rPr>
          <w:rFonts w:hint="eastAsia" w:ascii="宋体" w:hAnsi="宋体" w:cs="宋体"/>
          <w:color w:val="auto"/>
          <w:highlight w:val="none"/>
          <w:u w:val="single"/>
          <w:lang w:eastAsia="zh-CN"/>
        </w:rPr>
        <w:t>，</w:t>
      </w:r>
      <w:r>
        <w:rPr>
          <w:rFonts w:hint="eastAsia" w:ascii="宋体" w:hAnsi="宋体" w:cs="宋体"/>
          <w:color w:val="auto"/>
          <w:highlight w:val="none"/>
          <w:u w:val="single"/>
        </w:rPr>
        <w:t>发生的</w:t>
      </w:r>
      <w:r>
        <w:rPr>
          <w:rFonts w:hint="eastAsia" w:ascii="宋体" w:hAnsi="宋体" w:cs="宋体"/>
          <w:b/>
          <w:color w:val="auto"/>
          <w:highlight w:val="none"/>
          <w:u w:val="single"/>
        </w:rPr>
        <w:t>费用发包方可以直接从质保金中扣除。</w:t>
      </w:r>
      <w:r>
        <w:rPr>
          <w:rFonts w:hint="eastAsia" w:ascii="宋体" w:hAnsi="宋体" w:cs="宋体"/>
          <w:color w:val="auto"/>
          <w:highlight w:val="none"/>
          <w:u w:val="single"/>
        </w:rPr>
        <w:t xml:space="preserve">2、发生紧急抢修事故的，承包人在接到事故通知后，应当立即到达事故现场抢修。3、对于涉及结构安全的质量问题，应当按照《建设工程质量管理条例》的规定，立即向当地行政主管部门报告，采取安全防范措施；由原设计单位或者具有相应资质等级的设计单位提出保修方案，承包人实施保修。4、质量保修完成后，由发包人组织验收。5、保修费用由造成质量缺陷的责任方承担。  </w:t>
      </w:r>
    </w:p>
    <w:bookmarkEnd w:id="668"/>
    <w:bookmarkEnd w:id="669"/>
    <w:bookmarkEnd w:id="670"/>
    <w:bookmarkEnd w:id="671"/>
    <w:p>
      <w:pPr>
        <w:pStyle w:val="9"/>
        <w:spacing w:before="0" w:after="0" w:line="400" w:lineRule="exact"/>
        <w:rPr>
          <w:rFonts w:hint="eastAsia" w:ascii="宋体" w:cs="宋体"/>
          <w:color w:val="auto"/>
          <w:highlight w:val="none"/>
        </w:rPr>
      </w:pPr>
      <w:bookmarkStart w:id="700" w:name="_Toc417904351"/>
      <w:bookmarkStart w:id="701" w:name="_Toc454283174"/>
      <w:bookmarkStart w:id="702" w:name="_Toc351203648"/>
      <w:bookmarkStart w:id="703" w:name="_Toc280868717"/>
      <w:bookmarkStart w:id="704" w:name="_Toc280868718"/>
      <w:r>
        <w:rPr>
          <w:rFonts w:hint="eastAsia" w:ascii="宋体" w:cs="宋体"/>
          <w:color w:val="auto"/>
          <w:highlight w:val="none"/>
        </w:rPr>
        <w:t>16. 违约</w:t>
      </w:r>
      <w:bookmarkEnd w:id="700"/>
      <w:bookmarkEnd w:id="701"/>
      <w:bookmarkEnd w:id="702"/>
    </w:p>
    <w:p>
      <w:pPr>
        <w:pStyle w:val="9"/>
        <w:spacing w:before="0" w:after="0" w:line="400" w:lineRule="exact"/>
        <w:rPr>
          <w:rFonts w:hint="eastAsia" w:ascii="宋体" w:cs="宋体"/>
          <w:color w:val="auto"/>
          <w:highlight w:val="none"/>
        </w:rPr>
      </w:pPr>
      <w:bookmarkStart w:id="705" w:name="_Toc454283175"/>
      <w:bookmarkStart w:id="706" w:name="_Toc417904352"/>
      <w:r>
        <w:rPr>
          <w:rFonts w:hint="eastAsia" w:ascii="宋体" w:cs="宋体"/>
          <w:color w:val="auto"/>
          <w:highlight w:val="none"/>
        </w:rPr>
        <w:t>16.1 发包人违约</w:t>
      </w:r>
      <w:bookmarkEnd w:id="705"/>
      <w:bookmarkEnd w:id="706"/>
    </w:p>
    <w:p>
      <w:pPr>
        <w:pStyle w:val="10"/>
        <w:spacing w:line="400" w:lineRule="exact"/>
        <w:rPr>
          <w:rFonts w:hint="eastAsia" w:ascii="宋体" w:hAnsi="宋体" w:cs="宋体"/>
          <w:color w:val="auto"/>
          <w:highlight w:val="none"/>
        </w:rPr>
      </w:pPr>
      <w:r>
        <w:rPr>
          <w:rFonts w:hint="eastAsia" w:ascii="宋体" w:hAnsi="宋体" w:cs="宋体"/>
          <w:color w:val="auto"/>
          <w:highlight w:val="none"/>
        </w:rPr>
        <w:t>16.1.1发包人违约的情形</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发包人违约的其他情形：</w:t>
      </w:r>
      <w:r>
        <w:rPr>
          <w:rFonts w:hint="eastAsia" w:ascii="宋体" w:hAnsi="宋体" w:cs="宋体"/>
          <w:color w:val="auto"/>
          <w:highlight w:val="none"/>
          <w:u w:val="single"/>
        </w:rPr>
        <w:t xml:space="preserve">     无     </w:t>
      </w:r>
      <w:r>
        <w:rPr>
          <w:rFonts w:hint="eastAsia" w:ascii="宋体" w:hAnsi="宋体" w:cs="宋体"/>
          <w:color w:val="auto"/>
          <w:highlight w:val="none"/>
        </w:rPr>
        <w:t>。</w:t>
      </w:r>
    </w:p>
    <w:p>
      <w:pPr>
        <w:pStyle w:val="10"/>
        <w:spacing w:line="400" w:lineRule="exact"/>
        <w:outlineLvl w:val="0"/>
        <w:rPr>
          <w:rFonts w:hint="eastAsia" w:ascii="宋体" w:hAnsi="宋体" w:cs="宋体"/>
          <w:color w:val="auto"/>
          <w:highlight w:val="none"/>
        </w:rPr>
      </w:pPr>
      <w:r>
        <w:rPr>
          <w:rFonts w:hint="eastAsia" w:ascii="宋体" w:hAnsi="宋体" w:cs="宋体"/>
          <w:color w:val="auto"/>
          <w:highlight w:val="none"/>
        </w:rPr>
        <w:t xml:space="preserve">  </w:t>
      </w:r>
      <w:bookmarkStart w:id="707" w:name="_Toc406522298"/>
      <w:bookmarkStart w:id="708" w:name="_Toc417904353"/>
      <w:bookmarkStart w:id="709" w:name="_Toc406419422"/>
      <w:bookmarkStart w:id="710" w:name="_Toc454283176"/>
      <w:r>
        <w:rPr>
          <w:rFonts w:hint="eastAsia" w:ascii="宋体" w:hAnsi="宋体" w:cs="宋体"/>
          <w:color w:val="auto"/>
          <w:highlight w:val="none"/>
        </w:rPr>
        <w:t>16.1.2 发包人违约的责任</w:t>
      </w:r>
      <w:bookmarkEnd w:id="707"/>
      <w:bookmarkEnd w:id="708"/>
      <w:bookmarkEnd w:id="709"/>
      <w:bookmarkEnd w:id="710"/>
    </w:p>
    <w:p>
      <w:pPr>
        <w:pStyle w:val="10"/>
        <w:spacing w:line="400" w:lineRule="exact"/>
        <w:rPr>
          <w:rFonts w:hint="eastAsia" w:ascii="宋体" w:hAnsi="宋体" w:cs="宋体"/>
          <w:color w:val="auto"/>
          <w:highlight w:val="none"/>
        </w:rPr>
      </w:pPr>
      <w:r>
        <w:rPr>
          <w:rFonts w:hint="eastAsia" w:ascii="宋体" w:hAnsi="宋体" w:cs="宋体"/>
          <w:color w:val="auto"/>
          <w:highlight w:val="none"/>
        </w:rPr>
        <w:t>发包人违约责任的承担方式和计算方法：</w:t>
      </w:r>
    </w:p>
    <w:p>
      <w:pPr>
        <w:pStyle w:val="10"/>
        <w:spacing w:line="400" w:lineRule="exact"/>
        <w:rPr>
          <w:rFonts w:hint="eastAsia" w:ascii="宋体" w:hAnsi="宋体" w:cs="宋体"/>
          <w:color w:val="auto"/>
          <w:highlight w:val="none"/>
          <w:u w:val="single"/>
        </w:rPr>
      </w:pPr>
      <w:r>
        <w:rPr>
          <w:rFonts w:hint="eastAsia" w:ascii="宋体" w:hAnsi="宋体" w:cs="宋体"/>
          <w:color w:val="auto"/>
          <w:highlight w:val="none"/>
        </w:rPr>
        <w:t>（1）因发包人原因未能在计划开工日期前7天内下达开工通知的违约责任：</w:t>
      </w:r>
      <w:r>
        <w:rPr>
          <w:rFonts w:hint="eastAsia" w:ascii="宋体" w:hAnsi="宋体" w:cs="宋体"/>
          <w:color w:val="auto"/>
          <w:highlight w:val="none"/>
          <w:u w:val="single"/>
        </w:rPr>
        <w:t>无</w:t>
      </w:r>
      <w:r>
        <w:rPr>
          <w:rFonts w:hint="eastAsia" w:ascii="宋体" w:hAnsi="宋体" w:cs="宋体"/>
          <w:color w:val="auto"/>
          <w:highlight w:val="none"/>
        </w:rPr>
        <w:t>。</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（2）因发包人原因未能按合同约定支付合同价款的违约责任：</w:t>
      </w:r>
      <w:r>
        <w:rPr>
          <w:rFonts w:hint="eastAsia" w:ascii="宋体" w:hAnsi="宋体" w:cs="宋体"/>
          <w:color w:val="auto"/>
          <w:highlight w:val="none"/>
          <w:u w:val="single"/>
        </w:rPr>
        <w:t>无</w:t>
      </w:r>
      <w:r>
        <w:rPr>
          <w:rFonts w:hint="eastAsia" w:ascii="宋体" w:hAnsi="宋体" w:cs="宋体"/>
          <w:color w:val="auto"/>
          <w:highlight w:val="none"/>
        </w:rPr>
        <w:t>。</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（3）发包人违反第10.1款〔变更的范围〕第（2）项约定，自行实施被取消的工作或转由他人实施的违约责任：</w:t>
      </w:r>
      <w:r>
        <w:rPr>
          <w:rFonts w:hint="eastAsia" w:ascii="宋体" w:hAnsi="宋体" w:cs="宋体"/>
          <w:color w:val="auto"/>
          <w:highlight w:val="none"/>
          <w:u w:val="single"/>
        </w:rPr>
        <w:t xml:space="preserve">  无  </w:t>
      </w:r>
      <w:r>
        <w:rPr>
          <w:rFonts w:hint="eastAsia" w:ascii="宋体" w:hAnsi="宋体" w:cs="宋体"/>
          <w:color w:val="auto"/>
          <w:highlight w:val="none"/>
        </w:rPr>
        <w:t>。</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highlight w:val="none"/>
          <w:u w:val="single"/>
        </w:rPr>
        <w:t xml:space="preserve">  无  </w:t>
      </w:r>
      <w:r>
        <w:rPr>
          <w:rFonts w:hint="eastAsia" w:ascii="宋体" w:hAnsi="宋体" w:cs="宋体"/>
          <w:color w:val="auto"/>
          <w:highlight w:val="none"/>
        </w:rPr>
        <w:t>。</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（5）因发包人违反合同约定造成暂停施工的违约责任：</w:t>
      </w:r>
      <w:r>
        <w:rPr>
          <w:rFonts w:hint="eastAsia" w:ascii="宋体" w:hAnsi="宋体" w:cs="宋体"/>
          <w:color w:val="auto"/>
          <w:highlight w:val="none"/>
          <w:u w:val="single"/>
        </w:rPr>
        <w:t xml:space="preserve">  无  </w:t>
      </w:r>
      <w:r>
        <w:rPr>
          <w:rFonts w:hint="eastAsia" w:ascii="宋体" w:hAnsi="宋体" w:cs="宋体"/>
          <w:color w:val="auto"/>
          <w:highlight w:val="none"/>
        </w:rPr>
        <w:t>。</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（6）发包人无正当理由没有在约定期限内发出复工指示，导致承包人无法复工的违约责任：</w:t>
      </w:r>
      <w:r>
        <w:rPr>
          <w:rFonts w:hint="eastAsia" w:ascii="宋体" w:hAnsi="宋体" w:cs="宋体"/>
          <w:color w:val="auto"/>
          <w:highlight w:val="none"/>
          <w:u w:val="single"/>
        </w:rPr>
        <w:t xml:space="preserve">  无  </w:t>
      </w:r>
      <w:r>
        <w:rPr>
          <w:rFonts w:hint="eastAsia" w:ascii="宋体" w:hAnsi="宋体" w:cs="宋体"/>
          <w:color w:val="auto"/>
          <w:highlight w:val="none"/>
        </w:rPr>
        <w:t>。</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（7）其他：</w:t>
      </w:r>
      <w:r>
        <w:rPr>
          <w:rFonts w:hint="eastAsia" w:ascii="宋体" w:hAnsi="宋体" w:cs="宋体"/>
          <w:color w:val="auto"/>
          <w:highlight w:val="none"/>
          <w:u w:val="single"/>
        </w:rPr>
        <w:t xml:space="preserve">  无  </w:t>
      </w:r>
      <w:r>
        <w:rPr>
          <w:rFonts w:hint="eastAsia" w:ascii="宋体" w:hAnsi="宋体" w:cs="宋体"/>
          <w:color w:val="auto"/>
          <w:highlight w:val="none"/>
        </w:rPr>
        <w:t>。</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16.1.3 因发包人违约解除合同</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承包人按16.1.1项〔发包人违约的情形〕约定暂停施工满180天后发包人仍不纠正其违约行为并致使合同目的不能实现的，承包人有权解除合同。</w:t>
      </w:r>
    </w:p>
    <w:p>
      <w:pPr>
        <w:pStyle w:val="9"/>
        <w:spacing w:before="0" w:after="0" w:line="400" w:lineRule="exact"/>
        <w:rPr>
          <w:rFonts w:hint="eastAsia" w:ascii="宋体" w:cs="宋体"/>
          <w:color w:val="auto"/>
          <w:highlight w:val="none"/>
        </w:rPr>
      </w:pPr>
      <w:bookmarkStart w:id="711" w:name="_Toc454283177"/>
      <w:bookmarkStart w:id="712" w:name="_Toc417904354"/>
      <w:r>
        <w:rPr>
          <w:rFonts w:hint="eastAsia" w:ascii="宋体" w:cs="宋体"/>
          <w:color w:val="auto"/>
          <w:highlight w:val="none"/>
        </w:rPr>
        <w:t>16.2 承包人违约</w:t>
      </w:r>
      <w:bookmarkEnd w:id="711"/>
      <w:bookmarkEnd w:id="712"/>
    </w:p>
    <w:p>
      <w:pPr>
        <w:pStyle w:val="10"/>
        <w:spacing w:line="400" w:lineRule="exact"/>
        <w:rPr>
          <w:rFonts w:hint="eastAsia" w:ascii="宋体" w:hAnsi="宋体" w:cs="宋体"/>
          <w:color w:val="auto"/>
          <w:highlight w:val="none"/>
        </w:rPr>
      </w:pPr>
      <w:r>
        <w:rPr>
          <w:rFonts w:hint="eastAsia" w:ascii="宋体" w:hAnsi="宋体" w:cs="宋体"/>
          <w:color w:val="auto"/>
          <w:highlight w:val="none"/>
        </w:rPr>
        <w:t>16.2.1 承包人违约的情形</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承包人违约的其他情形：</w:t>
      </w:r>
      <w:r>
        <w:rPr>
          <w:rFonts w:hint="eastAsia" w:ascii="宋体" w:hAnsi="宋体" w:cs="宋体"/>
          <w:color w:val="auto"/>
          <w:highlight w:val="none"/>
          <w:u w:val="single"/>
        </w:rPr>
        <w:t xml:space="preserve">  工期  </w:t>
      </w:r>
      <w:r>
        <w:rPr>
          <w:rFonts w:hint="eastAsia" w:ascii="宋体" w:hAnsi="宋体" w:cs="宋体"/>
          <w:color w:val="auto"/>
          <w:highlight w:val="none"/>
        </w:rPr>
        <w:t>。</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16.2.2承包人违约的责任</w:t>
      </w:r>
    </w:p>
    <w:p>
      <w:pPr>
        <w:pStyle w:val="10"/>
        <w:spacing w:line="400" w:lineRule="exact"/>
        <w:rPr>
          <w:rFonts w:hint="eastAsia" w:ascii="宋体" w:hAnsi="宋体" w:cs="宋体"/>
          <w:color w:val="auto"/>
          <w:highlight w:val="none"/>
          <w:u w:val="single"/>
        </w:rPr>
      </w:pPr>
      <w:r>
        <w:rPr>
          <w:rFonts w:hint="eastAsia" w:ascii="宋体" w:hAnsi="宋体" w:cs="宋体"/>
          <w:color w:val="auto"/>
          <w:highlight w:val="none"/>
        </w:rPr>
        <w:t>承包人违约责任的承担方式和计算方法：</w:t>
      </w:r>
      <w:r>
        <w:rPr>
          <w:rFonts w:hint="eastAsia" w:ascii="宋体" w:hAnsi="宋体" w:cs="宋体"/>
          <w:color w:val="auto"/>
          <w:highlight w:val="none"/>
          <w:u w:val="single"/>
        </w:rPr>
        <w:t>承包人原因造成工期延误按每天万分之</w:t>
      </w:r>
      <w:r>
        <w:rPr>
          <w:rFonts w:hint="eastAsia" w:ascii="宋体" w:hAnsi="宋体" w:cs="宋体"/>
          <w:color w:val="auto"/>
          <w:highlight w:val="none"/>
          <w:u w:val="single"/>
        </w:rPr>
        <w:t>八</w:t>
      </w:r>
      <w:r>
        <w:rPr>
          <w:rFonts w:hint="eastAsia" w:ascii="宋体" w:hAnsi="宋体" w:cs="宋体"/>
          <w:color w:val="auto"/>
          <w:highlight w:val="none"/>
          <w:u w:val="single"/>
        </w:rPr>
        <w:t>罚款，限额为合同价的</w:t>
      </w:r>
      <w:r>
        <w:rPr>
          <w:rFonts w:ascii="宋体" w:hAnsi="宋体" w:cs="宋体"/>
          <w:color w:val="auto"/>
          <w:highlight w:val="none"/>
          <w:u w:val="single"/>
        </w:rPr>
        <w:t>4</w:t>
      </w:r>
      <w:r>
        <w:rPr>
          <w:rFonts w:hint="eastAsia" w:ascii="宋体" w:hAnsi="宋体" w:cs="宋体"/>
          <w:color w:val="auto"/>
          <w:highlight w:val="none"/>
          <w:u w:val="single"/>
        </w:rPr>
        <w:t>%</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16.2.3 因承包人违约解除合同</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关于承包人违约解除合同的特别约定：</w:t>
      </w:r>
      <w:r>
        <w:rPr>
          <w:rFonts w:hint="eastAsia" w:ascii="宋体" w:hAnsi="宋体" w:cs="宋体"/>
          <w:color w:val="auto"/>
          <w:highlight w:val="none"/>
          <w:u w:val="single"/>
        </w:rPr>
        <w:t xml:space="preserve">   承包人原因造成停工或延期累计30天以上 </w:t>
      </w:r>
      <w:r>
        <w:rPr>
          <w:rFonts w:hint="eastAsia" w:ascii="宋体" w:hAnsi="宋体" w:cs="宋体"/>
          <w:color w:val="auto"/>
          <w:highlight w:val="none"/>
        </w:rPr>
        <w:t>。</w:t>
      </w:r>
    </w:p>
    <w:p>
      <w:pPr>
        <w:pStyle w:val="10"/>
        <w:spacing w:line="400" w:lineRule="exact"/>
        <w:rPr>
          <w:rFonts w:hint="eastAsia" w:ascii="宋体" w:hAnsi="宋体" w:cs="宋体"/>
          <w:color w:val="auto"/>
          <w:highlight w:val="none"/>
        </w:rPr>
      </w:pPr>
      <w:r>
        <w:rPr>
          <w:rFonts w:hint="eastAsia" w:ascii="宋体" w:hAnsi="宋体" w:cs="宋体"/>
          <w:b/>
          <w:color w:val="auto"/>
          <w:highlight w:val="none"/>
        </w:rPr>
        <w:t>因承包人违约解除合同的，发包方可以另行选择其他施工队伍，所造成的的损失由承包人承担，同时</w:t>
      </w:r>
      <w:r>
        <w:rPr>
          <w:rFonts w:hint="eastAsia" w:ascii="宋体" w:hAnsi="宋体" w:cs="宋体"/>
          <w:color w:val="auto"/>
          <w:highlight w:val="none"/>
        </w:rPr>
        <w:t>发包人继续使用承包人在施工现场的材料、设备、临时工程、承包人文件和由承包人或以其名义编制的其他文件的费用承担方式：</w:t>
      </w:r>
      <w:r>
        <w:rPr>
          <w:rFonts w:hint="eastAsia" w:ascii="宋体" w:hAnsi="宋体" w:cs="宋体"/>
          <w:color w:val="auto"/>
          <w:highlight w:val="none"/>
          <w:u w:val="single"/>
        </w:rPr>
        <w:t xml:space="preserve">    承包人承担   </w:t>
      </w:r>
      <w:r>
        <w:rPr>
          <w:rFonts w:hint="eastAsia" w:ascii="宋体" w:hAnsi="宋体" w:cs="宋体"/>
          <w:color w:val="auto"/>
          <w:highlight w:val="none"/>
        </w:rPr>
        <w:t>。　</w:t>
      </w:r>
    </w:p>
    <w:p>
      <w:pPr>
        <w:pStyle w:val="9"/>
        <w:spacing w:before="0" w:after="0" w:line="400" w:lineRule="exact"/>
        <w:rPr>
          <w:rFonts w:hint="eastAsia" w:ascii="宋体" w:cs="宋体"/>
          <w:color w:val="auto"/>
          <w:highlight w:val="none"/>
        </w:rPr>
      </w:pPr>
      <w:bookmarkStart w:id="713" w:name="_Toc454283178"/>
      <w:bookmarkStart w:id="714" w:name="_Toc351203649"/>
      <w:bookmarkStart w:id="715" w:name="_Toc417904355"/>
      <w:r>
        <w:rPr>
          <w:rFonts w:hint="eastAsia" w:ascii="宋体" w:cs="宋体"/>
          <w:color w:val="auto"/>
          <w:highlight w:val="none"/>
        </w:rPr>
        <w:t>17. 不可抗力</w:t>
      </w:r>
      <w:bookmarkEnd w:id="713"/>
      <w:bookmarkEnd w:id="714"/>
      <w:bookmarkEnd w:id="715"/>
      <w:r>
        <w:rPr>
          <w:rFonts w:hint="eastAsia" w:ascii="宋体" w:cs="宋体"/>
          <w:color w:val="auto"/>
          <w:highlight w:val="none"/>
        </w:rPr>
        <w:t xml:space="preserve"> </w:t>
      </w:r>
      <w:bookmarkEnd w:id="703"/>
    </w:p>
    <w:p>
      <w:pPr>
        <w:pStyle w:val="9"/>
        <w:spacing w:before="0" w:after="0" w:line="400" w:lineRule="exact"/>
        <w:rPr>
          <w:rFonts w:hint="eastAsia" w:ascii="宋体" w:cs="宋体"/>
          <w:color w:val="auto"/>
          <w:highlight w:val="none"/>
        </w:rPr>
      </w:pPr>
      <w:bookmarkStart w:id="716" w:name="_Toc417904356"/>
      <w:bookmarkStart w:id="717" w:name="_Toc454283179"/>
      <w:r>
        <w:rPr>
          <w:rFonts w:hint="eastAsia" w:ascii="宋体" w:cs="宋体"/>
          <w:color w:val="auto"/>
          <w:highlight w:val="none"/>
        </w:rPr>
        <w:t>17.1 不可抗力的确认</w:t>
      </w:r>
      <w:bookmarkEnd w:id="716"/>
      <w:bookmarkEnd w:id="717"/>
    </w:p>
    <w:p>
      <w:pPr>
        <w:pStyle w:val="10"/>
        <w:spacing w:line="400" w:lineRule="exact"/>
        <w:rPr>
          <w:rFonts w:hint="eastAsia" w:ascii="宋体" w:hAnsi="宋体" w:cs="宋体"/>
          <w:color w:val="auto"/>
          <w:highlight w:val="none"/>
          <w:u w:val="single"/>
        </w:rPr>
      </w:pPr>
      <w:r>
        <w:rPr>
          <w:rFonts w:hint="eastAsia" w:ascii="宋体" w:hAnsi="宋体" w:cs="宋体"/>
          <w:color w:val="auto"/>
          <w:highlight w:val="none"/>
        </w:rPr>
        <w:t xml:space="preserve">除通用合同条款约定的不可抗力事件之外，视为不可抗力的其他情形： </w:t>
      </w:r>
      <w:r>
        <w:rPr>
          <w:rFonts w:hint="eastAsia" w:ascii="宋体" w:hAnsi="宋体" w:cs="宋体"/>
          <w:color w:val="auto"/>
          <w:highlight w:val="none"/>
          <w:u w:val="single"/>
        </w:rPr>
        <w:t xml:space="preserve">   无   </w:t>
      </w:r>
      <w:r>
        <w:rPr>
          <w:rFonts w:hint="eastAsia" w:ascii="宋体" w:hAnsi="宋体" w:cs="宋体"/>
          <w:color w:val="auto"/>
          <w:highlight w:val="none"/>
        </w:rPr>
        <w:t>。</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17.4 因不可抗力解除合同</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合同解除后，发包人应在商定或确定发包人应支付款项后</w:t>
      </w:r>
      <w:r>
        <w:rPr>
          <w:rFonts w:hint="eastAsia" w:ascii="宋体" w:hAnsi="宋体" w:cs="宋体"/>
          <w:color w:val="auto"/>
          <w:highlight w:val="none"/>
          <w:u w:val="single"/>
        </w:rPr>
        <w:t xml:space="preserve">  承包人提出书面申请14  </w:t>
      </w:r>
      <w:r>
        <w:rPr>
          <w:rFonts w:hint="eastAsia" w:ascii="宋体" w:hAnsi="宋体" w:cs="宋体"/>
          <w:color w:val="auto"/>
          <w:highlight w:val="none"/>
        </w:rPr>
        <w:t>天内完成款项的支付。</w:t>
      </w:r>
    </w:p>
    <w:p>
      <w:pPr>
        <w:pStyle w:val="9"/>
        <w:spacing w:before="0" w:after="0" w:line="400" w:lineRule="exact"/>
        <w:rPr>
          <w:rFonts w:hint="eastAsia" w:ascii="宋体" w:cs="宋体"/>
          <w:color w:val="auto"/>
          <w:highlight w:val="none"/>
        </w:rPr>
      </w:pPr>
      <w:bookmarkStart w:id="718" w:name="_Toc351203650"/>
      <w:bookmarkStart w:id="719" w:name="_Toc454283180"/>
      <w:bookmarkStart w:id="720" w:name="_Toc417904357"/>
      <w:r>
        <w:rPr>
          <w:rFonts w:hint="eastAsia" w:ascii="宋体" w:cs="宋体"/>
          <w:color w:val="auto"/>
          <w:highlight w:val="none"/>
        </w:rPr>
        <w:t>18. 保险</w:t>
      </w:r>
      <w:bookmarkEnd w:id="718"/>
      <w:bookmarkEnd w:id="719"/>
      <w:bookmarkEnd w:id="720"/>
    </w:p>
    <w:bookmarkEnd w:id="704"/>
    <w:p>
      <w:pPr>
        <w:pStyle w:val="9"/>
        <w:spacing w:before="0" w:after="0" w:line="400" w:lineRule="exact"/>
        <w:rPr>
          <w:rFonts w:hint="eastAsia" w:ascii="宋体" w:cs="宋体"/>
          <w:color w:val="auto"/>
          <w:highlight w:val="none"/>
        </w:rPr>
      </w:pPr>
      <w:bookmarkStart w:id="721" w:name="_Toc417904358"/>
      <w:bookmarkStart w:id="722" w:name="_Toc454283181"/>
      <w:r>
        <w:rPr>
          <w:rFonts w:hint="eastAsia" w:ascii="宋体" w:cs="宋体"/>
          <w:color w:val="auto"/>
          <w:highlight w:val="none"/>
        </w:rPr>
        <w:t>18.1 工程保险</w:t>
      </w:r>
      <w:bookmarkEnd w:id="721"/>
      <w:bookmarkEnd w:id="722"/>
    </w:p>
    <w:p>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关于工程保险的特别约定：本工程</w:t>
      </w:r>
      <w:r>
        <w:rPr>
          <w:rFonts w:hint="eastAsia" w:ascii="宋体" w:hAnsi="宋体" w:cs="宋体"/>
          <w:color w:val="auto"/>
          <w:sz w:val="21"/>
          <w:szCs w:val="21"/>
          <w:highlight w:val="none"/>
          <w:u w:val="single"/>
        </w:rPr>
        <w:t xml:space="preserve">    投保    </w:t>
      </w:r>
      <w:r>
        <w:rPr>
          <w:rFonts w:hint="eastAsia" w:ascii="宋体" w:hAnsi="宋体" w:cs="宋体"/>
          <w:color w:val="auto"/>
          <w:sz w:val="21"/>
          <w:szCs w:val="21"/>
          <w:highlight w:val="none"/>
        </w:rPr>
        <w:t>工程保险。投保工程保险时，险种为：</w:t>
      </w:r>
      <w:r>
        <w:rPr>
          <w:rFonts w:hint="eastAsia" w:ascii="宋体" w:hAnsi="宋体" w:cs="宋体"/>
          <w:color w:val="auto"/>
          <w:sz w:val="21"/>
          <w:szCs w:val="21"/>
          <w:highlight w:val="none"/>
          <w:u w:val="single"/>
        </w:rPr>
        <w:t xml:space="preserve">   中标后填写  </w:t>
      </w:r>
      <w:r>
        <w:rPr>
          <w:rFonts w:hint="eastAsia" w:ascii="宋体" w:hAnsi="宋体" w:cs="宋体"/>
          <w:color w:val="auto"/>
          <w:sz w:val="21"/>
          <w:szCs w:val="21"/>
          <w:highlight w:val="none"/>
        </w:rPr>
        <w:t>，并符合以下约定。</w:t>
      </w:r>
    </w:p>
    <w:p>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（1）投保人：</w:t>
      </w:r>
      <w:r>
        <w:rPr>
          <w:rFonts w:hint="eastAsia" w:ascii="宋体" w:hAnsi="宋体" w:cs="宋体"/>
          <w:color w:val="auto"/>
          <w:sz w:val="21"/>
          <w:szCs w:val="21"/>
          <w:highlight w:val="none"/>
          <w:u w:val="single"/>
        </w:rPr>
        <w:t>承包人</w:t>
      </w:r>
      <w:r>
        <w:rPr>
          <w:rFonts w:hint="eastAsia" w:ascii="宋体" w:hAnsi="宋体" w:cs="宋体"/>
          <w:color w:val="auto"/>
          <w:sz w:val="21"/>
          <w:szCs w:val="21"/>
          <w:highlight w:val="none"/>
        </w:rPr>
        <w:t>。</w:t>
      </w:r>
    </w:p>
    <w:p>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（2）投保内容：</w:t>
      </w:r>
      <w:r>
        <w:rPr>
          <w:rFonts w:hint="eastAsia" w:ascii="宋体" w:hAnsi="宋体" w:cs="宋体"/>
          <w:color w:val="auto"/>
          <w:sz w:val="21"/>
          <w:szCs w:val="21"/>
          <w:highlight w:val="none"/>
          <w:u w:val="single"/>
        </w:rPr>
        <w:t xml:space="preserve">   承包人根据市建协字【2009】3号文须缴纳建筑意外伤害保险费        </w:t>
      </w:r>
      <w:r>
        <w:rPr>
          <w:rFonts w:hint="eastAsia" w:ascii="宋体" w:hAnsi="宋体" w:cs="宋体"/>
          <w:color w:val="auto"/>
          <w:sz w:val="21"/>
          <w:szCs w:val="21"/>
          <w:highlight w:val="none"/>
        </w:rPr>
        <w:t>。</w:t>
      </w:r>
    </w:p>
    <w:p>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（3）保险费率：由投保人与合同双方同意的保险人商定。</w:t>
      </w:r>
    </w:p>
    <w:p>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（4）保险金额：</w:t>
      </w:r>
      <w:r>
        <w:rPr>
          <w:rFonts w:hint="eastAsia" w:ascii="宋体" w:hAnsi="宋体" w:cs="宋体"/>
          <w:color w:val="auto"/>
          <w:sz w:val="21"/>
          <w:szCs w:val="21"/>
          <w:highlight w:val="none"/>
          <w:u w:val="single"/>
        </w:rPr>
        <w:t xml:space="preserve">              按桂林市相关规定                          </w:t>
      </w:r>
      <w:r>
        <w:rPr>
          <w:rFonts w:hint="eastAsia" w:ascii="宋体" w:hAnsi="宋体" w:cs="宋体"/>
          <w:color w:val="auto"/>
          <w:sz w:val="21"/>
          <w:szCs w:val="21"/>
          <w:highlight w:val="none"/>
        </w:rPr>
        <w:t>。</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（5）保险期限：</w:t>
      </w:r>
      <w:r>
        <w:rPr>
          <w:rFonts w:hint="eastAsia" w:ascii="宋体" w:hAnsi="宋体" w:cs="宋体"/>
          <w:color w:val="auto"/>
          <w:highlight w:val="none"/>
          <w:u w:val="single"/>
        </w:rPr>
        <w:t xml:space="preserve">              按桂林市相关规定                                 </w:t>
      </w:r>
      <w:r>
        <w:rPr>
          <w:rFonts w:hint="eastAsia" w:ascii="宋体" w:hAnsi="宋体" w:cs="宋体"/>
          <w:color w:val="auto"/>
          <w:highlight w:val="none"/>
        </w:rPr>
        <w:t>。</w:t>
      </w:r>
    </w:p>
    <w:p>
      <w:pPr>
        <w:pStyle w:val="9"/>
        <w:spacing w:before="0" w:after="0" w:line="400" w:lineRule="exact"/>
        <w:rPr>
          <w:rFonts w:hint="eastAsia" w:ascii="宋体" w:cs="宋体"/>
          <w:color w:val="auto"/>
          <w:highlight w:val="none"/>
        </w:rPr>
      </w:pPr>
      <w:bookmarkStart w:id="723" w:name="_Toc454283182"/>
      <w:bookmarkStart w:id="724" w:name="_Toc417904359"/>
      <w:r>
        <w:rPr>
          <w:rFonts w:hint="eastAsia" w:ascii="宋体" w:cs="宋体"/>
          <w:color w:val="auto"/>
          <w:highlight w:val="none"/>
        </w:rPr>
        <w:t>18.3 其他保险</w:t>
      </w:r>
      <w:bookmarkEnd w:id="723"/>
      <w:bookmarkEnd w:id="724"/>
    </w:p>
    <w:p>
      <w:pPr>
        <w:pStyle w:val="10"/>
        <w:spacing w:line="400" w:lineRule="exact"/>
        <w:rPr>
          <w:rFonts w:hint="eastAsia" w:ascii="宋体" w:hAnsi="宋体" w:cs="宋体"/>
          <w:color w:val="auto"/>
          <w:highlight w:val="none"/>
        </w:rPr>
      </w:pPr>
      <w:r>
        <w:rPr>
          <w:rFonts w:hint="eastAsia" w:ascii="宋体" w:hAnsi="宋体" w:cs="宋体"/>
          <w:color w:val="auto"/>
          <w:highlight w:val="none"/>
        </w:rPr>
        <w:t>关于其他保险的约定：</w:t>
      </w:r>
      <w:r>
        <w:rPr>
          <w:rFonts w:hint="eastAsia" w:ascii="宋体" w:hAnsi="宋体" w:cs="宋体"/>
          <w:color w:val="auto"/>
          <w:highlight w:val="none"/>
          <w:u w:val="single"/>
        </w:rPr>
        <w:t xml:space="preserve">       按国家有关规定              </w:t>
      </w:r>
      <w:r>
        <w:rPr>
          <w:rFonts w:hint="eastAsia" w:ascii="宋体" w:hAnsi="宋体" w:cs="宋体"/>
          <w:color w:val="auto"/>
          <w:highlight w:val="none"/>
        </w:rPr>
        <w:t>。</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承包人是否应为其施工设备等办理财产保险：</w:t>
      </w:r>
      <w:r>
        <w:rPr>
          <w:rFonts w:hint="eastAsia" w:ascii="宋体" w:hAnsi="宋体" w:cs="宋体"/>
          <w:color w:val="auto"/>
          <w:highlight w:val="none"/>
          <w:u w:val="single"/>
        </w:rPr>
        <w:t xml:space="preserve">      无        </w:t>
      </w:r>
      <w:r>
        <w:rPr>
          <w:rFonts w:hint="eastAsia" w:ascii="宋体" w:hAnsi="宋体" w:cs="宋体"/>
          <w:color w:val="auto"/>
          <w:highlight w:val="none"/>
        </w:rPr>
        <w:t>。</w:t>
      </w:r>
    </w:p>
    <w:p>
      <w:pPr>
        <w:pStyle w:val="9"/>
        <w:spacing w:before="0" w:after="0" w:line="400" w:lineRule="exact"/>
        <w:rPr>
          <w:rFonts w:hint="eastAsia" w:ascii="宋体" w:cs="宋体"/>
          <w:color w:val="auto"/>
          <w:highlight w:val="none"/>
        </w:rPr>
      </w:pPr>
      <w:bookmarkStart w:id="725" w:name="_Toc417904360"/>
      <w:bookmarkStart w:id="726" w:name="_Toc454283183"/>
      <w:r>
        <w:rPr>
          <w:rFonts w:hint="eastAsia" w:ascii="宋体" w:cs="宋体"/>
          <w:color w:val="auto"/>
          <w:highlight w:val="none"/>
        </w:rPr>
        <w:t>18.7 通知义务</w:t>
      </w:r>
      <w:bookmarkEnd w:id="725"/>
      <w:bookmarkEnd w:id="726"/>
    </w:p>
    <w:p>
      <w:pPr>
        <w:pStyle w:val="10"/>
        <w:spacing w:line="400" w:lineRule="exact"/>
        <w:rPr>
          <w:rFonts w:hint="eastAsia" w:ascii="宋体" w:hAnsi="宋体" w:cs="宋体"/>
          <w:color w:val="auto"/>
          <w:highlight w:val="none"/>
        </w:rPr>
      </w:pPr>
      <w:r>
        <w:rPr>
          <w:rFonts w:hint="eastAsia" w:ascii="宋体" w:hAnsi="宋体" w:cs="宋体"/>
          <w:color w:val="auto"/>
          <w:highlight w:val="none"/>
        </w:rPr>
        <w:t>关于变更保险合同时的通知义务的约定：</w:t>
      </w:r>
      <w:r>
        <w:rPr>
          <w:rFonts w:hint="eastAsia" w:ascii="宋体" w:hAnsi="宋体" w:cs="宋体"/>
          <w:color w:val="auto"/>
          <w:highlight w:val="none"/>
          <w:u w:val="single"/>
        </w:rPr>
        <w:t xml:space="preserve">    无    </w:t>
      </w:r>
      <w:r>
        <w:rPr>
          <w:rFonts w:hint="eastAsia" w:ascii="宋体" w:hAnsi="宋体" w:cs="宋体"/>
          <w:color w:val="auto"/>
          <w:highlight w:val="none"/>
        </w:rPr>
        <w:t>。</w:t>
      </w:r>
    </w:p>
    <w:bookmarkEnd w:id="672"/>
    <w:bookmarkEnd w:id="673"/>
    <w:bookmarkEnd w:id="674"/>
    <w:bookmarkEnd w:id="675"/>
    <w:bookmarkEnd w:id="676"/>
    <w:bookmarkEnd w:id="677"/>
    <w:bookmarkEnd w:id="678"/>
    <w:bookmarkEnd w:id="679"/>
    <w:bookmarkEnd w:id="680"/>
    <w:bookmarkEnd w:id="681"/>
    <w:bookmarkEnd w:id="682"/>
    <w:bookmarkEnd w:id="683"/>
    <w:p>
      <w:pPr>
        <w:pStyle w:val="9"/>
        <w:spacing w:before="0" w:after="0" w:line="400" w:lineRule="exact"/>
        <w:rPr>
          <w:rFonts w:hint="eastAsia" w:ascii="宋体" w:cs="宋体"/>
          <w:color w:val="auto"/>
          <w:highlight w:val="none"/>
        </w:rPr>
      </w:pPr>
      <w:bookmarkStart w:id="727" w:name="_Toc351203651"/>
      <w:bookmarkStart w:id="728" w:name="_Toc454283184"/>
      <w:bookmarkStart w:id="729" w:name="_Toc417904361"/>
      <w:r>
        <w:rPr>
          <w:rFonts w:hint="eastAsia" w:ascii="宋体" w:cs="宋体"/>
          <w:color w:val="auto"/>
          <w:highlight w:val="none"/>
        </w:rPr>
        <w:t>20. 争议解决</w:t>
      </w:r>
      <w:bookmarkEnd w:id="727"/>
      <w:bookmarkEnd w:id="728"/>
      <w:bookmarkEnd w:id="729"/>
    </w:p>
    <w:bookmarkEnd w:id="684"/>
    <w:bookmarkEnd w:id="685"/>
    <w:p>
      <w:pPr>
        <w:pStyle w:val="9"/>
        <w:spacing w:before="0" w:after="0" w:line="400" w:lineRule="exact"/>
        <w:rPr>
          <w:rFonts w:hint="eastAsia" w:ascii="宋体" w:cs="宋体"/>
          <w:color w:val="auto"/>
          <w:highlight w:val="none"/>
        </w:rPr>
      </w:pPr>
      <w:bookmarkStart w:id="730" w:name="_Toc417904362"/>
      <w:bookmarkStart w:id="731" w:name="_Toc454283185"/>
      <w:r>
        <w:rPr>
          <w:rFonts w:hint="eastAsia" w:ascii="宋体" w:cs="宋体"/>
          <w:color w:val="auto"/>
          <w:highlight w:val="none"/>
        </w:rPr>
        <w:t>20.3 争</w:t>
      </w:r>
      <w:bookmarkEnd w:id="686"/>
      <w:r>
        <w:rPr>
          <w:rFonts w:hint="eastAsia" w:ascii="宋体" w:cs="宋体"/>
          <w:color w:val="auto"/>
          <w:highlight w:val="none"/>
        </w:rPr>
        <w:t>议评审</w:t>
      </w:r>
      <w:bookmarkEnd w:id="730"/>
      <w:bookmarkEnd w:id="731"/>
    </w:p>
    <w:p>
      <w:pPr>
        <w:pStyle w:val="10"/>
        <w:spacing w:line="400" w:lineRule="exact"/>
        <w:rPr>
          <w:rFonts w:hint="eastAsia" w:ascii="宋体" w:hAnsi="宋体" w:cs="宋体"/>
          <w:color w:val="auto"/>
          <w:highlight w:val="none"/>
        </w:rPr>
      </w:pPr>
      <w:r>
        <w:rPr>
          <w:rFonts w:hint="eastAsia" w:ascii="宋体" w:hAnsi="宋体" w:cs="宋体"/>
          <w:color w:val="auto"/>
          <w:highlight w:val="none"/>
        </w:rPr>
        <w:t>合同当事人是否同意将工程争议提交争议评审小组决定：</w:t>
      </w:r>
      <w:r>
        <w:rPr>
          <w:rFonts w:hint="eastAsia" w:ascii="宋体" w:hAnsi="宋体" w:cs="宋体"/>
          <w:color w:val="auto"/>
          <w:highlight w:val="none"/>
          <w:u w:val="single"/>
        </w:rPr>
        <w:t xml:space="preserve">  　否   </w:t>
      </w:r>
      <w:r>
        <w:rPr>
          <w:rFonts w:hint="eastAsia" w:ascii="宋体" w:hAnsi="宋体" w:cs="宋体"/>
          <w:color w:val="auto"/>
          <w:highlight w:val="none"/>
        </w:rPr>
        <w:t xml:space="preserve">。  </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20.3.1 争议评审小组的确定</w:t>
      </w:r>
    </w:p>
    <w:p>
      <w:pPr>
        <w:pStyle w:val="10"/>
        <w:spacing w:line="400" w:lineRule="exact"/>
        <w:rPr>
          <w:rFonts w:hint="eastAsia" w:ascii="宋体" w:hAnsi="宋体" w:cs="宋体"/>
          <w:color w:val="auto"/>
          <w:highlight w:val="none"/>
          <w:u w:val="single"/>
        </w:rPr>
      </w:pPr>
      <w:r>
        <w:rPr>
          <w:rFonts w:hint="eastAsia" w:ascii="宋体" w:hAnsi="宋体" w:cs="宋体"/>
          <w:color w:val="auto"/>
          <w:highlight w:val="none"/>
        </w:rPr>
        <w:t>争议评审小组成员的确定：</w:t>
      </w:r>
      <w:r>
        <w:rPr>
          <w:rFonts w:hint="eastAsia" w:ascii="宋体" w:hAnsi="宋体" w:cs="宋体"/>
          <w:color w:val="auto"/>
          <w:highlight w:val="none"/>
          <w:u w:val="single"/>
        </w:rPr>
        <w:t xml:space="preserve">    无     </w:t>
      </w:r>
      <w:r>
        <w:rPr>
          <w:rFonts w:hint="eastAsia" w:ascii="宋体" w:hAnsi="宋体" w:cs="宋体"/>
          <w:color w:val="auto"/>
          <w:highlight w:val="none"/>
        </w:rPr>
        <w:t>。</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选定争议评审员的期限：</w:t>
      </w:r>
      <w:r>
        <w:rPr>
          <w:rFonts w:hint="eastAsia" w:ascii="宋体" w:hAnsi="宋体" w:cs="宋体"/>
          <w:color w:val="auto"/>
          <w:highlight w:val="none"/>
          <w:u w:val="single"/>
        </w:rPr>
        <w:t xml:space="preserve">    无     </w:t>
      </w:r>
      <w:r>
        <w:rPr>
          <w:rFonts w:hint="eastAsia" w:ascii="宋体" w:hAnsi="宋体" w:cs="宋体"/>
          <w:color w:val="auto"/>
          <w:highlight w:val="none"/>
        </w:rPr>
        <w:t>。</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争议评审小组成员的报酬承担方式：</w:t>
      </w:r>
      <w:r>
        <w:rPr>
          <w:rFonts w:hint="eastAsia" w:ascii="宋体" w:hAnsi="宋体" w:cs="宋体"/>
          <w:color w:val="auto"/>
          <w:highlight w:val="none"/>
          <w:u w:val="single"/>
        </w:rPr>
        <w:t xml:space="preserve">   无   </w:t>
      </w:r>
      <w:r>
        <w:rPr>
          <w:rFonts w:hint="eastAsia" w:ascii="宋体" w:hAnsi="宋体" w:cs="宋体"/>
          <w:color w:val="auto"/>
          <w:highlight w:val="none"/>
        </w:rPr>
        <w:t>。</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其他事项的约定：</w:t>
      </w:r>
      <w:r>
        <w:rPr>
          <w:rFonts w:hint="eastAsia" w:ascii="宋体" w:hAnsi="宋体" w:cs="宋体"/>
          <w:color w:val="auto"/>
          <w:highlight w:val="none"/>
          <w:u w:val="single"/>
        </w:rPr>
        <w:t xml:space="preserve">   无            </w:t>
      </w:r>
      <w:r>
        <w:rPr>
          <w:rFonts w:hint="eastAsia" w:ascii="宋体" w:hAnsi="宋体" w:cs="宋体"/>
          <w:color w:val="auto"/>
          <w:highlight w:val="none"/>
        </w:rPr>
        <w:t>。</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20.3.2 争议评审小组的决定</w:t>
      </w:r>
    </w:p>
    <w:p>
      <w:pPr>
        <w:pStyle w:val="10"/>
        <w:spacing w:line="400" w:lineRule="exact"/>
        <w:rPr>
          <w:rFonts w:hint="eastAsia" w:ascii="宋体" w:hAnsi="宋体" w:cs="宋体"/>
          <w:color w:val="auto"/>
          <w:highlight w:val="none"/>
        </w:rPr>
      </w:pPr>
      <w:r>
        <w:rPr>
          <w:rFonts w:hint="eastAsia" w:ascii="宋体" w:hAnsi="宋体" w:cs="宋体"/>
          <w:color w:val="auto"/>
          <w:highlight w:val="none"/>
        </w:rPr>
        <w:t>合同当事人关于本项的约定：</w:t>
      </w:r>
      <w:r>
        <w:rPr>
          <w:rFonts w:hint="eastAsia" w:ascii="宋体" w:hAnsi="宋体" w:cs="宋体"/>
          <w:color w:val="auto"/>
          <w:highlight w:val="none"/>
          <w:u w:val="single"/>
        </w:rPr>
        <w:t xml:space="preserve">   无   </w:t>
      </w:r>
      <w:r>
        <w:rPr>
          <w:rFonts w:hint="eastAsia" w:ascii="宋体" w:hAnsi="宋体" w:cs="宋体"/>
          <w:color w:val="auto"/>
          <w:highlight w:val="none"/>
        </w:rPr>
        <w:t>。</w:t>
      </w:r>
    </w:p>
    <w:p>
      <w:pPr>
        <w:pStyle w:val="9"/>
        <w:spacing w:before="0" w:after="0" w:line="400" w:lineRule="exact"/>
        <w:rPr>
          <w:rFonts w:hint="eastAsia" w:ascii="宋体" w:cs="宋体"/>
          <w:color w:val="auto"/>
          <w:highlight w:val="none"/>
        </w:rPr>
      </w:pPr>
      <w:bookmarkStart w:id="732" w:name="_Toc454283186"/>
      <w:bookmarkStart w:id="733" w:name="_Toc417904363"/>
      <w:r>
        <w:rPr>
          <w:rFonts w:hint="eastAsia" w:ascii="宋体" w:cs="宋体"/>
          <w:color w:val="auto"/>
          <w:highlight w:val="none"/>
        </w:rPr>
        <w:t>20.4仲裁或诉讼</w:t>
      </w:r>
      <w:bookmarkEnd w:id="687"/>
      <w:bookmarkEnd w:id="732"/>
      <w:bookmarkEnd w:id="733"/>
    </w:p>
    <w:p>
      <w:pPr>
        <w:pStyle w:val="10"/>
        <w:spacing w:line="400" w:lineRule="exact"/>
        <w:rPr>
          <w:rFonts w:hint="eastAsia" w:ascii="宋体" w:hAnsi="宋体" w:cs="宋体"/>
          <w:color w:val="auto"/>
          <w:highlight w:val="none"/>
        </w:rPr>
      </w:pPr>
      <w:r>
        <w:rPr>
          <w:rFonts w:hint="eastAsia" w:ascii="宋体" w:hAnsi="宋体" w:cs="宋体"/>
          <w:color w:val="auto"/>
          <w:highlight w:val="none"/>
        </w:rPr>
        <w:t>因合同及合同有关事项发生的争议，按下列第</w:t>
      </w:r>
      <w:r>
        <w:rPr>
          <w:rFonts w:hint="eastAsia" w:ascii="宋体" w:hAnsi="宋体" w:cs="宋体"/>
          <w:color w:val="auto"/>
          <w:highlight w:val="none"/>
          <w:u w:val="single"/>
        </w:rPr>
        <w:t xml:space="preserve">  2  </w:t>
      </w:r>
      <w:r>
        <w:rPr>
          <w:rFonts w:hint="eastAsia" w:ascii="宋体" w:hAnsi="宋体" w:cs="宋体"/>
          <w:color w:val="auto"/>
          <w:highlight w:val="none"/>
        </w:rPr>
        <w:t>种方式解决：</w:t>
      </w:r>
    </w:p>
    <w:bookmarkEnd w:id="688"/>
    <w:bookmarkEnd w:id="689"/>
    <w:bookmarkEnd w:id="690"/>
    <w:bookmarkEnd w:id="691"/>
    <w:bookmarkEnd w:id="692"/>
    <w:bookmarkEnd w:id="693"/>
    <w:p>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（1）提请</w:t>
      </w:r>
      <w:r>
        <w:rPr>
          <w:rFonts w:hint="eastAsia" w:ascii="宋体" w:hAnsi="宋体" w:cs="宋体"/>
          <w:color w:val="auto"/>
          <w:sz w:val="21"/>
          <w:szCs w:val="21"/>
          <w:highlight w:val="none"/>
          <w:u w:val="single"/>
        </w:rPr>
        <w:t xml:space="preserve"> 桂林市  </w:t>
      </w:r>
      <w:r>
        <w:rPr>
          <w:rFonts w:hint="eastAsia" w:ascii="宋体" w:hAnsi="宋体" w:cs="宋体"/>
          <w:color w:val="auto"/>
          <w:sz w:val="21"/>
          <w:szCs w:val="21"/>
          <w:highlight w:val="none"/>
        </w:rPr>
        <w:t>仲裁委员会按照该会仲裁规则进行仲裁，仲裁裁决是终局的，对合同双方均有约束力。</w:t>
      </w:r>
    </w:p>
    <w:p>
      <w:pPr>
        <w:pStyle w:val="10"/>
        <w:spacing w:line="400" w:lineRule="exact"/>
        <w:rPr>
          <w:rFonts w:hint="eastAsia" w:cs="宋体"/>
          <w:color w:val="auto"/>
          <w:highlight w:val="none"/>
        </w:rPr>
      </w:pPr>
      <w:r>
        <w:rPr>
          <w:rFonts w:hint="eastAsia" w:ascii="宋体" w:hAnsi="宋体" w:cs="宋体"/>
          <w:color w:val="auto"/>
          <w:highlight w:val="none"/>
        </w:rPr>
        <w:t>（2）向有管辖权的人民法院提起诉讼</w:t>
      </w:r>
      <w:r>
        <w:rPr>
          <w:rFonts w:hint="eastAsia" w:cs="宋体"/>
          <w:color w:val="auto"/>
          <w:highlight w:val="none"/>
        </w:rPr>
        <w:t>。</w:t>
      </w:r>
    </w:p>
    <w:bookmarkEnd w:id="4"/>
    <w:bookmarkEnd w:id="5"/>
    <w:p>
      <w:pPr>
        <w:pStyle w:val="13"/>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21.补充说明</w:t>
      </w:r>
    </w:p>
    <w:p>
      <w:pPr>
        <w:pStyle w:val="14"/>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1、在施工期间严格执行安全文明施工，由于临时占道、材料堆放、市民出行等情形与周边群众发生纠纷，承包人自行协调处理，费用由承包人承担。</w:t>
      </w:r>
    </w:p>
    <w:p>
      <w:pPr>
        <w:pStyle w:val="14"/>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 承包人在承包工程期间所发生的一切责任事故，均由承包人承担经济责任和法律责任。</w:t>
      </w:r>
    </w:p>
    <w:p>
      <w:pPr>
        <w:pStyle w:val="14"/>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3、承包人需自行办理施工中涉及相关部门手续及协调相关部门关系。</w:t>
      </w:r>
    </w:p>
    <w:p>
      <w:pPr>
        <w:pStyle w:val="14"/>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4、如因市财政资金安排，支付不及时等原因，未经发包方同意，承包方不得擅自停工，否则发包方有权解除合同，另行选择施工单位继续施工。</w:t>
      </w:r>
    </w:p>
    <w:p>
      <w:pPr>
        <w:pStyle w:val="14"/>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5、工程竣工验收以承包人负责把各相关专业工程移交给相应管护部门，最终以管护部门签字盖章文件为准。</w:t>
      </w:r>
    </w:p>
    <w:p>
      <w:pPr>
        <w:pStyle w:val="14"/>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6、施工期间承包人自行考虑施工现场用水用电问题，由此产生所有费用由承包人承担。</w:t>
      </w:r>
    </w:p>
    <w:p>
      <w:pPr>
        <w:pStyle w:val="14"/>
        <w:spacing w:line="440" w:lineRule="exact"/>
        <w:ind w:firstLine="422" w:firstLineChars="200"/>
        <w:rPr>
          <w:rFonts w:hint="eastAsia" w:ascii="宋体" w:hAnsi="宋体"/>
          <w:color w:val="auto"/>
          <w:szCs w:val="21"/>
          <w:highlight w:val="none"/>
        </w:rPr>
      </w:pPr>
      <w:r>
        <w:rPr>
          <w:rFonts w:hint="eastAsia" w:ascii="宋体" w:hAnsi="宋体" w:cs="宋体"/>
          <w:b/>
          <w:color w:val="auto"/>
          <w:szCs w:val="21"/>
          <w:highlight w:val="none"/>
        </w:rPr>
        <w:t>7、</w:t>
      </w:r>
      <w:r>
        <w:rPr>
          <w:rFonts w:ascii="宋体" w:hAnsi="宋体" w:cs="宋体"/>
          <w:b/>
          <w:color w:val="auto"/>
          <w:szCs w:val="21"/>
          <w:highlight w:val="none"/>
        </w:rPr>
        <w:t>施工单位进场后，与总包单位自行商讨配合费用</w:t>
      </w:r>
      <w:r>
        <w:rPr>
          <w:rFonts w:hint="eastAsia" w:ascii="宋体" w:hAnsi="宋体" w:cs="宋体"/>
          <w:b/>
          <w:color w:val="auto"/>
          <w:szCs w:val="21"/>
          <w:highlight w:val="none"/>
        </w:rPr>
        <w:t>，由此产生所有费用由承包人承担</w:t>
      </w:r>
      <w:r>
        <w:rPr>
          <w:rFonts w:hint="eastAsia" w:ascii="宋体" w:hAnsi="宋体" w:cs="宋体"/>
          <w:color w:val="auto"/>
          <w:szCs w:val="21"/>
          <w:highlight w:val="none"/>
        </w:rPr>
        <w:t>。</w:t>
      </w:r>
    </w:p>
    <w:p>
      <w:pPr>
        <w:pStyle w:val="13"/>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工地实行周报制度，周报在每周工程例会前一天报送发包人和监理。周报包括本周计划和上周完成工作、未完成情况说明（包括拟采措施、最终完成时间〉等。如不按时、按要求报送，发包人有权不予支付当期进度款或支付时间顺</w:t>
      </w:r>
    </w:p>
    <w:p>
      <w:pPr>
        <w:pStyle w:val="13"/>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实行材料封样制度：1）承包人须按要求提供所列主材、设备的样品，该样品经合同双方确认后，承包人签字发包人盖章封样并保存于发包人处，并作为检验材料设备的标准之一，但该封样样品如存在潜在的质量缺陷、瑕疵的，该责任由承包人承担且并不因发包人的确认而减免。若在双方协议签订后，因设计变更或发包人需要须对已封样的材料进行变更的，封样程序仍按本条约定进行。</w:t>
      </w:r>
    </w:p>
    <w:p>
      <w:pPr>
        <w:pStyle w:val="13"/>
        <w:spacing w:line="500" w:lineRule="exact"/>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2）承包人的材料或者成品进场时，发包人根据样品封样标准验收，发现有差异的，发包人有权对承包人采购的成品拒收，并要求承包人退场，由此造成的损失及工期延误，由承包人自负。对于专业分包单位的材料或者成品进场时，发包人根据样品封样标准验收，对专业分包单位采购的不符合协议约定要求的材料或者成品，有权拒收，并要求专业分包单位退场，由此造成的损失及工期延误，由专业分包单位自负。</w:t>
      </w:r>
    </w:p>
    <w:p>
      <w:pPr>
        <w:pStyle w:val="13"/>
        <w:spacing w:line="500" w:lineRule="exact"/>
        <w:jc w:val="left"/>
        <w:rPr>
          <w:rFonts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10、工程样板制度：1)为确保工程的施工质量、避免大批量返工，凡是重复循环施工作业的分部分项工程和操作工艺，在大面积施工前（一般是该工程正式施工前两个月)，承包人均须制作工程样板，以确定施工工艺流程及操作要点，样板经发包人书面确认并向施工人员交底后方可大面积施工，且承包人负责做好成品保护工作;样板的具体施工部位、开始施工时间、要求完工时间均以按发包人要求为准。</w:t>
      </w:r>
    </w:p>
    <w:p>
      <w:pPr>
        <w:pStyle w:val="13"/>
        <w:spacing w:line="500" w:lineRule="exac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2）工程样板施工完毕，必须经过发包人书面认可后，方可作为标准的工程样板进行大面积施工，如果经过发包人书面同意的标准工程样板本身还存在安全隐患或质量缺陷的，不因发包人同意而减免承包人或者专业分包单位的任何责任。如果其它部位的施工工艺、完成标准或者美观效果与标准工程样板不符，发包人有权要求承包人或者专业分包单位进行返工，直至符合要求为止。承包人和专业分包单位由此造成返工费用以及工期延期，均由承包人和专业分包单位自行负责，发包人不承担任何经济补偿和工期延误责任。</w:t>
      </w:r>
    </w:p>
    <w:p>
      <w:pPr>
        <w:pStyle w:val="13"/>
        <w:spacing w:line="500" w:lineRule="exact"/>
        <w:ind w:firstLine="211" w:firstLineChars="100"/>
        <w:jc w:val="left"/>
        <w:rPr>
          <w:rFonts w:hint="eastAsia" w:ascii="宋体" w:hAnsi="宋体" w:cs="宋体"/>
          <w:b/>
          <w:color w:val="auto"/>
          <w:szCs w:val="21"/>
          <w:highlight w:val="none"/>
        </w:rPr>
      </w:pPr>
      <w:r>
        <w:rPr>
          <w:rFonts w:hint="eastAsia" w:ascii="宋体" w:hAnsi="宋体" w:cs="宋体"/>
          <w:b/>
          <w:color w:val="auto"/>
          <w:szCs w:val="21"/>
          <w:highlight w:val="none"/>
        </w:rPr>
        <w:t>11、施工</w:t>
      </w:r>
      <w:r>
        <w:rPr>
          <w:rFonts w:ascii="宋体" w:hAnsi="宋体" w:cs="宋体"/>
          <w:b/>
          <w:color w:val="auto"/>
          <w:szCs w:val="21"/>
          <w:highlight w:val="none"/>
        </w:rPr>
        <w:t>单位按照中标清单的</w:t>
      </w:r>
      <w:r>
        <w:rPr>
          <w:rFonts w:hint="eastAsia" w:ascii="宋体" w:hAnsi="宋体" w:cs="宋体"/>
          <w:b/>
          <w:color w:val="auto"/>
          <w:szCs w:val="21"/>
          <w:highlight w:val="none"/>
        </w:rPr>
        <w:t>品牌</w:t>
      </w:r>
      <w:r>
        <w:rPr>
          <w:rFonts w:ascii="宋体" w:hAnsi="宋体" w:cs="宋体"/>
          <w:b/>
          <w:color w:val="auto"/>
          <w:szCs w:val="21"/>
          <w:highlight w:val="none"/>
        </w:rPr>
        <w:t>提供样品，品牌必须</w:t>
      </w:r>
      <w:r>
        <w:rPr>
          <w:rFonts w:hint="eastAsia" w:ascii="宋体" w:hAnsi="宋体" w:cs="宋体"/>
          <w:b/>
          <w:color w:val="auto"/>
          <w:szCs w:val="21"/>
          <w:highlight w:val="none"/>
        </w:rPr>
        <w:t>由</w:t>
      </w:r>
      <w:r>
        <w:rPr>
          <w:rFonts w:ascii="宋体" w:hAnsi="宋体" w:cs="宋体"/>
          <w:b/>
          <w:color w:val="auto"/>
          <w:szCs w:val="21"/>
          <w:highlight w:val="none"/>
        </w:rPr>
        <w:t>甲方、监理同意后</w:t>
      </w:r>
      <w:r>
        <w:rPr>
          <w:rFonts w:hint="eastAsia" w:ascii="宋体" w:hAnsi="宋体" w:cs="宋体"/>
          <w:b/>
          <w:color w:val="auto"/>
          <w:szCs w:val="21"/>
          <w:highlight w:val="none"/>
        </w:rPr>
        <w:t>方可</w:t>
      </w:r>
      <w:r>
        <w:rPr>
          <w:rFonts w:ascii="宋体" w:hAnsi="宋体" w:cs="宋体"/>
          <w:b/>
          <w:color w:val="auto"/>
          <w:szCs w:val="21"/>
          <w:highlight w:val="none"/>
        </w:rPr>
        <w:t>封样</w:t>
      </w:r>
      <w:r>
        <w:rPr>
          <w:rFonts w:hint="eastAsia" w:ascii="宋体" w:hAnsi="宋体" w:cs="宋体"/>
          <w:b/>
          <w:color w:val="auto"/>
          <w:szCs w:val="21"/>
          <w:highlight w:val="none"/>
        </w:rPr>
        <w:t>、</w:t>
      </w:r>
      <w:r>
        <w:rPr>
          <w:rFonts w:ascii="宋体" w:hAnsi="宋体" w:cs="宋体"/>
          <w:b/>
          <w:color w:val="auto"/>
          <w:szCs w:val="21"/>
          <w:highlight w:val="none"/>
        </w:rPr>
        <w:t>采购</w:t>
      </w:r>
      <w:r>
        <w:rPr>
          <w:rFonts w:hint="eastAsia" w:ascii="宋体" w:hAnsi="宋体" w:cs="宋体"/>
          <w:b/>
          <w:color w:val="auto"/>
          <w:szCs w:val="21"/>
          <w:highlight w:val="none"/>
        </w:rPr>
        <w:t>。</w:t>
      </w:r>
    </w:p>
    <w:p>
      <w:pPr>
        <w:pStyle w:val="13"/>
        <w:spacing w:line="400" w:lineRule="exact"/>
        <w:jc w:val="left"/>
        <w:rPr>
          <w:rFonts w:hint="eastAsia" w:ascii="宋体" w:hAnsi="宋体" w:cs="宋体"/>
          <w:b/>
          <w:color w:val="auto"/>
          <w:szCs w:val="21"/>
          <w:highlight w:val="none"/>
        </w:rPr>
      </w:pPr>
    </w:p>
    <w:p>
      <w:pPr>
        <w:pStyle w:val="15"/>
        <w:ind w:firstLine="0" w:firstLineChars="0"/>
        <w:rPr>
          <w:rFonts w:hint="eastAsia"/>
          <w:color w:val="auto"/>
          <w:highlight w:val="none"/>
        </w:rPr>
      </w:pPr>
    </w:p>
    <w:p>
      <w:pPr>
        <w:pStyle w:val="15"/>
        <w:ind w:firstLine="0" w:firstLineChars="0"/>
        <w:rPr>
          <w:rFonts w:hint="eastAsia"/>
          <w:color w:val="auto"/>
          <w:highlight w:val="none"/>
        </w:rPr>
      </w:pPr>
    </w:p>
    <w:p>
      <w:pPr>
        <w:pStyle w:val="15"/>
        <w:ind w:firstLine="0" w:firstLineChars="0"/>
        <w:rPr>
          <w:rFonts w:hint="eastAsia"/>
          <w:color w:val="auto"/>
          <w:highlight w:val="none"/>
        </w:rPr>
      </w:pPr>
    </w:p>
    <w:p>
      <w:pPr>
        <w:pStyle w:val="15"/>
        <w:ind w:firstLine="0" w:firstLineChars="0"/>
        <w:rPr>
          <w:rFonts w:hint="eastAsia"/>
          <w:color w:val="auto"/>
          <w:highlight w:val="none"/>
        </w:rPr>
      </w:pPr>
    </w:p>
    <w:p>
      <w:pPr>
        <w:pStyle w:val="15"/>
        <w:ind w:firstLine="0" w:firstLineChars="0"/>
        <w:rPr>
          <w:rFonts w:hint="eastAsia"/>
          <w:color w:val="auto"/>
          <w:highlight w:val="none"/>
        </w:rPr>
      </w:pPr>
    </w:p>
    <w:p>
      <w:pPr>
        <w:pStyle w:val="15"/>
        <w:ind w:firstLine="0" w:firstLineChars="0"/>
        <w:rPr>
          <w:rFonts w:hint="eastAsia"/>
          <w:color w:val="auto"/>
          <w:highlight w:val="none"/>
        </w:rPr>
      </w:pPr>
    </w:p>
    <w:p>
      <w:pPr>
        <w:pStyle w:val="15"/>
        <w:ind w:firstLine="0" w:firstLineChars="0"/>
        <w:rPr>
          <w:rFonts w:hint="eastAsia"/>
          <w:color w:val="auto"/>
          <w:highlight w:val="none"/>
        </w:rPr>
      </w:pPr>
    </w:p>
    <w:p>
      <w:pPr>
        <w:pStyle w:val="15"/>
        <w:ind w:firstLine="0" w:firstLineChars="0"/>
        <w:rPr>
          <w:rFonts w:hint="eastAsia"/>
          <w:color w:val="auto"/>
          <w:highlight w:val="none"/>
        </w:rPr>
      </w:pPr>
    </w:p>
    <w:p>
      <w:pPr>
        <w:pStyle w:val="13"/>
        <w:spacing w:line="40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附件</w:t>
      </w:r>
    </w:p>
    <w:p>
      <w:pPr>
        <w:pStyle w:val="13"/>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协议书附件：</w:t>
      </w:r>
    </w:p>
    <w:p>
      <w:pPr>
        <w:pStyle w:val="13"/>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附件1：承包人承揽工程项目一览表</w:t>
      </w:r>
    </w:p>
    <w:p>
      <w:pPr>
        <w:pStyle w:val="13"/>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专用合同条款附件：</w:t>
      </w:r>
    </w:p>
    <w:p>
      <w:pPr>
        <w:pStyle w:val="13"/>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附件2：发包人供应材料设备一览表</w:t>
      </w:r>
    </w:p>
    <w:p>
      <w:pPr>
        <w:pStyle w:val="13"/>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附件3：工程质量保修书</w:t>
      </w:r>
    </w:p>
    <w:p>
      <w:pPr>
        <w:pStyle w:val="13"/>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附件4：主要建设工程文件目录</w:t>
      </w:r>
    </w:p>
    <w:p>
      <w:pPr>
        <w:pStyle w:val="13"/>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附件5：承包人用于本工程施工的机械设备表</w:t>
      </w:r>
    </w:p>
    <w:p>
      <w:pPr>
        <w:pStyle w:val="13"/>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附件6：承包人主要施工管理人员表</w:t>
      </w:r>
    </w:p>
    <w:p>
      <w:pPr>
        <w:pStyle w:val="13"/>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附件7：分包人主要施工管理人员表</w:t>
      </w:r>
    </w:p>
    <w:p>
      <w:pPr>
        <w:pStyle w:val="13"/>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附件8：履约担保格式</w:t>
      </w:r>
    </w:p>
    <w:p>
      <w:pPr>
        <w:pStyle w:val="13"/>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附件9：预付款担保格式</w:t>
      </w:r>
    </w:p>
    <w:p>
      <w:pPr>
        <w:pStyle w:val="13"/>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附件10：支付担保格式</w:t>
      </w:r>
    </w:p>
    <w:p>
      <w:pPr>
        <w:pStyle w:val="13"/>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附件11：暂估价一览表</w:t>
      </w:r>
    </w:p>
    <w:p>
      <w:pPr>
        <w:pStyle w:val="13"/>
        <w:spacing w:line="440" w:lineRule="exact"/>
        <w:jc w:val="left"/>
        <w:rPr>
          <w:rFonts w:hint="eastAsia" w:ascii="宋体" w:hAnsi="宋体" w:cs="宋体"/>
          <w:color w:val="auto"/>
          <w:sz w:val="30"/>
          <w:szCs w:val="30"/>
          <w:highlight w:val="none"/>
        </w:rPr>
      </w:pPr>
    </w:p>
    <w:p>
      <w:pPr>
        <w:pStyle w:val="13"/>
        <w:spacing w:line="440" w:lineRule="exact"/>
        <w:jc w:val="left"/>
        <w:rPr>
          <w:rFonts w:hint="eastAsia" w:ascii="宋体" w:hAnsi="宋体" w:cs="宋体"/>
          <w:color w:val="auto"/>
          <w:sz w:val="30"/>
          <w:szCs w:val="30"/>
          <w:highlight w:val="none"/>
        </w:rPr>
      </w:pPr>
    </w:p>
    <w:p>
      <w:pPr>
        <w:pStyle w:val="13"/>
        <w:spacing w:line="440" w:lineRule="exact"/>
        <w:jc w:val="left"/>
        <w:rPr>
          <w:rFonts w:hint="eastAsia" w:ascii="宋体" w:hAnsi="宋体" w:cs="宋体"/>
          <w:color w:val="auto"/>
          <w:sz w:val="30"/>
          <w:szCs w:val="30"/>
          <w:highlight w:val="none"/>
        </w:rPr>
      </w:pPr>
    </w:p>
    <w:p>
      <w:pPr>
        <w:pStyle w:val="13"/>
        <w:spacing w:line="440" w:lineRule="exact"/>
        <w:jc w:val="left"/>
        <w:rPr>
          <w:rFonts w:hint="eastAsia" w:ascii="宋体" w:hAnsi="宋体" w:cs="宋体"/>
          <w:color w:val="auto"/>
          <w:sz w:val="30"/>
          <w:szCs w:val="30"/>
          <w:highlight w:val="none"/>
        </w:rPr>
        <w:sectPr>
          <w:pgSz w:w="11907" w:h="16840"/>
          <w:pgMar w:top="850" w:right="1020" w:bottom="850" w:left="1020" w:header="851" w:footer="851" w:gutter="0"/>
          <w:cols w:space="720" w:num="1"/>
        </w:sectPr>
      </w:pPr>
    </w:p>
    <w:p>
      <w:pPr>
        <w:pStyle w:val="13"/>
        <w:spacing w:line="440" w:lineRule="exact"/>
        <w:jc w:val="left"/>
        <w:rPr>
          <w:rFonts w:hint="eastAsia" w:ascii="宋体" w:hAnsi="宋体" w:cs="宋体"/>
          <w:color w:val="auto"/>
          <w:sz w:val="30"/>
          <w:szCs w:val="30"/>
          <w:highlight w:val="none"/>
        </w:rPr>
      </w:pPr>
    </w:p>
    <w:p>
      <w:pPr>
        <w:pStyle w:val="13"/>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附件1：</w:t>
      </w:r>
    </w:p>
    <w:p>
      <w:pPr>
        <w:pStyle w:val="13"/>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承包人承揽工程项目一览表</w:t>
      </w:r>
    </w:p>
    <w:tbl>
      <w:tblPr>
        <w:tblStyle w:val="7"/>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126"/>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单位工程名称</w:t>
            </w:r>
          </w:p>
        </w:tc>
        <w:tc>
          <w:tcPr>
            <w:tcW w:w="1843"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建设规模</w:t>
            </w:r>
          </w:p>
        </w:tc>
        <w:tc>
          <w:tcPr>
            <w:tcW w:w="1417"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建筑面积(平方米)</w:t>
            </w:r>
          </w:p>
        </w:tc>
        <w:tc>
          <w:tcPr>
            <w:tcW w:w="2126"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结构形式</w:t>
            </w:r>
          </w:p>
        </w:tc>
        <w:tc>
          <w:tcPr>
            <w:tcW w:w="850"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层数</w:t>
            </w:r>
          </w:p>
        </w:tc>
        <w:tc>
          <w:tcPr>
            <w:tcW w:w="1560"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生产能力</w:t>
            </w:r>
          </w:p>
        </w:tc>
        <w:tc>
          <w:tcPr>
            <w:tcW w:w="2126"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设备安装内容</w:t>
            </w:r>
          </w:p>
        </w:tc>
        <w:tc>
          <w:tcPr>
            <w:tcW w:w="1417"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合同价格（元）</w:t>
            </w:r>
          </w:p>
        </w:tc>
        <w:tc>
          <w:tcPr>
            <w:tcW w:w="851"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开工日期</w:t>
            </w:r>
          </w:p>
        </w:tc>
        <w:tc>
          <w:tcPr>
            <w:tcW w:w="850"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1277" w:type="dxa"/>
            <w:tcBorders>
              <w:top w:val="doub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843" w:type="dxa"/>
            <w:tcBorders>
              <w:top w:val="doub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tcBorders>
              <w:top w:val="doub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2126" w:type="dxa"/>
            <w:tcBorders>
              <w:top w:val="doub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0" w:type="dxa"/>
            <w:tcBorders>
              <w:top w:val="doub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560" w:type="dxa"/>
            <w:tcBorders>
              <w:top w:val="doub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2126" w:type="dxa"/>
            <w:tcBorders>
              <w:top w:val="doub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tcBorders>
              <w:top w:val="doub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tcBorders>
              <w:top w:val="doub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0" w:type="dxa"/>
            <w:tcBorders>
              <w:top w:val="doub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843"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2126"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0"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560"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2126"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0"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843"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2126"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0"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560"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2126"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0"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843"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2126"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56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2126"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843"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2126"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0"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560"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2126"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0"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843"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2126"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56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2126"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843"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2126"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0"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560"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2126"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0"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843"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2126"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0"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560"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2126"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0"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843"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2126"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56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2126"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843"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2126"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0"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560"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2126"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0"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843"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2126"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56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2126"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bl>
    <w:p>
      <w:pPr>
        <w:pStyle w:val="13"/>
        <w:spacing w:line="440" w:lineRule="exact"/>
        <w:rPr>
          <w:rFonts w:hint="eastAsia" w:ascii="宋体" w:hAnsi="宋体" w:cs="宋体"/>
          <w:color w:val="auto"/>
          <w:szCs w:val="21"/>
          <w:highlight w:val="none"/>
        </w:rPr>
        <w:sectPr>
          <w:pgSz w:w="16840" w:h="11907" w:orient="landscape"/>
          <w:pgMar w:top="1134" w:right="1418" w:bottom="1134" w:left="1418" w:header="851" w:footer="851" w:gutter="0"/>
          <w:cols w:space="720" w:num="1"/>
        </w:sectPr>
      </w:pPr>
      <w:bookmarkStart w:id="734" w:name="_Toc9811_WPSOffice_Level1"/>
    </w:p>
    <w:p>
      <w:pPr>
        <w:pStyle w:val="13"/>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附件2：</w:t>
      </w:r>
      <w:bookmarkEnd w:id="734"/>
    </w:p>
    <w:p>
      <w:pPr>
        <w:pStyle w:val="13"/>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发包人供应材料设备一览表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402"/>
        <w:gridCol w:w="1099"/>
        <w:gridCol w:w="1134"/>
        <w:gridCol w:w="620"/>
        <w:gridCol w:w="690"/>
        <w:gridCol w:w="1044"/>
        <w:gridCol w:w="719"/>
        <w:gridCol w:w="716"/>
        <w:gridCol w:w="1487"/>
        <w:gridCol w:w="7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02"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099"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 xml:space="preserve">  材料、</w:t>
            </w:r>
          </w:p>
          <w:p>
            <w:pPr>
              <w:pStyle w:val="16"/>
              <w:keepNext/>
              <w:spacing w:after="0" w:line="440" w:lineRule="exact"/>
              <w:ind w:left="0" w:leftChars="0" w:right="0" w:rightChars="0"/>
              <w:jc w:val="both"/>
              <w:rPr>
                <w:rFonts w:hint="eastAsia" w:ascii="宋体" w:hAnsi="宋体" w:cs="宋体"/>
                <w:color w:val="auto"/>
                <w:szCs w:val="21"/>
                <w:highlight w:val="none"/>
              </w:rPr>
            </w:pPr>
            <w:r>
              <w:rPr>
                <w:rFonts w:hint="eastAsia" w:ascii="宋体" w:hAnsi="宋体" w:cs="宋体"/>
                <w:color w:val="auto"/>
                <w:szCs w:val="21"/>
                <w:highlight w:val="none"/>
              </w:rPr>
              <w:t>设备品种</w:t>
            </w:r>
          </w:p>
        </w:tc>
        <w:tc>
          <w:tcPr>
            <w:tcW w:w="1134"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规格型号</w:t>
            </w:r>
          </w:p>
        </w:tc>
        <w:tc>
          <w:tcPr>
            <w:tcW w:w="620"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690"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044"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单价（元）</w:t>
            </w:r>
          </w:p>
        </w:tc>
        <w:tc>
          <w:tcPr>
            <w:tcW w:w="719"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质量等级</w:t>
            </w:r>
          </w:p>
        </w:tc>
        <w:tc>
          <w:tcPr>
            <w:tcW w:w="716"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供应时间</w:t>
            </w:r>
          </w:p>
        </w:tc>
        <w:tc>
          <w:tcPr>
            <w:tcW w:w="1487"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送达地点</w:t>
            </w:r>
          </w:p>
        </w:tc>
        <w:tc>
          <w:tcPr>
            <w:tcW w:w="783"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tcBorders>
              <w:top w:val="doub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099" w:type="dxa"/>
            <w:tcBorders>
              <w:top w:val="doub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134" w:type="dxa"/>
            <w:tcBorders>
              <w:top w:val="doub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620" w:type="dxa"/>
            <w:tcBorders>
              <w:top w:val="doub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690" w:type="dxa"/>
            <w:tcBorders>
              <w:top w:val="doub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044" w:type="dxa"/>
            <w:tcBorders>
              <w:top w:val="doub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719" w:type="dxa"/>
            <w:tcBorders>
              <w:top w:val="doub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716" w:type="dxa"/>
            <w:tcBorders>
              <w:top w:val="doub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87" w:type="dxa"/>
            <w:tcBorders>
              <w:top w:val="doub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783" w:type="dxa"/>
            <w:tcBorders>
              <w:top w:val="doub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099"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134"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620"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690"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044"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719"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716"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87"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783"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099"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13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62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69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04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719"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716"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87"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783"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099"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13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62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69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04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719"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716"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87"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783"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099"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13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62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69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04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719"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716"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87"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783"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099"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13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62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69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04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719"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716"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87"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783"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099"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13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62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69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04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719"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716"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87"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783"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099"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13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62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69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04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719"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716"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87"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783"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pPr>
              <w:pStyle w:val="13"/>
              <w:jc w:val="center"/>
              <w:rPr>
                <w:rFonts w:hint="eastAsia" w:ascii="宋体" w:hAnsi="宋体" w:cs="宋体"/>
                <w:color w:val="auto"/>
                <w:szCs w:val="21"/>
                <w:highlight w:val="none"/>
              </w:rPr>
            </w:pPr>
          </w:p>
        </w:tc>
        <w:tc>
          <w:tcPr>
            <w:tcW w:w="1099" w:type="dxa"/>
            <w:noWrap w:val="0"/>
            <w:vAlign w:val="center"/>
          </w:tcPr>
          <w:p>
            <w:pPr>
              <w:pStyle w:val="13"/>
              <w:jc w:val="center"/>
              <w:rPr>
                <w:rFonts w:hint="eastAsia" w:ascii="宋体" w:hAnsi="宋体" w:cs="宋体"/>
                <w:color w:val="auto"/>
                <w:szCs w:val="21"/>
                <w:highlight w:val="none"/>
              </w:rPr>
            </w:pPr>
          </w:p>
        </w:tc>
        <w:tc>
          <w:tcPr>
            <w:tcW w:w="1134" w:type="dxa"/>
            <w:noWrap w:val="0"/>
            <w:vAlign w:val="center"/>
          </w:tcPr>
          <w:p>
            <w:pPr>
              <w:pStyle w:val="13"/>
              <w:jc w:val="center"/>
              <w:rPr>
                <w:rFonts w:hint="eastAsia" w:ascii="宋体" w:hAnsi="宋体" w:cs="宋体"/>
                <w:color w:val="auto"/>
                <w:szCs w:val="21"/>
                <w:highlight w:val="none"/>
              </w:rPr>
            </w:pPr>
          </w:p>
        </w:tc>
        <w:tc>
          <w:tcPr>
            <w:tcW w:w="620" w:type="dxa"/>
            <w:noWrap w:val="0"/>
            <w:vAlign w:val="center"/>
          </w:tcPr>
          <w:p>
            <w:pPr>
              <w:pStyle w:val="13"/>
              <w:jc w:val="center"/>
              <w:rPr>
                <w:rFonts w:hint="eastAsia" w:ascii="宋体" w:hAnsi="宋体" w:cs="宋体"/>
                <w:color w:val="auto"/>
                <w:szCs w:val="21"/>
                <w:highlight w:val="none"/>
              </w:rPr>
            </w:pPr>
          </w:p>
        </w:tc>
        <w:tc>
          <w:tcPr>
            <w:tcW w:w="690" w:type="dxa"/>
            <w:noWrap w:val="0"/>
            <w:vAlign w:val="center"/>
          </w:tcPr>
          <w:p>
            <w:pPr>
              <w:pStyle w:val="13"/>
              <w:jc w:val="center"/>
              <w:rPr>
                <w:rFonts w:hint="eastAsia" w:ascii="宋体" w:hAnsi="宋体" w:cs="宋体"/>
                <w:color w:val="auto"/>
                <w:szCs w:val="21"/>
                <w:highlight w:val="none"/>
              </w:rPr>
            </w:pPr>
          </w:p>
        </w:tc>
        <w:tc>
          <w:tcPr>
            <w:tcW w:w="1044" w:type="dxa"/>
            <w:noWrap w:val="0"/>
            <w:vAlign w:val="center"/>
          </w:tcPr>
          <w:p>
            <w:pPr>
              <w:pStyle w:val="13"/>
              <w:jc w:val="center"/>
              <w:rPr>
                <w:rFonts w:hint="eastAsia" w:ascii="宋体" w:hAnsi="宋体" w:cs="宋体"/>
                <w:color w:val="auto"/>
                <w:szCs w:val="21"/>
                <w:highlight w:val="none"/>
              </w:rPr>
            </w:pPr>
          </w:p>
        </w:tc>
        <w:tc>
          <w:tcPr>
            <w:tcW w:w="719" w:type="dxa"/>
            <w:noWrap w:val="0"/>
            <w:vAlign w:val="center"/>
          </w:tcPr>
          <w:p>
            <w:pPr>
              <w:pStyle w:val="13"/>
              <w:jc w:val="center"/>
              <w:rPr>
                <w:rFonts w:hint="eastAsia" w:ascii="宋体" w:hAnsi="宋体" w:cs="宋体"/>
                <w:color w:val="auto"/>
                <w:szCs w:val="21"/>
                <w:highlight w:val="none"/>
              </w:rPr>
            </w:pPr>
          </w:p>
        </w:tc>
        <w:tc>
          <w:tcPr>
            <w:tcW w:w="716" w:type="dxa"/>
            <w:noWrap w:val="0"/>
            <w:vAlign w:val="center"/>
          </w:tcPr>
          <w:p>
            <w:pPr>
              <w:pStyle w:val="13"/>
              <w:jc w:val="center"/>
              <w:rPr>
                <w:rFonts w:hint="eastAsia" w:ascii="宋体" w:hAnsi="宋体" w:cs="宋体"/>
                <w:color w:val="auto"/>
                <w:szCs w:val="21"/>
                <w:highlight w:val="none"/>
              </w:rPr>
            </w:pPr>
          </w:p>
        </w:tc>
        <w:tc>
          <w:tcPr>
            <w:tcW w:w="1487" w:type="dxa"/>
            <w:noWrap w:val="0"/>
            <w:vAlign w:val="center"/>
          </w:tcPr>
          <w:p>
            <w:pPr>
              <w:pStyle w:val="13"/>
              <w:jc w:val="center"/>
              <w:rPr>
                <w:rFonts w:hint="eastAsia" w:ascii="宋体" w:hAnsi="宋体" w:cs="宋体"/>
                <w:color w:val="auto"/>
                <w:szCs w:val="21"/>
                <w:highlight w:val="none"/>
              </w:rPr>
            </w:pPr>
          </w:p>
        </w:tc>
        <w:tc>
          <w:tcPr>
            <w:tcW w:w="783" w:type="dxa"/>
            <w:noWrap w:val="0"/>
            <w:vAlign w:val="center"/>
          </w:tcPr>
          <w:p>
            <w:pPr>
              <w:pStyle w:val="13"/>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099"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13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62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69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04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719"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716"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87"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783"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pPr>
              <w:pStyle w:val="13"/>
              <w:jc w:val="center"/>
              <w:rPr>
                <w:rFonts w:hint="eastAsia" w:ascii="宋体" w:hAnsi="宋体" w:cs="宋体"/>
                <w:color w:val="auto"/>
                <w:szCs w:val="21"/>
                <w:highlight w:val="none"/>
              </w:rPr>
            </w:pPr>
          </w:p>
        </w:tc>
        <w:tc>
          <w:tcPr>
            <w:tcW w:w="1099" w:type="dxa"/>
            <w:noWrap w:val="0"/>
            <w:vAlign w:val="center"/>
          </w:tcPr>
          <w:p>
            <w:pPr>
              <w:pStyle w:val="13"/>
              <w:jc w:val="center"/>
              <w:rPr>
                <w:rFonts w:hint="eastAsia" w:ascii="宋体" w:hAnsi="宋体" w:cs="宋体"/>
                <w:color w:val="auto"/>
                <w:szCs w:val="21"/>
                <w:highlight w:val="none"/>
              </w:rPr>
            </w:pPr>
          </w:p>
        </w:tc>
        <w:tc>
          <w:tcPr>
            <w:tcW w:w="1134" w:type="dxa"/>
            <w:noWrap w:val="0"/>
            <w:vAlign w:val="center"/>
          </w:tcPr>
          <w:p>
            <w:pPr>
              <w:pStyle w:val="13"/>
              <w:jc w:val="center"/>
              <w:rPr>
                <w:rFonts w:hint="eastAsia" w:ascii="宋体" w:hAnsi="宋体" w:cs="宋体"/>
                <w:color w:val="auto"/>
                <w:szCs w:val="21"/>
                <w:highlight w:val="none"/>
              </w:rPr>
            </w:pPr>
          </w:p>
        </w:tc>
        <w:tc>
          <w:tcPr>
            <w:tcW w:w="620" w:type="dxa"/>
            <w:noWrap w:val="0"/>
            <w:vAlign w:val="center"/>
          </w:tcPr>
          <w:p>
            <w:pPr>
              <w:pStyle w:val="13"/>
              <w:jc w:val="center"/>
              <w:rPr>
                <w:rFonts w:hint="eastAsia" w:ascii="宋体" w:hAnsi="宋体" w:cs="宋体"/>
                <w:color w:val="auto"/>
                <w:szCs w:val="21"/>
                <w:highlight w:val="none"/>
              </w:rPr>
            </w:pPr>
          </w:p>
        </w:tc>
        <w:tc>
          <w:tcPr>
            <w:tcW w:w="690" w:type="dxa"/>
            <w:noWrap w:val="0"/>
            <w:vAlign w:val="center"/>
          </w:tcPr>
          <w:p>
            <w:pPr>
              <w:pStyle w:val="13"/>
              <w:jc w:val="center"/>
              <w:rPr>
                <w:rFonts w:hint="eastAsia" w:ascii="宋体" w:hAnsi="宋体" w:cs="宋体"/>
                <w:color w:val="auto"/>
                <w:szCs w:val="21"/>
                <w:highlight w:val="none"/>
              </w:rPr>
            </w:pPr>
          </w:p>
        </w:tc>
        <w:tc>
          <w:tcPr>
            <w:tcW w:w="1044" w:type="dxa"/>
            <w:noWrap w:val="0"/>
            <w:vAlign w:val="center"/>
          </w:tcPr>
          <w:p>
            <w:pPr>
              <w:pStyle w:val="13"/>
              <w:jc w:val="center"/>
              <w:rPr>
                <w:rFonts w:hint="eastAsia" w:ascii="宋体" w:hAnsi="宋体" w:cs="宋体"/>
                <w:color w:val="auto"/>
                <w:szCs w:val="21"/>
                <w:highlight w:val="none"/>
              </w:rPr>
            </w:pPr>
          </w:p>
        </w:tc>
        <w:tc>
          <w:tcPr>
            <w:tcW w:w="719" w:type="dxa"/>
            <w:noWrap w:val="0"/>
            <w:vAlign w:val="center"/>
          </w:tcPr>
          <w:p>
            <w:pPr>
              <w:pStyle w:val="13"/>
              <w:jc w:val="center"/>
              <w:rPr>
                <w:rFonts w:hint="eastAsia" w:ascii="宋体" w:hAnsi="宋体" w:cs="宋体"/>
                <w:color w:val="auto"/>
                <w:szCs w:val="21"/>
                <w:highlight w:val="none"/>
              </w:rPr>
            </w:pPr>
          </w:p>
        </w:tc>
        <w:tc>
          <w:tcPr>
            <w:tcW w:w="716" w:type="dxa"/>
            <w:noWrap w:val="0"/>
            <w:vAlign w:val="center"/>
          </w:tcPr>
          <w:p>
            <w:pPr>
              <w:pStyle w:val="13"/>
              <w:jc w:val="center"/>
              <w:rPr>
                <w:rFonts w:hint="eastAsia" w:ascii="宋体" w:hAnsi="宋体" w:cs="宋体"/>
                <w:color w:val="auto"/>
                <w:szCs w:val="21"/>
                <w:highlight w:val="none"/>
              </w:rPr>
            </w:pPr>
          </w:p>
        </w:tc>
        <w:tc>
          <w:tcPr>
            <w:tcW w:w="1487" w:type="dxa"/>
            <w:noWrap w:val="0"/>
            <w:vAlign w:val="center"/>
          </w:tcPr>
          <w:p>
            <w:pPr>
              <w:pStyle w:val="13"/>
              <w:jc w:val="center"/>
              <w:rPr>
                <w:rFonts w:hint="eastAsia" w:ascii="宋体" w:hAnsi="宋体" w:cs="宋体"/>
                <w:color w:val="auto"/>
                <w:szCs w:val="21"/>
                <w:highlight w:val="none"/>
              </w:rPr>
            </w:pPr>
          </w:p>
        </w:tc>
        <w:tc>
          <w:tcPr>
            <w:tcW w:w="783" w:type="dxa"/>
            <w:noWrap w:val="0"/>
            <w:vAlign w:val="center"/>
          </w:tcPr>
          <w:p>
            <w:pPr>
              <w:pStyle w:val="13"/>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pPr>
              <w:pStyle w:val="13"/>
              <w:jc w:val="center"/>
              <w:rPr>
                <w:rFonts w:hint="eastAsia" w:ascii="宋体" w:hAnsi="宋体" w:cs="宋体"/>
                <w:color w:val="auto"/>
                <w:szCs w:val="21"/>
                <w:highlight w:val="none"/>
              </w:rPr>
            </w:pPr>
          </w:p>
        </w:tc>
        <w:tc>
          <w:tcPr>
            <w:tcW w:w="1099" w:type="dxa"/>
            <w:noWrap w:val="0"/>
            <w:vAlign w:val="center"/>
          </w:tcPr>
          <w:p>
            <w:pPr>
              <w:pStyle w:val="13"/>
              <w:jc w:val="center"/>
              <w:rPr>
                <w:rFonts w:hint="eastAsia" w:ascii="宋体" w:hAnsi="宋体" w:cs="宋体"/>
                <w:color w:val="auto"/>
                <w:szCs w:val="21"/>
                <w:highlight w:val="none"/>
              </w:rPr>
            </w:pPr>
          </w:p>
        </w:tc>
        <w:tc>
          <w:tcPr>
            <w:tcW w:w="1134" w:type="dxa"/>
            <w:noWrap w:val="0"/>
            <w:vAlign w:val="center"/>
          </w:tcPr>
          <w:p>
            <w:pPr>
              <w:pStyle w:val="13"/>
              <w:jc w:val="center"/>
              <w:rPr>
                <w:rFonts w:hint="eastAsia" w:ascii="宋体" w:hAnsi="宋体" w:cs="宋体"/>
                <w:color w:val="auto"/>
                <w:szCs w:val="21"/>
                <w:highlight w:val="none"/>
              </w:rPr>
            </w:pPr>
          </w:p>
        </w:tc>
        <w:tc>
          <w:tcPr>
            <w:tcW w:w="620" w:type="dxa"/>
            <w:noWrap w:val="0"/>
            <w:vAlign w:val="center"/>
          </w:tcPr>
          <w:p>
            <w:pPr>
              <w:pStyle w:val="13"/>
              <w:jc w:val="center"/>
              <w:rPr>
                <w:rFonts w:hint="eastAsia" w:ascii="宋体" w:hAnsi="宋体" w:cs="宋体"/>
                <w:color w:val="auto"/>
                <w:szCs w:val="21"/>
                <w:highlight w:val="none"/>
              </w:rPr>
            </w:pPr>
          </w:p>
        </w:tc>
        <w:tc>
          <w:tcPr>
            <w:tcW w:w="690" w:type="dxa"/>
            <w:noWrap w:val="0"/>
            <w:vAlign w:val="center"/>
          </w:tcPr>
          <w:p>
            <w:pPr>
              <w:pStyle w:val="13"/>
              <w:jc w:val="center"/>
              <w:rPr>
                <w:rFonts w:hint="eastAsia" w:ascii="宋体" w:hAnsi="宋体" w:cs="宋体"/>
                <w:color w:val="auto"/>
                <w:szCs w:val="21"/>
                <w:highlight w:val="none"/>
              </w:rPr>
            </w:pPr>
          </w:p>
        </w:tc>
        <w:tc>
          <w:tcPr>
            <w:tcW w:w="1044" w:type="dxa"/>
            <w:noWrap w:val="0"/>
            <w:vAlign w:val="center"/>
          </w:tcPr>
          <w:p>
            <w:pPr>
              <w:pStyle w:val="13"/>
              <w:jc w:val="center"/>
              <w:rPr>
                <w:rFonts w:hint="eastAsia" w:ascii="宋体" w:hAnsi="宋体" w:cs="宋体"/>
                <w:color w:val="auto"/>
                <w:szCs w:val="21"/>
                <w:highlight w:val="none"/>
              </w:rPr>
            </w:pPr>
          </w:p>
        </w:tc>
        <w:tc>
          <w:tcPr>
            <w:tcW w:w="719" w:type="dxa"/>
            <w:noWrap w:val="0"/>
            <w:vAlign w:val="center"/>
          </w:tcPr>
          <w:p>
            <w:pPr>
              <w:pStyle w:val="13"/>
              <w:jc w:val="center"/>
              <w:rPr>
                <w:rFonts w:hint="eastAsia" w:ascii="宋体" w:hAnsi="宋体" w:cs="宋体"/>
                <w:color w:val="auto"/>
                <w:szCs w:val="21"/>
                <w:highlight w:val="none"/>
              </w:rPr>
            </w:pPr>
          </w:p>
        </w:tc>
        <w:tc>
          <w:tcPr>
            <w:tcW w:w="716" w:type="dxa"/>
            <w:noWrap w:val="0"/>
            <w:vAlign w:val="center"/>
          </w:tcPr>
          <w:p>
            <w:pPr>
              <w:pStyle w:val="13"/>
              <w:jc w:val="center"/>
              <w:rPr>
                <w:rFonts w:hint="eastAsia" w:ascii="宋体" w:hAnsi="宋体" w:cs="宋体"/>
                <w:color w:val="auto"/>
                <w:szCs w:val="21"/>
                <w:highlight w:val="none"/>
              </w:rPr>
            </w:pPr>
          </w:p>
        </w:tc>
        <w:tc>
          <w:tcPr>
            <w:tcW w:w="1487" w:type="dxa"/>
            <w:noWrap w:val="0"/>
            <w:vAlign w:val="center"/>
          </w:tcPr>
          <w:p>
            <w:pPr>
              <w:pStyle w:val="13"/>
              <w:jc w:val="center"/>
              <w:rPr>
                <w:rFonts w:hint="eastAsia" w:ascii="宋体" w:hAnsi="宋体" w:cs="宋体"/>
                <w:color w:val="auto"/>
                <w:szCs w:val="21"/>
                <w:highlight w:val="none"/>
              </w:rPr>
            </w:pPr>
          </w:p>
        </w:tc>
        <w:tc>
          <w:tcPr>
            <w:tcW w:w="783" w:type="dxa"/>
            <w:noWrap w:val="0"/>
            <w:vAlign w:val="center"/>
          </w:tcPr>
          <w:p>
            <w:pPr>
              <w:pStyle w:val="13"/>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pPr>
              <w:pStyle w:val="13"/>
              <w:jc w:val="center"/>
              <w:rPr>
                <w:rFonts w:hint="eastAsia" w:ascii="宋体" w:hAnsi="宋体" w:cs="宋体"/>
                <w:color w:val="auto"/>
                <w:szCs w:val="21"/>
                <w:highlight w:val="none"/>
              </w:rPr>
            </w:pPr>
          </w:p>
        </w:tc>
        <w:tc>
          <w:tcPr>
            <w:tcW w:w="1099" w:type="dxa"/>
            <w:noWrap w:val="0"/>
            <w:vAlign w:val="center"/>
          </w:tcPr>
          <w:p>
            <w:pPr>
              <w:pStyle w:val="13"/>
              <w:jc w:val="center"/>
              <w:rPr>
                <w:rFonts w:hint="eastAsia" w:ascii="宋体" w:hAnsi="宋体" w:cs="宋体"/>
                <w:color w:val="auto"/>
                <w:szCs w:val="21"/>
                <w:highlight w:val="none"/>
              </w:rPr>
            </w:pPr>
          </w:p>
        </w:tc>
        <w:tc>
          <w:tcPr>
            <w:tcW w:w="1134" w:type="dxa"/>
            <w:noWrap w:val="0"/>
            <w:vAlign w:val="center"/>
          </w:tcPr>
          <w:p>
            <w:pPr>
              <w:pStyle w:val="13"/>
              <w:jc w:val="center"/>
              <w:rPr>
                <w:rFonts w:hint="eastAsia" w:ascii="宋体" w:hAnsi="宋体" w:cs="宋体"/>
                <w:color w:val="auto"/>
                <w:szCs w:val="21"/>
                <w:highlight w:val="none"/>
              </w:rPr>
            </w:pPr>
          </w:p>
        </w:tc>
        <w:tc>
          <w:tcPr>
            <w:tcW w:w="620" w:type="dxa"/>
            <w:noWrap w:val="0"/>
            <w:vAlign w:val="center"/>
          </w:tcPr>
          <w:p>
            <w:pPr>
              <w:pStyle w:val="13"/>
              <w:jc w:val="center"/>
              <w:rPr>
                <w:rFonts w:hint="eastAsia" w:ascii="宋体" w:hAnsi="宋体" w:cs="宋体"/>
                <w:color w:val="auto"/>
                <w:szCs w:val="21"/>
                <w:highlight w:val="none"/>
              </w:rPr>
            </w:pPr>
          </w:p>
        </w:tc>
        <w:tc>
          <w:tcPr>
            <w:tcW w:w="690" w:type="dxa"/>
            <w:noWrap w:val="0"/>
            <w:vAlign w:val="center"/>
          </w:tcPr>
          <w:p>
            <w:pPr>
              <w:pStyle w:val="13"/>
              <w:jc w:val="center"/>
              <w:rPr>
                <w:rFonts w:hint="eastAsia" w:ascii="宋体" w:hAnsi="宋体" w:cs="宋体"/>
                <w:color w:val="auto"/>
                <w:szCs w:val="21"/>
                <w:highlight w:val="none"/>
              </w:rPr>
            </w:pPr>
          </w:p>
        </w:tc>
        <w:tc>
          <w:tcPr>
            <w:tcW w:w="1044" w:type="dxa"/>
            <w:noWrap w:val="0"/>
            <w:vAlign w:val="center"/>
          </w:tcPr>
          <w:p>
            <w:pPr>
              <w:pStyle w:val="13"/>
              <w:jc w:val="center"/>
              <w:rPr>
                <w:rFonts w:hint="eastAsia" w:ascii="宋体" w:hAnsi="宋体" w:cs="宋体"/>
                <w:color w:val="auto"/>
                <w:szCs w:val="21"/>
                <w:highlight w:val="none"/>
              </w:rPr>
            </w:pPr>
          </w:p>
        </w:tc>
        <w:tc>
          <w:tcPr>
            <w:tcW w:w="719" w:type="dxa"/>
            <w:noWrap w:val="0"/>
            <w:vAlign w:val="center"/>
          </w:tcPr>
          <w:p>
            <w:pPr>
              <w:pStyle w:val="13"/>
              <w:jc w:val="center"/>
              <w:rPr>
                <w:rFonts w:hint="eastAsia" w:ascii="宋体" w:hAnsi="宋体" w:cs="宋体"/>
                <w:color w:val="auto"/>
                <w:szCs w:val="21"/>
                <w:highlight w:val="none"/>
              </w:rPr>
            </w:pPr>
          </w:p>
        </w:tc>
        <w:tc>
          <w:tcPr>
            <w:tcW w:w="716" w:type="dxa"/>
            <w:noWrap w:val="0"/>
            <w:vAlign w:val="center"/>
          </w:tcPr>
          <w:p>
            <w:pPr>
              <w:pStyle w:val="13"/>
              <w:jc w:val="center"/>
              <w:rPr>
                <w:rFonts w:hint="eastAsia" w:ascii="宋体" w:hAnsi="宋体" w:cs="宋体"/>
                <w:color w:val="auto"/>
                <w:szCs w:val="21"/>
                <w:highlight w:val="none"/>
              </w:rPr>
            </w:pPr>
          </w:p>
        </w:tc>
        <w:tc>
          <w:tcPr>
            <w:tcW w:w="1487" w:type="dxa"/>
            <w:noWrap w:val="0"/>
            <w:vAlign w:val="center"/>
          </w:tcPr>
          <w:p>
            <w:pPr>
              <w:pStyle w:val="13"/>
              <w:jc w:val="center"/>
              <w:rPr>
                <w:rFonts w:hint="eastAsia" w:ascii="宋体" w:hAnsi="宋体" w:cs="宋体"/>
                <w:color w:val="auto"/>
                <w:szCs w:val="21"/>
                <w:highlight w:val="none"/>
              </w:rPr>
            </w:pPr>
          </w:p>
        </w:tc>
        <w:tc>
          <w:tcPr>
            <w:tcW w:w="783" w:type="dxa"/>
            <w:noWrap w:val="0"/>
            <w:vAlign w:val="center"/>
          </w:tcPr>
          <w:p>
            <w:pPr>
              <w:pStyle w:val="13"/>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pPr>
              <w:pStyle w:val="13"/>
              <w:jc w:val="center"/>
              <w:rPr>
                <w:rFonts w:hint="eastAsia" w:ascii="宋体" w:hAnsi="宋体" w:cs="宋体"/>
                <w:color w:val="auto"/>
                <w:szCs w:val="21"/>
                <w:highlight w:val="none"/>
              </w:rPr>
            </w:pPr>
          </w:p>
        </w:tc>
        <w:tc>
          <w:tcPr>
            <w:tcW w:w="1099" w:type="dxa"/>
            <w:noWrap w:val="0"/>
            <w:vAlign w:val="center"/>
          </w:tcPr>
          <w:p>
            <w:pPr>
              <w:pStyle w:val="13"/>
              <w:jc w:val="center"/>
              <w:rPr>
                <w:rFonts w:hint="eastAsia" w:ascii="宋体" w:hAnsi="宋体" w:cs="宋体"/>
                <w:color w:val="auto"/>
                <w:szCs w:val="21"/>
                <w:highlight w:val="none"/>
              </w:rPr>
            </w:pPr>
          </w:p>
        </w:tc>
        <w:tc>
          <w:tcPr>
            <w:tcW w:w="1134" w:type="dxa"/>
            <w:noWrap w:val="0"/>
            <w:vAlign w:val="center"/>
          </w:tcPr>
          <w:p>
            <w:pPr>
              <w:pStyle w:val="13"/>
              <w:jc w:val="center"/>
              <w:rPr>
                <w:rFonts w:hint="eastAsia" w:ascii="宋体" w:hAnsi="宋体" w:cs="宋体"/>
                <w:color w:val="auto"/>
                <w:szCs w:val="21"/>
                <w:highlight w:val="none"/>
              </w:rPr>
            </w:pPr>
          </w:p>
        </w:tc>
        <w:tc>
          <w:tcPr>
            <w:tcW w:w="620" w:type="dxa"/>
            <w:noWrap w:val="0"/>
            <w:vAlign w:val="center"/>
          </w:tcPr>
          <w:p>
            <w:pPr>
              <w:pStyle w:val="13"/>
              <w:jc w:val="center"/>
              <w:rPr>
                <w:rFonts w:hint="eastAsia" w:ascii="宋体" w:hAnsi="宋体" w:cs="宋体"/>
                <w:color w:val="auto"/>
                <w:szCs w:val="21"/>
                <w:highlight w:val="none"/>
              </w:rPr>
            </w:pPr>
          </w:p>
        </w:tc>
        <w:tc>
          <w:tcPr>
            <w:tcW w:w="690" w:type="dxa"/>
            <w:noWrap w:val="0"/>
            <w:vAlign w:val="center"/>
          </w:tcPr>
          <w:p>
            <w:pPr>
              <w:pStyle w:val="13"/>
              <w:jc w:val="center"/>
              <w:rPr>
                <w:rFonts w:hint="eastAsia" w:ascii="宋体" w:hAnsi="宋体" w:cs="宋体"/>
                <w:color w:val="auto"/>
                <w:szCs w:val="21"/>
                <w:highlight w:val="none"/>
              </w:rPr>
            </w:pPr>
          </w:p>
        </w:tc>
        <w:tc>
          <w:tcPr>
            <w:tcW w:w="1044" w:type="dxa"/>
            <w:noWrap w:val="0"/>
            <w:vAlign w:val="center"/>
          </w:tcPr>
          <w:p>
            <w:pPr>
              <w:pStyle w:val="13"/>
              <w:jc w:val="center"/>
              <w:rPr>
                <w:rFonts w:hint="eastAsia" w:ascii="宋体" w:hAnsi="宋体" w:cs="宋体"/>
                <w:color w:val="auto"/>
                <w:szCs w:val="21"/>
                <w:highlight w:val="none"/>
              </w:rPr>
            </w:pPr>
          </w:p>
        </w:tc>
        <w:tc>
          <w:tcPr>
            <w:tcW w:w="719" w:type="dxa"/>
            <w:noWrap w:val="0"/>
            <w:vAlign w:val="center"/>
          </w:tcPr>
          <w:p>
            <w:pPr>
              <w:pStyle w:val="13"/>
              <w:jc w:val="center"/>
              <w:rPr>
                <w:rFonts w:hint="eastAsia" w:ascii="宋体" w:hAnsi="宋体" w:cs="宋体"/>
                <w:color w:val="auto"/>
                <w:szCs w:val="21"/>
                <w:highlight w:val="none"/>
              </w:rPr>
            </w:pPr>
          </w:p>
        </w:tc>
        <w:tc>
          <w:tcPr>
            <w:tcW w:w="716" w:type="dxa"/>
            <w:noWrap w:val="0"/>
            <w:vAlign w:val="center"/>
          </w:tcPr>
          <w:p>
            <w:pPr>
              <w:pStyle w:val="13"/>
              <w:jc w:val="center"/>
              <w:rPr>
                <w:rFonts w:hint="eastAsia" w:ascii="宋体" w:hAnsi="宋体" w:cs="宋体"/>
                <w:color w:val="auto"/>
                <w:szCs w:val="21"/>
                <w:highlight w:val="none"/>
              </w:rPr>
            </w:pPr>
          </w:p>
        </w:tc>
        <w:tc>
          <w:tcPr>
            <w:tcW w:w="1487" w:type="dxa"/>
            <w:noWrap w:val="0"/>
            <w:vAlign w:val="center"/>
          </w:tcPr>
          <w:p>
            <w:pPr>
              <w:pStyle w:val="13"/>
              <w:jc w:val="center"/>
              <w:rPr>
                <w:rFonts w:hint="eastAsia" w:ascii="宋体" w:hAnsi="宋体" w:cs="宋体"/>
                <w:color w:val="auto"/>
                <w:szCs w:val="21"/>
                <w:highlight w:val="none"/>
              </w:rPr>
            </w:pPr>
          </w:p>
        </w:tc>
        <w:tc>
          <w:tcPr>
            <w:tcW w:w="783" w:type="dxa"/>
            <w:noWrap w:val="0"/>
            <w:vAlign w:val="center"/>
          </w:tcPr>
          <w:p>
            <w:pPr>
              <w:pStyle w:val="13"/>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pPr>
              <w:pStyle w:val="13"/>
              <w:jc w:val="center"/>
              <w:rPr>
                <w:rFonts w:hint="eastAsia" w:ascii="宋体" w:hAnsi="宋体" w:cs="宋体"/>
                <w:color w:val="auto"/>
                <w:szCs w:val="21"/>
                <w:highlight w:val="none"/>
              </w:rPr>
            </w:pPr>
          </w:p>
        </w:tc>
        <w:tc>
          <w:tcPr>
            <w:tcW w:w="1099" w:type="dxa"/>
            <w:noWrap w:val="0"/>
            <w:vAlign w:val="center"/>
          </w:tcPr>
          <w:p>
            <w:pPr>
              <w:pStyle w:val="13"/>
              <w:jc w:val="center"/>
              <w:rPr>
                <w:rFonts w:hint="eastAsia" w:ascii="宋体" w:hAnsi="宋体" w:cs="宋体"/>
                <w:color w:val="auto"/>
                <w:szCs w:val="21"/>
                <w:highlight w:val="none"/>
              </w:rPr>
            </w:pPr>
          </w:p>
        </w:tc>
        <w:tc>
          <w:tcPr>
            <w:tcW w:w="1134" w:type="dxa"/>
            <w:noWrap w:val="0"/>
            <w:vAlign w:val="center"/>
          </w:tcPr>
          <w:p>
            <w:pPr>
              <w:pStyle w:val="13"/>
              <w:jc w:val="center"/>
              <w:rPr>
                <w:rFonts w:hint="eastAsia" w:ascii="宋体" w:hAnsi="宋体" w:cs="宋体"/>
                <w:color w:val="auto"/>
                <w:szCs w:val="21"/>
                <w:highlight w:val="none"/>
              </w:rPr>
            </w:pPr>
          </w:p>
        </w:tc>
        <w:tc>
          <w:tcPr>
            <w:tcW w:w="620" w:type="dxa"/>
            <w:noWrap w:val="0"/>
            <w:vAlign w:val="center"/>
          </w:tcPr>
          <w:p>
            <w:pPr>
              <w:pStyle w:val="13"/>
              <w:jc w:val="center"/>
              <w:rPr>
                <w:rFonts w:hint="eastAsia" w:ascii="宋体" w:hAnsi="宋体" w:cs="宋体"/>
                <w:color w:val="auto"/>
                <w:szCs w:val="21"/>
                <w:highlight w:val="none"/>
              </w:rPr>
            </w:pPr>
          </w:p>
        </w:tc>
        <w:tc>
          <w:tcPr>
            <w:tcW w:w="690" w:type="dxa"/>
            <w:noWrap w:val="0"/>
            <w:vAlign w:val="center"/>
          </w:tcPr>
          <w:p>
            <w:pPr>
              <w:pStyle w:val="13"/>
              <w:jc w:val="center"/>
              <w:rPr>
                <w:rFonts w:hint="eastAsia" w:ascii="宋体" w:hAnsi="宋体" w:cs="宋体"/>
                <w:color w:val="auto"/>
                <w:szCs w:val="21"/>
                <w:highlight w:val="none"/>
              </w:rPr>
            </w:pPr>
          </w:p>
        </w:tc>
        <w:tc>
          <w:tcPr>
            <w:tcW w:w="1044" w:type="dxa"/>
            <w:noWrap w:val="0"/>
            <w:vAlign w:val="center"/>
          </w:tcPr>
          <w:p>
            <w:pPr>
              <w:pStyle w:val="13"/>
              <w:jc w:val="center"/>
              <w:rPr>
                <w:rFonts w:hint="eastAsia" w:ascii="宋体" w:hAnsi="宋体" w:cs="宋体"/>
                <w:color w:val="auto"/>
                <w:szCs w:val="21"/>
                <w:highlight w:val="none"/>
              </w:rPr>
            </w:pPr>
          </w:p>
        </w:tc>
        <w:tc>
          <w:tcPr>
            <w:tcW w:w="719" w:type="dxa"/>
            <w:noWrap w:val="0"/>
            <w:vAlign w:val="center"/>
          </w:tcPr>
          <w:p>
            <w:pPr>
              <w:pStyle w:val="13"/>
              <w:jc w:val="center"/>
              <w:rPr>
                <w:rFonts w:hint="eastAsia" w:ascii="宋体" w:hAnsi="宋体" w:cs="宋体"/>
                <w:color w:val="auto"/>
                <w:szCs w:val="21"/>
                <w:highlight w:val="none"/>
              </w:rPr>
            </w:pPr>
          </w:p>
        </w:tc>
        <w:tc>
          <w:tcPr>
            <w:tcW w:w="716" w:type="dxa"/>
            <w:noWrap w:val="0"/>
            <w:vAlign w:val="center"/>
          </w:tcPr>
          <w:p>
            <w:pPr>
              <w:pStyle w:val="13"/>
              <w:jc w:val="center"/>
              <w:rPr>
                <w:rFonts w:hint="eastAsia" w:ascii="宋体" w:hAnsi="宋体" w:cs="宋体"/>
                <w:color w:val="auto"/>
                <w:szCs w:val="21"/>
                <w:highlight w:val="none"/>
              </w:rPr>
            </w:pPr>
          </w:p>
        </w:tc>
        <w:tc>
          <w:tcPr>
            <w:tcW w:w="1487" w:type="dxa"/>
            <w:noWrap w:val="0"/>
            <w:vAlign w:val="center"/>
          </w:tcPr>
          <w:p>
            <w:pPr>
              <w:pStyle w:val="13"/>
              <w:jc w:val="center"/>
              <w:rPr>
                <w:rFonts w:hint="eastAsia" w:ascii="宋体" w:hAnsi="宋体" w:cs="宋体"/>
                <w:color w:val="auto"/>
                <w:szCs w:val="21"/>
                <w:highlight w:val="none"/>
              </w:rPr>
            </w:pPr>
          </w:p>
        </w:tc>
        <w:tc>
          <w:tcPr>
            <w:tcW w:w="783" w:type="dxa"/>
            <w:noWrap w:val="0"/>
            <w:vAlign w:val="center"/>
          </w:tcPr>
          <w:p>
            <w:pPr>
              <w:pStyle w:val="13"/>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pPr>
              <w:pStyle w:val="13"/>
              <w:jc w:val="center"/>
              <w:rPr>
                <w:rFonts w:hint="eastAsia" w:ascii="宋体" w:hAnsi="宋体" w:cs="宋体"/>
                <w:color w:val="auto"/>
                <w:szCs w:val="21"/>
                <w:highlight w:val="none"/>
              </w:rPr>
            </w:pPr>
          </w:p>
        </w:tc>
        <w:tc>
          <w:tcPr>
            <w:tcW w:w="1099" w:type="dxa"/>
            <w:noWrap w:val="0"/>
            <w:vAlign w:val="center"/>
          </w:tcPr>
          <w:p>
            <w:pPr>
              <w:pStyle w:val="13"/>
              <w:jc w:val="center"/>
              <w:rPr>
                <w:rFonts w:hint="eastAsia" w:ascii="宋体" w:hAnsi="宋体" w:cs="宋体"/>
                <w:color w:val="auto"/>
                <w:szCs w:val="21"/>
                <w:highlight w:val="none"/>
              </w:rPr>
            </w:pPr>
          </w:p>
        </w:tc>
        <w:tc>
          <w:tcPr>
            <w:tcW w:w="1134" w:type="dxa"/>
            <w:noWrap w:val="0"/>
            <w:vAlign w:val="center"/>
          </w:tcPr>
          <w:p>
            <w:pPr>
              <w:pStyle w:val="13"/>
              <w:jc w:val="center"/>
              <w:rPr>
                <w:rFonts w:hint="eastAsia" w:ascii="宋体" w:hAnsi="宋体" w:cs="宋体"/>
                <w:color w:val="auto"/>
                <w:szCs w:val="21"/>
                <w:highlight w:val="none"/>
              </w:rPr>
            </w:pPr>
          </w:p>
        </w:tc>
        <w:tc>
          <w:tcPr>
            <w:tcW w:w="620" w:type="dxa"/>
            <w:noWrap w:val="0"/>
            <w:vAlign w:val="center"/>
          </w:tcPr>
          <w:p>
            <w:pPr>
              <w:pStyle w:val="13"/>
              <w:jc w:val="center"/>
              <w:rPr>
                <w:rFonts w:hint="eastAsia" w:ascii="宋体" w:hAnsi="宋体" w:cs="宋体"/>
                <w:color w:val="auto"/>
                <w:szCs w:val="21"/>
                <w:highlight w:val="none"/>
              </w:rPr>
            </w:pPr>
          </w:p>
        </w:tc>
        <w:tc>
          <w:tcPr>
            <w:tcW w:w="690" w:type="dxa"/>
            <w:noWrap w:val="0"/>
            <w:vAlign w:val="center"/>
          </w:tcPr>
          <w:p>
            <w:pPr>
              <w:pStyle w:val="13"/>
              <w:jc w:val="center"/>
              <w:rPr>
                <w:rFonts w:hint="eastAsia" w:ascii="宋体" w:hAnsi="宋体" w:cs="宋体"/>
                <w:color w:val="auto"/>
                <w:szCs w:val="21"/>
                <w:highlight w:val="none"/>
              </w:rPr>
            </w:pPr>
          </w:p>
        </w:tc>
        <w:tc>
          <w:tcPr>
            <w:tcW w:w="1044" w:type="dxa"/>
            <w:noWrap w:val="0"/>
            <w:vAlign w:val="center"/>
          </w:tcPr>
          <w:p>
            <w:pPr>
              <w:pStyle w:val="13"/>
              <w:jc w:val="center"/>
              <w:rPr>
                <w:rFonts w:hint="eastAsia" w:ascii="宋体" w:hAnsi="宋体" w:cs="宋体"/>
                <w:color w:val="auto"/>
                <w:szCs w:val="21"/>
                <w:highlight w:val="none"/>
              </w:rPr>
            </w:pPr>
          </w:p>
        </w:tc>
        <w:tc>
          <w:tcPr>
            <w:tcW w:w="719" w:type="dxa"/>
            <w:noWrap w:val="0"/>
            <w:vAlign w:val="center"/>
          </w:tcPr>
          <w:p>
            <w:pPr>
              <w:pStyle w:val="13"/>
              <w:jc w:val="center"/>
              <w:rPr>
                <w:rFonts w:hint="eastAsia" w:ascii="宋体" w:hAnsi="宋体" w:cs="宋体"/>
                <w:color w:val="auto"/>
                <w:szCs w:val="21"/>
                <w:highlight w:val="none"/>
              </w:rPr>
            </w:pPr>
          </w:p>
        </w:tc>
        <w:tc>
          <w:tcPr>
            <w:tcW w:w="716" w:type="dxa"/>
            <w:noWrap w:val="0"/>
            <w:vAlign w:val="center"/>
          </w:tcPr>
          <w:p>
            <w:pPr>
              <w:pStyle w:val="13"/>
              <w:jc w:val="center"/>
              <w:rPr>
                <w:rFonts w:hint="eastAsia" w:ascii="宋体" w:hAnsi="宋体" w:cs="宋体"/>
                <w:color w:val="auto"/>
                <w:szCs w:val="21"/>
                <w:highlight w:val="none"/>
              </w:rPr>
            </w:pPr>
          </w:p>
        </w:tc>
        <w:tc>
          <w:tcPr>
            <w:tcW w:w="1487" w:type="dxa"/>
            <w:noWrap w:val="0"/>
            <w:vAlign w:val="center"/>
          </w:tcPr>
          <w:p>
            <w:pPr>
              <w:pStyle w:val="13"/>
              <w:jc w:val="center"/>
              <w:rPr>
                <w:rFonts w:hint="eastAsia" w:ascii="宋体" w:hAnsi="宋体" w:cs="宋体"/>
                <w:color w:val="auto"/>
                <w:szCs w:val="21"/>
                <w:highlight w:val="none"/>
              </w:rPr>
            </w:pPr>
          </w:p>
        </w:tc>
        <w:tc>
          <w:tcPr>
            <w:tcW w:w="783" w:type="dxa"/>
            <w:noWrap w:val="0"/>
            <w:vAlign w:val="center"/>
          </w:tcPr>
          <w:p>
            <w:pPr>
              <w:pStyle w:val="13"/>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pPr>
              <w:pStyle w:val="13"/>
              <w:jc w:val="center"/>
              <w:rPr>
                <w:rFonts w:hint="eastAsia" w:ascii="宋体" w:hAnsi="宋体" w:cs="宋体"/>
                <w:color w:val="auto"/>
                <w:szCs w:val="21"/>
                <w:highlight w:val="none"/>
              </w:rPr>
            </w:pPr>
          </w:p>
        </w:tc>
        <w:tc>
          <w:tcPr>
            <w:tcW w:w="1099" w:type="dxa"/>
            <w:noWrap w:val="0"/>
            <w:vAlign w:val="center"/>
          </w:tcPr>
          <w:p>
            <w:pPr>
              <w:pStyle w:val="13"/>
              <w:jc w:val="center"/>
              <w:rPr>
                <w:rFonts w:hint="eastAsia" w:ascii="宋体" w:hAnsi="宋体" w:cs="宋体"/>
                <w:color w:val="auto"/>
                <w:szCs w:val="21"/>
                <w:highlight w:val="none"/>
              </w:rPr>
            </w:pPr>
          </w:p>
        </w:tc>
        <w:tc>
          <w:tcPr>
            <w:tcW w:w="1134" w:type="dxa"/>
            <w:noWrap w:val="0"/>
            <w:vAlign w:val="center"/>
          </w:tcPr>
          <w:p>
            <w:pPr>
              <w:pStyle w:val="13"/>
              <w:jc w:val="center"/>
              <w:rPr>
                <w:rFonts w:hint="eastAsia" w:ascii="宋体" w:hAnsi="宋体" w:cs="宋体"/>
                <w:color w:val="auto"/>
                <w:szCs w:val="21"/>
                <w:highlight w:val="none"/>
              </w:rPr>
            </w:pPr>
          </w:p>
        </w:tc>
        <w:tc>
          <w:tcPr>
            <w:tcW w:w="620" w:type="dxa"/>
            <w:noWrap w:val="0"/>
            <w:vAlign w:val="center"/>
          </w:tcPr>
          <w:p>
            <w:pPr>
              <w:pStyle w:val="13"/>
              <w:jc w:val="center"/>
              <w:rPr>
                <w:rFonts w:hint="eastAsia" w:ascii="宋体" w:hAnsi="宋体" w:cs="宋体"/>
                <w:color w:val="auto"/>
                <w:szCs w:val="21"/>
                <w:highlight w:val="none"/>
              </w:rPr>
            </w:pPr>
          </w:p>
        </w:tc>
        <w:tc>
          <w:tcPr>
            <w:tcW w:w="690" w:type="dxa"/>
            <w:noWrap w:val="0"/>
            <w:vAlign w:val="center"/>
          </w:tcPr>
          <w:p>
            <w:pPr>
              <w:pStyle w:val="13"/>
              <w:jc w:val="center"/>
              <w:rPr>
                <w:rFonts w:hint="eastAsia" w:ascii="宋体" w:hAnsi="宋体" w:cs="宋体"/>
                <w:color w:val="auto"/>
                <w:szCs w:val="21"/>
                <w:highlight w:val="none"/>
              </w:rPr>
            </w:pPr>
          </w:p>
        </w:tc>
        <w:tc>
          <w:tcPr>
            <w:tcW w:w="1044" w:type="dxa"/>
            <w:noWrap w:val="0"/>
            <w:vAlign w:val="center"/>
          </w:tcPr>
          <w:p>
            <w:pPr>
              <w:pStyle w:val="13"/>
              <w:jc w:val="center"/>
              <w:rPr>
                <w:rFonts w:hint="eastAsia" w:ascii="宋体" w:hAnsi="宋体" w:cs="宋体"/>
                <w:color w:val="auto"/>
                <w:szCs w:val="21"/>
                <w:highlight w:val="none"/>
              </w:rPr>
            </w:pPr>
          </w:p>
        </w:tc>
        <w:tc>
          <w:tcPr>
            <w:tcW w:w="719" w:type="dxa"/>
            <w:noWrap w:val="0"/>
            <w:vAlign w:val="center"/>
          </w:tcPr>
          <w:p>
            <w:pPr>
              <w:pStyle w:val="13"/>
              <w:jc w:val="center"/>
              <w:rPr>
                <w:rFonts w:hint="eastAsia" w:ascii="宋体" w:hAnsi="宋体" w:cs="宋体"/>
                <w:color w:val="auto"/>
                <w:szCs w:val="21"/>
                <w:highlight w:val="none"/>
              </w:rPr>
            </w:pPr>
          </w:p>
        </w:tc>
        <w:tc>
          <w:tcPr>
            <w:tcW w:w="716" w:type="dxa"/>
            <w:noWrap w:val="0"/>
            <w:vAlign w:val="center"/>
          </w:tcPr>
          <w:p>
            <w:pPr>
              <w:pStyle w:val="13"/>
              <w:jc w:val="center"/>
              <w:rPr>
                <w:rFonts w:hint="eastAsia" w:ascii="宋体" w:hAnsi="宋体" w:cs="宋体"/>
                <w:color w:val="auto"/>
                <w:szCs w:val="21"/>
                <w:highlight w:val="none"/>
              </w:rPr>
            </w:pPr>
          </w:p>
        </w:tc>
        <w:tc>
          <w:tcPr>
            <w:tcW w:w="1487" w:type="dxa"/>
            <w:noWrap w:val="0"/>
            <w:vAlign w:val="center"/>
          </w:tcPr>
          <w:p>
            <w:pPr>
              <w:pStyle w:val="13"/>
              <w:jc w:val="center"/>
              <w:rPr>
                <w:rFonts w:hint="eastAsia" w:ascii="宋体" w:hAnsi="宋体" w:cs="宋体"/>
                <w:color w:val="auto"/>
                <w:szCs w:val="21"/>
                <w:highlight w:val="none"/>
              </w:rPr>
            </w:pPr>
          </w:p>
        </w:tc>
        <w:tc>
          <w:tcPr>
            <w:tcW w:w="783" w:type="dxa"/>
            <w:noWrap w:val="0"/>
            <w:vAlign w:val="center"/>
          </w:tcPr>
          <w:p>
            <w:pPr>
              <w:pStyle w:val="13"/>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pPr>
              <w:pStyle w:val="13"/>
              <w:jc w:val="center"/>
              <w:rPr>
                <w:rFonts w:hint="eastAsia" w:ascii="宋体" w:hAnsi="宋体" w:cs="宋体"/>
                <w:color w:val="auto"/>
                <w:szCs w:val="21"/>
                <w:highlight w:val="none"/>
              </w:rPr>
            </w:pPr>
          </w:p>
        </w:tc>
        <w:tc>
          <w:tcPr>
            <w:tcW w:w="1099" w:type="dxa"/>
            <w:noWrap w:val="0"/>
            <w:vAlign w:val="center"/>
          </w:tcPr>
          <w:p>
            <w:pPr>
              <w:pStyle w:val="13"/>
              <w:jc w:val="center"/>
              <w:rPr>
                <w:rFonts w:hint="eastAsia" w:ascii="宋体" w:hAnsi="宋体" w:cs="宋体"/>
                <w:color w:val="auto"/>
                <w:szCs w:val="21"/>
                <w:highlight w:val="none"/>
              </w:rPr>
            </w:pPr>
          </w:p>
        </w:tc>
        <w:tc>
          <w:tcPr>
            <w:tcW w:w="1134" w:type="dxa"/>
            <w:noWrap w:val="0"/>
            <w:vAlign w:val="center"/>
          </w:tcPr>
          <w:p>
            <w:pPr>
              <w:pStyle w:val="13"/>
              <w:jc w:val="center"/>
              <w:rPr>
                <w:rFonts w:hint="eastAsia" w:ascii="宋体" w:hAnsi="宋体" w:cs="宋体"/>
                <w:color w:val="auto"/>
                <w:szCs w:val="21"/>
                <w:highlight w:val="none"/>
              </w:rPr>
            </w:pPr>
          </w:p>
        </w:tc>
        <w:tc>
          <w:tcPr>
            <w:tcW w:w="620" w:type="dxa"/>
            <w:noWrap w:val="0"/>
            <w:vAlign w:val="center"/>
          </w:tcPr>
          <w:p>
            <w:pPr>
              <w:pStyle w:val="13"/>
              <w:jc w:val="center"/>
              <w:rPr>
                <w:rFonts w:hint="eastAsia" w:ascii="宋体" w:hAnsi="宋体" w:cs="宋体"/>
                <w:color w:val="auto"/>
                <w:szCs w:val="21"/>
                <w:highlight w:val="none"/>
              </w:rPr>
            </w:pPr>
          </w:p>
        </w:tc>
        <w:tc>
          <w:tcPr>
            <w:tcW w:w="690" w:type="dxa"/>
            <w:noWrap w:val="0"/>
            <w:vAlign w:val="center"/>
          </w:tcPr>
          <w:p>
            <w:pPr>
              <w:pStyle w:val="13"/>
              <w:jc w:val="center"/>
              <w:rPr>
                <w:rFonts w:hint="eastAsia" w:ascii="宋体" w:hAnsi="宋体" w:cs="宋体"/>
                <w:color w:val="auto"/>
                <w:szCs w:val="21"/>
                <w:highlight w:val="none"/>
              </w:rPr>
            </w:pPr>
          </w:p>
        </w:tc>
        <w:tc>
          <w:tcPr>
            <w:tcW w:w="1044" w:type="dxa"/>
            <w:noWrap w:val="0"/>
            <w:vAlign w:val="center"/>
          </w:tcPr>
          <w:p>
            <w:pPr>
              <w:pStyle w:val="13"/>
              <w:jc w:val="center"/>
              <w:rPr>
                <w:rFonts w:hint="eastAsia" w:ascii="宋体" w:hAnsi="宋体" w:cs="宋体"/>
                <w:color w:val="auto"/>
                <w:szCs w:val="21"/>
                <w:highlight w:val="none"/>
              </w:rPr>
            </w:pPr>
          </w:p>
        </w:tc>
        <w:tc>
          <w:tcPr>
            <w:tcW w:w="719" w:type="dxa"/>
            <w:noWrap w:val="0"/>
            <w:vAlign w:val="center"/>
          </w:tcPr>
          <w:p>
            <w:pPr>
              <w:pStyle w:val="13"/>
              <w:jc w:val="center"/>
              <w:rPr>
                <w:rFonts w:hint="eastAsia" w:ascii="宋体" w:hAnsi="宋体" w:cs="宋体"/>
                <w:color w:val="auto"/>
                <w:szCs w:val="21"/>
                <w:highlight w:val="none"/>
              </w:rPr>
            </w:pPr>
          </w:p>
        </w:tc>
        <w:tc>
          <w:tcPr>
            <w:tcW w:w="716" w:type="dxa"/>
            <w:noWrap w:val="0"/>
            <w:vAlign w:val="center"/>
          </w:tcPr>
          <w:p>
            <w:pPr>
              <w:pStyle w:val="13"/>
              <w:jc w:val="center"/>
              <w:rPr>
                <w:rFonts w:hint="eastAsia" w:ascii="宋体" w:hAnsi="宋体" w:cs="宋体"/>
                <w:color w:val="auto"/>
                <w:szCs w:val="21"/>
                <w:highlight w:val="none"/>
              </w:rPr>
            </w:pPr>
          </w:p>
        </w:tc>
        <w:tc>
          <w:tcPr>
            <w:tcW w:w="1487" w:type="dxa"/>
            <w:noWrap w:val="0"/>
            <w:vAlign w:val="center"/>
          </w:tcPr>
          <w:p>
            <w:pPr>
              <w:pStyle w:val="13"/>
              <w:jc w:val="center"/>
              <w:rPr>
                <w:rFonts w:hint="eastAsia" w:ascii="宋体" w:hAnsi="宋体" w:cs="宋体"/>
                <w:color w:val="auto"/>
                <w:szCs w:val="21"/>
                <w:highlight w:val="none"/>
              </w:rPr>
            </w:pPr>
          </w:p>
        </w:tc>
        <w:tc>
          <w:tcPr>
            <w:tcW w:w="783" w:type="dxa"/>
            <w:noWrap w:val="0"/>
            <w:vAlign w:val="center"/>
          </w:tcPr>
          <w:p>
            <w:pPr>
              <w:pStyle w:val="13"/>
              <w:jc w:val="center"/>
              <w:rPr>
                <w:rFonts w:hint="eastAsia" w:ascii="宋体" w:hAnsi="宋体" w:cs="宋体"/>
                <w:color w:val="auto"/>
                <w:szCs w:val="21"/>
                <w:highlight w:val="none"/>
              </w:rPr>
            </w:pPr>
          </w:p>
        </w:tc>
      </w:tr>
    </w:tbl>
    <w:p>
      <w:pPr>
        <w:pStyle w:val="13"/>
        <w:spacing w:line="440" w:lineRule="exact"/>
        <w:rPr>
          <w:rFonts w:hint="eastAsia" w:ascii="宋体" w:hAnsi="宋体" w:cs="宋体"/>
          <w:color w:val="auto"/>
          <w:szCs w:val="21"/>
          <w:highlight w:val="none"/>
        </w:rPr>
      </w:pPr>
    </w:p>
    <w:p>
      <w:pPr>
        <w:pStyle w:val="13"/>
        <w:spacing w:line="440" w:lineRule="exact"/>
        <w:rPr>
          <w:rFonts w:hint="eastAsia" w:ascii="宋体" w:hAnsi="宋体" w:cs="宋体"/>
          <w:color w:val="auto"/>
          <w:szCs w:val="21"/>
          <w:highlight w:val="none"/>
        </w:rPr>
      </w:pPr>
      <w:bookmarkStart w:id="735" w:name="_Toc18283_WPSOffice_Level1"/>
    </w:p>
    <w:p>
      <w:pPr>
        <w:pStyle w:val="13"/>
        <w:spacing w:line="440" w:lineRule="exact"/>
        <w:rPr>
          <w:rFonts w:hint="eastAsia" w:ascii="宋体" w:hAnsi="宋体" w:cs="宋体"/>
          <w:color w:val="auto"/>
          <w:szCs w:val="21"/>
          <w:highlight w:val="none"/>
        </w:rPr>
      </w:pPr>
    </w:p>
    <w:p>
      <w:pPr>
        <w:pStyle w:val="13"/>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附件3：</w:t>
      </w:r>
      <w:bookmarkEnd w:id="735"/>
      <w:r>
        <w:rPr>
          <w:rFonts w:hint="eastAsia" w:ascii="宋体" w:hAnsi="宋体" w:cs="宋体"/>
          <w:color w:val="auto"/>
          <w:szCs w:val="21"/>
          <w:highlight w:val="none"/>
        </w:rPr>
        <w:t xml:space="preserve">    </w:t>
      </w:r>
    </w:p>
    <w:p>
      <w:pPr>
        <w:spacing w:line="276" w:lineRule="auto"/>
        <w:ind w:firstLine="420" w:firstLineChars="20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工程质量保修书</w:t>
      </w:r>
    </w:p>
    <w:p>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发包人（全称）：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承包人（全称）：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spacing w:line="400" w:lineRule="exact"/>
        <w:rPr>
          <w:rFonts w:hint="eastAsia" w:ascii="宋体" w:hAnsi="宋体" w:cs="宋体"/>
          <w:color w:val="auto"/>
          <w:sz w:val="21"/>
          <w:szCs w:val="21"/>
          <w:highlight w:val="none"/>
        </w:rPr>
      </w:pPr>
    </w:p>
    <w:p>
      <w:pPr>
        <w:spacing w:line="40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发包人和承包人根据《中华人民共和国建筑法》和《建设工程质量管理条例》，经协商一致就</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（工程全称）签订工程质量保修书。</w:t>
      </w:r>
    </w:p>
    <w:p>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一、工程质量保修范围和内容</w:t>
      </w:r>
    </w:p>
    <w:p>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承包人在质量保修期内，按照有关法律规定和合同约定，承担工程质量保修责任。</w:t>
      </w:r>
    </w:p>
    <w:p>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质量保修范围包括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，以及双方约定的其他项目。具体保修的内容，双方约定如下：</w:t>
      </w:r>
    </w:p>
    <w:p>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二、质量保修期</w:t>
      </w:r>
    </w:p>
    <w:p>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根据《建设工程质量管理条例》及有关规定，工程的质量保修期如下：</w:t>
      </w:r>
    </w:p>
    <w:p>
      <w:pPr>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1．桥梁工程为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年（建议桥梁隧道主体结构工程为设计文件规定的合理使用年限）；</w:t>
      </w:r>
    </w:p>
    <w:p>
      <w:pPr>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2．道路工程为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年（建议路基、路面、桥面为2年）；</w:t>
      </w:r>
    </w:p>
    <w:p>
      <w:pPr>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3．排水（雨水）工程为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年（建议道路工程中的排水工程为3年）；</w:t>
      </w:r>
    </w:p>
    <w:p>
      <w:pPr>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4．绿化工程为 </w:t>
      </w:r>
      <w:r>
        <w:rPr>
          <w:rFonts w:hint="eastAsia" w:ascii="宋体" w:hAnsi="宋体" w:cs="宋体"/>
          <w:color w:val="auto"/>
          <w:sz w:val="21"/>
          <w:szCs w:val="21"/>
          <w:highlight w:val="none"/>
          <w:u w:val="single"/>
        </w:rPr>
        <w:t>单位工程竣工验收合格后    年</w:t>
      </w:r>
      <w:r>
        <w:rPr>
          <w:rFonts w:hint="eastAsia" w:ascii="宋体" w:hAnsi="宋体" w:cs="宋体"/>
          <w:color w:val="auto"/>
          <w:sz w:val="21"/>
          <w:szCs w:val="21"/>
          <w:highlight w:val="none"/>
        </w:rPr>
        <w:t>；</w:t>
      </w:r>
    </w:p>
    <w:p>
      <w:pPr>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5. 地下防水工程为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年（建议为5年）；</w:t>
      </w:r>
    </w:p>
    <w:p>
      <w:pPr>
        <w:spacing w:line="400" w:lineRule="exact"/>
        <w:ind w:firstLine="426"/>
        <w:rPr>
          <w:rFonts w:hint="eastAsia" w:ascii="宋体" w:hAnsi="宋体" w:cs="宋体"/>
          <w:color w:val="auto"/>
          <w:sz w:val="21"/>
          <w:szCs w:val="21"/>
          <w:highlight w:val="none"/>
        </w:rPr>
      </w:pPr>
      <w:r>
        <w:rPr>
          <w:rFonts w:hint="eastAsia" w:ascii="宋体" w:hAnsi="宋体" w:cs="宋体"/>
          <w:color w:val="auto"/>
          <w:sz w:val="21"/>
          <w:szCs w:val="21"/>
          <w:highlight w:val="none"/>
        </w:rPr>
        <w:t>6．其他附属工程为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p>
    <w:p>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7．其他项目保修期限约定如下：</w:t>
      </w:r>
    </w:p>
    <w:p>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质量保修期自工程竣工验收合格之日起计算。</w:t>
      </w:r>
    </w:p>
    <w:p>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三、缺陷责任期</w:t>
      </w:r>
    </w:p>
    <w:p>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工程缺陷责任期为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个月（最长不超过24个月），缺陷责任期自工程竣工验收合格之日起计算。单位工程先于全部工程进行验收，单位工程缺陷责任期自单位工程验收合格之日起算。</w:t>
      </w:r>
    </w:p>
    <w:p>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缺陷责任期终止后，发包人应退还剩余的质量保证金。</w:t>
      </w:r>
    </w:p>
    <w:p>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四、质量保修责任</w:t>
      </w:r>
    </w:p>
    <w:p>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1．属于保修范围、内容的项目，承包人应当在接到保修通知之日起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天内派人保修。承包人不在约定期限内派人保修的，发包人可以委托他人修理，修理费用从质量保修金内扣除。</w:t>
      </w:r>
    </w:p>
    <w:p>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2．发生紧急事故需抢修的，承包人在接到事故通知后，应当立即到达事故现场抢修。</w:t>
      </w:r>
    </w:p>
    <w:p>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4．质量保修完成后，由发包人组织验收。</w:t>
      </w:r>
    </w:p>
    <w:p>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五、保修费用</w:t>
      </w:r>
    </w:p>
    <w:p>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保修费用由造成质量缺陷的责任方承担。</w:t>
      </w:r>
    </w:p>
    <w:p>
      <w:pPr>
        <w:spacing w:line="40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六、双方约定的其他工程质量保修事项：</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u w:val="single"/>
        </w:rPr>
        <w:t xml:space="preserve"> /  </w:t>
      </w:r>
      <w:r>
        <w:rPr>
          <w:rFonts w:hint="eastAsia" w:ascii="宋体" w:hAnsi="宋体" w:cs="宋体"/>
          <w:color w:val="auto"/>
          <w:sz w:val="21"/>
          <w:szCs w:val="21"/>
          <w:highlight w:val="none"/>
          <w:u w:val="single"/>
        </w:rPr>
        <w:t xml:space="preserve">                                    </w:t>
      </w:r>
    </w:p>
    <w:p>
      <w:pPr>
        <w:spacing w:line="40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pPr>
        <w:spacing w:line="400" w:lineRule="exact"/>
        <w:ind w:firstLine="399" w:firstLineChars="190"/>
        <w:rPr>
          <w:rFonts w:hint="eastAsia" w:ascii="宋体" w:hAnsi="宋体" w:cs="宋体"/>
          <w:color w:val="auto"/>
          <w:sz w:val="21"/>
          <w:szCs w:val="21"/>
          <w:highlight w:val="none"/>
        </w:rPr>
      </w:pPr>
      <w:r>
        <w:rPr>
          <w:rFonts w:hint="eastAsia" w:ascii="宋体" w:hAnsi="宋体" w:cs="宋体"/>
          <w:color w:val="auto"/>
          <w:sz w:val="21"/>
          <w:szCs w:val="21"/>
          <w:highlight w:val="none"/>
        </w:rPr>
        <w:t>工程质量保修书由发包人、承包人在工程竣工验收前共同签署，作为施工合同附件，其有效期限至保修期满。</w:t>
      </w:r>
    </w:p>
    <w:p>
      <w:pPr>
        <w:spacing w:line="360" w:lineRule="auto"/>
        <w:ind w:firstLine="420"/>
        <w:rPr>
          <w:rFonts w:hint="eastAsia" w:ascii="宋体" w:hAnsi="宋体" w:cs="宋体"/>
          <w:color w:val="auto"/>
          <w:sz w:val="21"/>
          <w:szCs w:val="21"/>
          <w:highlight w:val="none"/>
        </w:rPr>
      </w:pPr>
    </w:p>
    <w:p>
      <w:pPr>
        <w:spacing w:line="360" w:lineRule="auto"/>
        <w:ind w:firstLine="420"/>
        <w:rPr>
          <w:rFonts w:hint="eastAsia" w:ascii="宋体" w:hAnsi="宋体" w:cs="宋体"/>
          <w:color w:val="auto"/>
          <w:sz w:val="21"/>
          <w:szCs w:val="21"/>
          <w:highlight w:val="none"/>
        </w:rPr>
      </w:pP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发包人（公章）：</w:t>
      </w:r>
      <w:r>
        <w:rPr>
          <w:rFonts w:hint="eastAsia" w:ascii="宋体" w:hAnsi="宋体" w:cs="宋体"/>
          <w:color w:val="auto"/>
          <w:sz w:val="21"/>
          <w:szCs w:val="21"/>
          <w:highlight w:val="none"/>
          <w:u w:val="single"/>
        </w:rPr>
        <w:t xml:space="preserve">         </w:t>
      </w:r>
      <w:r>
        <w:rPr>
          <w:rFonts w:hint="eastAsia" w:ascii="宋体" w:hAnsi="宋体" w:cs="宋体"/>
          <w:color w:val="auto"/>
          <w:sz w:val="21"/>
          <w:szCs w:val="21"/>
          <w:highlight w:val="none"/>
        </w:rPr>
        <w:t xml:space="preserve">             承包人（公章）：</w:t>
      </w:r>
      <w:r>
        <w:rPr>
          <w:rFonts w:hint="eastAsia" w:ascii="宋体" w:hAnsi="宋体" w:cs="宋体"/>
          <w:color w:val="auto"/>
          <w:sz w:val="21"/>
          <w:szCs w:val="21"/>
          <w:highlight w:val="none"/>
          <w:u w:val="single"/>
        </w:rPr>
        <w:t>          </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 xml:space="preserve">              地  址：</w:t>
      </w:r>
      <w:r>
        <w:rPr>
          <w:rFonts w:hint="eastAsia" w:ascii="宋体" w:hAnsi="宋体" w:cs="宋体"/>
          <w:color w:val="auto"/>
          <w:sz w:val="21"/>
          <w:szCs w:val="21"/>
          <w:highlight w:val="none"/>
          <w:u w:val="single"/>
        </w:rPr>
        <w:t>      </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法定代表人（签字）：</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法定代表人（签字）：</w:t>
      </w:r>
      <w:r>
        <w:rPr>
          <w:rFonts w:hint="eastAsia" w:ascii="宋体" w:hAnsi="宋体" w:cs="宋体"/>
          <w:color w:val="auto"/>
          <w:sz w:val="21"/>
          <w:szCs w:val="21"/>
          <w:highlight w:val="none"/>
          <w:u w:val="single"/>
        </w:rPr>
        <w:t>     </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委托代理人（签字）：</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委托代理人（签字）：</w:t>
      </w:r>
      <w:r>
        <w:rPr>
          <w:rFonts w:hint="eastAsia" w:ascii="宋体" w:hAnsi="宋体" w:cs="宋体"/>
          <w:color w:val="auto"/>
          <w:sz w:val="21"/>
          <w:szCs w:val="21"/>
          <w:highlight w:val="none"/>
          <w:u w:val="single"/>
        </w:rPr>
        <w:t>     </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电  话：</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电  话：</w:t>
      </w:r>
      <w:r>
        <w:rPr>
          <w:rFonts w:hint="eastAsia" w:ascii="宋体" w:hAnsi="宋体" w:cs="宋体"/>
          <w:color w:val="auto"/>
          <w:sz w:val="21"/>
          <w:szCs w:val="21"/>
          <w:highlight w:val="none"/>
          <w:u w:val="single"/>
        </w:rPr>
        <w:t>      </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传  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传  真：</w:t>
      </w:r>
      <w:r>
        <w:rPr>
          <w:rFonts w:hint="eastAsia" w:ascii="宋体" w:hAnsi="宋体" w:cs="宋体"/>
          <w:color w:val="auto"/>
          <w:sz w:val="21"/>
          <w:szCs w:val="21"/>
          <w:highlight w:val="none"/>
          <w:u w:val="single"/>
        </w:rPr>
        <w:t>    </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开户银行：</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开户银行：</w:t>
      </w:r>
      <w:r>
        <w:rPr>
          <w:rFonts w:hint="eastAsia" w:ascii="宋体" w:hAnsi="宋体" w:cs="宋体"/>
          <w:color w:val="auto"/>
          <w:sz w:val="21"/>
          <w:szCs w:val="21"/>
          <w:highlight w:val="none"/>
          <w:u w:val="single"/>
        </w:rPr>
        <w:t>  </w:t>
      </w:r>
    </w:p>
    <w:p>
      <w:pPr>
        <w:tabs>
          <w:tab w:val="left" w:pos="2880"/>
          <w:tab w:val="left" w:pos="3060"/>
          <w:tab w:val="left" w:pos="4500"/>
        </w:tabs>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账  号：</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 xml:space="preserve">              账  号：</w:t>
      </w:r>
      <w:r>
        <w:rPr>
          <w:rFonts w:hint="eastAsia" w:ascii="宋体" w:hAnsi="宋体" w:cs="宋体"/>
          <w:color w:val="auto"/>
          <w:sz w:val="21"/>
          <w:szCs w:val="21"/>
          <w:highlight w:val="none"/>
          <w:u w:val="single"/>
        </w:rPr>
        <w:t>    </w:t>
      </w:r>
    </w:p>
    <w:p>
      <w:pPr>
        <w:spacing w:line="360" w:lineRule="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邮政编码：</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 xml:space="preserve">              邮政编码：</w:t>
      </w:r>
      <w:r>
        <w:rPr>
          <w:rFonts w:hint="eastAsia" w:ascii="宋体" w:hAnsi="宋体" w:cs="宋体"/>
          <w:color w:val="auto"/>
          <w:sz w:val="21"/>
          <w:szCs w:val="21"/>
          <w:highlight w:val="none"/>
          <w:u w:val="single"/>
        </w:rPr>
        <w:t xml:space="preserve">    </w:t>
      </w:r>
    </w:p>
    <w:p>
      <w:pPr>
        <w:spacing w:line="360" w:lineRule="auto"/>
        <w:rPr>
          <w:rFonts w:hint="eastAsia" w:ascii="宋体" w:hAnsi="宋体" w:cs="宋体"/>
          <w:color w:val="auto"/>
          <w:sz w:val="21"/>
          <w:szCs w:val="21"/>
          <w:highlight w:val="none"/>
        </w:rPr>
      </w:pPr>
    </w:p>
    <w:p>
      <w:pPr>
        <w:pStyle w:val="13"/>
        <w:spacing w:line="440" w:lineRule="exact"/>
        <w:jc w:val="center"/>
        <w:rPr>
          <w:rFonts w:hint="eastAsia" w:ascii="宋体" w:hAnsi="宋体" w:cs="宋体"/>
          <w:color w:val="auto"/>
          <w:szCs w:val="21"/>
          <w:highlight w:val="none"/>
        </w:rPr>
      </w:pPr>
    </w:p>
    <w:p>
      <w:pPr>
        <w:pStyle w:val="13"/>
        <w:spacing w:line="440" w:lineRule="exact"/>
        <w:jc w:val="center"/>
        <w:rPr>
          <w:rFonts w:hint="eastAsia" w:ascii="宋体" w:hAnsi="宋体" w:cs="宋体"/>
          <w:color w:val="auto"/>
          <w:szCs w:val="21"/>
          <w:highlight w:val="none"/>
        </w:rPr>
      </w:pPr>
    </w:p>
    <w:p>
      <w:pPr>
        <w:pStyle w:val="13"/>
        <w:spacing w:line="440" w:lineRule="exact"/>
        <w:jc w:val="center"/>
        <w:rPr>
          <w:rFonts w:hint="eastAsia" w:ascii="宋体" w:hAnsi="宋体" w:cs="宋体"/>
          <w:color w:val="auto"/>
          <w:szCs w:val="21"/>
          <w:highlight w:val="none"/>
        </w:rPr>
      </w:pPr>
    </w:p>
    <w:p>
      <w:pPr>
        <w:pStyle w:val="13"/>
        <w:spacing w:line="440" w:lineRule="exact"/>
        <w:jc w:val="center"/>
        <w:rPr>
          <w:rFonts w:hint="eastAsia" w:ascii="宋体" w:hAnsi="宋体" w:cs="宋体"/>
          <w:color w:val="auto"/>
          <w:szCs w:val="21"/>
          <w:highlight w:val="none"/>
        </w:rPr>
      </w:pPr>
    </w:p>
    <w:p>
      <w:pPr>
        <w:pStyle w:val="13"/>
        <w:spacing w:line="440" w:lineRule="exact"/>
        <w:jc w:val="center"/>
        <w:rPr>
          <w:rFonts w:hint="eastAsia" w:ascii="宋体" w:hAnsi="宋体" w:cs="宋体"/>
          <w:color w:val="auto"/>
          <w:szCs w:val="21"/>
          <w:highlight w:val="none"/>
        </w:rPr>
      </w:pPr>
    </w:p>
    <w:p>
      <w:pPr>
        <w:pStyle w:val="13"/>
        <w:spacing w:line="440" w:lineRule="exact"/>
        <w:jc w:val="center"/>
        <w:rPr>
          <w:rFonts w:hint="eastAsia" w:ascii="宋体" w:hAnsi="宋体" w:cs="宋体"/>
          <w:color w:val="auto"/>
          <w:szCs w:val="21"/>
          <w:highlight w:val="none"/>
        </w:rPr>
      </w:pPr>
    </w:p>
    <w:p>
      <w:pPr>
        <w:pStyle w:val="13"/>
        <w:spacing w:line="440" w:lineRule="exact"/>
        <w:rPr>
          <w:rFonts w:hint="eastAsia" w:ascii="宋体" w:hAnsi="宋体" w:cs="宋体"/>
          <w:color w:val="auto"/>
          <w:szCs w:val="21"/>
          <w:highlight w:val="none"/>
        </w:rPr>
      </w:pPr>
      <w:r>
        <w:rPr>
          <w:rFonts w:hint="eastAsia" w:ascii="宋体" w:hAnsi="宋体" w:cs="宋体"/>
          <w:b/>
          <w:color w:val="auto"/>
          <w:szCs w:val="21"/>
          <w:highlight w:val="none"/>
        </w:rPr>
        <w:br w:type="page"/>
      </w:r>
      <w:bookmarkStart w:id="736" w:name="_Toc13871_WPSOffice_Level1"/>
      <w:r>
        <w:rPr>
          <w:rFonts w:hint="eastAsia" w:ascii="宋体" w:hAnsi="宋体" w:cs="宋体"/>
          <w:color w:val="auto"/>
          <w:szCs w:val="21"/>
          <w:highlight w:val="none"/>
        </w:rPr>
        <w:t>附件4：</w:t>
      </w:r>
      <w:bookmarkEnd w:id="736"/>
    </w:p>
    <w:p>
      <w:pPr>
        <w:pStyle w:val="13"/>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主要建设工程文件目录</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067"/>
        <w:gridCol w:w="1450"/>
        <w:gridCol w:w="1243"/>
        <w:gridCol w:w="1450"/>
        <w:gridCol w:w="15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文件名称</w:t>
            </w:r>
          </w:p>
        </w:tc>
        <w:tc>
          <w:tcPr>
            <w:tcW w:w="1067"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套数</w:t>
            </w:r>
          </w:p>
        </w:tc>
        <w:tc>
          <w:tcPr>
            <w:tcW w:w="1450"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费用（元）</w:t>
            </w:r>
          </w:p>
        </w:tc>
        <w:tc>
          <w:tcPr>
            <w:tcW w:w="1243"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质量</w:t>
            </w:r>
          </w:p>
        </w:tc>
        <w:tc>
          <w:tcPr>
            <w:tcW w:w="1450" w:type="dxa"/>
            <w:tcBorders>
              <w:top w:val="single" w:color="auto" w:sz="12" w:space="0"/>
              <w:bottom w:val="double" w:color="auto" w:sz="6" w:space="0"/>
            </w:tcBorders>
            <w:noWrap w:val="0"/>
            <w:vAlign w:val="top"/>
          </w:tcPr>
          <w:p>
            <w:pPr>
              <w:pStyle w:val="13"/>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移交时间</w:t>
            </w:r>
          </w:p>
        </w:tc>
        <w:tc>
          <w:tcPr>
            <w:tcW w:w="1564" w:type="dxa"/>
            <w:tcBorders>
              <w:top w:val="single" w:color="auto" w:sz="12" w:space="0"/>
              <w:bottom w:val="double" w:color="auto" w:sz="6" w:space="0"/>
            </w:tcBorders>
            <w:noWrap w:val="0"/>
            <w:vAlign w:val="top"/>
          </w:tcPr>
          <w:p>
            <w:pPr>
              <w:pStyle w:val="13"/>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067" w:type="dxa"/>
            <w:tcBorders>
              <w:top w:val="doub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50" w:type="dxa"/>
            <w:tcBorders>
              <w:top w:val="doub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243" w:type="dxa"/>
            <w:tcBorders>
              <w:top w:val="doub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50" w:type="dxa"/>
            <w:tcBorders>
              <w:top w:val="doub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564" w:type="dxa"/>
            <w:tcBorders>
              <w:top w:val="doub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067"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50"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243"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50"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564"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067"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5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243"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5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56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067"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5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243"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5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56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067"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5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243"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5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56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067"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5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243"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5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56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067"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5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243"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5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56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067"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5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243"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5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56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13"/>
              <w:rPr>
                <w:rFonts w:hint="eastAsia" w:ascii="宋体" w:hAnsi="宋体" w:cs="宋体"/>
                <w:color w:val="auto"/>
                <w:szCs w:val="21"/>
                <w:highlight w:val="none"/>
              </w:rPr>
            </w:pPr>
          </w:p>
        </w:tc>
        <w:tc>
          <w:tcPr>
            <w:tcW w:w="1067" w:type="dxa"/>
            <w:noWrap w:val="0"/>
            <w:vAlign w:val="top"/>
          </w:tcPr>
          <w:p>
            <w:pPr>
              <w:pStyle w:val="13"/>
              <w:rPr>
                <w:rFonts w:hint="eastAsia" w:ascii="宋体" w:hAnsi="宋体" w:cs="宋体"/>
                <w:color w:val="auto"/>
                <w:szCs w:val="21"/>
                <w:highlight w:val="none"/>
              </w:rPr>
            </w:pPr>
          </w:p>
        </w:tc>
        <w:tc>
          <w:tcPr>
            <w:tcW w:w="1450" w:type="dxa"/>
            <w:noWrap w:val="0"/>
            <w:vAlign w:val="top"/>
          </w:tcPr>
          <w:p>
            <w:pPr>
              <w:pStyle w:val="13"/>
              <w:rPr>
                <w:rFonts w:hint="eastAsia" w:ascii="宋体" w:hAnsi="宋体" w:cs="宋体"/>
                <w:color w:val="auto"/>
                <w:szCs w:val="21"/>
                <w:highlight w:val="none"/>
              </w:rPr>
            </w:pPr>
          </w:p>
        </w:tc>
        <w:tc>
          <w:tcPr>
            <w:tcW w:w="1243" w:type="dxa"/>
            <w:noWrap w:val="0"/>
            <w:vAlign w:val="top"/>
          </w:tcPr>
          <w:p>
            <w:pPr>
              <w:pStyle w:val="13"/>
              <w:rPr>
                <w:rFonts w:hint="eastAsia" w:ascii="宋体" w:hAnsi="宋体" w:cs="宋体"/>
                <w:color w:val="auto"/>
                <w:szCs w:val="21"/>
                <w:highlight w:val="none"/>
              </w:rPr>
            </w:pPr>
          </w:p>
        </w:tc>
        <w:tc>
          <w:tcPr>
            <w:tcW w:w="1450" w:type="dxa"/>
            <w:noWrap w:val="0"/>
            <w:vAlign w:val="top"/>
          </w:tcPr>
          <w:p>
            <w:pPr>
              <w:pStyle w:val="13"/>
              <w:rPr>
                <w:rFonts w:hint="eastAsia" w:ascii="宋体" w:hAnsi="宋体" w:cs="宋体"/>
                <w:color w:val="auto"/>
                <w:szCs w:val="21"/>
                <w:highlight w:val="none"/>
              </w:rPr>
            </w:pPr>
          </w:p>
        </w:tc>
        <w:tc>
          <w:tcPr>
            <w:tcW w:w="1564" w:type="dxa"/>
            <w:noWrap w:val="0"/>
            <w:vAlign w:val="top"/>
          </w:tcPr>
          <w:p>
            <w:pPr>
              <w:pStyle w:val="1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067"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5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243"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5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56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13"/>
              <w:rPr>
                <w:rFonts w:hint="eastAsia" w:ascii="宋体" w:hAnsi="宋体" w:cs="宋体"/>
                <w:color w:val="auto"/>
                <w:szCs w:val="21"/>
                <w:highlight w:val="none"/>
              </w:rPr>
            </w:pPr>
          </w:p>
        </w:tc>
        <w:tc>
          <w:tcPr>
            <w:tcW w:w="1067" w:type="dxa"/>
            <w:noWrap w:val="0"/>
            <w:vAlign w:val="top"/>
          </w:tcPr>
          <w:p>
            <w:pPr>
              <w:pStyle w:val="13"/>
              <w:rPr>
                <w:rFonts w:hint="eastAsia" w:ascii="宋体" w:hAnsi="宋体" w:cs="宋体"/>
                <w:color w:val="auto"/>
                <w:szCs w:val="21"/>
                <w:highlight w:val="none"/>
              </w:rPr>
            </w:pPr>
          </w:p>
        </w:tc>
        <w:tc>
          <w:tcPr>
            <w:tcW w:w="1450" w:type="dxa"/>
            <w:noWrap w:val="0"/>
            <w:vAlign w:val="top"/>
          </w:tcPr>
          <w:p>
            <w:pPr>
              <w:pStyle w:val="13"/>
              <w:rPr>
                <w:rFonts w:hint="eastAsia" w:ascii="宋体" w:hAnsi="宋体" w:cs="宋体"/>
                <w:color w:val="auto"/>
                <w:szCs w:val="21"/>
                <w:highlight w:val="none"/>
              </w:rPr>
            </w:pPr>
          </w:p>
        </w:tc>
        <w:tc>
          <w:tcPr>
            <w:tcW w:w="1243" w:type="dxa"/>
            <w:noWrap w:val="0"/>
            <w:vAlign w:val="top"/>
          </w:tcPr>
          <w:p>
            <w:pPr>
              <w:pStyle w:val="13"/>
              <w:rPr>
                <w:rFonts w:hint="eastAsia" w:ascii="宋体" w:hAnsi="宋体" w:cs="宋体"/>
                <w:color w:val="auto"/>
                <w:szCs w:val="21"/>
                <w:highlight w:val="none"/>
              </w:rPr>
            </w:pPr>
          </w:p>
        </w:tc>
        <w:tc>
          <w:tcPr>
            <w:tcW w:w="1450" w:type="dxa"/>
            <w:noWrap w:val="0"/>
            <w:vAlign w:val="top"/>
          </w:tcPr>
          <w:p>
            <w:pPr>
              <w:pStyle w:val="13"/>
              <w:rPr>
                <w:rFonts w:hint="eastAsia" w:ascii="宋体" w:hAnsi="宋体" w:cs="宋体"/>
                <w:color w:val="auto"/>
                <w:szCs w:val="21"/>
                <w:highlight w:val="none"/>
              </w:rPr>
            </w:pPr>
          </w:p>
        </w:tc>
        <w:tc>
          <w:tcPr>
            <w:tcW w:w="1564" w:type="dxa"/>
            <w:noWrap w:val="0"/>
            <w:vAlign w:val="top"/>
          </w:tcPr>
          <w:p>
            <w:pPr>
              <w:pStyle w:val="1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13"/>
              <w:rPr>
                <w:rFonts w:hint="eastAsia" w:ascii="宋体" w:hAnsi="宋体" w:cs="宋体"/>
                <w:color w:val="auto"/>
                <w:szCs w:val="21"/>
                <w:highlight w:val="none"/>
              </w:rPr>
            </w:pPr>
          </w:p>
        </w:tc>
        <w:tc>
          <w:tcPr>
            <w:tcW w:w="1067" w:type="dxa"/>
            <w:noWrap w:val="0"/>
            <w:vAlign w:val="top"/>
          </w:tcPr>
          <w:p>
            <w:pPr>
              <w:pStyle w:val="13"/>
              <w:rPr>
                <w:rFonts w:hint="eastAsia" w:ascii="宋体" w:hAnsi="宋体" w:cs="宋体"/>
                <w:color w:val="auto"/>
                <w:szCs w:val="21"/>
                <w:highlight w:val="none"/>
              </w:rPr>
            </w:pPr>
          </w:p>
        </w:tc>
        <w:tc>
          <w:tcPr>
            <w:tcW w:w="1450" w:type="dxa"/>
            <w:noWrap w:val="0"/>
            <w:vAlign w:val="top"/>
          </w:tcPr>
          <w:p>
            <w:pPr>
              <w:pStyle w:val="13"/>
              <w:rPr>
                <w:rFonts w:hint="eastAsia" w:ascii="宋体" w:hAnsi="宋体" w:cs="宋体"/>
                <w:color w:val="auto"/>
                <w:szCs w:val="21"/>
                <w:highlight w:val="none"/>
              </w:rPr>
            </w:pPr>
          </w:p>
        </w:tc>
        <w:tc>
          <w:tcPr>
            <w:tcW w:w="1243" w:type="dxa"/>
            <w:noWrap w:val="0"/>
            <w:vAlign w:val="top"/>
          </w:tcPr>
          <w:p>
            <w:pPr>
              <w:pStyle w:val="13"/>
              <w:rPr>
                <w:rFonts w:hint="eastAsia" w:ascii="宋体" w:hAnsi="宋体" w:cs="宋体"/>
                <w:color w:val="auto"/>
                <w:szCs w:val="21"/>
                <w:highlight w:val="none"/>
              </w:rPr>
            </w:pPr>
          </w:p>
        </w:tc>
        <w:tc>
          <w:tcPr>
            <w:tcW w:w="1450" w:type="dxa"/>
            <w:noWrap w:val="0"/>
            <w:vAlign w:val="top"/>
          </w:tcPr>
          <w:p>
            <w:pPr>
              <w:pStyle w:val="13"/>
              <w:rPr>
                <w:rFonts w:hint="eastAsia" w:ascii="宋体" w:hAnsi="宋体" w:cs="宋体"/>
                <w:color w:val="auto"/>
                <w:szCs w:val="21"/>
                <w:highlight w:val="none"/>
              </w:rPr>
            </w:pPr>
          </w:p>
        </w:tc>
        <w:tc>
          <w:tcPr>
            <w:tcW w:w="1564" w:type="dxa"/>
            <w:noWrap w:val="0"/>
            <w:vAlign w:val="top"/>
          </w:tcPr>
          <w:p>
            <w:pPr>
              <w:pStyle w:val="1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13"/>
              <w:rPr>
                <w:rFonts w:hint="eastAsia" w:ascii="宋体" w:hAnsi="宋体" w:cs="宋体"/>
                <w:color w:val="auto"/>
                <w:szCs w:val="21"/>
                <w:highlight w:val="none"/>
              </w:rPr>
            </w:pPr>
          </w:p>
        </w:tc>
        <w:tc>
          <w:tcPr>
            <w:tcW w:w="1067" w:type="dxa"/>
            <w:noWrap w:val="0"/>
            <w:vAlign w:val="top"/>
          </w:tcPr>
          <w:p>
            <w:pPr>
              <w:pStyle w:val="13"/>
              <w:rPr>
                <w:rFonts w:hint="eastAsia" w:ascii="宋体" w:hAnsi="宋体" w:cs="宋体"/>
                <w:color w:val="auto"/>
                <w:szCs w:val="21"/>
                <w:highlight w:val="none"/>
              </w:rPr>
            </w:pPr>
          </w:p>
        </w:tc>
        <w:tc>
          <w:tcPr>
            <w:tcW w:w="1450" w:type="dxa"/>
            <w:noWrap w:val="0"/>
            <w:vAlign w:val="top"/>
          </w:tcPr>
          <w:p>
            <w:pPr>
              <w:pStyle w:val="13"/>
              <w:rPr>
                <w:rFonts w:hint="eastAsia" w:ascii="宋体" w:hAnsi="宋体" w:cs="宋体"/>
                <w:color w:val="auto"/>
                <w:szCs w:val="21"/>
                <w:highlight w:val="none"/>
              </w:rPr>
            </w:pPr>
          </w:p>
        </w:tc>
        <w:tc>
          <w:tcPr>
            <w:tcW w:w="1243" w:type="dxa"/>
            <w:noWrap w:val="0"/>
            <w:vAlign w:val="top"/>
          </w:tcPr>
          <w:p>
            <w:pPr>
              <w:pStyle w:val="13"/>
              <w:rPr>
                <w:rFonts w:hint="eastAsia" w:ascii="宋体" w:hAnsi="宋体" w:cs="宋体"/>
                <w:color w:val="auto"/>
                <w:szCs w:val="21"/>
                <w:highlight w:val="none"/>
              </w:rPr>
            </w:pPr>
          </w:p>
        </w:tc>
        <w:tc>
          <w:tcPr>
            <w:tcW w:w="1450" w:type="dxa"/>
            <w:noWrap w:val="0"/>
            <w:vAlign w:val="top"/>
          </w:tcPr>
          <w:p>
            <w:pPr>
              <w:pStyle w:val="13"/>
              <w:rPr>
                <w:rFonts w:hint="eastAsia" w:ascii="宋体" w:hAnsi="宋体" w:cs="宋体"/>
                <w:color w:val="auto"/>
                <w:szCs w:val="21"/>
                <w:highlight w:val="none"/>
              </w:rPr>
            </w:pPr>
          </w:p>
        </w:tc>
        <w:tc>
          <w:tcPr>
            <w:tcW w:w="1564" w:type="dxa"/>
            <w:noWrap w:val="0"/>
            <w:vAlign w:val="top"/>
          </w:tcPr>
          <w:p>
            <w:pPr>
              <w:pStyle w:val="1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13"/>
              <w:rPr>
                <w:rFonts w:hint="eastAsia" w:ascii="宋体" w:hAnsi="宋体" w:cs="宋体"/>
                <w:color w:val="auto"/>
                <w:szCs w:val="21"/>
                <w:highlight w:val="none"/>
              </w:rPr>
            </w:pPr>
          </w:p>
        </w:tc>
        <w:tc>
          <w:tcPr>
            <w:tcW w:w="1067" w:type="dxa"/>
            <w:noWrap w:val="0"/>
            <w:vAlign w:val="top"/>
          </w:tcPr>
          <w:p>
            <w:pPr>
              <w:pStyle w:val="13"/>
              <w:rPr>
                <w:rFonts w:hint="eastAsia" w:ascii="宋体" w:hAnsi="宋体" w:cs="宋体"/>
                <w:color w:val="auto"/>
                <w:szCs w:val="21"/>
                <w:highlight w:val="none"/>
              </w:rPr>
            </w:pPr>
          </w:p>
        </w:tc>
        <w:tc>
          <w:tcPr>
            <w:tcW w:w="1450" w:type="dxa"/>
            <w:noWrap w:val="0"/>
            <w:vAlign w:val="top"/>
          </w:tcPr>
          <w:p>
            <w:pPr>
              <w:pStyle w:val="13"/>
              <w:rPr>
                <w:rFonts w:hint="eastAsia" w:ascii="宋体" w:hAnsi="宋体" w:cs="宋体"/>
                <w:color w:val="auto"/>
                <w:szCs w:val="21"/>
                <w:highlight w:val="none"/>
              </w:rPr>
            </w:pPr>
          </w:p>
        </w:tc>
        <w:tc>
          <w:tcPr>
            <w:tcW w:w="1243" w:type="dxa"/>
            <w:noWrap w:val="0"/>
            <w:vAlign w:val="top"/>
          </w:tcPr>
          <w:p>
            <w:pPr>
              <w:pStyle w:val="13"/>
              <w:rPr>
                <w:rFonts w:hint="eastAsia" w:ascii="宋体" w:hAnsi="宋体" w:cs="宋体"/>
                <w:color w:val="auto"/>
                <w:szCs w:val="21"/>
                <w:highlight w:val="none"/>
              </w:rPr>
            </w:pPr>
          </w:p>
        </w:tc>
        <w:tc>
          <w:tcPr>
            <w:tcW w:w="1450" w:type="dxa"/>
            <w:noWrap w:val="0"/>
            <w:vAlign w:val="top"/>
          </w:tcPr>
          <w:p>
            <w:pPr>
              <w:pStyle w:val="13"/>
              <w:rPr>
                <w:rFonts w:hint="eastAsia" w:ascii="宋体" w:hAnsi="宋体" w:cs="宋体"/>
                <w:color w:val="auto"/>
                <w:szCs w:val="21"/>
                <w:highlight w:val="none"/>
              </w:rPr>
            </w:pPr>
          </w:p>
        </w:tc>
        <w:tc>
          <w:tcPr>
            <w:tcW w:w="1564" w:type="dxa"/>
            <w:noWrap w:val="0"/>
            <w:vAlign w:val="top"/>
          </w:tcPr>
          <w:p>
            <w:pPr>
              <w:pStyle w:val="1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13"/>
              <w:rPr>
                <w:rFonts w:hint="eastAsia" w:ascii="宋体" w:hAnsi="宋体" w:cs="宋体"/>
                <w:color w:val="auto"/>
                <w:szCs w:val="21"/>
                <w:highlight w:val="none"/>
              </w:rPr>
            </w:pPr>
          </w:p>
        </w:tc>
        <w:tc>
          <w:tcPr>
            <w:tcW w:w="1067" w:type="dxa"/>
            <w:noWrap w:val="0"/>
            <w:vAlign w:val="top"/>
          </w:tcPr>
          <w:p>
            <w:pPr>
              <w:pStyle w:val="13"/>
              <w:rPr>
                <w:rFonts w:hint="eastAsia" w:ascii="宋体" w:hAnsi="宋体" w:cs="宋体"/>
                <w:color w:val="auto"/>
                <w:szCs w:val="21"/>
                <w:highlight w:val="none"/>
              </w:rPr>
            </w:pPr>
          </w:p>
        </w:tc>
        <w:tc>
          <w:tcPr>
            <w:tcW w:w="1450" w:type="dxa"/>
            <w:noWrap w:val="0"/>
            <w:vAlign w:val="top"/>
          </w:tcPr>
          <w:p>
            <w:pPr>
              <w:pStyle w:val="13"/>
              <w:rPr>
                <w:rFonts w:hint="eastAsia" w:ascii="宋体" w:hAnsi="宋体" w:cs="宋体"/>
                <w:color w:val="auto"/>
                <w:szCs w:val="21"/>
                <w:highlight w:val="none"/>
              </w:rPr>
            </w:pPr>
          </w:p>
        </w:tc>
        <w:tc>
          <w:tcPr>
            <w:tcW w:w="1243" w:type="dxa"/>
            <w:noWrap w:val="0"/>
            <w:vAlign w:val="top"/>
          </w:tcPr>
          <w:p>
            <w:pPr>
              <w:pStyle w:val="13"/>
              <w:rPr>
                <w:rFonts w:hint="eastAsia" w:ascii="宋体" w:hAnsi="宋体" w:cs="宋体"/>
                <w:color w:val="auto"/>
                <w:szCs w:val="21"/>
                <w:highlight w:val="none"/>
              </w:rPr>
            </w:pPr>
          </w:p>
        </w:tc>
        <w:tc>
          <w:tcPr>
            <w:tcW w:w="1450" w:type="dxa"/>
            <w:noWrap w:val="0"/>
            <w:vAlign w:val="top"/>
          </w:tcPr>
          <w:p>
            <w:pPr>
              <w:pStyle w:val="13"/>
              <w:rPr>
                <w:rFonts w:hint="eastAsia" w:ascii="宋体" w:hAnsi="宋体" w:cs="宋体"/>
                <w:color w:val="auto"/>
                <w:szCs w:val="21"/>
                <w:highlight w:val="none"/>
              </w:rPr>
            </w:pPr>
          </w:p>
        </w:tc>
        <w:tc>
          <w:tcPr>
            <w:tcW w:w="1564" w:type="dxa"/>
            <w:noWrap w:val="0"/>
            <w:vAlign w:val="top"/>
          </w:tcPr>
          <w:p>
            <w:pPr>
              <w:pStyle w:val="1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13"/>
              <w:rPr>
                <w:rFonts w:hint="eastAsia" w:ascii="宋体" w:hAnsi="宋体" w:cs="宋体"/>
                <w:color w:val="auto"/>
                <w:szCs w:val="21"/>
                <w:highlight w:val="none"/>
              </w:rPr>
            </w:pPr>
          </w:p>
        </w:tc>
        <w:tc>
          <w:tcPr>
            <w:tcW w:w="1067" w:type="dxa"/>
            <w:noWrap w:val="0"/>
            <w:vAlign w:val="top"/>
          </w:tcPr>
          <w:p>
            <w:pPr>
              <w:pStyle w:val="13"/>
              <w:rPr>
                <w:rFonts w:hint="eastAsia" w:ascii="宋体" w:hAnsi="宋体" w:cs="宋体"/>
                <w:color w:val="auto"/>
                <w:szCs w:val="21"/>
                <w:highlight w:val="none"/>
              </w:rPr>
            </w:pPr>
          </w:p>
        </w:tc>
        <w:tc>
          <w:tcPr>
            <w:tcW w:w="1450" w:type="dxa"/>
            <w:noWrap w:val="0"/>
            <w:vAlign w:val="top"/>
          </w:tcPr>
          <w:p>
            <w:pPr>
              <w:pStyle w:val="13"/>
              <w:rPr>
                <w:rFonts w:hint="eastAsia" w:ascii="宋体" w:hAnsi="宋体" w:cs="宋体"/>
                <w:color w:val="auto"/>
                <w:szCs w:val="21"/>
                <w:highlight w:val="none"/>
              </w:rPr>
            </w:pPr>
          </w:p>
        </w:tc>
        <w:tc>
          <w:tcPr>
            <w:tcW w:w="1243" w:type="dxa"/>
            <w:noWrap w:val="0"/>
            <w:vAlign w:val="top"/>
          </w:tcPr>
          <w:p>
            <w:pPr>
              <w:pStyle w:val="13"/>
              <w:rPr>
                <w:rFonts w:hint="eastAsia" w:ascii="宋体" w:hAnsi="宋体" w:cs="宋体"/>
                <w:color w:val="auto"/>
                <w:szCs w:val="21"/>
                <w:highlight w:val="none"/>
              </w:rPr>
            </w:pPr>
          </w:p>
        </w:tc>
        <w:tc>
          <w:tcPr>
            <w:tcW w:w="1450" w:type="dxa"/>
            <w:noWrap w:val="0"/>
            <w:vAlign w:val="top"/>
          </w:tcPr>
          <w:p>
            <w:pPr>
              <w:pStyle w:val="13"/>
              <w:rPr>
                <w:rFonts w:hint="eastAsia" w:ascii="宋体" w:hAnsi="宋体" w:cs="宋体"/>
                <w:color w:val="auto"/>
                <w:szCs w:val="21"/>
                <w:highlight w:val="none"/>
              </w:rPr>
            </w:pPr>
          </w:p>
        </w:tc>
        <w:tc>
          <w:tcPr>
            <w:tcW w:w="1564" w:type="dxa"/>
            <w:noWrap w:val="0"/>
            <w:vAlign w:val="top"/>
          </w:tcPr>
          <w:p>
            <w:pPr>
              <w:pStyle w:val="1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13"/>
              <w:rPr>
                <w:rFonts w:hint="eastAsia" w:ascii="宋体" w:hAnsi="宋体" w:cs="宋体"/>
                <w:color w:val="auto"/>
                <w:szCs w:val="21"/>
                <w:highlight w:val="none"/>
              </w:rPr>
            </w:pPr>
          </w:p>
        </w:tc>
        <w:tc>
          <w:tcPr>
            <w:tcW w:w="1067" w:type="dxa"/>
            <w:noWrap w:val="0"/>
            <w:vAlign w:val="top"/>
          </w:tcPr>
          <w:p>
            <w:pPr>
              <w:pStyle w:val="13"/>
              <w:rPr>
                <w:rFonts w:hint="eastAsia" w:ascii="宋体" w:hAnsi="宋体" w:cs="宋体"/>
                <w:color w:val="auto"/>
                <w:szCs w:val="21"/>
                <w:highlight w:val="none"/>
              </w:rPr>
            </w:pPr>
          </w:p>
        </w:tc>
        <w:tc>
          <w:tcPr>
            <w:tcW w:w="1450" w:type="dxa"/>
            <w:noWrap w:val="0"/>
            <w:vAlign w:val="top"/>
          </w:tcPr>
          <w:p>
            <w:pPr>
              <w:pStyle w:val="13"/>
              <w:rPr>
                <w:rFonts w:hint="eastAsia" w:ascii="宋体" w:hAnsi="宋体" w:cs="宋体"/>
                <w:color w:val="auto"/>
                <w:szCs w:val="21"/>
                <w:highlight w:val="none"/>
              </w:rPr>
            </w:pPr>
          </w:p>
        </w:tc>
        <w:tc>
          <w:tcPr>
            <w:tcW w:w="1243" w:type="dxa"/>
            <w:noWrap w:val="0"/>
            <w:vAlign w:val="top"/>
          </w:tcPr>
          <w:p>
            <w:pPr>
              <w:pStyle w:val="13"/>
              <w:rPr>
                <w:rFonts w:hint="eastAsia" w:ascii="宋体" w:hAnsi="宋体" w:cs="宋体"/>
                <w:color w:val="auto"/>
                <w:szCs w:val="21"/>
                <w:highlight w:val="none"/>
              </w:rPr>
            </w:pPr>
          </w:p>
        </w:tc>
        <w:tc>
          <w:tcPr>
            <w:tcW w:w="1450" w:type="dxa"/>
            <w:noWrap w:val="0"/>
            <w:vAlign w:val="top"/>
          </w:tcPr>
          <w:p>
            <w:pPr>
              <w:pStyle w:val="13"/>
              <w:rPr>
                <w:rFonts w:hint="eastAsia" w:ascii="宋体" w:hAnsi="宋体" w:cs="宋体"/>
                <w:color w:val="auto"/>
                <w:szCs w:val="21"/>
                <w:highlight w:val="none"/>
              </w:rPr>
            </w:pPr>
          </w:p>
        </w:tc>
        <w:tc>
          <w:tcPr>
            <w:tcW w:w="1564" w:type="dxa"/>
            <w:noWrap w:val="0"/>
            <w:vAlign w:val="top"/>
          </w:tcPr>
          <w:p>
            <w:pPr>
              <w:pStyle w:val="1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13"/>
              <w:rPr>
                <w:rFonts w:hint="eastAsia" w:ascii="宋体" w:hAnsi="宋体" w:cs="宋体"/>
                <w:color w:val="auto"/>
                <w:szCs w:val="21"/>
                <w:highlight w:val="none"/>
              </w:rPr>
            </w:pPr>
          </w:p>
        </w:tc>
        <w:tc>
          <w:tcPr>
            <w:tcW w:w="1067" w:type="dxa"/>
            <w:noWrap w:val="0"/>
            <w:vAlign w:val="top"/>
          </w:tcPr>
          <w:p>
            <w:pPr>
              <w:pStyle w:val="13"/>
              <w:rPr>
                <w:rFonts w:hint="eastAsia" w:ascii="宋体" w:hAnsi="宋体" w:cs="宋体"/>
                <w:color w:val="auto"/>
                <w:szCs w:val="21"/>
                <w:highlight w:val="none"/>
              </w:rPr>
            </w:pPr>
          </w:p>
        </w:tc>
        <w:tc>
          <w:tcPr>
            <w:tcW w:w="1450" w:type="dxa"/>
            <w:noWrap w:val="0"/>
            <w:vAlign w:val="top"/>
          </w:tcPr>
          <w:p>
            <w:pPr>
              <w:pStyle w:val="13"/>
              <w:rPr>
                <w:rFonts w:hint="eastAsia" w:ascii="宋体" w:hAnsi="宋体" w:cs="宋体"/>
                <w:color w:val="auto"/>
                <w:szCs w:val="21"/>
                <w:highlight w:val="none"/>
              </w:rPr>
            </w:pPr>
          </w:p>
        </w:tc>
        <w:tc>
          <w:tcPr>
            <w:tcW w:w="1243" w:type="dxa"/>
            <w:noWrap w:val="0"/>
            <w:vAlign w:val="top"/>
          </w:tcPr>
          <w:p>
            <w:pPr>
              <w:pStyle w:val="13"/>
              <w:rPr>
                <w:rFonts w:hint="eastAsia" w:ascii="宋体" w:hAnsi="宋体" w:cs="宋体"/>
                <w:color w:val="auto"/>
                <w:szCs w:val="21"/>
                <w:highlight w:val="none"/>
              </w:rPr>
            </w:pPr>
          </w:p>
        </w:tc>
        <w:tc>
          <w:tcPr>
            <w:tcW w:w="1450" w:type="dxa"/>
            <w:noWrap w:val="0"/>
            <w:vAlign w:val="top"/>
          </w:tcPr>
          <w:p>
            <w:pPr>
              <w:pStyle w:val="13"/>
              <w:rPr>
                <w:rFonts w:hint="eastAsia" w:ascii="宋体" w:hAnsi="宋体" w:cs="宋体"/>
                <w:color w:val="auto"/>
                <w:szCs w:val="21"/>
                <w:highlight w:val="none"/>
              </w:rPr>
            </w:pPr>
          </w:p>
        </w:tc>
        <w:tc>
          <w:tcPr>
            <w:tcW w:w="1564" w:type="dxa"/>
            <w:noWrap w:val="0"/>
            <w:vAlign w:val="top"/>
          </w:tcPr>
          <w:p>
            <w:pPr>
              <w:pStyle w:val="1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13"/>
              <w:rPr>
                <w:rFonts w:hint="eastAsia" w:ascii="宋体" w:hAnsi="宋体" w:cs="宋体"/>
                <w:color w:val="auto"/>
                <w:szCs w:val="21"/>
                <w:highlight w:val="none"/>
              </w:rPr>
            </w:pPr>
          </w:p>
        </w:tc>
        <w:tc>
          <w:tcPr>
            <w:tcW w:w="1067" w:type="dxa"/>
            <w:noWrap w:val="0"/>
            <w:vAlign w:val="top"/>
          </w:tcPr>
          <w:p>
            <w:pPr>
              <w:pStyle w:val="13"/>
              <w:rPr>
                <w:rFonts w:hint="eastAsia" w:ascii="宋体" w:hAnsi="宋体" w:cs="宋体"/>
                <w:color w:val="auto"/>
                <w:szCs w:val="21"/>
                <w:highlight w:val="none"/>
              </w:rPr>
            </w:pPr>
          </w:p>
        </w:tc>
        <w:tc>
          <w:tcPr>
            <w:tcW w:w="1450" w:type="dxa"/>
            <w:noWrap w:val="0"/>
            <w:vAlign w:val="top"/>
          </w:tcPr>
          <w:p>
            <w:pPr>
              <w:pStyle w:val="13"/>
              <w:rPr>
                <w:rFonts w:hint="eastAsia" w:ascii="宋体" w:hAnsi="宋体" w:cs="宋体"/>
                <w:color w:val="auto"/>
                <w:szCs w:val="21"/>
                <w:highlight w:val="none"/>
              </w:rPr>
            </w:pPr>
          </w:p>
        </w:tc>
        <w:tc>
          <w:tcPr>
            <w:tcW w:w="1243" w:type="dxa"/>
            <w:noWrap w:val="0"/>
            <w:vAlign w:val="top"/>
          </w:tcPr>
          <w:p>
            <w:pPr>
              <w:pStyle w:val="13"/>
              <w:rPr>
                <w:rFonts w:hint="eastAsia" w:ascii="宋体" w:hAnsi="宋体" w:cs="宋体"/>
                <w:color w:val="auto"/>
                <w:szCs w:val="21"/>
                <w:highlight w:val="none"/>
              </w:rPr>
            </w:pPr>
          </w:p>
        </w:tc>
        <w:tc>
          <w:tcPr>
            <w:tcW w:w="1450" w:type="dxa"/>
            <w:noWrap w:val="0"/>
            <w:vAlign w:val="top"/>
          </w:tcPr>
          <w:p>
            <w:pPr>
              <w:pStyle w:val="13"/>
              <w:rPr>
                <w:rFonts w:hint="eastAsia" w:ascii="宋体" w:hAnsi="宋体" w:cs="宋体"/>
                <w:color w:val="auto"/>
                <w:szCs w:val="21"/>
                <w:highlight w:val="none"/>
              </w:rPr>
            </w:pPr>
          </w:p>
        </w:tc>
        <w:tc>
          <w:tcPr>
            <w:tcW w:w="1564" w:type="dxa"/>
            <w:noWrap w:val="0"/>
            <w:vAlign w:val="top"/>
          </w:tcPr>
          <w:p>
            <w:pPr>
              <w:pStyle w:val="13"/>
              <w:rPr>
                <w:rFonts w:hint="eastAsia" w:ascii="宋体" w:hAnsi="宋体" w:cs="宋体"/>
                <w:color w:val="auto"/>
                <w:szCs w:val="21"/>
                <w:highlight w:val="none"/>
              </w:rPr>
            </w:pPr>
          </w:p>
        </w:tc>
      </w:tr>
    </w:tbl>
    <w:p>
      <w:pPr>
        <w:pStyle w:val="13"/>
        <w:spacing w:line="440" w:lineRule="exact"/>
        <w:rPr>
          <w:rFonts w:hint="eastAsia" w:ascii="宋体" w:hAnsi="宋体" w:cs="宋体"/>
          <w:color w:val="auto"/>
          <w:szCs w:val="21"/>
          <w:highlight w:val="none"/>
        </w:rPr>
      </w:pPr>
    </w:p>
    <w:p>
      <w:pPr>
        <w:pStyle w:val="13"/>
        <w:spacing w:line="440" w:lineRule="exact"/>
        <w:rPr>
          <w:rFonts w:hint="eastAsia" w:ascii="宋体" w:hAnsi="宋体" w:cs="宋体"/>
          <w:color w:val="auto"/>
          <w:szCs w:val="21"/>
          <w:highlight w:val="none"/>
        </w:rPr>
      </w:pPr>
      <w:r>
        <w:rPr>
          <w:rFonts w:hint="eastAsia" w:ascii="宋体" w:hAnsi="宋体" w:cs="宋体"/>
          <w:color w:val="auto"/>
          <w:szCs w:val="21"/>
          <w:highlight w:val="none"/>
        </w:rPr>
        <w:br w:type="page"/>
      </w:r>
      <w:bookmarkStart w:id="737" w:name="_Toc11178_WPSOffice_Level1"/>
      <w:r>
        <w:rPr>
          <w:rFonts w:hint="eastAsia" w:ascii="宋体" w:hAnsi="宋体" w:cs="宋体"/>
          <w:color w:val="auto"/>
          <w:szCs w:val="21"/>
          <w:highlight w:val="none"/>
        </w:rPr>
        <w:t>附</w:t>
      </w:r>
      <w:bookmarkStart w:id="738" w:name="_Toc296891267"/>
      <w:bookmarkStart w:id="739" w:name="_Toc267261698"/>
      <w:bookmarkStart w:id="740" w:name="_Toc296891055"/>
      <w:bookmarkStart w:id="741" w:name="_Toc296503227"/>
      <w:bookmarkStart w:id="742" w:name="_Toc296944566"/>
      <w:bookmarkStart w:id="743" w:name="_Toc296347226"/>
      <w:bookmarkStart w:id="744" w:name="_Toc296346728"/>
      <w:r>
        <w:rPr>
          <w:rFonts w:hint="eastAsia" w:ascii="宋体" w:hAnsi="宋体" w:cs="宋体"/>
          <w:color w:val="auto"/>
          <w:szCs w:val="21"/>
          <w:highlight w:val="none"/>
        </w:rPr>
        <w:t>件5：</w:t>
      </w:r>
      <w:bookmarkEnd w:id="737"/>
    </w:p>
    <w:bookmarkEnd w:id="738"/>
    <w:bookmarkEnd w:id="739"/>
    <w:bookmarkEnd w:id="740"/>
    <w:bookmarkEnd w:id="741"/>
    <w:bookmarkEnd w:id="742"/>
    <w:bookmarkEnd w:id="743"/>
    <w:bookmarkEnd w:id="744"/>
    <w:p>
      <w:pPr>
        <w:pStyle w:val="13"/>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承包人用于本工程施工的机械设备表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9"/>
        <w:gridCol w:w="1418"/>
        <w:gridCol w:w="850"/>
        <w:gridCol w:w="1058"/>
        <w:gridCol w:w="880"/>
        <w:gridCol w:w="806"/>
        <w:gridCol w:w="1310"/>
        <w:gridCol w:w="906"/>
        <w:gridCol w:w="6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29"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418"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机械或设备名称</w:t>
            </w:r>
          </w:p>
        </w:tc>
        <w:tc>
          <w:tcPr>
            <w:tcW w:w="850"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规格型号</w:t>
            </w:r>
          </w:p>
        </w:tc>
        <w:tc>
          <w:tcPr>
            <w:tcW w:w="1058"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880"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产地</w:t>
            </w:r>
          </w:p>
        </w:tc>
        <w:tc>
          <w:tcPr>
            <w:tcW w:w="806"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制造年份</w:t>
            </w:r>
          </w:p>
        </w:tc>
        <w:tc>
          <w:tcPr>
            <w:tcW w:w="1310"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额定功率(kW)</w:t>
            </w:r>
          </w:p>
        </w:tc>
        <w:tc>
          <w:tcPr>
            <w:tcW w:w="906"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生产能力</w:t>
            </w:r>
          </w:p>
        </w:tc>
        <w:tc>
          <w:tcPr>
            <w:tcW w:w="652"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Borders>
              <w:top w:val="doub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tcBorders>
              <w:top w:val="doub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0" w:type="dxa"/>
            <w:tcBorders>
              <w:top w:val="doub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058" w:type="dxa"/>
            <w:tcBorders>
              <w:top w:val="doub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80" w:type="dxa"/>
            <w:tcBorders>
              <w:top w:val="doub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06" w:type="dxa"/>
            <w:tcBorders>
              <w:top w:val="doub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310" w:type="dxa"/>
            <w:tcBorders>
              <w:top w:val="doub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06" w:type="dxa"/>
            <w:tcBorders>
              <w:top w:val="doub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652" w:type="dxa"/>
            <w:tcBorders>
              <w:top w:val="doub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0"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058"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80"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06"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310"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06"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652"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05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8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06"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31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06"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652"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05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8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06"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31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06"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652"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05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8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06"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31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06"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652"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05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8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06"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31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06"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652"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05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8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06"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31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06"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652"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05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8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06"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31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06"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652"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pPr>
              <w:pStyle w:val="13"/>
              <w:rPr>
                <w:rFonts w:hint="eastAsia" w:ascii="宋体" w:hAnsi="宋体" w:cs="宋体"/>
                <w:color w:val="auto"/>
                <w:szCs w:val="21"/>
                <w:highlight w:val="none"/>
              </w:rPr>
            </w:pPr>
          </w:p>
        </w:tc>
        <w:tc>
          <w:tcPr>
            <w:tcW w:w="1418" w:type="dxa"/>
            <w:noWrap w:val="0"/>
            <w:vAlign w:val="top"/>
          </w:tcPr>
          <w:p>
            <w:pPr>
              <w:pStyle w:val="13"/>
              <w:rPr>
                <w:rFonts w:hint="eastAsia" w:ascii="宋体" w:hAnsi="宋体" w:cs="宋体"/>
                <w:color w:val="auto"/>
                <w:szCs w:val="21"/>
                <w:highlight w:val="none"/>
              </w:rPr>
            </w:pPr>
          </w:p>
        </w:tc>
        <w:tc>
          <w:tcPr>
            <w:tcW w:w="850" w:type="dxa"/>
            <w:noWrap w:val="0"/>
            <w:vAlign w:val="top"/>
          </w:tcPr>
          <w:p>
            <w:pPr>
              <w:pStyle w:val="13"/>
              <w:rPr>
                <w:rFonts w:hint="eastAsia" w:ascii="宋体" w:hAnsi="宋体" w:cs="宋体"/>
                <w:color w:val="auto"/>
                <w:szCs w:val="21"/>
                <w:highlight w:val="none"/>
              </w:rPr>
            </w:pPr>
          </w:p>
        </w:tc>
        <w:tc>
          <w:tcPr>
            <w:tcW w:w="1058" w:type="dxa"/>
            <w:noWrap w:val="0"/>
            <w:vAlign w:val="top"/>
          </w:tcPr>
          <w:p>
            <w:pPr>
              <w:pStyle w:val="13"/>
              <w:rPr>
                <w:rFonts w:hint="eastAsia" w:ascii="宋体" w:hAnsi="宋体" w:cs="宋体"/>
                <w:color w:val="auto"/>
                <w:szCs w:val="21"/>
                <w:highlight w:val="none"/>
              </w:rPr>
            </w:pPr>
          </w:p>
        </w:tc>
        <w:tc>
          <w:tcPr>
            <w:tcW w:w="880" w:type="dxa"/>
            <w:noWrap w:val="0"/>
            <w:vAlign w:val="top"/>
          </w:tcPr>
          <w:p>
            <w:pPr>
              <w:pStyle w:val="13"/>
              <w:rPr>
                <w:rFonts w:hint="eastAsia" w:ascii="宋体" w:hAnsi="宋体" w:cs="宋体"/>
                <w:color w:val="auto"/>
                <w:szCs w:val="21"/>
                <w:highlight w:val="none"/>
              </w:rPr>
            </w:pPr>
          </w:p>
        </w:tc>
        <w:tc>
          <w:tcPr>
            <w:tcW w:w="806" w:type="dxa"/>
            <w:noWrap w:val="0"/>
            <w:vAlign w:val="top"/>
          </w:tcPr>
          <w:p>
            <w:pPr>
              <w:pStyle w:val="13"/>
              <w:rPr>
                <w:rFonts w:hint="eastAsia" w:ascii="宋体" w:hAnsi="宋体" w:cs="宋体"/>
                <w:color w:val="auto"/>
                <w:szCs w:val="21"/>
                <w:highlight w:val="none"/>
              </w:rPr>
            </w:pPr>
          </w:p>
        </w:tc>
        <w:tc>
          <w:tcPr>
            <w:tcW w:w="1310" w:type="dxa"/>
            <w:noWrap w:val="0"/>
            <w:vAlign w:val="top"/>
          </w:tcPr>
          <w:p>
            <w:pPr>
              <w:pStyle w:val="13"/>
              <w:rPr>
                <w:rFonts w:hint="eastAsia" w:ascii="宋体" w:hAnsi="宋体" w:cs="宋体"/>
                <w:color w:val="auto"/>
                <w:szCs w:val="21"/>
                <w:highlight w:val="none"/>
              </w:rPr>
            </w:pPr>
          </w:p>
        </w:tc>
        <w:tc>
          <w:tcPr>
            <w:tcW w:w="906" w:type="dxa"/>
            <w:noWrap w:val="0"/>
            <w:vAlign w:val="top"/>
          </w:tcPr>
          <w:p>
            <w:pPr>
              <w:pStyle w:val="13"/>
              <w:rPr>
                <w:rFonts w:hint="eastAsia" w:ascii="宋体" w:hAnsi="宋体" w:cs="宋体"/>
                <w:color w:val="auto"/>
                <w:szCs w:val="21"/>
                <w:highlight w:val="none"/>
              </w:rPr>
            </w:pPr>
          </w:p>
        </w:tc>
        <w:tc>
          <w:tcPr>
            <w:tcW w:w="652" w:type="dxa"/>
            <w:noWrap w:val="0"/>
            <w:vAlign w:val="top"/>
          </w:tcPr>
          <w:p>
            <w:pPr>
              <w:pStyle w:val="1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5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05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8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806"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31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06"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652"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pPr>
              <w:pStyle w:val="13"/>
              <w:rPr>
                <w:rFonts w:hint="eastAsia" w:ascii="宋体" w:hAnsi="宋体" w:cs="宋体"/>
                <w:color w:val="auto"/>
                <w:szCs w:val="21"/>
                <w:highlight w:val="none"/>
              </w:rPr>
            </w:pPr>
          </w:p>
        </w:tc>
        <w:tc>
          <w:tcPr>
            <w:tcW w:w="1418" w:type="dxa"/>
            <w:noWrap w:val="0"/>
            <w:vAlign w:val="top"/>
          </w:tcPr>
          <w:p>
            <w:pPr>
              <w:pStyle w:val="13"/>
              <w:rPr>
                <w:rFonts w:hint="eastAsia" w:ascii="宋体" w:hAnsi="宋体" w:cs="宋体"/>
                <w:color w:val="auto"/>
                <w:szCs w:val="21"/>
                <w:highlight w:val="none"/>
              </w:rPr>
            </w:pPr>
          </w:p>
        </w:tc>
        <w:tc>
          <w:tcPr>
            <w:tcW w:w="850" w:type="dxa"/>
            <w:noWrap w:val="0"/>
            <w:vAlign w:val="top"/>
          </w:tcPr>
          <w:p>
            <w:pPr>
              <w:pStyle w:val="13"/>
              <w:rPr>
                <w:rFonts w:hint="eastAsia" w:ascii="宋体" w:hAnsi="宋体" w:cs="宋体"/>
                <w:color w:val="auto"/>
                <w:szCs w:val="21"/>
                <w:highlight w:val="none"/>
              </w:rPr>
            </w:pPr>
          </w:p>
        </w:tc>
        <w:tc>
          <w:tcPr>
            <w:tcW w:w="1058" w:type="dxa"/>
            <w:noWrap w:val="0"/>
            <w:vAlign w:val="top"/>
          </w:tcPr>
          <w:p>
            <w:pPr>
              <w:pStyle w:val="13"/>
              <w:rPr>
                <w:rFonts w:hint="eastAsia" w:ascii="宋体" w:hAnsi="宋体" w:cs="宋体"/>
                <w:color w:val="auto"/>
                <w:szCs w:val="21"/>
                <w:highlight w:val="none"/>
              </w:rPr>
            </w:pPr>
          </w:p>
        </w:tc>
        <w:tc>
          <w:tcPr>
            <w:tcW w:w="880" w:type="dxa"/>
            <w:noWrap w:val="0"/>
            <w:vAlign w:val="top"/>
          </w:tcPr>
          <w:p>
            <w:pPr>
              <w:pStyle w:val="13"/>
              <w:rPr>
                <w:rFonts w:hint="eastAsia" w:ascii="宋体" w:hAnsi="宋体" w:cs="宋体"/>
                <w:color w:val="auto"/>
                <w:szCs w:val="21"/>
                <w:highlight w:val="none"/>
              </w:rPr>
            </w:pPr>
          </w:p>
        </w:tc>
        <w:tc>
          <w:tcPr>
            <w:tcW w:w="806" w:type="dxa"/>
            <w:noWrap w:val="0"/>
            <w:vAlign w:val="top"/>
          </w:tcPr>
          <w:p>
            <w:pPr>
              <w:pStyle w:val="13"/>
              <w:rPr>
                <w:rFonts w:hint="eastAsia" w:ascii="宋体" w:hAnsi="宋体" w:cs="宋体"/>
                <w:color w:val="auto"/>
                <w:szCs w:val="21"/>
                <w:highlight w:val="none"/>
              </w:rPr>
            </w:pPr>
          </w:p>
        </w:tc>
        <w:tc>
          <w:tcPr>
            <w:tcW w:w="1310" w:type="dxa"/>
            <w:noWrap w:val="0"/>
            <w:vAlign w:val="top"/>
          </w:tcPr>
          <w:p>
            <w:pPr>
              <w:pStyle w:val="13"/>
              <w:rPr>
                <w:rFonts w:hint="eastAsia" w:ascii="宋体" w:hAnsi="宋体" w:cs="宋体"/>
                <w:color w:val="auto"/>
                <w:szCs w:val="21"/>
                <w:highlight w:val="none"/>
              </w:rPr>
            </w:pPr>
          </w:p>
        </w:tc>
        <w:tc>
          <w:tcPr>
            <w:tcW w:w="906" w:type="dxa"/>
            <w:noWrap w:val="0"/>
            <w:vAlign w:val="top"/>
          </w:tcPr>
          <w:p>
            <w:pPr>
              <w:pStyle w:val="13"/>
              <w:rPr>
                <w:rFonts w:hint="eastAsia" w:ascii="宋体" w:hAnsi="宋体" w:cs="宋体"/>
                <w:color w:val="auto"/>
                <w:szCs w:val="21"/>
                <w:highlight w:val="none"/>
              </w:rPr>
            </w:pPr>
          </w:p>
        </w:tc>
        <w:tc>
          <w:tcPr>
            <w:tcW w:w="652" w:type="dxa"/>
            <w:noWrap w:val="0"/>
            <w:vAlign w:val="top"/>
          </w:tcPr>
          <w:p>
            <w:pPr>
              <w:pStyle w:val="1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pPr>
              <w:pStyle w:val="13"/>
              <w:rPr>
                <w:rFonts w:hint="eastAsia" w:ascii="宋体" w:hAnsi="宋体" w:cs="宋体"/>
                <w:color w:val="auto"/>
                <w:szCs w:val="21"/>
                <w:highlight w:val="none"/>
              </w:rPr>
            </w:pPr>
          </w:p>
        </w:tc>
        <w:tc>
          <w:tcPr>
            <w:tcW w:w="1418" w:type="dxa"/>
            <w:noWrap w:val="0"/>
            <w:vAlign w:val="top"/>
          </w:tcPr>
          <w:p>
            <w:pPr>
              <w:pStyle w:val="13"/>
              <w:rPr>
                <w:rFonts w:hint="eastAsia" w:ascii="宋体" w:hAnsi="宋体" w:cs="宋体"/>
                <w:color w:val="auto"/>
                <w:szCs w:val="21"/>
                <w:highlight w:val="none"/>
              </w:rPr>
            </w:pPr>
          </w:p>
        </w:tc>
        <w:tc>
          <w:tcPr>
            <w:tcW w:w="850" w:type="dxa"/>
            <w:noWrap w:val="0"/>
            <w:vAlign w:val="top"/>
          </w:tcPr>
          <w:p>
            <w:pPr>
              <w:pStyle w:val="13"/>
              <w:rPr>
                <w:rFonts w:hint="eastAsia" w:ascii="宋体" w:hAnsi="宋体" w:cs="宋体"/>
                <w:color w:val="auto"/>
                <w:szCs w:val="21"/>
                <w:highlight w:val="none"/>
              </w:rPr>
            </w:pPr>
          </w:p>
        </w:tc>
        <w:tc>
          <w:tcPr>
            <w:tcW w:w="1058" w:type="dxa"/>
            <w:noWrap w:val="0"/>
            <w:vAlign w:val="top"/>
          </w:tcPr>
          <w:p>
            <w:pPr>
              <w:pStyle w:val="13"/>
              <w:rPr>
                <w:rFonts w:hint="eastAsia" w:ascii="宋体" w:hAnsi="宋体" w:cs="宋体"/>
                <w:color w:val="auto"/>
                <w:szCs w:val="21"/>
                <w:highlight w:val="none"/>
              </w:rPr>
            </w:pPr>
          </w:p>
        </w:tc>
        <w:tc>
          <w:tcPr>
            <w:tcW w:w="880" w:type="dxa"/>
            <w:noWrap w:val="0"/>
            <w:vAlign w:val="top"/>
          </w:tcPr>
          <w:p>
            <w:pPr>
              <w:pStyle w:val="13"/>
              <w:rPr>
                <w:rFonts w:hint="eastAsia" w:ascii="宋体" w:hAnsi="宋体" w:cs="宋体"/>
                <w:color w:val="auto"/>
                <w:szCs w:val="21"/>
                <w:highlight w:val="none"/>
              </w:rPr>
            </w:pPr>
          </w:p>
        </w:tc>
        <w:tc>
          <w:tcPr>
            <w:tcW w:w="806" w:type="dxa"/>
            <w:noWrap w:val="0"/>
            <w:vAlign w:val="top"/>
          </w:tcPr>
          <w:p>
            <w:pPr>
              <w:pStyle w:val="13"/>
              <w:rPr>
                <w:rFonts w:hint="eastAsia" w:ascii="宋体" w:hAnsi="宋体" w:cs="宋体"/>
                <w:color w:val="auto"/>
                <w:szCs w:val="21"/>
                <w:highlight w:val="none"/>
              </w:rPr>
            </w:pPr>
          </w:p>
        </w:tc>
        <w:tc>
          <w:tcPr>
            <w:tcW w:w="1310" w:type="dxa"/>
            <w:noWrap w:val="0"/>
            <w:vAlign w:val="top"/>
          </w:tcPr>
          <w:p>
            <w:pPr>
              <w:pStyle w:val="13"/>
              <w:rPr>
                <w:rFonts w:hint="eastAsia" w:ascii="宋体" w:hAnsi="宋体" w:cs="宋体"/>
                <w:color w:val="auto"/>
                <w:szCs w:val="21"/>
                <w:highlight w:val="none"/>
              </w:rPr>
            </w:pPr>
          </w:p>
        </w:tc>
        <w:tc>
          <w:tcPr>
            <w:tcW w:w="906" w:type="dxa"/>
            <w:noWrap w:val="0"/>
            <w:vAlign w:val="top"/>
          </w:tcPr>
          <w:p>
            <w:pPr>
              <w:pStyle w:val="13"/>
              <w:rPr>
                <w:rFonts w:hint="eastAsia" w:ascii="宋体" w:hAnsi="宋体" w:cs="宋体"/>
                <w:color w:val="auto"/>
                <w:szCs w:val="21"/>
                <w:highlight w:val="none"/>
              </w:rPr>
            </w:pPr>
          </w:p>
        </w:tc>
        <w:tc>
          <w:tcPr>
            <w:tcW w:w="652" w:type="dxa"/>
            <w:noWrap w:val="0"/>
            <w:vAlign w:val="top"/>
          </w:tcPr>
          <w:p>
            <w:pPr>
              <w:pStyle w:val="1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pPr>
              <w:pStyle w:val="13"/>
              <w:rPr>
                <w:rFonts w:hint="eastAsia" w:ascii="宋体" w:hAnsi="宋体" w:cs="宋体"/>
                <w:color w:val="auto"/>
                <w:szCs w:val="21"/>
                <w:highlight w:val="none"/>
              </w:rPr>
            </w:pPr>
          </w:p>
        </w:tc>
        <w:tc>
          <w:tcPr>
            <w:tcW w:w="1418" w:type="dxa"/>
            <w:noWrap w:val="0"/>
            <w:vAlign w:val="top"/>
          </w:tcPr>
          <w:p>
            <w:pPr>
              <w:pStyle w:val="13"/>
              <w:rPr>
                <w:rFonts w:hint="eastAsia" w:ascii="宋体" w:hAnsi="宋体" w:cs="宋体"/>
                <w:color w:val="auto"/>
                <w:szCs w:val="21"/>
                <w:highlight w:val="none"/>
              </w:rPr>
            </w:pPr>
          </w:p>
        </w:tc>
        <w:tc>
          <w:tcPr>
            <w:tcW w:w="850" w:type="dxa"/>
            <w:noWrap w:val="0"/>
            <w:vAlign w:val="top"/>
          </w:tcPr>
          <w:p>
            <w:pPr>
              <w:pStyle w:val="13"/>
              <w:rPr>
                <w:rFonts w:hint="eastAsia" w:ascii="宋体" w:hAnsi="宋体" w:cs="宋体"/>
                <w:color w:val="auto"/>
                <w:szCs w:val="21"/>
                <w:highlight w:val="none"/>
              </w:rPr>
            </w:pPr>
          </w:p>
        </w:tc>
        <w:tc>
          <w:tcPr>
            <w:tcW w:w="1058" w:type="dxa"/>
            <w:noWrap w:val="0"/>
            <w:vAlign w:val="top"/>
          </w:tcPr>
          <w:p>
            <w:pPr>
              <w:pStyle w:val="13"/>
              <w:rPr>
                <w:rFonts w:hint="eastAsia" w:ascii="宋体" w:hAnsi="宋体" w:cs="宋体"/>
                <w:color w:val="auto"/>
                <w:szCs w:val="21"/>
                <w:highlight w:val="none"/>
              </w:rPr>
            </w:pPr>
          </w:p>
        </w:tc>
        <w:tc>
          <w:tcPr>
            <w:tcW w:w="880" w:type="dxa"/>
            <w:noWrap w:val="0"/>
            <w:vAlign w:val="top"/>
          </w:tcPr>
          <w:p>
            <w:pPr>
              <w:pStyle w:val="13"/>
              <w:rPr>
                <w:rFonts w:hint="eastAsia" w:ascii="宋体" w:hAnsi="宋体" w:cs="宋体"/>
                <w:color w:val="auto"/>
                <w:szCs w:val="21"/>
                <w:highlight w:val="none"/>
              </w:rPr>
            </w:pPr>
          </w:p>
        </w:tc>
        <w:tc>
          <w:tcPr>
            <w:tcW w:w="806" w:type="dxa"/>
            <w:noWrap w:val="0"/>
            <w:vAlign w:val="top"/>
          </w:tcPr>
          <w:p>
            <w:pPr>
              <w:pStyle w:val="13"/>
              <w:rPr>
                <w:rFonts w:hint="eastAsia" w:ascii="宋体" w:hAnsi="宋体" w:cs="宋体"/>
                <w:color w:val="auto"/>
                <w:szCs w:val="21"/>
                <w:highlight w:val="none"/>
              </w:rPr>
            </w:pPr>
          </w:p>
        </w:tc>
        <w:tc>
          <w:tcPr>
            <w:tcW w:w="1310" w:type="dxa"/>
            <w:noWrap w:val="0"/>
            <w:vAlign w:val="top"/>
          </w:tcPr>
          <w:p>
            <w:pPr>
              <w:pStyle w:val="13"/>
              <w:rPr>
                <w:rFonts w:hint="eastAsia" w:ascii="宋体" w:hAnsi="宋体" w:cs="宋体"/>
                <w:color w:val="auto"/>
                <w:szCs w:val="21"/>
                <w:highlight w:val="none"/>
              </w:rPr>
            </w:pPr>
          </w:p>
        </w:tc>
        <w:tc>
          <w:tcPr>
            <w:tcW w:w="906" w:type="dxa"/>
            <w:noWrap w:val="0"/>
            <w:vAlign w:val="top"/>
          </w:tcPr>
          <w:p>
            <w:pPr>
              <w:pStyle w:val="13"/>
              <w:rPr>
                <w:rFonts w:hint="eastAsia" w:ascii="宋体" w:hAnsi="宋体" w:cs="宋体"/>
                <w:color w:val="auto"/>
                <w:szCs w:val="21"/>
                <w:highlight w:val="none"/>
              </w:rPr>
            </w:pPr>
          </w:p>
        </w:tc>
        <w:tc>
          <w:tcPr>
            <w:tcW w:w="652" w:type="dxa"/>
            <w:noWrap w:val="0"/>
            <w:vAlign w:val="top"/>
          </w:tcPr>
          <w:p>
            <w:pPr>
              <w:pStyle w:val="1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pPr>
              <w:pStyle w:val="13"/>
              <w:rPr>
                <w:rFonts w:hint="eastAsia" w:ascii="宋体" w:hAnsi="宋体" w:cs="宋体"/>
                <w:color w:val="auto"/>
                <w:szCs w:val="21"/>
                <w:highlight w:val="none"/>
              </w:rPr>
            </w:pPr>
          </w:p>
        </w:tc>
        <w:tc>
          <w:tcPr>
            <w:tcW w:w="1418" w:type="dxa"/>
            <w:noWrap w:val="0"/>
            <w:vAlign w:val="top"/>
          </w:tcPr>
          <w:p>
            <w:pPr>
              <w:pStyle w:val="13"/>
              <w:rPr>
                <w:rFonts w:hint="eastAsia" w:ascii="宋体" w:hAnsi="宋体" w:cs="宋体"/>
                <w:color w:val="auto"/>
                <w:szCs w:val="21"/>
                <w:highlight w:val="none"/>
              </w:rPr>
            </w:pPr>
          </w:p>
        </w:tc>
        <w:tc>
          <w:tcPr>
            <w:tcW w:w="850" w:type="dxa"/>
            <w:noWrap w:val="0"/>
            <w:vAlign w:val="top"/>
          </w:tcPr>
          <w:p>
            <w:pPr>
              <w:pStyle w:val="13"/>
              <w:rPr>
                <w:rFonts w:hint="eastAsia" w:ascii="宋体" w:hAnsi="宋体" w:cs="宋体"/>
                <w:color w:val="auto"/>
                <w:szCs w:val="21"/>
                <w:highlight w:val="none"/>
              </w:rPr>
            </w:pPr>
          </w:p>
        </w:tc>
        <w:tc>
          <w:tcPr>
            <w:tcW w:w="1058" w:type="dxa"/>
            <w:noWrap w:val="0"/>
            <w:vAlign w:val="top"/>
          </w:tcPr>
          <w:p>
            <w:pPr>
              <w:pStyle w:val="13"/>
              <w:rPr>
                <w:rFonts w:hint="eastAsia" w:ascii="宋体" w:hAnsi="宋体" w:cs="宋体"/>
                <w:color w:val="auto"/>
                <w:szCs w:val="21"/>
                <w:highlight w:val="none"/>
              </w:rPr>
            </w:pPr>
          </w:p>
        </w:tc>
        <w:tc>
          <w:tcPr>
            <w:tcW w:w="880" w:type="dxa"/>
            <w:noWrap w:val="0"/>
            <w:vAlign w:val="top"/>
          </w:tcPr>
          <w:p>
            <w:pPr>
              <w:pStyle w:val="13"/>
              <w:rPr>
                <w:rFonts w:hint="eastAsia" w:ascii="宋体" w:hAnsi="宋体" w:cs="宋体"/>
                <w:color w:val="auto"/>
                <w:szCs w:val="21"/>
                <w:highlight w:val="none"/>
              </w:rPr>
            </w:pPr>
          </w:p>
        </w:tc>
        <w:tc>
          <w:tcPr>
            <w:tcW w:w="806" w:type="dxa"/>
            <w:noWrap w:val="0"/>
            <w:vAlign w:val="top"/>
          </w:tcPr>
          <w:p>
            <w:pPr>
              <w:pStyle w:val="13"/>
              <w:rPr>
                <w:rFonts w:hint="eastAsia" w:ascii="宋体" w:hAnsi="宋体" w:cs="宋体"/>
                <w:color w:val="auto"/>
                <w:szCs w:val="21"/>
                <w:highlight w:val="none"/>
              </w:rPr>
            </w:pPr>
          </w:p>
        </w:tc>
        <w:tc>
          <w:tcPr>
            <w:tcW w:w="1310" w:type="dxa"/>
            <w:noWrap w:val="0"/>
            <w:vAlign w:val="top"/>
          </w:tcPr>
          <w:p>
            <w:pPr>
              <w:pStyle w:val="13"/>
              <w:rPr>
                <w:rFonts w:hint="eastAsia" w:ascii="宋体" w:hAnsi="宋体" w:cs="宋体"/>
                <w:color w:val="auto"/>
                <w:szCs w:val="21"/>
                <w:highlight w:val="none"/>
              </w:rPr>
            </w:pPr>
          </w:p>
        </w:tc>
        <w:tc>
          <w:tcPr>
            <w:tcW w:w="906" w:type="dxa"/>
            <w:noWrap w:val="0"/>
            <w:vAlign w:val="top"/>
          </w:tcPr>
          <w:p>
            <w:pPr>
              <w:pStyle w:val="13"/>
              <w:rPr>
                <w:rFonts w:hint="eastAsia" w:ascii="宋体" w:hAnsi="宋体" w:cs="宋体"/>
                <w:color w:val="auto"/>
                <w:szCs w:val="21"/>
                <w:highlight w:val="none"/>
              </w:rPr>
            </w:pPr>
          </w:p>
        </w:tc>
        <w:tc>
          <w:tcPr>
            <w:tcW w:w="652" w:type="dxa"/>
            <w:noWrap w:val="0"/>
            <w:vAlign w:val="top"/>
          </w:tcPr>
          <w:p>
            <w:pPr>
              <w:pStyle w:val="1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pPr>
              <w:pStyle w:val="13"/>
              <w:rPr>
                <w:rFonts w:hint="eastAsia" w:ascii="宋体" w:hAnsi="宋体" w:cs="宋体"/>
                <w:color w:val="auto"/>
                <w:szCs w:val="21"/>
                <w:highlight w:val="none"/>
              </w:rPr>
            </w:pPr>
          </w:p>
        </w:tc>
        <w:tc>
          <w:tcPr>
            <w:tcW w:w="1418" w:type="dxa"/>
            <w:noWrap w:val="0"/>
            <w:vAlign w:val="top"/>
          </w:tcPr>
          <w:p>
            <w:pPr>
              <w:pStyle w:val="13"/>
              <w:rPr>
                <w:rFonts w:hint="eastAsia" w:ascii="宋体" w:hAnsi="宋体" w:cs="宋体"/>
                <w:color w:val="auto"/>
                <w:szCs w:val="21"/>
                <w:highlight w:val="none"/>
              </w:rPr>
            </w:pPr>
          </w:p>
        </w:tc>
        <w:tc>
          <w:tcPr>
            <w:tcW w:w="850" w:type="dxa"/>
            <w:noWrap w:val="0"/>
            <w:vAlign w:val="top"/>
          </w:tcPr>
          <w:p>
            <w:pPr>
              <w:pStyle w:val="13"/>
              <w:rPr>
                <w:rFonts w:hint="eastAsia" w:ascii="宋体" w:hAnsi="宋体" w:cs="宋体"/>
                <w:color w:val="auto"/>
                <w:szCs w:val="21"/>
                <w:highlight w:val="none"/>
              </w:rPr>
            </w:pPr>
          </w:p>
        </w:tc>
        <w:tc>
          <w:tcPr>
            <w:tcW w:w="1058" w:type="dxa"/>
            <w:noWrap w:val="0"/>
            <w:vAlign w:val="top"/>
          </w:tcPr>
          <w:p>
            <w:pPr>
              <w:pStyle w:val="13"/>
              <w:rPr>
                <w:rFonts w:hint="eastAsia" w:ascii="宋体" w:hAnsi="宋体" w:cs="宋体"/>
                <w:color w:val="auto"/>
                <w:szCs w:val="21"/>
                <w:highlight w:val="none"/>
              </w:rPr>
            </w:pPr>
          </w:p>
        </w:tc>
        <w:tc>
          <w:tcPr>
            <w:tcW w:w="880" w:type="dxa"/>
            <w:noWrap w:val="0"/>
            <w:vAlign w:val="top"/>
          </w:tcPr>
          <w:p>
            <w:pPr>
              <w:pStyle w:val="13"/>
              <w:rPr>
                <w:rFonts w:hint="eastAsia" w:ascii="宋体" w:hAnsi="宋体" w:cs="宋体"/>
                <w:color w:val="auto"/>
                <w:szCs w:val="21"/>
                <w:highlight w:val="none"/>
              </w:rPr>
            </w:pPr>
          </w:p>
        </w:tc>
        <w:tc>
          <w:tcPr>
            <w:tcW w:w="806" w:type="dxa"/>
            <w:noWrap w:val="0"/>
            <w:vAlign w:val="top"/>
          </w:tcPr>
          <w:p>
            <w:pPr>
              <w:pStyle w:val="13"/>
              <w:rPr>
                <w:rFonts w:hint="eastAsia" w:ascii="宋体" w:hAnsi="宋体" w:cs="宋体"/>
                <w:color w:val="auto"/>
                <w:szCs w:val="21"/>
                <w:highlight w:val="none"/>
              </w:rPr>
            </w:pPr>
          </w:p>
        </w:tc>
        <w:tc>
          <w:tcPr>
            <w:tcW w:w="1310" w:type="dxa"/>
            <w:noWrap w:val="0"/>
            <w:vAlign w:val="top"/>
          </w:tcPr>
          <w:p>
            <w:pPr>
              <w:pStyle w:val="13"/>
              <w:rPr>
                <w:rFonts w:hint="eastAsia" w:ascii="宋体" w:hAnsi="宋体" w:cs="宋体"/>
                <w:color w:val="auto"/>
                <w:szCs w:val="21"/>
                <w:highlight w:val="none"/>
              </w:rPr>
            </w:pPr>
          </w:p>
        </w:tc>
        <w:tc>
          <w:tcPr>
            <w:tcW w:w="906" w:type="dxa"/>
            <w:noWrap w:val="0"/>
            <w:vAlign w:val="top"/>
          </w:tcPr>
          <w:p>
            <w:pPr>
              <w:pStyle w:val="13"/>
              <w:rPr>
                <w:rFonts w:hint="eastAsia" w:ascii="宋体" w:hAnsi="宋体" w:cs="宋体"/>
                <w:color w:val="auto"/>
                <w:szCs w:val="21"/>
                <w:highlight w:val="none"/>
              </w:rPr>
            </w:pPr>
          </w:p>
        </w:tc>
        <w:tc>
          <w:tcPr>
            <w:tcW w:w="652" w:type="dxa"/>
            <w:noWrap w:val="0"/>
            <w:vAlign w:val="top"/>
          </w:tcPr>
          <w:p>
            <w:pPr>
              <w:pStyle w:val="1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pPr>
              <w:pStyle w:val="13"/>
              <w:rPr>
                <w:rFonts w:hint="eastAsia" w:ascii="宋体" w:hAnsi="宋体" w:cs="宋体"/>
                <w:color w:val="auto"/>
                <w:szCs w:val="21"/>
                <w:highlight w:val="none"/>
              </w:rPr>
            </w:pPr>
          </w:p>
        </w:tc>
        <w:tc>
          <w:tcPr>
            <w:tcW w:w="1418" w:type="dxa"/>
            <w:noWrap w:val="0"/>
            <w:vAlign w:val="top"/>
          </w:tcPr>
          <w:p>
            <w:pPr>
              <w:pStyle w:val="13"/>
              <w:rPr>
                <w:rFonts w:hint="eastAsia" w:ascii="宋体" w:hAnsi="宋体" w:cs="宋体"/>
                <w:color w:val="auto"/>
                <w:szCs w:val="21"/>
                <w:highlight w:val="none"/>
              </w:rPr>
            </w:pPr>
          </w:p>
        </w:tc>
        <w:tc>
          <w:tcPr>
            <w:tcW w:w="850" w:type="dxa"/>
            <w:noWrap w:val="0"/>
            <w:vAlign w:val="top"/>
          </w:tcPr>
          <w:p>
            <w:pPr>
              <w:pStyle w:val="13"/>
              <w:rPr>
                <w:rFonts w:hint="eastAsia" w:ascii="宋体" w:hAnsi="宋体" w:cs="宋体"/>
                <w:color w:val="auto"/>
                <w:szCs w:val="21"/>
                <w:highlight w:val="none"/>
              </w:rPr>
            </w:pPr>
          </w:p>
        </w:tc>
        <w:tc>
          <w:tcPr>
            <w:tcW w:w="1058" w:type="dxa"/>
            <w:noWrap w:val="0"/>
            <w:vAlign w:val="top"/>
          </w:tcPr>
          <w:p>
            <w:pPr>
              <w:pStyle w:val="13"/>
              <w:rPr>
                <w:rFonts w:hint="eastAsia" w:ascii="宋体" w:hAnsi="宋体" w:cs="宋体"/>
                <w:color w:val="auto"/>
                <w:szCs w:val="21"/>
                <w:highlight w:val="none"/>
              </w:rPr>
            </w:pPr>
          </w:p>
        </w:tc>
        <w:tc>
          <w:tcPr>
            <w:tcW w:w="880" w:type="dxa"/>
            <w:noWrap w:val="0"/>
            <w:vAlign w:val="top"/>
          </w:tcPr>
          <w:p>
            <w:pPr>
              <w:pStyle w:val="13"/>
              <w:rPr>
                <w:rFonts w:hint="eastAsia" w:ascii="宋体" w:hAnsi="宋体" w:cs="宋体"/>
                <w:color w:val="auto"/>
                <w:szCs w:val="21"/>
                <w:highlight w:val="none"/>
              </w:rPr>
            </w:pPr>
          </w:p>
        </w:tc>
        <w:tc>
          <w:tcPr>
            <w:tcW w:w="806" w:type="dxa"/>
            <w:noWrap w:val="0"/>
            <w:vAlign w:val="top"/>
          </w:tcPr>
          <w:p>
            <w:pPr>
              <w:pStyle w:val="13"/>
              <w:rPr>
                <w:rFonts w:hint="eastAsia" w:ascii="宋体" w:hAnsi="宋体" w:cs="宋体"/>
                <w:color w:val="auto"/>
                <w:szCs w:val="21"/>
                <w:highlight w:val="none"/>
              </w:rPr>
            </w:pPr>
          </w:p>
        </w:tc>
        <w:tc>
          <w:tcPr>
            <w:tcW w:w="1310" w:type="dxa"/>
            <w:noWrap w:val="0"/>
            <w:vAlign w:val="top"/>
          </w:tcPr>
          <w:p>
            <w:pPr>
              <w:pStyle w:val="13"/>
              <w:rPr>
                <w:rFonts w:hint="eastAsia" w:ascii="宋体" w:hAnsi="宋体" w:cs="宋体"/>
                <w:color w:val="auto"/>
                <w:szCs w:val="21"/>
                <w:highlight w:val="none"/>
              </w:rPr>
            </w:pPr>
          </w:p>
        </w:tc>
        <w:tc>
          <w:tcPr>
            <w:tcW w:w="906" w:type="dxa"/>
            <w:noWrap w:val="0"/>
            <w:vAlign w:val="top"/>
          </w:tcPr>
          <w:p>
            <w:pPr>
              <w:pStyle w:val="13"/>
              <w:rPr>
                <w:rFonts w:hint="eastAsia" w:ascii="宋体" w:hAnsi="宋体" w:cs="宋体"/>
                <w:color w:val="auto"/>
                <w:szCs w:val="21"/>
                <w:highlight w:val="none"/>
              </w:rPr>
            </w:pPr>
          </w:p>
        </w:tc>
        <w:tc>
          <w:tcPr>
            <w:tcW w:w="652" w:type="dxa"/>
            <w:noWrap w:val="0"/>
            <w:vAlign w:val="top"/>
          </w:tcPr>
          <w:p>
            <w:pPr>
              <w:pStyle w:val="1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pPr>
              <w:pStyle w:val="13"/>
              <w:rPr>
                <w:rFonts w:hint="eastAsia" w:ascii="宋体" w:hAnsi="宋体" w:cs="宋体"/>
                <w:color w:val="auto"/>
                <w:szCs w:val="21"/>
                <w:highlight w:val="none"/>
              </w:rPr>
            </w:pPr>
          </w:p>
        </w:tc>
        <w:tc>
          <w:tcPr>
            <w:tcW w:w="1418" w:type="dxa"/>
            <w:noWrap w:val="0"/>
            <w:vAlign w:val="top"/>
          </w:tcPr>
          <w:p>
            <w:pPr>
              <w:pStyle w:val="13"/>
              <w:rPr>
                <w:rFonts w:hint="eastAsia" w:ascii="宋体" w:hAnsi="宋体" w:cs="宋体"/>
                <w:color w:val="auto"/>
                <w:szCs w:val="21"/>
                <w:highlight w:val="none"/>
              </w:rPr>
            </w:pPr>
          </w:p>
        </w:tc>
        <w:tc>
          <w:tcPr>
            <w:tcW w:w="850" w:type="dxa"/>
            <w:noWrap w:val="0"/>
            <w:vAlign w:val="top"/>
          </w:tcPr>
          <w:p>
            <w:pPr>
              <w:pStyle w:val="13"/>
              <w:rPr>
                <w:rFonts w:hint="eastAsia" w:ascii="宋体" w:hAnsi="宋体" w:cs="宋体"/>
                <w:color w:val="auto"/>
                <w:szCs w:val="21"/>
                <w:highlight w:val="none"/>
              </w:rPr>
            </w:pPr>
          </w:p>
        </w:tc>
        <w:tc>
          <w:tcPr>
            <w:tcW w:w="1058" w:type="dxa"/>
            <w:noWrap w:val="0"/>
            <w:vAlign w:val="top"/>
          </w:tcPr>
          <w:p>
            <w:pPr>
              <w:pStyle w:val="13"/>
              <w:rPr>
                <w:rFonts w:hint="eastAsia" w:ascii="宋体" w:hAnsi="宋体" w:cs="宋体"/>
                <w:color w:val="auto"/>
                <w:szCs w:val="21"/>
                <w:highlight w:val="none"/>
              </w:rPr>
            </w:pPr>
          </w:p>
        </w:tc>
        <w:tc>
          <w:tcPr>
            <w:tcW w:w="880" w:type="dxa"/>
            <w:noWrap w:val="0"/>
            <w:vAlign w:val="top"/>
          </w:tcPr>
          <w:p>
            <w:pPr>
              <w:pStyle w:val="13"/>
              <w:rPr>
                <w:rFonts w:hint="eastAsia" w:ascii="宋体" w:hAnsi="宋体" w:cs="宋体"/>
                <w:color w:val="auto"/>
                <w:szCs w:val="21"/>
                <w:highlight w:val="none"/>
              </w:rPr>
            </w:pPr>
          </w:p>
        </w:tc>
        <w:tc>
          <w:tcPr>
            <w:tcW w:w="806" w:type="dxa"/>
            <w:noWrap w:val="0"/>
            <w:vAlign w:val="top"/>
          </w:tcPr>
          <w:p>
            <w:pPr>
              <w:pStyle w:val="13"/>
              <w:rPr>
                <w:rFonts w:hint="eastAsia" w:ascii="宋体" w:hAnsi="宋体" w:cs="宋体"/>
                <w:color w:val="auto"/>
                <w:szCs w:val="21"/>
                <w:highlight w:val="none"/>
              </w:rPr>
            </w:pPr>
          </w:p>
        </w:tc>
        <w:tc>
          <w:tcPr>
            <w:tcW w:w="1310" w:type="dxa"/>
            <w:noWrap w:val="0"/>
            <w:vAlign w:val="top"/>
          </w:tcPr>
          <w:p>
            <w:pPr>
              <w:pStyle w:val="13"/>
              <w:rPr>
                <w:rFonts w:hint="eastAsia" w:ascii="宋体" w:hAnsi="宋体" w:cs="宋体"/>
                <w:color w:val="auto"/>
                <w:szCs w:val="21"/>
                <w:highlight w:val="none"/>
              </w:rPr>
            </w:pPr>
          </w:p>
        </w:tc>
        <w:tc>
          <w:tcPr>
            <w:tcW w:w="906" w:type="dxa"/>
            <w:noWrap w:val="0"/>
            <w:vAlign w:val="top"/>
          </w:tcPr>
          <w:p>
            <w:pPr>
              <w:pStyle w:val="13"/>
              <w:rPr>
                <w:rFonts w:hint="eastAsia" w:ascii="宋体" w:hAnsi="宋体" w:cs="宋体"/>
                <w:color w:val="auto"/>
                <w:szCs w:val="21"/>
                <w:highlight w:val="none"/>
              </w:rPr>
            </w:pPr>
          </w:p>
        </w:tc>
        <w:tc>
          <w:tcPr>
            <w:tcW w:w="652" w:type="dxa"/>
            <w:noWrap w:val="0"/>
            <w:vAlign w:val="top"/>
          </w:tcPr>
          <w:p>
            <w:pPr>
              <w:pStyle w:val="1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pPr>
              <w:pStyle w:val="13"/>
              <w:rPr>
                <w:rFonts w:hint="eastAsia" w:ascii="宋体" w:hAnsi="宋体" w:cs="宋体"/>
                <w:color w:val="auto"/>
                <w:szCs w:val="21"/>
                <w:highlight w:val="none"/>
              </w:rPr>
            </w:pPr>
          </w:p>
        </w:tc>
        <w:tc>
          <w:tcPr>
            <w:tcW w:w="1418" w:type="dxa"/>
            <w:noWrap w:val="0"/>
            <w:vAlign w:val="top"/>
          </w:tcPr>
          <w:p>
            <w:pPr>
              <w:pStyle w:val="13"/>
              <w:rPr>
                <w:rFonts w:hint="eastAsia" w:ascii="宋体" w:hAnsi="宋体" w:cs="宋体"/>
                <w:color w:val="auto"/>
                <w:szCs w:val="21"/>
                <w:highlight w:val="none"/>
              </w:rPr>
            </w:pPr>
          </w:p>
        </w:tc>
        <w:tc>
          <w:tcPr>
            <w:tcW w:w="850" w:type="dxa"/>
            <w:noWrap w:val="0"/>
            <w:vAlign w:val="top"/>
          </w:tcPr>
          <w:p>
            <w:pPr>
              <w:pStyle w:val="13"/>
              <w:rPr>
                <w:rFonts w:hint="eastAsia" w:ascii="宋体" w:hAnsi="宋体" w:cs="宋体"/>
                <w:color w:val="auto"/>
                <w:szCs w:val="21"/>
                <w:highlight w:val="none"/>
              </w:rPr>
            </w:pPr>
          </w:p>
        </w:tc>
        <w:tc>
          <w:tcPr>
            <w:tcW w:w="1058" w:type="dxa"/>
            <w:noWrap w:val="0"/>
            <w:vAlign w:val="top"/>
          </w:tcPr>
          <w:p>
            <w:pPr>
              <w:pStyle w:val="13"/>
              <w:rPr>
                <w:rFonts w:hint="eastAsia" w:ascii="宋体" w:hAnsi="宋体" w:cs="宋体"/>
                <w:color w:val="auto"/>
                <w:szCs w:val="21"/>
                <w:highlight w:val="none"/>
              </w:rPr>
            </w:pPr>
          </w:p>
        </w:tc>
        <w:tc>
          <w:tcPr>
            <w:tcW w:w="880" w:type="dxa"/>
            <w:noWrap w:val="0"/>
            <w:vAlign w:val="top"/>
          </w:tcPr>
          <w:p>
            <w:pPr>
              <w:pStyle w:val="13"/>
              <w:rPr>
                <w:rFonts w:hint="eastAsia" w:ascii="宋体" w:hAnsi="宋体" w:cs="宋体"/>
                <w:color w:val="auto"/>
                <w:szCs w:val="21"/>
                <w:highlight w:val="none"/>
              </w:rPr>
            </w:pPr>
          </w:p>
        </w:tc>
        <w:tc>
          <w:tcPr>
            <w:tcW w:w="806" w:type="dxa"/>
            <w:noWrap w:val="0"/>
            <w:vAlign w:val="top"/>
          </w:tcPr>
          <w:p>
            <w:pPr>
              <w:pStyle w:val="13"/>
              <w:rPr>
                <w:rFonts w:hint="eastAsia" w:ascii="宋体" w:hAnsi="宋体" w:cs="宋体"/>
                <w:color w:val="auto"/>
                <w:szCs w:val="21"/>
                <w:highlight w:val="none"/>
              </w:rPr>
            </w:pPr>
          </w:p>
        </w:tc>
        <w:tc>
          <w:tcPr>
            <w:tcW w:w="1310" w:type="dxa"/>
            <w:noWrap w:val="0"/>
            <w:vAlign w:val="top"/>
          </w:tcPr>
          <w:p>
            <w:pPr>
              <w:pStyle w:val="13"/>
              <w:rPr>
                <w:rFonts w:hint="eastAsia" w:ascii="宋体" w:hAnsi="宋体" w:cs="宋体"/>
                <w:color w:val="auto"/>
                <w:szCs w:val="21"/>
                <w:highlight w:val="none"/>
              </w:rPr>
            </w:pPr>
          </w:p>
        </w:tc>
        <w:tc>
          <w:tcPr>
            <w:tcW w:w="906" w:type="dxa"/>
            <w:noWrap w:val="0"/>
            <w:vAlign w:val="top"/>
          </w:tcPr>
          <w:p>
            <w:pPr>
              <w:pStyle w:val="13"/>
              <w:rPr>
                <w:rFonts w:hint="eastAsia" w:ascii="宋体" w:hAnsi="宋体" w:cs="宋体"/>
                <w:color w:val="auto"/>
                <w:szCs w:val="21"/>
                <w:highlight w:val="none"/>
              </w:rPr>
            </w:pPr>
          </w:p>
        </w:tc>
        <w:tc>
          <w:tcPr>
            <w:tcW w:w="652" w:type="dxa"/>
            <w:noWrap w:val="0"/>
            <w:vAlign w:val="top"/>
          </w:tcPr>
          <w:p>
            <w:pPr>
              <w:pStyle w:val="1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pPr>
              <w:pStyle w:val="13"/>
              <w:rPr>
                <w:rFonts w:hint="eastAsia" w:ascii="宋体" w:hAnsi="宋体" w:cs="宋体"/>
                <w:color w:val="auto"/>
                <w:szCs w:val="21"/>
                <w:highlight w:val="none"/>
              </w:rPr>
            </w:pPr>
          </w:p>
        </w:tc>
        <w:tc>
          <w:tcPr>
            <w:tcW w:w="1418" w:type="dxa"/>
            <w:noWrap w:val="0"/>
            <w:vAlign w:val="top"/>
          </w:tcPr>
          <w:p>
            <w:pPr>
              <w:pStyle w:val="13"/>
              <w:rPr>
                <w:rFonts w:hint="eastAsia" w:ascii="宋体" w:hAnsi="宋体" w:cs="宋体"/>
                <w:color w:val="auto"/>
                <w:szCs w:val="21"/>
                <w:highlight w:val="none"/>
              </w:rPr>
            </w:pPr>
          </w:p>
        </w:tc>
        <w:tc>
          <w:tcPr>
            <w:tcW w:w="850" w:type="dxa"/>
            <w:noWrap w:val="0"/>
            <w:vAlign w:val="top"/>
          </w:tcPr>
          <w:p>
            <w:pPr>
              <w:pStyle w:val="13"/>
              <w:rPr>
                <w:rFonts w:hint="eastAsia" w:ascii="宋体" w:hAnsi="宋体" w:cs="宋体"/>
                <w:color w:val="auto"/>
                <w:szCs w:val="21"/>
                <w:highlight w:val="none"/>
              </w:rPr>
            </w:pPr>
          </w:p>
        </w:tc>
        <w:tc>
          <w:tcPr>
            <w:tcW w:w="1058" w:type="dxa"/>
            <w:noWrap w:val="0"/>
            <w:vAlign w:val="top"/>
          </w:tcPr>
          <w:p>
            <w:pPr>
              <w:pStyle w:val="13"/>
              <w:rPr>
                <w:rFonts w:hint="eastAsia" w:ascii="宋体" w:hAnsi="宋体" w:cs="宋体"/>
                <w:color w:val="auto"/>
                <w:szCs w:val="21"/>
                <w:highlight w:val="none"/>
              </w:rPr>
            </w:pPr>
          </w:p>
        </w:tc>
        <w:tc>
          <w:tcPr>
            <w:tcW w:w="880" w:type="dxa"/>
            <w:noWrap w:val="0"/>
            <w:vAlign w:val="top"/>
          </w:tcPr>
          <w:p>
            <w:pPr>
              <w:pStyle w:val="13"/>
              <w:rPr>
                <w:rFonts w:hint="eastAsia" w:ascii="宋体" w:hAnsi="宋体" w:cs="宋体"/>
                <w:color w:val="auto"/>
                <w:szCs w:val="21"/>
                <w:highlight w:val="none"/>
              </w:rPr>
            </w:pPr>
          </w:p>
        </w:tc>
        <w:tc>
          <w:tcPr>
            <w:tcW w:w="806" w:type="dxa"/>
            <w:noWrap w:val="0"/>
            <w:vAlign w:val="top"/>
          </w:tcPr>
          <w:p>
            <w:pPr>
              <w:pStyle w:val="13"/>
              <w:rPr>
                <w:rFonts w:hint="eastAsia" w:ascii="宋体" w:hAnsi="宋体" w:cs="宋体"/>
                <w:color w:val="auto"/>
                <w:szCs w:val="21"/>
                <w:highlight w:val="none"/>
              </w:rPr>
            </w:pPr>
          </w:p>
        </w:tc>
        <w:tc>
          <w:tcPr>
            <w:tcW w:w="1310" w:type="dxa"/>
            <w:noWrap w:val="0"/>
            <w:vAlign w:val="top"/>
          </w:tcPr>
          <w:p>
            <w:pPr>
              <w:pStyle w:val="13"/>
              <w:rPr>
                <w:rFonts w:hint="eastAsia" w:ascii="宋体" w:hAnsi="宋体" w:cs="宋体"/>
                <w:color w:val="auto"/>
                <w:szCs w:val="21"/>
                <w:highlight w:val="none"/>
              </w:rPr>
            </w:pPr>
          </w:p>
        </w:tc>
        <w:tc>
          <w:tcPr>
            <w:tcW w:w="906" w:type="dxa"/>
            <w:noWrap w:val="0"/>
            <w:vAlign w:val="top"/>
          </w:tcPr>
          <w:p>
            <w:pPr>
              <w:pStyle w:val="13"/>
              <w:rPr>
                <w:rFonts w:hint="eastAsia" w:ascii="宋体" w:hAnsi="宋体" w:cs="宋体"/>
                <w:color w:val="auto"/>
                <w:szCs w:val="21"/>
                <w:highlight w:val="none"/>
              </w:rPr>
            </w:pPr>
          </w:p>
        </w:tc>
        <w:tc>
          <w:tcPr>
            <w:tcW w:w="652" w:type="dxa"/>
            <w:noWrap w:val="0"/>
            <w:vAlign w:val="top"/>
          </w:tcPr>
          <w:p>
            <w:pPr>
              <w:pStyle w:val="13"/>
              <w:rPr>
                <w:rFonts w:hint="eastAsia" w:ascii="宋体" w:hAnsi="宋体" w:cs="宋体"/>
                <w:color w:val="auto"/>
                <w:szCs w:val="21"/>
                <w:highlight w:val="none"/>
              </w:rPr>
            </w:pPr>
          </w:p>
        </w:tc>
      </w:tr>
    </w:tbl>
    <w:p>
      <w:pPr>
        <w:pStyle w:val="13"/>
        <w:spacing w:line="440" w:lineRule="exact"/>
        <w:rPr>
          <w:rFonts w:hint="eastAsia" w:ascii="宋体" w:hAnsi="宋体" w:cs="宋体"/>
          <w:color w:val="auto"/>
          <w:szCs w:val="21"/>
          <w:highlight w:val="none"/>
        </w:rPr>
      </w:pPr>
    </w:p>
    <w:p>
      <w:pPr>
        <w:pStyle w:val="13"/>
        <w:spacing w:line="440" w:lineRule="exact"/>
        <w:rPr>
          <w:rFonts w:hint="eastAsia" w:ascii="宋体" w:hAnsi="宋体" w:cs="宋体"/>
          <w:color w:val="auto"/>
          <w:szCs w:val="21"/>
          <w:highlight w:val="none"/>
        </w:rPr>
      </w:pPr>
      <w:bookmarkStart w:id="745" w:name="_Toc7696_WPSOffice_Level1"/>
    </w:p>
    <w:p>
      <w:pPr>
        <w:pStyle w:val="13"/>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附件6：</w:t>
      </w:r>
      <w:bookmarkEnd w:id="745"/>
    </w:p>
    <w:p>
      <w:pPr>
        <w:pStyle w:val="13"/>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承包人主要施工管理人员表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148"/>
        <w:gridCol w:w="941"/>
        <w:gridCol w:w="1134"/>
        <w:gridCol w:w="36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名    称</w:t>
            </w:r>
          </w:p>
        </w:tc>
        <w:tc>
          <w:tcPr>
            <w:tcW w:w="1148"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941"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1134"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3660"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54" w:type="dxa"/>
            <w:gridSpan w:val="5"/>
            <w:tcBorders>
              <w:top w:val="doub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项目主管</w:t>
            </w:r>
          </w:p>
        </w:tc>
        <w:tc>
          <w:tcPr>
            <w:tcW w:w="1148"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41"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134"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3660"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14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41"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13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366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其他人员</w:t>
            </w:r>
          </w:p>
        </w:tc>
        <w:tc>
          <w:tcPr>
            <w:tcW w:w="114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41"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13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366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14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41"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13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366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54" w:type="dxa"/>
            <w:gridSpan w:val="5"/>
            <w:tcBorders>
              <w:top w:val="sing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114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41"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13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366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项目副经理</w:t>
            </w:r>
          </w:p>
        </w:tc>
        <w:tc>
          <w:tcPr>
            <w:tcW w:w="114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41"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13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366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技术负责人</w:t>
            </w:r>
          </w:p>
        </w:tc>
        <w:tc>
          <w:tcPr>
            <w:tcW w:w="114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41"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13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366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造价管理</w:t>
            </w:r>
          </w:p>
        </w:tc>
        <w:tc>
          <w:tcPr>
            <w:tcW w:w="114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41"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13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366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质量管理</w:t>
            </w:r>
          </w:p>
        </w:tc>
        <w:tc>
          <w:tcPr>
            <w:tcW w:w="114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41"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13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366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材料管理</w:t>
            </w:r>
          </w:p>
        </w:tc>
        <w:tc>
          <w:tcPr>
            <w:tcW w:w="114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41"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13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366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计划管理</w:t>
            </w:r>
          </w:p>
        </w:tc>
        <w:tc>
          <w:tcPr>
            <w:tcW w:w="114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41"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13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366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安全管理</w:t>
            </w:r>
          </w:p>
        </w:tc>
        <w:tc>
          <w:tcPr>
            <w:tcW w:w="114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41"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13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366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其他人员</w:t>
            </w:r>
          </w:p>
        </w:tc>
        <w:tc>
          <w:tcPr>
            <w:tcW w:w="114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41"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13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366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148" w:type="dxa"/>
            <w:tcBorders>
              <w:bottom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41" w:type="dxa"/>
            <w:tcBorders>
              <w:bottom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134" w:type="dxa"/>
            <w:tcBorders>
              <w:bottom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3660" w:type="dxa"/>
            <w:tcBorders>
              <w:bottom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14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41"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13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366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14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41"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13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366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14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41"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13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3660"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148" w:type="dxa"/>
            <w:tcBorders>
              <w:bottom w:val="single" w:color="auto" w:sz="12"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41" w:type="dxa"/>
            <w:tcBorders>
              <w:bottom w:val="single" w:color="auto" w:sz="12"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134" w:type="dxa"/>
            <w:tcBorders>
              <w:bottom w:val="single" w:color="auto" w:sz="12"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3660" w:type="dxa"/>
            <w:tcBorders>
              <w:bottom w:val="single" w:color="auto" w:sz="12"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bl>
    <w:p>
      <w:pPr>
        <w:pStyle w:val="13"/>
        <w:spacing w:line="440" w:lineRule="exact"/>
        <w:rPr>
          <w:rFonts w:hint="eastAsia" w:ascii="宋体" w:hAnsi="宋体" w:cs="宋体"/>
          <w:color w:val="auto"/>
          <w:szCs w:val="21"/>
          <w:highlight w:val="none"/>
        </w:rPr>
      </w:pPr>
      <w:r>
        <w:rPr>
          <w:rFonts w:hint="eastAsia" w:ascii="宋体" w:hAnsi="宋体" w:cs="宋体"/>
          <w:color w:val="auto"/>
          <w:szCs w:val="21"/>
          <w:highlight w:val="none"/>
        </w:rPr>
        <w:br w:type="page"/>
      </w:r>
      <w:bookmarkStart w:id="746" w:name="_Toc17866_WPSOffice_Level1"/>
      <w:r>
        <w:rPr>
          <w:rFonts w:hint="eastAsia" w:ascii="宋体" w:hAnsi="宋体" w:cs="宋体"/>
          <w:color w:val="auto"/>
          <w:szCs w:val="21"/>
          <w:highlight w:val="none"/>
        </w:rPr>
        <w:t>附件7：</w:t>
      </w:r>
      <w:bookmarkEnd w:id="746"/>
    </w:p>
    <w:p>
      <w:pPr>
        <w:pStyle w:val="13"/>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分包人主要施工管理人员表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63"/>
        <w:gridCol w:w="1418"/>
        <w:gridCol w:w="928"/>
        <w:gridCol w:w="902"/>
        <w:gridCol w:w="38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名    称</w:t>
            </w:r>
          </w:p>
        </w:tc>
        <w:tc>
          <w:tcPr>
            <w:tcW w:w="1418"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928"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902"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3814" w:type="dxa"/>
            <w:tcBorders>
              <w:top w:val="single" w:color="auto" w:sz="12" w:space="0"/>
              <w:bottom w:val="doub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25" w:type="dxa"/>
            <w:gridSpan w:val="5"/>
            <w:tcBorders>
              <w:top w:val="doub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项目主管</w:t>
            </w:r>
          </w:p>
        </w:tc>
        <w:tc>
          <w:tcPr>
            <w:tcW w:w="1418"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28"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02"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3814" w:type="dxa"/>
            <w:tcBorders>
              <w:top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2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02"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381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其他人员</w:t>
            </w:r>
          </w:p>
        </w:tc>
        <w:tc>
          <w:tcPr>
            <w:tcW w:w="141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2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02"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381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2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02"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381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25" w:type="dxa"/>
            <w:gridSpan w:val="5"/>
            <w:tcBorders>
              <w:top w:val="sing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141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2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02"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381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项目副经理</w:t>
            </w:r>
          </w:p>
        </w:tc>
        <w:tc>
          <w:tcPr>
            <w:tcW w:w="141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2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02"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381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技术负责人</w:t>
            </w:r>
          </w:p>
        </w:tc>
        <w:tc>
          <w:tcPr>
            <w:tcW w:w="141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2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02"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381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造价管理</w:t>
            </w:r>
          </w:p>
        </w:tc>
        <w:tc>
          <w:tcPr>
            <w:tcW w:w="141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2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02"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381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质量管理</w:t>
            </w:r>
          </w:p>
        </w:tc>
        <w:tc>
          <w:tcPr>
            <w:tcW w:w="141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2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02"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381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材料管理</w:t>
            </w:r>
          </w:p>
        </w:tc>
        <w:tc>
          <w:tcPr>
            <w:tcW w:w="141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2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02"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381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计划管理</w:t>
            </w:r>
          </w:p>
        </w:tc>
        <w:tc>
          <w:tcPr>
            <w:tcW w:w="141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2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02"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381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安全管理</w:t>
            </w:r>
          </w:p>
        </w:tc>
        <w:tc>
          <w:tcPr>
            <w:tcW w:w="141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2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02"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381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restart"/>
            <w:tcBorders>
              <w:top w:val="single" w:color="auto" w:sz="6"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其他人员</w:t>
            </w:r>
          </w:p>
        </w:tc>
        <w:tc>
          <w:tcPr>
            <w:tcW w:w="141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2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02"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381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tcBorders>
              <w:bottom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28" w:type="dxa"/>
            <w:tcBorders>
              <w:bottom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02" w:type="dxa"/>
            <w:tcBorders>
              <w:bottom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3814" w:type="dxa"/>
            <w:tcBorders>
              <w:bottom w:val="nil"/>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2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02"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381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2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02"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381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28"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02"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3814" w:type="dxa"/>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tcBorders>
              <w:bottom w:val="single" w:color="auto" w:sz="12"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tcBorders>
              <w:bottom w:val="single" w:color="auto" w:sz="12"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28" w:type="dxa"/>
            <w:tcBorders>
              <w:bottom w:val="single" w:color="auto" w:sz="12"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902" w:type="dxa"/>
            <w:tcBorders>
              <w:bottom w:val="single" w:color="auto" w:sz="12"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c>
          <w:tcPr>
            <w:tcW w:w="3814" w:type="dxa"/>
            <w:tcBorders>
              <w:bottom w:val="single" w:color="auto" w:sz="12" w:space="0"/>
            </w:tcBorders>
            <w:noWrap w:val="0"/>
            <w:vAlign w:val="center"/>
          </w:tcPr>
          <w:p>
            <w:pPr>
              <w:pStyle w:val="16"/>
              <w:keepNext/>
              <w:spacing w:after="0" w:line="440" w:lineRule="exact"/>
              <w:ind w:left="0" w:leftChars="0" w:right="0" w:rightChars="0"/>
              <w:rPr>
                <w:rFonts w:hint="eastAsia" w:ascii="宋体" w:hAnsi="宋体" w:cs="宋体"/>
                <w:color w:val="auto"/>
                <w:szCs w:val="21"/>
                <w:highlight w:val="none"/>
              </w:rPr>
            </w:pPr>
          </w:p>
        </w:tc>
      </w:tr>
    </w:tbl>
    <w:p>
      <w:pPr>
        <w:pStyle w:val="13"/>
        <w:spacing w:line="440" w:lineRule="exact"/>
        <w:rPr>
          <w:rFonts w:hint="eastAsia" w:ascii="宋体" w:hAnsi="宋体" w:cs="宋体"/>
          <w:color w:val="auto"/>
          <w:szCs w:val="21"/>
          <w:highlight w:val="none"/>
        </w:rPr>
      </w:pPr>
      <w:r>
        <w:rPr>
          <w:rFonts w:hint="eastAsia" w:ascii="宋体" w:hAnsi="宋体" w:cs="宋体"/>
          <w:color w:val="auto"/>
          <w:szCs w:val="21"/>
          <w:highlight w:val="none"/>
        </w:rPr>
        <w:br w:type="page"/>
      </w:r>
      <w:bookmarkStart w:id="747" w:name="_Toc11148_WPSOffice_Level1"/>
      <w:r>
        <w:rPr>
          <w:rFonts w:hint="eastAsia" w:ascii="宋体" w:hAnsi="宋体" w:cs="宋体"/>
          <w:color w:val="auto"/>
          <w:szCs w:val="21"/>
          <w:highlight w:val="none"/>
        </w:rPr>
        <w:t>附件8：</w:t>
      </w:r>
      <w:bookmarkEnd w:id="747"/>
    </w:p>
    <w:p>
      <w:pPr>
        <w:pStyle w:val="13"/>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履约担保</w:t>
      </w:r>
    </w:p>
    <w:p>
      <w:pPr>
        <w:pStyle w:val="13"/>
        <w:spacing w:line="40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（发包人名称）：</w:t>
      </w:r>
    </w:p>
    <w:p>
      <w:pPr>
        <w:pStyle w:val="13"/>
        <w:spacing w:line="400" w:lineRule="exact"/>
        <w:rPr>
          <w:rFonts w:hint="eastAsia" w:ascii="宋体" w:hAnsi="宋体" w:cs="宋体"/>
          <w:color w:val="auto"/>
          <w:szCs w:val="21"/>
          <w:highlight w:val="none"/>
        </w:rPr>
      </w:pPr>
    </w:p>
    <w:p>
      <w:pPr>
        <w:pStyle w:val="13"/>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（发包人名称，以下简称“发包人”）与</w:t>
      </w:r>
    </w:p>
    <w:p>
      <w:pPr>
        <w:pStyle w:val="13"/>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（承包人名称）（以下称“承包人”）于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（工程名称）施工及有关事项协商一致共同签订《建设工程施工合同》。我方愿意无条件地、不可撤销地就承包人履行与你方签订的合同，向你方提供连带责任担保。 </w:t>
      </w:r>
    </w:p>
    <w:p>
      <w:pPr>
        <w:pStyle w:val="13"/>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担保金额人民币（大写）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13"/>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担保有效期自你方与承包人签订的合同生效之日起至你方签发或应签发工程接收证书之日止。</w:t>
      </w:r>
    </w:p>
    <w:p>
      <w:pPr>
        <w:pStyle w:val="13"/>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在本担保有效期内，因承包人违反合同约定的义务给你方造成经济损失时，我方在收到你方以书面形式提出的在担保金额内的赔偿要求后，在7天内无条件支付。</w:t>
      </w:r>
    </w:p>
    <w:p>
      <w:pPr>
        <w:pStyle w:val="13"/>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你方和承包人按合同约定变更合同时，我方承担本担保规定的义务不变。</w:t>
      </w:r>
    </w:p>
    <w:p>
      <w:pPr>
        <w:pStyle w:val="13"/>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 因本保函发生的纠纷，可由双方协商解决，协商不成的，任何一方均可提请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仲裁委员会仲裁。</w:t>
      </w:r>
    </w:p>
    <w:p>
      <w:pPr>
        <w:pStyle w:val="13"/>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 本保函自我方法定代表人（或其授权代理人）签字并加盖公章之日起生效。</w:t>
      </w:r>
    </w:p>
    <w:p>
      <w:pPr>
        <w:pStyle w:val="13"/>
        <w:spacing w:line="400" w:lineRule="exact"/>
        <w:rPr>
          <w:rFonts w:hint="eastAsia" w:ascii="宋体" w:hAnsi="宋体" w:cs="宋体"/>
          <w:color w:val="auto"/>
          <w:szCs w:val="21"/>
          <w:highlight w:val="none"/>
        </w:rPr>
      </w:pPr>
    </w:p>
    <w:p>
      <w:pPr>
        <w:pStyle w:val="13"/>
        <w:spacing w:line="400" w:lineRule="exact"/>
        <w:rPr>
          <w:rFonts w:hint="eastAsia" w:ascii="宋体" w:hAnsi="宋体" w:cs="宋体"/>
          <w:color w:val="auto"/>
          <w:szCs w:val="21"/>
          <w:highlight w:val="none"/>
        </w:rPr>
      </w:pPr>
      <w:r>
        <w:rPr>
          <w:rFonts w:hint="eastAsia" w:ascii="宋体" w:hAnsi="宋体" w:cs="宋体"/>
          <w:color w:val="auto"/>
          <w:szCs w:val="21"/>
          <w:highlight w:val="none"/>
        </w:rPr>
        <w:t>担 保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pStyle w:val="13"/>
        <w:spacing w:line="400" w:lineRule="exact"/>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pStyle w:val="13"/>
        <w:spacing w:line="400" w:lineRule="exact"/>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pPr>
        <w:pStyle w:val="13"/>
        <w:spacing w:line="400" w:lineRule="exact"/>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pPr>
        <w:pStyle w:val="13"/>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pPr>
        <w:pStyle w:val="13"/>
        <w:spacing w:line="400" w:lineRule="exact"/>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pPr>
        <w:pStyle w:val="13"/>
        <w:spacing w:line="400" w:lineRule="exact"/>
        <w:jc w:val="left"/>
        <w:rPr>
          <w:rFonts w:hint="eastAsia" w:ascii="宋体" w:hAnsi="宋体" w:cs="宋体"/>
          <w:color w:val="auto"/>
          <w:szCs w:val="21"/>
          <w:highlight w:val="none"/>
          <w:u w:val="single"/>
        </w:rPr>
      </w:pPr>
    </w:p>
    <w:p>
      <w:pPr>
        <w:pStyle w:val="13"/>
        <w:spacing w:line="400" w:lineRule="exact"/>
        <w:ind w:left="1329" w:hanging="1329" w:hangingChars="633"/>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pStyle w:val="13"/>
        <w:spacing w:line="360" w:lineRule="auto"/>
        <w:ind w:left="1329" w:hanging="1329" w:hangingChars="633"/>
        <w:rPr>
          <w:rFonts w:hint="eastAsia" w:ascii="宋体" w:hAnsi="宋体" w:cs="宋体"/>
          <w:color w:val="auto"/>
          <w:szCs w:val="21"/>
          <w:highlight w:val="none"/>
        </w:rPr>
      </w:pPr>
    </w:p>
    <w:p>
      <w:pPr>
        <w:pStyle w:val="13"/>
        <w:spacing w:line="360" w:lineRule="auto"/>
        <w:ind w:left="1329" w:hanging="1329" w:hangingChars="633"/>
        <w:rPr>
          <w:rFonts w:hint="eastAsia" w:ascii="宋体" w:hAnsi="宋体" w:cs="宋体"/>
          <w:color w:val="auto"/>
          <w:szCs w:val="21"/>
          <w:highlight w:val="none"/>
        </w:rPr>
      </w:pPr>
    </w:p>
    <w:p>
      <w:pPr>
        <w:pStyle w:val="13"/>
        <w:spacing w:line="360" w:lineRule="auto"/>
        <w:ind w:left="1329" w:hanging="1329" w:hangingChars="633"/>
        <w:rPr>
          <w:rFonts w:hint="eastAsia" w:ascii="宋体" w:hAnsi="宋体" w:cs="宋体"/>
          <w:color w:val="auto"/>
          <w:szCs w:val="21"/>
          <w:highlight w:val="none"/>
        </w:rPr>
      </w:pPr>
    </w:p>
    <w:p>
      <w:pPr>
        <w:pStyle w:val="13"/>
        <w:spacing w:line="360" w:lineRule="auto"/>
        <w:ind w:left="1329" w:hanging="1329" w:hangingChars="633"/>
        <w:rPr>
          <w:rFonts w:hint="eastAsia" w:ascii="宋体" w:hAnsi="宋体" w:cs="宋体"/>
          <w:color w:val="auto"/>
          <w:szCs w:val="21"/>
          <w:highlight w:val="none"/>
        </w:rPr>
      </w:pPr>
    </w:p>
    <w:p>
      <w:pPr>
        <w:pStyle w:val="13"/>
        <w:spacing w:line="360" w:lineRule="auto"/>
        <w:ind w:left="1329" w:hanging="1329" w:hangingChars="633"/>
        <w:rPr>
          <w:rFonts w:hint="eastAsia" w:ascii="宋体" w:hAnsi="宋体" w:cs="宋体"/>
          <w:color w:val="auto"/>
          <w:szCs w:val="21"/>
          <w:highlight w:val="none"/>
        </w:rPr>
      </w:pPr>
    </w:p>
    <w:p>
      <w:pPr>
        <w:pStyle w:val="13"/>
        <w:spacing w:line="360" w:lineRule="auto"/>
        <w:ind w:left="1329" w:hanging="1329" w:hangingChars="633"/>
        <w:rPr>
          <w:rFonts w:hint="eastAsia" w:ascii="宋体" w:hAnsi="宋体" w:cs="宋体"/>
          <w:color w:val="auto"/>
          <w:szCs w:val="21"/>
          <w:highlight w:val="none"/>
        </w:rPr>
      </w:pPr>
    </w:p>
    <w:p>
      <w:pPr>
        <w:pStyle w:val="13"/>
        <w:spacing w:line="360" w:lineRule="auto"/>
        <w:ind w:left="1329" w:hanging="1329" w:hangingChars="633"/>
        <w:rPr>
          <w:rFonts w:hint="eastAsia" w:ascii="宋体" w:hAnsi="宋体" w:cs="宋体"/>
          <w:color w:val="auto"/>
          <w:szCs w:val="21"/>
          <w:highlight w:val="none"/>
        </w:rPr>
      </w:pPr>
    </w:p>
    <w:p>
      <w:pPr>
        <w:pStyle w:val="13"/>
        <w:spacing w:line="360" w:lineRule="auto"/>
        <w:rPr>
          <w:rFonts w:hint="eastAsia" w:ascii="宋体" w:hAnsi="宋体" w:cs="宋体"/>
          <w:color w:val="auto"/>
          <w:szCs w:val="21"/>
          <w:highlight w:val="none"/>
        </w:rPr>
      </w:pPr>
      <w:bookmarkStart w:id="748" w:name="_Toc5735_WPSOffice_Level1"/>
      <w:r>
        <w:rPr>
          <w:rFonts w:hint="eastAsia" w:ascii="宋体" w:hAnsi="宋体" w:cs="宋体"/>
          <w:color w:val="auto"/>
          <w:szCs w:val="21"/>
          <w:highlight w:val="none"/>
        </w:rPr>
        <w:t>附</w:t>
      </w:r>
      <w:bookmarkStart w:id="749" w:name="_Toc296944571"/>
      <w:bookmarkStart w:id="750" w:name="_Toc296503232"/>
      <w:bookmarkStart w:id="751" w:name="_Toc296891272"/>
      <w:bookmarkStart w:id="752" w:name="_Toc296891060"/>
      <w:bookmarkStart w:id="753" w:name="_Toc296347231"/>
      <w:bookmarkStart w:id="754" w:name="_Toc267261702"/>
      <w:bookmarkStart w:id="755" w:name="_Toc296346733"/>
      <w:r>
        <w:rPr>
          <w:rFonts w:hint="eastAsia" w:ascii="宋体" w:hAnsi="宋体" w:cs="宋体"/>
          <w:color w:val="auto"/>
          <w:szCs w:val="21"/>
          <w:highlight w:val="none"/>
        </w:rPr>
        <w:t>件9 ：</w:t>
      </w:r>
      <w:bookmarkEnd w:id="748"/>
    </w:p>
    <w:bookmarkEnd w:id="749"/>
    <w:bookmarkEnd w:id="750"/>
    <w:bookmarkEnd w:id="751"/>
    <w:bookmarkEnd w:id="752"/>
    <w:bookmarkEnd w:id="753"/>
    <w:bookmarkEnd w:id="754"/>
    <w:bookmarkEnd w:id="755"/>
    <w:p>
      <w:pPr>
        <w:pStyle w:val="13"/>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预付款担保</w:t>
      </w:r>
    </w:p>
    <w:p>
      <w:pPr>
        <w:pStyle w:val="13"/>
        <w:spacing w:line="40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（发包人名称）：</w:t>
      </w:r>
    </w:p>
    <w:p>
      <w:pPr>
        <w:pStyle w:val="13"/>
        <w:spacing w:line="400" w:lineRule="exact"/>
        <w:rPr>
          <w:rFonts w:hint="eastAsia" w:ascii="宋体" w:hAnsi="宋体" w:cs="宋体"/>
          <w:color w:val="auto"/>
          <w:szCs w:val="21"/>
          <w:highlight w:val="none"/>
        </w:rPr>
      </w:pPr>
    </w:p>
    <w:p>
      <w:pPr>
        <w:pStyle w:val="13"/>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（承包人名称）（以下称“承包人”）与</w:t>
      </w:r>
    </w:p>
    <w:p>
      <w:pPr>
        <w:pStyle w:val="13"/>
        <w:spacing w:line="400" w:lineRule="exact"/>
        <w:outlineLvl w:val="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w:t>
      </w:r>
    </w:p>
    <w:p>
      <w:pPr>
        <w:pStyle w:val="13"/>
        <w:spacing w:line="400" w:lineRule="exact"/>
        <w:rPr>
          <w:rFonts w:hint="eastAsia" w:ascii="宋体" w:hAnsi="宋体" w:cs="宋体"/>
          <w:color w:val="auto"/>
          <w:szCs w:val="21"/>
          <w:highlight w:val="none"/>
        </w:rPr>
      </w:pPr>
      <w:r>
        <w:rPr>
          <w:rFonts w:hint="eastAsia" w:ascii="宋体" w:hAnsi="宋体" w:cs="宋体"/>
          <w:color w:val="auto"/>
          <w:szCs w:val="21"/>
          <w:highlight w:val="none"/>
        </w:rPr>
        <w:t>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日签订的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pPr>
        <w:pStyle w:val="13"/>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担保金额人民币（大写）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13"/>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担保有效期自预付款支付给承包人起生效，至你方签发的进度款支付证书说明已完全扣清止。</w:t>
      </w:r>
    </w:p>
    <w:p>
      <w:pPr>
        <w:pStyle w:val="13"/>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pStyle w:val="13"/>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你方和承包人按合同约定变更合同时，我方承担本保函规定的义务不变。</w:t>
      </w:r>
    </w:p>
    <w:p>
      <w:pPr>
        <w:pStyle w:val="13"/>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 因本保函发生的纠纷，可由双方协商解决，协商不成的，任何一方均可提请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仲裁委员会仲裁。</w:t>
      </w:r>
    </w:p>
    <w:p>
      <w:pPr>
        <w:pStyle w:val="13"/>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 本保函自我方法定代表人（或其授权代理人）签字并加盖公章之日起生效。</w:t>
      </w:r>
    </w:p>
    <w:p>
      <w:pPr>
        <w:pStyle w:val="13"/>
        <w:spacing w:line="400" w:lineRule="exact"/>
        <w:rPr>
          <w:rFonts w:hint="eastAsia" w:ascii="宋体" w:hAnsi="宋体" w:cs="宋体"/>
          <w:color w:val="auto"/>
          <w:szCs w:val="21"/>
          <w:highlight w:val="none"/>
        </w:rPr>
      </w:pPr>
    </w:p>
    <w:p>
      <w:pPr>
        <w:pStyle w:val="13"/>
        <w:spacing w:line="400" w:lineRule="exact"/>
        <w:rPr>
          <w:rFonts w:hint="eastAsia" w:ascii="宋体" w:hAnsi="宋体" w:cs="宋体"/>
          <w:color w:val="auto"/>
          <w:szCs w:val="21"/>
          <w:highlight w:val="none"/>
        </w:rPr>
      </w:pPr>
    </w:p>
    <w:p>
      <w:pPr>
        <w:pStyle w:val="13"/>
        <w:spacing w:line="400" w:lineRule="exact"/>
        <w:rPr>
          <w:rFonts w:hint="eastAsia" w:ascii="宋体" w:hAnsi="宋体" w:cs="宋体"/>
          <w:color w:val="auto"/>
          <w:szCs w:val="21"/>
          <w:highlight w:val="none"/>
        </w:rPr>
      </w:pPr>
      <w:r>
        <w:rPr>
          <w:rFonts w:hint="eastAsia" w:ascii="宋体" w:hAnsi="宋体" w:cs="宋体"/>
          <w:color w:val="auto"/>
          <w:szCs w:val="21"/>
          <w:highlight w:val="none"/>
        </w:rPr>
        <w:t>担保人：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pStyle w:val="13"/>
        <w:spacing w:line="400" w:lineRule="exact"/>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pStyle w:val="13"/>
        <w:spacing w:line="400" w:lineRule="exact"/>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pPr>
        <w:pStyle w:val="13"/>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pPr>
        <w:pStyle w:val="13"/>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pPr>
        <w:pStyle w:val="13"/>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pPr>
        <w:pStyle w:val="13"/>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pStyle w:val="13"/>
        <w:spacing w:line="400" w:lineRule="exact"/>
        <w:rPr>
          <w:rFonts w:hint="eastAsia" w:ascii="宋体" w:hAnsi="宋体" w:cs="宋体"/>
          <w:color w:val="auto"/>
          <w:szCs w:val="21"/>
          <w:highlight w:val="none"/>
          <w:u w:val="single"/>
        </w:rPr>
      </w:pPr>
    </w:p>
    <w:p>
      <w:pPr>
        <w:pStyle w:val="13"/>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pStyle w:val="13"/>
        <w:spacing w:line="440" w:lineRule="exact"/>
        <w:rPr>
          <w:rFonts w:hint="eastAsia" w:ascii="宋体" w:hAnsi="宋体" w:cs="宋体"/>
          <w:color w:val="auto"/>
          <w:szCs w:val="21"/>
          <w:highlight w:val="none"/>
        </w:rPr>
      </w:pPr>
      <w:r>
        <w:rPr>
          <w:rFonts w:hint="eastAsia" w:ascii="宋体" w:hAnsi="宋体" w:cs="宋体"/>
          <w:b/>
          <w:color w:val="auto"/>
          <w:szCs w:val="21"/>
          <w:highlight w:val="none"/>
        </w:rPr>
        <w:br w:type="page"/>
      </w:r>
      <w:bookmarkStart w:id="756" w:name="_Toc10405_WPSOffice_Level1"/>
      <w:r>
        <w:rPr>
          <w:rFonts w:hint="eastAsia" w:ascii="宋体" w:hAnsi="宋体" w:cs="宋体"/>
          <w:color w:val="auto"/>
          <w:szCs w:val="21"/>
          <w:highlight w:val="none"/>
        </w:rPr>
        <w:t>附件10:</w:t>
      </w:r>
      <w:bookmarkEnd w:id="756"/>
      <w:r>
        <w:rPr>
          <w:rFonts w:hint="eastAsia" w:ascii="宋体" w:hAnsi="宋体" w:cs="宋体"/>
          <w:color w:val="auto"/>
          <w:szCs w:val="21"/>
          <w:highlight w:val="none"/>
        </w:rPr>
        <w:t xml:space="preserve">  </w:t>
      </w:r>
    </w:p>
    <w:p>
      <w:pPr>
        <w:pStyle w:val="13"/>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支付担保</w:t>
      </w:r>
    </w:p>
    <w:p>
      <w:pPr>
        <w:pStyle w:val="13"/>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w:t>
      </w:r>
    </w:p>
    <w:p>
      <w:pPr>
        <w:pStyle w:val="13"/>
        <w:spacing w:line="400" w:lineRule="exact"/>
        <w:jc w:val="left"/>
        <w:rPr>
          <w:rFonts w:hint="eastAsia" w:ascii="宋体" w:hAnsi="宋体" w:cs="宋体"/>
          <w:color w:val="auto"/>
          <w:szCs w:val="21"/>
          <w:highlight w:val="none"/>
        </w:rPr>
      </w:pPr>
    </w:p>
    <w:p>
      <w:pPr>
        <w:pStyle w:val="13"/>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鉴于你方作为承包人已经与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（发包人名称）（以下称“发包人”）于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日签订了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（工程名称）《建设工程施工合同》（以下称“主合同”），应发包人的申请，我方愿就发包人履行主合同约定的工程款支付义务以保证的方式向你方提供如下担保：</w:t>
      </w:r>
    </w:p>
    <w:p>
      <w:pPr>
        <w:pStyle w:val="13"/>
        <w:spacing w:line="400" w:lineRule="exact"/>
        <w:ind w:firstLine="420" w:firstLineChars="200"/>
        <w:jc w:val="left"/>
        <w:outlineLvl w:val="0"/>
        <w:rPr>
          <w:rFonts w:hint="eastAsia" w:ascii="宋体" w:hAnsi="宋体" w:cs="宋体"/>
          <w:color w:val="auto"/>
          <w:szCs w:val="21"/>
          <w:highlight w:val="none"/>
        </w:rPr>
      </w:pPr>
      <w:r>
        <w:rPr>
          <w:rFonts w:hint="eastAsia" w:ascii="宋体" w:hAnsi="宋体" w:cs="宋体"/>
          <w:color w:val="auto"/>
          <w:szCs w:val="21"/>
          <w:highlight w:val="none"/>
        </w:rPr>
        <w:t>一、保证的范围及保证金额</w:t>
      </w:r>
    </w:p>
    <w:p>
      <w:pPr>
        <w:pStyle w:val="13"/>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 我方的保证范围是主合同约定的工程款。</w:t>
      </w:r>
    </w:p>
    <w:p>
      <w:pPr>
        <w:pStyle w:val="13"/>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 本保函所称主合同约定的工程款是指主合同约定的除工程质量保证金以外的合同价款。</w:t>
      </w:r>
    </w:p>
    <w:p>
      <w:pPr>
        <w:pStyle w:val="13"/>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 我方保证的金额是主合同约定的工程款的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%，数额最高不超过人民币元（大写：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13"/>
        <w:spacing w:line="400" w:lineRule="exact"/>
        <w:ind w:firstLine="420" w:firstLineChars="200"/>
        <w:jc w:val="left"/>
        <w:outlineLvl w:val="0"/>
        <w:rPr>
          <w:rFonts w:hint="eastAsia" w:ascii="宋体" w:hAnsi="宋体" w:cs="宋体"/>
          <w:color w:val="auto"/>
          <w:szCs w:val="21"/>
          <w:highlight w:val="none"/>
        </w:rPr>
      </w:pPr>
      <w:r>
        <w:rPr>
          <w:rFonts w:hint="eastAsia" w:ascii="宋体" w:hAnsi="宋体" w:cs="宋体"/>
          <w:color w:val="auto"/>
          <w:szCs w:val="21"/>
          <w:highlight w:val="none"/>
        </w:rPr>
        <w:t>二、保证的方式及保证期间</w:t>
      </w:r>
    </w:p>
    <w:p>
      <w:pPr>
        <w:pStyle w:val="13"/>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 我方保证的方式为：连带责任保证。</w:t>
      </w:r>
    </w:p>
    <w:p>
      <w:pPr>
        <w:pStyle w:val="13"/>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 我方保证的期间为：自本合同生效之日起至主合同约定的工程款支付完毕之日后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日内。</w:t>
      </w:r>
    </w:p>
    <w:p>
      <w:pPr>
        <w:pStyle w:val="13"/>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 你方与发包人协议变更工程款支付日期的，经我方书面同意后，保证期间按照变更后的支付日期做相应调整。</w:t>
      </w:r>
    </w:p>
    <w:p>
      <w:pPr>
        <w:pStyle w:val="13"/>
        <w:spacing w:line="400" w:lineRule="exact"/>
        <w:ind w:firstLine="420" w:firstLineChars="200"/>
        <w:jc w:val="left"/>
        <w:outlineLvl w:val="0"/>
        <w:rPr>
          <w:rFonts w:hint="eastAsia" w:ascii="宋体" w:hAnsi="宋体" w:cs="宋体"/>
          <w:color w:val="auto"/>
          <w:szCs w:val="21"/>
          <w:highlight w:val="none"/>
        </w:rPr>
      </w:pPr>
      <w:r>
        <w:rPr>
          <w:rFonts w:hint="eastAsia" w:ascii="宋体" w:hAnsi="宋体" w:cs="宋体"/>
          <w:color w:val="auto"/>
          <w:szCs w:val="21"/>
          <w:highlight w:val="none"/>
        </w:rPr>
        <w:t>三、承担保证责任的形式</w:t>
      </w:r>
    </w:p>
    <w:p>
      <w:pPr>
        <w:pStyle w:val="13"/>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我方承担保证责任的形式是代为支付。发包人未按主合同约定向你方支付工程款的，由我方在保证金额内代为支付。</w:t>
      </w:r>
    </w:p>
    <w:p>
      <w:pPr>
        <w:pStyle w:val="13"/>
        <w:spacing w:line="400" w:lineRule="exact"/>
        <w:ind w:firstLine="420" w:firstLineChars="200"/>
        <w:jc w:val="left"/>
        <w:outlineLvl w:val="0"/>
        <w:rPr>
          <w:rFonts w:hint="eastAsia" w:ascii="宋体" w:hAnsi="宋体" w:cs="宋体"/>
          <w:color w:val="auto"/>
          <w:szCs w:val="21"/>
          <w:highlight w:val="none"/>
        </w:rPr>
      </w:pPr>
      <w:r>
        <w:rPr>
          <w:rFonts w:hint="eastAsia" w:ascii="宋体" w:hAnsi="宋体" w:cs="宋体"/>
          <w:color w:val="auto"/>
          <w:szCs w:val="21"/>
          <w:highlight w:val="none"/>
        </w:rPr>
        <w:t>四、代偿的安排</w:t>
      </w:r>
    </w:p>
    <w:p>
      <w:pPr>
        <w:pStyle w:val="13"/>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 你方要求我方承担保证责任的，应向我方发出书面索赔通知及发包人未支付主合同约定工程款的证明材料。索赔通知应写明要求索赔的金额，支付款项应到达的账号。</w:t>
      </w:r>
    </w:p>
    <w:p>
      <w:pPr>
        <w:pStyle w:val="13"/>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pPr>
        <w:pStyle w:val="13"/>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 我方收到你方的书面索赔通知及相应的证明材料后７天内无条件支付。</w:t>
      </w:r>
    </w:p>
    <w:p>
      <w:pPr>
        <w:pStyle w:val="13"/>
        <w:spacing w:line="400" w:lineRule="exact"/>
        <w:ind w:firstLine="420" w:firstLineChars="200"/>
        <w:jc w:val="left"/>
        <w:outlineLvl w:val="0"/>
        <w:rPr>
          <w:rFonts w:hint="eastAsia" w:ascii="宋体" w:hAnsi="宋体" w:cs="宋体"/>
          <w:color w:val="auto"/>
          <w:szCs w:val="21"/>
          <w:highlight w:val="none"/>
        </w:rPr>
      </w:pPr>
      <w:r>
        <w:rPr>
          <w:rFonts w:hint="eastAsia" w:ascii="宋体" w:hAnsi="宋体" w:cs="宋体"/>
          <w:color w:val="auto"/>
          <w:szCs w:val="21"/>
          <w:highlight w:val="none"/>
        </w:rPr>
        <w:t>五、保证责任的解除</w:t>
      </w:r>
    </w:p>
    <w:p>
      <w:pPr>
        <w:pStyle w:val="13"/>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 在本保函承诺的保证期间内，你方未书面向我方主张保证责任的，自保证期间届满次日起，我方保证责任解除。</w:t>
      </w:r>
    </w:p>
    <w:p>
      <w:pPr>
        <w:pStyle w:val="13"/>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 发包人按主合同约定履行了工程款的全部支付义务的，自本保函承诺的保证期间届满次日起，我方保证责任解除。</w:t>
      </w:r>
    </w:p>
    <w:p>
      <w:pPr>
        <w:pStyle w:val="13"/>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 我方按照本保函向你方履行保证责任所支付金额达到本保函保证金额时，自我方向你方支付（支付款项从我方账户划出）之日起，保证责任即解除。</w:t>
      </w:r>
    </w:p>
    <w:p>
      <w:pPr>
        <w:pStyle w:val="13"/>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 按照法律法规的规定或出现应解除我方保证责任的其他情形的，我方在本保函项下的保证责任亦解除。</w:t>
      </w:r>
    </w:p>
    <w:p>
      <w:pPr>
        <w:pStyle w:val="13"/>
        <w:spacing w:line="400" w:lineRule="exact"/>
        <w:jc w:val="left"/>
        <w:rPr>
          <w:rFonts w:hint="eastAsia" w:ascii="宋体" w:hAnsi="宋体" w:cs="宋体"/>
          <w:color w:val="auto"/>
          <w:szCs w:val="21"/>
          <w:highlight w:val="none"/>
        </w:rPr>
      </w:pPr>
    </w:p>
    <w:p>
      <w:pPr>
        <w:pStyle w:val="13"/>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 我方解除保证责任后，你方应自我方保证责任解除之日起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个工作日内，将本保函原件返还我方。</w:t>
      </w:r>
    </w:p>
    <w:p>
      <w:pPr>
        <w:pStyle w:val="13"/>
        <w:spacing w:line="400" w:lineRule="exact"/>
        <w:ind w:firstLine="420" w:firstLineChars="200"/>
        <w:jc w:val="left"/>
        <w:outlineLvl w:val="0"/>
        <w:rPr>
          <w:rFonts w:hint="eastAsia" w:ascii="宋体" w:hAnsi="宋体" w:cs="宋体"/>
          <w:color w:val="auto"/>
          <w:szCs w:val="21"/>
          <w:highlight w:val="none"/>
        </w:rPr>
      </w:pPr>
      <w:r>
        <w:rPr>
          <w:rFonts w:hint="eastAsia" w:ascii="宋体" w:hAnsi="宋体" w:cs="宋体"/>
          <w:color w:val="auto"/>
          <w:szCs w:val="21"/>
          <w:highlight w:val="none"/>
        </w:rPr>
        <w:t>六、免责条款</w:t>
      </w:r>
    </w:p>
    <w:p>
      <w:pPr>
        <w:pStyle w:val="13"/>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 因你方违约致使发包人不能履行义务的，我方不承担保证责任。</w:t>
      </w:r>
    </w:p>
    <w:p>
      <w:pPr>
        <w:pStyle w:val="13"/>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 依照法律法规的规定或你方与发包人的另行约定，免除发包人部分或全部义务的，我方亦免除其相应的保证责任。</w:t>
      </w:r>
    </w:p>
    <w:p>
      <w:pPr>
        <w:pStyle w:val="13"/>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pPr>
        <w:pStyle w:val="13"/>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 因不可抗力造成发包人不能履行义务的，我方不承担保证责任。</w:t>
      </w:r>
    </w:p>
    <w:p>
      <w:pPr>
        <w:pStyle w:val="13"/>
        <w:spacing w:line="400" w:lineRule="exact"/>
        <w:ind w:firstLine="420" w:firstLineChars="200"/>
        <w:jc w:val="left"/>
        <w:outlineLvl w:val="0"/>
        <w:rPr>
          <w:rFonts w:hint="eastAsia" w:ascii="宋体" w:hAnsi="宋体" w:cs="宋体"/>
          <w:color w:val="auto"/>
          <w:szCs w:val="21"/>
          <w:highlight w:val="none"/>
        </w:rPr>
      </w:pPr>
      <w:r>
        <w:rPr>
          <w:rFonts w:hint="eastAsia" w:ascii="宋体" w:hAnsi="宋体" w:cs="宋体"/>
          <w:color w:val="auto"/>
          <w:szCs w:val="21"/>
          <w:highlight w:val="none"/>
        </w:rPr>
        <w:t>七、争议解决</w:t>
      </w:r>
    </w:p>
    <w:p>
      <w:pPr>
        <w:pStyle w:val="13"/>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因本保函或本保函相关事项发生的纠纷，可由双方协商解决，协商不成的，按下列第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种方式解决：</w:t>
      </w:r>
    </w:p>
    <w:p>
      <w:pPr>
        <w:pStyle w:val="13"/>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仲裁委员会申请仲裁；</w:t>
      </w:r>
    </w:p>
    <w:p>
      <w:pPr>
        <w:pStyle w:val="13"/>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人民法院起诉。</w:t>
      </w:r>
    </w:p>
    <w:p>
      <w:pPr>
        <w:pStyle w:val="13"/>
        <w:spacing w:line="400" w:lineRule="exact"/>
        <w:ind w:firstLine="420" w:firstLineChars="200"/>
        <w:jc w:val="left"/>
        <w:outlineLvl w:val="0"/>
        <w:rPr>
          <w:rFonts w:hint="eastAsia" w:ascii="宋体" w:hAnsi="宋体" w:cs="宋体"/>
          <w:color w:val="auto"/>
          <w:szCs w:val="21"/>
          <w:highlight w:val="none"/>
        </w:rPr>
      </w:pPr>
      <w:r>
        <w:rPr>
          <w:rFonts w:hint="eastAsia" w:ascii="宋体" w:hAnsi="宋体" w:cs="宋体"/>
          <w:color w:val="auto"/>
          <w:szCs w:val="21"/>
          <w:highlight w:val="none"/>
        </w:rPr>
        <w:t>八、保函的生效</w:t>
      </w:r>
    </w:p>
    <w:p>
      <w:pPr>
        <w:pStyle w:val="13"/>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本保函自我方法定代表人（或其授权代理人）签字并加盖公章之日起生效。</w:t>
      </w:r>
    </w:p>
    <w:p>
      <w:pPr>
        <w:pStyle w:val="13"/>
        <w:spacing w:line="400" w:lineRule="exact"/>
        <w:ind w:firstLine="420" w:firstLineChars="200"/>
        <w:jc w:val="left"/>
        <w:rPr>
          <w:rFonts w:hint="eastAsia" w:ascii="宋体" w:hAnsi="宋体" w:cs="宋体"/>
          <w:color w:val="auto"/>
          <w:szCs w:val="21"/>
          <w:highlight w:val="none"/>
        </w:rPr>
      </w:pPr>
    </w:p>
    <w:p>
      <w:pPr>
        <w:pStyle w:val="13"/>
        <w:spacing w:line="400" w:lineRule="exact"/>
        <w:jc w:val="left"/>
        <w:rPr>
          <w:rFonts w:hint="eastAsia" w:ascii="宋体" w:hAnsi="宋体" w:cs="宋体"/>
          <w:color w:val="auto"/>
          <w:szCs w:val="21"/>
          <w:highlight w:val="none"/>
        </w:rPr>
      </w:pPr>
    </w:p>
    <w:p>
      <w:pPr>
        <w:pStyle w:val="13"/>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担保人：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pPr>
        <w:pStyle w:val="13"/>
        <w:spacing w:line="400" w:lineRule="exact"/>
        <w:rPr>
          <w:rFonts w:hint="eastAsia" w:ascii="宋体" w:hAnsi="宋体" w:cs="宋体"/>
          <w:color w:val="auto"/>
          <w:szCs w:val="21"/>
          <w:highlight w:val="none"/>
        </w:rPr>
      </w:pPr>
      <w:r>
        <w:rPr>
          <w:rFonts w:hint="eastAsia" w:ascii="宋体" w:hAnsi="宋体" w:cs="宋体"/>
          <w:color w:val="auto"/>
          <w:szCs w:val="21"/>
          <w:highlight w:val="none"/>
        </w:rPr>
        <w:t>法定代表人或委托代理人：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pStyle w:val="13"/>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pPr>
        <w:pStyle w:val="13"/>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pPr>
        <w:pStyle w:val="13"/>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pPr>
        <w:pStyle w:val="13"/>
        <w:spacing w:line="400" w:lineRule="exact"/>
        <w:ind w:firstLine="420" w:firstLineChars="200"/>
        <w:jc w:val="left"/>
        <w:rPr>
          <w:rFonts w:hint="eastAsia" w:ascii="宋体" w:hAnsi="宋体" w:cs="宋体"/>
          <w:color w:val="auto"/>
          <w:szCs w:val="21"/>
          <w:highlight w:val="none"/>
          <w:u w:val="single"/>
        </w:rPr>
      </w:pPr>
    </w:p>
    <w:p>
      <w:pPr>
        <w:pStyle w:val="13"/>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pStyle w:val="13"/>
        <w:spacing w:line="440" w:lineRule="exact"/>
        <w:rPr>
          <w:rFonts w:hint="eastAsia" w:ascii="宋体" w:hAnsi="宋体" w:cs="宋体"/>
          <w:color w:val="auto"/>
          <w:szCs w:val="21"/>
          <w:highlight w:val="none"/>
        </w:rPr>
      </w:pPr>
      <w:r>
        <w:rPr>
          <w:rFonts w:hint="eastAsia" w:ascii="宋体" w:hAnsi="宋体" w:cs="宋体"/>
          <w:color w:val="auto"/>
          <w:szCs w:val="21"/>
          <w:highlight w:val="none"/>
        </w:rPr>
        <w:br w:type="page"/>
      </w:r>
      <w:bookmarkStart w:id="757" w:name="_Toc17388_WPSOffice_Level1"/>
      <w:r>
        <w:rPr>
          <w:rFonts w:hint="eastAsia" w:ascii="宋体" w:hAnsi="宋体" w:cs="宋体"/>
          <w:color w:val="auto"/>
          <w:szCs w:val="21"/>
          <w:highlight w:val="none"/>
        </w:rPr>
        <w:t>附件11：</w:t>
      </w:r>
      <w:bookmarkEnd w:id="757"/>
    </w:p>
    <w:p>
      <w:pPr>
        <w:pStyle w:val="13"/>
        <w:spacing w:line="440" w:lineRule="exact"/>
        <w:jc w:val="center"/>
        <w:outlineLvl w:val="0"/>
        <w:rPr>
          <w:rFonts w:hint="eastAsia" w:ascii="宋体" w:hAnsi="宋体" w:cs="宋体"/>
          <w:color w:val="auto"/>
          <w:szCs w:val="21"/>
          <w:highlight w:val="none"/>
        </w:rPr>
      </w:pPr>
      <w:bookmarkStart w:id="758" w:name="_Toc23749_WPSOffice_Level1"/>
      <w:r>
        <w:rPr>
          <w:rFonts w:hint="eastAsia" w:ascii="宋体" w:hAnsi="宋体" w:cs="宋体"/>
          <w:color w:val="auto"/>
          <w:szCs w:val="21"/>
          <w:highlight w:val="none"/>
        </w:rPr>
        <w:t>11-1：材料暂估价表</w:t>
      </w:r>
      <w:bookmarkEnd w:id="758"/>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3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984" w:type="dxa"/>
            <w:tcBorders>
              <w:top w:val="single" w:color="auto" w:sz="12" w:space="0"/>
              <w:bottom w:val="double" w:color="auto" w:sz="6" w:space="0"/>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851" w:type="dxa"/>
            <w:tcBorders>
              <w:top w:val="single" w:color="auto" w:sz="12" w:space="0"/>
              <w:bottom w:val="double" w:color="auto" w:sz="6" w:space="0"/>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774" w:type="dxa"/>
            <w:tcBorders>
              <w:top w:val="single" w:color="auto" w:sz="12" w:space="0"/>
              <w:bottom w:val="double" w:color="auto" w:sz="6" w:space="0"/>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352" w:type="dxa"/>
            <w:tcBorders>
              <w:top w:val="single" w:color="auto" w:sz="12" w:space="0"/>
              <w:bottom w:val="double" w:color="auto" w:sz="6" w:space="0"/>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单价（元）</w:t>
            </w:r>
          </w:p>
        </w:tc>
        <w:tc>
          <w:tcPr>
            <w:tcW w:w="1418" w:type="dxa"/>
            <w:tcBorders>
              <w:top w:val="single" w:color="auto" w:sz="12" w:space="0"/>
              <w:bottom w:val="double" w:color="auto" w:sz="6" w:space="0"/>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合价（元）</w:t>
            </w:r>
          </w:p>
        </w:tc>
        <w:tc>
          <w:tcPr>
            <w:tcW w:w="1303" w:type="dxa"/>
            <w:tcBorders>
              <w:top w:val="single" w:color="auto" w:sz="12" w:space="0"/>
              <w:bottom w:val="double" w:color="auto" w:sz="6" w:space="0"/>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tcBorders>
              <w:top w:val="double" w:color="auto" w:sz="6" w:space="0"/>
              <w:bottom w:val="single" w:color="auto" w:sz="6" w:space="0"/>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tcBorders>
              <w:top w:val="double" w:color="auto" w:sz="6" w:space="0"/>
              <w:bottom w:val="single" w:color="auto" w:sz="6" w:space="0"/>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tcBorders>
              <w:top w:val="double" w:color="auto" w:sz="6" w:space="0"/>
              <w:bottom w:val="single" w:color="auto" w:sz="6" w:space="0"/>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tcBorders>
              <w:top w:val="double" w:color="auto" w:sz="6" w:space="0"/>
              <w:bottom w:val="single" w:color="auto" w:sz="6" w:space="0"/>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tcBorders>
              <w:top w:val="double" w:color="auto" w:sz="6" w:space="0"/>
              <w:bottom w:val="single" w:color="auto" w:sz="6" w:space="0"/>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tcBorders>
              <w:top w:val="double" w:color="auto" w:sz="6" w:space="0"/>
              <w:bottom w:val="single" w:color="auto" w:sz="6" w:space="0"/>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tcBorders>
              <w:top w:val="nil"/>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tcBorders>
              <w:top w:val="nil"/>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tcBorders>
              <w:top w:val="nil"/>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tcBorders>
              <w:top w:val="nil"/>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tcBorders>
              <w:top w:val="nil"/>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tcBorders>
              <w:top w:val="nil"/>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bl>
    <w:p>
      <w:pPr>
        <w:pStyle w:val="13"/>
        <w:spacing w:line="440" w:lineRule="exact"/>
        <w:rPr>
          <w:rFonts w:hint="eastAsia" w:ascii="宋体" w:hAnsi="宋体" w:cs="宋体"/>
          <w:color w:val="auto"/>
          <w:szCs w:val="21"/>
          <w:highlight w:val="none"/>
        </w:rPr>
      </w:pPr>
    </w:p>
    <w:p>
      <w:pPr>
        <w:pStyle w:val="13"/>
        <w:spacing w:line="440" w:lineRule="exact"/>
        <w:jc w:val="center"/>
        <w:rPr>
          <w:rFonts w:hint="eastAsia" w:ascii="宋体" w:hAnsi="宋体" w:cs="宋体"/>
          <w:color w:val="auto"/>
          <w:szCs w:val="21"/>
          <w:highlight w:val="none"/>
        </w:rPr>
      </w:pPr>
      <w:bookmarkStart w:id="759" w:name="_Toc28700_WPSOffice_Level1"/>
    </w:p>
    <w:p>
      <w:pPr>
        <w:pStyle w:val="13"/>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11-2：工程设备暂估价表</w:t>
      </w:r>
      <w:bookmarkEnd w:id="759"/>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3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984" w:type="dxa"/>
            <w:tcBorders>
              <w:top w:val="single" w:color="auto" w:sz="12" w:space="0"/>
              <w:bottom w:val="double" w:color="auto" w:sz="6" w:space="0"/>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851" w:type="dxa"/>
            <w:tcBorders>
              <w:top w:val="single" w:color="auto" w:sz="12" w:space="0"/>
              <w:bottom w:val="double" w:color="auto" w:sz="6" w:space="0"/>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774" w:type="dxa"/>
            <w:tcBorders>
              <w:top w:val="single" w:color="auto" w:sz="12" w:space="0"/>
              <w:bottom w:val="double" w:color="auto" w:sz="6" w:space="0"/>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352" w:type="dxa"/>
            <w:tcBorders>
              <w:top w:val="single" w:color="auto" w:sz="12" w:space="0"/>
              <w:bottom w:val="double" w:color="auto" w:sz="6" w:space="0"/>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单价（元）</w:t>
            </w:r>
          </w:p>
        </w:tc>
        <w:tc>
          <w:tcPr>
            <w:tcW w:w="1418" w:type="dxa"/>
            <w:tcBorders>
              <w:top w:val="single" w:color="auto" w:sz="12" w:space="0"/>
              <w:bottom w:val="double" w:color="auto" w:sz="6" w:space="0"/>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合价（元）</w:t>
            </w:r>
          </w:p>
        </w:tc>
        <w:tc>
          <w:tcPr>
            <w:tcW w:w="1303" w:type="dxa"/>
            <w:tcBorders>
              <w:top w:val="single" w:color="auto" w:sz="12" w:space="0"/>
              <w:bottom w:val="double" w:color="auto" w:sz="6" w:space="0"/>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tcBorders>
              <w:top w:val="double" w:color="auto" w:sz="6" w:space="0"/>
              <w:bottom w:val="single" w:color="auto" w:sz="6" w:space="0"/>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tcBorders>
              <w:top w:val="double" w:color="auto" w:sz="6" w:space="0"/>
              <w:bottom w:val="single" w:color="auto" w:sz="6" w:space="0"/>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tcBorders>
              <w:top w:val="double" w:color="auto" w:sz="6" w:space="0"/>
              <w:bottom w:val="single" w:color="auto" w:sz="6" w:space="0"/>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tcBorders>
              <w:top w:val="double" w:color="auto" w:sz="6" w:space="0"/>
              <w:bottom w:val="single" w:color="auto" w:sz="6" w:space="0"/>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tcBorders>
              <w:top w:val="double" w:color="auto" w:sz="6" w:space="0"/>
              <w:bottom w:val="single" w:color="auto" w:sz="6" w:space="0"/>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tcBorders>
              <w:top w:val="double" w:color="auto" w:sz="6" w:space="0"/>
              <w:bottom w:val="single" w:color="auto" w:sz="6" w:space="0"/>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tcBorders>
              <w:top w:val="nil"/>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tcBorders>
              <w:top w:val="nil"/>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tcBorders>
              <w:top w:val="nil"/>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tcBorders>
              <w:top w:val="nil"/>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tcBorders>
              <w:top w:val="nil"/>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tcBorders>
              <w:top w:val="nil"/>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851"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77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52"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8"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303"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bl>
    <w:p>
      <w:pPr>
        <w:pStyle w:val="13"/>
        <w:spacing w:line="440" w:lineRule="exact"/>
        <w:rPr>
          <w:rFonts w:hint="eastAsia" w:ascii="宋体" w:hAnsi="宋体" w:cs="宋体"/>
          <w:color w:val="auto"/>
          <w:szCs w:val="21"/>
          <w:highlight w:val="none"/>
        </w:rPr>
      </w:pPr>
    </w:p>
    <w:p>
      <w:pPr>
        <w:pStyle w:val="13"/>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br w:type="page"/>
      </w:r>
      <w:bookmarkStart w:id="760" w:name="_Toc669_WPSOffice_Level1"/>
      <w:r>
        <w:rPr>
          <w:rFonts w:hint="eastAsia" w:ascii="宋体" w:hAnsi="宋体" w:cs="宋体"/>
          <w:color w:val="auto"/>
          <w:szCs w:val="21"/>
          <w:highlight w:val="none"/>
        </w:rPr>
        <w:t>11-3：专业工程暂估价表</w:t>
      </w:r>
      <w:bookmarkEnd w:id="760"/>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395"/>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984" w:type="dxa"/>
            <w:tcBorders>
              <w:top w:val="single" w:color="auto" w:sz="12" w:space="0"/>
              <w:bottom w:val="double" w:color="auto" w:sz="6" w:space="0"/>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专业工程名称</w:t>
            </w:r>
          </w:p>
        </w:tc>
        <w:tc>
          <w:tcPr>
            <w:tcW w:w="4395" w:type="dxa"/>
            <w:tcBorders>
              <w:top w:val="single" w:color="auto" w:sz="12" w:space="0"/>
              <w:bottom w:val="double" w:color="auto" w:sz="6" w:space="0"/>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工程内容</w:t>
            </w:r>
          </w:p>
        </w:tc>
        <w:tc>
          <w:tcPr>
            <w:tcW w:w="1417" w:type="dxa"/>
            <w:tcBorders>
              <w:top w:val="single" w:color="auto" w:sz="12" w:space="0"/>
              <w:bottom w:val="double" w:color="auto" w:sz="6" w:space="0"/>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tcBorders>
              <w:top w:val="double" w:color="auto" w:sz="6" w:space="0"/>
              <w:bottom w:val="single" w:color="auto" w:sz="6" w:space="0"/>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4395" w:type="dxa"/>
            <w:tcBorders>
              <w:top w:val="double" w:color="auto" w:sz="6" w:space="0"/>
              <w:bottom w:val="single" w:color="auto" w:sz="6" w:space="0"/>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tcBorders>
              <w:top w:val="double" w:color="auto" w:sz="6" w:space="0"/>
              <w:bottom w:val="single" w:color="auto" w:sz="6" w:space="0"/>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tcBorders>
              <w:top w:val="nil"/>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4395" w:type="dxa"/>
            <w:tcBorders>
              <w:top w:val="nil"/>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tcBorders>
              <w:top w:val="nil"/>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tcBorders>
              <w:top w:val="nil"/>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4395" w:type="dxa"/>
            <w:tcBorders>
              <w:top w:val="nil"/>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tcBorders>
              <w:top w:val="nil"/>
            </w:tcBorders>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4395"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4395"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4395"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4395"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4395"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4395"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4395"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4395"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4395"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4395"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4395"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4395"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4395"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4395"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4395"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4395"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4395"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4395"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4395"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4395"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4395"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4395"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984"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4395"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c>
          <w:tcPr>
            <w:tcW w:w="1417" w:type="dxa"/>
            <w:noWrap w:val="0"/>
            <w:vAlign w:val="top"/>
          </w:tcPr>
          <w:p>
            <w:pPr>
              <w:pStyle w:val="16"/>
              <w:keepNext/>
              <w:spacing w:after="0" w:line="440" w:lineRule="exact"/>
              <w:ind w:left="0" w:leftChars="0" w:right="0" w:rightChars="0"/>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675" w:type="dxa"/>
            <w:gridSpan w:val="4"/>
            <w:noWrap w:val="0"/>
            <w:vAlign w:val="top"/>
          </w:tcPr>
          <w:p>
            <w:pPr>
              <w:pStyle w:val="16"/>
              <w:keepNext/>
              <w:spacing w:after="0" w:line="440" w:lineRule="exact"/>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小计：</w:t>
            </w:r>
          </w:p>
        </w:tc>
      </w:tr>
    </w:tbl>
    <w:p>
      <w:pPr>
        <w:rPr>
          <w:color w:val="auto"/>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宋体"/>
    <w:panose1 w:val="020106010300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t>104</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YmZhMTE2M2QyZjMyNWUxNDdjZTkzZTY3MjhkOTcifQ=="/>
  </w:docVars>
  <w:rsids>
    <w:rsidRoot w:val="06D25574"/>
    <w:rsid w:val="06D25574"/>
    <w:rsid w:val="09F17766"/>
    <w:rsid w:val="27BF03E9"/>
    <w:rsid w:val="3B672EAB"/>
    <w:rsid w:val="49367F02"/>
    <w:rsid w:val="5F2C5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00" w:lineRule="auto"/>
      <w:ind w:right="1787"/>
      <w:jc w:val="center"/>
      <w:outlineLvl w:val="0"/>
    </w:pPr>
    <w:rPr>
      <w:rFonts w:ascii="方正大标宋简体" w:eastAsia="方正大标宋简体"/>
      <w:sz w:val="52"/>
    </w:rPr>
  </w:style>
  <w:style w:type="paragraph" w:styleId="5">
    <w:name w:val="annotation text"/>
    <w:basedOn w:val="1"/>
    <w:qFormat/>
    <w:uiPriority w:val="0"/>
    <w:pPr>
      <w:adjustRightInd w:val="0"/>
      <w:spacing w:line="360" w:lineRule="atLeast"/>
      <w:jc w:val="left"/>
      <w:textAlignment w:val="baseline"/>
    </w:pPr>
    <w:rPr>
      <w:kern w:val="0"/>
      <w:sz w:val="24"/>
    </w:rPr>
  </w:style>
  <w:style w:type="paragraph" w:styleId="6">
    <w:name w:val="footer"/>
    <w:basedOn w:val="1"/>
    <w:qFormat/>
    <w:uiPriority w:val="0"/>
    <w:pPr>
      <w:tabs>
        <w:tab w:val="center" w:pos="4153"/>
        <w:tab w:val="right" w:pos="8306"/>
      </w:tabs>
      <w:snapToGrid w:val="0"/>
      <w:jc w:val="left"/>
    </w:pPr>
    <w:rPr>
      <w:sz w:val="18"/>
    </w:rPr>
  </w:style>
  <w:style w:type="paragraph" w:customStyle="1" w:styleId="9">
    <w:name w:val="正文小标题"/>
    <w:basedOn w:val="3"/>
    <w:qFormat/>
    <w:uiPriority w:val="0"/>
    <w:pPr>
      <w:spacing w:line="420" w:lineRule="exact"/>
    </w:pPr>
    <w:rPr>
      <w:rFonts w:ascii="Times New Roman" w:hAnsi="宋体" w:eastAsia="宋体" w:cs="Times New Roman"/>
      <w:color w:val="auto"/>
      <w:kern w:val="44"/>
      <w:sz w:val="21"/>
      <w:szCs w:val="21"/>
    </w:rPr>
  </w:style>
  <w:style w:type="paragraph" w:customStyle="1" w:styleId="10">
    <w:name w:val="正文呀2"/>
    <w:basedOn w:val="11"/>
    <w:qFormat/>
    <w:uiPriority w:val="0"/>
    <w:pPr>
      <w:spacing w:line="420" w:lineRule="exact"/>
      <w:ind w:firstLine="420" w:firstLineChars="200"/>
    </w:pPr>
    <w:rPr>
      <w:rFonts w:ascii="Times New Roman" w:hAnsi="Times New Roman"/>
      <w:sz w:val="21"/>
      <w:szCs w:val="21"/>
    </w:rPr>
  </w:style>
  <w:style w:type="paragraph" w:customStyle="1" w:styleId="11">
    <w:name w:val="正文呀"/>
    <w:basedOn w:val="1"/>
    <w:qFormat/>
    <w:uiPriority w:val="0"/>
    <w:pPr>
      <w:spacing w:line="420" w:lineRule="exact"/>
      <w:ind w:firstLine="420" w:firstLineChars="200"/>
    </w:pPr>
    <w:rPr>
      <w:rFonts w:ascii="宋体" w:hAnsi="宋体" w:eastAsia="宋体" w:cs="Times New Roman"/>
    </w:rPr>
  </w:style>
  <w:style w:type="paragraph" w:customStyle="1" w:styleId="12">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首行缩进"/>
    <w:basedOn w:val="1"/>
    <w:qFormat/>
    <w:uiPriority w:val="0"/>
    <w:pPr>
      <w:ind w:firstLine="480" w:firstLineChars="200"/>
    </w:pPr>
    <w:rPr>
      <w:rFonts w:ascii="Times New Roman" w:hAnsi="Times New Roman" w:eastAsia="宋体" w:cs="Times New Roman"/>
    </w:rPr>
  </w:style>
  <w:style w:type="paragraph" w:customStyle="1" w:styleId="16">
    <w:name w:val="正文文本_0"/>
    <w:basedOn w:val="13"/>
    <w:qFormat/>
    <w:uiPriority w:val="0"/>
    <w:pPr>
      <w:adjustRightInd w:val="0"/>
      <w:spacing w:after="60" w:line="360" w:lineRule="atLeast"/>
      <w:ind w:left="72" w:leftChars="30" w:right="30" w:rightChars="30"/>
      <w:jc w:val="center"/>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20496</Words>
  <Characters>21466</Characters>
  <Lines>0</Lines>
  <Paragraphs>0</Paragraphs>
  <TotalTime>5</TotalTime>
  <ScaleCrop>false</ScaleCrop>
  <LinksUpToDate>false</LinksUpToDate>
  <CharactersWithSpaces>25620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2022-08-30T04:36:00Z</dcterms:created>
  <dc:creator>NTKO</dc:creator>
  <cp:lastModifiedBy>Administrator</cp:lastModifiedBy>
  <dcterms:modified xsi:type="dcterms:W3CDTF">2022-08-30T07:21:40Z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9603765FD3124C97A7F77CB2DFF7B78F</vt:lpwstr>
  </property>
</Properties>
</file>