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hAnsi="宋体" w:cs="宋体"/>
          <w:b/>
          <w:bCs/>
          <w:color w:val="auto"/>
          <w:spacing w:val="80"/>
          <w:sz w:val="52"/>
          <w:szCs w:val="52"/>
          <w:highlight w:val="none"/>
        </w:rPr>
      </w:pPr>
      <w:r>
        <w:rPr>
          <w:rFonts w:hint="eastAsia" w:hAnsi="宋体" w:cs="宋体"/>
          <w:b/>
          <w:bCs/>
          <w:color w:val="auto"/>
          <w:spacing w:val="80"/>
          <w:sz w:val="52"/>
          <w:szCs w:val="52"/>
          <w:highlight w:val="none"/>
        </w:rPr>
        <w:t>广西瑞真工程造价咨询有限责任公司</w:t>
      </w:r>
    </w:p>
    <w:p>
      <w:pPr>
        <w:pStyle w:val="12"/>
        <w:jc w:val="both"/>
        <w:rPr>
          <w:rFonts w:hAnsi="宋体" w:cs="宋体"/>
          <w:b/>
          <w:bCs/>
          <w:color w:val="auto"/>
          <w:spacing w:val="80"/>
          <w:sz w:val="72"/>
          <w:highlight w:val="none"/>
        </w:rPr>
      </w:pPr>
    </w:p>
    <w:p>
      <w:pPr>
        <w:pStyle w:val="12"/>
        <w:rPr>
          <w:rFonts w:hAnsi="宋体" w:cs="宋体"/>
          <w:b/>
          <w:bCs/>
          <w:color w:val="auto"/>
          <w:spacing w:val="80"/>
          <w:sz w:val="72"/>
          <w:highlight w:val="none"/>
        </w:rPr>
      </w:pPr>
    </w:p>
    <w:p>
      <w:pPr>
        <w:pStyle w:val="12"/>
        <w:rPr>
          <w:rFonts w:hAnsi="宋体" w:cs="宋体"/>
          <w:color w:val="auto"/>
          <w:highlight w:val="none"/>
        </w:rPr>
      </w:pPr>
    </w:p>
    <w:p>
      <w:pPr>
        <w:spacing w:line="1400" w:lineRule="exact"/>
        <w:jc w:val="center"/>
        <w:rPr>
          <w:rFonts w:ascii="宋体" w:hAnsi="宋体" w:cs="宋体"/>
          <w:b/>
          <w:color w:val="auto"/>
          <w:spacing w:val="60"/>
          <w:sz w:val="96"/>
          <w:szCs w:val="96"/>
          <w:highlight w:val="none"/>
        </w:rPr>
      </w:pPr>
      <w:r>
        <w:rPr>
          <w:rFonts w:hint="eastAsia" w:ascii="宋体" w:hAnsi="宋体" w:cs="宋体"/>
          <w:b/>
          <w:color w:val="auto"/>
          <w:spacing w:val="60"/>
          <w:sz w:val="96"/>
          <w:szCs w:val="96"/>
          <w:highlight w:val="none"/>
        </w:rPr>
        <w:t>采购文件</w:t>
      </w:r>
    </w:p>
    <w:p>
      <w:pPr>
        <w:pStyle w:val="12"/>
        <w:rPr>
          <w:rFonts w:hAnsi="宋体" w:cs="宋体"/>
          <w:color w:val="auto"/>
          <w:highlight w:val="none"/>
        </w:rPr>
      </w:pPr>
    </w:p>
    <w:p>
      <w:pPr>
        <w:pStyle w:val="12"/>
        <w:rPr>
          <w:rFonts w:hAnsi="宋体" w:cs="宋体"/>
          <w:color w:val="auto"/>
          <w:highlight w:val="none"/>
        </w:rPr>
      </w:pPr>
    </w:p>
    <w:p>
      <w:pPr>
        <w:pStyle w:val="12"/>
        <w:rPr>
          <w:rFonts w:hAnsi="宋体" w:cs="宋体"/>
          <w:color w:val="auto"/>
          <w:highlight w:val="none"/>
        </w:rPr>
      </w:pPr>
    </w:p>
    <w:p>
      <w:pPr>
        <w:pStyle w:val="12"/>
        <w:rPr>
          <w:rFonts w:hAnsi="宋体" w:cs="宋体"/>
          <w:color w:val="auto"/>
          <w:highlight w:val="none"/>
        </w:rPr>
      </w:pPr>
    </w:p>
    <w:p>
      <w:pPr>
        <w:pStyle w:val="12"/>
        <w:rPr>
          <w:rFonts w:hAnsi="宋体" w:cs="宋体"/>
          <w:color w:val="auto"/>
          <w:highlight w:val="none"/>
        </w:rPr>
      </w:pPr>
    </w:p>
    <w:p>
      <w:pPr>
        <w:pStyle w:val="12"/>
        <w:rPr>
          <w:rFonts w:hAnsi="宋体" w:cs="宋体"/>
          <w:color w:val="auto"/>
          <w:highlight w:val="none"/>
        </w:rPr>
      </w:pPr>
    </w:p>
    <w:p>
      <w:pPr>
        <w:pStyle w:val="12"/>
        <w:rPr>
          <w:rFonts w:hAnsi="宋体" w:cs="宋体"/>
          <w:color w:val="auto"/>
          <w:highlight w:val="none"/>
        </w:rPr>
      </w:pPr>
    </w:p>
    <w:p>
      <w:pPr>
        <w:spacing w:line="700" w:lineRule="exact"/>
        <w:ind w:left="2876" w:leftChars="608" w:hanging="1600" w:hangingChars="500"/>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项目名称：</w:t>
      </w:r>
      <w:r>
        <w:rPr>
          <w:rFonts w:hint="eastAsia" w:ascii="宋体" w:hAnsi="宋体" w:cs="宋体"/>
          <w:b/>
          <w:bCs/>
          <w:color w:val="auto"/>
          <w:sz w:val="32"/>
          <w:szCs w:val="32"/>
          <w:highlight w:val="none"/>
          <w:lang w:eastAsia="zh-CN"/>
        </w:rPr>
        <w:t>医院急诊急救平台</w:t>
      </w:r>
    </w:p>
    <w:p>
      <w:pPr>
        <w:spacing w:line="700" w:lineRule="exact"/>
        <w:ind w:left="2876" w:leftChars="608" w:hanging="1600" w:hangingChars="500"/>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项目编号：</w:t>
      </w:r>
      <w:r>
        <w:rPr>
          <w:rFonts w:hint="eastAsia" w:ascii="宋体" w:hAnsi="宋体" w:cs="宋体"/>
          <w:b/>
          <w:bCs/>
          <w:color w:val="auto"/>
          <w:sz w:val="32"/>
          <w:szCs w:val="32"/>
          <w:highlight w:val="none"/>
          <w:lang w:eastAsia="zh-CN"/>
        </w:rPr>
        <w:t>GXZC2021-G1-001119-GXRZ</w:t>
      </w:r>
    </w:p>
    <w:p>
      <w:pPr>
        <w:ind w:left="-2" w:leftChars="-1"/>
        <w:rPr>
          <w:rFonts w:ascii="宋体" w:hAnsi="宋体" w:cs="宋体"/>
          <w:color w:val="auto"/>
          <w:highlight w:val="none"/>
        </w:rPr>
      </w:pPr>
      <w:r>
        <w:rPr>
          <w:rFonts w:hint="eastAsia" w:ascii="宋体" w:hAnsi="宋体" w:cs="宋体"/>
          <w:color w:val="auto"/>
          <w:highlight w:val="none"/>
        </w:rPr>
        <w:cr/>
      </w:r>
    </w:p>
    <w:p>
      <w:pPr>
        <w:pStyle w:val="15"/>
        <w:rPr>
          <w:rFonts w:ascii="宋体" w:hAnsi="宋体" w:cs="宋体"/>
          <w:color w:val="auto"/>
          <w:highlight w:val="none"/>
        </w:rPr>
      </w:pPr>
    </w:p>
    <w:p>
      <w:pPr>
        <w:pStyle w:val="15"/>
        <w:rPr>
          <w:rFonts w:ascii="宋体" w:hAnsi="宋体" w:cs="宋体"/>
          <w:color w:val="auto"/>
          <w:highlight w:val="none"/>
        </w:rPr>
      </w:pPr>
    </w:p>
    <w:p>
      <w:pPr>
        <w:pStyle w:val="15"/>
        <w:rPr>
          <w:rFonts w:ascii="宋体" w:hAnsi="宋体" w:cs="宋体"/>
          <w:color w:val="auto"/>
          <w:highlight w:val="none"/>
        </w:rPr>
      </w:pPr>
    </w:p>
    <w:p>
      <w:pPr>
        <w:pStyle w:val="15"/>
        <w:rPr>
          <w:rFonts w:ascii="宋体" w:hAnsi="宋体" w:cs="宋体"/>
          <w:color w:val="auto"/>
          <w:highlight w:val="none"/>
        </w:rPr>
      </w:pPr>
    </w:p>
    <w:p>
      <w:pPr>
        <w:pStyle w:val="15"/>
        <w:rPr>
          <w:rFonts w:ascii="宋体" w:hAnsi="宋体" w:cs="宋体"/>
          <w:color w:val="auto"/>
          <w:highlight w:val="none"/>
        </w:rPr>
      </w:pPr>
    </w:p>
    <w:p>
      <w:pPr>
        <w:spacing w:line="700" w:lineRule="exact"/>
        <w:ind w:left="2876" w:leftChars="760" w:hanging="1280" w:hangingChars="400"/>
        <w:rPr>
          <w:rFonts w:ascii="宋体" w:hAnsi="宋体" w:cs="宋体"/>
          <w:b/>
          <w:bCs/>
          <w:color w:val="auto"/>
          <w:sz w:val="32"/>
          <w:szCs w:val="32"/>
          <w:highlight w:val="none"/>
        </w:rPr>
      </w:pPr>
      <w:r>
        <w:rPr>
          <w:rFonts w:hint="eastAsia" w:ascii="宋体" w:hAnsi="宋体" w:cs="宋体"/>
          <w:b/>
          <w:bCs/>
          <w:color w:val="auto"/>
          <w:sz w:val="32"/>
          <w:szCs w:val="32"/>
          <w:highlight w:val="none"/>
        </w:rPr>
        <w:t>采购人：桂林医学院附属医院</w:t>
      </w:r>
    </w:p>
    <w:p>
      <w:pPr>
        <w:spacing w:line="700" w:lineRule="exact"/>
        <w:ind w:left="4156" w:leftChars="760" w:hanging="2560" w:hangingChars="800"/>
        <w:rPr>
          <w:rFonts w:ascii="宋体" w:hAnsi="宋体" w:cs="宋体"/>
          <w:b/>
          <w:color w:val="auto"/>
          <w:sz w:val="32"/>
          <w:szCs w:val="32"/>
          <w:highlight w:val="none"/>
        </w:rPr>
      </w:pPr>
      <w:r>
        <w:rPr>
          <w:rFonts w:hint="eastAsia" w:ascii="宋体" w:hAnsi="宋体" w:cs="宋体"/>
          <w:b/>
          <w:color w:val="auto"/>
          <w:sz w:val="32"/>
          <w:szCs w:val="32"/>
          <w:highlight w:val="none"/>
        </w:rPr>
        <w:t>采购代理机构：广西瑞真工程造价咨询有限责任公司</w:t>
      </w:r>
    </w:p>
    <w:p>
      <w:pPr>
        <w:spacing w:line="700" w:lineRule="exact"/>
        <w:ind w:left="4151" w:leftChars="1672" w:hanging="640" w:hangingChars="200"/>
        <w:rPr>
          <w:rFonts w:hAnsi="宋体" w:cs="宋体"/>
          <w:color w:val="auto"/>
          <w:sz w:val="48"/>
          <w:szCs w:val="48"/>
          <w:highlight w:val="none"/>
        </w:rPr>
      </w:pPr>
      <w:r>
        <w:rPr>
          <w:rFonts w:hint="eastAsia" w:ascii="宋体" w:hAnsi="宋体" w:cs="宋体"/>
          <w:b/>
          <w:color w:val="auto"/>
          <w:sz w:val="32"/>
          <w:szCs w:val="32"/>
          <w:highlight w:val="none"/>
        </w:rPr>
        <w:t>2021年</w:t>
      </w:r>
      <w:r>
        <w:rPr>
          <w:rFonts w:hint="eastAsia" w:ascii="宋体" w:hAnsi="宋体" w:cs="宋体"/>
          <w:b/>
          <w:color w:val="auto"/>
          <w:sz w:val="32"/>
          <w:szCs w:val="32"/>
          <w:highlight w:val="none"/>
          <w:lang w:val="en-US" w:eastAsia="zh-CN"/>
        </w:rPr>
        <w:t xml:space="preserve">  </w:t>
      </w:r>
      <w:r>
        <w:rPr>
          <w:rFonts w:hint="eastAsia" w:ascii="宋体" w:hAnsi="宋体" w:cs="宋体"/>
          <w:b/>
          <w:color w:val="auto"/>
          <w:sz w:val="32"/>
          <w:szCs w:val="32"/>
          <w:highlight w:val="none"/>
        </w:rPr>
        <w:t>月</w:t>
      </w:r>
    </w:p>
    <w:p>
      <w:pPr>
        <w:pStyle w:val="12"/>
        <w:spacing w:line="360" w:lineRule="auto"/>
        <w:jc w:val="center"/>
        <w:rPr>
          <w:rFonts w:ascii="黑体" w:hAnsi="黑体" w:eastAsia="黑体" w:cs="黑体"/>
          <w:color w:val="auto"/>
          <w:sz w:val="44"/>
          <w:highlight w:val="none"/>
        </w:rPr>
        <w:sectPr>
          <w:footerReference r:id="rId5" w:type="first"/>
          <w:footerReference r:id="rId3" w:type="default"/>
          <w:footerReference r:id="rId4" w:type="even"/>
          <w:pgSz w:w="11849" w:h="16781"/>
          <w:pgMar w:top="1247" w:right="1247" w:bottom="1247" w:left="1247" w:header="454" w:footer="454" w:gutter="0"/>
          <w:pgBorders>
            <w:top w:val="none" w:sz="0" w:space="0"/>
            <w:left w:val="none" w:sz="0" w:space="0"/>
            <w:bottom w:val="none" w:sz="0" w:space="0"/>
            <w:right w:val="none" w:sz="0" w:space="0"/>
          </w:pgBorders>
          <w:pgNumType w:start="0"/>
          <w:cols w:space="0" w:num="1"/>
          <w:titlePg/>
          <w:docGrid w:type="linesAndChars" w:linePitch="331" w:charSpace="0"/>
        </w:sectPr>
      </w:pPr>
    </w:p>
    <w:p>
      <w:pPr>
        <w:pStyle w:val="12"/>
        <w:spacing w:line="360" w:lineRule="auto"/>
        <w:jc w:val="center"/>
        <w:rPr>
          <w:rFonts w:ascii="黑体" w:hAnsi="黑体" w:eastAsia="黑体" w:cs="黑体"/>
          <w:color w:val="auto"/>
          <w:sz w:val="44"/>
          <w:highlight w:val="none"/>
        </w:rPr>
      </w:pPr>
      <w:r>
        <w:rPr>
          <w:rFonts w:hint="eastAsia" w:ascii="黑体" w:hAnsi="黑体" w:eastAsia="黑体" w:cs="黑体"/>
          <w:color w:val="auto"/>
          <w:sz w:val="44"/>
          <w:highlight w:val="none"/>
        </w:rPr>
        <w:t>目     录</w:t>
      </w:r>
    </w:p>
    <w:p>
      <w:pPr>
        <w:pStyle w:val="12"/>
        <w:spacing w:line="360" w:lineRule="auto"/>
        <w:jc w:val="center"/>
        <w:rPr>
          <w:rFonts w:ascii="隶书" w:eastAsia="隶书"/>
          <w:color w:val="auto"/>
          <w:highlight w:val="none"/>
        </w:rPr>
      </w:pPr>
    </w:p>
    <w:p>
      <w:pPr>
        <w:pStyle w:val="17"/>
        <w:tabs>
          <w:tab w:val="right" w:leader="dot" w:pos="9298"/>
        </w:tabs>
        <w:spacing w:line="360" w:lineRule="auto"/>
        <w:rPr>
          <w:color w:val="auto"/>
          <w:sz w:val="28"/>
          <w:szCs w:val="28"/>
          <w:highlight w:val="none"/>
        </w:rPr>
      </w:pPr>
      <w:r>
        <w:rPr>
          <w:rFonts w:ascii="隶书" w:eastAsia="隶书"/>
          <w:color w:val="auto"/>
          <w:sz w:val="28"/>
          <w:szCs w:val="28"/>
          <w:highlight w:val="none"/>
        </w:rPr>
        <w:fldChar w:fldCharType="begin"/>
      </w:r>
      <w:r>
        <w:rPr>
          <w:rFonts w:ascii="隶书" w:eastAsia="隶书"/>
          <w:color w:val="auto"/>
          <w:sz w:val="28"/>
          <w:szCs w:val="28"/>
          <w:highlight w:val="none"/>
        </w:rPr>
        <w:instrText xml:space="preserve">TOC \o "1-1" \h \u </w:instrText>
      </w:r>
      <w:r>
        <w:rPr>
          <w:rFonts w:ascii="隶书" w:eastAsia="隶书"/>
          <w:color w:val="auto"/>
          <w:sz w:val="28"/>
          <w:szCs w:val="28"/>
          <w:highlight w:val="none"/>
        </w:rPr>
        <w:fldChar w:fldCharType="separate"/>
      </w:r>
      <w:r>
        <w:rPr>
          <w:color w:val="auto"/>
          <w:highlight w:val="none"/>
        </w:rPr>
        <w:fldChar w:fldCharType="begin"/>
      </w:r>
      <w:r>
        <w:rPr>
          <w:color w:val="auto"/>
          <w:highlight w:val="none"/>
        </w:rPr>
        <w:instrText xml:space="preserve"> HYPERLINK \l "_Toc14214" </w:instrText>
      </w:r>
      <w:r>
        <w:rPr>
          <w:color w:val="auto"/>
          <w:highlight w:val="none"/>
        </w:rPr>
        <w:fldChar w:fldCharType="separate"/>
      </w:r>
      <w:r>
        <w:rPr>
          <w:rFonts w:hint="eastAsia"/>
          <w:color w:val="auto"/>
          <w:sz w:val="28"/>
          <w:szCs w:val="28"/>
          <w:highlight w:val="none"/>
        </w:rPr>
        <w:t>第一章  公开招标公告</w:t>
      </w:r>
      <w:r>
        <w:rPr>
          <w:color w:val="auto"/>
          <w:sz w:val="28"/>
          <w:szCs w:val="28"/>
          <w:highlight w:val="none"/>
        </w:rPr>
        <w:tab/>
      </w:r>
      <w:r>
        <w:rPr>
          <w:rFonts w:hint="eastAsia"/>
          <w:color w:val="auto"/>
          <w:sz w:val="28"/>
          <w:szCs w:val="28"/>
          <w:highlight w:val="none"/>
        </w:rPr>
        <w:t>2</w:t>
      </w:r>
      <w:r>
        <w:rPr>
          <w:rFonts w:hint="eastAsia"/>
          <w:color w:val="auto"/>
          <w:sz w:val="28"/>
          <w:szCs w:val="28"/>
          <w:highlight w:val="none"/>
        </w:rPr>
        <w:fldChar w:fldCharType="end"/>
      </w:r>
    </w:p>
    <w:p>
      <w:pPr>
        <w:pStyle w:val="17"/>
        <w:tabs>
          <w:tab w:val="right" w:leader="dot" w:pos="9298"/>
        </w:tabs>
        <w:spacing w:line="360" w:lineRule="auto"/>
        <w:rPr>
          <w:color w:val="auto"/>
          <w:sz w:val="28"/>
          <w:szCs w:val="28"/>
          <w:highlight w:val="none"/>
        </w:rPr>
      </w:pPr>
      <w:r>
        <w:rPr>
          <w:rFonts w:hint="eastAsia"/>
          <w:color w:val="auto"/>
          <w:sz w:val="28"/>
          <w:szCs w:val="28"/>
          <w:highlight w:val="none"/>
        </w:rPr>
        <w:t>第二章  供应商须知</w:t>
      </w:r>
      <w:r>
        <w:rPr>
          <w:rFonts w:hint="eastAsia"/>
          <w:color w:val="auto"/>
          <w:sz w:val="28"/>
          <w:szCs w:val="28"/>
          <w:highlight w:val="none"/>
        </w:rPr>
        <w:tab/>
      </w:r>
      <w:r>
        <w:rPr>
          <w:rFonts w:hint="eastAsia"/>
          <w:color w:val="auto"/>
          <w:sz w:val="28"/>
          <w:szCs w:val="28"/>
          <w:highlight w:val="none"/>
        </w:rPr>
        <w:t>4</w:t>
      </w:r>
    </w:p>
    <w:p>
      <w:pPr>
        <w:pStyle w:val="17"/>
        <w:tabs>
          <w:tab w:val="right" w:leader="dot" w:pos="9298"/>
        </w:tabs>
        <w:spacing w:line="360" w:lineRule="auto"/>
        <w:rPr>
          <w:rFonts w:hint="eastAsia" w:eastAsia="宋体"/>
          <w:color w:val="auto"/>
          <w:sz w:val="28"/>
          <w:szCs w:val="28"/>
          <w:highlight w:val="none"/>
          <w:lang w:eastAsia="zh-CN"/>
        </w:rPr>
      </w:pPr>
      <w:r>
        <w:rPr>
          <w:color w:val="auto"/>
          <w:highlight w:val="none"/>
        </w:rPr>
        <w:fldChar w:fldCharType="begin"/>
      </w:r>
      <w:r>
        <w:rPr>
          <w:color w:val="auto"/>
          <w:highlight w:val="none"/>
        </w:rPr>
        <w:instrText xml:space="preserve"> HYPERLINK \l "_Toc7152" </w:instrText>
      </w:r>
      <w:r>
        <w:rPr>
          <w:color w:val="auto"/>
          <w:highlight w:val="none"/>
        </w:rPr>
        <w:fldChar w:fldCharType="separate"/>
      </w:r>
      <w:r>
        <w:rPr>
          <w:rFonts w:hint="eastAsia"/>
          <w:color w:val="auto"/>
          <w:sz w:val="28"/>
          <w:szCs w:val="28"/>
          <w:highlight w:val="none"/>
        </w:rPr>
        <w:t>第三章　</w:t>
      </w:r>
      <w:r>
        <w:rPr>
          <w:rFonts w:hint="eastAsia"/>
          <w:color w:val="auto"/>
          <w:sz w:val="28"/>
          <w:szCs w:val="28"/>
          <w:highlight w:val="none"/>
          <w:lang w:eastAsia="zh-CN"/>
        </w:rPr>
        <w:t>采购需求</w:t>
      </w:r>
      <w:r>
        <w:rPr>
          <w:color w:val="auto"/>
          <w:sz w:val="28"/>
          <w:szCs w:val="28"/>
          <w:highlight w:val="none"/>
        </w:rPr>
        <w:tab/>
      </w:r>
      <w:r>
        <w:rPr>
          <w:rFonts w:hint="eastAsia"/>
          <w:color w:val="auto"/>
          <w:sz w:val="28"/>
          <w:szCs w:val="28"/>
          <w:highlight w:val="none"/>
        </w:rPr>
        <w:t>1</w:t>
      </w:r>
      <w:r>
        <w:rPr>
          <w:rFonts w:hint="eastAsia"/>
          <w:color w:val="auto"/>
          <w:sz w:val="28"/>
          <w:szCs w:val="28"/>
          <w:highlight w:val="none"/>
        </w:rPr>
        <w:fldChar w:fldCharType="end"/>
      </w:r>
      <w:r>
        <w:rPr>
          <w:rFonts w:hint="eastAsia"/>
          <w:color w:val="auto"/>
          <w:sz w:val="28"/>
          <w:szCs w:val="28"/>
          <w:highlight w:val="none"/>
          <w:lang w:val="en-US" w:eastAsia="zh-CN"/>
        </w:rPr>
        <w:t>8</w:t>
      </w:r>
    </w:p>
    <w:p>
      <w:pPr>
        <w:pStyle w:val="17"/>
        <w:tabs>
          <w:tab w:val="right" w:leader="dot" w:pos="9298"/>
        </w:tabs>
        <w:spacing w:line="360" w:lineRule="auto"/>
        <w:rPr>
          <w:color w:val="auto"/>
          <w:sz w:val="28"/>
          <w:szCs w:val="28"/>
          <w:highlight w:val="none"/>
        </w:rPr>
      </w:pPr>
      <w:r>
        <w:rPr>
          <w:color w:val="auto"/>
          <w:highlight w:val="none"/>
        </w:rPr>
        <w:fldChar w:fldCharType="begin"/>
      </w:r>
      <w:r>
        <w:rPr>
          <w:color w:val="auto"/>
          <w:highlight w:val="none"/>
        </w:rPr>
        <w:instrText xml:space="preserve"> HYPERLINK \l "_Toc29650" </w:instrText>
      </w:r>
      <w:r>
        <w:rPr>
          <w:color w:val="auto"/>
          <w:highlight w:val="none"/>
        </w:rPr>
        <w:fldChar w:fldCharType="separate"/>
      </w:r>
      <w:r>
        <w:rPr>
          <w:rFonts w:hint="eastAsia"/>
          <w:color w:val="auto"/>
          <w:sz w:val="28"/>
          <w:szCs w:val="28"/>
          <w:highlight w:val="none"/>
        </w:rPr>
        <w:t>第四章  评标办法</w:t>
      </w:r>
      <w:r>
        <w:rPr>
          <w:color w:val="auto"/>
          <w:sz w:val="28"/>
          <w:szCs w:val="28"/>
          <w:highlight w:val="none"/>
        </w:rPr>
        <w:tab/>
      </w:r>
      <w:r>
        <w:rPr>
          <w:rFonts w:hint="eastAsia"/>
          <w:color w:val="auto"/>
          <w:sz w:val="28"/>
          <w:szCs w:val="28"/>
          <w:highlight w:val="none"/>
          <w:lang w:val="en-US" w:eastAsia="zh-CN"/>
        </w:rPr>
        <w:t>65</w:t>
      </w:r>
      <w:r>
        <w:rPr>
          <w:rFonts w:hint="eastAsia"/>
          <w:color w:val="auto"/>
          <w:sz w:val="28"/>
          <w:szCs w:val="28"/>
          <w:highlight w:val="none"/>
        </w:rPr>
        <w:fldChar w:fldCharType="end"/>
      </w:r>
    </w:p>
    <w:p>
      <w:pPr>
        <w:pStyle w:val="17"/>
        <w:tabs>
          <w:tab w:val="right" w:leader="dot" w:pos="9298"/>
        </w:tabs>
        <w:spacing w:line="360" w:lineRule="auto"/>
        <w:rPr>
          <w:rFonts w:hint="eastAsia" w:eastAsia="宋体"/>
          <w:color w:val="auto"/>
          <w:sz w:val="28"/>
          <w:szCs w:val="28"/>
          <w:highlight w:val="none"/>
          <w:lang w:val="en-US" w:eastAsia="zh-CN"/>
        </w:rPr>
      </w:pPr>
      <w:r>
        <w:rPr>
          <w:color w:val="auto"/>
          <w:highlight w:val="none"/>
        </w:rPr>
        <w:fldChar w:fldCharType="begin"/>
      </w:r>
      <w:r>
        <w:rPr>
          <w:color w:val="auto"/>
          <w:highlight w:val="none"/>
        </w:rPr>
        <w:instrText xml:space="preserve"> HYPERLINK \l "_Toc1663" </w:instrText>
      </w:r>
      <w:r>
        <w:rPr>
          <w:color w:val="auto"/>
          <w:highlight w:val="none"/>
        </w:rPr>
        <w:fldChar w:fldCharType="separate"/>
      </w:r>
      <w:r>
        <w:rPr>
          <w:rFonts w:hint="eastAsia"/>
          <w:color w:val="auto"/>
          <w:sz w:val="28"/>
          <w:szCs w:val="28"/>
          <w:highlight w:val="none"/>
        </w:rPr>
        <w:t>第五章  采购合同（合同主要条款及格式）</w:t>
      </w:r>
      <w:r>
        <w:rPr>
          <w:color w:val="auto"/>
          <w:sz w:val="28"/>
          <w:szCs w:val="28"/>
          <w:highlight w:val="none"/>
        </w:rPr>
        <w:tab/>
      </w:r>
      <w:r>
        <w:rPr>
          <w:rFonts w:hint="eastAsia"/>
          <w:color w:val="auto"/>
          <w:sz w:val="28"/>
          <w:szCs w:val="28"/>
          <w:highlight w:val="none"/>
          <w:lang w:val="en-US" w:eastAsia="zh-CN"/>
        </w:rPr>
        <w:t>6</w:t>
      </w:r>
      <w:r>
        <w:rPr>
          <w:color w:val="auto"/>
          <w:sz w:val="28"/>
          <w:szCs w:val="28"/>
          <w:highlight w:val="none"/>
        </w:rPr>
        <w:fldChar w:fldCharType="end"/>
      </w:r>
      <w:r>
        <w:rPr>
          <w:rFonts w:hint="eastAsia"/>
          <w:color w:val="auto"/>
          <w:sz w:val="28"/>
          <w:szCs w:val="28"/>
          <w:highlight w:val="none"/>
          <w:lang w:val="en-US" w:eastAsia="zh-CN"/>
        </w:rPr>
        <w:t>8</w:t>
      </w:r>
    </w:p>
    <w:p>
      <w:pPr>
        <w:pStyle w:val="17"/>
        <w:tabs>
          <w:tab w:val="right" w:leader="dot" w:pos="9298"/>
        </w:tabs>
        <w:spacing w:line="360" w:lineRule="auto"/>
        <w:rPr>
          <w:rFonts w:hint="eastAsia" w:eastAsia="宋体"/>
          <w:color w:val="auto"/>
          <w:sz w:val="28"/>
          <w:szCs w:val="28"/>
          <w:highlight w:val="none"/>
          <w:lang w:val="en-US" w:eastAsia="zh-CN"/>
        </w:rPr>
      </w:pPr>
      <w:r>
        <w:rPr>
          <w:color w:val="auto"/>
          <w:highlight w:val="none"/>
        </w:rPr>
        <w:fldChar w:fldCharType="begin"/>
      </w:r>
      <w:r>
        <w:rPr>
          <w:color w:val="auto"/>
          <w:highlight w:val="none"/>
        </w:rPr>
        <w:instrText xml:space="preserve"> HYPERLINK \l "_Toc17003" </w:instrText>
      </w:r>
      <w:r>
        <w:rPr>
          <w:color w:val="auto"/>
          <w:highlight w:val="none"/>
        </w:rPr>
        <w:fldChar w:fldCharType="separate"/>
      </w:r>
      <w:r>
        <w:rPr>
          <w:rFonts w:hint="eastAsia"/>
          <w:color w:val="auto"/>
          <w:sz w:val="28"/>
          <w:szCs w:val="28"/>
          <w:highlight w:val="none"/>
        </w:rPr>
        <w:t>第六章  投标文件格式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_Toc17003 </w:instrText>
      </w:r>
      <w:r>
        <w:rPr>
          <w:color w:val="auto"/>
          <w:sz w:val="28"/>
          <w:szCs w:val="28"/>
          <w:highlight w:val="none"/>
        </w:rPr>
        <w:fldChar w:fldCharType="separate"/>
      </w:r>
      <w:r>
        <w:rPr>
          <w:rFonts w:hint="eastAsia"/>
          <w:color w:val="auto"/>
          <w:sz w:val="28"/>
          <w:szCs w:val="28"/>
          <w:highlight w:val="none"/>
          <w:lang w:val="en-US" w:eastAsia="zh-CN"/>
        </w:rPr>
        <w:t>7</w:t>
      </w:r>
      <w:r>
        <w:rPr>
          <w:color w:val="auto"/>
          <w:sz w:val="28"/>
          <w:szCs w:val="28"/>
          <w:highlight w:val="none"/>
        </w:rPr>
        <w:fldChar w:fldCharType="end"/>
      </w:r>
      <w:r>
        <w:rPr>
          <w:color w:val="auto"/>
          <w:sz w:val="28"/>
          <w:szCs w:val="28"/>
          <w:highlight w:val="none"/>
        </w:rPr>
        <w:fldChar w:fldCharType="end"/>
      </w:r>
      <w:r>
        <w:rPr>
          <w:rFonts w:hint="eastAsia"/>
          <w:color w:val="auto"/>
          <w:sz w:val="28"/>
          <w:szCs w:val="28"/>
          <w:highlight w:val="none"/>
          <w:lang w:val="en-US" w:eastAsia="zh-CN"/>
        </w:rPr>
        <w:t>3</w:t>
      </w:r>
    </w:p>
    <w:p>
      <w:pPr>
        <w:spacing w:line="360" w:lineRule="auto"/>
        <w:jc w:val="center"/>
        <w:rPr>
          <w:rFonts w:ascii="宋体" w:hAnsi="宋体" w:cs="宋体"/>
          <w:color w:val="auto"/>
          <w:szCs w:val="21"/>
          <w:highlight w:val="none"/>
        </w:rPr>
      </w:pPr>
      <w:r>
        <w:rPr>
          <w:rFonts w:ascii="隶书" w:eastAsia="隶书"/>
          <w:color w:val="auto"/>
          <w:sz w:val="28"/>
          <w:szCs w:val="28"/>
          <w:highlight w:val="none"/>
        </w:rPr>
        <w:fldChar w:fldCharType="end"/>
      </w:r>
    </w:p>
    <w:p>
      <w:pPr>
        <w:spacing w:line="360" w:lineRule="auto"/>
        <w:jc w:val="center"/>
        <w:rPr>
          <w:rFonts w:ascii="宋体" w:hAnsi="宋体" w:cs="宋体"/>
          <w:b/>
          <w:color w:val="auto"/>
          <w:szCs w:val="21"/>
          <w:highlight w:val="none"/>
        </w:rPr>
      </w:pPr>
    </w:p>
    <w:p>
      <w:pPr>
        <w:spacing w:line="360" w:lineRule="auto"/>
        <w:jc w:val="center"/>
        <w:rPr>
          <w:rFonts w:ascii="宋体" w:hAnsi="宋体" w:cs="宋体"/>
          <w:b/>
          <w:color w:val="auto"/>
          <w:szCs w:val="21"/>
          <w:highlight w:val="none"/>
        </w:rPr>
      </w:pPr>
    </w:p>
    <w:p>
      <w:pPr>
        <w:spacing w:line="360" w:lineRule="auto"/>
        <w:jc w:val="center"/>
        <w:rPr>
          <w:rFonts w:ascii="宋体" w:hAnsi="宋体" w:cs="宋体"/>
          <w:b/>
          <w:color w:val="auto"/>
          <w:szCs w:val="21"/>
          <w:highlight w:val="none"/>
        </w:rPr>
      </w:pPr>
    </w:p>
    <w:p>
      <w:pPr>
        <w:spacing w:line="360" w:lineRule="auto"/>
        <w:jc w:val="center"/>
        <w:rPr>
          <w:rFonts w:ascii="宋体" w:hAnsi="宋体" w:cs="宋体"/>
          <w:b/>
          <w:color w:val="auto"/>
          <w:szCs w:val="21"/>
          <w:highlight w:val="none"/>
        </w:rPr>
      </w:pPr>
    </w:p>
    <w:p>
      <w:pPr>
        <w:spacing w:line="360" w:lineRule="auto"/>
        <w:jc w:val="center"/>
        <w:rPr>
          <w:rFonts w:ascii="宋体" w:hAnsi="宋体" w:cs="宋体"/>
          <w:b/>
          <w:color w:val="auto"/>
          <w:szCs w:val="21"/>
          <w:highlight w:val="none"/>
        </w:rPr>
        <w:sectPr>
          <w:footerReference r:id="rId7" w:type="first"/>
          <w:footerReference r:id="rId6" w:type="default"/>
          <w:pgSz w:w="11849" w:h="16781"/>
          <w:pgMar w:top="1247" w:right="1247" w:bottom="1247" w:left="1247" w:header="454" w:footer="454" w:gutter="0"/>
          <w:pgBorders>
            <w:top w:val="none" w:sz="0" w:space="0"/>
            <w:left w:val="none" w:sz="0" w:space="0"/>
            <w:bottom w:val="none" w:sz="0" w:space="0"/>
            <w:right w:val="none" w:sz="0" w:space="0"/>
          </w:pgBorders>
          <w:pgNumType w:start="1"/>
          <w:cols w:space="0" w:num="1"/>
          <w:titlePg/>
          <w:docGrid w:type="linesAndChars" w:linePitch="331" w:charSpace="0"/>
        </w:sectPr>
      </w:pPr>
    </w:p>
    <w:p>
      <w:pPr>
        <w:pStyle w:val="4"/>
        <w:spacing w:line="400" w:lineRule="exact"/>
        <w:rPr>
          <w:color w:val="auto"/>
          <w:highlight w:val="none"/>
        </w:rPr>
      </w:pPr>
      <w:bookmarkStart w:id="0" w:name="_Toc14214"/>
      <w:r>
        <w:rPr>
          <w:rFonts w:hint="eastAsia"/>
          <w:color w:val="auto"/>
          <w:highlight w:val="none"/>
        </w:rPr>
        <w:t>第一章  公开招标公告</w:t>
      </w:r>
      <w:bookmarkEnd w:id="0"/>
    </w:p>
    <w:p>
      <w:pPr>
        <w:pStyle w:val="4"/>
        <w:tabs>
          <w:tab w:val="left" w:pos="0"/>
          <w:tab w:val="left" w:pos="3165"/>
          <w:tab w:val="center" w:pos="4153"/>
        </w:tabs>
        <w:autoSpaceDE w:val="0"/>
        <w:autoSpaceDN w:val="0"/>
        <w:adjustRightInd w:val="0"/>
        <w:spacing w:line="400" w:lineRule="exact"/>
        <w:jc w:val="left"/>
        <w:rPr>
          <w:rFonts w:hint="eastAsia" w:ascii="宋体" w:hAnsi="宋体" w:eastAsia="宋体" w:cs="宋体"/>
          <w:color w:val="auto"/>
          <w:sz w:val="21"/>
          <w:szCs w:val="21"/>
          <w:highlight w:val="none"/>
          <w:lang w:val="en-US" w:eastAsia="zh-CN"/>
        </w:rPr>
      </w:pPr>
    </w:p>
    <w:p>
      <w:pPr>
        <w:pBdr>
          <w:top w:val="single" w:color="auto" w:sz="4" w:space="1"/>
          <w:left w:val="single" w:color="auto" w:sz="4" w:space="4"/>
          <w:bottom w:val="single" w:color="auto" w:sz="4" w:space="1"/>
          <w:right w:val="single" w:color="auto" w:sz="4" w:space="4"/>
        </w:pBd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项目概况</w:t>
      </w:r>
    </w:p>
    <w:p>
      <w:pPr>
        <w:pBdr>
          <w:top w:val="single" w:color="auto" w:sz="4" w:space="1"/>
          <w:left w:val="single" w:color="auto" w:sz="4" w:space="4"/>
          <w:bottom w:val="single" w:color="auto" w:sz="4" w:space="1"/>
          <w:right w:val="single" w:color="auto" w:sz="4" w:space="4"/>
        </w:pBd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eastAsia="zh-CN"/>
        </w:rPr>
        <w:t>医院急诊急救平台</w:t>
      </w:r>
      <w:r>
        <w:rPr>
          <w:rFonts w:hint="eastAsia" w:ascii="宋体" w:hAnsi="宋体" w:cs="宋体"/>
          <w:color w:val="auto"/>
          <w:szCs w:val="21"/>
          <w:highlight w:val="none"/>
        </w:rPr>
        <w:t>采购项目的潜在供应商应在</w:t>
      </w:r>
      <w:r>
        <w:rPr>
          <w:rFonts w:hint="eastAsia" w:ascii="宋体" w:hAnsi="宋体" w:cs="宋体"/>
          <w:color w:val="auto"/>
          <w:szCs w:val="21"/>
          <w:highlight w:val="none"/>
          <w:u w:val="single"/>
        </w:rPr>
        <w:t>广西壮族自治区政府采购网（</w:t>
      </w:r>
      <w:r>
        <w:rPr>
          <w:rFonts w:hint="eastAsia" w:ascii="宋体" w:hAnsi="宋体" w:cs="宋体"/>
          <w:color w:val="auto"/>
          <w:szCs w:val="21"/>
          <w:highlight w:val="none"/>
          <w:u w:val="single"/>
          <w:lang w:eastAsia="zh-CN"/>
        </w:rPr>
        <w:t>http://zfcg.gxzf.gov.cn/</w:t>
      </w:r>
      <w:r>
        <w:rPr>
          <w:rFonts w:hint="eastAsia" w:ascii="宋体" w:hAnsi="宋体" w:cs="宋体"/>
          <w:color w:val="auto"/>
          <w:szCs w:val="21"/>
          <w:highlight w:val="none"/>
          <w:u w:val="single"/>
        </w:rPr>
        <w:t>）、桂林市公共资源交易中心网（http://glggzy.org.cn）</w:t>
      </w:r>
      <w:r>
        <w:rPr>
          <w:rFonts w:hint="eastAsia" w:ascii="宋体" w:hAnsi="宋体" w:cs="宋体"/>
          <w:color w:val="auto"/>
          <w:szCs w:val="21"/>
          <w:highlight w:val="none"/>
        </w:rPr>
        <w:t>获取采购文件，并于</w:t>
      </w:r>
      <w:r>
        <w:rPr>
          <w:rFonts w:hint="eastAsia" w:ascii="宋体" w:hAnsi="宋体" w:cs="宋体"/>
          <w:color w:val="auto"/>
          <w:szCs w:val="21"/>
          <w:highlight w:val="none"/>
          <w:u w:val="single"/>
        </w:rPr>
        <w:t>2021年</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月</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日</w:t>
      </w:r>
      <w:r>
        <w:rPr>
          <w:rFonts w:hint="eastAsia" w:ascii="宋体" w:hAnsi="宋体" w:cs="宋体"/>
          <w:bCs/>
          <w:color w:val="auto"/>
          <w:szCs w:val="21"/>
          <w:highlight w:val="none"/>
          <w:u w:val="single"/>
        </w:rPr>
        <w:t>09点30分（</w:t>
      </w:r>
      <w:r>
        <w:rPr>
          <w:rFonts w:hint="eastAsia" w:ascii="宋体" w:hAnsi="宋体" w:cs="宋体"/>
          <w:bCs/>
          <w:color w:val="auto"/>
          <w:szCs w:val="21"/>
          <w:highlight w:val="none"/>
        </w:rPr>
        <w:t>北京时间）前递交投标文件</w:t>
      </w:r>
      <w:r>
        <w:rPr>
          <w:rFonts w:hint="eastAsia" w:ascii="宋体" w:hAnsi="宋体" w:cs="宋体"/>
          <w:color w:val="auto"/>
          <w:szCs w:val="21"/>
          <w:highlight w:val="none"/>
        </w:rPr>
        <w:t>。</w:t>
      </w:r>
    </w:p>
    <w:p>
      <w:pPr>
        <w:spacing w:line="400" w:lineRule="exact"/>
        <w:ind w:firstLine="420" w:firstLineChars="200"/>
        <w:rPr>
          <w:rFonts w:ascii="宋体" w:hAnsi="宋体" w:cs="宋体"/>
          <w:color w:val="auto"/>
          <w:szCs w:val="21"/>
          <w:highlight w:val="none"/>
        </w:rPr>
      </w:pPr>
      <w:bookmarkStart w:id="1" w:name="_Toc28359079"/>
      <w:bookmarkStart w:id="2" w:name="_Toc35393621"/>
      <w:bookmarkStart w:id="3" w:name="_Toc28359002"/>
      <w:bookmarkStart w:id="4" w:name="_Toc35393790"/>
      <w:bookmarkStart w:id="5" w:name="_Hlk24379207"/>
      <w:r>
        <w:rPr>
          <w:rFonts w:hint="eastAsia" w:ascii="宋体" w:hAnsi="宋体" w:cs="宋体"/>
          <w:color w:val="auto"/>
          <w:szCs w:val="21"/>
          <w:highlight w:val="none"/>
        </w:rPr>
        <w:t>一、项目基本情况</w:t>
      </w:r>
      <w:bookmarkEnd w:id="1"/>
      <w:bookmarkEnd w:id="2"/>
      <w:bookmarkEnd w:id="3"/>
      <w:bookmarkEnd w:id="4"/>
    </w:p>
    <w:p>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项目编号：</w:t>
      </w:r>
      <w:r>
        <w:rPr>
          <w:rFonts w:hint="eastAsia" w:ascii="宋体" w:hAnsi="宋体" w:cs="宋体"/>
          <w:color w:val="auto"/>
          <w:szCs w:val="21"/>
          <w:highlight w:val="none"/>
          <w:lang w:eastAsia="zh-CN"/>
        </w:rPr>
        <w:t>GXZC2021-G1-001119-GXRZ</w:t>
      </w:r>
    </w:p>
    <w:p>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项目名称：</w:t>
      </w:r>
      <w:bookmarkEnd w:id="5"/>
      <w:r>
        <w:rPr>
          <w:rFonts w:hint="eastAsia" w:ascii="宋体" w:hAnsi="宋体" w:cs="宋体"/>
          <w:color w:val="auto"/>
          <w:szCs w:val="21"/>
          <w:highlight w:val="none"/>
          <w:lang w:eastAsia="zh-CN"/>
        </w:rPr>
        <w:t>医院急诊急救平台</w:t>
      </w:r>
    </w:p>
    <w:p>
      <w:pPr>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预算金额：</w:t>
      </w:r>
      <w:r>
        <w:rPr>
          <w:rFonts w:hint="eastAsia" w:ascii="宋体" w:hAnsi="宋体" w:cs="宋体"/>
          <w:color w:val="auto"/>
          <w:szCs w:val="21"/>
          <w:highlight w:val="none"/>
          <w:lang w:eastAsia="zh-CN"/>
        </w:rPr>
        <w:t>2500000元</w:t>
      </w:r>
    </w:p>
    <w:p>
      <w:pPr>
        <w:spacing w:line="400" w:lineRule="exact"/>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最高限价：2500000元</w:t>
      </w:r>
    </w:p>
    <w:p>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采购需求：</w:t>
      </w:r>
      <w:bookmarkStart w:id="6" w:name="_Toc35393791"/>
      <w:bookmarkStart w:id="7" w:name="_Toc28359080"/>
      <w:bookmarkStart w:id="8" w:name="_Toc28359003"/>
      <w:bookmarkStart w:id="9" w:name="_Toc35393622"/>
    </w:p>
    <w:tbl>
      <w:tblPr>
        <w:tblStyle w:val="21"/>
        <w:tblW w:w="94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24"/>
        <w:gridCol w:w="3920"/>
        <w:gridCol w:w="992"/>
        <w:gridCol w:w="925"/>
        <w:gridCol w:w="2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widowControl/>
              <w:spacing w:line="400" w:lineRule="exact"/>
              <w:jc w:val="center"/>
              <w:textAlignment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项号</w:t>
            </w:r>
          </w:p>
        </w:tc>
        <w:tc>
          <w:tcPr>
            <w:tcW w:w="3920" w:type="dxa"/>
            <w:shd w:val="clear" w:color="auto" w:fill="FFFFFF"/>
            <w:noWrap w:val="0"/>
            <w:vAlign w:val="center"/>
          </w:tcPr>
          <w:p>
            <w:pPr>
              <w:widowControl/>
              <w:spacing w:line="400" w:lineRule="exact"/>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项目名称</w:t>
            </w:r>
          </w:p>
        </w:tc>
        <w:tc>
          <w:tcPr>
            <w:tcW w:w="992" w:type="dxa"/>
            <w:shd w:val="clear" w:color="auto" w:fill="FFFFFF"/>
            <w:noWrap w:val="0"/>
            <w:vAlign w:val="center"/>
          </w:tcPr>
          <w:p>
            <w:pPr>
              <w:widowControl/>
              <w:spacing w:line="400" w:lineRule="exact"/>
              <w:jc w:val="center"/>
              <w:textAlignment w:val="bottom"/>
              <w:rPr>
                <w:rFonts w:ascii="宋体" w:hAnsi="宋体" w:cs="宋体"/>
                <w:b/>
                <w:bCs/>
                <w:color w:val="auto"/>
                <w:szCs w:val="21"/>
                <w:highlight w:val="none"/>
              </w:rPr>
            </w:pPr>
            <w:r>
              <w:rPr>
                <w:rFonts w:hint="eastAsia" w:ascii="宋体" w:hAnsi="宋体" w:cs="宋体"/>
                <w:b/>
                <w:bCs/>
                <w:color w:val="auto"/>
                <w:kern w:val="0"/>
                <w:szCs w:val="21"/>
                <w:highlight w:val="none"/>
              </w:rPr>
              <w:t>数量</w:t>
            </w:r>
          </w:p>
        </w:tc>
        <w:tc>
          <w:tcPr>
            <w:tcW w:w="925" w:type="dxa"/>
            <w:shd w:val="clear" w:color="auto" w:fill="FFFFFF"/>
            <w:noWrap w:val="0"/>
            <w:vAlign w:val="center"/>
          </w:tcPr>
          <w:p>
            <w:pPr>
              <w:widowControl/>
              <w:spacing w:line="400" w:lineRule="exact"/>
              <w:jc w:val="center"/>
              <w:textAlignment w:val="bottom"/>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单位</w:t>
            </w:r>
          </w:p>
        </w:tc>
        <w:tc>
          <w:tcPr>
            <w:tcW w:w="2741" w:type="dxa"/>
            <w:shd w:val="clear" w:color="auto" w:fill="FFFFFF"/>
            <w:noWrap w:val="0"/>
            <w:vAlign w:val="center"/>
          </w:tcPr>
          <w:p>
            <w:pPr>
              <w:widowControl/>
              <w:spacing w:line="400" w:lineRule="exact"/>
              <w:jc w:val="center"/>
              <w:textAlignment w:val="bottom"/>
              <w:rPr>
                <w:rFonts w:hint="eastAsia" w:ascii="宋体" w:hAnsi="宋体" w:eastAsia="宋体" w:cs="宋体"/>
                <w:b/>
                <w:bCs/>
                <w:color w:val="auto"/>
                <w:szCs w:val="21"/>
                <w:highlight w:val="none"/>
                <w:lang w:eastAsia="zh-CN"/>
              </w:rPr>
            </w:pPr>
            <w:r>
              <w:rPr>
                <w:rFonts w:hint="eastAsia" w:ascii="宋体" w:hAnsi="宋体" w:cs="宋体"/>
                <w:bCs/>
                <w:iCs/>
                <w:color w:val="auto"/>
                <w:sz w:val="21"/>
                <w:szCs w:val="21"/>
                <w:highlight w:val="none"/>
              </w:rPr>
              <w:t>项目基本概况介绍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w:t>
            </w:r>
          </w:p>
        </w:tc>
        <w:tc>
          <w:tcPr>
            <w:tcW w:w="3920" w:type="dxa"/>
            <w:shd w:val="clear" w:color="auto" w:fill="FFFFFF"/>
            <w:noWrap w:val="0"/>
            <w:vAlign w:val="center"/>
          </w:tcPr>
          <w:p>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lang w:val="en-US" w:eastAsia="zh-CN"/>
              </w:rPr>
              <w:t>院前急救系统</w:t>
            </w:r>
          </w:p>
        </w:tc>
        <w:tc>
          <w:tcPr>
            <w:tcW w:w="992" w:type="dxa"/>
            <w:shd w:val="clear" w:color="auto" w:fill="FFFFFF"/>
            <w:noWrap w:val="0"/>
            <w:vAlign w:val="center"/>
          </w:tcPr>
          <w:p>
            <w:pPr>
              <w:adjustRightInd w:val="0"/>
              <w:snapToGrid w:val="0"/>
              <w:spacing w:line="40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p>
        </w:tc>
        <w:tc>
          <w:tcPr>
            <w:tcW w:w="925" w:type="dxa"/>
            <w:shd w:val="clear" w:color="auto" w:fill="FFFFFF"/>
            <w:noWrap w:val="0"/>
            <w:vAlign w:val="center"/>
          </w:tcPr>
          <w:p>
            <w:pPr>
              <w:adjustRightInd w:val="0"/>
              <w:snapToGrid w:val="0"/>
              <w:spacing w:line="40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lang w:val="en-US" w:eastAsia="zh-CN"/>
              </w:rPr>
              <w:t>套</w:t>
            </w:r>
          </w:p>
        </w:tc>
        <w:tc>
          <w:tcPr>
            <w:tcW w:w="2741" w:type="dxa"/>
            <w:vMerge w:val="restart"/>
            <w:shd w:val="clear" w:color="auto" w:fill="FFFFFF"/>
            <w:noWrap w:val="0"/>
            <w:vAlign w:val="center"/>
          </w:tcPr>
          <w:p>
            <w:pPr>
              <w:widowControl/>
              <w:adjustRightInd w:val="0"/>
              <w:snapToGrid w:val="0"/>
              <w:spacing w:line="400" w:lineRule="exact"/>
              <w:jc w:val="center"/>
              <w:rPr>
                <w:rFonts w:ascii="宋体" w:hAnsi="宋体"/>
                <w:color w:val="auto"/>
                <w:kern w:val="0"/>
                <w:szCs w:val="21"/>
                <w:highlight w:val="none"/>
              </w:rPr>
            </w:pPr>
            <w:r>
              <w:rPr>
                <w:rFonts w:hint="eastAsia" w:ascii="宋体" w:hAnsi="宋体" w:cs="宋体"/>
                <w:bCs/>
                <w:iCs/>
                <w:color w:val="auto"/>
                <w:sz w:val="21"/>
                <w:szCs w:val="21"/>
                <w:highlight w:val="none"/>
              </w:rPr>
              <w:t>详见</w:t>
            </w:r>
            <w:r>
              <w:rPr>
                <w:rFonts w:hint="eastAsia" w:ascii="宋体" w:hAnsi="宋体" w:cs="宋体"/>
                <w:bCs/>
                <w:iCs/>
                <w:color w:val="auto"/>
                <w:sz w:val="21"/>
                <w:szCs w:val="21"/>
                <w:highlight w:val="none"/>
                <w:lang w:eastAsia="zh-CN"/>
              </w:rPr>
              <w:t>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6"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w:t>
            </w:r>
          </w:p>
        </w:tc>
        <w:tc>
          <w:tcPr>
            <w:tcW w:w="3920" w:type="dxa"/>
            <w:shd w:val="clear" w:color="auto" w:fill="FFFFFF"/>
            <w:noWrap w:val="0"/>
            <w:vAlign w:val="center"/>
          </w:tcPr>
          <w:p>
            <w:pPr>
              <w:adjustRightInd w:val="0"/>
              <w:snapToGrid w:val="0"/>
              <w:spacing w:line="40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院内急诊模块</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925" w:type="dxa"/>
            <w:shd w:val="clear" w:color="auto" w:fill="FFFFFF"/>
            <w:noWrap w:val="0"/>
            <w:vAlign w:val="center"/>
          </w:tcPr>
          <w:p>
            <w:pPr>
              <w:adjustRightInd w:val="0"/>
              <w:snapToGrid w:val="0"/>
              <w:spacing w:line="40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lang w:val="en-US" w:eastAsia="zh-CN"/>
              </w:rPr>
              <w:t>套</w:t>
            </w:r>
          </w:p>
        </w:tc>
        <w:tc>
          <w:tcPr>
            <w:tcW w:w="2741" w:type="dxa"/>
            <w:vMerge w:val="continue"/>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急诊三大中心</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925" w:type="dxa"/>
            <w:shd w:val="clear" w:color="auto" w:fill="FFFFFF"/>
            <w:noWrap w:val="0"/>
            <w:vAlign w:val="center"/>
          </w:tcPr>
          <w:p>
            <w:pPr>
              <w:adjustRightInd w:val="0"/>
              <w:snapToGrid w:val="0"/>
              <w:spacing w:line="40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lang w:val="en-US" w:eastAsia="zh-CN"/>
              </w:rPr>
              <w:t>套</w:t>
            </w:r>
          </w:p>
        </w:tc>
        <w:tc>
          <w:tcPr>
            <w:tcW w:w="2741" w:type="dxa"/>
            <w:vMerge w:val="continue"/>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4</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120智慧急救调度系统</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925" w:type="dxa"/>
            <w:shd w:val="clear" w:color="auto" w:fill="FFFFFF"/>
            <w:noWrap w:val="0"/>
            <w:vAlign w:val="center"/>
          </w:tcPr>
          <w:p>
            <w:pPr>
              <w:adjustRightInd w:val="0"/>
              <w:snapToGrid w:val="0"/>
              <w:spacing w:line="40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lang w:val="en-US" w:eastAsia="zh-CN"/>
              </w:rPr>
              <w:t>套</w:t>
            </w:r>
          </w:p>
        </w:tc>
        <w:tc>
          <w:tcPr>
            <w:tcW w:w="2741" w:type="dxa"/>
            <w:vMerge w:val="continue"/>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5</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车载录像机</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6</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车载半球摄像机</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7</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硬盘录像机存储硬盘</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8</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车载终端</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9</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数字中继网关</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10</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IP耳麦话机</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11</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话务耳机</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12</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耳麦培训线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卷</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13</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耳麦连接线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卷</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14</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耳麦连接线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卷</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15</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49寸拼接屏</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16</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拼接盒</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17</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支架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18</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拼接处理器</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19</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视频线材</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卷</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20</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插线板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21</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电源线及管材</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卷</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22</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蓝牙信号基站</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23</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电子腕带</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200</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24</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color w:val="auto"/>
                <w:highlight w:val="none"/>
                <w:lang w:val="en-US" w:eastAsia="zh-CN"/>
              </w:rPr>
              <w:t>平板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25</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PDA</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26</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车载无线</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27</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耳麦/音响</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28</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车载采集机</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29</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急救记录仪</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台</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30</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31</w:t>
            </w:r>
          </w:p>
        </w:tc>
        <w:tc>
          <w:tcPr>
            <w:tcW w:w="3920"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车载摄像头</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925"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
              </w:rPr>
              <w:t>个</w:t>
            </w:r>
          </w:p>
        </w:tc>
        <w:tc>
          <w:tcPr>
            <w:tcW w:w="2741" w:type="dxa"/>
            <w:vMerge w:val="continue"/>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p>
        </w:tc>
      </w:tr>
    </w:tbl>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合同履行期限：自签订合同之日起</w:t>
      </w:r>
      <w:r>
        <w:rPr>
          <w:rFonts w:hint="eastAsia" w:ascii="宋体" w:hAnsi="宋体" w:cs="宋体"/>
          <w:color w:val="auto"/>
          <w:szCs w:val="21"/>
          <w:highlight w:val="none"/>
          <w:lang w:val="en-US" w:eastAsia="zh-CN"/>
        </w:rPr>
        <w:t>60</w:t>
      </w:r>
      <w:r>
        <w:rPr>
          <w:rFonts w:hint="eastAsia" w:ascii="宋体" w:hAnsi="宋体" w:cs="宋体"/>
          <w:color w:val="auto"/>
          <w:szCs w:val="21"/>
          <w:highlight w:val="none"/>
        </w:rPr>
        <w:t>日内安装调试完毕交付使用</w:t>
      </w:r>
      <w:r>
        <w:rPr>
          <w:rFonts w:hint="eastAsia" w:ascii="宋体" w:hAnsi="宋体" w:cs="宋体"/>
          <w:bCs/>
          <w:color w:val="auto"/>
          <w:szCs w:val="21"/>
          <w:highlight w:val="none"/>
        </w:rPr>
        <w:t>。</w:t>
      </w:r>
    </w:p>
    <w:p>
      <w:pPr>
        <w:pStyle w:val="11"/>
        <w:ind w:left="63" w:right="63" w:firstLine="420" w:firstLineChars="200"/>
        <w:jc w:val="both"/>
        <w:rPr>
          <w:color w:val="auto"/>
          <w:highlight w:val="none"/>
        </w:rPr>
      </w:pPr>
      <w:r>
        <w:rPr>
          <w:rFonts w:hint="eastAsia" w:ascii="宋体" w:hAnsi="宋体" w:cs="宋体"/>
          <w:color w:val="auto"/>
          <w:szCs w:val="21"/>
          <w:highlight w:val="none"/>
        </w:rPr>
        <w:t>本项目不接受联合体投标。</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二、申请人的资格要求：</w:t>
      </w:r>
      <w:bookmarkEnd w:id="6"/>
      <w:bookmarkEnd w:id="7"/>
      <w:bookmarkEnd w:id="8"/>
      <w:bookmarkEnd w:id="9"/>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1.满足《中华人民共和国政府采购法》第二十二条规定；</w:t>
      </w:r>
    </w:p>
    <w:p>
      <w:pPr>
        <w:spacing w:line="400" w:lineRule="exact"/>
        <w:ind w:firstLine="420" w:firstLineChars="200"/>
        <w:rPr>
          <w:rFonts w:ascii="宋体" w:hAnsi="宋体" w:cs="宋体"/>
          <w:color w:val="auto"/>
          <w:szCs w:val="21"/>
          <w:highlight w:val="none"/>
        </w:rPr>
      </w:pPr>
      <w:bookmarkStart w:id="10" w:name="_Toc28359081"/>
      <w:bookmarkStart w:id="11" w:name="_Toc28359004"/>
      <w:r>
        <w:rPr>
          <w:rFonts w:hint="eastAsia" w:ascii="宋体" w:hAnsi="宋体" w:cs="宋体"/>
          <w:color w:val="auto"/>
          <w:szCs w:val="21"/>
          <w:highlight w:val="none"/>
        </w:rPr>
        <w:t>2.落实政府采购政策需满足的资格要求：无；</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3.本项目的特定资格要求：无</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00" w:lineRule="exact"/>
        <w:ind w:firstLine="420" w:firstLineChars="200"/>
        <w:rPr>
          <w:rFonts w:ascii="宋体" w:hAnsi="宋体" w:cs="宋体"/>
          <w:color w:val="auto"/>
          <w:szCs w:val="21"/>
          <w:highlight w:val="none"/>
        </w:rPr>
      </w:pPr>
      <w:bookmarkStart w:id="12" w:name="_Toc35393623"/>
      <w:bookmarkStart w:id="13" w:name="_Toc35393792"/>
      <w:r>
        <w:rPr>
          <w:rFonts w:hint="eastAsia" w:ascii="宋体" w:hAnsi="宋体" w:cs="宋体"/>
          <w:color w:val="auto"/>
          <w:szCs w:val="21"/>
          <w:highlight w:val="none"/>
        </w:rPr>
        <w:t>三、获取</w:t>
      </w:r>
      <w:bookmarkEnd w:id="10"/>
      <w:bookmarkEnd w:id="11"/>
      <w:bookmarkEnd w:id="12"/>
      <w:bookmarkEnd w:id="13"/>
      <w:r>
        <w:rPr>
          <w:rFonts w:hint="eastAsia" w:ascii="宋体" w:hAnsi="宋体" w:cs="宋体"/>
          <w:color w:val="auto"/>
          <w:szCs w:val="21"/>
          <w:highlight w:val="none"/>
        </w:rPr>
        <w:t>采购文件</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时间：</w:t>
      </w: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日公</w:t>
      </w:r>
      <w:r>
        <w:rPr>
          <w:rFonts w:hint="eastAsia" w:ascii="宋体" w:hAnsi="宋体" w:cs="宋体"/>
          <w:color w:val="auto"/>
          <w:szCs w:val="21"/>
          <w:highlight w:val="none"/>
        </w:rPr>
        <w:t>告发布之时起至投标截止时间止。</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地点：潜在供应商登陆</w:t>
      </w:r>
      <w:r>
        <w:rPr>
          <w:rFonts w:hint="eastAsia" w:ascii="宋体" w:hAnsi="宋体" w:cs="宋体"/>
          <w:color w:val="auto"/>
          <w:highlight w:val="none"/>
          <w:lang w:eastAsia="zh-CN"/>
        </w:rPr>
        <w:t>http://zfcg.gxzf.gov.cn/</w:t>
      </w:r>
      <w:r>
        <w:rPr>
          <w:rFonts w:hint="eastAsia" w:ascii="宋体" w:hAnsi="宋体" w:cs="宋体"/>
          <w:color w:val="auto"/>
          <w:highlight w:val="none"/>
        </w:rPr>
        <w:t>（广西壮族自治区政府采购网）</w:t>
      </w:r>
      <w:r>
        <w:rPr>
          <w:rFonts w:hint="eastAsia" w:ascii="宋体" w:hAnsi="宋体" w:cs="宋体"/>
          <w:color w:val="auto"/>
          <w:szCs w:val="21"/>
          <w:highlight w:val="none"/>
        </w:rPr>
        <w:t>、</w:t>
      </w:r>
      <w:r>
        <w:rPr>
          <w:color w:val="auto"/>
          <w:highlight w:val="none"/>
        </w:rPr>
        <w:fldChar w:fldCharType="begin"/>
      </w:r>
      <w:r>
        <w:rPr>
          <w:color w:val="auto"/>
          <w:highlight w:val="none"/>
        </w:rPr>
        <w:instrText xml:space="preserve"> HYPERLINK "http://ggzy.guilin.cn" </w:instrText>
      </w:r>
      <w:r>
        <w:rPr>
          <w:color w:val="auto"/>
          <w:highlight w:val="none"/>
        </w:rPr>
        <w:fldChar w:fldCharType="separate"/>
      </w:r>
      <w:r>
        <w:rPr>
          <w:rFonts w:hint="eastAsia" w:ascii="宋体" w:hAnsi="宋体" w:cs="宋体"/>
          <w:color w:val="auto"/>
          <w:szCs w:val="21"/>
          <w:highlight w:val="none"/>
        </w:rPr>
        <w:t>http://glggzy.org.cn</w:t>
      </w:r>
      <w:r>
        <w:rPr>
          <w:rFonts w:hint="eastAsia" w:ascii="宋体" w:hAnsi="宋体" w:cs="宋体"/>
          <w:color w:val="auto"/>
          <w:szCs w:val="21"/>
          <w:highlight w:val="none"/>
        </w:rPr>
        <w:fldChar w:fldCharType="end"/>
      </w:r>
      <w:r>
        <w:rPr>
          <w:rFonts w:hint="eastAsia" w:ascii="宋体" w:hAnsi="宋体" w:cs="宋体"/>
          <w:color w:val="auto"/>
          <w:szCs w:val="21"/>
          <w:highlight w:val="none"/>
        </w:rPr>
        <w:t>（桂林市公共资源交易中心网）免费下载采购文件电子版，</w:t>
      </w:r>
      <w:r>
        <w:rPr>
          <w:rFonts w:hint="eastAsia" w:ascii="宋体" w:hAnsi="宋体" w:cs="宋体"/>
          <w:color w:val="auto"/>
          <w:kern w:val="0"/>
          <w:szCs w:val="21"/>
          <w:highlight w:val="none"/>
        </w:rPr>
        <w:t>并根据采购文件规定的投标截止时间和地点直接提交投标文件参与投标。</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方式：网上获取</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售价：0.00元</w:t>
      </w:r>
    </w:p>
    <w:p>
      <w:pPr>
        <w:spacing w:line="400" w:lineRule="exact"/>
        <w:ind w:firstLine="420" w:firstLineChars="200"/>
        <w:rPr>
          <w:rFonts w:ascii="宋体" w:hAnsi="宋体" w:cs="宋体"/>
          <w:color w:val="auto"/>
          <w:szCs w:val="21"/>
          <w:highlight w:val="none"/>
        </w:rPr>
      </w:pPr>
      <w:bookmarkStart w:id="14" w:name="_Toc28359005"/>
      <w:bookmarkStart w:id="15" w:name="_Toc28359082"/>
      <w:bookmarkStart w:id="16" w:name="_Toc35393624"/>
      <w:bookmarkStart w:id="17" w:name="_Toc35393793"/>
      <w:r>
        <w:rPr>
          <w:rFonts w:hint="eastAsia" w:ascii="宋体" w:hAnsi="宋体" w:cs="宋体"/>
          <w:color w:val="auto"/>
          <w:szCs w:val="21"/>
          <w:highlight w:val="none"/>
        </w:rPr>
        <w:t>四、提交投标文件</w:t>
      </w:r>
      <w:bookmarkEnd w:id="14"/>
      <w:bookmarkEnd w:id="15"/>
      <w:r>
        <w:rPr>
          <w:rFonts w:hint="eastAsia" w:ascii="宋体" w:hAnsi="宋体" w:cs="宋体"/>
          <w:color w:val="auto"/>
          <w:szCs w:val="21"/>
          <w:highlight w:val="none"/>
        </w:rPr>
        <w:t>截止时间、开标时间和地点</w:t>
      </w:r>
      <w:bookmarkEnd w:id="16"/>
      <w:bookmarkEnd w:id="17"/>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时间：</w:t>
      </w: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rPr>
        <w:t>09时30分</w:t>
      </w:r>
      <w:r>
        <w:rPr>
          <w:rFonts w:hint="eastAsia" w:ascii="宋体" w:hAnsi="宋体" w:cs="宋体"/>
          <w:bCs/>
          <w:color w:val="auto"/>
          <w:szCs w:val="21"/>
          <w:highlight w:val="none"/>
        </w:rPr>
        <w:t>（北京时间）</w:t>
      </w:r>
      <w:r>
        <w:rPr>
          <w:rFonts w:hint="eastAsia" w:ascii="宋体" w:hAnsi="宋体" w:cs="宋体"/>
          <w:color w:val="auto"/>
          <w:szCs w:val="21"/>
          <w:highlight w:val="none"/>
        </w:rPr>
        <w:t>（自采购文件开始发出之日起至供应商提交投标文件截止之日止，不得少于20日）</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地点： 将投标文件密封提交至</w:t>
      </w:r>
      <w:r>
        <w:rPr>
          <w:rFonts w:hint="eastAsia" w:ascii="宋体" w:hAnsi="宋体" w:cs="宋体"/>
          <w:color w:val="auto"/>
          <w:highlight w:val="none"/>
          <w:u w:val="single"/>
        </w:rPr>
        <w:t>桂林市公共资源交易中心</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u w:val="single"/>
        </w:rPr>
        <w:t>号</w:t>
      </w:r>
      <w:r>
        <w:rPr>
          <w:rFonts w:hint="eastAsia" w:ascii="宋体" w:hAnsi="宋体" w:cs="宋体"/>
          <w:color w:val="auto"/>
          <w:highlight w:val="none"/>
          <w:u w:val="single"/>
        </w:rPr>
        <w:t>开标室（广西桂林市临桂区西城中路69号创业大厦西辅楼4楼北区）</w:t>
      </w:r>
      <w:r>
        <w:rPr>
          <w:rFonts w:hint="eastAsia" w:ascii="宋体" w:hAnsi="宋体" w:cs="宋体"/>
          <w:color w:val="auto"/>
          <w:szCs w:val="21"/>
          <w:highlight w:val="none"/>
        </w:rPr>
        <w:t>，逾期送达的或未按照采购文件要求密封的投标文件将予以拒收。</w:t>
      </w:r>
    </w:p>
    <w:p>
      <w:pPr>
        <w:spacing w:line="400" w:lineRule="exact"/>
        <w:ind w:firstLine="420" w:firstLineChars="200"/>
        <w:rPr>
          <w:rFonts w:ascii="宋体" w:hAnsi="宋体" w:cs="宋体"/>
          <w:color w:val="auto"/>
          <w:szCs w:val="21"/>
          <w:highlight w:val="none"/>
        </w:rPr>
      </w:pPr>
      <w:bookmarkStart w:id="18" w:name="_Toc28359007"/>
      <w:bookmarkStart w:id="19" w:name="_Toc35393625"/>
      <w:bookmarkStart w:id="20" w:name="_Toc28359084"/>
      <w:bookmarkStart w:id="21" w:name="_Toc35393794"/>
      <w:r>
        <w:rPr>
          <w:rFonts w:hint="eastAsia" w:ascii="宋体" w:hAnsi="宋体" w:cs="宋体"/>
          <w:color w:val="auto"/>
          <w:szCs w:val="21"/>
          <w:highlight w:val="none"/>
        </w:rPr>
        <w:t>五、公告期限</w:t>
      </w:r>
      <w:bookmarkEnd w:id="18"/>
      <w:bookmarkEnd w:id="19"/>
      <w:bookmarkEnd w:id="20"/>
      <w:bookmarkEnd w:id="21"/>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自本公告发布之日起5个工作日。</w:t>
      </w:r>
    </w:p>
    <w:p>
      <w:pPr>
        <w:spacing w:line="400" w:lineRule="exact"/>
        <w:ind w:firstLine="420" w:firstLineChars="200"/>
        <w:rPr>
          <w:rFonts w:ascii="宋体" w:hAnsi="宋体" w:cs="宋体"/>
          <w:color w:val="auto"/>
          <w:szCs w:val="21"/>
          <w:highlight w:val="none"/>
        </w:rPr>
      </w:pPr>
      <w:bookmarkStart w:id="22" w:name="_Toc35393795"/>
      <w:bookmarkStart w:id="23" w:name="_Toc35393626"/>
      <w:r>
        <w:rPr>
          <w:rFonts w:hint="eastAsia" w:ascii="宋体" w:hAnsi="宋体" w:cs="宋体"/>
          <w:color w:val="auto"/>
          <w:szCs w:val="21"/>
          <w:highlight w:val="none"/>
        </w:rPr>
        <w:t>六、其他补充事宜</w:t>
      </w:r>
      <w:bookmarkEnd w:id="22"/>
      <w:bookmarkEnd w:id="23"/>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1.本项目需要落实的政府采购政策：</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1.1</w:t>
      </w:r>
      <w:r>
        <w:rPr>
          <w:rFonts w:hint="eastAsia"/>
          <w:color w:val="auto"/>
          <w:highlight w:val="none"/>
          <w:shd w:val="clear" w:color="auto" w:fill="FFFFFF"/>
        </w:rPr>
        <w:t>《政府采购促进中小企业发展管理办法》（财库</w:t>
      </w:r>
      <w:r>
        <w:rPr>
          <w:rFonts w:hint="eastAsia" w:ascii="宋体" w:hAnsi="宋体" w:cs="宋体"/>
          <w:color w:val="auto"/>
          <w:highlight w:val="none"/>
          <w:shd w:val="clear" w:color="auto" w:fill="FFFFFF"/>
        </w:rPr>
        <w:t>[2020]46</w:t>
      </w:r>
      <w:r>
        <w:rPr>
          <w:rFonts w:hint="eastAsia"/>
          <w:color w:val="auto"/>
          <w:highlight w:val="none"/>
          <w:shd w:val="clear" w:color="auto" w:fill="FFFFFF"/>
        </w:rPr>
        <w:t>号）</w:t>
      </w:r>
      <w:r>
        <w:rPr>
          <w:rFonts w:hint="eastAsia" w:ascii="宋体" w:hAnsi="宋体" w:cs="宋体"/>
          <w:color w:val="auto"/>
          <w:szCs w:val="21"/>
          <w:highlight w:val="none"/>
        </w:rPr>
        <w:t>。</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1.2《关于政府采购支持监狱企业发展有关问题的通知》（财库[2014]68号）。</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1.3《关于促进残疾人就业政府采购政策的通知》（财库[2017]141号）。</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1.4本项目非专门面向中小微企业采购。</w:t>
      </w:r>
    </w:p>
    <w:p>
      <w:pPr>
        <w:spacing w:line="400" w:lineRule="exact"/>
        <w:ind w:firstLine="420" w:firstLineChars="200"/>
        <w:rPr>
          <w:rFonts w:ascii="宋体" w:hAnsi="宋体" w:cs="宋体"/>
          <w:color w:val="auto"/>
          <w:szCs w:val="21"/>
          <w:highlight w:val="none"/>
        </w:rPr>
      </w:pPr>
      <w:bookmarkStart w:id="24" w:name="_Toc28359085"/>
      <w:bookmarkStart w:id="25" w:name="_Toc35393796"/>
      <w:bookmarkStart w:id="26" w:name="_Toc28359008"/>
      <w:bookmarkStart w:id="27" w:name="_Toc35393627"/>
      <w:r>
        <w:rPr>
          <w:rFonts w:hint="eastAsia" w:ascii="宋体" w:hAnsi="宋体" w:cs="宋体"/>
          <w:color w:val="auto"/>
          <w:szCs w:val="21"/>
          <w:highlight w:val="none"/>
        </w:rPr>
        <w:t>2.</w:t>
      </w:r>
      <w:r>
        <w:rPr>
          <w:rFonts w:hint="eastAsia" w:ascii="宋体" w:hAnsi="宋体" w:cs="宋体"/>
          <w:color w:val="auto"/>
          <w:szCs w:val="21"/>
          <w:highlight w:val="none"/>
          <w:shd w:val="clear" w:color="auto" w:fill="FFFFFF"/>
        </w:rPr>
        <w:t>信息公告发布媒体：</w:t>
      </w:r>
      <w:r>
        <w:rPr>
          <w:rFonts w:hint="eastAsia" w:ascii="宋体" w:hAnsi="宋体" w:cs="宋体"/>
          <w:color w:val="auto"/>
          <w:szCs w:val="21"/>
          <w:highlight w:val="none"/>
        </w:rPr>
        <w:t>http://www.ccgp.gov.cn（中国政府采购网）</w:t>
      </w:r>
      <w:r>
        <w:rPr>
          <w:rFonts w:hint="eastAsia" w:ascii="宋体" w:hAnsi="宋体" w:cs="宋体"/>
          <w:color w:val="auto"/>
          <w:szCs w:val="21"/>
          <w:highlight w:val="none"/>
          <w:lang w:eastAsia="zh-CN"/>
        </w:rPr>
        <w:t>http://zfcg.gxzf.gov.cn/</w:t>
      </w:r>
      <w:r>
        <w:rPr>
          <w:rFonts w:hint="eastAsia" w:ascii="宋体" w:hAnsi="宋体" w:cs="宋体"/>
          <w:color w:val="auto"/>
          <w:szCs w:val="21"/>
          <w:highlight w:val="none"/>
        </w:rPr>
        <w:t>（广西壮族自治区政府采购网）、</w:t>
      </w:r>
      <w:r>
        <w:rPr>
          <w:color w:val="auto"/>
          <w:highlight w:val="none"/>
        </w:rPr>
        <w:fldChar w:fldCharType="begin"/>
      </w:r>
      <w:r>
        <w:rPr>
          <w:color w:val="auto"/>
          <w:highlight w:val="none"/>
        </w:rPr>
        <w:instrText xml:space="preserve"> HYPERLINK "http://ggzy.guilin.cn" </w:instrText>
      </w:r>
      <w:r>
        <w:rPr>
          <w:color w:val="auto"/>
          <w:highlight w:val="none"/>
        </w:rPr>
        <w:fldChar w:fldCharType="separate"/>
      </w:r>
      <w:r>
        <w:rPr>
          <w:rFonts w:hint="eastAsia" w:ascii="宋体" w:hAnsi="宋体" w:cs="宋体"/>
          <w:color w:val="auto"/>
          <w:szCs w:val="21"/>
          <w:highlight w:val="none"/>
        </w:rPr>
        <w:t>http://glggzy.org.cn</w:t>
      </w:r>
      <w:r>
        <w:rPr>
          <w:rFonts w:hint="eastAsia" w:ascii="宋体" w:hAnsi="宋体" w:cs="宋体"/>
          <w:color w:val="auto"/>
          <w:szCs w:val="21"/>
          <w:highlight w:val="none"/>
        </w:rPr>
        <w:fldChar w:fldCharType="end"/>
      </w:r>
      <w:r>
        <w:rPr>
          <w:rFonts w:hint="eastAsia" w:ascii="宋体" w:hAnsi="宋体" w:cs="宋体"/>
          <w:color w:val="auto"/>
          <w:szCs w:val="21"/>
          <w:highlight w:val="none"/>
        </w:rPr>
        <w:t>（桂林市公共资源交易中心网）。</w:t>
      </w:r>
    </w:p>
    <w:p>
      <w:pPr>
        <w:pStyle w:val="5"/>
        <w:keepNext/>
        <w:keepLines/>
        <w:pageBreakBefore w:val="0"/>
        <w:widowControl w:val="0"/>
        <w:kinsoku/>
        <w:wordWrap/>
        <w:overflowPunct/>
        <w:topLinePunct w:val="0"/>
        <w:autoSpaceDE/>
        <w:autoSpaceDN/>
        <w:bidi w:val="0"/>
        <w:adjustRightInd/>
        <w:snapToGrid/>
        <w:spacing w:line="400" w:lineRule="exact"/>
        <w:ind w:left="0" w:leftChars="0" w:firstLine="420" w:firstLineChars="200"/>
        <w:textAlignment w:val="auto"/>
        <w:rPr>
          <w:rFonts w:ascii="宋体" w:hAnsi="宋体" w:cs="宋体"/>
          <w:color w:val="auto"/>
          <w:sz w:val="21"/>
          <w:szCs w:val="21"/>
          <w:highlight w:val="none"/>
        </w:rPr>
      </w:pPr>
      <w:r>
        <w:rPr>
          <w:rFonts w:hint="eastAsia" w:ascii="宋体" w:hAnsi="宋体" w:cs="宋体"/>
          <w:color w:val="auto"/>
          <w:sz w:val="21"/>
          <w:szCs w:val="21"/>
          <w:highlight w:val="none"/>
        </w:rPr>
        <w:t>3.为配合采购人进行政府采购项目执行和备案，未在政采云注册的</w:t>
      </w:r>
      <w:r>
        <w:rPr>
          <w:rFonts w:hint="eastAsia" w:ascii="宋体" w:hAnsi="宋体" w:cs="宋体"/>
          <w:color w:val="auto"/>
          <w:sz w:val="21"/>
          <w:szCs w:val="21"/>
          <w:highlight w:val="none"/>
          <w:lang w:val="en-US" w:eastAsia="zh-CN"/>
        </w:rPr>
        <w:t>供应商</w:t>
      </w:r>
      <w:r>
        <w:rPr>
          <w:rFonts w:hint="eastAsia" w:ascii="宋体" w:hAnsi="宋体" w:cs="宋体"/>
          <w:color w:val="auto"/>
          <w:sz w:val="21"/>
          <w:szCs w:val="21"/>
          <w:highlight w:val="none"/>
        </w:rPr>
        <w:t>可在获取</w:t>
      </w:r>
      <w:r>
        <w:rPr>
          <w:rFonts w:hint="eastAsia" w:ascii="宋体" w:hAnsi="宋体" w:cs="宋体"/>
          <w:color w:val="auto"/>
          <w:sz w:val="21"/>
          <w:szCs w:val="21"/>
          <w:highlight w:val="none"/>
          <w:lang w:eastAsia="zh-CN"/>
        </w:rPr>
        <w:t>采购文件</w:t>
      </w:r>
      <w:r>
        <w:rPr>
          <w:rFonts w:hint="eastAsia" w:ascii="宋体" w:hAnsi="宋体" w:cs="宋体"/>
          <w:color w:val="auto"/>
          <w:sz w:val="21"/>
          <w:szCs w:val="21"/>
          <w:highlight w:val="none"/>
        </w:rPr>
        <w:t>后登录政采云</w:t>
      </w:r>
      <w:r>
        <w:rPr>
          <w:rFonts w:hint="eastAsia" w:ascii="宋体" w:hAnsi="宋体" w:cs="宋体"/>
          <w:color w:val="auto"/>
          <w:sz w:val="21"/>
          <w:szCs w:val="21"/>
          <w:highlight w:val="none"/>
          <w:lang w:val="en-US"/>
        </w:rPr>
        <w:t>进</w:t>
      </w:r>
      <w:r>
        <w:rPr>
          <w:rFonts w:hint="eastAsia" w:ascii="宋体" w:hAnsi="宋体" w:cs="宋体"/>
          <w:color w:val="auto"/>
          <w:sz w:val="21"/>
          <w:szCs w:val="21"/>
          <w:highlight w:val="none"/>
        </w:rPr>
        <w:t>行注册，如在操作过程中遇到问题或者需要技术支持，请致电政采云客服热线：400-881-7190。</w:t>
      </w:r>
    </w:p>
    <w:p>
      <w:pPr>
        <w:pStyle w:val="5"/>
        <w:spacing w:line="400" w:lineRule="exact"/>
        <w:ind w:left="567" w:leftChars="200" w:hanging="147" w:hangingChars="70"/>
        <w:rPr>
          <w:rFonts w:ascii="宋体" w:hAnsi="宋体" w:cs="宋体"/>
          <w:color w:val="auto"/>
          <w:sz w:val="21"/>
          <w:szCs w:val="21"/>
          <w:highlight w:val="none"/>
        </w:rPr>
      </w:pPr>
      <w:r>
        <w:rPr>
          <w:rFonts w:hint="eastAsia" w:ascii="宋体" w:hAnsi="宋体" w:cs="宋体"/>
          <w:color w:val="auto"/>
          <w:sz w:val="21"/>
          <w:szCs w:val="21"/>
          <w:highlight w:val="none"/>
        </w:rPr>
        <w:t>七、对本次招标提出询问，请按以下方式联系。</w:t>
      </w:r>
      <w:bookmarkEnd w:id="24"/>
      <w:bookmarkEnd w:id="25"/>
      <w:bookmarkEnd w:id="26"/>
      <w:bookmarkEnd w:id="27"/>
    </w:p>
    <w:p>
      <w:pPr>
        <w:pStyle w:val="11"/>
        <w:adjustRightInd/>
        <w:spacing w:after="0" w:line="400" w:lineRule="exact"/>
        <w:ind w:left="63" w:right="63" w:firstLine="420" w:firstLineChars="200"/>
        <w:jc w:val="both"/>
        <w:textAlignment w:val="auto"/>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1、采购人：桂林医学院附属医院</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地址：桂林市乐群路15号</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联系人：</w:t>
      </w:r>
      <w:r>
        <w:rPr>
          <w:rFonts w:hint="eastAsia" w:ascii="宋体" w:hAnsi="宋体" w:cs="宋体"/>
          <w:color w:val="auto"/>
          <w:szCs w:val="21"/>
          <w:highlight w:val="none"/>
        </w:rPr>
        <w:t>苏科长</w:t>
      </w:r>
      <w:r>
        <w:rPr>
          <w:rFonts w:hint="eastAsia" w:ascii="宋体" w:hAnsi="宋体" w:cs="宋体"/>
          <w:color w:val="auto"/>
          <w:szCs w:val="21"/>
          <w:highlight w:val="none"/>
          <w:shd w:val="clear" w:color="auto" w:fill="FFFFFF"/>
        </w:rPr>
        <w:t xml:space="preserve">        联系电话：0773-2802050</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2、采购代理机构：</w:t>
      </w:r>
      <w:r>
        <w:rPr>
          <w:rFonts w:hint="eastAsia" w:ascii="宋体" w:hAnsi="宋体" w:cs="宋体"/>
          <w:color w:val="auto"/>
          <w:szCs w:val="21"/>
          <w:highlight w:val="none"/>
        </w:rPr>
        <w:t>广西瑞真工程造价咨询有限责任公司</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地址：</w:t>
      </w:r>
      <w:r>
        <w:rPr>
          <w:rFonts w:hint="eastAsia" w:ascii="宋体" w:hAnsi="宋体" w:cs="宋体"/>
          <w:color w:val="auto"/>
          <w:szCs w:val="21"/>
          <w:highlight w:val="none"/>
        </w:rPr>
        <w:t>桂林市七星区信息产业园创新大厦电商谷B座四楼</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联系人：李工   联系电话：</w:t>
      </w:r>
      <w:r>
        <w:rPr>
          <w:rFonts w:hint="eastAsia" w:ascii="宋体" w:hAnsi="宋体" w:cs="宋体"/>
          <w:color w:val="auto"/>
          <w:szCs w:val="21"/>
          <w:highlight w:val="none"/>
        </w:rPr>
        <w:t>0773-5841116</w:t>
      </w:r>
      <w:r>
        <w:rPr>
          <w:rFonts w:hint="eastAsia" w:ascii="宋体" w:hAnsi="宋体" w:cs="宋体"/>
          <w:color w:val="auto"/>
          <w:szCs w:val="21"/>
          <w:highlight w:val="none"/>
          <w:shd w:val="clear" w:color="auto" w:fill="FFFFFF"/>
        </w:rPr>
        <w:br w:type="textWrapping"/>
      </w:r>
      <w:r>
        <w:rPr>
          <w:rFonts w:hint="eastAsia" w:ascii="宋体" w:hAnsi="宋体" w:cs="宋体"/>
          <w:color w:val="auto"/>
          <w:szCs w:val="21"/>
          <w:highlight w:val="none"/>
          <w:shd w:val="clear" w:color="auto" w:fill="FFFFFF"/>
        </w:rPr>
        <w:t xml:space="preserve">    3、政府采购监督管理部门：</w:t>
      </w:r>
    </w:p>
    <w:p>
      <w:pPr>
        <w:pStyle w:val="11"/>
        <w:adjustRightInd/>
        <w:spacing w:after="0" w:line="400" w:lineRule="exact"/>
        <w:ind w:left="63" w:right="63" w:firstLine="420" w:firstLineChars="200"/>
        <w:jc w:val="both"/>
        <w:textAlignment w:val="auto"/>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广西壮族自治区财政厅政府采购监督管理处 联系电话： 0771-5331544</w:t>
      </w:r>
    </w:p>
    <w:p>
      <w:pPr>
        <w:pStyle w:val="11"/>
        <w:adjustRightInd/>
        <w:spacing w:after="0" w:line="400" w:lineRule="exact"/>
        <w:ind w:left="63" w:right="63" w:firstLine="420" w:firstLineChars="200"/>
        <w:jc w:val="both"/>
        <w:textAlignment w:val="auto"/>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4.项目联系方式</w:t>
      </w:r>
    </w:p>
    <w:p>
      <w:pPr>
        <w:pStyle w:val="11"/>
        <w:adjustRightInd/>
        <w:spacing w:after="0" w:line="400" w:lineRule="exact"/>
        <w:ind w:left="63" w:right="63" w:firstLine="420" w:firstLineChars="200"/>
        <w:jc w:val="both"/>
        <w:textAlignment w:val="auto"/>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项目联系人：李工</w:t>
      </w:r>
    </w:p>
    <w:p>
      <w:pPr>
        <w:pStyle w:val="11"/>
        <w:adjustRightInd/>
        <w:spacing w:after="0" w:line="400" w:lineRule="exact"/>
        <w:ind w:left="63" w:right="63" w:firstLine="420" w:firstLineChars="200"/>
        <w:jc w:val="both"/>
        <w:textAlignment w:val="auto"/>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电　话：0773-5841116</w:t>
      </w:r>
    </w:p>
    <w:p>
      <w:pPr>
        <w:pStyle w:val="11"/>
        <w:spacing w:line="400" w:lineRule="exact"/>
        <w:ind w:left="63" w:right="63"/>
        <w:textAlignment w:val="auto"/>
        <w:rPr>
          <w:color w:val="auto"/>
          <w:highlight w:val="none"/>
        </w:rPr>
      </w:pPr>
    </w:p>
    <w:p>
      <w:pPr>
        <w:spacing w:line="400" w:lineRule="exact"/>
        <w:ind w:firstLine="4620" w:firstLineChars="2200"/>
        <w:rPr>
          <w:rFonts w:ascii="宋体" w:hAnsi="宋体" w:cs="宋体"/>
          <w:bCs/>
          <w:color w:val="auto"/>
          <w:szCs w:val="21"/>
          <w:highlight w:val="none"/>
        </w:rPr>
      </w:pPr>
    </w:p>
    <w:p>
      <w:pPr>
        <w:pStyle w:val="20"/>
        <w:adjustRightInd/>
        <w:spacing w:after="0" w:line="400" w:lineRule="exact"/>
        <w:ind w:left="63" w:right="63" w:firstLine="4830" w:firstLineChars="2300"/>
        <w:jc w:val="both"/>
        <w:textAlignment w:val="auto"/>
        <w:rPr>
          <w:rFonts w:ascii="宋体" w:hAnsi="宋体" w:cs="宋体"/>
          <w:bCs/>
          <w:color w:val="auto"/>
          <w:szCs w:val="21"/>
          <w:highlight w:val="none"/>
        </w:rPr>
      </w:pPr>
      <w:r>
        <w:rPr>
          <w:rFonts w:hint="eastAsia" w:ascii="宋体" w:hAnsi="宋体" w:cs="宋体"/>
          <w:bCs/>
          <w:color w:val="auto"/>
          <w:szCs w:val="21"/>
          <w:highlight w:val="none"/>
        </w:rPr>
        <w:t>广西瑞真工程造价咨询有限责任公司</w:t>
      </w:r>
    </w:p>
    <w:p>
      <w:pPr>
        <w:pStyle w:val="20"/>
        <w:adjustRightInd/>
        <w:spacing w:after="0" w:line="400" w:lineRule="exact"/>
        <w:ind w:left="0" w:leftChars="0" w:right="63" w:firstLine="5670" w:firstLineChars="2700"/>
        <w:jc w:val="both"/>
        <w:textAlignment w:val="auto"/>
        <w:rPr>
          <w:rFonts w:ascii="宋体" w:hAnsi="宋体" w:cs="宋体"/>
          <w:bCs/>
          <w:color w:val="auto"/>
          <w:szCs w:val="21"/>
          <w:highlight w:val="none"/>
        </w:rPr>
      </w:pP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p>
    <w:p>
      <w:pPr>
        <w:pStyle w:val="20"/>
        <w:ind w:left="63" w:right="63" w:firstLine="320"/>
        <w:rPr>
          <w:rFonts w:ascii="宋体" w:hAnsi="宋体"/>
          <w:bCs/>
          <w:color w:val="auto"/>
          <w:sz w:val="32"/>
          <w:highlight w:val="none"/>
        </w:rPr>
      </w:pPr>
    </w:p>
    <w:p>
      <w:pPr>
        <w:spacing w:line="400" w:lineRule="exact"/>
        <w:jc w:val="center"/>
        <w:rPr>
          <w:rFonts w:ascii="宋体" w:hAnsi="宋体" w:cs="宋体"/>
          <w:b/>
          <w:color w:val="auto"/>
          <w:kern w:val="44"/>
          <w:szCs w:val="21"/>
          <w:highlight w:val="none"/>
        </w:rPr>
      </w:pPr>
      <w:r>
        <w:rPr>
          <w:rFonts w:hint="eastAsia" w:ascii="宋体" w:hAnsi="宋体"/>
          <w:b/>
          <w:color w:val="auto"/>
          <w:sz w:val="32"/>
          <w:szCs w:val="32"/>
          <w:highlight w:val="none"/>
        </w:rPr>
        <w:br w:type="page"/>
      </w:r>
      <w:r>
        <w:rPr>
          <w:rFonts w:hint="eastAsia" w:ascii="宋体" w:hAnsi="宋体" w:cs="宋体"/>
          <w:b/>
          <w:color w:val="auto"/>
          <w:kern w:val="44"/>
          <w:szCs w:val="21"/>
          <w:highlight w:val="none"/>
        </w:rPr>
        <w:t>第二章  供应商须知</w:t>
      </w:r>
    </w:p>
    <w:p>
      <w:pPr>
        <w:tabs>
          <w:tab w:val="left" w:pos="1065"/>
          <w:tab w:val="center" w:pos="4411"/>
        </w:tabs>
        <w:spacing w:line="400" w:lineRule="exact"/>
        <w:jc w:val="center"/>
        <w:rPr>
          <w:rFonts w:ascii="宋体" w:hAnsi="宋体" w:cs="宋体"/>
          <w:b/>
          <w:color w:val="auto"/>
          <w:szCs w:val="21"/>
          <w:highlight w:val="none"/>
        </w:rPr>
      </w:pPr>
      <w:r>
        <w:rPr>
          <w:rFonts w:hint="eastAsia" w:ascii="宋体" w:hAnsi="宋体" w:cs="宋体"/>
          <w:b/>
          <w:color w:val="auto"/>
          <w:szCs w:val="21"/>
          <w:highlight w:val="none"/>
        </w:rPr>
        <w:t>供 应 商 须 知 前 附 表</w:t>
      </w:r>
    </w:p>
    <w:tbl>
      <w:tblPr>
        <w:tblStyle w:val="21"/>
        <w:tblW w:w="1020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030"/>
        <w:gridCol w:w="1894"/>
        <w:gridCol w:w="6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条款号</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条款名称</w:t>
            </w:r>
          </w:p>
        </w:tc>
        <w:tc>
          <w:tcPr>
            <w:tcW w:w="6586"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项目名称及项目编号</w:t>
            </w:r>
          </w:p>
        </w:tc>
        <w:tc>
          <w:tcPr>
            <w:tcW w:w="6586" w:type="dxa"/>
            <w:vAlign w:val="center"/>
          </w:tcPr>
          <w:p>
            <w:pPr>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项目名称：</w:t>
            </w:r>
            <w:r>
              <w:rPr>
                <w:rFonts w:hint="eastAsia" w:ascii="宋体" w:hAnsi="宋体" w:cs="宋体"/>
                <w:color w:val="auto"/>
                <w:szCs w:val="21"/>
                <w:highlight w:val="none"/>
                <w:lang w:eastAsia="zh-CN"/>
              </w:rPr>
              <w:t>医院急诊急救平台</w:t>
            </w:r>
          </w:p>
          <w:p>
            <w:pPr>
              <w:keepLines/>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项目编号：</w:t>
            </w:r>
            <w:r>
              <w:rPr>
                <w:rFonts w:hint="eastAsia" w:ascii="宋体" w:hAnsi="宋体" w:cs="宋体"/>
                <w:color w:val="auto"/>
                <w:szCs w:val="21"/>
                <w:highlight w:val="none"/>
                <w:lang w:eastAsia="zh-CN"/>
              </w:rPr>
              <w:t>GXZC2021-G1-001119-GXRZ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5</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供应商资格</w:t>
            </w:r>
          </w:p>
        </w:tc>
        <w:tc>
          <w:tcPr>
            <w:tcW w:w="6586" w:type="dxa"/>
            <w:vAlign w:val="center"/>
          </w:tcPr>
          <w:p>
            <w:pPr>
              <w:keepLines/>
              <w:pageBreakBefore w:val="0"/>
              <w:widowControl w:val="0"/>
              <w:kinsoku/>
              <w:wordWrap/>
              <w:overflowPunct/>
              <w:topLinePunct w:val="0"/>
              <w:autoSpaceDE/>
              <w:autoSpaceDN/>
              <w:bidi w:val="0"/>
              <w:adjustRightInd/>
              <w:snapToGrid/>
              <w:spacing w:line="400" w:lineRule="exact"/>
              <w:textAlignment w:val="auto"/>
              <w:rPr>
                <w:rFonts w:ascii="宋体" w:hAnsi="宋体" w:cs="宋体"/>
                <w:color w:val="auto"/>
                <w:szCs w:val="21"/>
                <w:highlight w:val="none"/>
              </w:rPr>
            </w:pPr>
            <w:r>
              <w:rPr>
                <w:rFonts w:hint="eastAsia" w:ascii="宋体" w:hAnsi="宋体" w:cs="宋体"/>
                <w:color w:val="auto"/>
                <w:szCs w:val="21"/>
                <w:highlight w:val="none"/>
              </w:rPr>
              <w:t>5.1满足《中华人民共和国政府采购法》第二十二条规定；</w:t>
            </w:r>
          </w:p>
          <w:p>
            <w:pPr>
              <w:keepLines/>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t>5.2落实政府采购政策需满足的资格要求：无；</w:t>
            </w:r>
          </w:p>
          <w:p>
            <w:pPr>
              <w:pStyle w:val="5"/>
              <w:keepLines/>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bCs w:val="0"/>
                <w:color w:val="auto"/>
                <w:kern w:val="2"/>
                <w:sz w:val="21"/>
                <w:szCs w:val="21"/>
                <w:highlight w:val="none"/>
                <w:lang w:val="en-US" w:eastAsia="zh-CN" w:bidi="ar-SA"/>
              </w:rPr>
            </w:pPr>
            <w:r>
              <w:rPr>
                <w:rFonts w:hint="eastAsia" w:ascii="宋体" w:hAnsi="宋体" w:eastAsia="宋体" w:cs="宋体"/>
                <w:bCs w:val="0"/>
                <w:color w:val="auto"/>
                <w:kern w:val="2"/>
                <w:sz w:val="21"/>
                <w:szCs w:val="21"/>
                <w:highlight w:val="none"/>
                <w:lang w:val="en-US" w:eastAsia="zh-CN" w:bidi="ar-SA"/>
              </w:rPr>
              <w:t>5.3本项目的特定资格要求：无</w:t>
            </w:r>
          </w:p>
          <w:p>
            <w:pPr>
              <w:keepLines/>
              <w:pageBreakBefore w:val="0"/>
              <w:widowControl w:val="0"/>
              <w:kinsoku/>
              <w:wordWrap/>
              <w:overflowPunct/>
              <w:topLinePunct w:val="0"/>
              <w:autoSpaceDE/>
              <w:autoSpaceDN/>
              <w:bidi w:val="0"/>
              <w:adjustRightInd/>
              <w:snapToGrid/>
              <w:spacing w:line="400" w:lineRule="exact"/>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5.4</w:t>
            </w:r>
            <w:r>
              <w:rPr>
                <w:rFonts w:hint="eastAsia" w:ascii="宋体" w:hAnsi="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6</w:t>
            </w:r>
          </w:p>
        </w:tc>
        <w:tc>
          <w:tcPr>
            <w:tcW w:w="1894" w:type="dxa"/>
            <w:vAlign w:val="center"/>
          </w:tcPr>
          <w:p>
            <w:pPr>
              <w:keepLines/>
              <w:spacing w:line="400" w:lineRule="exact"/>
              <w:jc w:val="center"/>
              <w:rPr>
                <w:rFonts w:ascii="宋体" w:hAnsi="宋体" w:cs="宋体"/>
                <w:color w:val="auto"/>
                <w:position w:val="-2"/>
                <w:szCs w:val="21"/>
                <w:highlight w:val="none"/>
              </w:rPr>
            </w:pPr>
            <w:r>
              <w:rPr>
                <w:rFonts w:hint="eastAsia" w:ascii="宋体" w:hAnsi="宋体" w:cs="宋体"/>
                <w:color w:val="auto"/>
                <w:szCs w:val="21"/>
                <w:highlight w:val="none"/>
              </w:rPr>
              <w:t>投标费用</w:t>
            </w:r>
          </w:p>
        </w:tc>
        <w:tc>
          <w:tcPr>
            <w:tcW w:w="6586" w:type="dxa"/>
            <w:vAlign w:val="center"/>
          </w:tcPr>
          <w:p>
            <w:pPr>
              <w:keepLines/>
              <w:pageBreakBefore w:val="0"/>
              <w:widowControl w:val="0"/>
              <w:kinsoku/>
              <w:wordWrap/>
              <w:overflowPunct/>
              <w:topLinePunct w:val="0"/>
              <w:autoSpaceDE/>
              <w:autoSpaceDN/>
              <w:bidi w:val="0"/>
              <w:adjustRightInd/>
              <w:snapToGrid/>
              <w:spacing w:line="400" w:lineRule="exact"/>
              <w:textAlignment w:val="auto"/>
              <w:rPr>
                <w:rFonts w:ascii="宋体" w:hAnsi="宋体" w:cs="宋体"/>
                <w:color w:val="auto"/>
                <w:szCs w:val="21"/>
                <w:highlight w:val="none"/>
              </w:rPr>
            </w:pPr>
            <w:r>
              <w:rPr>
                <w:rFonts w:hint="eastAsia" w:ascii="宋体" w:hAnsi="宋体" w:cs="宋体"/>
                <w:color w:val="auto"/>
                <w:szCs w:val="21"/>
                <w:highlight w:val="none"/>
              </w:rPr>
              <w:t>不论投标结果如何，供应商均应自行承担所有与投标有关的全部费用。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4</w:t>
            </w:r>
          </w:p>
        </w:tc>
        <w:tc>
          <w:tcPr>
            <w:tcW w:w="1030" w:type="dxa"/>
            <w:vAlign w:val="center"/>
          </w:tcPr>
          <w:p>
            <w:pPr>
              <w:keepLines/>
              <w:spacing w:line="400" w:lineRule="exact"/>
              <w:jc w:val="center"/>
              <w:rPr>
                <w:rFonts w:ascii="宋体" w:hAnsi="宋体" w:cs="宋体"/>
                <w:color w:val="auto"/>
                <w:position w:val="-2"/>
                <w:szCs w:val="21"/>
                <w:highlight w:val="none"/>
              </w:rPr>
            </w:pPr>
            <w:r>
              <w:rPr>
                <w:rFonts w:hint="eastAsia" w:ascii="宋体" w:hAnsi="宋体" w:cs="宋体"/>
                <w:color w:val="auto"/>
                <w:position w:val="-2"/>
                <w:szCs w:val="21"/>
                <w:highlight w:val="none"/>
              </w:rPr>
              <w:t>15</w:t>
            </w:r>
          </w:p>
        </w:tc>
        <w:tc>
          <w:tcPr>
            <w:tcW w:w="1894" w:type="dxa"/>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采购预算金额及</w:t>
            </w:r>
          </w:p>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投标报价</w:t>
            </w:r>
          </w:p>
        </w:tc>
        <w:tc>
          <w:tcPr>
            <w:tcW w:w="6586" w:type="dxa"/>
            <w:vAlign w:val="center"/>
          </w:tcPr>
          <w:p>
            <w:pPr>
              <w:spacing w:line="400" w:lineRule="exact"/>
              <w:rPr>
                <w:rFonts w:ascii="宋体" w:hAnsi="宋体" w:cs="宋体"/>
                <w:color w:val="auto"/>
                <w:szCs w:val="21"/>
                <w:highlight w:val="none"/>
              </w:rPr>
            </w:pPr>
            <w:r>
              <w:rPr>
                <w:rFonts w:hint="eastAsia" w:ascii="宋体" w:hAnsi="宋体" w:cs="宋体"/>
                <w:color w:val="auto"/>
                <w:szCs w:val="21"/>
                <w:highlight w:val="none"/>
              </w:rPr>
              <w:t>15.1本项目采购预算金额</w:t>
            </w:r>
            <w:r>
              <w:rPr>
                <w:rFonts w:hint="eastAsia" w:ascii="宋体" w:hAnsi="宋体" w:cs="宋体"/>
                <w:color w:val="auto"/>
                <w:position w:val="-2"/>
                <w:szCs w:val="21"/>
                <w:highlight w:val="none"/>
              </w:rPr>
              <w:t>（人民币）</w:t>
            </w:r>
            <w:r>
              <w:rPr>
                <w:rFonts w:hint="eastAsia" w:ascii="宋体" w:hAnsi="宋体" w:cs="宋体"/>
                <w:color w:val="auto"/>
                <w:szCs w:val="21"/>
                <w:highlight w:val="none"/>
              </w:rPr>
              <w:t>：</w:t>
            </w:r>
            <w:r>
              <w:rPr>
                <w:rFonts w:hint="eastAsia" w:ascii="宋体" w:hAnsi="宋体" w:cs="宋体"/>
                <w:color w:val="auto"/>
                <w:szCs w:val="21"/>
                <w:highlight w:val="none"/>
                <w:lang w:eastAsia="zh-CN"/>
              </w:rPr>
              <w:t>2500000元</w:t>
            </w:r>
            <w:r>
              <w:rPr>
                <w:rFonts w:hint="eastAsia" w:ascii="宋体" w:hAnsi="宋体" w:cs="宋体"/>
                <w:color w:val="auto"/>
                <w:szCs w:val="21"/>
                <w:highlight w:val="none"/>
              </w:rPr>
              <w:t>，投标报价超过采购预算金额的，投标文件按无效处理。</w:t>
            </w:r>
          </w:p>
          <w:p>
            <w:pPr>
              <w:spacing w:line="400" w:lineRule="exact"/>
              <w:rPr>
                <w:rFonts w:ascii="宋体" w:hAnsi="宋体" w:cs="宋体"/>
                <w:color w:val="auto"/>
                <w:szCs w:val="21"/>
                <w:highlight w:val="none"/>
              </w:rPr>
            </w:pPr>
            <w:r>
              <w:rPr>
                <w:rFonts w:hint="eastAsia" w:ascii="宋体" w:hAnsi="宋体" w:cs="宋体"/>
                <w:color w:val="auto"/>
                <w:szCs w:val="21"/>
                <w:highlight w:val="none"/>
              </w:rPr>
              <w:t>15.2供应商必须就“</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”中的所有内容作完整唯一报价，否则，其投标将被拒绝；投标文件只允许有一个报价，有选择的或有条件的报价将不予接受。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5</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16.1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投标有效期</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6</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17.1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投标文件份数</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正本壹册，副本肆册，须完整提交。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7</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17.2</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投标文件装订</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供应商应按供应商须知第13.1条“投标文件组成”规定的顺序自编目录及页码，投标文件的“正本”、“副本”应当单独装订成册并标注页码，装订应牢固，不易拆散和换页（A4标准纸装订）。封面应注明“正本”、“副本”字样，封面上写明项目名称、项目编号、采购代理机构、供应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8</w:t>
            </w:r>
          </w:p>
        </w:tc>
        <w:tc>
          <w:tcPr>
            <w:tcW w:w="1030" w:type="dxa"/>
            <w:vAlign w:val="center"/>
          </w:tcPr>
          <w:p>
            <w:pPr>
              <w:keepLines/>
              <w:spacing w:line="400" w:lineRule="exact"/>
              <w:jc w:val="center"/>
              <w:rPr>
                <w:rFonts w:ascii="宋体" w:hAnsi="宋体" w:cs="宋体"/>
                <w:color w:val="auto"/>
                <w:position w:val="10"/>
                <w:szCs w:val="21"/>
                <w:highlight w:val="none"/>
              </w:rPr>
            </w:pPr>
            <w:r>
              <w:rPr>
                <w:rFonts w:hint="eastAsia" w:ascii="宋体" w:hAnsi="宋体" w:cs="宋体"/>
                <w:color w:val="auto"/>
                <w:szCs w:val="21"/>
                <w:highlight w:val="none"/>
              </w:rPr>
              <w:t>17.6</w:t>
            </w:r>
          </w:p>
        </w:tc>
        <w:tc>
          <w:tcPr>
            <w:tcW w:w="1894" w:type="dxa"/>
            <w:vAlign w:val="center"/>
          </w:tcPr>
          <w:p>
            <w:pPr>
              <w:keepLines/>
              <w:spacing w:line="400" w:lineRule="exact"/>
              <w:jc w:val="center"/>
              <w:rPr>
                <w:rFonts w:ascii="宋体" w:hAnsi="宋体" w:cs="宋体"/>
                <w:color w:val="auto"/>
                <w:position w:val="10"/>
                <w:szCs w:val="21"/>
                <w:highlight w:val="none"/>
              </w:rPr>
            </w:pPr>
            <w:r>
              <w:rPr>
                <w:rFonts w:hint="eastAsia" w:ascii="宋体" w:hAnsi="宋体" w:cs="宋体"/>
                <w:color w:val="auto"/>
                <w:szCs w:val="21"/>
                <w:highlight w:val="none"/>
              </w:rPr>
              <w:t>供应商公章</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本采购文件中描述供应商的“公章”是指根据我国对公章的管理规定，用供应商法定主体行为名称制作的印章，除本采购文件有特殊规定外，供应商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9</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17.7</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 xml:space="preserve">投标文件包装、密封                  </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将投标文件“正本”、“副本”一并装入并密封在一个投标文件袋（盒、箱）中，并在密封处密封签章【公章、密封章、法定代表人、负责人、自然人或相应的授权委托代理人签字均可】。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17.8</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投标文件袋标记</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项目名称：</w:t>
            </w:r>
          </w:p>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项目编号：</w:t>
            </w:r>
          </w:p>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 xml:space="preserve">采购代理机构： </w:t>
            </w:r>
          </w:p>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供应商名称：</w:t>
            </w:r>
          </w:p>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在2021年  月  日　时　分前不得开启（此处供应商填写投标截止时间）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11</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投标文件递交起止时间及投标截止时间</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b/>
                <w:color w:val="auto"/>
                <w:szCs w:val="21"/>
                <w:highlight w:val="none"/>
              </w:rPr>
              <w:t>投标文件递交起止时间：</w:t>
            </w:r>
            <w:r>
              <w:rPr>
                <w:rFonts w:hint="eastAsia" w:ascii="宋体" w:hAnsi="宋体" w:cs="宋体"/>
                <w:color w:val="auto"/>
                <w:szCs w:val="21"/>
                <w:highlight w:val="none"/>
              </w:rPr>
              <w:t>：</w:t>
            </w: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rPr>
              <w:t xml:space="preserve">09时00分至09时30分；      </w:t>
            </w:r>
            <w:r>
              <w:rPr>
                <w:rFonts w:hint="eastAsia" w:ascii="宋体" w:hAnsi="宋体" w:cs="宋体"/>
                <w:b/>
                <w:color w:val="auto"/>
                <w:szCs w:val="21"/>
                <w:highlight w:val="none"/>
              </w:rPr>
              <w:t>投标截止时间：</w:t>
            </w:r>
            <w:r>
              <w:rPr>
                <w:rFonts w:hint="eastAsia" w:ascii="宋体" w:hAnsi="宋体" w:cs="宋体"/>
                <w:color w:val="auto"/>
                <w:szCs w:val="21"/>
                <w:highlight w:val="none"/>
              </w:rPr>
              <w:t>：</w:t>
            </w: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rPr>
              <w:t>09时30分。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12</w:t>
            </w:r>
          </w:p>
        </w:tc>
        <w:tc>
          <w:tcPr>
            <w:tcW w:w="1030" w:type="dxa"/>
            <w:vAlign w:val="center"/>
          </w:tcPr>
          <w:p>
            <w:pPr>
              <w:keepLines/>
              <w:spacing w:line="400" w:lineRule="exact"/>
              <w:jc w:val="center"/>
              <w:rPr>
                <w:rFonts w:ascii="宋体" w:hAnsi="宋体" w:cs="宋体"/>
                <w:color w:val="auto"/>
                <w:position w:val="-2"/>
                <w:szCs w:val="21"/>
                <w:highlight w:val="none"/>
              </w:rPr>
            </w:pPr>
            <w:r>
              <w:rPr>
                <w:rFonts w:hint="eastAsia" w:ascii="宋体" w:hAnsi="宋体" w:cs="宋体"/>
                <w:color w:val="auto"/>
                <w:szCs w:val="21"/>
                <w:highlight w:val="none"/>
              </w:rPr>
              <w:t>19.2</w:t>
            </w:r>
          </w:p>
        </w:tc>
        <w:tc>
          <w:tcPr>
            <w:tcW w:w="1894" w:type="dxa"/>
            <w:vAlign w:val="center"/>
          </w:tcPr>
          <w:p>
            <w:pPr>
              <w:keepLines/>
              <w:spacing w:line="400" w:lineRule="exact"/>
              <w:jc w:val="center"/>
              <w:rPr>
                <w:rFonts w:ascii="宋体" w:hAnsi="宋体" w:cs="宋体"/>
                <w:color w:val="auto"/>
                <w:position w:val="-2"/>
                <w:szCs w:val="21"/>
                <w:highlight w:val="none"/>
              </w:rPr>
            </w:pPr>
            <w:r>
              <w:rPr>
                <w:rFonts w:hint="eastAsia" w:ascii="宋体" w:hAnsi="宋体" w:cs="宋体"/>
                <w:color w:val="auto"/>
                <w:szCs w:val="21"/>
                <w:highlight w:val="none"/>
              </w:rPr>
              <w:t>投标文件递交地点</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桂林市公共资源交易中心</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号</w:t>
            </w:r>
            <w:r>
              <w:rPr>
                <w:rFonts w:hint="eastAsia" w:ascii="宋体" w:hAnsi="宋体" w:cs="宋体"/>
                <w:color w:val="auto"/>
                <w:szCs w:val="21"/>
                <w:highlight w:val="none"/>
              </w:rPr>
              <w:t>开标室（广西桂林市临桂区西城中路69号创业大厦西辅楼4楼北区）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13</w:t>
            </w:r>
          </w:p>
        </w:tc>
        <w:tc>
          <w:tcPr>
            <w:tcW w:w="1030" w:type="dxa"/>
            <w:vAlign w:val="center"/>
          </w:tcPr>
          <w:p>
            <w:pPr>
              <w:keepLines/>
              <w:spacing w:line="400" w:lineRule="exact"/>
              <w:jc w:val="center"/>
              <w:rPr>
                <w:rFonts w:ascii="宋体" w:hAnsi="宋体" w:cs="宋体"/>
                <w:color w:val="auto"/>
                <w:position w:val="-2"/>
                <w:szCs w:val="21"/>
                <w:highlight w:val="none"/>
              </w:rPr>
            </w:pPr>
            <w:r>
              <w:rPr>
                <w:rFonts w:hint="eastAsia" w:ascii="宋体" w:hAnsi="宋体" w:cs="宋体"/>
                <w:color w:val="auto"/>
                <w:szCs w:val="21"/>
                <w:highlight w:val="none"/>
              </w:rPr>
              <w:t>20.1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开标时间及地点</w:t>
            </w:r>
          </w:p>
        </w:tc>
        <w:tc>
          <w:tcPr>
            <w:tcW w:w="6586" w:type="dxa"/>
          </w:tcPr>
          <w:p>
            <w:pPr>
              <w:spacing w:line="400" w:lineRule="exact"/>
              <w:rPr>
                <w:rFonts w:ascii="宋体" w:hAnsi="宋体" w:cs="宋体"/>
                <w:color w:val="auto"/>
                <w:szCs w:val="21"/>
                <w:highlight w:val="none"/>
                <w:u w:val="single"/>
              </w:rPr>
            </w:pPr>
            <w:r>
              <w:rPr>
                <w:rFonts w:hint="eastAsia" w:ascii="宋体" w:hAnsi="宋体" w:cs="宋体"/>
                <w:color w:val="auto"/>
                <w:szCs w:val="21"/>
                <w:highlight w:val="none"/>
              </w:rPr>
              <w:t>开标时间：</w:t>
            </w:r>
            <w:r>
              <w:rPr>
                <w:rFonts w:hint="eastAsia" w:ascii="宋体" w:hAnsi="宋体" w:cs="宋体"/>
                <w:color w:val="auto"/>
                <w:szCs w:val="21"/>
                <w:highlight w:val="none"/>
              </w:rPr>
              <w:t>2021年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rPr>
              <w:t>09时30分；</w:t>
            </w:r>
          </w:p>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开标地点：桂林市公共资源交易中心</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号</w:t>
            </w:r>
            <w:r>
              <w:rPr>
                <w:rFonts w:hint="eastAsia" w:ascii="宋体" w:hAnsi="宋体" w:cs="宋体"/>
                <w:color w:val="auto"/>
                <w:szCs w:val="21"/>
                <w:highlight w:val="none"/>
              </w:rPr>
              <w:t>开标室（广西桂林市临桂区西城中路69号创业大厦西辅楼4楼北区）开标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14</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23</w:t>
            </w:r>
          </w:p>
        </w:tc>
        <w:tc>
          <w:tcPr>
            <w:tcW w:w="1894" w:type="dxa"/>
            <w:vAlign w:val="center"/>
          </w:tcPr>
          <w:p>
            <w:pPr>
              <w:pStyle w:val="12"/>
              <w:keepLines/>
              <w:spacing w:line="400" w:lineRule="exact"/>
              <w:jc w:val="center"/>
              <w:rPr>
                <w:rFonts w:hAnsi="宋体" w:cs="宋体"/>
                <w:color w:val="auto"/>
                <w:szCs w:val="21"/>
                <w:highlight w:val="none"/>
              </w:rPr>
            </w:pPr>
            <w:r>
              <w:rPr>
                <w:rFonts w:hint="eastAsia" w:hAnsi="宋体" w:cs="宋体"/>
                <w:color w:val="auto"/>
                <w:kern w:val="0"/>
                <w:szCs w:val="21"/>
                <w:highlight w:val="none"/>
              </w:rPr>
              <w:t>评标委员会组成</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评标委员会由采购人代表和有关技术、经济等方面的专家组成，其中采购人代表1人，技术、经济等专家4人。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15</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24.2</w:t>
            </w:r>
          </w:p>
        </w:tc>
        <w:tc>
          <w:tcPr>
            <w:tcW w:w="1894" w:type="dxa"/>
            <w:vAlign w:val="center"/>
          </w:tcPr>
          <w:p>
            <w:pPr>
              <w:keepLines/>
              <w:spacing w:line="400" w:lineRule="exact"/>
              <w:jc w:val="center"/>
              <w:rPr>
                <w:rFonts w:ascii="宋体" w:hAnsi="宋体" w:cs="宋体"/>
                <w:color w:val="auto"/>
                <w:kern w:val="0"/>
                <w:szCs w:val="21"/>
                <w:highlight w:val="none"/>
              </w:rPr>
            </w:pPr>
            <w:r>
              <w:rPr>
                <w:rFonts w:hint="eastAsia" w:ascii="宋体" w:hAnsi="宋体" w:cs="宋体"/>
                <w:color w:val="auto"/>
                <w:szCs w:val="21"/>
                <w:highlight w:val="none"/>
              </w:rPr>
              <w:t>评标办法</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综合评分法，具体评标内容及标准详见第四章：评标办法。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16</w:t>
            </w:r>
          </w:p>
        </w:tc>
        <w:tc>
          <w:tcPr>
            <w:tcW w:w="1030" w:type="dxa"/>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30</w:t>
            </w:r>
          </w:p>
        </w:tc>
        <w:tc>
          <w:tcPr>
            <w:tcW w:w="1894" w:type="dxa"/>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信用查询</w:t>
            </w:r>
          </w:p>
        </w:tc>
        <w:tc>
          <w:tcPr>
            <w:tcW w:w="6586" w:type="dxa"/>
          </w:tcPr>
          <w:p>
            <w:pPr>
              <w:autoSpaceDE w:val="0"/>
              <w:autoSpaceDN w:val="0"/>
              <w:snapToGrid w:val="0"/>
              <w:spacing w:line="400" w:lineRule="exact"/>
              <w:textAlignment w:val="bottom"/>
              <w:rPr>
                <w:rFonts w:ascii="宋体" w:hAnsi="宋体" w:cs="宋体"/>
                <w:color w:val="auto"/>
                <w:szCs w:val="21"/>
                <w:highlight w:val="none"/>
              </w:rPr>
            </w:pPr>
            <w:r>
              <w:rPr>
                <w:rFonts w:hint="eastAsia" w:ascii="宋体" w:hAnsi="宋体" w:cs="宋体"/>
                <w:color w:val="auto"/>
                <w:szCs w:val="21"/>
                <w:highlight w:val="none"/>
              </w:rPr>
              <w:t>根据《关于做好政府采购有关信用主体标识码登记及在政府采购活动中查询使用信用记录有关问题的通知》桂财采〔2016〕37号的通知，由采购代理机构对第一中标候选供应商进行信用查询：</w:t>
            </w:r>
          </w:p>
          <w:p>
            <w:pPr>
              <w:autoSpaceDE w:val="0"/>
              <w:autoSpaceDN w:val="0"/>
              <w:snapToGrid w:val="0"/>
              <w:spacing w:line="400" w:lineRule="exact"/>
              <w:textAlignment w:val="bottom"/>
              <w:rPr>
                <w:rFonts w:ascii="宋体" w:hAnsi="宋体" w:cs="宋体"/>
                <w:color w:val="auto"/>
                <w:szCs w:val="21"/>
                <w:highlight w:val="none"/>
              </w:rPr>
            </w:pPr>
            <w:r>
              <w:rPr>
                <w:rFonts w:hint="eastAsia" w:ascii="宋体" w:hAnsi="宋体" w:cs="宋体"/>
                <w:color w:val="auto"/>
                <w:szCs w:val="21"/>
                <w:highlight w:val="none"/>
              </w:rPr>
              <w:t>（1）查询渠道：“信用中国”网站（www.creditchina.gov.cn）、中国政府采购网（www.ccgp.gov.cn）等；</w:t>
            </w:r>
          </w:p>
          <w:p>
            <w:pPr>
              <w:autoSpaceDE w:val="0"/>
              <w:autoSpaceDN w:val="0"/>
              <w:snapToGrid w:val="0"/>
              <w:spacing w:line="400" w:lineRule="exact"/>
              <w:textAlignment w:val="bottom"/>
              <w:rPr>
                <w:rFonts w:ascii="宋体" w:hAnsi="宋体" w:cs="宋体"/>
                <w:color w:val="auto"/>
                <w:szCs w:val="21"/>
                <w:highlight w:val="none"/>
              </w:rPr>
            </w:pPr>
            <w:r>
              <w:rPr>
                <w:rFonts w:hint="eastAsia" w:ascii="宋体" w:hAnsi="宋体" w:cs="宋体"/>
                <w:color w:val="auto"/>
                <w:szCs w:val="21"/>
                <w:highlight w:val="none"/>
              </w:rPr>
              <w:t>（2）查询截止时点：中标通知书发出前；</w:t>
            </w:r>
          </w:p>
          <w:p>
            <w:pPr>
              <w:autoSpaceDE w:val="0"/>
              <w:autoSpaceDN w:val="0"/>
              <w:snapToGrid w:val="0"/>
              <w:spacing w:line="400" w:lineRule="exact"/>
              <w:textAlignment w:val="bottom"/>
              <w:rPr>
                <w:rFonts w:ascii="宋体" w:hAnsi="宋体" w:cs="宋体"/>
                <w:color w:val="auto"/>
                <w:szCs w:val="21"/>
                <w:highlight w:val="none"/>
              </w:rPr>
            </w:pPr>
            <w:r>
              <w:rPr>
                <w:rFonts w:hint="eastAsia" w:ascii="宋体" w:hAnsi="宋体" w:cs="宋体"/>
                <w:color w:val="auto"/>
                <w:szCs w:val="21"/>
                <w:highlight w:val="none"/>
              </w:rPr>
              <w:t>（3）信用信息查询记录和证据留存方式：在查询网站中直接打印查询记录，打印材料作为采购活动资料保存。</w:t>
            </w:r>
          </w:p>
          <w:p>
            <w:pPr>
              <w:pStyle w:val="46"/>
              <w:spacing w:line="400" w:lineRule="exact"/>
              <w:rPr>
                <w:rFonts w:hAnsi="宋体" w:cs="宋体"/>
                <w:color w:val="auto"/>
                <w:szCs w:val="21"/>
                <w:highlight w:val="none"/>
              </w:rPr>
            </w:pPr>
            <w:r>
              <w:rPr>
                <w:rFonts w:hint="eastAsia" w:hAnsi="宋体" w:cs="宋体"/>
                <w:color w:val="auto"/>
                <w:szCs w:val="21"/>
                <w:highlight w:val="none"/>
              </w:rPr>
              <w:t>（4）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pStyle w:val="12"/>
              <w:tabs>
                <w:tab w:val="left" w:pos="455"/>
              </w:tabs>
              <w:spacing w:line="400" w:lineRule="exact"/>
              <w:ind w:firstLine="420" w:firstLineChars="200"/>
              <w:rPr>
                <w:rFonts w:hAnsi="宋体" w:cs="宋体"/>
                <w:color w:val="auto"/>
                <w:szCs w:val="21"/>
                <w:highlight w:val="none"/>
              </w:rPr>
            </w:pPr>
            <w:r>
              <w:rPr>
                <w:rFonts w:hint="eastAsia" w:hAnsi="宋体" w:cs="宋体"/>
                <w:color w:val="auto"/>
                <w:szCs w:val="21"/>
                <w:highlight w:val="none"/>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1" w:hRule="atLeast"/>
        </w:trPr>
        <w:tc>
          <w:tcPr>
            <w:tcW w:w="690" w:type="dxa"/>
            <w:vAlign w:val="center"/>
          </w:tcPr>
          <w:p>
            <w:pPr>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17</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中标公告及中标通知书</w:t>
            </w:r>
          </w:p>
        </w:tc>
        <w:tc>
          <w:tcPr>
            <w:tcW w:w="6586" w:type="dxa"/>
          </w:tcPr>
          <w:p>
            <w:pPr>
              <w:pStyle w:val="12"/>
              <w:keepLines/>
              <w:tabs>
                <w:tab w:val="left" w:pos="455"/>
              </w:tabs>
              <w:spacing w:line="400" w:lineRule="exact"/>
              <w:rPr>
                <w:rFonts w:hAnsi="宋体" w:cs="宋体"/>
                <w:color w:val="auto"/>
                <w:szCs w:val="21"/>
                <w:highlight w:val="none"/>
              </w:rPr>
            </w:pPr>
            <w:r>
              <w:rPr>
                <w:rFonts w:hint="eastAsia" w:hAnsi="宋体" w:cs="宋体"/>
                <w:color w:val="auto"/>
                <w:szCs w:val="21"/>
                <w:highlight w:val="none"/>
              </w:rPr>
              <w:t>31.1采购代理机构于评标结束后两个工作日内将评审报告送交采购人，采购人应当自收到评标报告五个工作日内在评标报告推荐的中标候选供应商中按顺序确定中标供应商，采购代理机构在中标供应商确定之日起两个工作日内发出中标通知书，并在指定媒体上公告中标结果，中标公告期限为1个工作日。</w:t>
            </w:r>
          </w:p>
          <w:p>
            <w:pPr>
              <w:pStyle w:val="12"/>
              <w:keepLines/>
              <w:spacing w:line="400" w:lineRule="exact"/>
              <w:rPr>
                <w:rFonts w:hAnsi="宋体" w:cs="宋体"/>
                <w:color w:val="auto"/>
                <w:szCs w:val="21"/>
                <w:highlight w:val="none"/>
              </w:rPr>
            </w:pPr>
            <w:r>
              <w:rPr>
                <w:rFonts w:hint="eastAsia" w:hAnsi="宋体" w:cs="宋体"/>
                <w:color w:val="auto"/>
                <w:szCs w:val="21"/>
                <w:highlight w:val="none"/>
              </w:rPr>
              <w:t>31.2 在发布中标公告的同时，采购代理机构向中标供应商发布中标通知书，中标供应商应自接到通知之日起七个工作日内，办理中标通知书领取手续，如不按期办理领取手续，视为自动放弃中标资格。并从评标委员会推荐的中标候选供应商中按顺序重新确定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18</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32.1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6586" w:type="dxa"/>
            <w:vAlign w:val="center"/>
          </w:tcPr>
          <w:p>
            <w:pPr>
              <w:spacing w:line="410" w:lineRule="exact"/>
              <w:rPr>
                <w:color w:val="auto"/>
                <w:highlight w:val="none"/>
              </w:rPr>
            </w:pPr>
            <w:r>
              <w:rPr>
                <w:rFonts w:hint="eastAsia"/>
                <w:color w:val="auto"/>
                <w:highlight w:val="none"/>
              </w:rPr>
              <w:t>履约保证金金额按中标价的5%（人民币，四舍五入到元）提供，由中标供应商在签订合同前将履约保证金以转账、电汇形式转入采购人指定账户。</w:t>
            </w:r>
          </w:p>
          <w:p>
            <w:pPr>
              <w:spacing w:line="420" w:lineRule="exact"/>
              <w:ind w:firstLine="420" w:firstLineChars="200"/>
              <w:rPr>
                <w:color w:val="auto"/>
                <w:highlight w:val="none"/>
              </w:rPr>
            </w:pPr>
            <w:r>
              <w:rPr>
                <w:rFonts w:hint="eastAsia"/>
                <w:color w:val="auto"/>
                <w:highlight w:val="none"/>
              </w:rPr>
              <w:t>注：</w:t>
            </w:r>
            <w:r>
              <w:rPr>
                <w:rFonts w:hint="eastAsia" w:ascii="宋体" w:hAnsi="宋体" w:cs="宋体"/>
                <w:color w:val="auto"/>
                <w:highlight w:val="none"/>
              </w:rPr>
              <w:t>如为小微企业中标则免于收取履约保证金。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19</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签订合同时间</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中标通知书发出之日起二十五日内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20</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33.3</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合同备案存档</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政府采购合同双方自签订之日起一个工作日内将合同原件一份交采购代理机构存档。采购代理机构将于收到政府采购合同后在省级以上人民政府财政部门指定媒体上公告。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招标代理服务费</w:t>
            </w:r>
          </w:p>
        </w:tc>
        <w:tc>
          <w:tcPr>
            <w:tcW w:w="6586" w:type="dxa"/>
            <w:vAlign w:val="center"/>
          </w:tcPr>
          <w:p>
            <w:pPr>
              <w:pStyle w:val="5"/>
              <w:ind w:left="0" w:firstLine="0"/>
              <w:rPr>
                <w:rFonts w:ascii="宋体" w:hAnsi="宋体" w:cs="宋体"/>
                <w:color w:val="auto"/>
                <w:sz w:val="21"/>
                <w:szCs w:val="21"/>
                <w:highlight w:val="none"/>
              </w:rPr>
            </w:pPr>
            <w:r>
              <w:rPr>
                <w:rFonts w:hint="eastAsia" w:ascii="宋体" w:hAnsi="宋体" w:eastAsia="宋体" w:cs="宋体"/>
                <w:bCs w:val="0"/>
                <w:color w:val="auto"/>
                <w:kern w:val="2"/>
                <w:sz w:val="21"/>
                <w:szCs w:val="21"/>
                <w:highlight w:val="none"/>
                <w:lang w:val="en-US" w:eastAsia="zh-CN" w:bidi="ar-SA"/>
              </w:rPr>
              <w:t>中标供应商领取中标通知书前，向广西瑞真工程造价咨询有限责任公司一次性付清招标代理服务费，本项目的招标代理服务费按“国家发展计划委员会计价格[2002]1980号《招标代理服务费管理暂行办法》、发改办价格[2003]857号”规定的货物类收费标准向中标供应商收取。以中标报价为计算基数，按差额定率累进法计算标准计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22</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1894"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解释权</w:t>
            </w:r>
          </w:p>
        </w:tc>
        <w:tc>
          <w:tcPr>
            <w:tcW w:w="6586" w:type="dxa"/>
            <w:vAlign w:val="center"/>
          </w:tcPr>
          <w:p>
            <w:pPr>
              <w:keepLines/>
              <w:spacing w:line="400" w:lineRule="exact"/>
              <w:rPr>
                <w:rFonts w:ascii="宋体" w:hAnsi="宋体" w:cs="宋体"/>
                <w:color w:val="auto"/>
                <w:szCs w:val="21"/>
                <w:highlight w:val="none"/>
              </w:rPr>
            </w:pPr>
            <w:r>
              <w:rPr>
                <w:rFonts w:hint="eastAsia" w:ascii="宋体" w:hAnsi="宋体" w:cs="宋体"/>
                <w:color w:val="auto"/>
                <w:szCs w:val="21"/>
                <w:highlight w:val="none"/>
              </w:rPr>
              <w:t>本采购文件是根据《中华人民共和国政府采购法》、《中华人民共和国政府采购法实施条例》及</w:t>
            </w:r>
            <w:r>
              <w:rPr>
                <w:rStyle w:val="24"/>
                <w:rFonts w:hint="eastAsia" w:ascii="宋体" w:hAnsi="宋体" w:cs="宋体"/>
                <w:b w:val="0"/>
                <w:color w:val="auto"/>
                <w:szCs w:val="21"/>
                <w:highlight w:val="none"/>
              </w:rPr>
              <w:t>财政部令第87号、</w:t>
            </w:r>
            <w:r>
              <w:rPr>
                <w:rFonts w:hint="eastAsia" w:ascii="宋体" w:hAnsi="宋体" w:cs="宋体"/>
                <w:color w:val="auto"/>
                <w:szCs w:val="21"/>
                <w:highlight w:val="none"/>
              </w:rPr>
              <w:t>《政府采购货物和服务招标投标管理办法》等相关规定编制，本采购文件的解释权属于采购人。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23</w:t>
            </w:r>
          </w:p>
        </w:tc>
        <w:tc>
          <w:tcPr>
            <w:tcW w:w="1030" w:type="dxa"/>
            <w:vAlign w:val="center"/>
          </w:tcPr>
          <w:p>
            <w:pPr>
              <w:keepLines/>
              <w:spacing w:line="400" w:lineRule="exact"/>
              <w:jc w:val="center"/>
              <w:rPr>
                <w:rFonts w:ascii="宋体" w:hAnsi="宋体" w:cs="宋体"/>
                <w:color w:val="auto"/>
                <w:szCs w:val="21"/>
                <w:highlight w:val="none"/>
              </w:rPr>
            </w:pPr>
            <w:r>
              <w:rPr>
                <w:rFonts w:hint="eastAsia" w:ascii="宋体" w:hAnsi="宋体" w:cs="宋体"/>
                <w:color w:val="auto"/>
                <w:szCs w:val="21"/>
                <w:highlight w:val="none"/>
              </w:rPr>
              <w:t>37</w:t>
            </w:r>
          </w:p>
        </w:tc>
        <w:tc>
          <w:tcPr>
            <w:tcW w:w="1894" w:type="dxa"/>
            <w:vAlign w:val="center"/>
          </w:tcPr>
          <w:p>
            <w:pPr>
              <w:spacing w:line="420" w:lineRule="exact"/>
              <w:jc w:val="center"/>
              <w:rPr>
                <w:rFonts w:ascii="宋体" w:hAnsi="宋体" w:cs="宋体"/>
                <w:color w:val="auto"/>
                <w:szCs w:val="21"/>
                <w:highlight w:val="none"/>
              </w:rPr>
            </w:pPr>
            <w:r>
              <w:rPr>
                <w:rFonts w:hint="eastAsia" w:ascii="宋体" w:hAnsi="宋体" w:cs="宋体"/>
                <w:color w:val="auto"/>
                <w:szCs w:val="21"/>
                <w:highlight w:val="none"/>
              </w:rPr>
              <w:t>监督管理机构</w:t>
            </w:r>
          </w:p>
        </w:tc>
        <w:tc>
          <w:tcPr>
            <w:tcW w:w="6586" w:type="dxa"/>
            <w:vAlign w:val="center"/>
          </w:tcPr>
          <w:p>
            <w:pPr>
              <w:spacing w:line="420" w:lineRule="exact"/>
              <w:rPr>
                <w:rFonts w:ascii="宋体" w:hAnsi="宋体" w:cs="宋体"/>
                <w:color w:val="auto"/>
                <w:szCs w:val="21"/>
                <w:highlight w:val="none"/>
              </w:rPr>
            </w:pPr>
            <w:r>
              <w:rPr>
                <w:rFonts w:hint="eastAsia" w:ascii="宋体" w:hAnsi="宋体" w:cs="宋体"/>
                <w:color w:val="auto"/>
                <w:szCs w:val="21"/>
                <w:highlight w:val="none"/>
              </w:rPr>
              <w:t>广西壮族自治区财政厅政府采购监督管理处 联系电话： 0771-5331544</w:t>
            </w:r>
          </w:p>
        </w:tc>
      </w:tr>
    </w:tbl>
    <w:p>
      <w:pPr>
        <w:spacing w:line="360" w:lineRule="auto"/>
        <w:ind w:firstLine="548" w:firstLineChars="196"/>
        <w:jc w:val="center"/>
        <w:rPr>
          <w:rFonts w:ascii="宋体" w:hAnsi="宋体"/>
          <w:b/>
          <w:color w:val="auto"/>
          <w:sz w:val="28"/>
          <w:szCs w:val="28"/>
          <w:highlight w:val="none"/>
        </w:rPr>
      </w:pPr>
      <w:r>
        <w:rPr>
          <w:rFonts w:hint="eastAsia" w:ascii="宋体" w:hAnsi="宋体"/>
          <w:b/>
          <w:color w:val="auto"/>
          <w:sz w:val="28"/>
          <w:szCs w:val="28"/>
          <w:highlight w:val="none"/>
        </w:rPr>
        <w:br w:type="page"/>
      </w:r>
      <w:r>
        <w:rPr>
          <w:rFonts w:hint="eastAsia" w:ascii="宋体" w:hAnsi="宋体"/>
          <w:b/>
          <w:color w:val="auto"/>
          <w:sz w:val="28"/>
          <w:szCs w:val="28"/>
          <w:highlight w:val="none"/>
        </w:rPr>
        <w:t>一、总则</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 项目名称及项目编号</w:t>
      </w:r>
    </w:p>
    <w:p>
      <w:pPr>
        <w:spacing w:line="420" w:lineRule="exact"/>
        <w:ind w:firstLine="420" w:firstLineChars="2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项目名称：</w:t>
      </w:r>
      <w:r>
        <w:rPr>
          <w:rFonts w:hint="eastAsia" w:ascii="宋体" w:hAnsi="宋体" w:cs="宋体"/>
          <w:color w:val="auto"/>
          <w:szCs w:val="21"/>
          <w:highlight w:val="none"/>
          <w:lang w:eastAsia="zh-CN"/>
        </w:rPr>
        <w:t>医院急诊急救平台</w:t>
      </w:r>
    </w:p>
    <w:p>
      <w:pPr>
        <w:spacing w:line="420" w:lineRule="exact"/>
        <w:ind w:firstLine="420" w:firstLineChars="200"/>
        <w:rPr>
          <w:rFonts w:hint="eastAsia" w:ascii="宋体" w:hAnsi="宋体" w:eastAsia="宋体" w:cs="宋体"/>
          <w:b/>
          <w:color w:val="auto"/>
          <w:szCs w:val="21"/>
          <w:highlight w:val="none"/>
          <w:lang w:eastAsia="zh-CN"/>
        </w:rPr>
      </w:pPr>
      <w:r>
        <w:rPr>
          <w:rFonts w:hint="eastAsia" w:ascii="宋体" w:hAnsi="宋体" w:cs="宋体"/>
          <w:color w:val="auto"/>
          <w:szCs w:val="21"/>
          <w:highlight w:val="none"/>
        </w:rPr>
        <w:t>项目编号：</w:t>
      </w:r>
      <w:r>
        <w:rPr>
          <w:rFonts w:hint="eastAsia" w:ascii="宋体" w:hAnsi="宋体" w:cs="宋体"/>
          <w:color w:val="auto"/>
          <w:szCs w:val="21"/>
          <w:highlight w:val="none"/>
          <w:lang w:eastAsia="zh-CN"/>
        </w:rPr>
        <w:t>GXZC2021-G1-001119-GXRZ</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 适应范围</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本采购文件适用本招标采购项目的招标、投标、评标、合同履约、验收、付款等行为（法律、法规另有规定的，从其规定）。</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3. 定义</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3.1“招标采购单位”是指组织本次招标的采购人和采购代理机构。</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3.2“供应商”是指响应招标、参加投标竞争的法人、其他组织或者自然人。</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3.3“货物”系指按采购文件规定，供应商须向采购人提供的一切设备、保险、税金、备品备件、工具、手册及其它有关技术资料和材料。</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3.4“服务”系指采购文件规定，供应商须承担的安装、调试、技术协助、校准、培训、技术指导以及其他类似的义务。</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3.5“项目”系指供应商按采购文件规定向采购人提供的货物和服务。</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3.6“书面形式”包括信函、传真、电报。</w:t>
      </w:r>
    </w:p>
    <w:p>
      <w:pPr>
        <w:spacing w:line="380" w:lineRule="exact"/>
        <w:ind w:firstLine="435"/>
        <w:rPr>
          <w:rFonts w:ascii="宋体" w:hAnsi="宋体" w:cs="宋体"/>
          <w:b/>
          <w:color w:val="auto"/>
          <w:szCs w:val="21"/>
          <w:highlight w:val="none"/>
        </w:rPr>
      </w:pPr>
      <w:r>
        <w:rPr>
          <w:rFonts w:hint="eastAsia" w:ascii="宋体" w:hAnsi="宋体" w:cs="宋体"/>
          <w:b/>
          <w:color w:val="auto"/>
          <w:szCs w:val="21"/>
          <w:highlight w:val="none"/>
        </w:rPr>
        <w:t>3.7实质性要求：标注★号项的要求为实质性要求。</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4. 招标方式、评分办法</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公开招标、综合评分法。</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5. 供应商资格</w:t>
      </w:r>
      <w:r>
        <w:rPr>
          <w:rFonts w:hint="eastAsia" w:ascii="宋体" w:hAnsi="宋体" w:cs="宋体"/>
          <w:bCs/>
          <w:color w:val="auto"/>
          <w:szCs w:val="21"/>
          <w:highlight w:val="none"/>
        </w:rPr>
        <w:t>:详见供应商须知前附表。</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6. 投标费用</w:t>
      </w:r>
    </w:p>
    <w:p>
      <w:pPr>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不论投标结果如何，供应商均应自行承担所有与投标有关的全部费用。</w:t>
      </w:r>
    </w:p>
    <w:p>
      <w:pPr>
        <w:tabs>
          <w:tab w:val="left" w:pos="1635"/>
        </w:tabs>
        <w:spacing w:line="400" w:lineRule="exact"/>
        <w:ind w:firstLine="435"/>
        <w:rPr>
          <w:rFonts w:ascii="宋体" w:hAnsi="宋体" w:cs="宋体"/>
          <w:b/>
          <w:color w:val="auto"/>
          <w:szCs w:val="21"/>
          <w:highlight w:val="none"/>
        </w:rPr>
      </w:pPr>
      <w:r>
        <w:rPr>
          <w:rFonts w:hint="eastAsia" w:ascii="宋体" w:hAnsi="宋体" w:cs="宋体"/>
          <w:b/>
          <w:color w:val="auto"/>
          <w:szCs w:val="21"/>
          <w:highlight w:val="none"/>
        </w:rPr>
        <w:t>7. 联合体投标要求</w:t>
      </w:r>
    </w:p>
    <w:p>
      <w:pPr>
        <w:tabs>
          <w:tab w:val="left" w:pos="1635"/>
        </w:tabs>
        <w:spacing w:line="400" w:lineRule="exact"/>
        <w:ind w:firstLine="435"/>
        <w:rPr>
          <w:rFonts w:ascii="宋体" w:hAnsi="宋体" w:cs="宋体"/>
          <w:b/>
          <w:color w:val="auto"/>
          <w:szCs w:val="21"/>
          <w:highlight w:val="none"/>
        </w:rPr>
      </w:pPr>
      <w:r>
        <w:rPr>
          <w:rFonts w:hint="eastAsia" w:ascii="宋体" w:hAnsi="宋体" w:cs="宋体"/>
          <w:color w:val="auto"/>
          <w:szCs w:val="21"/>
          <w:highlight w:val="none"/>
        </w:rPr>
        <w:t>本项目不接受联合体投标</w:t>
      </w:r>
      <w:r>
        <w:rPr>
          <w:rFonts w:hint="eastAsia" w:ascii="宋体" w:hAnsi="宋体" w:cs="宋体"/>
          <w:bCs/>
          <w:color w:val="auto"/>
          <w:szCs w:val="21"/>
          <w:highlight w:val="none"/>
        </w:rPr>
        <w:t>。</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8. 转包与分包</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8.1本项目不允许转包。</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8.2本项目不可以分包。</w:t>
      </w:r>
    </w:p>
    <w:p>
      <w:pPr>
        <w:tabs>
          <w:tab w:val="left" w:pos="163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9. 特别说明</w:t>
      </w:r>
    </w:p>
    <w:p>
      <w:pPr>
        <w:tabs>
          <w:tab w:val="left" w:pos="1635"/>
        </w:tabs>
        <w:spacing w:line="380" w:lineRule="exact"/>
        <w:ind w:firstLine="435"/>
        <w:rPr>
          <w:rFonts w:ascii="宋体" w:hAnsi="宋体" w:cs="宋体"/>
          <w:color w:val="auto"/>
          <w:szCs w:val="21"/>
          <w:highlight w:val="none"/>
        </w:rPr>
      </w:pPr>
      <w:r>
        <w:rPr>
          <w:rFonts w:hint="eastAsia" w:ascii="宋体" w:hAnsi="宋体" w:cs="宋体"/>
          <w:color w:val="auto"/>
          <w:szCs w:val="21"/>
          <w:highlight w:val="none"/>
        </w:rPr>
        <w:t>9.1提供相同品牌产品且通过资格审查、符合性审查的不同供应商参加同一合同项下投标的，按一家供应商计算，评审后得分最高的同品牌供应商获得中标供应商推荐资格；评审得分相同的，评标价最低的同品牌供应商获得中标供应商推荐资格，评标价也相同的，由评标委员会以抽签方式确定中标候选供应商，其他同品牌供应商不作为中标候选供应商。</w:t>
      </w:r>
      <w:r>
        <w:rPr>
          <w:rFonts w:hint="eastAsia" w:ascii="宋体" w:hAnsi="宋体"/>
          <w:color w:val="auto"/>
          <w:szCs w:val="21"/>
          <w:highlight w:val="none"/>
        </w:rPr>
        <w:t>非单一产品采购项目中，多家</w:t>
      </w:r>
      <w:r>
        <w:rPr>
          <w:rFonts w:hint="eastAsia" w:ascii="宋体" w:hAnsi="宋体"/>
          <w:color w:val="auto"/>
          <w:szCs w:val="21"/>
          <w:highlight w:val="none"/>
          <w:lang w:val="en-US" w:eastAsia="zh-CN"/>
        </w:rPr>
        <w:t>供应商</w:t>
      </w:r>
      <w:r>
        <w:rPr>
          <w:rFonts w:hint="eastAsia" w:ascii="宋体" w:hAnsi="宋体"/>
          <w:color w:val="auto"/>
          <w:szCs w:val="21"/>
          <w:highlight w:val="none"/>
        </w:rPr>
        <w:t>提供的核心产品品牌相同的，视为提供相同品牌产品。</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9.2关联供应商不得参加同一合同项下政府采购活动，否则投标文件将被视为无效：</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（1）单位负责人为同一人或者存在直接控股、管理关系的不同供应商，不得参加同一合同项下的政府采购活动。</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（2）为本采购项目提供整体设计、规范编制或者项目管理、监理、检测等服务的供应商，不得再参加本次采购活动。</w:t>
      </w:r>
    </w:p>
    <w:p>
      <w:pPr>
        <w:tabs>
          <w:tab w:val="left" w:pos="163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9.3供应商应仔细阅读采购文件的所有内容，按照采购文件的要求提交投标文件，并对所提供的全部资料的真实性承担法律责任。</w:t>
      </w:r>
    </w:p>
    <w:p>
      <w:pPr>
        <w:tabs>
          <w:tab w:val="left" w:pos="1635"/>
        </w:tabs>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9.4供应商在投标活动中提供任何虚假材料，其投标无效，并报监督管理部门查处；中标后发现的，中标供应商须依照《中华人民共和国消费者权益保护法》赔偿采购人，且民事赔偿并不免除违法供应商的行政与刑事责任。</w:t>
      </w:r>
    </w:p>
    <w:p>
      <w:pPr>
        <w:tabs>
          <w:tab w:val="left" w:pos="219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10. 质疑和投诉</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10.1供应商认为采购文件使自己的合法权益受到损害的，应当在公告期限满后7个工作日内以书面形式向采购代理机构提出质疑。供应商认为招标过程或中标结果使自己的合法权益受到损害的，应当在各采购程序环节结束之日或中标公告期限届满之日起七个工作日内，以书面形式向采购代理机构提出质疑。采购代理机构应认真做好质疑处理工作。</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10.2供应商对采购代理机构的答复不满意或者采购代理机构未在规定的时间内作出答复的，可以在答复期满后十五个工作日内向监督管理部门投诉。</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10.3质疑、投诉应当采用书面形式，质疑书、投诉书实行实名制，均应明确阐述采购文件、招标过程或中标结果中使自己合法权益受到损害的实质性内容，并提供必要的证明材料。</w:t>
      </w:r>
    </w:p>
    <w:p>
      <w:pPr>
        <w:tabs>
          <w:tab w:val="left" w:pos="2190"/>
        </w:tabs>
        <w:spacing w:line="420" w:lineRule="exact"/>
        <w:ind w:firstLine="435"/>
        <w:jc w:val="center"/>
        <w:rPr>
          <w:rFonts w:ascii="宋体" w:hAnsi="宋体" w:cs="宋体"/>
          <w:b/>
          <w:color w:val="auto"/>
          <w:szCs w:val="21"/>
          <w:highlight w:val="none"/>
        </w:rPr>
      </w:pPr>
      <w:r>
        <w:rPr>
          <w:rFonts w:hint="eastAsia" w:ascii="宋体" w:hAnsi="宋体" w:cs="宋体"/>
          <w:b/>
          <w:color w:val="auto"/>
          <w:szCs w:val="21"/>
          <w:highlight w:val="none"/>
        </w:rPr>
        <w:t>二、采购文件</w:t>
      </w:r>
    </w:p>
    <w:p>
      <w:pPr>
        <w:tabs>
          <w:tab w:val="left" w:pos="219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11. 采购文件的构成</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（1）招标公告；</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（2）供应商须知；</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”中标注★号项的要求为实质性要求）；</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（4）评标办法；</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（5）采购合同（合同主要条款及格式）；</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（6）投标文件格式。</w:t>
      </w:r>
    </w:p>
    <w:p>
      <w:pPr>
        <w:tabs>
          <w:tab w:val="left" w:pos="219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12. 采购文件的澄清与修改</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12.1供应商应认真阅读采购文件，发现其中有误或有不合理要求的，供应商必须在公告期限满后7个工作日内以书面形式要求采购代理机构澄清。</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12.2采购代理机构可以对已发出的采购文件进行必要澄清、修改。澄清或者修改的内容可能影响投标文件编制的，代理机构应当在投标截止时间至少十五日前在本招标项目招标公告发布的同一媒体上发布更正公告；不足十五日的，采购代理机构应当顺延投标文件的截止时间。</w:t>
      </w:r>
    </w:p>
    <w:p>
      <w:pPr>
        <w:tabs>
          <w:tab w:val="left" w:pos="2190"/>
        </w:tabs>
        <w:spacing w:line="420" w:lineRule="exact"/>
        <w:ind w:firstLine="420" w:firstLineChars="200"/>
        <w:rPr>
          <w:rFonts w:ascii="宋体" w:hAnsi="宋体" w:cs="宋体"/>
          <w:b/>
          <w:bCs/>
          <w:color w:val="auto"/>
          <w:szCs w:val="21"/>
          <w:highlight w:val="none"/>
        </w:rPr>
      </w:pPr>
      <w:r>
        <w:rPr>
          <w:rFonts w:hint="eastAsia" w:ascii="宋体" w:hAnsi="宋体" w:cs="宋体"/>
          <w:b/>
          <w:bCs/>
          <w:color w:val="auto"/>
          <w:szCs w:val="21"/>
          <w:highlight w:val="none"/>
        </w:rPr>
        <w:t>12.3供应商获取采购文件后应实时关注相关网站了解澄清、修改等与项目有关的内容，如因供应商未及时登录相关网站了解澄清、修改等与项目有关的内容，从而导致投标无效的，由供应商自行承担责任。</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12.4必要的澄清、修改的内容为采购文件的组成部分。当澄清、修改通知就同一内容的表述不一致时，以最后发出的文件为准。</w:t>
      </w:r>
    </w:p>
    <w:p>
      <w:pPr>
        <w:tabs>
          <w:tab w:val="left" w:pos="219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12.5采购文件的澄清、修改都应该通过采购代理机构以法定形式发布，采购人非通过本机构，不得擅自澄清、修改采购文件。</w:t>
      </w:r>
    </w:p>
    <w:p>
      <w:pPr>
        <w:tabs>
          <w:tab w:val="left" w:pos="2190"/>
        </w:tabs>
        <w:spacing w:line="420" w:lineRule="exact"/>
        <w:ind w:firstLine="435"/>
        <w:jc w:val="center"/>
        <w:rPr>
          <w:rFonts w:ascii="宋体" w:hAnsi="宋体" w:cs="宋体"/>
          <w:b/>
          <w:color w:val="auto"/>
          <w:szCs w:val="21"/>
          <w:highlight w:val="none"/>
        </w:rPr>
      </w:pPr>
      <w:r>
        <w:rPr>
          <w:rFonts w:hint="eastAsia" w:ascii="宋体" w:hAnsi="宋体" w:cs="宋体"/>
          <w:b/>
          <w:color w:val="auto"/>
          <w:szCs w:val="21"/>
          <w:highlight w:val="none"/>
        </w:rPr>
        <w:t>三、投标文件的编制</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13. 投标文件的组成及要求</w:t>
      </w:r>
    </w:p>
    <w:p>
      <w:pPr>
        <w:tabs>
          <w:tab w:val="left" w:pos="2190"/>
        </w:tabs>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13.1</w:t>
      </w:r>
      <w:r>
        <w:rPr>
          <w:rFonts w:hint="eastAsia" w:ascii="宋体" w:hAnsi="宋体" w:cs="宋体"/>
          <w:b/>
          <w:color w:val="auto"/>
          <w:szCs w:val="21"/>
          <w:highlight w:val="none"/>
        </w:rPr>
        <w:t>投标文件的组成【格式见第六章“投标文件格式”】</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13.1.1投标报价表（格式见附件）（必须提供）；</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b/>
          <w:color w:val="auto"/>
          <w:szCs w:val="21"/>
          <w:highlight w:val="none"/>
        </w:rPr>
        <w:t>13.1.2资格性响应证明材料：</w:t>
      </w:r>
    </w:p>
    <w:p>
      <w:pPr>
        <w:numPr>
          <w:ilvl w:val="0"/>
          <w:numId w:val="2"/>
        </w:num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供应商相应的法定代表人、负责人、自然人身份证正反面复印件</w:t>
      </w:r>
      <w:r>
        <w:rPr>
          <w:rFonts w:hint="eastAsia" w:ascii="宋体" w:hAnsi="宋体" w:cs="宋体"/>
          <w:b/>
          <w:bCs/>
          <w:color w:val="auto"/>
          <w:szCs w:val="21"/>
          <w:highlight w:val="none"/>
        </w:rPr>
        <w:t>（必须提供</w:t>
      </w:r>
      <w:r>
        <w:rPr>
          <w:rFonts w:hint="eastAsia" w:ascii="宋体" w:hAnsi="宋体" w:cs="宋体"/>
          <w:color w:val="auto"/>
          <w:szCs w:val="21"/>
          <w:highlight w:val="none"/>
        </w:rPr>
        <w:t>）；</w:t>
      </w:r>
    </w:p>
    <w:p>
      <w:pPr>
        <w:tabs>
          <w:tab w:val="left" w:pos="1305"/>
        </w:tabs>
        <w:spacing w:line="400" w:lineRule="exact"/>
        <w:ind w:firstLine="420" w:firstLineChars="200"/>
        <w:rPr>
          <w:rFonts w:ascii="宋体" w:hAnsi="宋体" w:cs="宋体"/>
          <w:color w:val="auto"/>
          <w:szCs w:val="21"/>
          <w:highlight w:val="none"/>
        </w:rPr>
      </w:pPr>
      <w:r>
        <w:rPr>
          <w:rFonts w:hint="eastAsia" w:ascii="宋体" w:hAnsi="宋体" w:cs="宋体"/>
          <w:bCs/>
          <w:color w:val="auto"/>
          <w:szCs w:val="21"/>
          <w:highlight w:val="none"/>
        </w:rPr>
        <w:t>（2）</w:t>
      </w:r>
      <w:r>
        <w:rPr>
          <w:rFonts w:hint="eastAsia" w:ascii="宋体" w:hAnsi="宋体" w:cs="宋体"/>
          <w:color w:val="auto"/>
          <w:szCs w:val="21"/>
          <w:highlight w:val="none"/>
        </w:rPr>
        <w:t>供应商的授权委托书原件、委托代理人身份证正反面复印件</w:t>
      </w:r>
      <w:r>
        <w:rPr>
          <w:rFonts w:hint="eastAsia" w:ascii="宋体" w:hAnsi="宋体" w:cs="宋体"/>
          <w:b/>
          <w:color w:val="auto"/>
          <w:szCs w:val="21"/>
          <w:highlight w:val="none"/>
        </w:rPr>
        <w:t>（委托代理时必须提供）</w:t>
      </w:r>
      <w:r>
        <w:rPr>
          <w:rFonts w:hint="eastAsia" w:ascii="宋体" w:hAnsi="宋体" w:cs="宋体"/>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color w:val="auto"/>
          <w:szCs w:val="21"/>
          <w:highlight w:val="none"/>
        </w:rPr>
        <w:t>（3）供应商参加政府采购活动前3年内在经营活动中没有重大违法记录和不良记录的书面声明</w:t>
      </w:r>
      <w:r>
        <w:rPr>
          <w:rFonts w:hint="eastAsia" w:ascii="宋体" w:hAnsi="宋体" w:cs="宋体"/>
          <w:b/>
          <w:bCs/>
          <w:color w:val="auto"/>
          <w:szCs w:val="21"/>
          <w:highlight w:val="none"/>
        </w:rPr>
        <w:t>（必须提供）</w:t>
      </w:r>
      <w:r>
        <w:rPr>
          <w:rFonts w:hint="eastAsia" w:ascii="宋体" w:hAnsi="宋体" w:cs="宋体"/>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color w:val="auto"/>
          <w:szCs w:val="21"/>
          <w:highlight w:val="none"/>
        </w:rPr>
        <w:t>（4）供应商的法人或者其他组织营业执照等证明文件复印件</w:t>
      </w:r>
      <w:r>
        <w:rPr>
          <w:rFonts w:hint="eastAsia" w:ascii="宋体" w:hAnsi="宋体" w:cs="宋体"/>
          <w:b/>
          <w:color w:val="auto"/>
          <w:szCs w:val="21"/>
          <w:highlight w:val="none"/>
        </w:rPr>
        <w:t>（必须提供</w:t>
      </w:r>
      <w:r>
        <w:rPr>
          <w:rFonts w:hint="eastAsia" w:ascii="宋体" w:hAnsi="宋体" w:cs="宋体"/>
          <w:b/>
          <w:bCs/>
          <w:color w:val="auto"/>
          <w:kern w:val="0"/>
          <w:szCs w:val="21"/>
          <w:highlight w:val="none"/>
        </w:rPr>
        <w:t>，</w:t>
      </w:r>
      <w:r>
        <w:rPr>
          <w:rFonts w:hint="eastAsia" w:ascii="宋体" w:hAnsi="宋体" w:cs="宋体"/>
          <w:b/>
          <w:color w:val="auto"/>
          <w:szCs w:val="21"/>
          <w:highlight w:val="none"/>
        </w:rPr>
        <w:t>自然人除外）</w:t>
      </w:r>
      <w:r>
        <w:rPr>
          <w:rFonts w:hint="eastAsia" w:ascii="宋体" w:hAnsi="宋体" w:cs="宋体"/>
          <w:color w:val="auto"/>
          <w:szCs w:val="21"/>
          <w:highlight w:val="none"/>
        </w:rPr>
        <w:t>；</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注：①法人包括企业法人、机关法人、事业单位法人和社会团体法人；其他组织主要包括合伙企业、法人分支机构、非企业专业服务机构、个体工商户、农村承包经营户。②如供应商为企业（包括合伙企业、法人分支机构），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（5）供应商认为须提供的其他资格性响应证明材料复印件</w:t>
      </w:r>
      <w:r>
        <w:rPr>
          <w:rFonts w:hint="eastAsia" w:ascii="宋体" w:hAnsi="宋体" w:cs="宋体"/>
          <w:bCs/>
          <w:color w:val="auto"/>
          <w:szCs w:val="21"/>
          <w:highlight w:val="none"/>
        </w:rPr>
        <w:t>（</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r>
        <w:rPr>
          <w:rFonts w:hint="eastAsia" w:ascii="宋体" w:hAnsi="宋体" w:cs="宋体"/>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b/>
          <w:color w:val="auto"/>
          <w:szCs w:val="21"/>
          <w:highlight w:val="none"/>
        </w:rPr>
        <w:t>13.1.3商务、技术性响应及其他证明材料：</w:t>
      </w:r>
    </w:p>
    <w:p>
      <w:pPr>
        <w:numPr>
          <w:ilvl w:val="0"/>
          <w:numId w:val="3"/>
        </w:numPr>
        <w:tabs>
          <w:tab w:val="left" w:pos="1305"/>
        </w:tabs>
        <w:spacing w:line="420" w:lineRule="exact"/>
        <w:ind w:left="420" w:leftChars="200"/>
        <w:rPr>
          <w:rFonts w:ascii="宋体" w:hAnsi="宋体" w:cs="宋体"/>
          <w:bCs/>
          <w:color w:val="auto"/>
          <w:szCs w:val="21"/>
          <w:highlight w:val="none"/>
        </w:rPr>
      </w:pPr>
      <w:r>
        <w:rPr>
          <w:rFonts w:hint="eastAsia" w:ascii="宋体" w:hAnsi="宋体" w:cs="宋体"/>
          <w:color w:val="auto"/>
          <w:szCs w:val="21"/>
          <w:highlight w:val="none"/>
        </w:rPr>
        <w:t>技术规格偏离表</w:t>
      </w:r>
      <w:r>
        <w:rPr>
          <w:rFonts w:hint="eastAsia" w:ascii="宋体" w:hAnsi="宋体" w:cs="宋体"/>
          <w:b/>
          <w:color w:val="auto"/>
          <w:szCs w:val="21"/>
          <w:highlight w:val="none"/>
        </w:rPr>
        <w:t>（必须提供）</w:t>
      </w:r>
      <w:r>
        <w:rPr>
          <w:rFonts w:hint="eastAsia" w:ascii="宋体" w:hAnsi="宋体" w:cs="宋体"/>
          <w:bCs/>
          <w:color w:val="auto"/>
          <w:szCs w:val="21"/>
          <w:highlight w:val="none"/>
        </w:rPr>
        <w:t>；</w:t>
      </w:r>
    </w:p>
    <w:p>
      <w:pPr>
        <w:pStyle w:val="12"/>
        <w:spacing w:line="420" w:lineRule="exact"/>
        <w:ind w:left="420" w:leftChars="200"/>
        <w:rPr>
          <w:rFonts w:hAnsi="宋体" w:cs="宋体"/>
          <w:bCs/>
          <w:color w:val="auto"/>
          <w:szCs w:val="21"/>
          <w:highlight w:val="none"/>
        </w:rPr>
      </w:pPr>
      <w:r>
        <w:rPr>
          <w:rFonts w:hint="eastAsia" w:hAnsi="宋体" w:cs="宋体"/>
          <w:color w:val="auto"/>
          <w:szCs w:val="21"/>
          <w:highlight w:val="none"/>
        </w:rPr>
        <w:t>（2）售后服务方案（</w:t>
      </w:r>
      <w:r>
        <w:rPr>
          <w:rFonts w:hint="default" w:ascii="宋体" w:hAnsi="宋体" w:cs="宋体"/>
          <w:color w:val="auto"/>
          <w:sz w:val="21"/>
          <w:szCs w:val="21"/>
          <w:highlight w:val="none"/>
        </w:rPr>
        <w:t>格式自拟，由供应商根据采购需求和评审办法自行编制</w:t>
      </w:r>
      <w:r>
        <w:rPr>
          <w:rFonts w:hint="eastAsia" w:hAnsi="宋体" w:cs="宋体"/>
          <w:color w:val="auto"/>
          <w:szCs w:val="21"/>
          <w:highlight w:val="none"/>
        </w:rPr>
        <w:t>）</w:t>
      </w:r>
      <w:r>
        <w:rPr>
          <w:rFonts w:hint="eastAsia" w:hAnsi="宋体" w:cs="宋体"/>
          <w:b/>
          <w:color w:val="auto"/>
          <w:szCs w:val="21"/>
          <w:highlight w:val="none"/>
        </w:rPr>
        <w:t>（必须提供）</w:t>
      </w:r>
      <w:r>
        <w:rPr>
          <w:rFonts w:hint="eastAsia" w:hAnsi="宋体" w:cs="宋体"/>
          <w:bCs/>
          <w:color w:val="auto"/>
          <w:szCs w:val="21"/>
          <w:highlight w:val="none"/>
        </w:rPr>
        <w:t>；</w:t>
      </w:r>
    </w:p>
    <w:p>
      <w:pPr>
        <w:snapToGrid w:val="0"/>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（3）</w:t>
      </w:r>
      <w:r>
        <w:rPr>
          <w:rFonts w:hint="eastAsia" w:hAnsi="宋体" w:cs="宋体"/>
          <w:color w:val="auto"/>
          <w:szCs w:val="21"/>
          <w:highlight w:val="none"/>
        </w:rPr>
        <w:t>系统建设和技术</w:t>
      </w:r>
      <w:r>
        <w:rPr>
          <w:rFonts w:hint="eastAsia" w:ascii="宋体" w:hAnsi="宋体" w:cs="宋体"/>
          <w:color w:val="auto"/>
          <w:szCs w:val="21"/>
          <w:highlight w:val="none"/>
        </w:rPr>
        <w:t>方案</w:t>
      </w:r>
      <w:r>
        <w:rPr>
          <w:rFonts w:hint="eastAsia" w:ascii="宋体" w:hAnsi="宋体" w:cs="宋体"/>
          <w:bCs/>
          <w:color w:val="auto"/>
          <w:szCs w:val="21"/>
          <w:highlight w:val="none"/>
        </w:rPr>
        <w:t>（</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p>
    <w:p>
      <w:pPr>
        <w:snapToGrid w:val="0"/>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（4）</w:t>
      </w:r>
      <w:r>
        <w:rPr>
          <w:rFonts w:hint="eastAsia" w:ascii="宋体" w:hAnsi="宋体" w:cs="宋体"/>
          <w:color w:val="auto"/>
          <w:szCs w:val="21"/>
          <w:highlight w:val="none"/>
          <w:lang w:val="en-US" w:eastAsia="zh-CN"/>
        </w:rPr>
        <w:t>组织</w:t>
      </w:r>
      <w:r>
        <w:rPr>
          <w:rFonts w:hint="eastAsia" w:ascii="宋体" w:hAnsi="宋体" w:cs="宋体"/>
          <w:color w:val="auto"/>
          <w:szCs w:val="21"/>
          <w:highlight w:val="none"/>
        </w:rPr>
        <w:t>实施方案</w:t>
      </w:r>
      <w:r>
        <w:rPr>
          <w:rFonts w:hint="eastAsia" w:ascii="宋体" w:hAnsi="宋体" w:cs="宋体"/>
          <w:bCs/>
          <w:color w:val="auto"/>
          <w:szCs w:val="21"/>
          <w:highlight w:val="none"/>
        </w:rPr>
        <w:t>（</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p>
    <w:p>
      <w:pPr>
        <w:snapToGrid w:val="0"/>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（5）“</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”需提供的有效证明文件复印件</w:t>
      </w:r>
      <w:r>
        <w:rPr>
          <w:rFonts w:hint="eastAsia" w:ascii="宋体" w:hAnsi="宋体" w:cs="宋体"/>
          <w:bCs/>
          <w:color w:val="auto"/>
          <w:szCs w:val="21"/>
          <w:highlight w:val="none"/>
        </w:rPr>
        <w:t>（</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r>
        <w:rPr>
          <w:rFonts w:hint="eastAsia" w:ascii="宋体" w:hAnsi="宋体" w:cs="宋体"/>
          <w:b/>
          <w:color w:val="auto"/>
          <w:szCs w:val="21"/>
          <w:highlight w:val="none"/>
        </w:rPr>
        <w:t>；</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（6）项目实施人员一览表</w:t>
      </w:r>
      <w:r>
        <w:rPr>
          <w:rFonts w:hint="eastAsia" w:hAnsi="宋体" w:cs="宋体"/>
          <w:b/>
          <w:color w:val="auto"/>
          <w:szCs w:val="21"/>
          <w:highlight w:val="none"/>
        </w:rPr>
        <w:t>【如有，请提供】</w:t>
      </w:r>
      <w:r>
        <w:rPr>
          <w:rFonts w:hint="eastAsia" w:hAnsi="宋体" w:cs="宋体"/>
          <w:color w:val="auto"/>
          <w:szCs w:val="21"/>
          <w:highlight w:val="none"/>
        </w:rPr>
        <w:t>；</w:t>
      </w:r>
    </w:p>
    <w:p>
      <w:pPr>
        <w:spacing w:line="420" w:lineRule="exact"/>
        <w:ind w:left="420" w:leftChars="200"/>
        <w:outlineLvl w:val="4"/>
        <w:rPr>
          <w:rFonts w:ascii="宋体" w:hAnsi="宋体" w:cs="宋体"/>
          <w:color w:val="auto"/>
          <w:szCs w:val="21"/>
          <w:highlight w:val="none"/>
        </w:rPr>
      </w:pPr>
      <w:r>
        <w:rPr>
          <w:rFonts w:hint="eastAsia" w:ascii="宋体" w:hAnsi="宋体" w:cs="宋体"/>
          <w:color w:val="auto"/>
          <w:szCs w:val="21"/>
          <w:highlight w:val="none"/>
        </w:rPr>
        <w:t>（7）节能方面的资质证书复印件</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p>
    <w:p>
      <w:pPr>
        <w:spacing w:line="420" w:lineRule="exact"/>
        <w:ind w:left="420" w:leftChars="200"/>
        <w:outlineLvl w:val="4"/>
        <w:rPr>
          <w:rFonts w:ascii="宋体" w:hAnsi="宋体" w:cs="宋体"/>
          <w:color w:val="auto"/>
          <w:szCs w:val="21"/>
          <w:highlight w:val="none"/>
        </w:rPr>
      </w:pPr>
      <w:r>
        <w:rPr>
          <w:rFonts w:hint="eastAsia" w:ascii="宋体" w:hAnsi="宋体" w:cs="宋体"/>
          <w:color w:val="auto"/>
          <w:szCs w:val="21"/>
          <w:highlight w:val="none"/>
        </w:rPr>
        <w:t>（8）环保方面的资质证书复印件</w:t>
      </w:r>
      <w:r>
        <w:rPr>
          <w:rFonts w:hint="eastAsia" w:ascii="宋体" w:hAnsi="宋体" w:cs="宋体"/>
          <w:b/>
          <w:color w:val="auto"/>
          <w:szCs w:val="21"/>
          <w:highlight w:val="none"/>
        </w:rPr>
        <w:t>（如有，请提供）</w:t>
      </w:r>
      <w:r>
        <w:rPr>
          <w:rFonts w:hint="eastAsia" w:ascii="宋体" w:hAnsi="宋体" w:cs="宋体"/>
          <w:bCs/>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color w:val="auto"/>
          <w:szCs w:val="21"/>
          <w:highlight w:val="none"/>
        </w:rPr>
        <w:t>（9）供应商</w:t>
      </w:r>
      <w:r>
        <w:rPr>
          <w:rFonts w:hint="eastAsia" w:ascii="宋体" w:hAnsi="宋体" w:cs="宋体"/>
          <w:color w:val="auto"/>
          <w:szCs w:val="21"/>
          <w:highlight w:val="none"/>
          <w:u w:val="single"/>
          <w:lang w:eastAsia="zh-CN"/>
        </w:rPr>
        <w:t>201</w:t>
      </w:r>
      <w:r>
        <w:rPr>
          <w:rFonts w:hint="eastAsia" w:ascii="宋体" w:hAnsi="宋体" w:cs="宋体"/>
          <w:color w:val="auto"/>
          <w:szCs w:val="21"/>
          <w:highlight w:val="none"/>
          <w:u w:val="single"/>
          <w:lang w:val="en-US" w:eastAsia="zh-CN"/>
        </w:rPr>
        <w:t>8</w:t>
      </w:r>
      <w:r>
        <w:rPr>
          <w:rFonts w:hint="eastAsia" w:ascii="宋体" w:hAnsi="宋体" w:cs="宋体"/>
          <w:color w:val="auto"/>
          <w:szCs w:val="21"/>
          <w:highlight w:val="none"/>
          <w:u w:val="none"/>
          <w:lang w:eastAsia="zh-CN"/>
        </w:rPr>
        <w:t>年度通过中介审计的有效财务审计报告复印件</w:t>
      </w:r>
      <w:r>
        <w:rPr>
          <w:rFonts w:hint="eastAsia" w:ascii="宋体" w:hAnsi="宋体" w:cs="宋体"/>
          <w:b/>
          <w:color w:val="auto"/>
          <w:szCs w:val="21"/>
          <w:highlight w:val="none"/>
        </w:rPr>
        <w:t>（如有，请提供）</w:t>
      </w:r>
      <w:r>
        <w:rPr>
          <w:rFonts w:hint="eastAsia" w:ascii="宋体" w:hAnsi="宋体" w:cs="宋体"/>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color w:val="auto"/>
          <w:szCs w:val="21"/>
          <w:highlight w:val="none"/>
        </w:rPr>
        <w:t>（10）供应商</w:t>
      </w:r>
      <w:r>
        <w:rPr>
          <w:rFonts w:hint="eastAsia" w:ascii="宋体" w:hAnsi="宋体" w:cs="宋体"/>
          <w:color w:val="auto"/>
          <w:szCs w:val="21"/>
          <w:highlight w:val="none"/>
          <w:u w:val="single"/>
        </w:rPr>
        <w:t>2017</w:t>
      </w:r>
      <w:r>
        <w:rPr>
          <w:rFonts w:hint="eastAsia" w:ascii="宋体" w:hAnsi="宋体" w:cs="宋体"/>
          <w:color w:val="auto"/>
          <w:szCs w:val="21"/>
          <w:highlight w:val="none"/>
        </w:rPr>
        <w:t>年以来具有同类产品的销售业绩的相关证明材料复印件</w:t>
      </w:r>
      <w:r>
        <w:rPr>
          <w:rFonts w:hint="eastAsia" w:ascii="宋体" w:hAnsi="宋体" w:cs="宋体"/>
          <w:color w:val="auto"/>
          <w:spacing w:val="-12"/>
          <w:szCs w:val="21"/>
          <w:highlight w:val="none"/>
        </w:rPr>
        <w:t>（无不良记录，以中标（成交）通知书或签订的销售合同为准，并能清晰反映所销售的货物名称、种类、金额</w:t>
      </w:r>
      <w:r>
        <w:rPr>
          <w:rFonts w:hint="eastAsia" w:ascii="宋体" w:hAnsi="宋体" w:cs="宋体"/>
          <w:color w:val="auto"/>
          <w:szCs w:val="21"/>
          <w:highlight w:val="none"/>
        </w:rPr>
        <w:t>）</w:t>
      </w:r>
      <w:r>
        <w:rPr>
          <w:rFonts w:hint="eastAsia" w:ascii="宋体" w:hAnsi="宋体" w:cs="宋体"/>
          <w:b/>
          <w:bCs/>
          <w:color w:val="auto"/>
          <w:szCs w:val="21"/>
          <w:highlight w:val="none"/>
        </w:rPr>
        <w:t>（如有，请提供）</w:t>
      </w:r>
      <w:r>
        <w:rPr>
          <w:rFonts w:hint="eastAsia" w:ascii="宋体" w:hAnsi="宋体" w:cs="宋体"/>
          <w:color w:val="auto"/>
          <w:szCs w:val="21"/>
          <w:highlight w:val="none"/>
        </w:rPr>
        <w:t>；</w:t>
      </w:r>
    </w:p>
    <w:p>
      <w:pPr>
        <w:tabs>
          <w:tab w:val="left" w:pos="1305"/>
        </w:tabs>
        <w:spacing w:line="420" w:lineRule="exact"/>
        <w:ind w:left="420" w:leftChars="200"/>
        <w:rPr>
          <w:rFonts w:ascii="宋体" w:hAnsi="宋体" w:cs="宋体"/>
          <w:color w:val="auto"/>
          <w:szCs w:val="21"/>
          <w:highlight w:val="none"/>
        </w:rPr>
      </w:pPr>
      <w:r>
        <w:rPr>
          <w:rFonts w:hint="eastAsia" w:ascii="宋体" w:hAnsi="宋体" w:cs="宋体"/>
          <w:color w:val="auto"/>
          <w:szCs w:val="21"/>
          <w:highlight w:val="none"/>
        </w:rPr>
        <w:t>（11）供应商相关获奖证书、认证证书等复印件</w:t>
      </w:r>
      <w:r>
        <w:rPr>
          <w:rFonts w:hint="eastAsia" w:ascii="宋体" w:hAnsi="宋体" w:cs="宋体"/>
          <w:b/>
          <w:color w:val="auto"/>
          <w:szCs w:val="21"/>
          <w:highlight w:val="none"/>
        </w:rPr>
        <w:t>（如有，请提供）</w:t>
      </w:r>
      <w:r>
        <w:rPr>
          <w:rFonts w:hint="eastAsia" w:ascii="宋体" w:hAnsi="宋体" w:cs="宋体"/>
          <w:color w:val="auto"/>
          <w:szCs w:val="21"/>
          <w:highlight w:val="none"/>
        </w:rPr>
        <w:t>；</w:t>
      </w:r>
    </w:p>
    <w:p>
      <w:pPr>
        <w:pStyle w:val="12"/>
        <w:spacing w:line="420" w:lineRule="exact"/>
        <w:ind w:left="420" w:leftChars="200"/>
        <w:rPr>
          <w:rFonts w:hAnsi="宋体" w:cs="宋体"/>
          <w:color w:val="auto"/>
          <w:szCs w:val="21"/>
          <w:highlight w:val="none"/>
        </w:rPr>
      </w:pPr>
      <w:r>
        <w:rPr>
          <w:rFonts w:hint="eastAsia" w:hAnsi="宋体" w:cs="宋体"/>
          <w:color w:val="auto"/>
          <w:szCs w:val="21"/>
          <w:highlight w:val="none"/>
        </w:rPr>
        <w:t>（12）供应商所投产品为广西工业产品的，如实提供《广西工业产品声明函》</w:t>
      </w:r>
      <w:r>
        <w:rPr>
          <w:rFonts w:hint="eastAsia" w:hAnsi="宋体" w:cs="宋体"/>
          <w:b/>
          <w:color w:val="auto"/>
          <w:szCs w:val="21"/>
          <w:highlight w:val="none"/>
        </w:rPr>
        <w:t>（如有，请提供）</w:t>
      </w:r>
      <w:r>
        <w:rPr>
          <w:rFonts w:hint="eastAsia" w:hAnsi="宋体" w:cs="宋体"/>
          <w:color w:val="auto"/>
          <w:szCs w:val="21"/>
          <w:highlight w:val="none"/>
        </w:rPr>
        <w:t>；</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（13）①</w:t>
      </w:r>
      <w:r>
        <w:rPr>
          <w:rFonts w:hint="eastAsia" w:ascii="宋体" w:hAnsi="宋体" w:cs="宋体"/>
          <w:color w:val="auto"/>
          <w:szCs w:val="21"/>
          <w:highlight w:val="none"/>
          <w:lang w:val="en-US" w:eastAsia="zh-CN"/>
        </w:rPr>
        <w:t>如</w:t>
      </w:r>
      <w:r>
        <w:rPr>
          <w:rFonts w:hint="eastAsia" w:ascii="宋体" w:hAnsi="宋体" w:cs="宋体"/>
          <w:color w:val="auto"/>
          <w:szCs w:val="21"/>
          <w:highlight w:val="none"/>
        </w:rPr>
        <w:t>供应商提供的货物全部由符合政策要求的小型或者微型企业制造，即货物由小型或者微型企业生产且使用该小型或者微型企业商号或者注册商标的</w:t>
      </w:r>
      <w:r>
        <w:rPr>
          <w:rFonts w:hint="eastAsia" w:ascii="宋体" w:hAnsi="宋体" w:cs="宋体"/>
          <w:color w:val="auto"/>
          <w:szCs w:val="21"/>
          <w:highlight w:val="none"/>
          <w:lang w:eastAsia="zh-CN"/>
        </w:rPr>
        <w:t>，</w:t>
      </w:r>
      <w:r>
        <w:rPr>
          <w:rFonts w:hint="eastAsia" w:ascii="宋体" w:hAnsi="宋体" w:cs="宋体"/>
          <w:color w:val="auto"/>
          <w:szCs w:val="21"/>
          <w:highlight w:val="none"/>
        </w:rPr>
        <w:t>以提供小型、微型企业中小企业声明函为准，</w:t>
      </w:r>
      <w:r>
        <w:rPr>
          <w:rFonts w:hint="eastAsia" w:ascii="宋体" w:hAnsi="宋体" w:cs="宋体"/>
          <w:color w:val="auto"/>
          <w:szCs w:val="21"/>
          <w:highlight w:val="none"/>
          <w:lang w:eastAsia="zh-CN"/>
        </w:rPr>
        <w:t>采购人或者其委托的采购代理机构应当随中标结果同时公告企业《中小企业声明函》；</w:t>
      </w:r>
      <w:r>
        <w:rPr>
          <w:rFonts w:hint="eastAsia" w:ascii="宋体" w:hAnsi="宋体" w:cs="宋体"/>
          <w:color w:val="auto"/>
          <w:szCs w:val="21"/>
          <w:highlight w:val="none"/>
        </w:rPr>
        <w:t>接受社会监督。供应商应如实申明，如提供虚假申明应依法承担相应法律责任；②属于监狱企业的，应当提供由省级以上监狱管理局、戒毒管理局（含新疆生产建设兵团）出具的属于监狱企业的证明文件复印件, 否则不予享受优惠政策。）</w:t>
      </w:r>
      <w:r>
        <w:rPr>
          <w:rFonts w:hint="eastAsia" w:ascii="宋体" w:hAnsi="宋体" w:cs="宋体"/>
          <w:b/>
          <w:color w:val="auto"/>
          <w:szCs w:val="21"/>
          <w:highlight w:val="none"/>
        </w:rPr>
        <w:t>（如有，请提供）；</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（14）残疾人福利性单位声明函（如中标供应商为残疾人福利性单位的，采购人或者其委托的采购代理机构应当随中标结果同时公告企业《残疾人福利性单位声明函》，接受社会监督。）</w:t>
      </w:r>
      <w:r>
        <w:rPr>
          <w:rFonts w:hint="eastAsia" w:ascii="宋体" w:hAnsi="宋体" w:cs="宋体"/>
          <w:b/>
          <w:bCs/>
          <w:color w:val="auto"/>
          <w:szCs w:val="21"/>
          <w:highlight w:val="none"/>
        </w:rPr>
        <w:t>（如有，请提供）</w:t>
      </w:r>
      <w:r>
        <w:rPr>
          <w:rFonts w:hint="eastAsia" w:ascii="宋体" w:hAnsi="宋体" w:cs="宋体"/>
          <w:b/>
          <w:color w:val="auto"/>
          <w:szCs w:val="21"/>
          <w:highlight w:val="none"/>
        </w:rPr>
        <w:t>；</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（15）供应商可结合本项目的评标办法视自身情况自行提交相关证明材料。</w:t>
      </w:r>
    </w:p>
    <w:p>
      <w:pPr>
        <w:pStyle w:val="12"/>
        <w:spacing w:line="420" w:lineRule="exact"/>
        <w:ind w:firstLine="420" w:firstLineChars="200"/>
        <w:rPr>
          <w:rFonts w:hAnsi="宋体" w:cs="宋体"/>
          <w:b/>
          <w:color w:val="auto"/>
          <w:szCs w:val="21"/>
          <w:highlight w:val="none"/>
        </w:rPr>
      </w:pPr>
      <w:r>
        <w:rPr>
          <w:rFonts w:hint="eastAsia" w:hAnsi="宋体" w:cs="宋体"/>
          <w:b/>
          <w:color w:val="auto"/>
          <w:szCs w:val="21"/>
          <w:highlight w:val="none"/>
        </w:rPr>
        <w:t>供应商提供的以上相关证明材料应真实有效</w:t>
      </w:r>
      <w:r>
        <w:rPr>
          <w:rFonts w:hint="eastAsia" w:hAnsi="宋体" w:cs="宋体"/>
          <w:b/>
          <w:color w:val="auto"/>
          <w:szCs w:val="21"/>
          <w:highlight w:val="none"/>
          <w:lang w:val="en-US" w:eastAsia="zh-CN"/>
        </w:rPr>
        <w:t>并</w:t>
      </w:r>
      <w:r>
        <w:rPr>
          <w:rFonts w:hint="eastAsia" w:hAnsi="宋体" w:cs="宋体"/>
          <w:b/>
          <w:color w:val="auto"/>
          <w:szCs w:val="21"/>
          <w:highlight w:val="none"/>
        </w:rPr>
        <w:t>加盖供应商公章（扫描公章无效，自然人除外）。</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13.2供应商应按采购文件第六章“投标文件格式”编制投标文件。</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14. 投标文件的语言及计量</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14.1投标文件以及供应商与招标采购单位就有关投标事宜的所有来往函电，均应以中文汉语书写。供应商提交的支持文件和印刷的文献可以使用别的语言，但其相应内容必须附有中文翻译文本，在解释投标文件时以中文翻译文本为主。</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14.2投标计量单位，采购文件已有明确规定的，使用采购文件规定的计量单位；采购文件没有规定的，应采用中华人民共和国法定计量单位（货币单位：人民币元），否则视同未响应。</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15. 采购预算金额及投标报价</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15.1本项目采购预算金额</w:t>
      </w:r>
      <w:r>
        <w:rPr>
          <w:rFonts w:hint="eastAsia" w:ascii="宋体" w:hAnsi="宋体" w:cs="宋体"/>
          <w:color w:val="auto"/>
          <w:position w:val="-2"/>
          <w:szCs w:val="21"/>
          <w:highlight w:val="none"/>
        </w:rPr>
        <w:t>（人民币）</w:t>
      </w:r>
      <w:r>
        <w:rPr>
          <w:rFonts w:hint="eastAsia" w:ascii="宋体" w:hAnsi="宋体" w:cs="宋体"/>
          <w:color w:val="auto"/>
          <w:szCs w:val="21"/>
          <w:highlight w:val="none"/>
        </w:rPr>
        <w:t>：</w:t>
      </w:r>
      <w:r>
        <w:rPr>
          <w:rFonts w:hint="eastAsia" w:ascii="宋体" w:hAnsi="宋体" w:cs="宋体"/>
          <w:color w:val="auto"/>
          <w:szCs w:val="21"/>
          <w:highlight w:val="none"/>
          <w:lang w:eastAsia="zh-CN"/>
        </w:rPr>
        <w:t>2500000元</w:t>
      </w:r>
      <w:r>
        <w:rPr>
          <w:rFonts w:hint="eastAsia" w:ascii="宋体" w:hAnsi="宋体" w:cs="宋体"/>
          <w:color w:val="auto"/>
          <w:szCs w:val="21"/>
          <w:highlight w:val="none"/>
        </w:rPr>
        <w:t>，投标报价超过采购预算金额的，投标文件按无效处理。</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15.2供应商必须就“</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”中的所有内容作完整唯一报价，否则，其投标将被拒绝。投标文件只允许有一个报价，有选择的或有条件的报价将不予接受。</w:t>
      </w:r>
    </w:p>
    <w:p>
      <w:pPr>
        <w:tabs>
          <w:tab w:val="left" w:pos="1305"/>
        </w:tabs>
        <w:spacing w:line="420" w:lineRule="exact"/>
        <w:ind w:firstLine="420"/>
        <w:rPr>
          <w:rFonts w:hint="eastAsia" w:ascii="宋体" w:hAnsi="宋体" w:cs="宋体"/>
          <w:color w:val="auto"/>
          <w:szCs w:val="21"/>
          <w:highlight w:val="none"/>
        </w:rPr>
      </w:pPr>
      <w:r>
        <w:rPr>
          <w:rFonts w:hint="eastAsia" w:ascii="宋体" w:hAnsi="宋体" w:cs="宋体"/>
          <w:color w:val="auto"/>
          <w:szCs w:val="21"/>
          <w:highlight w:val="none"/>
        </w:rPr>
        <w:t>15.3</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2"/>
          <w:highlight w:val="none"/>
        </w:rPr>
        <w:t>投标报价应包括本次招标采购范围内</w:t>
      </w:r>
      <w:r>
        <w:rPr>
          <w:rFonts w:hint="eastAsia" w:ascii="宋体" w:hAnsi="宋体" w:eastAsia="宋体" w:cs="宋体"/>
          <w:color w:val="auto"/>
          <w:szCs w:val="22"/>
          <w:highlight w:val="none"/>
          <w:lang w:val="en-US" w:eastAsia="zh-CN"/>
        </w:rPr>
        <w:t>货物</w:t>
      </w:r>
      <w:r>
        <w:rPr>
          <w:rFonts w:hint="eastAsia" w:ascii="宋体" w:hAnsi="宋体" w:eastAsia="宋体" w:cs="宋体"/>
          <w:color w:val="auto"/>
          <w:szCs w:val="22"/>
          <w:highlight w:val="none"/>
        </w:rPr>
        <w:t>价款、检验、售后服务、培训、保修和完成本次服务所需的运行支撑环境的软硬件设备费用及其他所有成本费用的总和；供应商综合考虑在报价中，采购人不再另行支付投标报价之外的任何费用</w:t>
      </w:r>
      <w:r>
        <w:rPr>
          <w:rFonts w:hint="eastAsia" w:ascii="宋体" w:hAnsi="宋体" w:cs="宋体"/>
          <w:color w:val="auto"/>
          <w:szCs w:val="21"/>
          <w:highlight w:val="none"/>
        </w:rPr>
        <w:t>。</w:t>
      </w:r>
    </w:p>
    <w:p>
      <w:pPr>
        <w:pStyle w:val="15"/>
        <w:spacing w:line="420" w:lineRule="exact"/>
        <w:rPr>
          <w:rFonts w:ascii="宋体" w:hAnsi="宋体" w:cs="宋体"/>
          <w:color w:val="auto"/>
          <w:sz w:val="21"/>
          <w:szCs w:val="21"/>
          <w:highlight w:val="none"/>
        </w:rPr>
      </w:pPr>
      <w:r>
        <w:rPr>
          <w:rFonts w:hint="eastAsia" w:ascii="宋体" w:hAnsi="宋体" w:cs="宋体"/>
          <w:color w:val="auto"/>
          <w:sz w:val="21"/>
          <w:szCs w:val="21"/>
          <w:highlight w:val="none"/>
        </w:rPr>
        <w:t xml:space="preserve">    15.4报价时应综合考虑日后属政策性调整、各种原材料及燃料动力市场价格的浮动等因素造成的货物价格变动，上述原因造成货物价格变动不予调整。</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16. 投标有效期</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16.1投标有效期：投标截止时间之日起90天。</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16.2出现特殊情况，需要延长投标有效期的，采购代理机构以书面形式通知供应商延长投标有效期。供应商同意延长的，应相应延长，但不能修改投标文件。供应商拒绝延长的，其投标无效。</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17. 投标文件的份数、装订、签署和包装、密封</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17.1</w:t>
      </w:r>
      <w:r>
        <w:rPr>
          <w:rFonts w:hint="eastAsia" w:ascii="宋体" w:hAnsi="宋体" w:cs="宋体"/>
          <w:b/>
          <w:color w:val="auto"/>
          <w:szCs w:val="21"/>
          <w:highlight w:val="none"/>
        </w:rPr>
        <w:t>投标文件份数：</w:t>
      </w:r>
      <w:r>
        <w:rPr>
          <w:rFonts w:hint="eastAsia" w:ascii="宋体" w:hAnsi="宋体" w:cs="宋体"/>
          <w:color w:val="auto"/>
          <w:szCs w:val="21"/>
          <w:highlight w:val="none"/>
        </w:rPr>
        <w:t>正本壹册，副本肆册，须完整提交。</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17.2</w:t>
      </w:r>
      <w:r>
        <w:rPr>
          <w:rFonts w:hint="eastAsia" w:ascii="宋体" w:hAnsi="宋体" w:cs="宋体"/>
          <w:b/>
          <w:color w:val="auto"/>
          <w:szCs w:val="21"/>
          <w:highlight w:val="none"/>
        </w:rPr>
        <w:t>投标文件装订：</w:t>
      </w:r>
      <w:r>
        <w:rPr>
          <w:rFonts w:hint="eastAsia" w:ascii="宋体" w:hAnsi="宋体" w:cs="宋体"/>
          <w:color w:val="auto"/>
          <w:szCs w:val="21"/>
          <w:highlight w:val="none"/>
        </w:rPr>
        <w:t>供应商应按供应商须知第13.1条“投标文件的组成”规定的顺序自编目录及页码。投标文件的“正本”、“副本”应当单独装订成册并标注页码，装订应牢固，不易拆散和换页（A4标准纸装订）。封面应注明“正本”、“副本”字样，封面上写明项目名称、项目编号、采购代理机构、供应商名称。</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17.3投标文件的正本需打印或用不褪色的墨水填写，投标文件正本除本采购文件中规定的可提供复印件外均须提供原件。</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17.4投标文件须由供应商在规定位置盖供应商公章</w:t>
      </w:r>
      <w:r>
        <w:rPr>
          <w:rFonts w:hint="eastAsia" w:ascii="宋体" w:hAnsi="宋体" w:cs="宋体"/>
          <w:bCs/>
          <w:color w:val="auto"/>
          <w:szCs w:val="21"/>
          <w:highlight w:val="none"/>
        </w:rPr>
        <w:t>（扫描公章无效，自然人除外）</w:t>
      </w:r>
      <w:r>
        <w:rPr>
          <w:rFonts w:hint="eastAsia" w:ascii="宋体" w:hAnsi="宋体" w:cs="宋体"/>
          <w:color w:val="auto"/>
          <w:szCs w:val="21"/>
          <w:highlight w:val="none"/>
        </w:rPr>
        <w:t>并由法定代表人、负责人、自然人或相应的授权委托代理人签字，供应商应写全称</w:t>
      </w:r>
      <w:r>
        <w:rPr>
          <w:rFonts w:hint="eastAsia" w:ascii="宋体" w:hAnsi="宋体" w:cs="宋体"/>
          <w:b/>
          <w:bCs/>
          <w:color w:val="auto"/>
          <w:szCs w:val="21"/>
          <w:highlight w:val="none"/>
        </w:rPr>
        <w:t>。</w:t>
      </w:r>
      <w:r>
        <w:rPr>
          <w:rFonts w:hint="eastAsia" w:ascii="宋体" w:hAnsi="宋体" w:cs="宋体"/>
          <w:color w:val="auto"/>
          <w:szCs w:val="21"/>
          <w:highlight w:val="none"/>
        </w:rPr>
        <w:t>投标文件副本可以是加盖公章的正本的复印件，当正本与副本不一致时，以正本为准。</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17.5投标文件不得涂改，若有修改，须在修改处加盖供应商公章（自然人除外）及法定代表人、负责人、自然人或相应的授权委托代理人签字。投标文件因字迹潦草或表达不清所引起的后果由供应商负责。</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17.6</w:t>
      </w:r>
      <w:r>
        <w:rPr>
          <w:rFonts w:hint="eastAsia" w:ascii="宋体" w:hAnsi="宋体" w:cs="宋体"/>
          <w:b/>
          <w:color w:val="auto"/>
          <w:szCs w:val="21"/>
          <w:highlight w:val="none"/>
        </w:rPr>
        <w:t>供应商公章：</w:t>
      </w:r>
      <w:r>
        <w:rPr>
          <w:rFonts w:hint="eastAsia" w:ascii="宋体" w:hAnsi="宋体" w:cs="宋体"/>
          <w:color w:val="auto"/>
          <w:szCs w:val="21"/>
          <w:highlight w:val="none"/>
        </w:rPr>
        <w:t>本采购文件中描述供应商的“公章”是指根据我国对公章的管理规定，用供应商法定主体行为名称制作的印章，除本采购文件有特殊规定外，供应商的财务章、部门章、分公司章、工会章、合同章、投标专用章、业务专用章等其它形式印章均不能代替公章。</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17.7</w:t>
      </w:r>
      <w:r>
        <w:rPr>
          <w:rFonts w:hint="eastAsia" w:ascii="宋体" w:hAnsi="宋体" w:cs="宋体"/>
          <w:b/>
          <w:color w:val="auto"/>
          <w:szCs w:val="21"/>
          <w:highlight w:val="none"/>
        </w:rPr>
        <w:t>投标文件包装、密封：</w:t>
      </w:r>
      <w:r>
        <w:rPr>
          <w:rFonts w:hint="eastAsia" w:ascii="宋体" w:hAnsi="宋体" w:cs="宋体"/>
          <w:color w:val="auto"/>
          <w:szCs w:val="21"/>
          <w:highlight w:val="none"/>
        </w:rPr>
        <w:t>将投标文件“正本”、“副本”一并装入并密封在一个投标文件袋（盒、箱）中，并在密封处密封签章【公章、密封章、法定代表人、负责人、自然人或相应的授权委托代理人签字均可】。</w:t>
      </w:r>
    </w:p>
    <w:p>
      <w:pPr>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17.8</w:t>
      </w:r>
      <w:r>
        <w:rPr>
          <w:rFonts w:hint="eastAsia" w:ascii="宋体" w:hAnsi="宋体" w:cs="宋体"/>
          <w:b/>
          <w:color w:val="auto"/>
          <w:szCs w:val="21"/>
          <w:highlight w:val="none"/>
        </w:rPr>
        <w:t>投标文件袋标记：</w:t>
      </w:r>
    </w:p>
    <w:p>
      <w:pPr>
        <w:spacing w:line="420" w:lineRule="exact"/>
        <w:ind w:firstLine="420" w:firstLineChars="200"/>
        <w:rPr>
          <w:rFonts w:ascii="宋体" w:hAnsi="宋体" w:cs="宋体"/>
          <w:color w:val="auto"/>
          <w:szCs w:val="21"/>
          <w:highlight w:val="none"/>
        </w:rPr>
      </w:pPr>
      <w:r>
        <w:rPr>
          <w:rFonts w:hint="eastAsia" w:ascii="宋体" w:hAnsi="宋体" w:cs="宋体"/>
          <w:color w:val="auto"/>
          <w:kern w:val="21"/>
          <w:szCs w:val="21"/>
          <w:highlight w:val="none"/>
        </w:rPr>
        <w:t>见供应商须知前附表。</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18. 投标文件的修改和撤回</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供应商在投标截止时间之前，可以对已递交的投标文件进行修改或撤回，并书面通知采购代理机构。</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19. 投标文件的递交</w:t>
      </w:r>
    </w:p>
    <w:p>
      <w:pPr>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19.1</w:t>
      </w:r>
      <w:r>
        <w:rPr>
          <w:rFonts w:hint="eastAsia" w:ascii="宋体" w:hAnsi="宋体" w:cs="宋体"/>
          <w:b/>
          <w:color w:val="auto"/>
          <w:szCs w:val="21"/>
          <w:highlight w:val="none"/>
        </w:rPr>
        <w:t>投标文件递交起止时间及投标截止时间</w:t>
      </w:r>
    </w:p>
    <w:p>
      <w:pPr>
        <w:spacing w:line="420" w:lineRule="exact"/>
        <w:ind w:firstLine="420" w:firstLineChars="200"/>
        <w:rPr>
          <w:rFonts w:ascii="宋体" w:hAnsi="宋体" w:cs="宋体"/>
          <w:color w:val="auto"/>
          <w:szCs w:val="21"/>
          <w:highlight w:val="none"/>
        </w:rPr>
      </w:pPr>
      <w:r>
        <w:rPr>
          <w:rFonts w:hint="eastAsia" w:ascii="宋体" w:hAnsi="宋体" w:cs="宋体"/>
          <w:b/>
          <w:color w:val="auto"/>
          <w:szCs w:val="21"/>
          <w:highlight w:val="none"/>
        </w:rPr>
        <w:t>投标文件递交起止时间：</w:t>
      </w:r>
      <w:r>
        <w:rPr>
          <w:rFonts w:hint="eastAsia" w:ascii="宋体" w:hAnsi="宋体" w:cs="宋体"/>
          <w:color w:val="auto"/>
          <w:kern w:val="21"/>
          <w:szCs w:val="21"/>
          <w:highlight w:val="none"/>
        </w:rPr>
        <w:t>见供应商须知前附表</w:t>
      </w:r>
      <w:r>
        <w:rPr>
          <w:rFonts w:hint="eastAsia" w:ascii="宋体" w:hAnsi="宋体" w:cs="宋体"/>
          <w:color w:val="auto"/>
          <w:szCs w:val="21"/>
          <w:highlight w:val="none"/>
        </w:rPr>
        <w:t>；</w:t>
      </w:r>
      <w:r>
        <w:rPr>
          <w:rFonts w:hint="eastAsia" w:ascii="宋体" w:hAnsi="宋体" w:cs="宋体"/>
          <w:b/>
          <w:color w:val="auto"/>
          <w:szCs w:val="21"/>
          <w:highlight w:val="none"/>
        </w:rPr>
        <w:t>投标截止时间：</w:t>
      </w:r>
      <w:r>
        <w:rPr>
          <w:rFonts w:hint="eastAsia" w:ascii="宋体" w:hAnsi="宋体" w:cs="宋体"/>
          <w:color w:val="auto"/>
          <w:kern w:val="21"/>
          <w:szCs w:val="21"/>
          <w:highlight w:val="none"/>
        </w:rPr>
        <w:t>见供应商须知前附表</w:t>
      </w:r>
      <w:r>
        <w:rPr>
          <w:rFonts w:hint="eastAsia" w:ascii="宋体" w:hAnsi="宋体" w:cs="宋体"/>
          <w:color w:val="auto"/>
          <w:szCs w:val="21"/>
          <w:highlight w:val="none"/>
        </w:rPr>
        <w:t>。供应商应在投标截止时间前递交投标文件。</w:t>
      </w:r>
    </w:p>
    <w:p>
      <w:pPr>
        <w:spacing w:line="42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19.2投标文件递交地点：</w:t>
      </w:r>
      <w:r>
        <w:rPr>
          <w:rFonts w:hint="eastAsia" w:ascii="宋体" w:hAnsi="宋体" w:cs="宋体"/>
          <w:color w:val="auto"/>
          <w:kern w:val="21"/>
          <w:szCs w:val="21"/>
          <w:highlight w:val="none"/>
        </w:rPr>
        <w:t>见供应商须知前附表。</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19.3除采购文件另有规定外，供应商所递交的投标文件不予退还。</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19.4逾期送达的或者未送达指定地点的投标文件，采购代理机构将予以拒收。</w:t>
      </w:r>
    </w:p>
    <w:p>
      <w:pPr>
        <w:tabs>
          <w:tab w:val="left" w:pos="1305"/>
        </w:tabs>
        <w:spacing w:line="420" w:lineRule="exact"/>
        <w:ind w:firstLine="420" w:firstLineChars="200"/>
        <w:jc w:val="center"/>
        <w:rPr>
          <w:rFonts w:ascii="宋体" w:hAnsi="宋体" w:cs="宋体"/>
          <w:b/>
          <w:color w:val="auto"/>
          <w:szCs w:val="21"/>
          <w:highlight w:val="none"/>
        </w:rPr>
      </w:pPr>
      <w:r>
        <w:rPr>
          <w:rFonts w:hint="eastAsia" w:ascii="宋体" w:hAnsi="宋体" w:cs="宋体"/>
          <w:b/>
          <w:color w:val="auto"/>
          <w:szCs w:val="21"/>
          <w:highlight w:val="none"/>
        </w:rPr>
        <w:t>四、开标</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20. 开标时间及地点</w:t>
      </w:r>
    </w:p>
    <w:p>
      <w:pPr>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20.1开标时间及地点：开标时间：</w:t>
      </w:r>
      <w:r>
        <w:rPr>
          <w:rFonts w:hint="eastAsia" w:ascii="宋体" w:hAnsi="宋体" w:cs="宋体"/>
          <w:color w:val="auto"/>
          <w:kern w:val="21"/>
          <w:szCs w:val="21"/>
          <w:highlight w:val="none"/>
        </w:rPr>
        <w:t>见供应商须知前附表；</w:t>
      </w:r>
      <w:r>
        <w:rPr>
          <w:rFonts w:hint="eastAsia" w:ascii="宋体" w:hAnsi="宋体" w:cs="宋体"/>
          <w:color w:val="auto"/>
          <w:szCs w:val="21"/>
          <w:highlight w:val="none"/>
        </w:rPr>
        <w:t>开标地点：</w:t>
      </w:r>
      <w:r>
        <w:rPr>
          <w:rFonts w:hint="eastAsia" w:ascii="宋体" w:hAnsi="宋体" w:cs="宋体"/>
          <w:color w:val="auto"/>
          <w:kern w:val="21"/>
          <w:szCs w:val="21"/>
          <w:highlight w:val="none"/>
        </w:rPr>
        <w:t>见供应商须知前附表</w:t>
      </w:r>
      <w:r>
        <w:rPr>
          <w:rFonts w:hint="eastAsia" w:ascii="宋体" w:hAnsi="宋体" w:cs="宋体"/>
          <w:color w:val="auto"/>
          <w:szCs w:val="21"/>
          <w:highlight w:val="none"/>
        </w:rPr>
        <w:t>；采购代理机构按以上规定的开标时间和地点进行公开开标，供应商准时参加开标会并签字，未按时参加开标会或未按时签字的，视同认可开标结果。</w:t>
      </w:r>
      <w:r>
        <w:rPr>
          <w:rFonts w:hint="eastAsia" w:ascii="宋体" w:hAnsi="宋体" w:cs="宋体"/>
          <w:b/>
          <w:color w:val="auto"/>
          <w:szCs w:val="21"/>
          <w:highlight w:val="none"/>
        </w:rPr>
        <w:t xml:space="preserve"> </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20.2供应商少于3家的，不得开标，招标采购单位应当重新组织采购。</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21. 开标程序</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（1）采购代理机构组织投标供应商签到，接收投标文件；</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（2）在投标文件递交截止时间由主持人宣布开标会正式开始，介绍项目情况和到会人员，宣布开标纪律；</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（3）供应商代表共同检查投标文件的密封情况并签字确认；</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（4）按各供应商提交投标文件时间的先后顺序打开投标文件外包装；</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（5）唱标；宣读投标截止时间前接收的所有投标文件的供应商名称，投标函的投标报价，只有在开标时唱出的报价等实质性内容，评标时才予以采纳；</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（6）采购代理机构做开标记录，供应商代表对开标记录进行当场校核及勘误并签字确认；同时由记录人、监督人（如有）当场签字确认；</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（7）供应商对开标有异议的，应当在开标现场提出，采购人应当场作出答复，并制作记录。</w:t>
      </w:r>
    </w:p>
    <w:p>
      <w:pPr>
        <w:tabs>
          <w:tab w:val="left" w:pos="1305"/>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（8）宣布开标结束，采购人、投标供应商和有关方面代表退场，由工作人员将投标文件等材料移交评标室。</w:t>
      </w:r>
    </w:p>
    <w:p>
      <w:pPr>
        <w:tabs>
          <w:tab w:val="left" w:pos="1305"/>
        </w:tabs>
        <w:spacing w:line="420" w:lineRule="exact"/>
        <w:ind w:firstLine="420" w:firstLineChars="200"/>
        <w:jc w:val="center"/>
        <w:rPr>
          <w:rFonts w:ascii="宋体" w:hAnsi="宋体" w:cs="宋体"/>
          <w:b/>
          <w:color w:val="auto"/>
          <w:szCs w:val="21"/>
          <w:highlight w:val="none"/>
        </w:rPr>
      </w:pPr>
      <w:r>
        <w:rPr>
          <w:rFonts w:hint="eastAsia" w:ascii="宋体" w:hAnsi="宋体" w:cs="宋体"/>
          <w:b/>
          <w:color w:val="auto"/>
          <w:szCs w:val="21"/>
          <w:highlight w:val="none"/>
        </w:rPr>
        <w:tab/>
      </w:r>
      <w:r>
        <w:rPr>
          <w:rFonts w:hint="eastAsia" w:ascii="宋体" w:hAnsi="宋体" w:cs="宋体"/>
          <w:b/>
          <w:color w:val="auto"/>
          <w:szCs w:val="21"/>
          <w:highlight w:val="none"/>
        </w:rPr>
        <w:t>五、资格性审查</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22. 资格性审查</w:t>
      </w:r>
    </w:p>
    <w:p>
      <w:pPr>
        <w:tabs>
          <w:tab w:val="left" w:pos="1305"/>
        </w:tabs>
        <w:spacing w:line="42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22.1</w:t>
      </w:r>
      <w:r>
        <w:rPr>
          <w:rFonts w:hint="eastAsia" w:ascii="宋体" w:hAnsi="宋体" w:cs="宋体"/>
          <w:b/>
          <w:color w:val="auto"/>
          <w:szCs w:val="21"/>
          <w:highlight w:val="none"/>
        </w:rPr>
        <w:t>公开招标采购项目开标结束后，采购人或采购代理机构应当依法对供应商的资格进行审查。合格供应商不足3家的，不得评标。</w:t>
      </w:r>
    </w:p>
    <w:p>
      <w:pPr>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22.2采购人或者采购代理机构在对供应商进行资格性审查时，将对供应商企业股东及出资等信息进行查询。根据《中华人民共和国政府采购法实施条例》第十八条第一款规定，审查中如发现供应商存在单位负责人为同一人或者存在直接控股、管理关系的不同供应商参加同一合同项下的政府采购活动的，按投标无效处理。</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查询渠道：《国家企业信用信息公示系统》（网址：</w:t>
      </w:r>
      <w:r>
        <w:rPr>
          <w:color w:val="auto"/>
          <w:highlight w:val="none"/>
        </w:rPr>
        <w:fldChar w:fldCharType="begin"/>
      </w:r>
      <w:r>
        <w:rPr>
          <w:color w:val="auto"/>
          <w:highlight w:val="none"/>
        </w:rPr>
        <w:instrText xml:space="preserve"> HYPERLINK "http://www.gsxt.gov.cn/index.html" </w:instrText>
      </w:r>
      <w:r>
        <w:rPr>
          <w:color w:val="auto"/>
          <w:highlight w:val="none"/>
        </w:rPr>
        <w:fldChar w:fldCharType="separate"/>
      </w:r>
      <w:r>
        <w:rPr>
          <w:rFonts w:hint="eastAsia" w:ascii="宋体" w:hAnsi="宋体" w:cs="宋体"/>
          <w:color w:val="auto"/>
          <w:szCs w:val="21"/>
          <w:highlight w:val="none"/>
        </w:rPr>
        <w:t>http://www.gsxt.gov.cn/index.html</w:t>
      </w:r>
      <w:r>
        <w:rPr>
          <w:rFonts w:hint="eastAsia" w:ascii="宋体" w:hAnsi="宋体" w:cs="宋体"/>
          <w:color w:val="auto"/>
          <w:szCs w:val="21"/>
          <w:highlight w:val="none"/>
        </w:rPr>
        <w:fldChar w:fldCharType="end"/>
      </w:r>
      <w:r>
        <w:rPr>
          <w:rFonts w:hint="eastAsia" w:ascii="宋体" w:hAnsi="宋体" w:cs="宋体"/>
          <w:color w:val="auto"/>
          <w:szCs w:val="21"/>
          <w:highlight w:val="none"/>
        </w:rPr>
        <w:t>）</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审查流程：</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（1）进入《国家企业信用信息公示系统》（网址：http://www.gsxt.gov.cn/index.html），输入企业名称，进入企业信息主页面；</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（2）查看主页“股东及出资信息”栏，或年报中的“股东及出资信息”栏信息；</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（3）将各供应商的股东及出资信息进行比对，得出审查结论；</w:t>
      </w:r>
    </w:p>
    <w:p>
      <w:pPr>
        <w:snapToGrid w:val="0"/>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（4）将相关资料作为评审资料打印存档。</w:t>
      </w:r>
    </w:p>
    <w:p>
      <w:pPr>
        <w:tabs>
          <w:tab w:val="center" w:pos="4411"/>
          <w:tab w:val="left" w:pos="5475"/>
        </w:tabs>
        <w:spacing w:line="420" w:lineRule="exact"/>
        <w:jc w:val="center"/>
        <w:rPr>
          <w:rFonts w:ascii="宋体" w:hAnsi="宋体" w:cs="宋体"/>
          <w:b/>
          <w:color w:val="auto"/>
          <w:szCs w:val="21"/>
          <w:highlight w:val="none"/>
        </w:rPr>
      </w:pPr>
    </w:p>
    <w:p>
      <w:pPr>
        <w:tabs>
          <w:tab w:val="center" w:pos="4411"/>
          <w:tab w:val="left" w:pos="5475"/>
        </w:tabs>
        <w:spacing w:line="420" w:lineRule="exact"/>
        <w:jc w:val="center"/>
        <w:rPr>
          <w:rFonts w:ascii="宋体" w:hAnsi="宋体" w:cs="宋体"/>
          <w:b/>
          <w:color w:val="auto"/>
          <w:szCs w:val="21"/>
          <w:highlight w:val="none"/>
        </w:rPr>
      </w:pPr>
      <w:r>
        <w:rPr>
          <w:rFonts w:hint="eastAsia" w:ascii="宋体" w:hAnsi="宋体" w:cs="宋体"/>
          <w:b/>
          <w:color w:val="auto"/>
          <w:szCs w:val="21"/>
          <w:highlight w:val="none"/>
        </w:rPr>
        <w:t>六、评标</w:t>
      </w:r>
    </w:p>
    <w:p>
      <w:pPr>
        <w:tabs>
          <w:tab w:val="center" w:pos="4411"/>
          <w:tab w:val="left" w:pos="5475"/>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23. 评标委员会组成</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评标工作由采购代理机构负责组织，具体评标工作由依法组建的评标委员会负责，评标委员会由采购人代表和有关技术、经济等方面的专家组成，其中采购人代表</w:t>
      </w:r>
      <w:r>
        <w:rPr>
          <w:rFonts w:hint="eastAsia" w:ascii="宋体" w:hAnsi="宋体" w:cs="宋体"/>
          <w:color w:val="auto"/>
          <w:szCs w:val="21"/>
          <w:highlight w:val="none"/>
          <w:u w:val="single"/>
        </w:rPr>
        <w:t>1</w:t>
      </w:r>
      <w:r>
        <w:rPr>
          <w:rFonts w:hint="eastAsia" w:ascii="宋体" w:hAnsi="宋体" w:cs="宋体"/>
          <w:color w:val="auto"/>
          <w:szCs w:val="21"/>
          <w:highlight w:val="none"/>
        </w:rPr>
        <w:t>人，技术、经济等专家</w:t>
      </w:r>
      <w:r>
        <w:rPr>
          <w:rFonts w:hint="eastAsia" w:ascii="宋体" w:hAnsi="宋体" w:cs="宋体"/>
          <w:color w:val="auto"/>
          <w:szCs w:val="21"/>
          <w:highlight w:val="none"/>
          <w:u w:val="single"/>
        </w:rPr>
        <w:t>4</w:t>
      </w:r>
      <w:r>
        <w:rPr>
          <w:rFonts w:hint="eastAsia" w:ascii="宋体" w:hAnsi="宋体" w:cs="宋体"/>
          <w:color w:val="auto"/>
          <w:szCs w:val="21"/>
          <w:highlight w:val="none"/>
        </w:rPr>
        <w:t xml:space="preserve">人。 </w:t>
      </w:r>
    </w:p>
    <w:p>
      <w:pPr>
        <w:tabs>
          <w:tab w:val="left" w:pos="114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24. 评标原则和评标办法</w:t>
      </w:r>
    </w:p>
    <w:p>
      <w:pPr>
        <w:tabs>
          <w:tab w:val="left" w:pos="114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24.1评标委员会必须坚持公平、公正、科学和择优的原则。</w:t>
      </w:r>
    </w:p>
    <w:p>
      <w:pPr>
        <w:tabs>
          <w:tab w:val="left" w:pos="114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24.2评标办法：综合评分法，具体评标内容及标准详见第四章：评标办法。</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24.3评标委员会应按采购文件进行评标，不得擅自更改评标办法。</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24.4在评标过程中，评标委员会任何人不得对某个供应商发表任何倾向性意见，不得向其他专家评委明示或者暗示自己的评审意见。</w:t>
      </w:r>
    </w:p>
    <w:p>
      <w:pPr>
        <w:tabs>
          <w:tab w:val="left" w:pos="114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24.5 评标委员会成员对需要共同认定的事项存在争议的，按照少数服从多数的原则作出结论。持不同意见的评标委员会成员应当在评标报告上签署不同意见并说明理由，否则视为同意。　　　　　　　　　　　　　　　　　　　　　　　　　　　　　　　　　　　　　　　　　　　　　　　　　　　　　　　　　　　　　　　　</w:t>
      </w:r>
    </w:p>
    <w:p>
      <w:pPr>
        <w:tabs>
          <w:tab w:val="left" w:pos="114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25. 评标程序及要求</w:t>
      </w:r>
    </w:p>
    <w:p>
      <w:pPr>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25.1采购人或采购代理机构负责评标组织工作；宣布评标工作纪律，公布供应商名单，告知评标专家应当回避的情形，组织评标委员会推选评标组长，采购人代表不得担任组长；在评标期间采取必要的通讯管理措施，保证评标活动不受外界干扰；根据评标委员会的要求介绍政府采购相关政策法规、采购文件；维护评标秩序，监督评标委员会依照采购文件规定的评标程序、方法和标准进行独立评审，及时制止和纠正采购人代表、评标专家的倾向性言论或者违法违规行为；核对评标结果，有</w:t>
      </w:r>
      <w:r>
        <w:rPr>
          <w:rStyle w:val="24"/>
          <w:rFonts w:hint="eastAsia" w:ascii="宋体" w:hAnsi="宋体" w:cs="宋体"/>
          <w:b w:val="0"/>
          <w:color w:val="auto"/>
          <w:szCs w:val="21"/>
          <w:highlight w:val="none"/>
        </w:rPr>
        <w:t>财政部令第87号《政府采购货物和服务招标投标管理办法》第六十四条规定</w:t>
      </w:r>
      <w:r>
        <w:rPr>
          <w:rFonts w:hint="eastAsia" w:ascii="宋体" w:hAnsi="宋体" w:cs="宋体"/>
          <w:color w:val="auto"/>
          <w:szCs w:val="21"/>
          <w:highlight w:val="none"/>
        </w:rPr>
        <w:t>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w:t>
      </w:r>
    </w:p>
    <w:p>
      <w:pPr>
        <w:tabs>
          <w:tab w:val="left" w:pos="114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25.2评标委员会负责具体评标事务；审查、评价投标文件是否符合采购文件的商务、技术等实质性要求；要求供应商对投标文件有关事项作出澄清或者说明；对投标文件进行比较和评价；确定中标候选供应商名单，以及根据采购人委托直接确定中标供应商；向采购人、采购代理机构或者有关部门报告评标中发现的违法行为。</w:t>
      </w:r>
    </w:p>
    <w:p>
      <w:pPr>
        <w:tabs>
          <w:tab w:val="left" w:pos="1140"/>
        </w:tabs>
        <w:spacing w:line="42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25.3在评标过程中，评标委员会任何人不得对某个供应商发表任何倾向性意见，不得向其他专家评委明示或者暗示自己的评审意见。</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25.4对于投标文件中含义不明确、同类问题表述不一致或者有明显文字和计算错误的内容，评标委员会应当以书面形式要求供应商作出必要的澄清、说明或者补正。</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供应商的澄清、说明或者补正应当采用书面形式，并加盖公章，或者由法定代表人或其授权的代表签字。供应商的澄清、说明或者补正不得超出投标文件的范围或者改变投标文件的实质性内容。</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25.5评标委员会应当按照采购文件中规定的评标方法和标准，对符合性审查合格的投标文件进行商务和技术评估，综合比较与评价。</w:t>
      </w:r>
    </w:p>
    <w:p>
      <w:pPr>
        <w:pStyle w:val="18"/>
        <w:shd w:val="clear" w:color="auto" w:fill="FFFFFF"/>
        <w:spacing w:before="0" w:beforeAutospacing="0" w:after="0" w:afterAutospacing="0" w:line="348" w:lineRule="atLeast"/>
        <w:ind w:firstLine="420" w:firstLineChars="200"/>
        <w:rPr>
          <w:rFonts w:ascii="宋体" w:hAnsi="宋体" w:cs="宋体"/>
          <w:color w:val="auto"/>
          <w:kern w:val="2"/>
          <w:sz w:val="21"/>
          <w:szCs w:val="21"/>
          <w:highlight w:val="none"/>
        </w:rPr>
      </w:pPr>
      <w:r>
        <w:rPr>
          <w:rFonts w:hint="eastAsia" w:ascii="宋体" w:hAnsi="宋体" w:cs="宋体"/>
          <w:color w:val="auto"/>
          <w:kern w:val="2"/>
          <w:sz w:val="21"/>
          <w:szCs w:val="21"/>
          <w:highlight w:val="none"/>
        </w:rPr>
        <w:t>25.6投标文件报价出现前后不一致的，除采购文件另有规定外，按照下列规定修正：</w:t>
      </w:r>
    </w:p>
    <w:p>
      <w:pPr>
        <w:pStyle w:val="18"/>
        <w:shd w:val="clear" w:color="auto" w:fill="FFFFFF"/>
        <w:spacing w:before="0" w:beforeAutospacing="0" w:after="0" w:afterAutospacing="0" w:line="348" w:lineRule="atLeast"/>
        <w:rPr>
          <w:rFonts w:ascii="宋体" w:hAnsi="宋体" w:cs="宋体"/>
          <w:color w:val="auto"/>
          <w:kern w:val="2"/>
          <w:sz w:val="21"/>
          <w:szCs w:val="21"/>
          <w:highlight w:val="none"/>
        </w:rPr>
      </w:pPr>
      <w:r>
        <w:rPr>
          <w:rFonts w:hint="eastAsia" w:ascii="宋体" w:hAnsi="宋体" w:cs="宋体"/>
          <w:color w:val="auto"/>
          <w:kern w:val="2"/>
          <w:sz w:val="21"/>
          <w:szCs w:val="21"/>
          <w:highlight w:val="none"/>
        </w:rPr>
        <w:t>　　（1）投标文件中投标报价表内容与投标文件中相应内容不一致的，以投标报价表为准；</w:t>
      </w:r>
    </w:p>
    <w:p>
      <w:pPr>
        <w:pStyle w:val="18"/>
        <w:shd w:val="clear" w:color="auto" w:fill="FFFFFF"/>
        <w:spacing w:before="0" w:beforeAutospacing="0" w:after="0" w:afterAutospacing="0" w:line="348" w:lineRule="atLeast"/>
        <w:rPr>
          <w:rFonts w:ascii="宋体" w:hAnsi="宋体" w:cs="宋体"/>
          <w:color w:val="auto"/>
          <w:kern w:val="2"/>
          <w:sz w:val="21"/>
          <w:szCs w:val="21"/>
          <w:highlight w:val="none"/>
        </w:rPr>
      </w:pPr>
      <w:r>
        <w:rPr>
          <w:rFonts w:hint="eastAsia" w:ascii="宋体" w:hAnsi="宋体" w:cs="宋体"/>
          <w:color w:val="auto"/>
          <w:kern w:val="2"/>
          <w:sz w:val="21"/>
          <w:szCs w:val="21"/>
          <w:highlight w:val="none"/>
        </w:rPr>
        <w:t>　　（2）大写金额和小写金额不一致的，以大写金额为准；</w:t>
      </w:r>
    </w:p>
    <w:p>
      <w:pPr>
        <w:pStyle w:val="18"/>
        <w:shd w:val="clear" w:color="auto" w:fill="FFFFFF"/>
        <w:spacing w:before="0" w:beforeAutospacing="0" w:after="0" w:afterAutospacing="0" w:line="348" w:lineRule="atLeast"/>
        <w:rPr>
          <w:rFonts w:ascii="宋体" w:hAnsi="宋体" w:cs="宋体"/>
          <w:color w:val="auto"/>
          <w:kern w:val="2"/>
          <w:sz w:val="21"/>
          <w:szCs w:val="21"/>
          <w:highlight w:val="none"/>
        </w:rPr>
      </w:pPr>
      <w:r>
        <w:rPr>
          <w:rFonts w:hint="eastAsia" w:ascii="宋体" w:hAnsi="宋体" w:cs="宋体"/>
          <w:color w:val="auto"/>
          <w:kern w:val="2"/>
          <w:sz w:val="21"/>
          <w:szCs w:val="21"/>
          <w:highlight w:val="none"/>
        </w:rPr>
        <w:t>　　（3）单价金额小数点或者百分比有明显错位的，以报价表的总价为准，并修改单价；</w:t>
      </w:r>
    </w:p>
    <w:p>
      <w:pPr>
        <w:pStyle w:val="18"/>
        <w:shd w:val="clear" w:color="auto" w:fill="FFFFFF"/>
        <w:spacing w:before="0" w:beforeAutospacing="0" w:after="0" w:afterAutospacing="0" w:line="348" w:lineRule="atLeast"/>
        <w:rPr>
          <w:rFonts w:ascii="宋体" w:hAnsi="宋体" w:cs="宋体"/>
          <w:color w:val="auto"/>
          <w:kern w:val="2"/>
          <w:sz w:val="21"/>
          <w:szCs w:val="21"/>
          <w:highlight w:val="none"/>
        </w:rPr>
      </w:pPr>
      <w:r>
        <w:rPr>
          <w:rFonts w:hint="eastAsia" w:ascii="宋体" w:hAnsi="宋体" w:cs="宋体"/>
          <w:color w:val="auto"/>
          <w:kern w:val="2"/>
          <w:sz w:val="21"/>
          <w:szCs w:val="21"/>
          <w:highlight w:val="none"/>
        </w:rPr>
        <w:t>　　（4）总价金额与按单价汇总金额不一致的，以单价金额计算结果为准。</w:t>
      </w:r>
    </w:p>
    <w:p>
      <w:pPr>
        <w:pStyle w:val="18"/>
        <w:shd w:val="clear" w:color="auto" w:fill="FFFFFF"/>
        <w:spacing w:before="0" w:beforeAutospacing="0" w:after="0" w:afterAutospacing="0" w:line="348" w:lineRule="atLeast"/>
        <w:rPr>
          <w:rFonts w:ascii="宋体" w:hAnsi="宋体" w:cs="宋体"/>
          <w:color w:val="auto"/>
          <w:kern w:val="2"/>
          <w:sz w:val="21"/>
          <w:szCs w:val="21"/>
          <w:highlight w:val="none"/>
        </w:rPr>
      </w:pPr>
      <w:r>
        <w:rPr>
          <w:rFonts w:hint="eastAsia" w:ascii="宋体" w:hAnsi="宋体" w:cs="宋体"/>
          <w:color w:val="auto"/>
          <w:kern w:val="2"/>
          <w:sz w:val="21"/>
          <w:szCs w:val="21"/>
          <w:highlight w:val="none"/>
        </w:rPr>
        <w:t>　　同时出现两种以上不一致的，按照前款规定的顺序修正。修正后的报价（不得超出投标文件的范围或者改变投标文件的实质性内容）经供应商确认后产生约束力，供应商不确认的，其投标无效。</w:t>
      </w:r>
    </w:p>
    <w:p>
      <w:pPr>
        <w:pStyle w:val="12"/>
        <w:spacing w:line="380" w:lineRule="exact"/>
        <w:ind w:firstLine="411" w:firstLineChars="196"/>
        <w:rPr>
          <w:rFonts w:hAnsi="宋体" w:cs="宋体"/>
          <w:color w:val="auto"/>
          <w:szCs w:val="21"/>
          <w:highlight w:val="none"/>
        </w:rPr>
      </w:pPr>
      <w:r>
        <w:rPr>
          <w:rFonts w:hint="eastAsia" w:hAnsi="宋体" w:cs="宋体"/>
          <w:color w:val="auto"/>
          <w:szCs w:val="21"/>
          <w:highlight w:val="none"/>
        </w:rPr>
        <w:t>25.7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12"/>
        <w:spacing w:line="380" w:lineRule="exact"/>
        <w:ind w:firstLine="411" w:firstLineChars="196"/>
        <w:rPr>
          <w:rFonts w:hAnsi="宋体" w:cs="宋体"/>
          <w:color w:val="auto"/>
          <w:szCs w:val="21"/>
          <w:highlight w:val="none"/>
        </w:rPr>
      </w:pPr>
      <w:r>
        <w:rPr>
          <w:rFonts w:hint="eastAsia" w:hAnsi="宋体" w:cs="宋体"/>
          <w:color w:val="auto"/>
          <w:szCs w:val="21"/>
          <w:highlight w:val="none"/>
        </w:rPr>
        <w:t>25.8评标委员会成员对需要共同认定的事项存在争议的，应当按照少数服从多数的原则作出结论。持不同意见的评标委员会成员应当在评标报告上签署不同意见及理由，否则视为同意评标报告。</w:t>
      </w:r>
    </w:p>
    <w:p>
      <w:pPr>
        <w:pStyle w:val="12"/>
        <w:spacing w:line="380" w:lineRule="exact"/>
        <w:ind w:firstLine="411" w:firstLineChars="196"/>
        <w:rPr>
          <w:rFonts w:hAnsi="宋体" w:cs="宋体"/>
          <w:color w:val="auto"/>
          <w:szCs w:val="21"/>
          <w:highlight w:val="none"/>
        </w:rPr>
      </w:pPr>
      <w:r>
        <w:rPr>
          <w:rFonts w:hint="eastAsia" w:hAnsi="宋体" w:cs="宋体"/>
          <w:color w:val="auto"/>
          <w:szCs w:val="21"/>
          <w:highlight w:val="none"/>
        </w:rPr>
        <w:t>25.9评标结果汇总完成后，除下列情形外，任何人不得修改评标结果：</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（一）分值汇总计算错误的；</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（二）分项评分超出评分标准范围的；</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（三）评标委员会成员对客观评审因素评分不一致的；</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（四）经评标委员会认定评分畸高、畸低的。</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napToGrid w:val="0"/>
        <w:spacing w:line="36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供应商对本条第一款情形提出质疑的，采购人或者采购代理机构可以组织原评标委员会进行重新评审，重新评审改变评标结果的，应当书面报告本级财政部门。</w:t>
      </w:r>
    </w:p>
    <w:p>
      <w:pPr>
        <w:pStyle w:val="12"/>
        <w:spacing w:line="380" w:lineRule="exact"/>
        <w:ind w:firstLine="411" w:firstLineChars="196"/>
        <w:rPr>
          <w:rFonts w:hAnsi="宋体" w:cs="宋体"/>
          <w:color w:val="auto"/>
          <w:szCs w:val="21"/>
          <w:highlight w:val="none"/>
        </w:rPr>
      </w:pPr>
      <w:r>
        <w:rPr>
          <w:rFonts w:hint="eastAsia" w:hAnsi="宋体" w:cs="宋体"/>
          <w:color w:val="auto"/>
          <w:szCs w:val="21"/>
          <w:highlight w:val="none"/>
        </w:rPr>
        <w:t>25.10采购代理机构发现评标委员会有明显的违规倾向或歧视现象，或不按评标办法进行，或其他不正常行为的，应当及时制止。如制止无效，应及时向监督管理机构报告。</w:t>
      </w:r>
    </w:p>
    <w:p>
      <w:pPr>
        <w:pStyle w:val="12"/>
        <w:tabs>
          <w:tab w:val="left" w:pos="4214"/>
        </w:tabs>
        <w:spacing w:line="420" w:lineRule="exact"/>
        <w:ind w:firstLine="420" w:firstLineChars="200"/>
        <w:rPr>
          <w:rFonts w:hAnsi="宋体" w:cs="宋体"/>
          <w:color w:val="auto"/>
          <w:szCs w:val="21"/>
          <w:highlight w:val="none"/>
        </w:rPr>
      </w:pPr>
      <w:r>
        <w:rPr>
          <w:rFonts w:hint="eastAsia" w:hAnsi="宋体" w:cs="宋体"/>
          <w:b/>
          <w:color w:val="auto"/>
          <w:szCs w:val="21"/>
          <w:highlight w:val="none"/>
        </w:rPr>
        <w:t>26. 推荐中标候选供应商原则</w:t>
      </w:r>
    </w:p>
    <w:p>
      <w:pPr>
        <w:pStyle w:val="12"/>
        <w:tabs>
          <w:tab w:val="left" w:pos="4214"/>
        </w:tabs>
        <w:spacing w:line="430" w:lineRule="exact"/>
        <w:ind w:firstLine="420" w:firstLineChars="200"/>
        <w:rPr>
          <w:rFonts w:hAnsi="宋体" w:cs="宋体"/>
          <w:color w:val="auto"/>
          <w:szCs w:val="21"/>
          <w:highlight w:val="none"/>
        </w:rPr>
      </w:pPr>
      <w:r>
        <w:rPr>
          <w:rFonts w:hint="eastAsia" w:hAnsi="宋体" w:cs="宋体"/>
          <w:color w:val="auto"/>
          <w:szCs w:val="21"/>
          <w:highlight w:val="none"/>
        </w:rPr>
        <w:t>（1）评标委员会根据综合得分由高到低排列次序，若得分相同时，按评标价由低到高顺序排列；若得分相同且评标价也相同的，按</w:t>
      </w:r>
      <w:r>
        <w:rPr>
          <w:rFonts w:hint="eastAsia" w:hAnsi="宋体" w:cs="宋体"/>
          <w:color w:val="auto"/>
          <w:szCs w:val="21"/>
          <w:highlight w:val="none"/>
          <w:lang w:val="en-US" w:eastAsia="zh-CN"/>
        </w:rPr>
        <w:t>技术</w:t>
      </w:r>
      <w:r>
        <w:rPr>
          <w:rFonts w:hint="eastAsia" w:hAnsi="宋体" w:cs="宋体"/>
          <w:color w:val="auto"/>
          <w:szCs w:val="21"/>
          <w:highlight w:val="none"/>
        </w:rPr>
        <w:t>分由高到低顺序确定中标供应商，若</w:t>
      </w:r>
      <w:r>
        <w:rPr>
          <w:rFonts w:hint="eastAsia" w:hAnsi="宋体" w:cs="宋体"/>
          <w:color w:val="auto"/>
          <w:szCs w:val="21"/>
          <w:highlight w:val="none"/>
          <w:lang w:val="en-US" w:eastAsia="zh-CN"/>
        </w:rPr>
        <w:t>技术</w:t>
      </w:r>
      <w:r>
        <w:rPr>
          <w:rFonts w:hint="eastAsia" w:hAnsi="宋体" w:cs="宋体"/>
          <w:color w:val="auto"/>
          <w:szCs w:val="21"/>
          <w:highlight w:val="none"/>
        </w:rPr>
        <w:t>分也相同的由评标委员会按照抽签的方式决定排次次序。</w:t>
      </w:r>
    </w:p>
    <w:p>
      <w:pPr>
        <w:pStyle w:val="12"/>
        <w:tabs>
          <w:tab w:val="left" w:pos="4214"/>
        </w:tabs>
        <w:spacing w:line="430" w:lineRule="exact"/>
        <w:ind w:firstLine="420" w:firstLineChars="200"/>
        <w:rPr>
          <w:rFonts w:hAnsi="宋体" w:cs="宋体"/>
          <w:color w:val="auto"/>
          <w:szCs w:val="21"/>
          <w:highlight w:val="none"/>
        </w:rPr>
      </w:pPr>
      <w:r>
        <w:rPr>
          <w:rFonts w:hint="eastAsia" w:hAnsi="宋体" w:cs="宋体"/>
          <w:color w:val="auto"/>
          <w:szCs w:val="21"/>
          <w:highlight w:val="none"/>
        </w:rPr>
        <w:t>（2）进入详评的供应商为五家以上(含五家)的，可推荐前三名为中标候选供应商，进入详评的供应商为四家以下(含四家)的，可推荐前两名为中标候选供应商。采购人应当确定评标委员会推荐排名第一的中标候选供应商为中标供应商。</w:t>
      </w:r>
    </w:p>
    <w:p>
      <w:pPr>
        <w:pStyle w:val="12"/>
        <w:spacing w:line="430" w:lineRule="exact"/>
        <w:ind w:firstLine="420" w:firstLineChars="200"/>
        <w:jc w:val="left"/>
        <w:rPr>
          <w:rFonts w:hAnsi="宋体" w:cs="宋体"/>
          <w:color w:val="auto"/>
          <w:szCs w:val="21"/>
          <w:highlight w:val="none"/>
        </w:rPr>
      </w:pPr>
      <w:r>
        <w:rPr>
          <w:rFonts w:hint="eastAsia" w:hAnsi="宋体" w:cs="宋体"/>
          <w:color w:val="auto"/>
          <w:szCs w:val="21"/>
          <w:highlight w:val="none"/>
        </w:rPr>
        <w:t>（3）排名第一的中标候选供应商放弃中标、因不可抗力提出不能履行合同，或者采购文件规定应当提交履约保证金而在规定的期限内未能提交的，或因失信行为被取消中标候选供应商资格的，采购人可以确定排名第二的中标候选供应商为中标供应商，并依此类推。</w:t>
      </w:r>
    </w:p>
    <w:p>
      <w:pPr>
        <w:spacing w:line="420" w:lineRule="exact"/>
        <w:ind w:firstLine="420" w:firstLineChars="200"/>
        <w:outlineLvl w:val="4"/>
        <w:rPr>
          <w:rFonts w:ascii="宋体" w:hAnsi="宋体" w:cs="宋体"/>
          <w:b/>
          <w:color w:val="auto"/>
          <w:szCs w:val="21"/>
          <w:highlight w:val="none"/>
        </w:rPr>
      </w:pPr>
      <w:r>
        <w:rPr>
          <w:rFonts w:hint="eastAsia" w:ascii="宋体" w:hAnsi="宋体" w:cs="宋体"/>
          <w:b/>
          <w:bCs/>
          <w:color w:val="auto"/>
          <w:szCs w:val="21"/>
          <w:highlight w:val="none"/>
        </w:rPr>
        <w:t>27</w:t>
      </w:r>
      <w:r>
        <w:rPr>
          <w:rFonts w:hint="eastAsia" w:ascii="宋体" w:hAnsi="宋体" w:cs="宋体"/>
          <w:b/>
          <w:color w:val="auto"/>
          <w:szCs w:val="21"/>
          <w:highlight w:val="none"/>
        </w:rPr>
        <w:t>. 属于下列情况之一者，投标无效：</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（1）未按照采购文件规定完整提交投标文件或未按要求密封、签字、盖章的；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（2）超越了行政审批的经营范围的；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（3）不具备采购文件中规定的资格要求的；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（4）投标文件未按采购文件的内容和要求编制，或提供虚假材料的；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（5）投标有效期、交付使用期、免费保修期、售后服务不能满足采购文件要求的；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（6）供应商未就“</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”中的所有内容作完整唯一报价的；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（7）不满足“</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”中标注★号的实质性要求的；</w:t>
      </w:r>
    </w:p>
    <w:p>
      <w:pPr>
        <w:pStyle w:val="12"/>
        <w:spacing w:line="420" w:lineRule="exact"/>
        <w:ind w:firstLine="420" w:firstLineChars="200"/>
        <w:rPr>
          <w:rFonts w:hAnsi="宋体" w:cs="宋体"/>
          <w:color w:val="auto"/>
          <w:szCs w:val="21"/>
          <w:highlight w:val="none"/>
        </w:rPr>
      </w:pPr>
      <w:r>
        <w:rPr>
          <w:rFonts w:hint="eastAsia" w:hAnsi="宋体" w:cs="宋体"/>
          <w:bCs/>
          <w:color w:val="auto"/>
          <w:szCs w:val="21"/>
          <w:highlight w:val="none"/>
        </w:rPr>
        <w:t>（8）</w:t>
      </w:r>
      <w:r>
        <w:rPr>
          <w:rFonts w:hint="eastAsia" w:hAnsi="宋体" w:cs="宋体"/>
          <w:color w:val="auto"/>
          <w:szCs w:val="21"/>
          <w:highlight w:val="none"/>
        </w:rPr>
        <w:t>未全部实质性响应采购文件要求或者投标文件有采购人不能接受的附加条件的；</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（9）不符合法律、法规和采购文件规定的其他实质性要求和条件的。</w:t>
      </w:r>
    </w:p>
    <w:p>
      <w:pPr>
        <w:spacing w:line="420" w:lineRule="exact"/>
        <w:ind w:firstLine="420" w:firstLineChars="200"/>
        <w:outlineLvl w:val="4"/>
        <w:rPr>
          <w:rFonts w:ascii="宋体" w:hAnsi="宋体" w:cs="宋体"/>
          <w:b/>
          <w:color w:val="auto"/>
          <w:szCs w:val="21"/>
          <w:highlight w:val="none"/>
        </w:rPr>
      </w:pPr>
      <w:r>
        <w:rPr>
          <w:rFonts w:hint="eastAsia" w:ascii="宋体" w:hAnsi="宋体" w:cs="宋体"/>
          <w:b/>
          <w:color w:val="auto"/>
          <w:szCs w:val="21"/>
          <w:highlight w:val="none"/>
        </w:rPr>
        <w:t>供应商有下列情形之一的，视为串通投标，投标文件将被视为无效：</w:t>
      </w:r>
    </w:p>
    <w:p>
      <w:pPr>
        <w:numPr>
          <w:ilvl w:val="0"/>
          <w:numId w:val="4"/>
        </w:num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不同供应商的投标文件由同一单位或者个人编制；</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（2）不同供应商委托同一单位或者个人办理投标事宜；</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（3）不同的供应商的投标文件载明的项目管理员为同一个人；</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 xml:space="preserve">（4）不同供应商的投标文件异常一致或投标报价呈规律性差异； </w:t>
      </w:r>
    </w:p>
    <w:p>
      <w:pPr>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（5）不同供应商的投标文件相互混装；</w:t>
      </w:r>
    </w:p>
    <w:p>
      <w:pPr>
        <w:spacing w:line="420" w:lineRule="exact"/>
        <w:ind w:firstLine="420" w:firstLineChars="200"/>
        <w:outlineLvl w:val="4"/>
        <w:rPr>
          <w:rFonts w:ascii="宋体" w:hAnsi="宋体" w:cs="宋体"/>
          <w:b/>
          <w:color w:val="auto"/>
          <w:szCs w:val="21"/>
          <w:highlight w:val="none"/>
        </w:rPr>
      </w:pPr>
      <w:r>
        <w:rPr>
          <w:rFonts w:hint="eastAsia" w:ascii="宋体" w:hAnsi="宋体" w:cs="宋体"/>
          <w:b/>
          <w:color w:val="auto"/>
          <w:szCs w:val="21"/>
          <w:highlight w:val="none"/>
        </w:rPr>
        <w:t>28. 属于下列情形之一的，应予废标：</w:t>
      </w:r>
    </w:p>
    <w:p>
      <w:pPr>
        <w:tabs>
          <w:tab w:val="left" w:pos="840"/>
        </w:tabs>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（1）符合专业条件的供应商或者对采购文件作实质响应的供应商不足3家的；</w:t>
      </w:r>
    </w:p>
    <w:p>
      <w:pPr>
        <w:tabs>
          <w:tab w:val="left" w:pos="840"/>
        </w:tabs>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（2）出现影响采购公正的违法、违规行为的；</w:t>
      </w:r>
    </w:p>
    <w:p>
      <w:pPr>
        <w:tabs>
          <w:tab w:val="left" w:pos="840"/>
        </w:tabs>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（3）采购文件内容违反国家有关强制性规定的；</w:t>
      </w:r>
    </w:p>
    <w:p>
      <w:pPr>
        <w:tabs>
          <w:tab w:val="left" w:pos="840"/>
        </w:tabs>
        <w:spacing w:line="420" w:lineRule="exact"/>
        <w:ind w:firstLine="420" w:firstLineChars="200"/>
        <w:outlineLvl w:val="4"/>
        <w:rPr>
          <w:rFonts w:ascii="宋体" w:hAnsi="宋体" w:cs="宋体"/>
          <w:color w:val="auto"/>
          <w:szCs w:val="21"/>
          <w:highlight w:val="none"/>
        </w:rPr>
      </w:pPr>
      <w:r>
        <w:rPr>
          <w:rFonts w:hint="eastAsia" w:ascii="宋体" w:hAnsi="宋体" w:cs="宋体"/>
          <w:color w:val="auto"/>
          <w:szCs w:val="21"/>
          <w:highlight w:val="none"/>
        </w:rPr>
        <w:t>（4）因重大变故，采购任务取消的。</w:t>
      </w:r>
    </w:p>
    <w:p>
      <w:pPr>
        <w:pStyle w:val="12"/>
        <w:spacing w:line="420" w:lineRule="exact"/>
        <w:ind w:firstLine="420" w:firstLineChars="200"/>
        <w:rPr>
          <w:rFonts w:hAnsi="宋体" w:cs="宋体"/>
          <w:b/>
          <w:color w:val="auto"/>
          <w:szCs w:val="21"/>
          <w:highlight w:val="none"/>
        </w:rPr>
      </w:pPr>
      <w:r>
        <w:rPr>
          <w:rFonts w:hint="eastAsia" w:hAnsi="宋体" w:cs="宋体"/>
          <w:b/>
          <w:color w:val="auto"/>
          <w:szCs w:val="21"/>
          <w:highlight w:val="none"/>
        </w:rPr>
        <w:t>29. 评标过程的监控</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本项目评标过程实行全程录音、录像监控，供应商在评标过程中所进行的试图影响评标结果的不公正活动，可能导致其投标被拒绝。</w:t>
      </w:r>
    </w:p>
    <w:p>
      <w:pPr>
        <w:autoSpaceDE w:val="0"/>
        <w:autoSpaceDN w:val="0"/>
        <w:snapToGrid w:val="0"/>
        <w:spacing w:line="420" w:lineRule="exact"/>
        <w:ind w:firstLine="420" w:firstLineChars="200"/>
        <w:textAlignment w:val="bottom"/>
        <w:rPr>
          <w:rFonts w:ascii="宋体" w:hAnsi="宋体" w:cs="宋体"/>
          <w:b/>
          <w:color w:val="auto"/>
          <w:szCs w:val="21"/>
          <w:highlight w:val="none"/>
        </w:rPr>
      </w:pPr>
      <w:r>
        <w:rPr>
          <w:rFonts w:hint="eastAsia" w:ascii="宋体" w:hAnsi="宋体" w:cs="宋体"/>
          <w:b/>
          <w:color w:val="auto"/>
          <w:szCs w:val="21"/>
          <w:highlight w:val="none"/>
        </w:rPr>
        <w:t>30. 信用查询</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根据《关于做好政府采购有关信用主体标识码登记及在政府采购活动中查询使用信用记录有关问题的通知》桂财采〔2016〕37号的通知，由采购代理机构对第一中标候选供应商进行信用查询：</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（1）查询渠道：“信用中国”网站（www.creditchina.gov.cn）、中国政府采购网（www.ccgp.gov.cn）等；</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（2）查询截止时点：中标通知书发出前；</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（3）信用信息查询记录和证据留存方式：在查询网站中直接打印查询记录，打印材料作为采购活动资料保存。</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4）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pStyle w:val="12"/>
        <w:spacing w:line="420" w:lineRule="exact"/>
        <w:ind w:firstLine="420" w:firstLineChars="200"/>
        <w:rPr>
          <w:rFonts w:hAnsi="宋体" w:cs="宋体"/>
          <w:b/>
          <w:color w:val="auto"/>
          <w:szCs w:val="21"/>
          <w:highlight w:val="none"/>
        </w:rPr>
      </w:pPr>
      <w:r>
        <w:rPr>
          <w:rFonts w:hint="eastAsia" w:hAnsi="宋体" w:cs="宋体"/>
          <w:b/>
          <w:color w:val="auto"/>
          <w:szCs w:val="21"/>
          <w:highlight w:val="none"/>
        </w:rPr>
        <w:t>31. 中标公告及中标通知书</w:t>
      </w:r>
    </w:p>
    <w:p>
      <w:pPr>
        <w:pStyle w:val="12"/>
        <w:tabs>
          <w:tab w:val="left" w:pos="455"/>
        </w:tabs>
        <w:spacing w:line="420" w:lineRule="exact"/>
        <w:ind w:firstLine="420" w:firstLineChars="200"/>
        <w:rPr>
          <w:rFonts w:hAnsi="宋体" w:cs="宋体"/>
          <w:color w:val="auto"/>
          <w:szCs w:val="21"/>
          <w:highlight w:val="none"/>
        </w:rPr>
      </w:pPr>
      <w:r>
        <w:rPr>
          <w:rFonts w:hint="eastAsia" w:hAnsi="宋体" w:cs="宋体"/>
          <w:color w:val="auto"/>
          <w:szCs w:val="21"/>
          <w:highlight w:val="none"/>
        </w:rPr>
        <w:t>31.1采购代理机构于评标结束后两个工作日内将评审报告送交采购人，采购人应当自收到评审报告五个工作日内在评审报告推荐的中标候选供应商中按顺序确定中标供应商，采购代理机构在中标供应商确定之日起两个工作日内在指定媒体上公告中标结果，中标公告期限为1个工作日。</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31.2 在发布中标公告的同时，采购代理机构向中标供应商发布中标通知书，中标公告同时采购代理机构向中标供应商发出中标通知书，中标供应商应自接到通知之日起七个工作日内，办理中标通知书领取手续，如不按期办理领取手续，视为自动放弃中标资格，并从评标委员会推荐的中标候选供应商中按顺序重新确定中标供应商。</w:t>
      </w:r>
    </w:p>
    <w:p>
      <w:pPr>
        <w:tabs>
          <w:tab w:val="left" w:pos="1140"/>
        </w:tabs>
        <w:spacing w:line="420" w:lineRule="exact"/>
        <w:rPr>
          <w:rFonts w:ascii="宋体" w:hAnsi="宋体" w:cs="宋体"/>
          <w:b/>
          <w:color w:val="auto"/>
          <w:szCs w:val="21"/>
          <w:highlight w:val="none"/>
        </w:rPr>
      </w:pPr>
    </w:p>
    <w:p>
      <w:pPr>
        <w:tabs>
          <w:tab w:val="left" w:pos="1140"/>
        </w:tabs>
        <w:spacing w:line="420" w:lineRule="exact"/>
        <w:jc w:val="center"/>
        <w:rPr>
          <w:rFonts w:ascii="宋体" w:hAnsi="宋体" w:cs="宋体"/>
          <w:b/>
          <w:color w:val="auto"/>
          <w:szCs w:val="21"/>
          <w:highlight w:val="none"/>
        </w:rPr>
      </w:pPr>
      <w:r>
        <w:rPr>
          <w:rFonts w:hint="eastAsia" w:ascii="宋体" w:hAnsi="宋体" w:cs="宋体"/>
          <w:b/>
          <w:color w:val="auto"/>
          <w:szCs w:val="21"/>
          <w:highlight w:val="none"/>
        </w:rPr>
        <w:t>七、履约保证金及签订合同</w:t>
      </w:r>
    </w:p>
    <w:p>
      <w:pPr>
        <w:spacing w:line="420" w:lineRule="exact"/>
        <w:ind w:firstLine="420" w:firstLineChars="200"/>
        <w:rPr>
          <w:rFonts w:ascii="宋体" w:hAnsi="宋体" w:cs="宋体"/>
          <w:color w:val="auto"/>
          <w:szCs w:val="21"/>
          <w:highlight w:val="none"/>
        </w:rPr>
      </w:pPr>
      <w:r>
        <w:rPr>
          <w:rFonts w:hint="eastAsia" w:ascii="宋体" w:hAnsi="宋体" w:cs="宋体"/>
          <w:b/>
          <w:color w:val="auto"/>
          <w:szCs w:val="21"/>
          <w:highlight w:val="none"/>
        </w:rPr>
        <w:t>32. 履约保证金</w:t>
      </w:r>
    </w:p>
    <w:p>
      <w:pPr>
        <w:tabs>
          <w:tab w:val="left" w:pos="1305"/>
        </w:tabs>
        <w:spacing w:line="41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32.1履约保证金金额按中标价的5%（人民币，四舍五入到元）提供，由中标供应商在签订合同前将履约保证金以转账、电汇形式</w:t>
      </w:r>
      <w:r>
        <w:rPr>
          <w:rFonts w:hint="eastAsia" w:ascii="宋体" w:hAnsi="宋体" w:cs="宋体"/>
          <w:color w:val="auto"/>
          <w:kern w:val="0"/>
          <w:szCs w:val="21"/>
          <w:highlight w:val="none"/>
        </w:rPr>
        <w:t>转入</w:t>
      </w:r>
      <w:r>
        <w:rPr>
          <w:rFonts w:hint="eastAsia" w:ascii="宋体" w:hAnsi="宋体" w:cs="宋体"/>
          <w:color w:val="auto"/>
          <w:szCs w:val="21"/>
          <w:highlight w:val="none"/>
        </w:rPr>
        <w:t>转入采购人指定账户。</w:t>
      </w:r>
      <w:r>
        <w:rPr>
          <w:rFonts w:hint="eastAsia"/>
          <w:color w:val="auto"/>
          <w:highlight w:val="none"/>
        </w:rPr>
        <w:t>注：</w:t>
      </w:r>
      <w:r>
        <w:rPr>
          <w:rFonts w:hint="eastAsia" w:ascii="宋体" w:hAnsi="宋体" w:cs="宋体"/>
          <w:color w:val="auto"/>
          <w:highlight w:val="none"/>
        </w:rPr>
        <w:t>如为小微企业中标则免于收取履约保证金。</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32.2如果中标供应商没能按上述第32.1款规定执行，采购代理机构将上报政府采购监督管理机构，取消该中标资格，并有权授予第二中标候选供应商为中标供应商资格或重新组织招标。</w:t>
      </w:r>
    </w:p>
    <w:p>
      <w:pPr>
        <w:tabs>
          <w:tab w:val="left" w:pos="1140"/>
        </w:tabs>
        <w:spacing w:line="41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32.3项目验收合格后，中标供应商凭《验收报告单》和履约保证金收据原件办理履约保证金退款手续</w:t>
      </w:r>
      <w:r>
        <w:rPr>
          <w:rFonts w:hint="eastAsia" w:ascii="宋体" w:hAnsi="宋体" w:cs="宋体"/>
          <w:color w:val="auto"/>
          <w:highlight w:val="none"/>
        </w:rPr>
        <w:t>采购人</w:t>
      </w:r>
      <w:r>
        <w:rPr>
          <w:rFonts w:hint="eastAsia" w:ascii="宋体" w:hAnsi="宋体" w:cs="宋体"/>
          <w:color w:val="auto"/>
          <w:szCs w:val="21"/>
          <w:highlight w:val="none"/>
        </w:rPr>
        <w:t>在十五个工作日内将履约保证金（无息）退还给中标供应商。如中标供应商不按双方签订的合同规定履约，则没收其全部履约保证金，履约保证金不足以赔偿损失的，按实际损失赔偿。</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32.4在履约保证金到期退还前，若中标供应商的开户名称、开户银行、账号有变动的，以书面形式通知采购人，否则由此产生的后果由中标供应商自负。</w:t>
      </w:r>
    </w:p>
    <w:p>
      <w:pPr>
        <w:tabs>
          <w:tab w:val="left" w:pos="1140"/>
        </w:tabs>
        <w:spacing w:line="42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33. 签订合同</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33.1签订合同时间：中标通知书发出之日起二十五日内。中标供应商领取中标通知书后，应按规定与采购人签订合同。</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33.2如中标供应商有下列情形之一的，情节严重的，由财政部门将其列入不良行为记录名单，在一至三年内禁止参加政府采购活动，并予以通报。采购单位可从评标委员会推荐的中标候选供应商中按顺序重新确定中标供应商或重新组织招标。</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（1）中标后不与采购人签订合同的（不可抗力除外）；</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（2）将中标项目转让给他人，或者在投标文件中未说明，且未经采购人同意，将中标项目分包给他人的；</w:t>
      </w:r>
    </w:p>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（3）拒绝履行合同义务的。</w:t>
      </w:r>
    </w:p>
    <w:p>
      <w:pPr>
        <w:pStyle w:val="12"/>
        <w:spacing w:line="420" w:lineRule="exact"/>
        <w:ind w:firstLine="420" w:firstLineChars="200"/>
        <w:rPr>
          <w:rFonts w:hAnsi="宋体" w:cs="宋体"/>
          <w:b/>
          <w:color w:val="auto"/>
          <w:szCs w:val="21"/>
          <w:highlight w:val="none"/>
        </w:rPr>
      </w:pPr>
      <w:r>
        <w:rPr>
          <w:rFonts w:hint="eastAsia" w:hAnsi="宋体" w:cs="宋体"/>
          <w:color w:val="auto"/>
          <w:szCs w:val="21"/>
          <w:highlight w:val="none"/>
        </w:rPr>
        <w:t xml:space="preserve"> 33.3合同备案存档：政府采购合同双方自签订之日起一个工作日内将合同原件一份交采购代理机构存档。采购代理机构将于收到政府采购合同后在省级以上人民政府财政部门指定媒体上公告。</w:t>
      </w:r>
    </w:p>
    <w:p>
      <w:pPr>
        <w:tabs>
          <w:tab w:val="left" w:pos="1140"/>
        </w:tabs>
        <w:spacing w:line="420" w:lineRule="exact"/>
        <w:jc w:val="center"/>
        <w:rPr>
          <w:rFonts w:ascii="宋体" w:hAnsi="宋体" w:cs="宋体"/>
          <w:b/>
          <w:color w:val="auto"/>
          <w:szCs w:val="21"/>
          <w:highlight w:val="none"/>
        </w:rPr>
      </w:pPr>
    </w:p>
    <w:p>
      <w:pPr>
        <w:tabs>
          <w:tab w:val="left" w:pos="1140"/>
        </w:tabs>
        <w:spacing w:line="420" w:lineRule="exact"/>
        <w:jc w:val="center"/>
        <w:rPr>
          <w:rFonts w:ascii="宋体" w:hAnsi="宋体" w:cs="宋体"/>
          <w:b/>
          <w:color w:val="auto"/>
          <w:szCs w:val="21"/>
          <w:highlight w:val="none"/>
        </w:rPr>
      </w:pPr>
      <w:r>
        <w:rPr>
          <w:rFonts w:hint="eastAsia" w:ascii="宋体" w:hAnsi="宋体" w:cs="宋体"/>
          <w:b/>
          <w:color w:val="auto"/>
          <w:szCs w:val="21"/>
          <w:highlight w:val="none"/>
        </w:rPr>
        <w:t>八、其他事项</w:t>
      </w:r>
    </w:p>
    <w:p>
      <w:pPr>
        <w:pStyle w:val="12"/>
        <w:spacing w:line="420" w:lineRule="exact"/>
        <w:ind w:firstLine="420" w:firstLineChars="200"/>
        <w:rPr>
          <w:rFonts w:hAnsi="宋体" w:cs="宋体"/>
          <w:b/>
          <w:color w:val="auto"/>
          <w:szCs w:val="21"/>
          <w:highlight w:val="none"/>
        </w:rPr>
      </w:pPr>
      <w:r>
        <w:rPr>
          <w:rFonts w:hint="eastAsia" w:hAnsi="宋体" w:cs="宋体"/>
          <w:b/>
          <w:color w:val="auto"/>
          <w:szCs w:val="21"/>
          <w:highlight w:val="none"/>
        </w:rPr>
        <w:t>34. 招标代理服务费</w:t>
      </w:r>
    </w:p>
    <w:p>
      <w:pPr>
        <w:pStyle w:val="12"/>
        <w:spacing w:line="410" w:lineRule="exact"/>
        <w:ind w:firstLine="420" w:firstLineChars="200"/>
        <w:rPr>
          <w:rFonts w:hAnsi="宋体" w:cs="宋体"/>
          <w:color w:val="auto"/>
          <w:szCs w:val="21"/>
          <w:highlight w:val="none"/>
        </w:rPr>
      </w:pPr>
      <w:r>
        <w:rPr>
          <w:rFonts w:hint="eastAsia" w:hAnsi="宋体" w:cs="宋体"/>
          <w:color w:val="auto"/>
          <w:szCs w:val="21"/>
          <w:highlight w:val="none"/>
        </w:rPr>
        <w:t>中标供应商领取中标通知书前，向广西瑞真工程造价咨询有限责任公司一次性付清招标代理服务费，本项目的招标代理服务费按“国家发展计划委员会计价格[2002]1980号《招标代理服务费管理暂行办法》、发改办价格[2003]857 号”规定的货物类收费标准向中标供应商收取。以中标报价为计算基数，按差额定率累进法计算标准计取。</w:t>
      </w:r>
    </w:p>
    <w:p>
      <w:pPr>
        <w:spacing w:line="420" w:lineRule="exact"/>
        <w:jc w:val="center"/>
        <w:rPr>
          <w:rFonts w:ascii="宋体" w:hAnsi="宋体" w:cs="宋体"/>
          <w:color w:val="auto"/>
          <w:szCs w:val="21"/>
          <w:highlight w:val="none"/>
        </w:rPr>
      </w:pPr>
      <w:r>
        <w:rPr>
          <w:rFonts w:hint="eastAsia" w:ascii="宋体" w:hAnsi="宋体" w:cs="宋体"/>
          <w:color w:val="auto"/>
          <w:szCs w:val="21"/>
          <w:highlight w:val="none"/>
        </w:rPr>
        <w:t>招标代理服务收费标准</w:t>
      </w:r>
    </w:p>
    <w:tbl>
      <w:tblPr>
        <w:tblStyle w:val="21"/>
        <w:tblW w:w="9006"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gridCol w:w="1841"/>
        <w:gridCol w:w="199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880" w:type="dxa"/>
          </w:tcPr>
          <w:p>
            <w:pPr>
              <w:pStyle w:val="12"/>
              <w:spacing w:line="420" w:lineRule="exact"/>
              <w:rPr>
                <w:rFonts w:hAnsi="宋体" w:cs="宋体"/>
                <w:color w:val="auto"/>
                <w:szCs w:val="21"/>
                <w:highlight w:val="none"/>
              </w:rPr>
            </w:pPr>
            <w:r>
              <w:rPr>
                <w:rFonts w:hAnsi="宋体" w:cs="宋体"/>
                <w:color w:val="auto"/>
                <w:szCs w:val="21"/>
                <w:highlight w:val="none"/>
              </w:rPr>
              <w:pict>
                <v:line id="直线 109" o:spid="_x0000_s1026" o:spt="20" style="position:absolute;left:0pt;margin-left:23.35pt;margin-top:0.85pt;height:51.45pt;width:115.25pt;z-index:251667456;mso-width-relative:page;mso-height-relative:page;" coordsize="21600,21600" o:gfxdata="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gFTNNYAAAAIAQAADwAAAAAAAAABACAAAAAiAAAAZHJzL2Rv&#10;d25yZXYueG1sUEsBAhQAFAAAAAgAh07iQCAsK27KAQAAiAMAAA4AAAAAAAAAAQAgAAAAJQEAAGRy&#10;cy9lMm9Eb2MueG1sUEsFBgAAAAAGAAYAWQEAAGEFAAAAAA==&#10;">
                  <v:path arrowok="t"/>
                  <v:fill focussize="0,0"/>
                  <v:stroke/>
                  <v:imagedata o:title=""/>
                  <o:lock v:ext="edit"/>
                </v:line>
              </w:pict>
            </w:r>
            <w:r>
              <w:rPr>
                <w:rFonts w:hint="eastAsia" w:hAnsi="宋体" w:cs="宋体"/>
                <w:color w:val="auto"/>
                <w:szCs w:val="21"/>
                <w:highlight w:val="none"/>
              </w:rPr>
              <w:t>费率           服务类型</w:t>
            </w:r>
          </w:p>
          <w:p>
            <w:pPr>
              <w:pStyle w:val="12"/>
              <w:spacing w:line="420" w:lineRule="exact"/>
              <w:rPr>
                <w:rFonts w:hAnsi="宋体" w:cs="宋体"/>
                <w:color w:val="auto"/>
                <w:szCs w:val="21"/>
                <w:highlight w:val="none"/>
              </w:rPr>
            </w:pPr>
            <w:r>
              <w:rPr>
                <w:rFonts w:hAnsi="宋体" w:cs="宋体"/>
                <w:color w:val="auto"/>
                <w:szCs w:val="21"/>
                <w:highlight w:val="none"/>
              </w:rPr>
              <w:pict>
                <v:line id="直线 110" o:spid="_x0000_s1028" o:spt="20" style="position:absolute;left:0pt;margin-left:-5.4pt;margin-top:3.1pt;height:31.2pt;width:144pt;z-index:251668480;mso-width-relative:page;mso-height-relative:page;" coordsize="21600,21600" o:gfxdata="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QA6vRNYAAAAIAQAADwAAAAAAAAABACAAAAAiAAAAZHJzL2Rv&#10;d25yZXYueG1sUEsBAhQAFAAAAAgAh07iQKCVTh7KAQAAiAMAAA4AAAAAAAAAAQAgAAAAJQEAAGRy&#10;cy9lMm9Eb2MueG1sUEsFBgAAAAAGAAYAWQEAAGEFAAAAAA==&#10;">
                  <v:path arrowok="t"/>
                  <v:fill focussize="0,0"/>
                  <v:stroke/>
                  <v:imagedata o:title=""/>
                  <o:lock v:ext="edit"/>
                </v:line>
              </w:pict>
            </w:r>
          </w:p>
          <w:p>
            <w:pPr>
              <w:pStyle w:val="12"/>
              <w:spacing w:line="420" w:lineRule="exact"/>
              <w:rPr>
                <w:rFonts w:hAnsi="宋体" w:cs="宋体"/>
                <w:color w:val="auto"/>
                <w:szCs w:val="21"/>
                <w:highlight w:val="none"/>
              </w:rPr>
            </w:pPr>
            <w:r>
              <w:rPr>
                <w:rFonts w:hint="eastAsia" w:hAnsi="宋体" w:cs="宋体"/>
                <w:color w:val="auto"/>
                <w:szCs w:val="21"/>
                <w:highlight w:val="none"/>
              </w:rPr>
              <w:t>中标金额（万元）</w:t>
            </w:r>
          </w:p>
        </w:tc>
        <w:tc>
          <w:tcPr>
            <w:tcW w:w="1841" w:type="dxa"/>
            <w:vAlign w:val="center"/>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货物招标</w:t>
            </w:r>
          </w:p>
        </w:tc>
        <w:tc>
          <w:tcPr>
            <w:tcW w:w="1992" w:type="dxa"/>
            <w:vAlign w:val="center"/>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服务招标</w:t>
            </w:r>
          </w:p>
        </w:tc>
        <w:tc>
          <w:tcPr>
            <w:tcW w:w="2293" w:type="dxa"/>
            <w:vAlign w:val="center"/>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880" w:type="dxa"/>
          </w:tcPr>
          <w:p>
            <w:pPr>
              <w:pStyle w:val="12"/>
              <w:spacing w:line="420" w:lineRule="exact"/>
              <w:rPr>
                <w:rFonts w:hAnsi="宋体" w:cs="宋体"/>
                <w:color w:val="auto"/>
                <w:szCs w:val="21"/>
                <w:highlight w:val="none"/>
              </w:rPr>
            </w:pPr>
            <w:r>
              <w:rPr>
                <w:rFonts w:hint="eastAsia" w:hAnsi="宋体" w:cs="宋体"/>
                <w:color w:val="auto"/>
                <w:szCs w:val="21"/>
                <w:highlight w:val="none"/>
              </w:rPr>
              <w:t>100以下</w:t>
            </w:r>
          </w:p>
        </w:tc>
        <w:tc>
          <w:tcPr>
            <w:tcW w:w="1841"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1.5%</w:t>
            </w:r>
          </w:p>
        </w:tc>
        <w:tc>
          <w:tcPr>
            <w:tcW w:w="1992"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1.5%</w:t>
            </w:r>
          </w:p>
        </w:tc>
        <w:tc>
          <w:tcPr>
            <w:tcW w:w="2293"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2880" w:type="dxa"/>
          </w:tcPr>
          <w:p>
            <w:pPr>
              <w:pStyle w:val="12"/>
              <w:spacing w:line="420" w:lineRule="exact"/>
              <w:rPr>
                <w:rFonts w:hAnsi="宋体" w:cs="宋体"/>
                <w:color w:val="auto"/>
                <w:szCs w:val="21"/>
                <w:highlight w:val="none"/>
              </w:rPr>
            </w:pPr>
            <w:r>
              <w:rPr>
                <w:rFonts w:hint="eastAsia" w:hAnsi="宋体" w:cs="宋体"/>
                <w:color w:val="auto"/>
                <w:szCs w:val="21"/>
                <w:highlight w:val="none"/>
              </w:rPr>
              <w:t>100-500</w:t>
            </w:r>
          </w:p>
        </w:tc>
        <w:tc>
          <w:tcPr>
            <w:tcW w:w="1841"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1.1%</w:t>
            </w:r>
          </w:p>
        </w:tc>
        <w:tc>
          <w:tcPr>
            <w:tcW w:w="1992"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0.8%</w:t>
            </w:r>
          </w:p>
        </w:tc>
        <w:tc>
          <w:tcPr>
            <w:tcW w:w="2293"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12"/>
              <w:spacing w:line="420" w:lineRule="exact"/>
              <w:rPr>
                <w:rFonts w:hAnsi="宋体" w:cs="宋体"/>
                <w:color w:val="auto"/>
                <w:szCs w:val="21"/>
                <w:highlight w:val="none"/>
              </w:rPr>
            </w:pPr>
            <w:r>
              <w:rPr>
                <w:rFonts w:hint="eastAsia" w:hAnsi="宋体" w:cs="宋体"/>
                <w:color w:val="auto"/>
                <w:szCs w:val="21"/>
                <w:highlight w:val="none"/>
              </w:rPr>
              <w:t>500-1000</w:t>
            </w:r>
          </w:p>
        </w:tc>
        <w:tc>
          <w:tcPr>
            <w:tcW w:w="1841"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0.8%</w:t>
            </w:r>
          </w:p>
        </w:tc>
        <w:tc>
          <w:tcPr>
            <w:tcW w:w="1992"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0.45%</w:t>
            </w:r>
          </w:p>
        </w:tc>
        <w:tc>
          <w:tcPr>
            <w:tcW w:w="2293"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12"/>
              <w:spacing w:line="420" w:lineRule="exact"/>
              <w:rPr>
                <w:rFonts w:hAnsi="宋体" w:cs="宋体"/>
                <w:color w:val="auto"/>
                <w:szCs w:val="21"/>
                <w:highlight w:val="none"/>
              </w:rPr>
            </w:pPr>
            <w:r>
              <w:rPr>
                <w:rFonts w:hint="eastAsia" w:hAnsi="宋体" w:cs="宋体"/>
                <w:color w:val="auto"/>
                <w:szCs w:val="21"/>
                <w:highlight w:val="none"/>
              </w:rPr>
              <w:t>1000-5000</w:t>
            </w:r>
          </w:p>
        </w:tc>
        <w:tc>
          <w:tcPr>
            <w:tcW w:w="1841"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0.5%</w:t>
            </w:r>
          </w:p>
        </w:tc>
        <w:tc>
          <w:tcPr>
            <w:tcW w:w="1992"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0.25%</w:t>
            </w:r>
          </w:p>
        </w:tc>
        <w:tc>
          <w:tcPr>
            <w:tcW w:w="2293"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880" w:type="dxa"/>
          </w:tcPr>
          <w:p>
            <w:pPr>
              <w:pStyle w:val="12"/>
              <w:spacing w:line="420" w:lineRule="exact"/>
              <w:rPr>
                <w:rFonts w:hAnsi="宋体" w:cs="宋体"/>
                <w:color w:val="auto"/>
                <w:szCs w:val="21"/>
                <w:highlight w:val="none"/>
              </w:rPr>
            </w:pPr>
            <w:r>
              <w:rPr>
                <w:rFonts w:hint="eastAsia" w:hAnsi="宋体" w:cs="宋体"/>
                <w:color w:val="auto"/>
                <w:szCs w:val="21"/>
                <w:highlight w:val="none"/>
              </w:rPr>
              <w:t>5000-10000</w:t>
            </w:r>
          </w:p>
        </w:tc>
        <w:tc>
          <w:tcPr>
            <w:tcW w:w="1841"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0.25%</w:t>
            </w:r>
          </w:p>
        </w:tc>
        <w:tc>
          <w:tcPr>
            <w:tcW w:w="1992"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0.1%</w:t>
            </w:r>
          </w:p>
        </w:tc>
        <w:tc>
          <w:tcPr>
            <w:tcW w:w="2293" w:type="dxa"/>
          </w:tcPr>
          <w:p>
            <w:pPr>
              <w:pStyle w:val="12"/>
              <w:spacing w:line="420" w:lineRule="exact"/>
              <w:jc w:val="center"/>
              <w:rPr>
                <w:rFonts w:hAnsi="宋体" w:cs="宋体"/>
                <w:color w:val="auto"/>
                <w:szCs w:val="21"/>
                <w:highlight w:val="none"/>
              </w:rPr>
            </w:pPr>
            <w:r>
              <w:rPr>
                <w:rFonts w:hint="eastAsia" w:hAnsi="宋体" w:cs="宋体"/>
                <w:color w:val="auto"/>
                <w:szCs w:val="21"/>
                <w:highlight w:val="none"/>
              </w:rPr>
              <w:t>0.2%</w:t>
            </w:r>
          </w:p>
        </w:tc>
      </w:tr>
    </w:tbl>
    <w:p>
      <w:pPr>
        <w:pStyle w:val="12"/>
        <w:spacing w:line="420" w:lineRule="exact"/>
        <w:ind w:firstLine="420" w:firstLineChars="200"/>
        <w:rPr>
          <w:rFonts w:hAnsi="宋体" w:cs="宋体"/>
          <w:color w:val="auto"/>
          <w:szCs w:val="21"/>
          <w:highlight w:val="none"/>
        </w:rPr>
      </w:pPr>
      <w:r>
        <w:rPr>
          <w:rFonts w:hint="eastAsia" w:hAnsi="宋体" w:cs="宋体"/>
          <w:color w:val="auto"/>
          <w:szCs w:val="21"/>
          <w:highlight w:val="none"/>
        </w:rPr>
        <w:t>注：招标代理服务收费按差额定率累进法计算。</w:t>
      </w:r>
    </w:p>
    <w:p>
      <w:pPr>
        <w:spacing w:line="400" w:lineRule="exact"/>
        <w:ind w:firstLine="420" w:firstLineChars="200"/>
        <w:rPr>
          <w:rFonts w:ascii="宋体" w:hAnsi="宋体" w:cs="宋体"/>
          <w:b/>
          <w:color w:val="auto"/>
          <w:szCs w:val="21"/>
          <w:highlight w:val="none"/>
        </w:rPr>
      </w:pPr>
      <w:r>
        <w:rPr>
          <w:rFonts w:hint="eastAsia" w:ascii="宋体" w:hAnsi="宋体" w:cs="宋体"/>
          <w:b/>
          <w:color w:val="auto"/>
          <w:szCs w:val="21"/>
          <w:highlight w:val="none"/>
        </w:rPr>
        <w:t>35.招标代理机构银行账户：</w:t>
      </w:r>
    </w:p>
    <w:p>
      <w:pPr>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交纳成交服务费账户：</w:t>
      </w:r>
    </w:p>
    <w:p>
      <w:pPr>
        <w:pStyle w:val="12"/>
        <w:spacing w:line="420" w:lineRule="exact"/>
        <w:ind w:firstLine="420" w:firstLineChars="200"/>
        <w:rPr>
          <w:rFonts w:hAnsi="宋体" w:cs="宋体"/>
          <w:bCs/>
          <w:color w:val="auto"/>
          <w:szCs w:val="21"/>
          <w:highlight w:val="none"/>
        </w:rPr>
      </w:pPr>
      <w:r>
        <w:rPr>
          <w:rFonts w:hint="eastAsia" w:hAnsi="宋体" w:cs="宋体"/>
          <w:bCs/>
          <w:color w:val="auto"/>
          <w:szCs w:val="21"/>
          <w:highlight w:val="none"/>
        </w:rPr>
        <w:t>开户名称：广西瑞真工程造价咨询有限责任公司桂林分公司</w:t>
      </w:r>
    </w:p>
    <w:p>
      <w:pPr>
        <w:pStyle w:val="12"/>
        <w:spacing w:line="420" w:lineRule="exact"/>
        <w:ind w:firstLine="420" w:firstLineChars="200"/>
        <w:rPr>
          <w:rFonts w:hAnsi="宋体" w:cs="宋体"/>
          <w:bCs/>
          <w:color w:val="auto"/>
          <w:szCs w:val="21"/>
          <w:highlight w:val="none"/>
        </w:rPr>
      </w:pPr>
      <w:r>
        <w:rPr>
          <w:rFonts w:hint="eastAsia" w:hAnsi="宋体" w:cs="宋体"/>
          <w:bCs/>
          <w:color w:val="auto"/>
          <w:szCs w:val="21"/>
          <w:highlight w:val="none"/>
        </w:rPr>
        <w:t>开户银行：桂林银行七星支行</w:t>
      </w:r>
    </w:p>
    <w:p>
      <w:pPr>
        <w:pStyle w:val="12"/>
        <w:spacing w:line="420" w:lineRule="exact"/>
        <w:ind w:firstLine="420" w:firstLineChars="200"/>
        <w:rPr>
          <w:rFonts w:hAnsi="宋体" w:cs="宋体"/>
          <w:bCs/>
          <w:color w:val="auto"/>
          <w:szCs w:val="21"/>
          <w:highlight w:val="none"/>
        </w:rPr>
      </w:pPr>
      <w:r>
        <w:rPr>
          <w:rFonts w:hint="eastAsia" w:hAnsi="宋体" w:cs="宋体"/>
          <w:bCs/>
          <w:color w:val="auto"/>
          <w:szCs w:val="21"/>
          <w:highlight w:val="none"/>
        </w:rPr>
        <w:t xml:space="preserve">银行账号：000 504 453 700 010 </w:t>
      </w:r>
    </w:p>
    <w:p>
      <w:pPr>
        <w:pStyle w:val="12"/>
        <w:spacing w:line="420" w:lineRule="exact"/>
        <w:ind w:firstLine="420" w:firstLineChars="200"/>
        <w:rPr>
          <w:rFonts w:hAnsi="宋体" w:cs="宋体"/>
          <w:color w:val="auto"/>
          <w:szCs w:val="21"/>
          <w:highlight w:val="none"/>
        </w:rPr>
      </w:pPr>
      <w:r>
        <w:rPr>
          <w:rFonts w:hint="eastAsia" w:hAnsi="宋体" w:cs="宋体"/>
          <w:b/>
          <w:color w:val="auto"/>
          <w:szCs w:val="21"/>
          <w:highlight w:val="none"/>
        </w:rPr>
        <w:t>36.解释权：</w:t>
      </w:r>
      <w:r>
        <w:rPr>
          <w:rFonts w:hint="eastAsia" w:hAnsi="宋体" w:cs="宋体"/>
          <w:color w:val="auto"/>
          <w:szCs w:val="21"/>
          <w:highlight w:val="none"/>
        </w:rPr>
        <w:t>本采购文件是根据《中华人民共和国政府采购法》、《中华人民共和国政府采购法实施条例》及</w:t>
      </w:r>
      <w:r>
        <w:rPr>
          <w:rStyle w:val="24"/>
          <w:rFonts w:hint="eastAsia" w:ascii="宋体" w:hAnsi="宋体" w:cs="宋体"/>
          <w:b w:val="0"/>
          <w:color w:val="auto"/>
          <w:szCs w:val="21"/>
          <w:highlight w:val="none"/>
        </w:rPr>
        <w:t>财政部令第87号、</w:t>
      </w:r>
      <w:r>
        <w:rPr>
          <w:rFonts w:hint="eastAsia" w:hAnsi="宋体" w:cs="宋体"/>
          <w:color w:val="auto"/>
          <w:szCs w:val="21"/>
          <w:highlight w:val="none"/>
        </w:rPr>
        <w:t>《政府采购货物和服务招标投标管理办法》等相关规定编制，本采购文件的解释权属于采购人。</w:t>
      </w:r>
    </w:p>
    <w:p>
      <w:pPr>
        <w:spacing w:line="380" w:lineRule="exact"/>
        <w:ind w:firstLine="420" w:firstLineChars="200"/>
        <w:rPr>
          <w:rFonts w:ascii="宋体" w:hAnsi="宋体" w:cs="宋体"/>
          <w:color w:val="auto"/>
          <w:szCs w:val="21"/>
          <w:highlight w:val="none"/>
        </w:rPr>
      </w:pPr>
      <w:r>
        <w:rPr>
          <w:rFonts w:hint="eastAsia" w:ascii="宋体" w:hAnsi="宋体" w:cs="宋体"/>
          <w:b/>
          <w:color w:val="auto"/>
          <w:szCs w:val="21"/>
          <w:highlight w:val="none"/>
        </w:rPr>
        <w:t>37.监督管理机构</w:t>
      </w:r>
      <w:r>
        <w:rPr>
          <w:rFonts w:hint="eastAsia" w:ascii="宋体" w:hAnsi="宋体" w:cs="宋体"/>
          <w:color w:val="auto"/>
          <w:szCs w:val="21"/>
          <w:highlight w:val="none"/>
        </w:rPr>
        <w:t xml:space="preserve">：广西壮族自治区财政厅政府采购监督管理处 联系电话： 0771-5331544   </w:t>
      </w:r>
    </w:p>
    <w:p>
      <w:pPr>
        <w:pStyle w:val="4"/>
        <w:spacing w:line="360" w:lineRule="auto"/>
        <w:rPr>
          <w:color w:val="auto"/>
          <w:highlight w:val="none"/>
        </w:rPr>
        <w:sectPr>
          <w:footerReference r:id="rId9" w:type="first"/>
          <w:footerReference r:id="rId8" w:type="default"/>
          <w:pgSz w:w="11849" w:h="16781"/>
          <w:pgMar w:top="1134" w:right="794" w:bottom="1134" w:left="850" w:header="454" w:footer="454" w:gutter="0"/>
          <w:pgBorders>
            <w:top w:val="none" w:sz="0" w:space="0"/>
            <w:left w:val="none" w:sz="0" w:space="0"/>
            <w:bottom w:val="none" w:sz="0" w:space="0"/>
            <w:right w:val="none" w:sz="0" w:space="0"/>
          </w:pgBorders>
          <w:cols w:space="0" w:num="1"/>
          <w:titlePg/>
          <w:docGrid w:type="linesAndChars" w:linePitch="331" w:charSpace="0"/>
        </w:sectPr>
      </w:pPr>
      <w:r>
        <w:rPr>
          <w:rFonts w:hint="eastAsia"/>
          <w:color w:val="auto"/>
          <w:highlight w:val="none"/>
        </w:rPr>
        <w:br w:type="page"/>
      </w:r>
    </w:p>
    <w:p>
      <w:pPr>
        <w:pStyle w:val="4"/>
        <w:numPr>
          <w:ilvl w:val="0"/>
          <w:numId w:val="5"/>
        </w:numPr>
        <w:spacing w:line="400" w:lineRule="exact"/>
        <w:rPr>
          <w:color w:val="auto"/>
          <w:highlight w:val="none"/>
        </w:rPr>
      </w:pPr>
      <w:bookmarkStart w:id="28" w:name="_Toc29650"/>
      <w:bookmarkStart w:id="29" w:name="_Toc1663"/>
      <w:r>
        <w:rPr>
          <w:rFonts w:hint="eastAsia"/>
          <w:color w:val="auto"/>
          <w:highlight w:val="none"/>
        </w:rPr>
        <w:t>采购需求</w:t>
      </w:r>
    </w:p>
    <w:p>
      <w:pPr>
        <w:pageBreakBefore w:val="0"/>
        <w:widowControl w:val="0"/>
        <w:kinsoku/>
        <w:wordWrap/>
        <w:overflowPunct/>
        <w:topLinePunct w:val="0"/>
        <w:autoSpaceDE/>
        <w:autoSpaceDN/>
        <w:bidi w:val="0"/>
        <w:adjustRightInd/>
        <w:snapToGrid/>
        <w:spacing w:line="400" w:lineRule="exact"/>
        <w:textAlignment w:val="auto"/>
        <w:rPr>
          <w:color w:val="auto"/>
          <w:highlight w:val="none"/>
        </w:rPr>
      </w:pPr>
    </w:p>
    <w:bookmarkEnd w:id="28"/>
    <w:p>
      <w:pPr>
        <w:adjustRightInd w:val="0"/>
        <w:spacing w:line="340" w:lineRule="exact"/>
        <w:rPr>
          <w:rFonts w:ascii="宋体" w:hAnsi="宋体"/>
          <w:bCs/>
          <w:color w:val="auto"/>
          <w:highlight w:val="none"/>
        </w:rPr>
      </w:pPr>
      <w:r>
        <w:rPr>
          <w:rFonts w:hint="eastAsia" w:ascii="宋体" w:hAnsi="宋体"/>
          <w:bCs/>
          <w:color w:val="auto"/>
          <w:highlight w:val="none"/>
        </w:rPr>
        <w:t>说明：</w:t>
      </w:r>
    </w:p>
    <w:p>
      <w:pPr>
        <w:adjustRightInd w:val="0"/>
        <w:spacing w:line="340" w:lineRule="exact"/>
        <w:ind w:firstLine="424" w:firstLineChars="200"/>
        <w:rPr>
          <w:rFonts w:hint="eastAsia" w:ascii="宋体" w:hAnsi="宋体"/>
          <w:bCs/>
          <w:color w:val="auto"/>
          <w:highlight w:val="none"/>
        </w:rPr>
      </w:pPr>
      <w:r>
        <w:rPr>
          <w:rFonts w:hint="eastAsia" w:ascii="宋体" w:hAnsi="宋体"/>
          <w:bCs/>
          <w:color w:val="auto"/>
          <w:highlight w:val="none"/>
        </w:rPr>
        <w:t>1、</w:t>
      </w:r>
      <w:r>
        <w:rPr>
          <w:rFonts w:ascii="宋体" w:hAnsi="宋体"/>
          <w:bCs/>
          <w:color w:val="auto"/>
          <w:highlight w:val="none"/>
        </w:rPr>
        <w:t>本表中</w:t>
      </w:r>
      <w:r>
        <w:rPr>
          <w:rFonts w:hint="eastAsia" w:ascii="宋体" w:hAnsi="宋体"/>
          <w:bCs/>
          <w:color w:val="auto"/>
          <w:highlight w:val="none"/>
        </w:rPr>
        <w:t>的品牌规格型号仅起参考作用，</w:t>
      </w:r>
      <w:r>
        <w:rPr>
          <w:rFonts w:hint="eastAsia" w:ascii="宋体" w:hAnsi="宋体"/>
          <w:bCs/>
          <w:color w:val="auto"/>
          <w:highlight w:val="none"/>
          <w:lang w:val="en-US" w:eastAsia="zh-CN"/>
        </w:rPr>
        <w:t>供应商</w:t>
      </w:r>
      <w:r>
        <w:rPr>
          <w:rFonts w:hint="eastAsia" w:ascii="宋体" w:hAnsi="宋体"/>
          <w:bCs/>
          <w:color w:val="auto"/>
          <w:highlight w:val="none"/>
        </w:rPr>
        <w:t>可选用其他品牌规格型号替代。</w:t>
      </w:r>
    </w:p>
    <w:p>
      <w:pPr>
        <w:adjustRightInd w:val="0"/>
        <w:spacing w:line="340" w:lineRule="exact"/>
        <w:ind w:firstLine="424" w:firstLineChars="200"/>
        <w:rPr>
          <w:rFonts w:hint="eastAsia" w:ascii="宋体" w:hAnsi="宋体"/>
          <w:bCs/>
          <w:color w:val="auto"/>
          <w:highlight w:val="none"/>
        </w:rPr>
      </w:pPr>
      <w:r>
        <w:rPr>
          <w:rFonts w:hint="eastAsia" w:ascii="宋体" w:hAnsi="宋体"/>
          <w:bCs/>
          <w:color w:val="auto"/>
          <w:highlight w:val="none"/>
        </w:rPr>
        <w:t>2、本项目所要执行的政府采购政策：</w:t>
      </w:r>
      <w:r>
        <w:rPr>
          <w:rFonts w:hint="eastAsia"/>
          <w:color w:val="auto"/>
          <w:highlight w:val="none"/>
          <w:shd w:val="clear" w:color="auto" w:fill="FFFFFF"/>
        </w:rPr>
        <w:t>《政府采购促进中小企业发展管理办法》（财库</w:t>
      </w:r>
      <w:r>
        <w:rPr>
          <w:rFonts w:hint="eastAsia" w:ascii="宋体" w:hAnsi="宋体" w:cs="宋体"/>
          <w:color w:val="auto"/>
          <w:highlight w:val="none"/>
          <w:shd w:val="clear" w:color="auto" w:fill="FFFFFF"/>
        </w:rPr>
        <w:t>[2020]46</w:t>
      </w:r>
      <w:r>
        <w:rPr>
          <w:rFonts w:hint="eastAsia"/>
          <w:color w:val="auto"/>
          <w:highlight w:val="none"/>
          <w:shd w:val="clear" w:color="auto" w:fill="FFFFFF"/>
        </w:rPr>
        <w:t>号）</w:t>
      </w:r>
      <w:r>
        <w:rPr>
          <w:rFonts w:hint="eastAsia" w:ascii="宋体" w:hAnsi="宋体"/>
          <w:bCs/>
          <w:color w:val="auto"/>
          <w:highlight w:val="none"/>
        </w:rPr>
        <w:t>、《关于政府采购支持监狱企业发展有关问题的通知》（财库[2014]68号）、《关于促进残疾人就业政府采购政策的通知》（财库[2017]141号）、强制、优先采购节能、环保产品；《广西壮族自治区人民政府办公厅关于印发招标采购促进广西工业产品产销对接实施细则的通知》（桂政办发【2015】78号）。</w:t>
      </w:r>
    </w:p>
    <w:p>
      <w:pPr>
        <w:adjustRightInd w:val="0"/>
        <w:spacing w:line="340" w:lineRule="exact"/>
        <w:ind w:firstLine="424" w:firstLineChars="200"/>
        <w:rPr>
          <w:rFonts w:hint="eastAsia" w:ascii="宋体" w:hAnsi="宋体" w:cs="Times New Roman"/>
          <w:bCs/>
          <w:color w:val="auto"/>
          <w:highlight w:val="none"/>
          <w:lang w:val="en-US" w:eastAsia="zh-CN"/>
        </w:rPr>
      </w:pPr>
      <w:r>
        <w:rPr>
          <w:rFonts w:hint="eastAsia" w:ascii="宋体" w:hAnsi="宋体" w:cs="Times New Roman"/>
          <w:bCs/>
          <w:color w:val="auto"/>
          <w:highlight w:val="none"/>
          <w:lang w:val="en-US" w:eastAsia="zh-CN"/>
        </w:rPr>
        <w:t>3、</w:t>
      </w:r>
      <w:r>
        <w:rPr>
          <w:rFonts w:hint="eastAsia" w:ascii="宋体" w:hAnsi="宋体" w:cs="Times New Roman"/>
          <w:bCs/>
          <w:color w:val="auto"/>
          <w:highlight w:val="none"/>
        </w:rPr>
        <w:t>根据财库〔2019〕9 号及财库〔2019〕19 号文件规定，台式计算机，便携式计算机、 平板式微型计算机，激光打印机，针式打印机，液晶显示器，制冷压缩机（冷水机组、水源 热泵机组、溴化锂吸收式冷水机组），空调机组[多联式空调（热泵）机组（制冷量＞14000W）， 单元式空气调节机（制冷量＞14000W）]，专用制冷、空调设备（机房空调），镇流器（管型荧光灯镇流器），空调机[房间空气调节器、多联式空调（热泵）机组（制冷量≤14000W）、 单元式空气调节机（制冷量≤14000W）]，电热水器，普通照明用双端荧光灯，电视设备[普 通电 视设备（电视机）]，视频设备（视频监控设备、监视器），便器（坐便器、蹲便器、 小便器），水嘴均为政府强制采购节能产品。</w:t>
      </w:r>
      <w:r>
        <w:rPr>
          <w:rFonts w:hint="eastAsia" w:ascii="宋体" w:hAnsi="宋体" w:cs="Times New Roman"/>
          <w:bCs/>
          <w:color w:val="auto"/>
          <w:highlight w:val="none"/>
          <w:lang w:val="en-US" w:eastAsia="zh-CN"/>
        </w:rPr>
        <w:t>供应商</w:t>
      </w:r>
      <w:r>
        <w:rPr>
          <w:rFonts w:hint="eastAsia" w:ascii="宋体" w:hAnsi="宋体" w:cs="Times New Roman"/>
          <w:bCs/>
          <w:color w:val="auto"/>
          <w:highlight w:val="none"/>
        </w:rPr>
        <w:t>的投标货物如有以上产品，</w:t>
      </w:r>
      <w:r>
        <w:rPr>
          <w:rFonts w:hint="eastAsia" w:ascii="宋体" w:hAnsi="宋体" w:cs="Times New Roman"/>
          <w:bCs/>
          <w:color w:val="auto"/>
          <w:highlight w:val="none"/>
          <w:lang w:val="en-US" w:eastAsia="zh-CN"/>
        </w:rPr>
        <w:t>供应商</w:t>
      </w:r>
      <w:r>
        <w:rPr>
          <w:rFonts w:hint="eastAsia" w:ascii="宋体" w:hAnsi="宋体" w:cs="Times New Roman"/>
          <w:bCs/>
          <w:color w:val="auto"/>
          <w:highlight w:val="none"/>
        </w:rPr>
        <w:t>投标时投标文件中必须提供由国家确定的认证机构出具的处于有效期之内的节能产品或环境标志产品认证证书复印件（加盖</w:t>
      </w:r>
      <w:r>
        <w:rPr>
          <w:rFonts w:hint="eastAsia" w:ascii="宋体" w:hAnsi="宋体" w:cs="Times New Roman"/>
          <w:bCs/>
          <w:color w:val="auto"/>
          <w:highlight w:val="none"/>
          <w:lang w:val="en-US" w:eastAsia="zh-CN"/>
        </w:rPr>
        <w:t>供应商</w:t>
      </w:r>
      <w:r>
        <w:rPr>
          <w:rFonts w:hint="eastAsia" w:ascii="宋体" w:hAnsi="宋体" w:cs="Times New Roman"/>
          <w:bCs/>
          <w:color w:val="auto"/>
          <w:highlight w:val="none"/>
        </w:rPr>
        <w:t>公章），否则相应投标无效。</w:t>
      </w:r>
    </w:p>
    <w:p>
      <w:pPr>
        <w:adjustRightInd w:val="0"/>
        <w:spacing w:line="340" w:lineRule="exact"/>
        <w:ind w:firstLine="424" w:firstLineChars="200"/>
        <w:rPr>
          <w:rFonts w:hint="default" w:ascii="宋体" w:hAnsi="宋体" w:cs="Times New Roman"/>
          <w:bCs/>
          <w:color w:val="auto"/>
          <w:highlight w:val="none"/>
          <w:lang w:val="en-US" w:eastAsia="zh-CN"/>
        </w:rPr>
      </w:pPr>
      <w:r>
        <w:rPr>
          <w:rFonts w:hint="eastAsia" w:ascii="宋体" w:hAnsi="宋体" w:cs="Times New Roman"/>
          <w:bCs/>
          <w:color w:val="auto"/>
          <w:highlight w:val="none"/>
          <w:lang w:val="en-US" w:eastAsia="zh-CN"/>
        </w:rPr>
        <w:t>4、采购需求第1-4项产品对应的中小企业划分行业为：软件和信息技术业，第5-31项产品对应的中小企业划分行业为：其他。</w:t>
      </w:r>
    </w:p>
    <w:tbl>
      <w:tblPr>
        <w:tblStyle w:val="21"/>
        <w:tblW w:w="10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50"/>
        <w:gridCol w:w="1853"/>
        <w:gridCol w:w="4961"/>
        <w:gridCol w:w="992"/>
        <w:gridCol w:w="1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widowControl/>
              <w:spacing w:line="400" w:lineRule="exact"/>
              <w:jc w:val="center"/>
              <w:textAlignment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项号</w:t>
            </w:r>
          </w:p>
        </w:tc>
        <w:tc>
          <w:tcPr>
            <w:tcW w:w="1853" w:type="dxa"/>
            <w:shd w:val="clear" w:color="auto" w:fill="FFFFFF"/>
            <w:noWrap w:val="0"/>
            <w:vAlign w:val="center"/>
          </w:tcPr>
          <w:p>
            <w:pPr>
              <w:widowControl/>
              <w:spacing w:line="400" w:lineRule="exact"/>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项目名称</w:t>
            </w:r>
          </w:p>
        </w:tc>
        <w:tc>
          <w:tcPr>
            <w:tcW w:w="4961" w:type="dxa"/>
            <w:shd w:val="clear" w:color="auto" w:fill="FFFFFF"/>
            <w:noWrap w:val="0"/>
            <w:vAlign w:val="center"/>
          </w:tcPr>
          <w:p>
            <w:pPr>
              <w:widowControl/>
              <w:spacing w:line="400" w:lineRule="exact"/>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rPr>
              <w:t>招标技术需求（技术参数、性能及配置）</w:t>
            </w:r>
          </w:p>
        </w:tc>
        <w:tc>
          <w:tcPr>
            <w:tcW w:w="992" w:type="dxa"/>
            <w:shd w:val="clear" w:color="auto" w:fill="FFFFFF"/>
            <w:noWrap w:val="0"/>
            <w:vAlign w:val="center"/>
          </w:tcPr>
          <w:p>
            <w:pPr>
              <w:widowControl/>
              <w:spacing w:line="400" w:lineRule="exact"/>
              <w:jc w:val="center"/>
              <w:textAlignment w:val="bottom"/>
              <w:rPr>
                <w:rFonts w:ascii="宋体" w:hAnsi="宋体" w:cs="宋体"/>
                <w:b/>
                <w:bCs/>
                <w:color w:val="auto"/>
                <w:szCs w:val="21"/>
                <w:highlight w:val="none"/>
              </w:rPr>
            </w:pPr>
            <w:r>
              <w:rPr>
                <w:rFonts w:hint="eastAsia" w:ascii="宋体" w:hAnsi="宋体" w:cs="宋体"/>
                <w:b/>
                <w:bCs/>
                <w:color w:val="auto"/>
                <w:kern w:val="0"/>
                <w:szCs w:val="21"/>
                <w:highlight w:val="none"/>
              </w:rPr>
              <w:t>数量</w:t>
            </w:r>
          </w:p>
        </w:tc>
        <w:tc>
          <w:tcPr>
            <w:tcW w:w="1833" w:type="dxa"/>
            <w:shd w:val="clear" w:color="auto" w:fill="FFFFFF"/>
            <w:noWrap w:val="0"/>
            <w:vAlign w:val="center"/>
          </w:tcPr>
          <w:p>
            <w:pPr>
              <w:widowControl/>
              <w:spacing w:line="400" w:lineRule="exact"/>
              <w:jc w:val="center"/>
              <w:textAlignment w:val="bottom"/>
              <w:rPr>
                <w:rFonts w:hint="eastAsia" w:ascii="宋体" w:hAnsi="宋体" w:eastAsia="宋体" w:cs="宋体"/>
                <w:b/>
                <w:bCs/>
                <w:color w:val="auto"/>
                <w:szCs w:val="21"/>
                <w:highlight w:val="none"/>
                <w:lang w:eastAsia="zh-CN"/>
              </w:rPr>
            </w:pPr>
            <w:r>
              <w:rPr>
                <w:rFonts w:hint="eastAsia" w:ascii="宋体" w:hAnsi="宋体" w:cs="宋体"/>
                <w:b/>
                <w:bCs/>
                <w:color w:val="auto"/>
                <w:kern w:val="0"/>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w:t>
            </w:r>
          </w:p>
        </w:tc>
        <w:tc>
          <w:tcPr>
            <w:tcW w:w="1853" w:type="dxa"/>
            <w:shd w:val="clear" w:color="auto" w:fill="FFFFFF"/>
            <w:noWrap w:val="0"/>
            <w:vAlign w:val="center"/>
          </w:tcPr>
          <w:p>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lang w:val="en-US" w:eastAsia="zh-CN"/>
              </w:rPr>
              <w:t>院前急救系统</w:t>
            </w:r>
          </w:p>
        </w:tc>
        <w:tc>
          <w:tcPr>
            <w:tcW w:w="4961" w:type="dxa"/>
            <w:shd w:val="clear" w:color="auto" w:fill="FFFFFF"/>
            <w:noWrap w:val="0"/>
            <w:vAlign w:val="center"/>
          </w:tcPr>
          <w:p>
            <w:pPr>
              <w:adjustRightInd w:val="0"/>
              <w:snapToGrid w:val="0"/>
              <w:spacing w:line="400" w:lineRule="exact"/>
              <w:jc w:val="center"/>
              <w:rPr>
                <w:rFonts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adjustRightInd w:val="0"/>
              <w:snapToGrid w:val="0"/>
              <w:spacing w:line="40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套</w:t>
            </w:r>
          </w:p>
        </w:tc>
        <w:tc>
          <w:tcPr>
            <w:tcW w:w="1833" w:type="dxa"/>
            <w:shd w:val="clear" w:color="auto" w:fill="FFFFFF"/>
            <w:noWrap w:val="0"/>
            <w:vAlign w:val="center"/>
          </w:tcPr>
          <w:p>
            <w:pPr>
              <w:widowControl/>
              <w:adjustRightInd w:val="0"/>
              <w:snapToGrid w:val="0"/>
              <w:spacing w:line="400" w:lineRule="exact"/>
              <w:jc w:val="center"/>
              <w:rPr>
                <w:rFonts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6"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w:t>
            </w:r>
          </w:p>
        </w:tc>
        <w:tc>
          <w:tcPr>
            <w:tcW w:w="1853" w:type="dxa"/>
            <w:shd w:val="clear" w:color="auto" w:fill="FFFFFF"/>
            <w:noWrap w:val="0"/>
            <w:vAlign w:val="center"/>
          </w:tcPr>
          <w:p>
            <w:pPr>
              <w:adjustRightInd w:val="0"/>
              <w:snapToGrid w:val="0"/>
              <w:spacing w:line="40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院内急诊模块</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套</w:t>
            </w:r>
          </w:p>
        </w:tc>
        <w:tc>
          <w:tcPr>
            <w:tcW w:w="1833" w:type="dxa"/>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急诊三大中心</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套</w:t>
            </w:r>
          </w:p>
        </w:tc>
        <w:tc>
          <w:tcPr>
            <w:tcW w:w="1833" w:type="dxa"/>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4</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120智慧急救调度系统</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套</w:t>
            </w:r>
          </w:p>
        </w:tc>
        <w:tc>
          <w:tcPr>
            <w:tcW w:w="1833" w:type="dxa"/>
            <w:shd w:val="clear" w:color="auto" w:fill="FFFFFF"/>
            <w:noWrap w:val="0"/>
            <w:vAlign w:val="center"/>
          </w:tcPr>
          <w:p>
            <w:pPr>
              <w:widowControl/>
              <w:adjustRightInd w:val="0"/>
              <w:snapToGrid w:val="0"/>
              <w:spacing w:line="400" w:lineRule="exact"/>
              <w:jc w:val="center"/>
              <w:rPr>
                <w:rFonts w:hint="eastAsia" w:ascii="宋体" w:hAnsi="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5</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车载录像机</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6</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车载半球摄像机</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7</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硬盘录像机存储硬盘</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8</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车载终端</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9</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数字中继网关</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语音交换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10</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IP耳麦话机</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坐席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11</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话务耳机</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坐席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12</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耳麦培训线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卷</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坐席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13</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耳麦连接线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卷</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坐席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14</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耳麦连接线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卷</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坐席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15</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49寸拼接屏</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16</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拼接盒</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17</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支架</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18</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拼接处理器</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19</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视频线材</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卷</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20</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插线板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21</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电源线及管材</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卷</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120显示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22</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蓝牙信号基站</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时间采集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23</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电子腕带</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200</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时间采集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24</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color w:val="auto"/>
                <w:highlight w:val="none"/>
                <w:lang w:val="en-US" w:eastAsia="zh-CN"/>
              </w:rPr>
              <w:t>平板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司机端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25</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PDA</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护士/医生端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26</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车载无线</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信号处理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27</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耳麦/音响</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3</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协同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28</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车载采集机</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设备接入处理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29</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急救记录仪</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台</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护士端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30</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耳麦</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协同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550"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31</w:t>
            </w:r>
          </w:p>
        </w:tc>
        <w:tc>
          <w:tcPr>
            <w:tcW w:w="1853"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车载摄像头</w:t>
            </w:r>
          </w:p>
        </w:tc>
        <w:tc>
          <w:tcPr>
            <w:tcW w:w="4961" w:type="dxa"/>
            <w:shd w:val="clear" w:color="auto" w:fill="FFFFFF"/>
            <w:noWrap w:val="0"/>
            <w:vAlign w:val="center"/>
          </w:tcPr>
          <w:p>
            <w:pPr>
              <w:adjustRightInd w:val="0"/>
              <w:snapToGrid w:val="0"/>
              <w:spacing w:line="400" w:lineRule="exact"/>
              <w:jc w:val="center"/>
              <w:rPr>
                <w:rFonts w:hint="eastAsia" w:ascii="宋体" w:hAnsi="宋体"/>
                <w:color w:val="auto"/>
                <w:szCs w:val="21"/>
                <w:highlight w:val="none"/>
              </w:rPr>
            </w:pPr>
            <w:r>
              <w:rPr>
                <w:rFonts w:hint="eastAsia" w:ascii="宋体" w:hAnsi="宋体"/>
                <w:color w:val="auto"/>
                <w:szCs w:val="21"/>
                <w:highlight w:val="none"/>
              </w:rPr>
              <w:t>详见附件</w:t>
            </w:r>
          </w:p>
        </w:tc>
        <w:tc>
          <w:tcPr>
            <w:tcW w:w="992"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r>
              <w:rPr>
                <w:rFonts w:hint="eastAsia" w:ascii="宋体" w:hAnsi="宋体" w:cs="宋体"/>
                <w:i w:val="0"/>
                <w:iCs w:val="0"/>
                <w:color w:val="auto"/>
                <w:kern w:val="0"/>
                <w:sz w:val="21"/>
                <w:szCs w:val="21"/>
                <w:highlight w:val="none"/>
                <w:u w:val="none"/>
                <w:lang w:val="en-US" w:eastAsia="zh-CN" w:bidi="ar"/>
              </w:rPr>
              <w:t>个</w:t>
            </w:r>
          </w:p>
        </w:tc>
        <w:tc>
          <w:tcPr>
            <w:tcW w:w="183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center"/>
              <w:textAlignment w:val="center"/>
              <w:rPr>
                <w:rFonts w:hint="eastAsia" w:ascii="宋体" w:hAnsi="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协同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10189" w:type="dxa"/>
            <w:gridSpan w:val="5"/>
            <w:shd w:val="clear" w:color="auto" w:fill="FFFFFF"/>
            <w:noWrap w:val="0"/>
            <w:vAlign w:val="center"/>
          </w:tcPr>
          <w:p>
            <w:pPr>
              <w:widowControl/>
              <w:spacing w:line="400" w:lineRule="exact"/>
              <w:textAlignment w:val="bottom"/>
              <w:rPr>
                <w:rFonts w:ascii="宋体" w:hAnsi="宋体" w:cs="宋体"/>
                <w:bCs/>
                <w:color w:val="auto"/>
                <w:kern w:val="0"/>
                <w:szCs w:val="21"/>
                <w:highlight w:val="none"/>
              </w:rPr>
            </w:pPr>
            <w:r>
              <w:rPr>
                <w:rFonts w:hint="eastAsia" w:ascii="宋体" w:hAnsi="宋体" w:cs="宋体"/>
                <w:bCs/>
                <w:color w:val="auto"/>
                <w:kern w:val="0"/>
                <w:szCs w:val="21"/>
                <w:highlight w:val="none"/>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55" w:hRule="atLeast"/>
          <w:jc w:val="center"/>
        </w:trPr>
        <w:tc>
          <w:tcPr>
            <w:tcW w:w="2403" w:type="dxa"/>
            <w:gridSpan w:val="2"/>
            <w:shd w:val="clear" w:color="auto" w:fill="FFFFFF"/>
            <w:noWrap w:val="0"/>
            <w:vAlign w:val="center"/>
          </w:tcPr>
          <w:p>
            <w:pPr>
              <w:widowControl/>
              <w:spacing w:line="400" w:lineRule="exact"/>
              <w:jc w:val="center"/>
              <w:textAlignment w:val="bottom"/>
              <w:rPr>
                <w:rFonts w:ascii="宋体" w:hAnsi="宋体" w:cs="宋体"/>
                <w:b/>
                <w:bCs/>
                <w:color w:val="auto"/>
                <w:kern w:val="0"/>
                <w:szCs w:val="21"/>
                <w:highlight w:val="none"/>
              </w:rPr>
            </w:pPr>
            <w:r>
              <w:rPr>
                <w:rFonts w:hint="eastAsia" w:ascii="宋体" w:hAnsi="宋体" w:cs="宋体"/>
                <w:bCs/>
                <w:color w:val="auto"/>
                <w:kern w:val="0"/>
                <w:szCs w:val="21"/>
                <w:highlight w:val="none"/>
              </w:rPr>
              <w:t>售后服务要求</w:t>
            </w:r>
          </w:p>
        </w:tc>
        <w:tc>
          <w:tcPr>
            <w:tcW w:w="7786" w:type="dxa"/>
            <w:gridSpan w:val="3"/>
            <w:shd w:val="clear" w:color="auto" w:fill="FFFFFF"/>
            <w:noWrap w:val="0"/>
            <w:vAlign w:val="center"/>
          </w:tcPr>
          <w:p>
            <w:pPr>
              <w:widowControl/>
              <w:adjustRightInd w:val="0"/>
              <w:snapToGrid w:val="0"/>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1、系统免费维保时间</w:t>
            </w:r>
            <w:r>
              <w:rPr>
                <w:rFonts w:hint="eastAsia" w:ascii="宋体" w:hAnsi="宋体" w:cs="宋体"/>
                <w:bCs/>
                <w:color w:val="auto"/>
                <w:kern w:val="0"/>
                <w:szCs w:val="21"/>
                <w:highlight w:val="none"/>
                <w:lang w:val="en-US" w:eastAsia="zh-CN"/>
              </w:rPr>
              <w:t>1</w:t>
            </w:r>
            <w:r>
              <w:rPr>
                <w:rFonts w:hint="eastAsia" w:ascii="宋体" w:hAnsi="宋体" w:cs="宋体"/>
                <w:bCs/>
                <w:color w:val="auto"/>
                <w:kern w:val="0"/>
                <w:szCs w:val="21"/>
                <w:highlight w:val="none"/>
              </w:rPr>
              <w:t>年</w:t>
            </w:r>
            <w:r>
              <w:rPr>
                <w:rFonts w:hint="eastAsia" w:ascii="宋体" w:hAnsi="宋体" w:cs="宋体"/>
                <w:bCs/>
                <w:color w:val="auto"/>
                <w:kern w:val="0"/>
                <w:szCs w:val="21"/>
                <w:highlight w:val="none"/>
              </w:rPr>
              <w:t>，硬件按设备厂家标准保修，维保起始时间从项目验收之日起计算；</w:t>
            </w:r>
          </w:p>
          <w:p>
            <w:pPr>
              <w:keepNext w:val="0"/>
              <w:keepLines w:val="0"/>
              <w:pageBreakBefore w:val="0"/>
              <w:numPr>
                <w:ilvl w:val="0"/>
                <w:numId w:val="0"/>
              </w:numPr>
              <w:tabs>
                <w:tab w:val="left" w:pos="0"/>
              </w:tabs>
              <w:kinsoku/>
              <w:wordWrap/>
              <w:overflowPunct/>
              <w:topLinePunct w:val="0"/>
              <w:autoSpaceDE/>
              <w:autoSpaceDN/>
              <w:bidi w:val="0"/>
              <w:snapToGrid w:val="0"/>
              <w:spacing w:before="0" w:after="0" w:line="400" w:lineRule="exact"/>
              <w:ind w:leftChars="0"/>
              <w:jc w:val="left"/>
              <w:textAlignment w:val="auto"/>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2、免费送货上门，免费安装、免费调试，</w:t>
            </w:r>
            <w:r>
              <w:rPr>
                <w:rFonts w:hint="eastAsia" w:ascii="宋体" w:hAnsi="宋体" w:eastAsia="宋体" w:cs="宋体"/>
                <w:color w:val="auto"/>
                <w:szCs w:val="21"/>
                <w:highlight w:val="none"/>
              </w:rPr>
              <w:t>免费提供现场技术培训，保证使用人员正常操作软件的各项功能；在</w:t>
            </w:r>
            <w:r>
              <w:rPr>
                <w:rFonts w:hint="eastAsia" w:ascii="宋体" w:hAnsi="宋体" w:eastAsia="宋体" w:cs="宋体"/>
                <w:bCs/>
                <w:color w:val="auto"/>
                <w:kern w:val="0"/>
                <w:szCs w:val="21"/>
                <w:highlight w:val="none"/>
              </w:rPr>
              <w:t>免费维护期内提供</w:t>
            </w:r>
            <w:r>
              <w:rPr>
                <w:rFonts w:hint="eastAsia" w:ascii="宋体" w:hAnsi="宋体" w:eastAsia="宋体" w:cs="宋体"/>
                <w:color w:val="auto"/>
                <w:szCs w:val="21"/>
                <w:highlight w:val="none"/>
              </w:rPr>
              <w:t>免费升级；其余按供应商承诺进行。</w:t>
            </w:r>
          </w:p>
          <w:p>
            <w:pPr>
              <w:widowControl/>
              <w:adjustRightInd w:val="0"/>
              <w:snapToGrid w:val="0"/>
              <w:spacing w:line="400" w:lineRule="exact"/>
              <w:jc w:val="left"/>
              <w:textAlignment w:val="bottom"/>
              <w:rPr>
                <w:rFonts w:ascii="宋体" w:hAnsi="宋体" w:cs="宋体"/>
                <w:bCs/>
                <w:color w:val="auto"/>
                <w:kern w:val="0"/>
                <w:szCs w:val="21"/>
                <w:highlight w:val="none"/>
              </w:rPr>
            </w:pPr>
            <w:r>
              <w:rPr>
                <w:rFonts w:hint="eastAsia" w:ascii="宋体" w:hAnsi="宋体" w:eastAsia="宋体" w:cs="宋体"/>
                <w:color w:val="auto"/>
                <w:szCs w:val="21"/>
                <w:highlight w:val="none"/>
              </w:rPr>
              <w:t>3、提供售后服务联系电话及联系人，</w:t>
            </w:r>
            <w:r>
              <w:rPr>
                <w:rFonts w:hint="eastAsia" w:ascii="宋体" w:hAnsi="宋体" w:eastAsia="宋体" w:cs="宋体"/>
                <w:bCs/>
                <w:color w:val="auto"/>
                <w:kern w:val="0"/>
                <w:szCs w:val="21"/>
                <w:highlight w:val="none"/>
              </w:rPr>
              <w:t>免费维护期</w:t>
            </w:r>
            <w:r>
              <w:rPr>
                <w:rFonts w:hint="eastAsia" w:ascii="宋体" w:hAnsi="宋体" w:eastAsia="宋体" w:cs="宋体"/>
                <w:color w:val="auto"/>
                <w:szCs w:val="21"/>
                <w:highlight w:val="none"/>
              </w:rPr>
              <w:t>内，接到报障电话在承诺时间内派工程技术人员上门维修解决问题。技术服务可以提供远程服务，如果远程服务不能解决问题的，应及时派工程技术人员上门服务并解决问题。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55" w:hRule="atLeast"/>
          <w:jc w:val="center"/>
        </w:trPr>
        <w:tc>
          <w:tcPr>
            <w:tcW w:w="2403" w:type="dxa"/>
            <w:gridSpan w:val="2"/>
            <w:shd w:val="clear" w:color="auto" w:fill="FFFFFF"/>
            <w:noWrap w:val="0"/>
            <w:vAlign w:val="center"/>
          </w:tcPr>
          <w:p>
            <w:pPr>
              <w:widowControl/>
              <w:spacing w:line="400" w:lineRule="exact"/>
              <w:jc w:val="center"/>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交付使用时间及地点</w:t>
            </w:r>
          </w:p>
        </w:tc>
        <w:tc>
          <w:tcPr>
            <w:tcW w:w="7786" w:type="dxa"/>
            <w:gridSpan w:val="3"/>
            <w:shd w:val="clear" w:color="auto" w:fill="FFFFFF"/>
            <w:noWrap w:val="0"/>
            <w:vAlign w:val="center"/>
          </w:tcPr>
          <w:p>
            <w:pPr>
              <w:widowControl/>
              <w:adjustRightInd w:val="0"/>
              <w:snapToGrid w:val="0"/>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1、交付使用时间：</w:t>
            </w:r>
            <w:r>
              <w:rPr>
                <w:rFonts w:hint="eastAsia" w:ascii="宋体" w:hAnsi="宋体" w:cs="宋体"/>
                <w:bCs/>
                <w:color w:val="auto"/>
                <w:kern w:val="0"/>
                <w:szCs w:val="21"/>
                <w:highlight w:val="none"/>
              </w:rPr>
              <w:t>自签订合同之日起</w:t>
            </w:r>
            <w:r>
              <w:rPr>
                <w:rFonts w:hint="eastAsia" w:ascii="宋体" w:hAnsi="宋体" w:cs="宋体"/>
                <w:bCs/>
                <w:color w:val="auto"/>
                <w:kern w:val="0"/>
                <w:szCs w:val="21"/>
                <w:highlight w:val="none"/>
                <w:lang w:val="en-US" w:eastAsia="zh-CN"/>
              </w:rPr>
              <w:t>60</w:t>
            </w:r>
            <w:r>
              <w:rPr>
                <w:rFonts w:hint="eastAsia" w:ascii="宋体" w:hAnsi="宋体" w:cs="宋体"/>
                <w:bCs/>
                <w:color w:val="auto"/>
                <w:kern w:val="0"/>
                <w:szCs w:val="21"/>
                <w:highlight w:val="none"/>
              </w:rPr>
              <w:t>日内安装调试完毕交付使用</w:t>
            </w:r>
            <w:r>
              <w:rPr>
                <w:rFonts w:hint="eastAsia" w:ascii="宋体" w:hAnsi="宋体" w:cs="宋体"/>
                <w:bCs/>
                <w:color w:val="auto"/>
                <w:kern w:val="0"/>
                <w:szCs w:val="21"/>
                <w:highlight w:val="none"/>
              </w:rPr>
              <w:t>。</w:t>
            </w:r>
          </w:p>
          <w:p>
            <w:pPr>
              <w:widowControl/>
              <w:adjustRightInd w:val="0"/>
              <w:snapToGrid w:val="0"/>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2、交付地点：广西桂林市采购人指定地点。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2403" w:type="dxa"/>
            <w:gridSpan w:val="2"/>
            <w:shd w:val="clear" w:color="auto" w:fill="FFFFFF"/>
            <w:noWrap w:val="0"/>
            <w:vAlign w:val="center"/>
          </w:tcPr>
          <w:p>
            <w:pPr>
              <w:widowControl/>
              <w:spacing w:line="400" w:lineRule="exact"/>
              <w:jc w:val="center"/>
              <w:textAlignment w:val="bottom"/>
              <w:rPr>
                <w:rFonts w:ascii="宋体" w:hAnsi="宋体" w:cs="宋体"/>
                <w:bCs/>
                <w:color w:val="auto"/>
                <w:kern w:val="0"/>
                <w:szCs w:val="21"/>
                <w:highlight w:val="none"/>
              </w:rPr>
            </w:pPr>
            <w:r>
              <w:rPr>
                <w:rFonts w:hint="eastAsia" w:ascii="宋体" w:hAnsi="宋体" w:cs="宋体"/>
                <w:bCs/>
                <w:color w:val="auto"/>
                <w:kern w:val="0"/>
                <w:szCs w:val="21"/>
                <w:highlight w:val="none"/>
              </w:rPr>
              <w:t>付款方式</w:t>
            </w:r>
          </w:p>
        </w:tc>
        <w:tc>
          <w:tcPr>
            <w:tcW w:w="7786" w:type="dxa"/>
            <w:gridSpan w:val="3"/>
            <w:shd w:val="clear" w:color="auto" w:fill="FFFFFF"/>
            <w:noWrap w:val="0"/>
            <w:vAlign w:val="center"/>
          </w:tcPr>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1、货物安装调试完成合格后的三个月后支付合同价款的95%；</w:t>
            </w:r>
          </w:p>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2、余下的5%在设备正常使用满1年后的3个月内转账支付；</w:t>
            </w:r>
          </w:p>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3、</w:t>
            </w:r>
            <w:r>
              <w:rPr>
                <w:rFonts w:hint="eastAsia" w:ascii="宋体" w:hAnsi="宋体" w:cs="宋体"/>
                <w:bCs/>
                <w:color w:val="auto"/>
                <w:kern w:val="0"/>
                <w:szCs w:val="21"/>
                <w:highlight w:val="none"/>
                <w:lang w:val="en-US" w:eastAsia="zh-CN"/>
              </w:rPr>
              <w:t>中标</w:t>
            </w:r>
            <w:r>
              <w:rPr>
                <w:rFonts w:hint="eastAsia" w:ascii="宋体" w:hAnsi="宋体" w:cs="宋体"/>
                <w:bCs/>
                <w:color w:val="auto"/>
                <w:kern w:val="0"/>
                <w:szCs w:val="21"/>
                <w:highlight w:val="none"/>
              </w:rPr>
              <w:t>供应商收到款项后开具相应金额的发票给采购人；</w:t>
            </w:r>
          </w:p>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4、本合同使用货币币制如未作特别说明均为人民币。</w:t>
            </w:r>
          </w:p>
          <w:p>
            <w:pPr>
              <w:widowControl/>
              <w:spacing w:line="400" w:lineRule="exact"/>
              <w:jc w:val="left"/>
              <w:textAlignment w:val="bottom"/>
              <w:rPr>
                <w:rFonts w:ascii="宋体" w:hAnsi="宋体" w:cs="宋体"/>
                <w:bCs/>
                <w:color w:val="auto"/>
                <w:kern w:val="0"/>
                <w:szCs w:val="21"/>
                <w:highlight w:val="none"/>
              </w:rPr>
            </w:pPr>
            <w:r>
              <w:rPr>
                <w:rFonts w:hint="eastAsia" w:ascii="宋体" w:hAnsi="宋体" w:cs="宋体"/>
                <w:bCs/>
                <w:color w:val="auto"/>
                <w:kern w:val="0"/>
                <w:szCs w:val="21"/>
                <w:highlight w:val="none"/>
              </w:rPr>
              <w:t>5、票据要求：</w:t>
            </w:r>
            <w:r>
              <w:rPr>
                <w:rFonts w:hint="eastAsia" w:ascii="宋体" w:hAnsi="宋体" w:cs="宋体"/>
                <w:bCs/>
                <w:color w:val="auto"/>
                <w:kern w:val="0"/>
                <w:szCs w:val="21"/>
                <w:highlight w:val="none"/>
                <w:lang w:val="en-US" w:eastAsia="zh-CN"/>
              </w:rPr>
              <w:t>中标</w:t>
            </w:r>
            <w:r>
              <w:rPr>
                <w:rFonts w:hint="eastAsia" w:ascii="宋体" w:hAnsi="宋体" w:cs="宋体"/>
                <w:bCs/>
                <w:color w:val="auto"/>
                <w:kern w:val="0"/>
                <w:szCs w:val="21"/>
                <w:highlight w:val="none"/>
              </w:rPr>
              <w:t>供应商必须按照采购人要求提供真实、有效、合法的正式发票。一旦发现</w:t>
            </w:r>
            <w:r>
              <w:rPr>
                <w:rFonts w:hint="eastAsia" w:ascii="宋体" w:hAnsi="宋体" w:cs="宋体"/>
                <w:bCs/>
                <w:color w:val="auto"/>
                <w:kern w:val="0"/>
                <w:szCs w:val="21"/>
                <w:highlight w:val="none"/>
                <w:lang w:val="en-US" w:eastAsia="zh-CN"/>
              </w:rPr>
              <w:t>中标</w:t>
            </w:r>
            <w:r>
              <w:rPr>
                <w:rFonts w:hint="eastAsia" w:ascii="宋体" w:hAnsi="宋体" w:cs="宋体"/>
                <w:bCs/>
                <w:color w:val="auto"/>
                <w:kern w:val="0"/>
                <w:szCs w:val="21"/>
                <w:highlight w:val="none"/>
              </w:rPr>
              <w:t>供应商提供虚假发票，除须向采购人补开合法发票外，须赔偿采购人发票票面金额一倍的违约金，且采购人有权终止合同，供应商不得提出异议，因终止合同而产生的一切损失均由供应商承担。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0" w:hRule="atLeast"/>
          <w:jc w:val="center"/>
        </w:trPr>
        <w:tc>
          <w:tcPr>
            <w:tcW w:w="2403" w:type="dxa"/>
            <w:gridSpan w:val="2"/>
            <w:shd w:val="clear" w:color="auto" w:fill="FFFFFF"/>
            <w:noWrap w:val="0"/>
            <w:vAlign w:val="center"/>
          </w:tcPr>
          <w:p>
            <w:pPr>
              <w:widowControl/>
              <w:spacing w:line="400" w:lineRule="exact"/>
              <w:jc w:val="center"/>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验收标准</w:t>
            </w:r>
          </w:p>
        </w:tc>
        <w:tc>
          <w:tcPr>
            <w:tcW w:w="7786" w:type="dxa"/>
            <w:gridSpan w:val="3"/>
            <w:shd w:val="clear" w:color="auto" w:fill="FFFFFF"/>
            <w:noWrap w:val="0"/>
            <w:vAlign w:val="center"/>
          </w:tcPr>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满足本次采购</w:t>
            </w:r>
            <w:r>
              <w:rPr>
                <w:rFonts w:hint="eastAsia" w:ascii="宋体" w:hAnsi="宋体" w:cs="宋体"/>
                <w:bCs/>
                <w:color w:val="auto"/>
                <w:kern w:val="0"/>
                <w:szCs w:val="21"/>
                <w:highlight w:val="none"/>
                <w:lang w:val="en-US" w:eastAsia="zh-CN"/>
              </w:rPr>
              <w:t>急诊急救平台</w:t>
            </w:r>
            <w:r>
              <w:rPr>
                <w:rFonts w:hint="eastAsia" w:ascii="宋体" w:hAnsi="宋体" w:cs="宋体"/>
                <w:bCs/>
                <w:color w:val="auto"/>
                <w:kern w:val="0"/>
                <w:szCs w:val="21"/>
                <w:highlight w:val="none"/>
              </w:rPr>
              <w:t>系统建设内容（含设备需求）及相关服务要求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2403" w:type="dxa"/>
            <w:gridSpan w:val="2"/>
            <w:shd w:val="clear" w:color="auto" w:fill="FFFFFF"/>
            <w:noWrap w:val="0"/>
            <w:vAlign w:val="center"/>
          </w:tcPr>
          <w:p>
            <w:pPr>
              <w:widowControl/>
              <w:spacing w:line="400" w:lineRule="exact"/>
              <w:jc w:val="center"/>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注意事项</w:t>
            </w:r>
          </w:p>
        </w:tc>
        <w:tc>
          <w:tcPr>
            <w:tcW w:w="7786" w:type="dxa"/>
            <w:gridSpan w:val="3"/>
            <w:shd w:val="clear" w:color="auto" w:fill="FFFFFF"/>
            <w:noWrap w:val="0"/>
            <w:vAlign w:val="center"/>
          </w:tcPr>
          <w:p>
            <w:pPr>
              <w:widowControl/>
              <w:spacing w:line="400" w:lineRule="exact"/>
              <w:jc w:val="left"/>
              <w:textAlignment w:val="bottom"/>
              <w:rPr>
                <w:rFonts w:ascii="宋体" w:hAnsi="宋体" w:cs="宋体"/>
                <w:bCs/>
                <w:color w:val="auto"/>
                <w:kern w:val="0"/>
                <w:szCs w:val="21"/>
                <w:highlight w:val="none"/>
              </w:rPr>
            </w:pPr>
            <w:r>
              <w:rPr>
                <w:rFonts w:hint="eastAsia" w:ascii="宋体" w:hAnsi="宋体" w:cs="宋体"/>
                <w:bCs/>
                <w:color w:val="auto"/>
                <w:kern w:val="0"/>
                <w:szCs w:val="21"/>
                <w:highlight w:val="none"/>
              </w:rPr>
              <w:t>1、本项目采购预算总金额为人民币</w:t>
            </w:r>
            <w:r>
              <w:rPr>
                <w:rFonts w:hint="eastAsia" w:ascii="宋体" w:hAnsi="宋体" w:cs="宋体"/>
                <w:bCs/>
                <w:color w:val="auto"/>
                <w:kern w:val="0"/>
                <w:szCs w:val="21"/>
                <w:highlight w:val="none"/>
                <w:u w:val="single"/>
                <w:lang w:val="en-US" w:eastAsia="zh-CN"/>
              </w:rPr>
              <w:t>2500000</w:t>
            </w:r>
            <w:r>
              <w:rPr>
                <w:rFonts w:hint="eastAsia" w:ascii="宋体" w:hAnsi="宋体" w:cs="宋体"/>
                <w:bCs/>
                <w:color w:val="auto"/>
                <w:kern w:val="0"/>
                <w:szCs w:val="21"/>
                <w:highlight w:val="none"/>
              </w:rPr>
              <w:t>元整，投标报价超过采购预算金额的将被视为无效投标。</w:t>
            </w:r>
          </w:p>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2、本项目货物不接受进口产品（即通过中国海关报关验放进入中国境内且产自关境外的产品）参与投标，如有此类产品参与投标的作无效投标处理。</w:t>
            </w:r>
          </w:p>
          <w:p>
            <w:pPr>
              <w:pStyle w:val="11"/>
              <w:jc w:val="both"/>
              <w:rPr>
                <w:rFonts w:hint="eastAsia" w:eastAsia="宋体"/>
                <w:color w:val="auto"/>
                <w:highlight w:val="none"/>
                <w:lang w:val="en-US" w:eastAsia="zh-CN"/>
              </w:rPr>
            </w:pPr>
            <w:r>
              <w:rPr>
                <w:rFonts w:hint="eastAsia" w:ascii="宋体" w:hAnsi="宋体" w:cs="宋体"/>
                <w:bCs/>
                <w:color w:val="auto"/>
                <w:kern w:val="0"/>
                <w:szCs w:val="21"/>
                <w:highlight w:val="none"/>
                <w:lang w:val="en-US" w:eastAsia="zh-CN"/>
              </w:rPr>
              <w:t>3、</w:t>
            </w:r>
            <w:r>
              <w:rPr>
                <w:rFonts w:hint="eastAsia" w:ascii="宋体" w:hAnsi="宋体" w:eastAsia="宋体" w:cs="宋体"/>
                <w:color w:val="auto"/>
                <w:szCs w:val="22"/>
                <w:highlight w:val="none"/>
              </w:rPr>
              <w:t>投标报价应包括本次招标采购范围内</w:t>
            </w:r>
            <w:r>
              <w:rPr>
                <w:rFonts w:hint="eastAsia" w:ascii="宋体" w:hAnsi="宋体" w:eastAsia="宋体" w:cs="宋体"/>
                <w:color w:val="auto"/>
                <w:szCs w:val="22"/>
                <w:highlight w:val="none"/>
                <w:lang w:val="en-US" w:eastAsia="zh-CN"/>
              </w:rPr>
              <w:t>货物</w:t>
            </w:r>
            <w:r>
              <w:rPr>
                <w:rFonts w:hint="eastAsia" w:ascii="宋体" w:hAnsi="宋体" w:eastAsia="宋体" w:cs="宋体"/>
                <w:color w:val="auto"/>
                <w:szCs w:val="22"/>
                <w:highlight w:val="none"/>
              </w:rPr>
              <w:t>价款、检验、售后服务、培训、保修和完成本次服务所需的运行支撑环境的软硬件设备费用及其他所有成本费用的总和；供应商综合考虑在报价中，采购人不再另行支付投标报价之外的任何费用</w:t>
            </w:r>
            <w:r>
              <w:rPr>
                <w:rFonts w:hint="eastAsia" w:ascii="宋体" w:hAnsi="宋体" w:eastAsia="宋体" w:cs="宋体"/>
                <w:color w:val="auto"/>
                <w:szCs w:val="22"/>
                <w:highlight w:val="none"/>
                <w:lang w:eastAsia="zh-CN"/>
              </w:rPr>
              <w:t>。</w:t>
            </w:r>
          </w:p>
          <w:p>
            <w:pPr>
              <w:widowControl/>
              <w:spacing w:line="400" w:lineRule="exact"/>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注：以上标注“★”项的属于实质性要求，若有任意一项负偏离作无效投标处理。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2403" w:type="dxa"/>
            <w:gridSpan w:val="2"/>
            <w:shd w:val="clear" w:color="auto" w:fill="FFFFFF"/>
            <w:noWrap w:val="0"/>
            <w:vAlign w:val="center"/>
          </w:tcPr>
          <w:p>
            <w:pPr>
              <w:keepNext w:val="0"/>
              <w:keepLines w:val="0"/>
              <w:pageBreakBefore w:val="0"/>
              <w:widowControl/>
              <w:kinsoku/>
              <w:wordWrap/>
              <w:overflowPunct/>
              <w:topLinePunct w:val="0"/>
              <w:autoSpaceDE/>
              <w:autoSpaceDN/>
              <w:bidi w:val="0"/>
              <w:snapToGrid/>
              <w:spacing w:line="400" w:lineRule="exact"/>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本项目核心产品</w:t>
            </w:r>
          </w:p>
        </w:tc>
        <w:tc>
          <w:tcPr>
            <w:tcW w:w="7786" w:type="dxa"/>
            <w:gridSpan w:val="3"/>
            <w:shd w:val="clear" w:color="auto" w:fill="FFFFFF"/>
            <w:noWrap w:val="0"/>
            <w:vAlign w:val="center"/>
          </w:tcPr>
          <w:p>
            <w:pPr>
              <w:keepNext w:val="0"/>
              <w:keepLines w:val="0"/>
              <w:pageBreakBefore w:val="0"/>
              <w:widowControl/>
              <w:kinsoku/>
              <w:wordWrap/>
              <w:overflowPunct/>
              <w:topLinePunct w:val="0"/>
              <w:autoSpaceDE/>
              <w:autoSpaceDN/>
              <w:bidi w:val="0"/>
              <w:snapToGrid/>
              <w:spacing w:line="400" w:lineRule="exact"/>
              <w:ind w:firstLine="106" w:firstLineChars="50"/>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第2项产品“</w:t>
            </w:r>
            <w:r>
              <w:rPr>
                <w:rFonts w:hint="eastAsia" w:ascii="宋体" w:hAnsi="宋体" w:cs="宋体"/>
                <w:color w:val="auto"/>
                <w:sz w:val="21"/>
                <w:szCs w:val="21"/>
                <w:highlight w:val="none"/>
                <w:lang w:val="en-US" w:eastAsia="zh-CN"/>
              </w:rPr>
              <w:t>院内急诊模块</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和</w:t>
            </w:r>
            <w:r>
              <w:rPr>
                <w:rFonts w:hint="eastAsia" w:ascii="宋体" w:hAnsi="宋体" w:eastAsia="宋体" w:cs="宋体"/>
                <w:color w:val="auto"/>
                <w:sz w:val="21"/>
                <w:szCs w:val="21"/>
                <w:highlight w:val="none"/>
              </w:rPr>
              <w:t>第</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项产品“</w:t>
            </w:r>
            <w:r>
              <w:rPr>
                <w:rFonts w:hint="eastAsia" w:ascii="宋体" w:hAnsi="宋体" w:cs="宋体"/>
                <w:color w:val="auto"/>
                <w:sz w:val="21"/>
                <w:szCs w:val="21"/>
                <w:highlight w:val="none"/>
                <w:lang w:val="en-US" w:eastAsia="zh-CN"/>
              </w:rPr>
              <w:t>120智慧急救调度系统</w:t>
            </w:r>
            <w:r>
              <w:rPr>
                <w:rFonts w:hint="eastAsia" w:ascii="宋体" w:hAnsi="宋体" w:eastAsia="宋体" w:cs="宋体"/>
                <w:color w:val="auto"/>
                <w:sz w:val="21"/>
                <w:szCs w:val="21"/>
                <w:highlight w:val="none"/>
              </w:rPr>
              <w:t>”</w:t>
            </w:r>
          </w:p>
        </w:tc>
      </w:tr>
    </w:tbl>
    <w:p>
      <w:pPr>
        <w:rPr>
          <w:b/>
          <w:bCs/>
          <w:color w:val="auto"/>
          <w:highlight w:val="none"/>
        </w:rPr>
      </w:pPr>
    </w:p>
    <w:p>
      <w:pPr>
        <w:pStyle w:val="6"/>
        <w:rPr>
          <w:color w:val="auto"/>
          <w:highlight w:val="none"/>
        </w:rPr>
      </w:pPr>
    </w:p>
    <w:p>
      <w:pPr>
        <w:rPr>
          <w:color w:val="auto"/>
          <w:highlight w:val="none"/>
        </w:rPr>
      </w:pPr>
    </w:p>
    <w:p>
      <w:pPr>
        <w:pStyle w:val="6"/>
        <w:rPr>
          <w:color w:val="auto"/>
          <w:highlight w:val="none"/>
        </w:rPr>
      </w:pPr>
    </w:p>
    <w:p>
      <w:pPr>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rPr>
          <w:color w:val="auto"/>
          <w:highlight w:val="none"/>
        </w:rPr>
      </w:pPr>
    </w:p>
    <w:p>
      <w:pPr>
        <w:pStyle w:val="11"/>
        <w:ind w:left="0" w:leftChars="0" w:firstLine="0" w:firstLineChars="0"/>
        <w:jc w:val="both"/>
        <w:rPr>
          <w:color w:val="auto"/>
          <w:highlight w:val="none"/>
        </w:rPr>
      </w:pPr>
    </w:p>
    <w:p>
      <w:pPr>
        <w:pStyle w:val="11"/>
        <w:ind w:left="0" w:leftChars="0" w:firstLine="0" w:firstLineChars="0"/>
        <w:jc w:val="both"/>
        <w:rPr>
          <w:color w:val="auto"/>
          <w:highlight w:val="none"/>
        </w:rPr>
      </w:pPr>
    </w:p>
    <w:p>
      <w:pPr>
        <w:adjustRightInd w:val="0"/>
        <w:spacing w:line="340" w:lineRule="exact"/>
        <w:rPr>
          <w:rFonts w:hint="eastAsia" w:ascii="宋体" w:hAnsi="宋体"/>
          <w:b/>
          <w:color w:val="auto"/>
          <w:sz w:val="28"/>
          <w:szCs w:val="28"/>
          <w:highlight w:val="none"/>
        </w:rPr>
      </w:pPr>
      <w:r>
        <w:rPr>
          <w:rFonts w:hint="eastAsia" w:ascii="宋体" w:hAnsi="宋体"/>
          <w:b/>
          <w:color w:val="auto"/>
          <w:sz w:val="28"/>
          <w:szCs w:val="28"/>
          <w:highlight w:val="none"/>
        </w:rPr>
        <w:t>附件</w:t>
      </w:r>
    </w:p>
    <w:p>
      <w:pPr>
        <w:pStyle w:val="11"/>
        <w:rPr>
          <w:rFonts w:hint="eastAsia" w:ascii="宋体" w:hAnsi="宋体" w:eastAsia="宋体" w:cs="宋体"/>
          <w:color w:val="auto"/>
          <w:highlight w:val="none"/>
          <w:lang w:val="en-US" w:eastAsia="zh-CN"/>
        </w:rPr>
      </w:pPr>
      <w:r>
        <w:rPr>
          <w:rFonts w:hint="eastAsia" w:ascii="宋体" w:hAnsi="宋体" w:eastAsia="宋体" w:cs="宋体"/>
          <w:b/>
          <w:color w:val="auto"/>
          <w:sz w:val="28"/>
          <w:szCs w:val="28"/>
          <w:highlight w:val="none"/>
          <w:lang w:val="en-US" w:eastAsia="zh-CN"/>
        </w:rPr>
        <w:t>技术参数要求</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1"/>
        <w:gridCol w:w="1600"/>
        <w:gridCol w:w="7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1" w:type="dxa"/>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序号</w:t>
            </w:r>
          </w:p>
        </w:tc>
        <w:tc>
          <w:tcPr>
            <w:tcW w:w="1600" w:type="dxa"/>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货物名称</w:t>
            </w:r>
          </w:p>
        </w:tc>
        <w:tc>
          <w:tcPr>
            <w:tcW w:w="7466" w:type="dxa"/>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技术参数要求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院前急救系统</w:t>
            </w:r>
          </w:p>
        </w:tc>
        <w:tc>
          <w:tcPr>
            <w:tcW w:w="7466" w:type="dxa"/>
          </w:tcPr>
          <w:p>
            <w:pPr>
              <w:pStyle w:val="11"/>
              <w:numPr>
                <w:ilvl w:val="0"/>
                <w:numId w:val="0"/>
              </w:numPr>
              <w:ind w:right="63" w:rightChars="30"/>
              <w:jc w:val="both"/>
              <w:rPr>
                <w:rFonts w:hint="eastAsia"/>
                <w:b/>
                <w:bCs/>
                <w:color w:val="auto"/>
                <w:sz w:val="24"/>
                <w:szCs w:val="24"/>
                <w:highlight w:val="none"/>
                <w:lang w:val="en-US" w:eastAsia="zh-CN"/>
              </w:rPr>
            </w:pPr>
            <w:r>
              <w:rPr>
                <w:rFonts w:hint="eastAsia"/>
                <w:b/>
                <w:bCs/>
                <w:color w:val="auto"/>
                <w:sz w:val="24"/>
                <w:szCs w:val="24"/>
                <w:highlight w:val="none"/>
                <w:lang w:val="en-US" w:eastAsia="zh-CN"/>
              </w:rPr>
              <w:t>一、院前急救调度管理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right="0" w:rightChars="0"/>
              <w:jc w:val="both"/>
              <w:textAlignment w:val="baseline"/>
              <w:rPr>
                <w:rFonts w:hint="eastAsia"/>
                <w:b/>
                <w:bCs/>
                <w:color w:val="auto"/>
                <w:highlight w:val="none"/>
                <w:lang w:val="en-US" w:eastAsia="zh-CN"/>
              </w:rPr>
            </w:pPr>
            <w:r>
              <w:rPr>
                <w:rFonts w:hint="eastAsia"/>
                <w:b/>
                <w:bCs/>
                <w:color w:val="auto"/>
                <w:highlight w:val="none"/>
                <w:lang w:val="en-US" w:eastAsia="zh-CN"/>
              </w:rPr>
              <w:t>★1. 120调度读取管理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firstLine="424" w:firstLineChars="200"/>
              <w:jc w:val="left"/>
              <w:textAlignment w:val="baseline"/>
              <w:rPr>
                <w:rFonts w:hint="eastAsia"/>
                <w:b w:val="0"/>
                <w:bCs w:val="0"/>
                <w:color w:val="auto"/>
                <w:highlight w:val="none"/>
                <w:lang w:val="en-US" w:eastAsia="zh-CN"/>
              </w:rPr>
            </w:pPr>
            <w:r>
              <w:rPr>
                <w:rFonts w:hint="eastAsia"/>
                <w:b w:val="0"/>
                <w:bCs w:val="0"/>
                <w:color w:val="auto"/>
                <w:highlight w:val="none"/>
                <w:lang w:val="en-US" w:eastAsia="zh-CN"/>
              </w:rPr>
              <w:t>支持当地120系统交互，完成数据自动获取、回填，包括调度地址、患者人数联系方式、患者情况。</w:t>
            </w:r>
            <w:r>
              <w:rPr>
                <w:rFonts w:hint="eastAsia"/>
                <w:b w:val="0"/>
                <w:bCs w:val="0"/>
                <w:color w:val="auto"/>
                <w:highlight w:val="none"/>
                <w:lang w:val="en-US" w:eastAsia="zh-CN"/>
              </w:rPr>
              <w:br w:type="textWrapping"/>
            </w:r>
            <w:r>
              <w:rPr>
                <w:rFonts w:hint="eastAsia"/>
                <w:b w:val="0"/>
                <w:bCs w:val="0"/>
                <w:color w:val="auto"/>
                <w:highlight w:val="none"/>
                <w:lang w:val="en-US" w:eastAsia="zh-CN"/>
              </w:rPr>
              <w:t>2.排班管理</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对出诊医务人员和驾驶员进行排班管理设置，支持新增、修改、删除等功能。读取排班信息自动识别到调度界面显示，根据维护信息和患者病情，系统自动推荐优先出诊医务人员。</w:t>
            </w:r>
            <w:r>
              <w:rPr>
                <w:rFonts w:hint="eastAsia"/>
                <w:b w:val="0"/>
                <w:bCs w:val="0"/>
                <w:color w:val="auto"/>
                <w:highlight w:val="none"/>
                <w:lang w:val="en-US" w:eastAsia="zh-CN"/>
              </w:rPr>
              <w:br w:type="textWrapping"/>
            </w:r>
            <w:r>
              <w:rPr>
                <w:rFonts w:hint="eastAsia"/>
                <w:b/>
                <w:bCs/>
                <w:color w:val="auto"/>
                <w:highlight w:val="none"/>
                <w:lang w:val="en-US" w:eastAsia="zh-CN"/>
              </w:rPr>
              <w:t>★3. 急诊调度大屏</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院前信息反馈至院内，院内重绘时间节点形成时间轴。包含内容此次调度事件、出诊车辆、医生、护士、调度时间、出诊时间、到达现场时间、接到患者时间、转运时间、患者登记、预检分诊、发出的协同申请、申请的响应状态、车辆运行状态等信息。</w:t>
            </w:r>
            <w:r>
              <w:rPr>
                <w:rFonts w:hint="eastAsia"/>
                <w:b w:val="0"/>
                <w:bCs w:val="0"/>
                <w:color w:val="auto"/>
                <w:highlight w:val="none"/>
                <w:lang w:val="en-US" w:eastAsia="zh-CN"/>
              </w:rPr>
              <w:br w:type="textWrapping"/>
            </w:r>
            <w:r>
              <w:rPr>
                <w:rFonts w:hint="eastAsia"/>
                <w:b w:val="0"/>
                <w:bCs w:val="0"/>
                <w:color w:val="auto"/>
                <w:highlight w:val="none"/>
                <w:lang w:val="en-US" w:eastAsia="zh-CN"/>
              </w:rPr>
              <w:t>4. 急救调度中心</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与当地120系统交互，完成数据自动获取、回填，包括调度地址、患者人数、联系方式、患者情况。配置科室院前动态大屏，保障急诊科对院前实时动态的监管。</w:t>
            </w:r>
            <w:r>
              <w:rPr>
                <w:rFonts w:hint="eastAsia"/>
                <w:b w:val="0"/>
                <w:bCs w:val="0"/>
                <w:color w:val="auto"/>
                <w:highlight w:val="none"/>
                <w:lang w:val="en-US" w:eastAsia="zh-CN"/>
              </w:rPr>
              <w:br w:type="textWrapping"/>
            </w:r>
            <w:r>
              <w:rPr>
                <w:rFonts w:hint="eastAsia"/>
                <w:b w:val="0"/>
                <w:bCs w:val="0"/>
                <w:color w:val="auto"/>
                <w:highlight w:val="none"/>
                <w:lang w:val="en-US" w:eastAsia="zh-CN"/>
              </w:rPr>
              <w:t>5. 调度消息推送</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电话通知出诊人员。短信发送出诊地点、抢救人数、出诊时间至出诊人员手机。</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支持出诊医务人员是否接听电话查看短信结果反馈。</w:t>
            </w:r>
            <w:r>
              <w:rPr>
                <w:rFonts w:hint="eastAsia"/>
                <w:b w:val="0"/>
                <w:bCs w:val="0"/>
                <w:color w:val="auto"/>
                <w:highlight w:val="none"/>
                <w:lang w:val="en-US" w:eastAsia="zh-CN"/>
              </w:rPr>
              <w:br w:type="textWrapping"/>
            </w:r>
            <w:r>
              <w:rPr>
                <w:rFonts w:hint="eastAsia"/>
                <w:b w:val="0"/>
                <w:bCs w:val="0"/>
                <w:color w:val="auto"/>
                <w:highlight w:val="none"/>
                <w:lang w:val="en-US" w:eastAsia="zh-CN"/>
              </w:rPr>
              <w:t>6. 调度历史查询</w:t>
            </w:r>
            <w:r>
              <w:rPr>
                <w:rFonts w:hint="eastAsia"/>
                <w:b w:val="0"/>
                <w:bCs w:val="0"/>
                <w:color w:val="auto"/>
                <w:highlight w:val="none"/>
                <w:lang w:val="en-US" w:eastAsia="zh-CN"/>
              </w:rPr>
              <w:br w:type="textWrapping"/>
            </w:r>
            <w:r>
              <w:rPr>
                <w:rFonts w:hint="eastAsia"/>
                <w:b w:val="0"/>
                <w:bCs w:val="0"/>
                <w:color w:val="auto"/>
                <w:highlight w:val="none"/>
                <w:lang w:val="en-US" w:eastAsia="zh-CN"/>
              </w:rPr>
              <w:t xml:space="preserve">    实时查询、调阅、统计调度历史信息。</w:t>
            </w:r>
          </w:p>
          <w:p>
            <w:pPr>
              <w:pStyle w:val="11"/>
              <w:keepNext w:val="0"/>
              <w:keepLines w:val="0"/>
              <w:pageBreakBefore w:val="0"/>
              <w:widowControl w:val="0"/>
              <w:numPr>
                <w:ilvl w:val="0"/>
                <w:numId w:val="0"/>
              </w:numPr>
              <w:kinsoku/>
              <w:wordWrap/>
              <w:overflowPunct/>
              <w:topLinePunct w:val="0"/>
              <w:autoSpaceDE/>
              <w:autoSpaceDN/>
              <w:bidi w:val="0"/>
              <w:adjustRightInd w:val="0"/>
              <w:snapToGrid/>
              <w:ind w:right="63" w:rightChars="30"/>
              <w:jc w:val="both"/>
              <w:textAlignment w:val="baseline"/>
              <w:rPr>
                <w:rFonts w:hint="default"/>
                <w:b/>
                <w:bCs/>
                <w:color w:val="auto"/>
                <w:sz w:val="24"/>
                <w:szCs w:val="24"/>
                <w:highlight w:val="none"/>
                <w:lang w:val="en-US" w:eastAsia="zh-CN"/>
              </w:rPr>
            </w:pPr>
            <w:r>
              <w:rPr>
                <w:rFonts w:hint="eastAsia"/>
                <w:b/>
                <w:bCs/>
                <w:color w:val="auto"/>
                <w:sz w:val="24"/>
                <w:szCs w:val="24"/>
                <w:highlight w:val="none"/>
                <w:lang w:val="en-US" w:eastAsia="zh-CN"/>
              </w:rPr>
              <w:t>二、急诊物质管理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leftChars="0" w:right="0" w:rightChars="0" w:hanging="424" w:hangingChars="200"/>
              <w:jc w:val="both"/>
              <w:textAlignment w:val="baseline"/>
              <w:rPr>
                <w:rFonts w:hint="default"/>
                <w:color w:val="auto"/>
                <w:highlight w:val="none"/>
                <w:vertAlign w:val="baseline"/>
                <w:lang w:val="en-US" w:eastAsia="zh-CN"/>
              </w:rPr>
            </w:pPr>
            <w:r>
              <w:rPr>
                <w:rFonts w:hint="default"/>
                <w:color w:val="auto"/>
                <w:highlight w:val="none"/>
                <w:vertAlign w:val="baseline"/>
                <w:lang w:val="en-US" w:eastAsia="zh-CN"/>
              </w:rPr>
              <w:t>1. 急救物质设置</w:t>
            </w:r>
            <w:r>
              <w:rPr>
                <w:rFonts w:hint="default"/>
                <w:color w:val="auto"/>
                <w:highlight w:val="none"/>
                <w:vertAlign w:val="baseline"/>
                <w:lang w:val="en-US" w:eastAsia="zh-CN"/>
              </w:rPr>
              <w:br w:type="textWrapping"/>
            </w:r>
            <w:r>
              <w:rPr>
                <w:rFonts w:hint="default"/>
                <w:color w:val="auto"/>
                <w:highlight w:val="none"/>
                <w:vertAlign w:val="baseline"/>
                <w:lang w:val="en-US" w:eastAsia="zh-CN"/>
              </w:rPr>
              <w:t>建立急诊科药品、物资登记本。实现对物资的入库、出库、盘点、报损</w:t>
            </w:r>
            <w:r>
              <w:rPr>
                <w:rFonts w:hint="eastAsia"/>
                <w:color w:val="auto"/>
                <w:highlight w:val="none"/>
                <w:vertAlign w:val="baseline"/>
                <w:lang w:val="en-US" w:eastAsia="zh-CN"/>
              </w:rPr>
              <w:t>、</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leftChars="0" w:right="0" w:rightChars="0" w:hanging="424" w:hangingChars="200"/>
              <w:jc w:val="both"/>
              <w:textAlignment w:val="baseline"/>
              <w:rPr>
                <w:rFonts w:hint="default"/>
                <w:color w:val="auto"/>
                <w:highlight w:val="none"/>
                <w:vertAlign w:val="baseline"/>
                <w:lang w:val="en-US" w:eastAsia="zh-CN"/>
              </w:rPr>
            </w:pPr>
            <w:r>
              <w:rPr>
                <w:rFonts w:hint="default"/>
                <w:color w:val="auto"/>
                <w:highlight w:val="none"/>
                <w:vertAlign w:val="baseline"/>
                <w:lang w:val="en-US" w:eastAsia="zh-CN"/>
              </w:rPr>
              <w:t>预警等管理。支持物资的报修管理。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hanging="4" w:firstLineChars="0"/>
              <w:jc w:val="both"/>
              <w:textAlignment w:val="baseline"/>
              <w:rPr>
                <w:rFonts w:hint="eastAsia"/>
                <w:color w:val="auto"/>
                <w:highlight w:val="none"/>
                <w:vertAlign w:val="baseline"/>
                <w:lang w:val="en-US" w:eastAsia="zh-CN"/>
              </w:rPr>
            </w:pPr>
            <w:r>
              <w:rPr>
                <w:rFonts w:hint="default"/>
                <w:color w:val="auto"/>
                <w:highlight w:val="none"/>
                <w:vertAlign w:val="baseline"/>
                <w:lang w:val="en-US" w:eastAsia="zh-CN"/>
              </w:rPr>
              <w:t>2. 急救耗材设置</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建立急诊科耗材登记本。实现对耗材的入库、出库、盘点、报损、预警等管理。</w:t>
            </w:r>
            <w:r>
              <w:rPr>
                <w:rFonts w:hint="default"/>
                <w:color w:val="auto"/>
                <w:highlight w:val="none"/>
                <w:vertAlign w:val="baseline"/>
                <w:lang w:val="en-US" w:eastAsia="zh-CN"/>
              </w:rPr>
              <w:br w:type="textWrapping"/>
            </w:r>
            <w:r>
              <w:rPr>
                <w:rFonts w:hint="default"/>
                <w:color w:val="auto"/>
                <w:highlight w:val="none"/>
                <w:vertAlign w:val="baseline"/>
                <w:lang w:val="en-US" w:eastAsia="zh-CN"/>
              </w:rPr>
              <w:t>3. 急救耗材消耗查询</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支持耗材使用情况的跟踪、查询。</w:t>
            </w:r>
            <w:r>
              <w:rPr>
                <w:rFonts w:hint="default"/>
                <w:color w:val="auto"/>
                <w:highlight w:val="none"/>
                <w:vertAlign w:val="baseline"/>
                <w:lang w:val="en-US" w:eastAsia="zh-CN"/>
              </w:rPr>
              <w:br w:type="textWrapping"/>
            </w:r>
            <w:r>
              <w:rPr>
                <w:rFonts w:hint="default"/>
                <w:color w:val="auto"/>
                <w:highlight w:val="none"/>
                <w:vertAlign w:val="baseline"/>
                <w:lang w:val="en-US" w:eastAsia="zh-CN"/>
              </w:rPr>
              <w:t>4. 急救物质消耗管理</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支持物资使用情况的跟踪、查询。</w:t>
            </w:r>
            <w:r>
              <w:rPr>
                <w:rFonts w:hint="default"/>
                <w:color w:val="auto"/>
                <w:highlight w:val="none"/>
                <w:vertAlign w:val="baseline"/>
                <w:lang w:val="en-US" w:eastAsia="zh-CN"/>
              </w:rPr>
              <w:br w:type="textWrapping"/>
            </w:r>
            <w:r>
              <w:rPr>
                <w:rFonts w:hint="default"/>
                <w:color w:val="auto"/>
                <w:highlight w:val="none"/>
                <w:vertAlign w:val="baseline"/>
                <w:lang w:val="en-US" w:eastAsia="zh-CN"/>
              </w:rPr>
              <w:t>5. 急救物质交接</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物资交接系统，全面跟踪物资去向及使用情况。支持物质交接盘点清算。支持物质数量储备提醒</w:t>
            </w:r>
            <w:r>
              <w:rPr>
                <w:rFonts w:hint="eastAsia"/>
                <w:color w:val="auto"/>
                <w:highlight w:val="none"/>
                <w:vertAlign w:val="baseline"/>
                <w:lang w:val="en-US" w:eastAsia="zh-CN"/>
              </w:rPr>
              <w:t>。</w:t>
            </w:r>
          </w:p>
          <w:p>
            <w:pPr>
              <w:pStyle w:val="11"/>
              <w:keepNext w:val="0"/>
              <w:keepLines w:val="0"/>
              <w:pageBreakBefore w:val="0"/>
              <w:widowControl w:val="0"/>
              <w:numPr>
                <w:ilvl w:val="0"/>
                <w:numId w:val="0"/>
              </w:numPr>
              <w:kinsoku/>
              <w:wordWrap/>
              <w:overflowPunct/>
              <w:topLinePunct w:val="0"/>
              <w:autoSpaceDE/>
              <w:autoSpaceDN/>
              <w:bidi w:val="0"/>
              <w:adjustRightInd w:val="0"/>
              <w:snapToGrid/>
              <w:ind w:right="63" w:rightChars="30"/>
              <w:jc w:val="both"/>
              <w:textAlignment w:val="baseline"/>
              <w:rPr>
                <w:rFonts w:hint="eastAsia"/>
                <w:b/>
                <w:bCs/>
                <w:color w:val="auto"/>
                <w:sz w:val="24"/>
                <w:szCs w:val="24"/>
                <w:highlight w:val="none"/>
                <w:vertAlign w:val="baseline"/>
                <w:lang w:val="en-US" w:eastAsia="zh-CN"/>
              </w:rPr>
            </w:pPr>
            <w:r>
              <w:rPr>
                <w:rFonts w:hint="eastAsia"/>
                <w:b/>
                <w:bCs/>
                <w:color w:val="auto"/>
                <w:sz w:val="24"/>
                <w:szCs w:val="24"/>
                <w:highlight w:val="none"/>
                <w:vertAlign w:val="baseline"/>
                <w:lang w:val="en-US" w:eastAsia="zh-CN"/>
              </w:rPr>
              <w:t>三、院前急救车载系统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ind w:right="63" w:rightChars="30"/>
              <w:jc w:val="both"/>
              <w:textAlignment w:val="baseline"/>
              <w:rPr>
                <w:rFonts w:hint="default"/>
                <w:color w:val="auto"/>
                <w:highlight w:val="none"/>
                <w:vertAlign w:val="baseline"/>
                <w:lang w:val="en-US" w:eastAsia="zh-CN"/>
              </w:rPr>
            </w:pPr>
            <w:r>
              <w:rPr>
                <w:rFonts w:hint="default"/>
                <w:color w:val="auto"/>
                <w:highlight w:val="none"/>
                <w:vertAlign w:val="baseline"/>
                <w:lang w:val="en-US" w:eastAsia="zh-CN"/>
              </w:rPr>
              <w:t>1. 车载调度导航</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firstLine="424" w:firstLineChars="200"/>
              <w:jc w:val="both"/>
              <w:textAlignment w:val="baseline"/>
              <w:rPr>
                <w:rFonts w:hint="default"/>
                <w:color w:val="auto"/>
                <w:highlight w:val="none"/>
                <w:vertAlign w:val="baseline"/>
                <w:lang w:val="en-US" w:eastAsia="zh-CN"/>
              </w:rPr>
            </w:pPr>
            <w:r>
              <w:rPr>
                <w:rFonts w:hint="default"/>
                <w:color w:val="auto"/>
                <w:highlight w:val="none"/>
                <w:vertAlign w:val="baseline"/>
                <w:lang w:val="en-US" w:eastAsia="zh-CN"/>
              </w:rPr>
              <w:t>司机使用智能导航PAD能根据系统获取到的120调度信息地址进行实时的路线规划和语音导航。将记录车辆行驶轨迹，行驶时速，预计到达时间。</w:t>
            </w:r>
            <w:r>
              <w:rPr>
                <w:rFonts w:hint="default"/>
                <w:color w:val="auto"/>
                <w:highlight w:val="none"/>
                <w:vertAlign w:val="baseline"/>
                <w:lang w:val="en-US" w:eastAsia="zh-CN"/>
              </w:rPr>
              <w:br w:type="textWrapping"/>
            </w:r>
            <w:r>
              <w:rPr>
                <w:rFonts w:hint="default"/>
                <w:color w:val="auto"/>
                <w:highlight w:val="none"/>
                <w:vertAlign w:val="baseline"/>
                <w:lang w:val="en-US" w:eastAsia="zh-CN"/>
              </w:rPr>
              <w:t>2. 车载医护登记</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通过移动端PDA设备，对出诊医务人员和车辆信息进行绑定。确保出诊医务人员和指派医务人员相同。</w:t>
            </w:r>
            <w:r>
              <w:rPr>
                <w:rFonts w:hint="default"/>
                <w:color w:val="auto"/>
                <w:highlight w:val="none"/>
                <w:vertAlign w:val="baseline"/>
                <w:lang w:val="en-US" w:eastAsia="zh-CN"/>
              </w:rPr>
              <w:br w:type="textWrapping"/>
            </w:r>
            <w:r>
              <w:rPr>
                <w:rFonts w:hint="default"/>
                <w:color w:val="auto"/>
                <w:highlight w:val="none"/>
                <w:vertAlign w:val="baseline"/>
                <w:lang w:val="en-US" w:eastAsia="zh-CN"/>
              </w:rPr>
              <w:t>3. 车载患者识别</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运用移动PDA设备，院前进行患者身份识别，支持刷身份证、医保卡、健康码等。支持输入身份证号后自动识别患者出生日期、性别、年龄、户籍所在地等信息。</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通过身份证、医保卡快速获取患者性别、出生日期、年龄等身份信息并自动录入系统，支持就诊卡对接院内HIS系统获取患者信息自动录入系统，支持通过模糊查询患者列表后应用到分诊信息，减少医护人员录入。</w:t>
            </w:r>
            <w:r>
              <w:rPr>
                <w:rFonts w:hint="default"/>
                <w:color w:val="auto"/>
                <w:highlight w:val="none"/>
                <w:vertAlign w:val="baseline"/>
                <w:lang w:val="en-US" w:eastAsia="zh-CN"/>
              </w:rPr>
              <w:br w:type="textWrapping"/>
            </w:r>
            <w:r>
              <w:rPr>
                <w:rFonts w:hint="default"/>
                <w:color w:val="auto"/>
                <w:highlight w:val="none"/>
                <w:vertAlign w:val="baseline"/>
                <w:lang w:val="en-US" w:eastAsia="zh-CN"/>
              </w:rPr>
              <w:t>★</w:t>
            </w:r>
            <w:r>
              <w:rPr>
                <w:rFonts w:hint="default"/>
                <w:b/>
                <w:bCs/>
                <w:color w:val="auto"/>
                <w:highlight w:val="none"/>
                <w:vertAlign w:val="baseline"/>
                <w:lang w:val="en-US" w:eastAsia="zh-CN"/>
              </w:rPr>
              <w:t>4. 车载院前建档</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系运用移动设备对患者进行院前建档。支持身份证、医保卡、健康码、三无人员的建档。</w:t>
            </w:r>
            <w:r>
              <w:rPr>
                <w:rFonts w:hint="default"/>
                <w:color w:val="auto"/>
                <w:highlight w:val="none"/>
                <w:vertAlign w:val="baseline"/>
                <w:lang w:val="en-US" w:eastAsia="zh-CN"/>
              </w:rPr>
              <w:br w:type="textWrapping"/>
            </w:r>
            <w:r>
              <w:rPr>
                <w:rFonts w:hint="default"/>
                <w:color w:val="auto"/>
                <w:highlight w:val="none"/>
                <w:vertAlign w:val="baseline"/>
                <w:lang w:val="en-US" w:eastAsia="zh-CN"/>
              </w:rPr>
              <w:t>5. 既往病史查询</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根据患者建档信息，系统连接省人口健康平台，在移动设备上即可查看患者历史就诊信息及健康档案。</w:t>
            </w:r>
            <w:r>
              <w:rPr>
                <w:rFonts w:hint="default"/>
                <w:color w:val="auto"/>
                <w:highlight w:val="none"/>
                <w:vertAlign w:val="baseline"/>
                <w:lang w:val="en-US" w:eastAsia="zh-CN"/>
              </w:rPr>
              <w:br w:type="textWrapping"/>
            </w:r>
            <w:r>
              <w:rPr>
                <w:rFonts w:hint="default"/>
                <w:color w:val="auto"/>
                <w:highlight w:val="none"/>
                <w:vertAlign w:val="baseline"/>
                <w:lang w:val="en-US" w:eastAsia="zh-CN"/>
              </w:rPr>
              <w:t>6. 车载院前预检分诊</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运用移动设备，对患者进行院前预检分诊。</w:t>
            </w:r>
            <w:r>
              <w:rPr>
                <w:rFonts w:hint="default"/>
                <w:color w:val="auto"/>
                <w:highlight w:val="none"/>
                <w:vertAlign w:val="baseline"/>
                <w:lang w:val="en-US" w:eastAsia="zh-CN"/>
              </w:rPr>
              <w:br w:type="textWrapping"/>
            </w:r>
            <w:r>
              <w:rPr>
                <w:rFonts w:hint="default"/>
                <w:color w:val="auto"/>
                <w:highlight w:val="none"/>
                <w:vertAlign w:val="baseline"/>
                <w:lang w:val="en-US" w:eastAsia="zh-CN"/>
              </w:rPr>
              <w:t>支持三无人员预检分诊。</w:t>
            </w:r>
            <w:r>
              <w:rPr>
                <w:rFonts w:hint="default"/>
                <w:color w:val="auto"/>
                <w:highlight w:val="none"/>
                <w:vertAlign w:val="baseline"/>
                <w:lang w:val="en-US" w:eastAsia="zh-CN"/>
              </w:rPr>
              <w:br w:type="textWrapping"/>
            </w:r>
            <w:r>
              <w:rPr>
                <w:rFonts w:hint="default"/>
                <w:color w:val="auto"/>
                <w:highlight w:val="none"/>
                <w:vertAlign w:val="baseline"/>
                <w:lang w:val="en-US" w:eastAsia="zh-CN"/>
              </w:rPr>
              <w:t>7. 院前智能评估</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系统提供一套已有的广泛使用的急诊分级知识库，护士根据患者的主诉，及主诉判断标准进行统一的分诊分级；确定不同等级患者候诊时的评估需要，并通过智能提醒护士予以适时评估，保证患者得到适时诊治。</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系统支持分诊时开展多项病情评分，如疼痛评分、创伤评分、ESI评分、GCS评分、REMS评分、MEWS评分，操作简单易行。</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支持内嵌病情分级知识库，提供常用主诉、判定依据集合；能够支持医院授权人员能够对分诊知识库进行自定义配置与维护，不断完善知识库内容。</w:t>
            </w:r>
            <w:r>
              <w:rPr>
                <w:rFonts w:hint="default"/>
                <w:color w:val="auto"/>
                <w:highlight w:val="none"/>
                <w:vertAlign w:val="baseline"/>
                <w:lang w:val="en-US" w:eastAsia="zh-CN"/>
              </w:rPr>
              <w:br w:type="textWrapping"/>
            </w:r>
            <w:r>
              <w:rPr>
                <w:rFonts w:hint="default"/>
                <w:color w:val="auto"/>
                <w:highlight w:val="none"/>
                <w:vertAlign w:val="baseline"/>
                <w:lang w:val="en-US" w:eastAsia="zh-CN"/>
              </w:rPr>
              <w:t>8. 院前耗材开立</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急救车内耗材状态查询。耗材异常报警，包括使用期限、数量、状态等信息。每次出诊后系统自动提醒医护人员耗材的使用确实，保障院前物质的时刻整备。核查物质时需司机与护士各自通过移动端确认。支持车载移动端耗材医嘱开立。</w:t>
            </w:r>
            <w:r>
              <w:rPr>
                <w:rFonts w:hint="default"/>
                <w:color w:val="auto"/>
                <w:highlight w:val="none"/>
                <w:vertAlign w:val="baseline"/>
                <w:lang w:val="en-US" w:eastAsia="zh-CN"/>
              </w:rPr>
              <w:br w:type="textWrapping"/>
            </w:r>
            <w:r>
              <w:rPr>
                <w:rFonts w:hint="default"/>
                <w:color w:val="auto"/>
                <w:highlight w:val="none"/>
                <w:vertAlign w:val="baseline"/>
                <w:lang w:val="en-US" w:eastAsia="zh-CN"/>
              </w:rPr>
              <w:t xml:space="preserve">★9. </w:t>
            </w:r>
            <w:r>
              <w:rPr>
                <w:rFonts w:hint="default"/>
                <w:b/>
                <w:bCs/>
                <w:color w:val="auto"/>
                <w:highlight w:val="none"/>
                <w:vertAlign w:val="baseline"/>
                <w:lang w:val="en-US" w:eastAsia="zh-CN"/>
              </w:rPr>
              <w:t>车载医嘱开立</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支持移动端医生开立医嘱，包括药品、检验、检查、耗材、会诊申请等。</w:t>
            </w:r>
            <w:r>
              <w:rPr>
                <w:rFonts w:hint="default"/>
                <w:color w:val="auto"/>
                <w:highlight w:val="none"/>
                <w:vertAlign w:val="baseline"/>
                <w:lang w:val="en-US" w:eastAsia="zh-CN"/>
              </w:rPr>
              <w:br w:type="textWrapping"/>
            </w:r>
            <w:r>
              <w:rPr>
                <w:rFonts w:hint="default"/>
                <w:color w:val="auto"/>
                <w:highlight w:val="none"/>
                <w:vertAlign w:val="baseline"/>
                <w:lang w:val="en-US" w:eastAsia="zh-CN"/>
              </w:rPr>
              <w:t xml:space="preserve">★10. </w:t>
            </w:r>
            <w:r>
              <w:rPr>
                <w:rFonts w:hint="default"/>
                <w:b/>
                <w:bCs/>
                <w:color w:val="auto"/>
                <w:highlight w:val="none"/>
                <w:vertAlign w:val="baseline"/>
                <w:lang w:val="en-US" w:eastAsia="zh-CN"/>
              </w:rPr>
              <w:t>车载绿色通道</w:t>
            </w:r>
            <w:r>
              <w:rPr>
                <w:rFonts w:hint="default"/>
                <w:color w:val="auto"/>
                <w:highlight w:val="none"/>
                <w:vertAlign w:val="baseline"/>
                <w:lang w:val="en-US" w:eastAsia="zh-CN"/>
              </w:rPr>
              <w:br w:type="textWrapping"/>
            </w:r>
            <w:r>
              <w:rPr>
                <w:rFonts w:hint="eastAsia"/>
                <w:color w:val="auto"/>
                <w:highlight w:val="none"/>
                <w:vertAlign w:val="baseline"/>
                <w:lang w:val="en-US" w:eastAsia="zh-CN"/>
              </w:rPr>
              <w:t xml:space="preserve">    </w:t>
            </w:r>
            <w:r>
              <w:rPr>
                <w:rFonts w:hint="default"/>
                <w:color w:val="auto"/>
                <w:highlight w:val="none"/>
                <w:vertAlign w:val="baseline"/>
                <w:lang w:val="en-US" w:eastAsia="zh-CN"/>
              </w:rPr>
              <w:t>支持车载移动设备开启患者绿色通道。支持绿色通道的管理。</w:t>
            </w:r>
          </w:p>
          <w:p>
            <w:pPr>
              <w:pStyle w:val="11"/>
              <w:keepNext w:val="0"/>
              <w:keepLines w:val="0"/>
              <w:pageBreakBefore w:val="0"/>
              <w:widowControl w:val="0"/>
              <w:numPr>
                <w:ilvl w:val="0"/>
                <w:numId w:val="6"/>
              </w:numPr>
              <w:kinsoku/>
              <w:wordWrap/>
              <w:overflowPunct/>
              <w:topLinePunct w:val="0"/>
              <w:autoSpaceDE/>
              <w:autoSpaceDN/>
              <w:bidi w:val="0"/>
              <w:adjustRightInd w:val="0"/>
              <w:snapToGrid/>
              <w:spacing w:after="0"/>
              <w:ind w:left="212" w:leftChars="0" w:right="0" w:rightChars="0" w:firstLineChars="0"/>
              <w:jc w:val="both"/>
              <w:textAlignment w:val="baseline"/>
              <w:rPr>
                <w:rFonts w:hint="eastAsia"/>
                <w:b/>
                <w:bCs/>
                <w:color w:val="auto"/>
                <w:sz w:val="24"/>
                <w:szCs w:val="24"/>
                <w:highlight w:val="none"/>
                <w:vertAlign w:val="baseline"/>
                <w:lang w:val="en-US" w:eastAsia="zh-CN"/>
              </w:rPr>
            </w:pPr>
            <w:r>
              <w:rPr>
                <w:rFonts w:hint="eastAsia"/>
                <w:b/>
                <w:bCs/>
                <w:color w:val="auto"/>
                <w:sz w:val="24"/>
                <w:szCs w:val="24"/>
                <w:highlight w:val="none"/>
                <w:vertAlign w:val="baseline"/>
                <w:lang w:val="en-US" w:eastAsia="zh-CN"/>
              </w:rPr>
              <w:t>协同诊疗系统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right="0" w:rightChars="0" w:hanging="424" w:hangingChars="200"/>
              <w:jc w:val="both"/>
              <w:textAlignment w:val="baseline"/>
              <w:rPr>
                <w:rFonts w:hint="default"/>
                <w:b w:val="0"/>
                <w:bCs w:val="0"/>
                <w:color w:val="auto"/>
                <w:highlight w:val="none"/>
                <w:vertAlign w:val="baseline"/>
                <w:lang w:val="en-US" w:eastAsia="zh-CN"/>
              </w:rPr>
            </w:pPr>
            <w:r>
              <w:rPr>
                <w:rFonts w:hint="default"/>
                <w:b w:val="0"/>
                <w:bCs w:val="0"/>
                <w:color w:val="auto"/>
                <w:highlight w:val="none"/>
                <w:vertAlign w:val="baseline"/>
                <w:lang w:val="en-US" w:eastAsia="zh-CN"/>
              </w:rPr>
              <w:t>1. 协同视频采集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firstLine="424" w:firstLineChars="200"/>
              <w:jc w:val="both"/>
              <w:textAlignment w:val="baseline"/>
              <w:rPr>
                <w:rFonts w:hint="default"/>
                <w:b/>
                <w:bCs/>
                <w:color w:val="auto"/>
                <w:highlight w:val="none"/>
                <w:vertAlign w:val="baseline"/>
                <w:lang w:val="en-US" w:eastAsia="zh-CN"/>
              </w:rPr>
            </w:pPr>
            <w:r>
              <w:rPr>
                <w:rFonts w:hint="default"/>
                <w:b w:val="0"/>
                <w:bCs w:val="0"/>
                <w:color w:val="auto"/>
                <w:highlight w:val="none"/>
                <w:vertAlign w:val="baseline"/>
                <w:lang w:val="en-US" w:eastAsia="zh-CN"/>
              </w:rPr>
              <w:t>支持车载视频实时采集，自动存储，360度无死角监控。支持院内协同视频采集，自动存储。</w:t>
            </w:r>
            <w:r>
              <w:rPr>
                <w:rFonts w:hint="default"/>
                <w:b w:val="0"/>
                <w:bCs w:val="0"/>
                <w:color w:val="auto"/>
                <w:highlight w:val="none"/>
                <w:vertAlign w:val="baseline"/>
                <w:lang w:val="en-US" w:eastAsia="zh-CN"/>
              </w:rPr>
              <w:br w:type="textWrapping"/>
            </w:r>
            <w:r>
              <w:rPr>
                <w:rFonts w:hint="default"/>
                <w:b w:val="0"/>
                <w:bCs w:val="0"/>
                <w:color w:val="auto"/>
                <w:highlight w:val="none"/>
                <w:vertAlign w:val="baseline"/>
                <w:lang w:val="en-US" w:eastAsia="zh-CN"/>
              </w:rPr>
              <w:t>2. 协同音频采集</w:t>
            </w:r>
            <w:r>
              <w:rPr>
                <w:rFonts w:hint="default"/>
                <w:b w:val="0"/>
                <w:bCs w:val="0"/>
                <w:color w:val="auto"/>
                <w:highlight w:val="none"/>
                <w:vertAlign w:val="baseline"/>
                <w:lang w:val="en-US" w:eastAsia="zh-CN"/>
              </w:rPr>
              <w:br w:type="textWrapping"/>
            </w:r>
            <w:r>
              <w:rPr>
                <w:rFonts w:hint="eastAsia"/>
                <w:b w:val="0"/>
                <w:bCs w:val="0"/>
                <w:color w:val="auto"/>
                <w:highlight w:val="none"/>
                <w:vertAlign w:val="baseline"/>
                <w:lang w:val="en-US" w:eastAsia="zh-CN"/>
              </w:rPr>
              <w:t xml:space="preserve">    </w:t>
            </w:r>
            <w:r>
              <w:rPr>
                <w:rFonts w:hint="default"/>
                <w:b w:val="0"/>
                <w:bCs w:val="0"/>
                <w:color w:val="auto"/>
                <w:highlight w:val="none"/>
                <w:vertAlign w:val="baseline"/>
                <w:lang w:val="en-US" w:eastAsia="zh-CN"/>
              </w:rPr>
              <w:t>支持音频实时采集，自动存储。支持院内协同音频实时采集，自动存储。</w:t>
            </w:r>
            <w:r>
              <w:rPr>
                <w:rFonts w:hint="default"/>
                <w:b w:val="0"/>
                <w:bCs w:val="0"/>
                <w:color w:val="auto"/>
                <w:highlight w:val="none"/>
                <w:vertAlign w:val="baseline"/>
                <w:lang w:val="en-US" w:eastAsia="zh-CN"/>
              </w:rPr>
              <w:br w:type="textWrapping"/>
            </w:r>
            <w:r>
              <w:rPr>
                <w:rFonts w:hint="default"/>
                <w:b w:val="0"/>
                <w:bCs w:val="0"/>
                <w:color w:val="auto"/>
                <w:highlight w:val="none"/>
                <w:vertAlign w:val="baseline"/>
                <w:lang w:val="en-US" w:eastAsia="zh-CN"/>
              </w:rPr>
              <w:t>3. 远程协同诊疗</w:t>
            </w:r>
            <w:r>
              <w:rPr>
                <w:rFonts w:hint="default"/>
                <w:b w:val="0"/>
                <w:bCs w:val="0"/>
                <w:color w:val="auto"/>
                <w:highlight w:val="none"/>
                <w:vertAlign w:val="baseline"/>
                <w:lang w:val="en-US" w:eastAsia="zh-CN"/>
              </w:rPr>
              <w:br w:type="textWrapping"/>
            </w:r>
            <w:r>
              <w:rPr>
                <w:rFonts w:hint="eastAsia"/>
                <w:b w:val="0"/>
                <w:bCs w:val="0"/>
                <w:color w:val="auto"/>
                <w:highlight w:val="none"/>
                <w:vertAlign w:val="baseline"/>
                <w:lang w:val="en-US" w:eastAsia="zh-CN"/>
              </w:rPr>
              <w:t xml:space="preserve">    </w:t>
            </w:r>
            <w:r>
              <w:rPr>
                <w:rFonts w:hint="default"/>
                <w:b w:val="0"/>
                <w:bCs w:val="0"/>
                <w:color w:val="auto"/>
                <w:highlight w:val="none"/>
                <w:vertAlign w:val="baseline"/>
                <w:lang w:val="en-US" w:eastAsia="zh-CN"/>
              </w:rPr>
              <w:t>支持远程音视频协同，实时和任意车辆进行远程视频诊疗，协助救治患者。</w:t>
            </w:r>
            <w:r>
              <w:rPr>
                <w:rFonts w:hint="default"/>
                <w:b w:val="0"/>
                <w:bCs w:val="0"/>
                <w:color w:val="auto"/>
                <w:highlight w:val="none"/>
                <w:vertAlign w:val="baseline"/>
                <w:lang w:val="en-US" w:eastAsia="zh-CN"/>
              </w:rPr>
              <w:br w:type="textWrapping"/>
            </w:r>
            <w:r>
              <w:rPr>
                <w:rFonts w:hint="default"/>
                <w:b w:val="0"/>
                <w:bCs w:val="0"/>
                <w:color w:val="auto"/>
                <w:highlight w:val="none"/>
                <w:vertAlign w:val="baseline"/>
                <w:lang w:val="en-US" w:eastAsia="zh-CN"/>
              </w:rPr>
              <w:t>4. 远程协同指挥中心</w:t>
            </w:r>
            <w:r>
              <w:rPr>
                <w:rFonts w:hint="default"/>
                <w:b w:val="0"/>
                <w:bCs w:val="0"/>
                <w:color w:val="auto"/>
                <w:highlight w:val="none"/>
                <w:vertAlign w:val="baseline"/>
                <w:lang w:val="en-US" w:eastAsia="zh-CN"/>
              </w:rPr>
              <w:br w:type="textWrapping"/>
            </w:r>
            <w:r>
              <w:rPr>
                <w:rFonts w:hint="eastAsia"/>
                <w:b w:val="0"/>
                <w:bCs w:val="0"/>
                <w:color w:val="auto"/>
                <w:highlight w:val="none"/>
                <w:vertAlign w:val="baseline"/>
                <w:lang w:val="en-US" w:eastAsia="zh-CN"/>
              </w:rPr>
              <w:t xml:space="preserve">    </w:t>
            </w:r>
            <w:r>
              <w:rPr>
                <w:rFonts w:hint="default"/>
                <w:b w:val="0"/>
                <w:bCs w:val="0"/>
                <w:color w:val="auto"/>
                <w:highlight w:val="none"/>
                <w:vertAlign w:val="baseline"/>
                <w:lang w:val="en-US" w:eastAsia="zh-CN"/>
              </w:rPr>
              <w:t>支持协同请求的处理，包含确认、修改、删除。支持院内强行开启远程协同。支持大屏同时开启多个远程协同。支持查看患者状态</w:t>
            </w:r>
            <w:r>
              <w:rPr>
                <w:rFonts w:hint="eastAsia"/>
                <w:b w:val="0"/>
                <w:bCs w:val="0"/>
                <w:color w:val="auto"/>
                <w:highlight w:val="none"/>
                <w:vertAlign w:val="baseline"/>
                <w:lang w:val="en-US" w:eastAsia="zh-CN"/>
              </w:rPr>
              <w:t>。</w:t>
            </w:r>
            <w:r>
              <w:rPr>
                <w:rFonts w:hint="default"/>
                <w:b w:val="0"/>
                <w:bCs w:val="0"/>
                <w:color w:val="auto"/>
                <w:highlight w:val="none"/>
                <w:vertAlign w:val="baseline"/>
                <w:lang w:val="en-US" w:eastAsia="zh-CN"/>
              </w:rPr>
              <w:t>支持查看患者生命体征</w:t>
            </w:r>
            <w:r>
              <w:rPr>
                <w:rFonts w:hint="eastAsia"/>
                <w:b w:val="0"/>
                <w:bCs w:val="0"/>
                <w:color w:val="auto"/>
                <w:highlight w:val="none"/>
                <w:vertAlign w:val="baseline"/>
                <w:lang w:val="en-US" w:eastAsia="zh-CN"/>
              </w:rPr>
              <w:t>。</w:t>
            </w:r>
            <w:r>
              <w:rPr>
                <w:rFonts w:hint="default"/>
                <w:b w:val="0"/>
                <w:bCs w:val="0"/>
                <w:color w:val="auto"/>
                <w:highlight w:val="none"/>
                <w:vertAlign w:val="baseline"/>
                <w:lang w:val="en-US" w:eastAsia="zh-CN"/>
              </w:rPr>
              <w:br w:type="textWrapping"/>
            </w:r>
            <w:r>
              <w:rPr>
                <w:rFonts w:hint="default"/>
                <w:b w:val="0"/>
                <w:bCs w:val="0"/>
                <w:color w:val="auto"/>
                <w:highlight w:val="none"/>
                <w:vertAlign w:val="baseline"/>
                <w:lang w:val="en-US" w:eastAsia="zh-CN"/>
              </w:rPr>
              <w:t>5. 协同历史分析</w:t>
            </w:r>
            <w:r>
              <w:rPr>
                <w:rFonts w:hint="default"/>
                <w:b w:val="0"/>
                <w:bCs w:val="0"/>
                <w:color w:val="auto"/>
                <w:highlight w:val="none"/>
                <w:vertAlign w:val="baseline"/>
                <w:lang w:val="en-US" w:eastAsia="zh-CN"/>
              </w:rPr>
              <w:br w:type="textWrapping"/>
            </w:r>
            <w:r>
              <w:rPr>
                <w:rFonts w:hint="eastAsia"/>
                <w:b w:val="0"/>
                <w:bCs w:val="0"/>
                <w:color w:val="auto"/>
                <w:highlight w:val="none"/>
                <w:vertAlign w:val="baseline"/>
                <w:lang w:val="en-US" w:eastAsia="zh-CN"/>
              </w:rPr>
              <w:t xml:space="preserve">    </w:t>
            </w:r>
            <w:r>
              <w:rPr>
                <w:rFonts w:hint="default"/>
                <w:b w:val="0"/>
                <w:bCs w:val="0"/>
                <w:color w:val="auto"/>
                <w:highlight w:val="none"/>
                <w:vertAlign w:val="baseline"/>
                <w:lang w:val="en-US" w:eastAsia="zh-CN"/>
              </w:rPr>
              <w:t>支持对历史协同信息进行综合统计分析。支持车辆行驶轨迹回看。支持音视频录像回看。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院内急诊模块</w:t>
            </w:r>
          </w:p>
        </w:tc>
        <w:tc>
          <w:tcPr>
            <w:tcW w:w="7466" w:type="dxa"/>
          </w:tcPr>
          <w:p>
            <w:pPr>
              <w:pStyle w:val="11"/>
              <w:numPr>
                <w:ilvl w:val="0"/>
                <w:numId w:val="7"/>
              </w:numPr>
              <w:ind w:right="63" w:rightChars="30"/>
              <w:jc w:val="both"/>
              <w:rPr>
                <w:rFonts w:hint="eastAsia"/>
                <w:b/>
                <w:bCs/>
                <w:color w:val="auto"/>
                <w:sz w:val="24"/>
                <w:szCs w:val="24"/>
                <w:highlight w:val="none"/>
                <w:vertAlign w:val="baseline"/>
                <w:lang w:val="en-US" w:eastAsia="zh-CN"/>
              </w:rPr>
            </w:pPr>
            <w:r>
              <w:rPr>
                <w:rFonts w:hint="eastAsia"/>
                <w:b/>
                <w:bCs/>
                <w:color w:val="auto"/>
                <w:sz w:val="24"/>
                <w:szCs w:val="24"/>
                <w:highlight w:val="none"/>
                <w:vertAlign w:val="baseline"/>
                <w:lang w:val="en-US" w:eastAsia="zh-CN"/>
              </w:rPr>
              <w:t>预检分诊</w:t>
            </w:r>
          </w:p>
          <w:p>
            <w:pPr>
              <w:pStyle w:val="11"/>
              <w:numPr>
                <w:ilvl w:val="0"/>
                <w:numId w:val="0"/>
              </w:numPr>
              <w:ind w:left="212" w:right="63" w:rightChars="30" w:hanging="212" w:hangingChars="10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★1. 预检分级管理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firstLine="424" w:firstLineChars="200"/>
              <w:jc w:val="both"/>
              <w:textAlignment w:val="baseline"/>
              <w:rPr>
                <w:rStyle w:val="64"/>
                <w:rFonts w:hint="eastAsia" w:ascii="宋体" w:hAnsi="宋体" w:eastAsia="宋体" w:cs="宋体"/>
                <w:color w:val="auto"/>
                <w:sz w:val="21"/>
                <w:szCs w:val="21"/>
                <w:highlight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现患者信息录入，通过读取病人的身份证/就诊卡/医保卡/健康卡，同时科查询该病人的基本信息，历史就医信息。</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分诊后病人分流状态显示：处于抢救室（红区）密切观察诊疗室（黄区） 普通急诊科室等（绿区）。</w:t>
            </w:r>
            <w:r>
              <w:rPr>
                <w:rStyle w:val="64"/>
                <w:rFonts w:hint="eastAsia"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 xml:space="preserve">    支持三无患者的信息记录，在接收没有任何信息患者的时候，系统提供特殊患者标示，对特殊患者可以实现诊疗信息与护理信息的录入，最终由系统对本次就诊的费用与就诊行为进行统计，后期可将患者信息补录完整。支持快速登记群伤事件，便于对突发群伤事件的统一管理。</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2. 预检主诉管理</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 xml:space="preserve">    护士根据患者的主诉，及主诉判断标准进行统一的分诊分级；确定不同等级患者候诊时的评估需要，并通过智能提醒护士予以适时评估，保证患者得到适时诊治。</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3. 预检症状管理</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 xml:space="preserve">    护士根据患者的状态，及状态判断标准进行统一的分诊分级；确定不同等级患者候诊时的评估需要，并通过智能提醒护士予以适时评估，保证患者得到适时诊治。</w:t>
            </w:r>
            <w:r>
              <w:rPr>
                <w:rStyle w:val="64"/>
                <w:rFonts w:hint="eastAsia" w:ascii="宋体" w:hAnsi="宋体" w:eastAsia="宋体" w:cs="宋体"/>
                <w:color w:val="auto"/>
                <w:sz w:val="21"/>
                <w:szCs w:val="21"/>
                <w:highlight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★4. 预检评分管理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 xml:space="preserve">    </w:t>
            </w:r>
            <w:r>
              <w:rPr>
                <w:rFonts w:hint="eastAsia" w:ascii="宋体" w:hAnsi="宋体" w:eastAsia="宋体" w:cs="宋体"/>
                <w:b w:val="0"/>
                <w:bCs w:val="0"/>
                <w:i w:val="0"/>
                <w:iCs w:val="0"/>
                <w:color w:val="auto"/>
                <w:kern w:val="0"/>
                <w:sz w:val="21"/>
                <w:szCs w:val="21"/>
                <w:highlight w:val="none"/>
                <w:u w:val="none"/>
                <w:lang w:val="en-US" w:eastAsia="zh-CN" w:bidi="ar"/>
              </w:rPr>
              <w:t>系统支持分诊时开展多项病情评分，如疼痛评分、创伤评分、ESI评分、GCS评分、REMS评分、MEWS评分，操作简单易行。</w:t>
            </w:r>
            <w:r>
              <w:rPr>
                <w:rStyle w:val="64"/>
                <w:rFonts w:hint="eastAsia" w:ascii="宋体" w:hAnsi="宋体" w:eastAsia="宋体" w:cs="宋体"/>
                <w:color w:val="auto"/>
                <w:sz w:val="21"/>
                <w:szCs w:val="21"/>
                <w:highlight w:val="none"/>
                <w:lang w:val="en-US" w:eastAsia="zh-CN" w:bidi="ar"/>
              </w:rPr>
              <w:t>支持自动计算评分结果。支持自动根据评分结果建议选择处置方案。</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5. 预检分诊打印</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 xml:space="preserve">    系统根据预检分诊信息，自动打印预检分诊单。</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6. 预检腕带分级管理</w:t>
            </w:r>
            <w:r>
              <w:rPr>
                <w:rStyle w:val="64"/>
                <w:rFonts w:hint="eastAsia" w:ascii="宋体" w:hAnsi="宋体" w:eastAsia="宋体" w:cs="宋体"/>
                <w:color w:val="auto"/>
                <w:sz w:val="21"/>
                <w:szCs w:val="21"/>
                <w:highlight w:val="none"/>
                <w:lang w:val="en-US" w:eastAsia="zh-CN" w:bidi="ar"/>
              </w:rPr>
              <w:br w:type="textWrapping"/>
            </w:r>
            <w:r>
              <w:rPr>
                <w:rStyle w:val="64"/>
                <w:rFonts w:hint="eastAsia" w:ascii="宋体" w:hAnsi="宋体" w:eastAsia="宋体" w:cs="宋体"/>
                <w:color w:val="auto"/>
                <w:sz w:val="21"/>
                <w:szCs w:val="21"/>
                <w:highlight w:val="none"/>
                <w:lang w:val="en-US" w:eastAsia="zh-CN" w:bidi="ar"/>
              </w:rPr>
              <w:t xml:space="preserve">    提供打印腕带和分诊条功能，可以为患者提供唯一的识别编号，系统支持为危重患者提供腕带打印和分诊条打印功能，急诊抢救室的患者和留观的患者需要佩戴腕带，腕带可协助快速准确地完成患者出入院、临床治疗、检查、手术、急救等。</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both"/>
              <w:textAlignment w:val="baseline"/>
              <w:rPr>
                <w:rStyle w:val="64"/>
                <w:rFonts w:hint="eastAsia" w:ascii="宋体" w:hAnsi="宋体" w:eastAsia="宋体" w:cs="宋体"/>
                <w:b/>
                <w:bCs/>
                <w:color w:val="auto"/>
                <w:sz w:val="24"/>
                <w:szCs w:val="24"/>
                <w:highlight w:val="none"/>
                <w:lang w:val="en-US" w:eastAsia="zh-CN" w:bidi="ar"/>
              </w:rPr>
            </w:pPr>
            <w:r>
              <w:rPr>
                <w:rStyle w:val="64"/>
                <w:rFonts w:hint="eastAsia" w:ascii="宋体" w:hAnsi="宋体" w:eastAsia="宋体" w:cs="宋体"/>
                <w:b/>
                <w:bCs/>
                <w:color w:val="auto"/>
                <w:sz w:val="24"/>
                <w:szCs w:val="24"/>
                <w:highlight w:val="none"/>
                <w:lang w:val="en-US" w:eastAsia="zh-CN" w:bidi="ar"/>
              </w:rPr>
              <w:t>急诊诊疗系统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right="0" w:rightChars="0" w:hanging="424" w:hangingChars="200"/>
              <w:jc w:val="both"/>
              <w:textAlignment w:val="baseline"/>
              <w:rPr>
                <w:rStyle w:val="64"/>
                <w:rFonts w:hint="default" w:ascii="宋体" w:hAnsi="宋体" w:eastAsia="宋体" w:cs="宋体"/>
                <w:b w:val="0"/>
                <w:bCs w:val="0"/>
                <w:color w:val="auto"/>
                <w:sz w:val="21"/>
                <w:szCs w:val="21"/>
                <w:highlight w:val="none"/>
                <w:lang w:val="en-US" w:eastAsia="zh-CN" w:bidi="ar"/>
              </w:rPr>
            </w:pPr>
            <w:r>
              <w:rPr>
                <w:rStyle w:val="64"/>
                <w:rFonts w:hint="default" w:ascii="宋体" w:hAnsi="宋体" w:eastAsia="宋体" w:cs="宋体"/>
                <w:b w:val="0"/>
                <w:bCs w:val="0"/>
                <w:color w:val="auto"/>
                <w:sz w:val="21"/>
                <w:szCs w:val="21"/>
                <w:highlight w:val="none"/>
                <w:lang w:val="en-US" w:eastAsia="zh-CN" w:bidi="ar"/>
              </w:rPr>
              <w:t>1. 急诊历史病史</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支持查询当前就诊患者历史病历查询功能。</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right="0" w:rightChars="0" w:hanging="424" w:hangingChars="200"/>
              <w:jc w:val="both"/>
              <w:textAlignment w:val="baseline"/>
              <w:rPr>
                <w:rStyle w:val="64"/>
                <w:rFonts w:hint="default" w:ascii="宋体" w:hAnsi="宋体" w:eastAsia="宋体" w:cs="宋体"/>
                <w:b w:val="0"/>
                <w:bCs w:val="0"/>
                <w:color w:val="auto"/>
                <w:sz w:val="21"/>
                <w:szCs w:val="21"/>
                <w:highlight w:val="none"/>
                <w:lang w:val="en-US" w:eastAsia="zh-CN" w:bidi="ar"/>
              </w:rPr>
            </w:pPr>
            <w:r>
              <w:rPr>
                <w:rStyle w:val="64"/>
                <w:rFonts w:hint="default" w:ascii="宋体" w:hAnsi="宋体" w:eastAsia="宋体" w:cs="宋体"/>
                <w:b w:val="0"/>
                <w:bCs w:val="0"/>
                <w:color w:val="auto"/>
                <w:sz w:val="21"/>
                <w:szCs w:val="21"/>
                <w:highlight w:val="none"/>
                <w:lang w:val="en-US" w:eastAsia="zh-CN" w:bidi="ar"/>
              </w:rPr>
              <w:t>2. 急诊诊断管理</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支持患者诊断编辑、诊断修改、诊断编码同步、诊断查询。</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4" w:leftChars="0" w:right="0" w:rightChars="0" w:hanging="424" w:hangingChars="200"/>
              <w:jc w:val="both"/>
              <w:textAlignment w:val="baseline"/>
              <w:rPr>
                <w:rStyle w:val="64"/>
                <w:rFonts w:hint="default" w:ascii="宋体" w:hAnsi="宋体" w:eastAsia="宋体" w:cs="宋体"/>
                <w:b w:val="0"/>
                <w:bCs w:val="0"/>
                <w:color w:val="auto"/>
                <w:sz w:val="21"/>
                <w:szCs w:val="21"/>
                <w:highlight w:val="none"/>
                <w:lang w:val="en-US" w:eastAsia="zh-CN" w:bidi="ar"/>
              </w:rPr>
            </w:pPr>
            <w:r>
              <w:rPr>
                <w:rStyle w:val="64"/>
                <w:rFonts w:hint="default" w:ascii="宋体" w:hAnsi="宋体" w:eastAsia="宋体" w:cs="宋体"/>
                <w:b w:val="0"/>
                <w:bCs w:val="0"/>
                <w:color w:val="auto"/>
                <w:sz w:val="21"/>
                <w:szCs w:val="21"/>
                <w:highlight w:val="none"/>
                <w:lang w:val="en-US" w:eastAsia="zh-CN" w:bidi="ar"/>
              </w:rPr>
              <w:t>3. 急诊医嘱管理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0" w:leftChars="0" w:right="0" w:rightChars="0" w:firstLine="424" w:firstLineChars="200"/>
              <w:jc w:val="both"/>
              <w:textAlignment w:val="baseline"/>
              <w:rPr>
                <w:rStyle w:val="64"/>
                <w:rFonts w:hint="default" w:ascii="宋体" w:hAnsi="宋体" w:eastAsia="宋体" w:cs="宋体"/>
                <w:b w:val="0"/>
                <w:bCs w:val="0"/>
                <w:color w:val="auto"/>
                <w:sz w:val="21"/>
                <w:szCs w:val="21"/>
                <w:highlight w:val="none"/>
                <w:lang w:val="en-US" w:eastAsia="zh-CN" w:bidi="ar"/>
              </w:rPr>
            </w:pPr>
            <w:r>
              <w:rPr>
                <w:rStyle w:val="64"/>
                <w:rFonts w:hint="default" w:ascii="宋体" w:hAnsi="宋体" w:eastAsia="宋体" w:cs="宋体"/>
                <w:b w:val="0"/>
                <w:bCs w:val="0"/>
                <w:color w:val="auto"/>
                <w:sz w:val="21"/>
                <w:szCs w:val="21"/>
                <w:highlight w:val="none"/>
                <w:lang w:val="en-US" w:eastAsia="zh-CN" w:bidi="ar"/>
              </w:rPr>
              <w:t>支持下达西药、中药、中成药、检验、检查、诊疗、其他医嘱的下达、审核、作废等功能。医嘱下达支持医嘱套餐方式，方便医生下达医嘱。支持多个项目不同类型医嘱组套功能，方便医生能同时下达药品、检验检查、材料、诊疗及其他。符合国内医生工作站操作风格。支持历史医嘱复制功能。支持医嘱套餐设定</w:t>
            </w:r>
            <w:r>
              <w:rPr>
                <w:rStyle w:val="64"/>
                <w:rFonts w:hint="eastAsia" w:ascii="宋体" w:hAnsi="宋体" w:eastAsia="宋体" w:cs="宋体"/>
                <w:b w:val="0"/>
                <w:bCs w:val="0"/>
                <w:color w:val="auto"/>
                <w:sz w:val="21"/>
                <w:szCs w:val="21"/>
                <w:highlight w:val="none"/>
                <w:lang w:val="en-US" w:eastAsia="zh-CN" w:bidi="ar"/>
              </w:rPr>
              <w:t>。</w:t>
            </w:r>
            <w:r>
              <w:rPr>
                <w:rStyle w:val="64"/>
                <w:rFonts w:hint="default" w:ascii="宋体" w:hAnsi="宋体" w:eastAsia="宋体" w:cs="宋体"/>
                <w:b w:val="0"/>
                <w:bCs w:val="0"/>
                <w:color w:val="auto"/>
                <w:sz w:val="21"/>
                <w:szCs w:val="21"/>
                <w:highlight w:val="none"/>
                <w:lang w:val="en-US" w:eastAsia="zh-CN" w:bidi="ar"/>
              </w:rPr>
              <w:t>支持医嘱套餐打包规则</w:t>
            </w:r>
            <w:r>
              <w:rPr>
                <w:rStyle w:val="64"/>
                <w:rFonts w:hint="eastAsia" w:ascii="宋体" w:hAnsi="宋体" w:eastAsia="宋体" w:cs="宋体"/>
                <w:b w:val="0"/>
                <w:bCs w:val="0"/>
                <w:color w:val="auto"/>
                <w:sz w:val="21"/>
                <w:szCs w:val="21"/>
                <w:highlight w:val="none"/>
                <w:lang w:val="en-US" w:eastAsia="zh-CN" w:bidi="ar"/>
              </w:rPr>
              <w:t>。</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4. 急诊患者时间轴</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支持系统自动生成患者救治时间轴。根据权限可对时间轴进行修改并留痕。</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支持中心患者时间轴后补修改。</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5. 急诊患者登记薄</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会诊评价统计；根绝会诊后邀请医师或邀请科室对受邀医师做出会诊等级评级，根绝会诊到达时间，会诊效果，会诊流程操作规范，会诊专业性。</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6. 急诊报告查询</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支持查询检验结果、PACS影像报告结果。</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bCs/>
                <w:color w:val="auto"/>
                <w:sz w:val="21"/>
                <w:szCs w:val="21"/>
                <w:highlight w:val="none"/>
                <w:lang w:val="en-US" w:eastAsia="zh-CN" w:bidi="ar"/>
              </w:rPr>
              <w:t>★7. 急诊移动医生站</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语言识别医嘱，复诉医嘱，以及医嘱执行情况的记录。医生可通过PDA开立医嘱，开具检查检验申请单，开具手术申请。医生可通过PDA查询电子病历，书写病历，移动查房。</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8. 危急值提醒</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系统自动抓获到的患者生命体征，在出现危急值或自定义危急值时，将会报警提示。</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对患者进行急诊急救的各个时间点进行时间质控设定，如从接到120调度后事件操作十分钟系统还未抓取到急救车出诊信息，将会进行质控提醒并再次电话，电话语音通知出诊人员和司机，并在科室中心进行报警提示。</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患者体征危急值和时间节点质控可由医院根据医务部医学管理自定义设置。也可根据不同事件情况进行自定设定。</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eastAsia" w:ascii="宋体" w:hAnsi="宋体" w:eastAsia="宋体" w:cs="宋体"/>
                <w:b w:val="0"/>
                <w:bCs w:val="0"/>
                <w:color w:val="auto"/>
                <w:sz w:val="21"/>
                <w:szCs w:val="21"/>
                <w:highlight w:val="none"/>
                <w:lang w:val="en-US" w:eastAsia="zh-CN" w:bidi="ar"/>
              </w:rPr>
              <w:t xml:space="preserve">   </w:t>
            </w:r>
            <w:r>
              <w:rPr>
                <w:rStyle w:val="64"/>
                <w:rFonts w:hint="default" w:ascii="宋体" w:hAnsi="宋体" w:eastAsia="宋体" w:cs="宋体"/>
                <w:b w:val="0"/>
                <w:bCs w:val="0"/>
                <w:color w:val="auto"/>
                <w:sz w:val="21"/>
                <w:szCs w:val="21"/>
                <w:highlight w:val="none"/>
                <w:lang w:val="en-US" w:eastAsia="zh-CN" w:bidi="ar"/>
              </w:rPr>
              <w:t>当获取到检验结果出现危急值时，系统会自动报警，提示检验者进一步识别和处理。获取到危急值报告时会自动通知到临床科室，可选择性通知专科科室。</w:t>
            </w:r>
            <w:r>
              <w:rPr>
                <w:rStyle w:val="64"/>
                <w:rFonts w:hint="default" w:ascii="宋体" w:hAnsi="宋体" w:eastAsia="宋体" w:cs="宋体"/>
                <w:b w:val="0"/>
                <w:bCs w:val="0"/>
                <w:color w:val="auto"/>
                <w:sz w:val="21"/>
                <w:szCs w:val="21"/>
                <w:highlight w:val="none"/>
                <w:lang w:val="en-US" w:eastAsia="zh-CN" w:bidi="ar"/>
              </w:rPr>
              <w:br w:type="textWrapping"/>
            </w:r>
            <w:r>
              <w:rPr>
                <w:rStyle w:val="64"/>
                <w:rFonts w:hint="default" w:ascii="宋体" w:hAnsi="宋体" w:eastAsia="宋体" w:cs="宋体"/>
                <w:b w:val="0"/>
                <w:bCs w:val="0"/>
                <w:color w:val="auto"/>
                <w:sz w:val="21"/>
                <w:szCs w:val="21"/>
                <w:highlight w:val="none"/>
                <w:lang w:val="en-US" w:eastAsia="zh-CN" w:bidi="ar"/>
              </w:rPr>
              <w:t>危急值定义自动进行不定期的维护，及自定义第二危急值。危急值标准不统一时自动提交信息至医教科。</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both"/>
              <w:textAlignment w:val="baseline"/>
              <w:rPr>
                <w:rStyle w:val="64"/>
                <w:rFonts w:hint="eastAsia" w:ascii="宋体" w:hAnsi="宋体" w:eastAsia="宋体" w:cs="宋体"/>
                <w:b/>
                <w:bCs/>
                <w:color w:val="auto"/>
                <w:sz w:val="24"/>
                <w:szCs w:val="24"/>
                <w:highlight w:val="none"/>
                <w:lang w:val="en-US" w:eastAsia="zh-CN" w:bidi="ar"/>
              </w:rPr>
            </w:pPr>
            <w:r>
              <w:rPr>
                <w:rStyle w:val="64"/>
                <w:rFonts w:hint="eastAsia" w:ascii="宋体" w:hAnsi="宋体" w:eastAsia="宋体" w:cs="宋体"/>
                <w:b/>
                <w:bCs/>
                <w:color w:val="auto"/>
                <w:sz w:val="24"/>
                <w:szCs w:val="24"/>
                <w:highlight w:val="none"/>
                <w:lang w:val="en-US" w:eastAsia="zh-CN" w:bidi="ar"/>
              </w:rPr>
              <w:t>绿色通道管理</w:t>
            </w:r>
          </w:p>
          <w:p>
            <w:pPr>
              <w:pStyle w:val="11"/>
              <w:keepNext w:val="0"/>
              <w:keepLines w:val="0"/>
              <w:pageBreakBefore w:val="0"/>
              <w:widowControl w:val="0"/>
              <w:numPr>
                <w:ilvl w:val="0"/>
                <w:numId w:val="8"/>
              </w:numPr>
              <w:kinsoku/>
              <w:wordWrap/>
              <w:overflowPunct/>
              <w:topLinePunct w:val="0"/>
              <w:autoSpaceDE/>
              <w:autoSpaceDN/>
              <w:bidi w:val="0"/>
              <w:adjustRightInd w:val="0"/>
              <w:snapToGrid/>
              <w:spacing w:after="0"/>
              <w:ind w:left="0" w:right="0" w:rightChars="0" w:firstLine="0" w:firstLineChars="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绿色通道申请</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开通绿色通道时支持由医院自定义设置是否需要审核或危及重患者自动审核。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医生可根据患者病情，自主申请开通绿色通道。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 绿色通道审核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绿色通道的审批将由系统自动推送提醒审批。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 绿色通道费用管理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系统自定识别患者是否为绿色通道患者，如果是进行“二先二后”先救治处置，后挂号交费，先入院抢救，后交款办理。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 绿色通道分析</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绿色通道患者的抢救流程将全程被记录在患者抢救时间节点形成时间轴精确到秒。支持全方位的查询统计分析。</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 绿色通道退出管理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支持医生主动申请退出绿色通道。支持完整的退出机制。</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急诊病历系统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422" w:leftChars="-1" w:right="0" w:rightChars="0" w:hanging="424" w:hangingChars="2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 急诊病历模板</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2" w:leftChars="-1" w:right="0" w:rightChars="0" w:firstLine="424" w:firstLineChars="2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根据卫健委《电子病历基本规范（试行）》、《电子病历系统功能应用水平分级评价方法及标准（试行）》等文件进行系统化电子病历设计。</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模板内容支持由卫生主管部门根据病历书写规范的要求统一制定，每个疾病制定一个病历模板。</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病历对患者病情和诊疗过程进行连续性记录。内容包括患者的病情变化情况、重要的辅助检查结果及临床意义、上级医师查房、会诊文书、会诊意见、医嘱信息、知情同意书等重要事项进行存档。</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2. 诊病历书写</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病历中所有相关的医疗文书都是需要完整齐全的，特别是像知情同意书这类需要病人签署的知情通知书。所有的医疗文书都是在发生医疗纠纷的时候，可以作为有效的证据的。支持病危通知单，危重病人知情同意书，危重患者病情交接单电子化，让诊疗有据可循。</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书写病历时对特殊体征进行点击选择，患者基本信息与医嘱，检查检验结果可通过集成方式，调取至病历中，系统会根据患者在不同区域诊疗提供抢救与留观的病历模式。</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bCs/>
                <w:i w:val="0"/>
                <w:iCs w:val="0"/>
                <w:color w:val="auto"/>
                <w:kern w:val="0"/>
                <w:sz w:val="21"/>
                <w:szCs w:val="21"/>
                <w:highlight w:val="none"/>
                <w:u w:val="none"/>
                <w:lang w:val="en-US" w:eastAsia="zh-CN" w:bidi="ar"/>
              </w:rPr>
              <w:t>★3. 病历类别管理</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系统提供结构化模板，医生可根据病情、类别等需要调取不同模板。</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4. 病历打印</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续打、整洁打印、留痕打印、自定义纸张、网格线。复杂表格排版、单元格合并、表格套嵌、图文混排、页眉页脚、批注、无级缩放。支持医疗信息化行业所特需的功能，包括半结构、痕迹保留、多级权限控制、内容保护、输入域、知识库、数据源绑定、级联模板、视图加密、续打、医学表达式、辅助病案质量控制。完全支持XML技术。能导出RTF、PDF、HTML等各种开放文档格式。</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急诊护理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right="0" w:rightChars="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 床位管理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right="0" w:rightChars="0" w:firstLine="424" w:firstLineChars="2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支持急诊床位管理，包含新增、编辑、删除等功能。</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2. 患者入出转管理</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支持患者转入转出管理。</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3. 医嘱核对</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护士对医生所开立的用药医嘱内容进行核对，主要包括：医嘱名称、时间、途径、使用频次、剂量、医嘱标示等内容。</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4. 医嘱执行</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支持医嘱执行，取消执行等操作。</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5. 医嘱记费</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支持医嘱确认计费。支持退费流程。</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6. 材料划价</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支持材料划价。支持材料划价取消。</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7. 费用补录</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支持费用补录。支持补录费用冲正。</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8. 急诊体温表录入</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支持记录体温（包括物理降温），脉搏，呼吸，血压、血糖、血氧饱和度、大便次数等数值的采集。支持多患者同时录入。</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9. 患者历史体温表查询</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支持查询患者历史就诊记录中体温信息。</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10. 体温表打印</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支持续打、整洁打印、留痕打印、自定义纸张、网格线</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11. 急诊移动护士站</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支持PDA移动设备医嘱核对、医嘱执行、医嘱计费、材料划价、费用补录、体温单录入等功能</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default" w:ascii="宋体" w:hAnsi="宋体" w:eastAsia="宋体" w:cs="宋体"/>
                <w:b w:val="0"/>
                <w:bCs w:val="0"/>
                <w:i w:val="0"/>
                <w:iCs w:val="0"/>
                <w:color w:val="auto"/>
                <w:kern w:val="0"/>
                <w:sz w:val="21"/>
                <w:szCs w:val="21"/>
                <w:highlight w:val="none"/>
                <w:u w:val="none"/>
                <w:lang w:val="en-US" w:eastAsia="zh-CN" w:bidi="ar"/>
              </w:rPr>
              <w:t>12. 护理评估管理</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支持护理评估单模板管理。支持评估单自动同步功能。支持评估单留痕、修改管理流程。支持评估单统计分析质控等。支持根据患者基本信息，自动生成评估内容及风险提示。</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急诊输液室系统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0" w:right="0" w:rightChars="0"/>
              <w:jc w:val="left"/>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 患者登记</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0" w:right="0" w:rightChars="0" w:firstLine="424" w:firstLineChars="200"/>
              <w:jc w:val="left"/>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支持患者输液登记、核对。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 皮试执行</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支持护士皮试执行、核对。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 皮试记录</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支持皮试结果录入、修改。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4. 输液配药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支持输液患者配药、核对。支持打印配药单。</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5. 输液执行</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支持输液患者执行。</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6. 输液执行单打印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支持打印输液执行单。</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7. 输液配药单打印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支持打印配药单，支持补打等功能。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8. 输液业务警告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支持输液预警。提供语音声音预警。</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left"/>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急诊会诊系统</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 会诊申请</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支持会诊申请，审核、确认等功能。</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 会诊确定</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支持会诊确认，签到提供指纹、人脸识别等功能。</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3. 会诊报道</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支持会诊确认功能。</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4. 会诊意见书写</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支持会诊处置意见填写、修改。</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5. 会诊评价</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支持会诊评价。</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6. 医生交接班</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支持医生交接班，填写交接班记录，可修改。支持医生交接班查询。</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7. 护理交接班</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支持护理交接班，填写交接班记录，科修改。支持护士交接班查询，统计。</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left"/>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急诊质控管理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1.急诊质控方案</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支持国家急诊学科建设标准的质控数据录入</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支持自定义设置时间质控间隔标准</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支持自定义设置电子病历书写规范要求标准</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支持自定义设置危机数据选择节点</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支持根据时间节点设置质控方案</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支持根据行为设置质控方案</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支持根据科室效能值设定质控方案</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支持质控方案建设</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2.急诊质控提醒</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支持时间节点超时预警</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支持病历书写超时提醒</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支持病历书写不规范提醒支持医嘱下达根据合理用药要求提醒</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支持针对统计数据的单数据设置提醒</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支持根据院、科、人进行三级质控数据的设定</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急诊质控查询</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支持调度查询调度查询支持查询单号、来源、类别、地址、时间、事件、人数、标志、操作员、时间范围等</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3.急诊统计</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支持出诊登记统计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支持会诊统计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支持协同统计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支持急诊患者转归统计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支持绿色通道统计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支持预检分诊统计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支持根据三区四级进行数据统</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支持就诊历史查询</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支持患者就诊次数查询</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支持急诊人次数统计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支持病历书写统计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支持工作量统计与计算</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支持接警统计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支持抢救室质控统计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支持特殊病种统计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支持院前报表统计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支持根据时间节点、事件段进行数据抓取统计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支持收治住院患者数统计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支持群伤事件统计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支持院前病历完成率统计</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4.急诊质控分析</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支持统计数据生成图形阅览</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支持统计数据表格化打印</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支持统计数据根据地区、时间段、操作人员进行分析</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支持敏感指标登记统计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支持敏感指标自定义设定危机报警数值</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支持时间轴统计</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支持患者时间轴内时间段平均计算</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支持患者时间轴内时间段最值分析查询</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keepNext w:val="0"/>
              <w:keepLines w:val="0"/>
              <w:pageBreakBefore w:val="0"/>
              <w:widowControl w:val="0"/>
              <w:numPr>
                <w:ilvl w:val="0"/>
                <w:numId w:val="7"/>
              </w:numPr>
              <w:kinsoku/>
              <w:wordWrap/>
              <w:overflowPunct/>
              <w:topLinePunct w:val="0"/>
              <w:autoSpaceDE/>
              <w:autoSpaceDN/>
              <w:bidi w:val="0"/>
              <w:adjustRightInd w:val="0"/>
              <w:snapToGrid/>
              <w:spacing w:after="0"/>
              <w:ind w:left="63" w:leftChars="30" w:right="0" w:rightChars="0" w:firstLine="0" w:firstLineChars="0"/>
              <w:jc w:val="left"/>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急诊交接班</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急诊交接班程序标准化、规范化的实施可以明确各班的责任，避免工作中的遗漏，有效防止急诊差错事故的发生，从而保证急诊工作的延续性、安全性和有效性。</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设计完全遵循急诊科交接班报表格式；将纸质化转化为信息化录入记录。</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系统将原本纸质化的记录方式改为信息化操作，同时可以设定事件的重要等级，根据等级进行提醒设置。防止遗漏工作。</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出现应交患者未交或患者信息无人接的情况时，系统会通过站内消息的交接班异常情况提醒。</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医生交接班</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支持医生交接班，填写交接班记录，可修改。</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医生交接班查询</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支持医生交接班查询。</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护理交接班</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支持护理交接班，填写交接班记录，科修改。</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系统提供交班报告本、交班患者统计、病人交班列表以及PDA交班信息多种途径展示交接班信息，简单易操作给予科室交班时更加适合，便利的展示形式。</w:t>
            </w:r>
          </w:p>
          <w:p>
            <w:pPr>
              <w:pStyle w:val="11"/>
              <w:keepNext w:val="0"/>
              <w:keepLines w:val="0"/>
              <w:pageBreakBefore w:val="0"/>
              <w:widowControl w:val="0"/>
              <w:numPr>
                <w:ilvl w:val="0"/>
                <w:numId w:val="0"/>
              </w:numPr>
              <w:kinsoku/>
              <w:wordWrap/>
              <w:overflowPunct/>
              <w:topLinePunct w:val="0"/>
              <w:autoSpaceDE/>
              <w:autoSpaceDN/>
              <w:bidi w:val="0"/>
              <w:adjustRightInd w:val="0"/>
              <w:snapToGrid/>
              <w:spacing w:after="0"/>
              <w:ind w:leftChars="30" w:right="0" w:rightChars="0" w:firstLine="424" w:firstLineChars="200"/>
              <w:jc w:val="left"/>
              <w:textAlignment w:val="baseline"/>
              <w:rPr>
                <w:rFonts w:hint="default" w:ascii="宋体" w:hAnsi="宋体" w:eastAsia="宋体" w:cs="宋体"/>
                <w:b/>
                <w:bCs/>
                <w:i w:val="0"/>
                <w:iCs w:val="0"/>
                <w:color w:val="auto"/>
                <w:kern w:val="0"/>
                <w:sz w:val="24"/>
                <w:szCs w:val="24"/>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护士交接班查询</w:t>
            </w: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支持护士交接班查询，统计。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3</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急诊三大中心</w:t>
            </w:r>
          </w:p>
        </w:tc>
        <w:tc>
          <w:tcPr>
            <w:tcW w:w="7466" w:type="dxa"/>
          </w:tcPr>
          <w:p>
            <w:pPr>
              <w:pStyle w:val="11"/>
              <w:numPr>
                <w:ilvl w:val="0"/>
                <w:numId w:val="9"/>
              </w:numPr>
              <w:ind w:right="63" w:rightChars="30"/>
              <w:jc w:val="both"/>
              <w:rPr>
                <w:rFonts w:hint="eastAsia"/>
                <w:b/>
                <w:bCs/>
                <w:color w:val="auto"/>
                <w:sz w:val="24"/>
                <w:szCs w:val="24"/>
                <w:highlight w:val="none"/>
                <w:vertAlign w:val="baseline"/>
                <w:lang w:val="en-US" w:eastAsia="zh-CN"/>
              </w:rPr>
            </w:pPr>
            <w:r>
              <w:rPr>
                <w:rFonts w:hint="eastAsia"/>
                <w:b/>
                <w:bCs/>
                <w:color w:val="auto"/>
                <w:sz w:val="24"/>
                <w:szCs w:val="24"/>
                <w:highlight w:val="none"/>
                <w:vertAlign w:val="baseline"/>
                <w:lang w:val="en-US" w:eastAsia="zh-CN"/>
              </w:rPr>
              <w:t>急诊中心系统</w:t>
            </w:r>
          </w:p>
          <w:p>
            <w:pPr>
              <w:pStyle w:val="11"/>
              <w:numPr>
                <w:ilvl w:val="0"/>
                <w:numId w:val="0"/>
              </w:numPr>
              <w:ind w:right="63" w:rightChars="3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1. 电子病历</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急诊中心一体化电子病历模板，支持病历基于院内工作站或移动客户端的创建、修改、记录、查阅、维护、归档、打印等功能，提供急救基本信息、高危状态评估、病情记录、来院方式、生命体征、临床及急诊诊疗、患者转归的完整医疗信息记录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支持病历填写完整度检查与提示功能，提供不同颜色区分提示病历完成度，提供不同完成度病历数量实时统计数据，并对病历中必选未填项给出界面明确提示；</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支持结构化病情记录单功能，医护人员通过勾选即可完成病情记录和体格检查信息，还需同时支持手工录入补充信息功能；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支持对接读卡设备自动获取患者证件信息，同时支持手工录入；</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支持通过对接医疗设备自动获取生命体征、检查检验数据、影像数据、心电图数据功能，可随时调阅、查看，在不具备对接条件情况下，需同时支持手工数据录入和上传；</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支持中心患者急救过程各类情况完整时间节点记录，支持自动获取当前时间，对接获取自动采集时间节点数据；支持病程及救治过程关键节点时间记录功能，时间轴管理，救治登记表生成及打印功能；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支持转归信息记录：支持根据不同患者转归途径提供住院时间、费用记录，其中，针对转出患者需支持列表选择转出医院名称；</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支持转诊功能，提供转诊过程信息记录；</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支持急救运送途中的即时移动会诊与记录功能。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支持急救状态流转，根据急救不同阶段切换模板内容，前序与后继急救阶段病历内容自动提取与衔接；</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支持更新病历覆盖提示功能。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支持移动端语音录入病历；</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支持病历列表查看及基于条件的查询筛选功能；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支持患者标签标识管理功能；</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支持病历存档功能，包括：对于急救结束的病历信息医护人员可对其发起存档申请；根据权限及身份的不同，可对待审核的病历信息进行审核，审核后的病历分为审核通过与审核拒绝留存相关数据。</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支持中心患者诊疗的各类评分、评级功能，包括GRACE评分、TIMI评级、Killip分级等；</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2. 生命体征传输系统</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运用4G\5G网络通讯技术把患者的生命体征数据，包括血压、血氧、体温、血糖、肌钙蛋白等传送到医院，急救科专家根据此数据，并通过音视频系统对现场医生进行远程指导，进而为患者提供更高质量的院前急救治疗服务。</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患者生命体征数据传输，传输载体上保存传输的数据内容。</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应用范围：院内医护人员根据生命体征数据判断患者所处状态，及时作出抢救措施；系统自动保存此数据作为患者病历的一部分。可以实现网络医院和中心医院，120急救医疗机构的救护人员的协同救治沟通，相关医疗数据和时空数据可以自动整合到病历信息中。</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3. 区域时钟</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所有显示时间的终端设备（系统内的时钟），院内可访问网络的挂钟、医生的计算机、手机均由统一的时间源提供。</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保证系统中的数据安全，保证系统中的数据不被非法阅读、篡改，确保非法用户不能进入本系统，数据必须加密存储和传输。</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4. 移动工作站</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支持记录患者的基本信息，包括患者姓名、性别、年龄登记时间、腕带编号、病历编号、身份证号、本人和联系人电话、填写门诊ID等信息。</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以患者为中心，首诊医生建档，建档完成后根据急救类型将医院的所有相关医生自动默认进入到工作组，工作组里的医生都可以根据患者的病情发展完善其病历信息。支持文字、语音、图片的即时交互。工作组里的医生都能接收到相关信息。</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支持记录首次医疗接触信息，包括来院方式、首次医疗接触、远程心电传输、会诊等信息。</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支持通过动态平均算法对工作组内的关键任务进行接近组内工作水平的友好提醒功能。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采用结构化数据，可以直接在数据库表单中查看到结构化数据存储，可安装于医护人员常用手机，方便医护人员记录救治过程及录入精准的操作时间。</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首诊医生建档后，系统能自动生成急救的病历模板，支持记录和采集各时间节点，同时同步至病历库，避免重复录入。</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支持记录患者转归信息，包括转送他院、出院、转送其他科室等。</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支持一键通知科室或工作组内值班人员功能。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可记录急救的关键时间点及救治过程，节点包括首次医疗接触时间、院内首份心电图时间、心电图诊断时间等。医护人员可根据患者情况随时发起会诊请求，提供移动视频会诊功能。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支持患者基本资料的录入和患者病历备注说明等。医护人员可在移动端发起转诊，支持双向转诊，记录转诊全过程。可以追溯历史病历信息及转诊记录。</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不限制医院院内终端使用数量。</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支持聊天会话窗口中发送的心电图图片存储为院前或院内首份心电图。</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支持语音输入病历。</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支持患者标签标识管理功能。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支持客户端扫描绑定监测设备从而建立患者病历与监测数据的关联功能，同时支持解除绑定功能。</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5. 时间节点射频</w:t>
            </w:r>
          </w:p>
          <w:p>
            <w:pPr>
              <w:pStyle w:val="11"/>
              <w:numPr>
                <w:ilvl w:val="0"/>
                <w:numId w:val="0"/>
              </w:numPr>
              <w:ind w:right="63" w:rightChars="30" w:firstLine="424" w:firstLineChars="200"/>
              <w:jc w:val="both"/>
              <w:rPr>
                <w:rFonts w:hint="eastAsia"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传输方式：点对多点传输，具备连接多种子射频系统的短距离无线感应功能。传输距离：≥10M</w:t>
            </w:r>
            <w:r>
              <w:rPr>
                <w:rFonts w:hint="eastAsia" w:ascii="宋体" w:hAnsi="宋体" w:eastAsia="宋体" w:cs="宋体"/>
                <w:b w:val="0"/>
                <w:bCs w:val="0"/>
                <w:color w:val="auto"/>
                <w:sz w:val="21"/>
                <w:szCs w:val="21"/>
                <w:highlight w:val="none"/>
                <w:vertAlign w:val="baseline"/>
                <w:lang w:val="en-US" w:eastAsia="zh-CN"/>
              </w:rPr>
              <w:t>；</w:t>
            </w:r>
            <w:r>
              <w:rPr>
                <w:rFonts w:hint="default" w:ascii="宋体" w:hAnsi="宋体" w:eastAsia="宋体" w:cs="宋体"/>
                <w:b w:val="0"/>
                <w:bCs w:val="0"/>
                <w:color w:val="auto"/>
                <w:sz w:val="21"/>
                <w:szCs w:val="21"/>
                <w:highlight w:val="none"/>
                <w:vertAlign w:val="baseline"/>
                <w:lang w:val="en-US" w:eastAsia="zh-CN"/>
              </w:rPr>
              <w:t>感应距离：≤10M</w:t>
            </w:r>
            <w:r>
              <w:rPr>
                <w:rFonts w:hint="eastAsia" w:ascii="宋体" w:hAnsi="宋体" w:eastAsia="宋体" w:cs="宋体"/>
                <w:b w:val="0"/>
                <w:bCs w:val="0"/>
                <w:color w:val="auto"/>
                <w:sz w:val="21"/>
                <w:szCs w:val="21"/>
                <w:highlight w:val="none"/>
                <w:vertAlign w:val="baseline"/>
                <w:lang w:val="en-US" w:eastAsia="zh-CN"/>
              </w:rPr>
              <w:t>；</w:t>
            </w:r>
            <w:r>
              <w:rPr>
                <w:rFonts w:hint="default" w:ascii="宋体" w:hAnsi="宋体" w:eastAsia="宋体" w:cs="宋体"/>
                <w:b w:val="0"/>
                <w:bCs w:val="0"/>
                <w:color w:val="auto"/>
                <w:sz w:val="21"/>
                <w:szCs w:val="21"/>
                <w:highlight w:val="none"/>
                <w:vertAlign w:val="baseline"/>
                <w:lang w:val="en-US" w:eastAsia="zh-CN"/>
              </w:rPr>
              <w:t>支持WiFi接入或有线接入</w:t>
            </w:r>
            <w:r>
              <w:rPr>
                <w:rFonts w:hint="eastAsia" w:ascii="宋体" w:hAnsi="宋体" w:eastAsia="宋体" w:cs="宋体"/>
                <w:b w:val="0"/>
                <w:bCs w:val="0"/>
                <w:color w:val="auto"/>
                <w:sz w:val="21"/>
                <w:szCs w:val="21"/>
                <w:highlight w:val="none"/>
                <w:vertAlign w:val="baseline"/>
                <w:lang w:val="en-US" w:eastAsia="zh-CN"/>
              </w:rPr>
              <w:t>；</w:t>
            </w:r>
            <w:r>
              <w:rPr>
                <w:rFonts w:hint="default" w:ascii="宋体" w:hAnsi="宋体" w:eastAsia="宋体" w:cs="宋体"/>
                <w:b w:val="0"/>
                <w:bCs w:val="0"/>
                <w:color w:val="auto"/>
                <w:sz w:val="21"/>
                <w:szCs w:val="21"/>
                <w:highlight w:val="none"/>
                <w:vertAlign w:val="baseline"/>
                <w:lang w:val="en-US" w:eastAsia="zh-CN"/>
              </w:rPr>
              <w:t>支持扫描患者标识功能</w:t>
            </w:r>
            <w:r>
              <w:rPr>
                <w:rFonts w:hint="eastAsia" w:ascii="宋体" w:hAnsi="宋体" w:eastAsia="宋体" w:cs="宋体"/>
                <w:b w:val="0"/>
                <w:bCs w:val="0"/>
                <w:color w:val="auto"/>
                <w:sz w:val="21"/>
                <w:szCs w:val="21"/>
                <w:highlight w:val="none"/>
                <w:vertAlign w:val="baseline"/>
                <w:lang w:val="en-US" w:eastAsia="zh-CN"/>
              </w:rPr>
              <w:t>。</w:t>
            </w:r>
          </w:p>
          <w:p>
            <w:pPr>
              <w:pStyle w:val="11"/>
              <w:numPr>
                <w:ilvl w:val="0"/>
                <w:numId w:val="0"/>
              </w:numPr>
              <w:ind w:right="63" w:rightChars="30"/>
              <w:jc w:val="both"/>
              <w:rPr>
                <w:rFonts w:hint="default" w:ascii="宋体" w:hAnsi="宋体" w:eastAsia="宋体" w:cs="宋体"/>
                <w:b/>
                <w:bCs/>
                <w:color w:val="auto"/>
                <w:sz w:val="21"/>
                <w:szCs w:val="21"/>
                <w:highlight w:val="none"/>
                <w:vertAlign w:val="baseline"/>
                <w:lang w:val="en-US" w:eastAsia="zh-CN"/>
              </w:rPr>
            </w:pPr>
            <w:r>
              <w:rPr>
                <w:rFonts w:hint="default" w:ascii="宋体" w:hAnsi="宋体" w:eastAsia="宋体" w:cs="宋体"/>
                <w:b/>
                <w:bCs/>
                <w:color w:val="auto"/>
                <w:sz w:val="21"/>
                <w:szCs w:val="21"/>
                <w:highlight w:val="none"/>
                <w:vertAlign w:val="baseline"/>
                <w:lang w:val="en-US" w:eastAsia="zh-CN"/>
              </w:rPr>
              <w:t>★6. 数据质控</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基于时间统计：按日期来统计各种情况下的时间等。</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来院方式统计：自行来院，120系统，或者基层医院来院的各种方式和对应的时间统计。</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超时原因统计：协助分析导致各节点出现异常情况的各种状况和原因。</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支持国家卫生健康委员会关于急诊质控数据的上报要求。支持行为质控查询。支持时间质控查询复盘。支持效能质控查询复盘。</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系统可依托各个时间节点的记录，进行各类数据的统计与分析，数据统计内容主要包含患者病例数、级别分布、患者救治成功率、患者接诊到抢救时间，救治情况统计,药物使用情况统计,医护人员工作量统计,转院情况分析等。</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7. 随访康复管理</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对患者个性化的制定康复计划，并跟踪和管理计划，查看计划执行效果</w:t>
            </w:r>
          </w:p>
          <w:p>
            <w:pPr>
              <w:pStyle w:val="11"/>
              <w:numPr>
                <w:ilvl w:val="0"/>
                <w:numId w:val="0"/>
              </w:numPr>
              <w:ind w:right="63" w:rightChars="30"/>
              <w:jc w:val="both"/>
              <w:rPr>
                <w:rFonts w:hint="eastAsia"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提供对患者康复数据的管理</w:t>
            </w:r>
            <w:r>
              <w:rPr>
                <w:rFonts w:hint="eastAsia" w:ascii="宋体" w:hAnsi="宋体" w:eastAsia="宋体" w:cs="宋体"/>
                <w:b w:val="0"/>
                <w:bCs w:val="0"/>
                <w:color w:val="auto"/>
                <w:sz w:val="21"/>
                <w:szCs w:val="21"/>
                <w:highlight w:val="none"/>
                <w:vertAlign w:val="baseline"/>
                <w:lang w:val="en-US" w:eastAsia="zh-CN"/>
              </w:rPr>
              <w:t>。</w:t>
            </w:r>
            <w:r>
              <w:rPr>
                <w:rFonts w:hint="default" w:ascii="宋体" w:hAnsi="宋体" w:eastAsia="宋体" w:cs="宋体"/>
                <w:b w:val="0"/>
                <w:bCs w:val="0"/>
                <w:color w:val="auto"/>
                <w:sz w:val="21"/>
                <w:szCs w:val="21"/>
                <w:highlight w:val="none"/>
                <w:vertAlign w:val="baseline"/>
                <w:lang w:val="en-US" w:eastAsia="zh-CN"/>
              </w:rPr>
              <w:t>数据可进行总结和汇总，并自动打印报告</w:t>
            </w:r>
            <w:r>
              <w:rPr>
                <w:rFonts w:hint="eastAsia" w:ascii="宋体" w:hAnsi="宋体" w:eastAsia="宋体" w:cs="宋体"/>
                <w:b w:val="0"/>
                <w:bCs w:val="0"/>
                <w:color w:val="auto"/>
                <w:sz w:val="21"/>
                <w:szCs w:val="21"/>
                <w:highlight w:val="none"/>
                <w:vertAlign w:val="baseline"/>
                <w:lang w:val="en-US" w:eastAsia="zh-CN"/>
              </w:rPr>
              <w:t>。</w:t>
            </w:r>
          </w:p>
          <w:p>
            <w:pPr>
              <w:pStyle w:val="11"/>
              <w:numPr>
                <w:ilvl w:val="0"/>
                <w:numId w:val="9"/>
              </w:numPr>
              <w:ind w:left="63" w:leftChars="30" w:right="63" w:rightChars="30" w:firstLine="0" w:firstLineChars="0"/>
              <w:jc w:val="both"/>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急诊中心业务</w:t>
            </w:r>
          </w:p>
          <w:p>
            <w:pPr>
              <w:pStyle w:val="11"/>
              <w:numPr>
                <w:ilvl w:val="0"/>
                <w:numId w:val="0"/>
              </w:numPr>
              <w:ind w:leftChars="30"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1. 卒中中心</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生成卒中患者抢救列表与档案列表，实现对卒中患者的信息维护。自动生成抢救时间轴，全程跟踪时间节点，对超时节点进行醒目标注提示及超时时间提醒。各节点查询功能，方便快捷查询超时原因。</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引用卒中绿色通道时间节点控制表，对抢救过程中的所有时间节点进行有效控制，同时快捷录入抢救各过程中的生命体征记录、各阶段的NIHSS评分及并发症等信息。</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通过住院治疗与患者转归模块功能详细的记录抢救结束后患者在院情况以及转归后的所有详细信息，同时生成电子病历进行存档管理。</w:t>
            </w:r>
          </w:p>
          <w:p>
            <w:pPr>
              <w:pStyle w:val="11"/>
              <w:numPr>
                <w:ilvl w:val="0"/>
                <w:numId w:val="0"/>
              </w:numPr>
              <w:ind w:leftChars="30"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（时间节点要求）</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通过视频监控技术实时显示患者在急救车上的抢救过程，支持视频存档、回放，同时支持院内专家与抢救医生语音通讯。通过GPS定位技术展示患者抢救轨迹。</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实现脑防委在2018年11月份推出的四个直报表数据的录入与管理，同时实现批量打印和导出功能，便于患者信息存档管理。</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卒中诊疗方案的建立。支持卒中诊疗方案的自定义执行与提醒执行。支持卒中诊疗方案的审核。支持诊疗方案与电子病历医嘱实时同步。支持院方根据实际情况进行诊疗方案的自定义创建。支持卒中诊疗方案的路径创建。</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支持执行路径时的提醒及报时预警功能。支持多种智能路径创建。</w:t>
            </w:r>
          </w:p>
          <w:p>
            <w:pPr>
              <w:pStyle w:val="11"/>
              <w:numPr>
                <w:ilvl w:val="0"/>
                <w:numId w:val="0"/>
              </w:numPr>
              <w:ind w:leftChars="30"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路径支持与电子病历、医嘱同步实时数据。路径执行支持时间节点及处置人员记录。</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2. 胸痛中心</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根据伤者生命体征数据的变化以及医护人员做出的诊断进行运算，输出对应的救治提示。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对胸痛患者的实时医疗数据进行运算，并提供医疗救治意见以及抢救步骤显示。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数据输入处理：支持数据自动抓取及手工调整输入数据</w:t>
            </w:r>
            <w:r>
              <w:rPr>
                <w:rFonts w:hint="eastAsia" w:ascii="宋体" w:hAnsi="宋体" w:eastAsia="宋体" w:cs="宋体"/>
                <w:b w:val="0"/>
                <w:bCs w:val="0"/>
                <w:color w:val="auto"/>
                <w:sz w:val="21"/>
                <w:szCs w:val="21"/>
                <w:highlight w:val="none"/>
                <w:vertAlign w:val="baseline"/>
                <w:lang w:val="en-US" w:eastAsia="zh-CN"/>
              </w:rPr>
              <w:t>。</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患者数据管理：可手工录入或从急救平台中获取当前伤者信息，包括患者基本属性和受伤机制等。</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数据恢复:支持数据备份及恢复功能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支持胸痛诊疗方案的建立。支持胸痛诊疗方案的自定义执行与提醒执行。</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胸痛诊疗方案的审核。支持诊疗方案与电子病历医嘱实时同步。支持院方根据实际情况进行诊疗方案的自定义创建。支持胸痛诊疗方案的路径创建。支持执行路径时的提醒及报时预警功能。支持多种智能路径创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路径支持与电子病历、医嘱同步实时数据。</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路径执行支持时间节点及处置人员记录。</w:t>
            </w:r>
          </w:p>
          <w:p>
            <w:pPr>
              <w:pStyle w:val="11"/>
              <w:numPr>
                <w:ilvl w:val="0"/>
                <w:numId w:val="0"/>
              </w:numPr>
              <w:ind w:right="63" w:rightChars="3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3. 创伤中心</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根据伤者生命体征数据的变化以及医护人员做出的诊断进行运算，输出对应的救治提示。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对患者的实时医疗数据进行运算，并提供医疗救治意见以及抢救步骤显示。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数据输入处理：支持数据自动抓取及手工调整输入数据</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患者数据管理：可手工录入或从急救平台中获取当前伤者信息，包括患者基本属性和受伤机制等。</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数据恢复:支持数据备份及恢复功能</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支持诊疗方案的建立。支持诊疗方案的自定义执行与提醒执行。支持诊疗方案的审核。支持诊疗方案与电子病历医嘱实时同步。支持院方根据实际情况进行诊疗方案的自定义创建。支持诊疗方案的路径创建。支持执行路径时的提醒及报时预警功能。支持多种智能路径创建。</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路径支持与电子病历、医嘱同步实时数据。</w:t>
            </w:r>
          </w:p>
          <w:p>
            <w:pPr>
              <w:pStyle w:val="11"/>
              <w:numPr>
                <w:ilvl w:val="0"/>
                <w:numId w:val="0"/>
              </w:numPr>
              <w:ind w:right="63" w:rightChars="30" w:firstLine="424" w:firstLineChars="200"/>
              <w:jc w:val="both"/>
              <w:rPr>
                <w:rFonts w:hint="default" w:ascii="宋体" w:hAnsi="宋体" w:eastAsia="宋体" w:cs="宋体"/>
                <w:b w:val="0"/>
                <w:bCs w:val="0"/>
                <w:color w:val="auto"/>
                <w:sz w:val="21"/>
                <w:szCs w:val="21"/>
                <w:highlight w:val="none"/>
                <w:vertAlign w:val="baseline"/>
                <w:lang w:val="en-US" w:eastAsia="zh-CN"/>
              </w:rPr>
            </w:pPr>
            <w:r>
              <w:rPr>
                <w:rFonts w:hint="default" w:ascii="宋体" w:hAnsi="宋体" w:eastAsia="宋体" w:cs="宋体"/>
                <w:b w:val="0"/>
                <w:bCs w:val="0"/>
                <w:color w:val="auto"/>
                <w:sz w:val="21"/>
                <w:szCs w:val="21"/>
                <w:highlight w:val="none"/>
                <w:vertAlign w:val="baseline"/>
                <w:lang w:val="en-US" w:eastAsia="zh-CN"/>
              </w:rPr>
              <w:t>路径执行支持时间节点及处置人员记录。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8" w:hRule="atLeast"/>
        </w:trPr>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4</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default"/>
                <w:color w:val="auto"/>
                <w:highlight w:val="none"/>
                <w:vertAlign w:val="baseline"/>
                <w:lang w:val="en-US" w:eastAsia="zh-CN"/>
              </w:rPr>
              <w:t>120智慧急救调度系统</w:t>
            </w:r>
          </w:p>
        </w:tc>
        <w:tc>
          <w:tcPr>
            <w:tcW w:w="7466" w:type="dxa"/>
          </w:tcPr>
          <w:p>
            <w:pPr>
              <w:pStyle w:val="11"/>
              <w:numPr>
                <w:ilvl w:val="0"/>
                <w:numId w:val="0"/>
              </w:numPr>
              <w:ind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vertAlign w:val="baseline"/>
                <w:lang w:val="en-US" w:eastAsia="zh-CN"/>
              </w:rPr>
              <w:t>一、</w:t>
            </w:r>
            <w:r>
              <w:rPr>
                <w:rFonts w:hint="eastAsia" w:ascii="宋体" w:hAnsi="宋体" w:eastAsia="宋体" w:cs="宋体"/>
                <w:b/>
                <w:bCs/>
                <w:i w:val="0"/>
                <w:iCs w:val="0"/>
                <w:color w:val="auto"/>
                <w:kern w:val="0"/>
                <w:sz w:val="24"/>
                <w:szCs w:val="24"/>
                <w:highlight w:val="none"/>
                <w:u w:val="none"/>
                <w:lang w:val="en-US" w:eastAsia="zh-CN" w:bidi="ar"/>
              </w:rPr>
              <w:t>120</w:t>
            </w:r>
            <w:r>
              <w:rPr>
                <w:rFonts w:hint="eastAsia" w:ascii="宋体" w:hAnsi="宋体" w:eastAsia="宋体" w:cs="宋体"/>
                <w:b/>
                <w:bCs/>
                <w:i w:val="0"/>
                <w:iCs w:val="0"/>
                <w:color w:val="auto"/>
                <w:kern w:val="0"/>
                <w:sz w:val="24"/>
                <w:szCs w:val="24"/>
                <w:highlight w:val="none"/>
                <w:u w:val="none"/>
                <w:lang w:val="en-US" w:eastAsia="zh-CN" w:bidi="ar"/>
              </w:rPr>
              <w:t>电话</w:t>
            </w:r>
            <w:r>
              <w:rPr>
                <w:rFonts w:hint="eastAsia" w:ascii="宋体" w:hAnsi="宋体" w:eastAsia="宋体" w:cs="宋体"/>
                <w:b/>
                <w:bCs/>
                <w:i w:val="0"/>
                <w:iCs w:val="0"/>
                <w:color w:val="auto"/>
                <w:kern w:val="0"/>
                <w:sz w:val="24"/>
                <w:szCs w:val="24"/>
                <w:highlight w:val="none"/>
                <w:u w:val="none"/>
                <w:lang w:val="en-US" w:eastAsia="zh-CN" w:bidi="ar"/>
              </w:rPr>
              <w:t>急救受理调度系统</w:t>
            </w:r>
          </w:p>
          <w:p>
            <w:pPr>
              <w:pStyle w:val="11"/>
              <w:numPr>
                <w:ilvl w:val="0"/>
                <w:numId w:val="0"/>
              </w:numPr>
              <w:ind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（一）120电话智慧急救受理调度系统</w:t>
            </w:r>
          </w:p>
          <w:p>
            <w:pPr>
              <w:pStyle w:val="11"/>
              <w:numPr>
                <w:ilvl w:val="0"/>
                <w:numId w:val="10"/>
              </w:numPr>
              <w:ind w:left="0" w:leftChars="0" w:right="63" w:rightChars="3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考勤打卡</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需支持值班人员考勤打卡，应直接在系统内进行上下班打卡，系统应记录上下班打卡时间，统计上班时长</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10"/>
              </w:numPr>
              <w:ind w:left="0" w:leftChars="0" w:right="63" w:rightChars="30" w:firstLineChars="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席位信息管理</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（1）支持值班员信息查看：需支持获取目前本单位下已登录的值班员数量及状态、显示值班员姓名、显示值班员工号、显示值班员状态；</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（2）支持值班员状态实时监管：</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值班员可根据排班时间协调，避免工位闲置。应支持上班后的值班员对自己的状态进行确认，如就绪状态时，应支持将接收到却没处理的报警进行操作或反馈；系统应实时记录状态变化及状态变更时间等相关信息，状态应包含：离席、就绪、处理、离线；</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①支持离席设置：需支持值班员在没有待接任务时，设置离席。方便报警任务的接收传给已就绪的值班员，避免造成报警漏接的状况；</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②支持切换背景：需支持进行界面主题更换，系统需提供两种界面主图，应包括深色背景和浅色背景；</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③需支持密码修改；</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④</w:t>
            </w:r>
            <w:r>
              <w:rPr>
                <w:rFonts w:hint="default" w:ascii="宋体" w:hAnsi="宋体" w:eastAsia="宋体" w:cs="宋体"/>
                <w:b w:val="0"/>
                <w:bCs w:val="0"/>
                <w:i w:val="0"/>
                <w:iCs w:val="0"/>
                <w:color w:val="auto"/>
                <w:kern w:val="0"/>
                <w:sz w:val="21"/>
                <w:szCs w:val="21"/>
                <w:highlight w:val="none"/>
                <w:u w:val="none"/>
                <w:lang w:val="en-US" w:eastAsia="zh-CN" w:bidi="ar"/>
              </w:rPr>
              <w:t>需支持退出登录；</w:t>
            </w:r>
          </w:p>
          <w:p>
            <w:pPr>
              <w:pStyle w:val="11"/>
              <w:numPr>
                <w:ilvl w:val="0"/>
                <w:numId w:val="10"/>
              </w:numPr>
              <w:ind w:left="0"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话机管理</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（1）话机绑定：系统配备电话120后，应在登录系统时直接绑定空闲话机，应支持话机换绑工作；</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（2）话机状态监管：需支持对话机状态进行监管，状态应包含空闲、忙碌、通话中；</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（3）话机免提/耳机模式切换：应提供耳麦、免提两种声音播放方式</w:t>
            </w:r>
            <w:r>
              <w:rPr>
                <w:rFonts w:hint="eastAsia" w:ascii="宋体" w:hAnsi="宋体" w:cs="宋体"/>
                <w:b w:val="0"/>
                <w:bCs w:val="0"/>
                <w:i w:val="0"/>
                <w:iCs w:val="0"/>
                <w:color w:val="auto"/>
                <w:kern w:val="0"/>
                <w:sz w:val="21"/>
                <w:szCs w:val="21"/>
                <w:highlight w:val="none"/>
                <w:u w:val="none"/>
                <w:lang w:val="en-US" w:eastAsia="zh-CN" w:bidi="ar"/>
              </w:rPr>
              <w:t>。</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4.任务面板</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（1）待接警面板：应支持120分配任务给系统时系统获取求救电话、求救方式，座席端应显示任务信息，分配方式应有共振、轮询等多种方式，应支持任务接听，接听后应进入报警任务信息受理；</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待出车面板：需支持任务以卡片形式在面板内显示：如来电号码、受理人员、任务状态、主述、患者地址、分站接听情况，分站派车情况；应支持继续受理任务，继续后应进入到报警信息受理页面，可以选择只看自己待出车任务或全部席位待出车任务；</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bCs/>
                <w:i w:val="0"/>
                <w:iCs w:val="0"/>
                <w:color w:val="auto"/>
                <w:kern w:val="0"/>
                <w:sz w:val="21"/>
                <w:szCs w:val="21"/>
                <w:highlight w:val="none"/>
                <w:u w:val="none"/>
                <w:lang w:val="en-US" w:eastAsia="zh-CN" w:bidi="ar"/>
              </w:rPr>
              <w:t>★（3）出车中任务面板</w:t>
            </w:r>
            <w:r>
              <w:rPr>
                <w:rFonts w:hint="default" w:ascii="宋体" w:hAnsi="宋体" w:eastAsia="宋体" w:cs="宋体"/>
                <w:b w:val="0"/>
                <w:bCs w:val="0"/>
                <w:i w:val="0"/>
                <w:iCs w:val="0"/>
                <w:color w:val="auto"/>
                <w:kern w:val="0"/>
                <w:sz w:val="21"/>
                <w:szCs w:val="21"/>
                <w:highlight w:val="none"/>
                <w:u w:val="none"/>
                <w:lang w:val="en-US" w:eastAsia="zh-CN" w:bidi="ar"/>
              </w:rPr>
              <w:t>：需支持任务以卡片形式在面板内显示：如来电号码、受理人员，任务状态、主述、通知分站的信息，分站派车信息应包括车牌号、是否接收任务，接收任务后救护车的状态，应包含出发、到达、返回、结束，点击继续任务，应进入到报警信息受理页面，可以选择只看自己待出车任务或全部席位待出车任务</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0"/>
              </w:numPr>
              <w:ind w:leftChars="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5.信息受理</w:t>
            </w:r>
          </w:p>
          <w:p>
            <w:pPr>
              <w:pStyle w:val="11"/>
              <w:numPr>
                <w:ilvl w:val="0"/>
                <w:numId w:val="0"/>
              </w:numPr>
              <w:ind w:leftChars="30" w:right="63" w:rightChars="3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接听120任务后，需支持值班员完善报警任务详情：</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（1）提供智能电子表单：应包含来电号码及其类型、事件类型及其事件等级、来电地址获取、主诉、人数、初步诊断、患者性别、年龄、民族、国籍、事件严重程度、现场类型、送往类型等数据记录；</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2）支持事件管理：当发生急救事件时，应记录事件名称、事件等级等信息；应支持任务受理时直接创建事件或关联事件；</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6.手工创建出车任务</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需支持接到120电话后，调度员应根据需求手工创建出车任务；应支持记录呼车人报警地址、联系电话、地址、主述、初步诊断、人数和备注等信息，任务创建成功后应立即进入任务受理流程</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11"/>
              </w:numPr>
              <w:ind w:left="-212" w:leftChars="0" w:right="63" w:rightChars="30" w:firstLine="212"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辅助调度工具</w:t>
            </w:r>
          </w:p>
          <w:p>
            <w:pPr>
              <w:pStyle w:val="11"/>
              <w:numPr>
                <w:ilvl w:val="0"/>
                <w:numId w:val="0"/>
              </w:numPr>
              <w:ind w:right="63" w:rightChars="3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应支持多种调度工具，需包括但不限于如下内容：</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呼车人历史报警信息查看：需支持历史报警查看，应包括查看来电号码、振铃开始时间、呼入类型、接听状态等；需提供历史报警流水查看，应包括但不限于事件类型、患者性别、严重程度、现场类型、求救类型等信息;</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（2）呼车人位置信息同步：需支持调度员在受理过程中向报警者发送定位短信，报警者会收到一条含有定位链接的短信，打开链接，系统应自动获取报警者当前的所在位置信息；</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（3）患者健康档案查看：需支持查看患者健康档案，应显示患者个人信息、健康数据、健康情况等相关信息，以便医生及时了解患者情况；</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4）呼车人视频控制：需支持值班员远程对呼车人手机进行摄像头旋转、前后摄像头切换、闪光灯切换、扬声器关闭、视频放大缩小等操作，并需支持视频截图查看；且需支持在视频通话的过程中对主视频窗口进行控制；</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（5）专家协助：需支持专家协助，可向专家发送任务邀请；若在遇到特别严重的事件报警时，应支持值班员邀请专家加入任务，进行多方沟通，开展远程的医疗指导；</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（6）多种通讯模式：需支持视频通讯面板视频、语音、文本三种模式切换，确保在不同的网络条件下均可进行有效的沟通，同时需支持快捷用语的发送以及上传图片；</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（7）电话拨打：需支持任务受理时拨打电话，应通过电话簿或自定义电话号码两种方式进行；</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（8）查看图片：需支持图片查看，应支持视频截图图片和图文聊天过程中涉及图片查看；</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（9）视频邀请：需支持邀请任务涉及人员（急救分站、出车医生、出车司机、呼车人等）加入视频，进行多方视频通话；</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10）骚扰报警标记：需支持调度员接听视频报警后，若发现本次报警属于骚扰行为时可将其设置骚扰报警，设置后该报警者的号码应被标记为骚扰报警，在后续的历史报警记录内应均有标记；若存在反复骚扰的情况时可设置账号锁定，在锁定时间内该号码应不可发起视频报警；锁定时长结束后应自动取消限制；</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（11）取消任务：应满足当本次任务无需出车时可取消本次任务，取消时需填写取消原因，且应自动记录数据信息；取消原因应包括患者拒绝入院、患者已死亡、虚假报警、已送往他院等；</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（12）暂时离开：应具有暂时离开功能，即任务未受理完成时，可暂时离开本任务，应通过继续任务进入报警信息受理流程；</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（13）退出任务：应满足当任务受理完成后，中心可退出任务；退出任务后应支持再次进入任务</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8.调度分站</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（1）分站信息概览：需支持调度分站时概览分站信息，应包括分站名称、分站能力、分站联系电话、预计到达时间、预计距离等；应支持对分站列表数据刷新和搜索；</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（2）调度分站：需提供视频通知和电话通知两种调度方式，同时应支持分站增派和改派；</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①视频调度分站：需支持调度人员通过视频任务方式调度急救分站，采用视频通知时系统应自动同步报警信息电子单内的全部内容；</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②电话调度分站：需支持调度人员通过拨打电话的方式调度急救分站；</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cs="宋体"/>
                <w:b w:val="0"/>
                <w:bCs w:val="0"/>
                <w:i w:val="0"/>
                <w:iCs w:val="0"/>
                <w:color w:val="auto"/>
                <w:kern w:val="0"/>
                <w:sz w:val="21"/>
                <w:szCs w:val="21"/>
                <w:highlight w:val="none"/>
                <w:u w:val="none"/>
                <w:lang w:val="en-US" w:eastAsia="zh-CN" w:bidi="ar"/>
              </w:rPr>
              <w:t xml:space="preserve">    </w:t>
            </w:r>
            <w:r>
              <w:rPr>
                <w:rFonts w:hint="default" w:ascii="宋体" w:hAnsi="宋体" w:eastAsia="宋体" w:cs="宋体"/>
                <w:b w:val="0"/>
                <w:bCs w:val="0"/>
                <w:i w:val="0"/>
                <w:iCs w:val="0"/>
                <w:color w:val="auto"/>
                <w:kern w:val="0"/>
                <w:sz w:val="21"/>
                <w:szCs w:val="21"/>
                <w:highlight w:val="none"/>
                <w:u w:val="none"/>
                <w:lang w:val="en-US" w:eastAsia="zh-CN" w:bidi="ar"/>
              </w:rPr>
              <w:t>③增派分站：在遇有重大事故时，应支持通过增派急救分站继续把任务信息同步至其他急救分站，达到多单位协同调度的目的；</w:t>
            </w:r>
            <w:r>
              <w:rPr>
                <w:rFonts w:hint="default"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cs="宋体"/>
                <w:b w:val="0"/>
                <w:bCs w:val="0"/>
                <w:i w:val="0"/>
                <w:iCs w:val="0"/>
                <w:color w:val="auto"/>
                <w:kern w:val="0"/>
                <w:sz w:val="21"/>
                <w:szCs w:val="21"/>
                <w:highlight w:val="none"/>
                <w:u w:val="none"/>
                <w:lang w:val="en-US" w:eastAsia="zh-CN" w:bidi="ar"/>
              </w:rPr>
              <w:t xml:space="preserve">    </w:t>
            </w:r>
            <w:r>
              <w:rPr>
                <w:rFonts w:hint="eastAsia" w:ascii="宋体" w:hAnsi="宋体" w:eastAsia="宋体" w:cs="宋体"/>
                <w:b w:val="0"/>
                <w:bCs w:val="0"/>
                <w:i w:val="0"/>
                <w:iCs w:val="0"/>
                <w:color w:val="auto"/>
                <w:kern w:val="0"/>
                <w:sz w:val="21"/>
                <w:szCs w:val="21"/>
                <w:highlight w:val="none"/>
                <w:u w:val="none"/>
                <w:lang w:val="en-US" w:eastAsia="zh-CN" w:bidi="ar"/>
              </w:rPr>
              <w:t>④</w:t>
            </w:r>
            <w:r>
              <w:rPr>
                <w:rFonts w:hint="default" w:ascii="宋体" w:hAnsi="宋体" w:eastAsia="宋体" w:cs="宋体"/>
                <w:b w:val="0"/>
                <w:bCs w:val="0"/>
                <w:i w:val="0"/>
                <w:iCs w:val="0"/>
                <w:color w:val="auto"/>
                <w:kern w:val="0"/>
                <w:sz w:val="21"/>
                <w:szCs w:val="21"/>
                <w:highlight w:val="none"/>
                <w:u w:val="none"/>
                <w:lang w:val="en-US" w:eastAsia="zh-CN" w:bidi="ar"/>
              </w:rPr>
              <w:t>改派分站：在调度的急救分站无法完成救援任务时，应支持通过改派急救分站，调度其他单位完成本次救援任务</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9.指派出车</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（1）急救车信息概览：需支持指派出车时可概览急救车信息，应包括急救车车牌号、车辆类型、当前车辆出车医生、当前车辆出车司机、车辆班次、当前车辆状态等；需支持对急救车列表数据刷新和搜索；</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（2）指派出车：需支持系统自动推荐距离患者最近、时间最短的出车站点以及空闲车辆、人员，应支持值班员一键指派救护车以及出诊人员出车；同时需支持手工出车、增派和改派出车；</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①手工出车：应支持手工制单出车，应包括记录车牌号、出诊医生、出诊司机、出车单位、接诊医院等信息；</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②增派出车：需支持在遇有重大事故时，可通过增派急救车的方式继续指派出车，达到多车辆协同执行任务的目的；</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③改派出车：需支持在指派出去的车辆遇到特殊情况无法继续执行任务的情况下，应通过改派出车重新选择待命的车辆出车执行任务；</w:t>
            </w:r>
          </w:p>
          <w:p>
            <w:pPr>
              <w:pStyle w:val="11"/>
              <w:numPr>
                <w:ilvl w:val="0"/>
                <w:numId w:val="0"/>
              </w:numPr>
              <w:ind w:right="63" w:rightChars="3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（3）通知院前办公室：需支持派车后，与急救车关联的院前办公司、出诊医生和司机应收到出车指令，应根据指令执行出诊任务；</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（4）取消出车：需支持单位出车后可取消出车，取消时需选择取消理由，取消理由应包括患者拒绝入院、患者已死亡、未找到患者、虚假报警、其他和已送往他院</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10.出车状态跟踪</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需支持出车后跟踪出诊车辆状态，其中出车状态应包括：准备出发、前往现场、到达现场、送往医院、送达医院</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12"/>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出车单打印</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需支持系统根据报警信息的内容自动生成派车单，主要信息应包含来电号码、地址、症状、基本信息等内容，需支持打印</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12"/>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任务共享</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需支持任务共享，中心坐席人员可向本单位下网络医院共享任务</w:t>
            </w:r>
            <w:r>
              <w:rPr>
                <w:rFonts w:hint="eastAsia" w:ascii="宋体" w:hAnsi="宋体" w:eastAsia="宋体" w:cs="宋体"/>
                <w:b w:val="0"/>
                <w:bCs w:val="0"/>
                <w:i w:val="0"/>
                <w:iCs w:val="0"/>
                <w:color w:val="auto"/>
                <w:kern w:val="0"/>
                <w:sz w:val="21"/>
                <w:szCs w:val="21"/>
                <w:highlight w:val="none"/>
                <w:u w:val="none"/>
                <w:lang w:val="en-US" w:eastAsia="zh-CN" w:bidi="ar"/>
              </w:rPr>
              <w:t>。</w:t>
            </w:r>
          </w:p>
          <w:p>
            <w:pPr>
              <w:pStyle w:val="11"/>
              <w:numPr>
                <w:ilvl w:val="0"/>
                <w:numId w:val="0"/>
              </w:numPr>
              <w:ind w:leftChars="0"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（二）</w:t>
            </w:r>
            <w:r>
              <w:rPr>
                <w:rFonts w:hint="eastAsia" w:ascii="宋体" w:hAnsi="宋体" w:eastAsia="宋体" w:cs="宋体"/>
                <w:b/>
                <w:bCs/>
                <w:i w:val="0"/>
                <w:iCs w:val="0"/>
                <w:color w:val="auto"/>
                <w:kern w:val="0"/>
                <w:sz w:val="21"/>
                <w:szCs w:val="21"/>
                <w:highlight w:val="none"/>
                <w:u w:val="none"/>
                <w:lang w:val="en-US" w:eastAsia="zh-CN" w:bidi="ar"/>
              </w:rPr>
              <w:t>智慧急救录音录像系统</w:t>
            </w:r>
          </w:p>
          <w:p>
            <w:pPr>
              <w:pStyle w:val="11"/>
              <w:numPr>
                <w:ilvl w:val="0"/>
                <w:numId w:val="13"/>
              </w:numPr>
              <w:ind w:leftChars="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电话录音系统</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（1）需支持实时监测所有电话线路的工作状态，应包括空闲、振铃、录音等；</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（2）需支持系统自动启动调度席电话录音；需支持显示并保存电话受理开始时间、结束时间、通话时长、来电号码等；</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（3）需支持呼入自动记录功能、实现免摘机记录功能。录音文件应保存10年以上，应支持多种方式转存；</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（4）需支持多种查找方式，如按主叫号码查找、按呼入时间等查找；</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（5）需支持设置自动备份功能，防止数据丢失；</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（6）需支持多种放音模式，如计算机多媒体播放、网络播放；</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（7）需支持三种录音方式：应包括压控、音控和键控；录音文件格式应支持Microsoft wave格式。</w:t>
            </w:r>
          </w:p>
          <w:p>
            <w:pPr>
              <w:pStyle w:val="11"/>
              <w:numPr>
                <w:ilvl w:val="0"/>
                <w:numId w:val="0"/>
              </w:numPr>
              <w:ind w:leftChars="0"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（三）</w:t>
            </w:r>
            <w:r>
              <w:rPr>
                <w:rFonts w:hint="eastAsia" w:ascii="宋体" w:hAnsi="宋体" w:eastAsia="宋体" w:cs="宋体"/>
                <w:b/>
                <w:bCs/>
                <w:i w:val="0"/>
                <w:iCs w:val="0"/>
                <w:color w:val="auto"/>
                <w:kern w:val="0"/>
                <w:sz w:val="21"/>
                <w:szCs w:val="21"/>
                <w:highlight w:val="none"/>
                <w:u w:val="none"/>
                <w:lang w:val="en-US" w:eastAsia="zh-CN" w:bidi="ar"/>
              </w:rPr>
              <w:t>智慧急救CTI系统</w:t>
            </w:r>
          </w:p>
          <w:p>
            <w:pPr>
              <w:pStyle w:val="11"/>
              <w:numPr>
                <w:ilvl w:val="0"/>
                <w:numId w:val="14"/>
              </w:numPr>
              <w:ind w:leftChars="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黑名单管理</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应具有能进行黑名单时长设置的功能；</w:t>
            </w:r>
          </w:p>
          <w:p>
            <w:pPr>
              <w:pStyle w:val="11"/>
              <w:numPr>
                <w:ilvl w:val="0"/>
                <w:numId w:val="14"/>
              </w:numPr>
              <w:ind w:left="72" w:leftChars="0" w:right="63" w:rightChars="30" w:firstLine="0" w:firstLineChars="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来电弹屏</w:t>
            </w:r>
          </w:p>
          <w:p>
            <w:pPr>
              <w:pStyle w:val="11"/>
              <w:numPr>
                <w:ilvl w:val="0"/>
                <w:numId w:val="0"/>
              </w:numPr>
              <w:ind w:left="72" w:leftChars="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需支持快速精准记录和查看来电的详细资料及历史呼叫记录；</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等待转移</w:t>
            </w:r>
          </w:p>
          <w:p>
            <w:pPr>
              <w:pStyle w:val="11"/>
              <w:numPr>
                <w:ilvl w:val="0"/>
                <w:numId w:val="0"/>
              </w:numPr>
              <w:ind w:left="72" w:leftChars="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应满足当前坐席15s未接听时，可将求救任务转移到其它空余席位</w:t>
            </w:r>
            <w:r>
              <w:rPr>
                <w:rFonts w:hint="eastAsia" w:ascii="宋体" w:hAnsi="宋体" w:cs="宋体"/>
                <w:b w:val="0"/>
                <w:bCs w:val="0"/>
                <w:i w:val="0"/>
                <w:iCs w:val="0"/>
                <w:color w:val="auto"/>
                <w:kern w:val="0"/>
                <w:sz w:val="21"/>
                <w:szCs w:val="21"/>
                <w:highlight w:val="none"/>
                <w:u w:val="none"/>
                <w:lang w:val="en-US" w:eastAsia="zh-CN" w:bidi="ar"/>
              </w:rPr>
              <w:t>；</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呼入排队</w:t>
            </w:r>
          </w:p>
          <w:p>
            <w:pPr>
              <w:pStyle w:val="11"/>
              <w:numPr>
                <w:ilvl w:val="0"/>
                <w:numId w:val="0"/>
              </w:numPr>
              <w:ind w:left="72" w:leftChars="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应满足当前坐席正在接听时，可看到后续排队呼救人数；</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通话录音</w:t>
            </w:r>
          </w:p>
          <w:p>
            <w:pPr>
              <w:pStyle w:val="11"/>
              <w:numPr>
                <w:ilvl w:val="0"/>
                <w:numId w:val="0"/>
              </w:numPr>
              <w:ind w:left="72" w:leftChars="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需支持通话录音，需能实现录音及录音的调用播放；</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话单推送</w:t>
            </w:r>
          </w:p>
          <w:p>
            <w:pPr>
              <w:pStyle w:val="11"/>
              <w:numPr>
                <w:ilvl w:val="0"/>
                <w:numId w:val="0"/>
              </w:numPr>
              <w:ind w:left="72" w:leftChars="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需满足多种呼叫分配机制，应包括轮询、随机、最少的分配机制；</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呼叫分配</w:t>
            </w:r>
          </w:p>
          <w:p>
            <w:pPr>
              <w:pStyle w:val="11"/>
              <w:numPr>
                <w:ilvl w:val="0"/>
                <w:numId w:val="0"/>
              </w:numPr>
              <w:ind w:left="72" w:leftChars="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 xml:space="preserve">   需满足多种呼叫分配机制，应包括轮询、随机、最少的分配机制；</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分机管理</w:t>
            </w:r>
          </w:p>
          <w:p>
            <w:pPr>
              <w:pStyle w:val="11"/>
              <w:numPr>
                <w:ilvl w:val="0"/>
                <w:numId w:val="0"/>
              </w:numPr>
              <w:ind w:left="72" w:leftChars="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 xml:space="preserve">   需支持对分机进行增加、删除、查询和编辑，需支持分机与坐席绑定/解绑；</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坐席管理</w:t>
            </w:r>
          </w:p>
          <w:p>
            <w:pPr>
              <w:pStyle w:val="11"/>
              <w:numPr>
                <w:ilvl w:val="0"/>
                <w:numId w:val="0"/>
              </w:numPr>
              <w:ind w:left="72" w:leftChars="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需支持对坐席进行管理，如席位状态、主动绑定/解绑，绑定状态、绑定信息，班组等信息管理，需具有实现席位的增加、删除、查找和编辑的功能；</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软电话</w:t>
            </w:r>
          </w:p>
          <w:p>
            <w:pPr>
              <w:pStyle w:val="11"/>
              <w:numPr>
                <w:ilvl w:val="0"/>
                <w:numId w:val="0"/>
              </w:numPr>
              <w:ind w:left="72" w:leftChars="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坐席端在网页上应可直接拨打电话。</w:t>
            </w:r>
          </w:p>
          <w:p>
            <w:pPr>
              <w:pStyle w:val="11"/>
              <w:numPr>
                <w:ilvl w:val="0"/>
                <w:numId w:val="0"/>
              </w:numPr>
              <w:ind w:leftChars="0"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（四）</w:t>
            </w:r>
            <w:r>
              <w:rPr>
                <w:rFonts w:hint="eastAsia" w:ascii="宋体" w:hAnsi="宋体" w:eastAsia="宋体" w:cs="宋体"/>
                <w:b/>
                <w:bCs/>
                <w:i w:val="0"/>
                <w:iCs w:val="0"/>
                <w:color w:val="auto"/>
                <w:kern w:val="0"/>
                <w:sz w:val="21"/>
                <w:szCs w:val="21"/>
                <w:highlight w:val="none"/>
                <w:u w:val="none"/>
                <w:lang w:val="en-US" w:eastAsia="zh-CN" w:bidi="ar"/>
              </w:rPr>
              <w:t>智慧急救自动拨测系统</w:t>
            </w:r>
          </w:p>
          <w:p>
            <w:pPr>
              <w:pStyle w:val="11"/>
              <w:numPr>
                <w:ilvl w:val="0"/>
                <w:numId w:val="15"/>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设备信息查看</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需支持测拨设备基本信息查看，应包括测试通道的类型、数量以及工作状态和SIM卡槽的占用情况等；</w:t>
            </w:r>
          </w:p>
          <w:p>
            <w:pPr>
              <w:pStyle w:val="11"/>
              <w:numPr>
                <w:ilvl w:val="0"/>
                <w:numId w:val="15"/>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拨测任务管理</w:t>
            </w:r>
          </w:p>
          <w:p>
            <w:pPr>
              <w:pStyle w:val="11"/>
              <w:numPr>
                <w:ilvl w:val="0"/>
                <w:numId w:val="16"/>
              </w:numPr>
              <w:ind w:left="383"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需支持根据情况设定任务的各项参数，完成拨测任务的制定，应通过制定任务的方式，指示拨测系统控制一批拨测号码定时自动的完成拨打测试；</w:t>
            </w:r>
          </w:p>
          <w:p>
            <w:pPr>
              <w:pStyle w:val="11"/>
              <w:numPr>
                <w:ilvl w:val="0"/>
                <w:numId w:val="16"/>
              </w:numPr>
              <w:ind w:left="383" w:leftChars="0" w:right="63" w:rightChars="30" w:firstLine="0" w:firstLineChars="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需支持通过制定测试任务进行大任务量测试，也应支持进行立即测试；</w:t>
            </w:r>
          </w:p>
          <w:p>
            <w:pPr>
              <w:pStyle w:val="11"/>
              <w:numPr>
                <w:ilvl w:val="0"/>
                <w:numId w:val="15"/>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测拨监控</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需支持测拨结果监控，当测拨异常时，系统应自动预警；</w:t>
            </w:r>
          </w:p>
          <w:p>
            <w:pPr>
              <w:pStyle w:val="11"/>
              <w:numPr>
                <w:ilvl w:val="0"/>
                <w:numId w:val="15"/>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拨测记录</w:t>
            </w:r>
          </w:p>
          <w:p>
            <w:pPr>
              <w:pStyle w:val="11"/>
              <w:numPr>
                <w:ilvl w:val="0"/>
                <w:numId w:val="0"/>
              </w:numPr>
              <w:ind w:leftChars="3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需支持拨测任务的历史记录查看，如测拨时间、测拨类型、测拨结果等；</w:t>
            </w:r>
          </w:p>
          <w:p>
            <w:pPr>
              <w:pStyle w:val="11"/>
              <w:numPr>
                <w:ilvl w:val="0"/>
                <w:numId w:val="15"/>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测拨统计</w:t>
            </w:r>
          </w:p>
          <w:p>
            <w:pPr>
              <w:pStyle w:val="11"/>
              <w:numPr>
                <w:ilvl w:val="0"/>
                <w:numId w:val="0"/>
              </w:numPr>
              <w:ind w:leftChars="3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需支持对各类测试任务结果进行统计分析。</w:t>
            </w:r>
          </w:p>
          <w:p>
            <w:pPr>
              <w:pStyle w:val="11"/>
              <w:numPr>
                <w:ilvl w:val="0"/>
                <w:numId w:val="0"/>
              </w:numPr>
              <w:ind w:right="63" w:rightChars="30"/>
              <w:jc w:val="both"/>
              <w:rPr>
                <w:rFonts w:hint="eastAsia" w:ascii="宋体" w:hAnsi="宋体" w:cs="宋体"/>
                <w:b/>
                <w:bCs/>
                <w:i w:val="0"/>
                <w:iCs w:val="0"/>
                <w:color w:val="auto"/>
                <w:kern w:val="0"/>
                <w:sz w:val="24"/>
                <w:szCs w:val="24"/>
                <w:highlight w:val="none"/>
                <w:u w:val="none"/>
                <w:lang w:val="en-US" w:eastAsia="zh-CN" w:bidi="ar"/>
              </w:rPr>
            </w:pPr>
            <w:r>
              <w:rPr>
                <w:rFonts w:hint="eastAsia" w:ascii="宋体" w:hAnsi="宋体" w:cs="宋体"/>
                <w:b/>
                <w:bCs/>
                <w:i w:val="0"/>
                <w:iCs w:val="0"/>
                <w:color w:val="auto"/>
                <w:kern w:val="0"/>
                <w:sz w:val="24"/>
                <w:szCs w:val="24"/>
                <w:highlight w:val="none"/>
                <w:u w:val="none"/>
                <w:lang w:val="en-US" w:eastAsia="zh-CN" w:bidi="ar"/>
              </w:rPr>
              <w:t>二、120视频急救受理调度系统</w:t>
            </w:r>
          </w:p>
          <w:p>
            <w:pPr>
              <w:pStyle w:val="11"/>
              <w:numPr>
                <w:ilvl w:val="0"/>
                <w:numId w:val="17"/>
              </w:numPr>
              <w:ind w:right="63" w:rightChars="30"/>
              <w:jc w:val="both"/>
              <w:rPr>
                <w:rFonts w:hint="eastAsia" w:ascii="宋体" w:hAnsi="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视频120智慧急救受理调度系统</w:t>
            </w:r>
          </w:p>
          <w:p>
            <w:pPr>
              <w:pStyle w:val="11"/>
              <w:numPr>
                <w:ilvl w:val="0"/>
                <w:numId w:val="18"/>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登录</w:t>
            </w:r>
          </w:p>
          <w:p>
            <w:pPr>
              <w:pStyle w:val="11"/>
              <w:numPr>
                <w:ilvl w:val="0"/>
                <w:numId w:val="0"/>
              </w:numPr>
              <w:ind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首次使用时，需要选择单位，需支持本地缓存单位数据，需支持做已选择单位更改操作，建议提供工号和账号两种登录方式；</w:t>
            </w:r>
          </w:p>
          <w:p>
            <w:pPr>
              <w:pStyle w:val="11"/>
              <w:numPr>
                <w:ilvl w:val="0"/>
                <w:numId w:val="18"/>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考勤打卡</w:t>
            </w:r>
          </w:p>
          <w:p>
            <w:pPr>
              <w:pStyle w:val="11"/>
              <w:numPr>
                <w:ilvl w:val="0"/>
                <w:numId w:val="0"/>
              </w:numPr>
              <w:ind w:leftChars="30" w:right="63" w:rightChars="30" w:firstLine="425"/>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需支持值班人员考勤打卡，应支持直接在系统内进行上下班打卡，系统应记录上下班打卡时间、统计上班时长；</w:t>
            </w:r>
          </w:p>
          <w:p>
            <w:pPr>
              <w:pStyle w:val="11"/>
              <w:numPr>
                <w:ilvl w:val="0"/>
                <w:numId w:val="18"/>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席位信息管理</w:t>
            </w:r>
          </w:p>
          <w:p>
            <w:pPr>
              <w:pStyle w:val="11"/>
              <w:numPr>
                <w:ilvl w:val="0"/>
                <w:numId w:val="0"/>
              </w:numPr>
              <w:ind w:leftChars="3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 xml:space="preserve">   （1）值班员信息查看：需支持获取目前本单位下已登录的值班员数量及状态、显示值班员姓名、显示值班员状态等相关信息；</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（2）值班员状态实时监管：</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值班员可根据排班时间协调，避免工位闲置。应支持上班后的值班员对自己的状态进行确认，如就绪状态时，应支持将接收到却没处理的报警进行操作或反馈，系统应实时记录状态变化及状态变更时间等相关信息，状态应包含离席、就绪、处理、离线；</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①</w:t>
            </w:r>
            <w:r>
              <w:rPr>
                <w:rFonts w:hint="eastAsia" w:ascii="宋体" w:hAnsi="宋体" w:cs="宋体"/>
                <w:b w:val="0"/>
                <w:bCs w:val="0"/>
                <w:i w:val="0"/>
                <w:iCs w:val="0"/>
                <w:color w:val="auto"/>
                <w:kern w:val="0"/>
                <w:sz w:val="21"/>
                <w:szCs w:val="21"/>
                <w:highlight w:val="none"/>
                <w:u w:val="none"/>
                <w:lang w:val="en-US" w:eastAsia="zh-CN" w:bidi="ar"/>
              </w:rPr>
              <w:t>离席设置：需支持值班员在没有待接任务时，设置离席，方便将报警任务的接收传给已就绪的值班员，避免造成报警漏接的状况；</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②</w:t>
            </w:r>
            <w:r>
              <w:rPr>
                <w:rFonts w:hint="eastAsia" w:ascii="宋体" w:hAnsi="宋体" w:cs="宋体"/>
                <w:b w:val="0"/>
                <w:bCs w:val="0"/>
                <w:i w:val="0"/>
                <w:iCs w:val="0"/>
                <w:color w:val="auto"/>
                <w:kern w:val="0"/>
                <w:sz w:val="21"/>
                <w:szCs w:val="21"/>
                <w:highlight w:val="none"/>
                <w:u w:val="none"/>
                <w:lang w:val="en-US" w:eastAsia="zh-CN" w:bidi="ar"/>
              </w:rPr>
              <w:t>切换背景：需支持进行界面主题更换，系统需提供两种界面主图，应包括深色背景和浅色背景；</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③</w:t>
            </w:r>
            <w:r>
              <w:rPr>
                <w:rFonts w:hint="eastAsia" w:ascii="宋体" w:hAnsi="宋体" w:cs="宋体"/>
                <w:b w:val="0"/>
                <w:bCs w:val="0"/>
                <w:i w:val="0"/>
                <w:iCs w:val="0"/>
                <w:color w:val="auto"/>
                <w:kern w:val="0"/>
                <w:sz w:val="21"/>
                <w:szCs w:val="21"/>
                <w:highlight w:val="none"/>
                <w:u w:val="none"/>
                <w:lang w:val="en-US" w:eastAsia="zh-CN" w:bidi="ar"/>
              </w:rPr>
              <w:t>需支持密码修改；</w:t>
            </w:r>
          </w:p>
          <w:p>
            <w:pPr>
              <w:pStyle w:val="11"/>
              <w:numPr>
                <w:ilvl w:val="0"/>
                <w:numId w:val="0"/>
              </w:numPr>
              <w:ind w:leftChars="30"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 xml:space="preserve">④需支持退出登录。 </w:t>
            </w:r>
          </w:p>
          <w:p>
            <w:pPr>
              <w:pStyle w:val="11"/>
              <w:numPr>
                <w:ilvl w:val="0"/>
                <w:numId w:val="18"/>
              </w:numPr>
              <w:ind w:left="63" w:leftChars="3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任务面板</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（1）待接警面板：应支持120分配任务给系统时系统获取求救电话、求救方式，求救地址，座席端应显示任务信息，应支持多种分配方式，如共振、轮询等，应支持任务接听，接听后应进入报警任务信息受理；</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待出车面板：需支持任务以卡片形式在面板内显示，应包括来电号码、受理人员、任务状态、主述、患者地址、分站接听情况、分站派车情况等，应支持继续受理任务，继续后应进入到报警信息受理页面，应可选择只看自己待出车任务或全部席位待出车任务；</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出车中任务面板：需支持任务以卡片形式在面板内显示，应包括来电号码、受理人员，任务状态、主述、通知分站等信息，分站派车信息应包括车牌号、是否接收任务、接收任务后救护车的状态，如出发、到达、返回、结束。应支持继续任务，即可进入到报警信息受理页面，应可选择只看自己待出车任务或全部席位待出车任务。</w:t>
            </w:r>
          </w:p>
          <w:p>
            <w:pPr>
              <w:pStyle w:val="11"/>
              <w:numPr>
                <w:ilvl w:val="0"/>
                <w:numId w:val="0"/>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5.信息受理</w:t>
            </w:r>
          </w:p>
          <w:p>
            <w:pPr>
              <w:pStyle w:val="11"/>
              <w:numPr>
                <w:ilvl w:val="0"/>
                <w:numId w:val="0"/>
              </w:numPr>
              <w:ind w:right="63" w:rightChars="3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接听120任务后，值班员应完善报警任务详情：</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（1）需提供智能电子表单：应包含来电号码及其类型、事件类型及其事件等级、来电地址获取、主诉、人数、初步诊断、患者性别、年龄、民族、国籍、事件严重程度、现场类型、送往类型等数据记录；</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（2）需支持事件管理：当发生急救事件时，应记录事件名称、事件等级等信息，应支持任务受理时直接创建事件或关联事件。</w:t>
            </w:r>
          </w:p>
          <w:p>
            <w:pPr>
              <w:pStyle w:val="11"/>
              <w:numPr>
                <w:ilvl w:val="0"/>
                <w:numId w:val="0"/>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6.手工创建出车任务</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接到120电话后，调度员应根据需求手工创建出车任务，应支持记录呼车人报警地址、联系电话、地址、主述、初步诊断、人数和备注等信息，任务创建成功后应立即进入任务受理流程。</w:t>
            </w:r>
          </w:p>
          <w:p>
            <w:pPr>
              <w:pStyle w:val="11"/>
              <w:numPr>
                <w:ilvl w:val="0"/>
                <w:numId w:val="0"/>
              </w:numPr>
              <w:ind w:leftChars="3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7.辅助调度工具</w:t>
            </w:r>
          </w:p>
          <w:p>
            <w:pPr>
              <w:pStyle w:val="11"/>
              <w:numPr>
                <w:ilvl w:val="0"/>
                <w:numId w:val="0"/>
              </w:numPr>
              <w:ind w:leftChars="30" w:right="63" w:rightChars="3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应支持多种调度工具，需包括但不限于如下内容：</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呼车人历史报警信息查看：需支持历史报警查看，应包括查看来电号码、振铃开始时间、呼入类型、接听状态等；需提供历史报警流水查看，应包括但不限于事件类型、患者性别、严重程度、现场类型、求救类型等信息;</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（2）呼车人位置信息同步：需支持调度员在受理过程中向报警者发送定位短信，报警者会收到一条含有定位链接的短信，打开链接，系统应自动获取报警者当前的所在位置信息；</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（3）患者健康档案查看：需支持查看患者健康档案，应显示患者个人信息、健康数据、健康情况等相关信息，以便医生及时了解患者情况；</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4）呼车人视频控制：需支持值班员远程对呼车人手机进行摄像头旋转、前后摄像头切换、闪光灯切换、扬声器关闭、视频放大缩小等操作，需支持视频截图查看，还需支持在视频通话的过程中对主视频窗口进行控制；</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（5）专家协助：需支持专家协助，可向专家发送任务邀请；若在遇到特别严重的事件报警时，应支持值班员邀请专家加入任务，进行多方沟通，开展远程的医疗指导；</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（6）多种通讯模式：需支持视频通讯面板视频、语音、文本三种模式切换，确保在不同的网络条件下均可进行有效的沟通，同时需支持快捷用语的发送以及上传图片；</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（7）电话拨打：需支持任务受理时拨打电话，应通过电话簿或自定义电话号码两种方式进行；</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（8）查看图片：需支持图片查看，应支持视频截图图片和图文聊天过程中涉及图片查看；</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（9）视频邀请：需支持邀请任务涉及人员（急救分站、出车医生、出车司机、呼车人等）加入视频，进行多方视频通话；</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10）骚扰报警标记：需支持调度员接听视频报警后，若发现本次报警属于骚扰行为时可将其设置骚扰报警，设置后该报警者的号码应被标记为骚扰报警，在后续的历史报警记录内应均有标记；若存在反复骚扰的情况时可设置账号锁定，在锁定时间内该号码应不可发起视频报警；锁定时长结束后应自动取消限制；</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（11）取消任务：应满足当本次任务无需出车时可取消本次任务，取消时需填写取消原因，且应自动记录数据信息；取消原因应包括患者拒绝入院、患者已死亡、虚假报警、已送往他院等；</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（12）暂时离开：应具有暂时离开功能，即任务未受理完成时，可暂时离开本任务，应通过继续任务进入报警信息受理流程；</w:t>
            </w:r>
          </w:p>
          <w:p>
            <w:pPr>
              <w:pStyle w:val="11"/>
              <w:numPr>
                <w:ilvl w:val="0"/>
                <w:numId w:val="0"/>
              </w:numPr>
              <w:ind w:leftChars="3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（13）退出任务：应满足当任务受理完成后，中心可退出任务；退出任务后应支持再次进入任务。</w:t>
            </w:r>
          </w:p>
          <w:p>
            <w:pPr>
              <w:pStyle w:val="11"/>
              <w:numPr>
                <w:ilvl w:val="0"/>
                <w:numId w:val="0"/>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8.调度分站</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（1）分站信息概览：需支持调度分站时概览分站信息，应包括分站名称、分站能力、分站联系电话、预计到达时间、预计距离等；应支持对分站列表数据刷新和搜索；</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（2）调度分站：需提供视频通知和电话通知两种调度方式，同时应支持分站增派和改派；</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①视频调度分站：需支持调度人员通过视频任务方式调度急救分站，采用视频通知时系统应自动同步报警信息电子单内的全部内容；</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②电话调度分站：需支持调度人员通过拨打电话的方式调度急救分站；</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③增派分站：在遇有重大事故时，应支持通过增派急救分站继续把任务信息同步至其他急救分站，达到多单位协同调度的目的；</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④</w:t>
            </w:r>
            <w:r>
              <w:rPr>
                <w:rFonts w:hint="default" w:ascii="宋体" w:hAnsi="宋体" w:cs="宋体"/>
                <w:b w:val="0"/>
                <w:bCs w:val="0"/>
                <w:i w:val="0"/>
                <w:iCs w:val="0"/>
                <w:color w:val="auto"/>
                <w:kern w:val="0"/>
                <w:sz w:val="21"/>
                <w:szCs w:val="21"/>
                <w:highlight w:val="none"/>
                <w:u w:val="none"/>
                <w:lang w:val="en-US" w:eastAsia="zh-CN" w:bidi="ar"/>
              </w:rPr>
              <w:t>改派分站：在调度的急救分站无法完成救援任务时，应支持通过改派急救分站，调度其他单位完成本次救援任务。</w:t>
            </w:r>
          </w:p>
          <w:p>
            <w:pPr>
              <w:pStyle w:val="11"/>
              <w:numPr>
                <w:ilvl w:val="0"/>
                <w:numId w:val="0"/>
              </w:numPr>
              <w:ind w:leftChars="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9.指派出车</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（1）急救车信息概览：需支持指派出车时概览急救车信息，应包括急救车车牌号、车辆类型、当前车辆出车医生、当前车辆出车司机、车辆班次、当前车辆状态等；应支持对急救车列表数据刷新和搜索；</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（2）指派出车：需支持系统自动推荐距离患者最近、时间最短的出车站点以及空闲车辆、人员，应支持值班员一键指派救护车以及出诊人员出车；同时应支持手工出车、增派和改派出车；</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①手工出车：需支持手工制单出车，应记录车牌号、出诊医生、出诊司机、出车单位、接诊医院等信息；</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②增派出车：需支持在遇有重大事故时，应通过增派急救车的方式继续指派出车，达到多车辆协同执行任务的目的；</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③改派出车：需支持在指派出去的车辆遇到特殊情况无法继续执行任务的情况下，应通过改派出车重新选择待命的车辆出车执行任务；</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（3）通知院前办公室：派车后，与急救车关联的院前办公室、出诊医生和司机应收到出车指令，应根据指令执行出诊任务；</w:t>
            </w:r>
          </w:p>
          <w:p>
            <w:pPr>
              <w:pStyle w:val="11"/>
              <w:numPr>
                <w:ilvl w:val="0"/>
                <w:numId w:val="0"/>
              </w:numPr>
              <w:ind w:right="63" w:rightChars="30" w:firstLine="424" w:firstLineChars="200"/>
              <w:jc w:val="both"/>
              <w:rPr>
                <w:rFonts w:hint="eastAsia"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（4）取消出车：需支持单位出车后可取消出车，取消时需选择取消理由，取消理由应包括患者拒绝入院、患者已死亡、未找到患者、虚假报警、其他和已送往他院</w:t>
            </w:r>
            <w:r>
              <w:rPr>
                <w:rFonts w:hint="eastAsia" w:ascii="宋体" w:hAnsi="宋体" w:cs="宋体"/>
                <w:b w:val="0"/>
                <w:bCs w:val="0"/>
                <w:i w:val="0"/>
                <w:iCs w:val="0"/>
                <w:color w:val="auto"/>
                <w:kern w:val="0"/>
                <w:sz w:val="21"/>
                <w:szCs w:val="21"/>
                <w:highlight w:val="none"/>
                <w:u w:val="none"/>
                <w:lang w:val="en-US" w:eastAsia="zh-CN" w:bidi="ar"/>
              </w:rPr>
              <w:t>。</w:t>
            </w:r>
          </w:p>
          <w:p>
            <w:pPr>
              <w:pStyle w:val="11"/>
              <w:numPr>
                <w:ilvl w:val="0"/>
                <w:numId w:val="0"/>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10.出车状态跟踪</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需支持出车后跟踪出诊车辆状态；出车状态应包括：准备出发、前往现场、到达现场、送往医院、送达医院，应支持用不同颜色区分车辆的不同任务状态；</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出车单打印</w:t>
            </w:r>
          </w:p>
          <w:p>
            <w:pPr>
              <w:pStyle w:val="11"/>
              <w:numPr>
                <w:ilvl w:val="0"/>
                <w:numId w:val="0"/>
              </w:numPr>
              <w:ind w:left="72" w:leftChars="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需支持系统根据报警信息的内容自动生成派车单，主要信息应包含来电号码、地址、症状、基本信息等内容，应支持打印；</w:t>
            </w:r>
          </w:p>
          <w:p>
            <w:pPr>
              <w:pStyle w:val="11"/>
              <w:numPr>
                <w:ilvl w:val="0"/>
                <w:numId w:val="14"/>
              </w:numPr>
              <w:ind w:left="72" w:leftChars="0" w:right="63" w:rightChars="30" w:firstLine="0" w:firstLineChars="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任务共享</w:t>
            </w:r>
          </w:p>
          <w:p>
            <w:pPr>
              <w:pStyle w:val="11"/>
              <w:numPr>
                <w:ilvl w:val="0"/>
                <w:numId w:val="0"/>
              </w:numPr>
              <w:ind w:left="72" w:leftChars="0"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需支持任务共享，中心坐席人员可向本单位下网络医院共享任务。</w:t>
            </w:r>
          </w:p>
          <w:p>
            <w:pPr>
              <w:pStyle w:val="11"/>
              <w:numPr>
                <w:ilvl w:val="0"/>
                <w:numId w:val="17"/>
              </w:numPr>
              <w:ind w:left="63" w:leftChars="30" w:right="63" w:rightChars="30" w:firstLine="0" w:firstLineChars="0"/>
              <w:jc w:val="both"/>
              <w:rPr>
                <w:rFonts w:hint="eastAsia" w:ascii="宋体" w:hAnsi="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智慧急救录音录像系统</w:t>
            </w:r>
          </w:p>
          <w:p>
            <w:pPr>
              <w:pStyle w:val="11"/>
              <w:numPr>
                <w:ilvl w:val="0"/>
                <w:numId w:val="19"/>
              </w:numPr>
              <w:ind w:leftChars="30"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车载录像</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车载录像，在车前、医疗舱安装高清智能型摄像机，通过摄像头对急救车进行远程监管监控，在摄像头支持云台控制的情况下应可远程控制摄像的缩放、光圈、焦点、方向等，需支持提供多种视频画面展示样式；应能对监控摄像头进行视频录像、抓图等操作。</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通过发起的三方会话，系统应支持全程录像，视频会诊过程中，增加会话方，或任何会话方退出（包括受理席），应均不影响对整个视频会诊的全程录像；需支持电话会话在录像过程中，记录相关会议方加入电话会话和退出电话会话的时间点，需支持在对电话会话录像进行回放的过程中，可以按照会话参与方的实际进入和退出时间播放针对其全程通话过程的录像；</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(2)需完整记录受理调度过程中的所有对话内容，应包括记录完整的电话号码和手机号码，并记录通话时间等信息；</w:t>
            </w:r>
          </w:p>
          <w:p>
            <w:pPr>
              <w:pStyle w:val="11"/>
              <w:numPr>
                <w:ilvl w:val="0"/>
                <w:numId w:val="0"/>
              </w:numPr>
              <w:ind w:right="63" w:rightChars="30"/>
              <w:jc w:val="both"/>
              <w:rPr>
                <w:rFonts w:hint="eastAsia" w:ascii="宋体" w:hAnsi="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2.录像回放</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需支持录像回放，系统应自动启动视频通话录制合成，可对每一次视频报警中产生的视频进行自动合成保存，应支持文件查看、保存本地等功能；</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(1)录像回放应显示播放进度条及时间，应支持暂停、快进、快退等；应支持对录像文件本地下载，对备份的录像文件可脱离系统使用环境进行管理；系统应具有录像本地下载功能，可自主选择路径将警情相关录像以通用格式下载到本地计算机存储；</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(2)系统应提供对录像系统的完整管理功能，应包括录像资料的分类、删除，需支持录像数据自动备份到数据存储服务器上，供后续查询、统计等。同时，录像系统应配有安全措施，系统的管理应有权限设定，并应对操作步骤有日志记录，重要操作步骤应进行声音告警和提示；需支持显示各通道工作状态以及存储介质容量状态和当前时间等信息；</w:t>
            </w:r>
          </w:p>
          <w:p>
            <w:pPr>
              <w:pStyle w:val="11"/>
              <w:numPr>
                <w:ilvl w:val="0"/>
                <w:numId w:val="0"/>
              </w:numPr>
              <w:ind w:right="63" w:rightChars="30" w:firstLine="424" w:firstLineChars="200"/>
              <w:jc w:val="both"/>
              <w:rPr>
                <w:rFonts w:hint="default" w:ascii="宋体" w:hAnsi="宋体" w:cs="宋体"/>
                <w:b w:val="0"/>
                <w:bCs w:val="0"/>
                <w:i w:val="0"/>
                <w:iCs w:val="0"/>
                <w:color w:val="auto"/>
                <w:kern w:val="0"/>
                <w:sz w:val="21"/>
                <w:szCs w:val="21"/>
                <w:highlight w:val="none"/>
                <w:u w:val="none"/>
                <w:lang w:val="en-US" w:eastAsia="zh-CN" w:bidi="ar"/>
              </w:rPr>
            </w:pPr>
            <w:r>
              <w:rPr>
                <w:rFonts w:hint="default" w:ascii="宋体" w:hAnsi="宋体" w:cs="宋体"/>
                <w:b w:val="0"/>
                <w:bCs w:val="0"/>
                <w:i w:val="0"/>
                <w:iCs w:val="0"/>
                <w:color w:val="auto"/>
                <w:kern w:val="0"/>
                <w:sz w:val="21"/>
                <w:szCs w:val="21"/>
                <w:highlight w:val="none"/>
                <w:u w:val="none"/>
                <w:lang w:val="en-US" w:eastAsia="zh-CN" w:bidi="ar"/>
              </w:rPr>
              <w:t>(3)应支持数字录像与报警事件相关联；应支持在受理台和管理终端上可根据事件管理录像，方便查询同一事件多次通话的录像。</w:t>
            </w:r>
          </w:p>
          <w:p>
            <w:pPr>
              <w:pStyle w:val="11"/>
              <w:numPr>
                <w:ilvl w:val="0"/>
                <w:numId w:val="0"/>
              </w:numPr>
              <w:ind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（三）120智慧急救用户微信小程序报警终端系统</w:t>
            </w:r>
          </w:p>
          <w:p>
            <w:pPr>
              <w:pStyle w:val="11"/>
              <w:numPr>
                <w:ilvl w:val="0"/>
                <w:numId w:val="20"/>
              </w:numPr>
              <w:ind w:right="63" w:rightChars="30"/>
              <w:jc w:val="both"/>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视频报警</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应支持视频报警，即可通过微信小程序终端发起视频报警；报警发起后应支持120调度中心接收报警任务、建立视频通讯等，为调度人员了解现场情况以及医疗指导提供有效的支撑，应包括但不限于以下方式；</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bCs/>
                <w:i w:val="0"/>
                <w:iCs w:val="0"/>
                <w:color w:val="auto"/>
                <w:kern w:val="0"/>
                <w:sz w:val="21"/>
                <w:szCs w:val="21"/>
                <w:highlight w:val="none"/>
                <w:u w:val="none"/>
                <w:lang w:val="en-US" w:eastAsia="zh-CN" w:bidi="ar"/>
              </w:rPr>
              <w:t>★（1）联系电话获取：</w:t>
            </w:r>
            <w:r>
              <w:rPr>
                <w:rFonts w:hint="default" w:ascii="宋体" w:hAnsi="宋体" w:eastAsia="宋体" w:cs="宋体"/>
                <w:b w:val="0"/>
                <w:bCs w:val="0"/>
                <w:i w:val="0"/>
                <w:iCs w:val="0"/>
                <w:color w:val="auto"/>
                <w:kern w:val="0"/>
                <w:sz w:val="21"/>
                <w:szCs w:val="21"/>
                <w:highlight w:val="none"/>
                <w:u w:val="none"/>
                <w:lang w:val="en-US" w:eastAsia="zh-CN" w:bidi="ar"/>
              </w:rPr>
              <w:t>发起报警时系统应自动获取微信绑定的联系电话，并发送至120调度中心，为调度员、出诊医生、司机等操作人员提供有效的沟通服务；</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bCs/>
                <w:i w:val="0"/>
                <w:iCs w:val="0"/>
                <w:color w:val="auto"/>
                <w:kern w:val="0"/>
                <w:sz w:val="21"/>
                <w:szCs w:val="21"/>
                <w:highlight w:val="none"/>
                <w:u w:val="none"/>
                <w:lang w:val="en-US" w:eastAsia="zh-CN" w:bidi="ar"/>
              </w:rPr>
              <w:t>★</w:t>
            </w:r>
            <w:r>
              <w:rPr>
                <w:rFonts w:hint="default" w:ascii="宋体" w:hAnsi="宋体" w:eastAsia="宋体" w:cs="宋体"/>
                <w:b w:val="0"/>
                <w:bCs w:val="0"/>
                <w:i w:val="0"/>
                <w:iCs w:val="0"/>
                <w:color w:val="auto"/>
                <w:kern w:val="0"/>
                <w:sz w:val="21"/>
                <w:szCs w:val="21"/>
                <w:highlight w:val="none"/>
                <w:u w:val="none"/>
                <w:lang w:val="en-US" w:eastAsia="zh-CN" w:bidi="ar"/>
              </w:rPr>
              <w:t>（2）位置信息获取：发起报警时系统应通过GPS设备自动获取当前的所在位置，并发送至120调度中心，为调度员、出诊医生、司机等操作人员提供有效的位置服务；</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w:t>
            </w:r>
            <w:r>
              <w:rPr>
                <w:rFonts w:hint="default" w:ascii="宋体" w:hAnsi="宋体" w:eastAsia="宋体" w:cs="宋体"/>
                <w:b/>
                <w:bCs/>
                <w:i w:val="0"/>
                <w:iCs w:val="0"/>
                <w:color w:val="auto"/>
                <w:kern w:val="0"/>
                <w:sz w:val="21"/>
                <w:szCs w:val="21"/>
                <w:highlight w:val="none"/>
                <w:u w:val="none"/>
                <w:lang w:val="en-US" w:eastAsia="zh-CN" w:bidi="ar"/>
              </w:rPr>
              <w:t>（3）健康档案发送</w:t>
            </w:r>
            <w:r>
              <w:rPr>
                <w:rFonts w:hint="default" w:ascii="宋体" w:hAnsi="宋体" w:eastAsia="宋体" w:cs="宋体"/>
                <w:b w:val="0"/>
                <w:bCs w:val="0"/>
                <w:i w:val="0"/>
                <w:iCs w:val="0"/>
                <w:color w:val="auto"/>
                <w:kern w:val="0"/>
                <w:sz w:val="21"/>
                <w:szCs w:val="21"/>
                <w:highlight w:val="none"/>
                <w:u w:val="none"/>
                <w:lang w:val="en-US" w:eastAsia="zh-CN" w:bidi="ar"/>
              </w:rPr>
              <w:t>：系统应自动获取用户已添加的健康档案信息，报警时用户应自主选择是否发送档案，若发送则应通知健康档案信息至调度员、出诊医生等操作人员；在报警接通后，也应支持用户将已添加完成的健康档案发送至120调度中心；</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bCs/>
                <w:i w:val="0"/>
                <w:iCs w:val="0"/>
                <w:color w:val="auto"/>
                <w:kern w:val="0"/>
                <w:sz w:val="21"/>
                <w:szCs w:val="21"/>
                <w:highlight w:val="none"/>
                <w:u w:val="none"/>
                <w:lang w:val="en-US" w:eastAsia="zh-CN" w:bidi="ar"/>
              </w:rPr>
              <w:t>★（4）控制面板：</w:t>
            </w:r>
            <w:r>
              <w:rPr>
                <w:rFonts w:hint="default" w:ascii="宋体" w:hAnsi="宋体" w:eastAsia="宋体" w:cs="宋体"/>
                <w:b w:val="0"/>
                <w:bCs w:val="0"/>
                <w:i w:val="0"/>
                <w:iCs w:val="0"/>
                <w:color w:val="auto"/>
                <w:kern w:val="0"/>
                <w:sz w:val="21"/>
                <w:szCs w:val="21"/>
                <w:highlight w:val="none"/>
                <w:u w:val="none"/>
                <w:lang w:val="en-US" w:eastAsia="zh-CN" w:bidi="ar"/>
              </w:rPr>
              <w:t>系统应配备控制面板，应支持用户控制本地设备进行操作，如：打开/关闭闪光灯、打开/关闭摄像头、打开/关闭声音、切换前后摄像头；</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bCs/>
                <w:i w:val="0"/>
                <w:iCs w:val="0"/>
                <w:color w:val="auto"/>
                <w:kern w:val="0"/>
                <w:sz w:val="21"/>
                <w:szCs w:val="21"/>
                <w:highlight w:val="none"/>
                <w:u w:val="none"/>
                <w:lang w:val="en-US" w:eastAsia="zh-CN" w:bidi="ar"/>
              </w:rPr>
              <w:t>★（5）文本沟通：</w:t>
            </w:r>
            <w:r>
              <w:rPr>
                <w:rFonts w:hint="default" w:ascii="宋体" w:hAnsi="宋体" w:eastAsia="宋体" w:cs="宋体"/>
                <w:b w:val="0"/>
                <w:bCs w:val="0"/>
                <w:i w:val="0"/>
                <w:iCs w:val="0"/>
                <w:color w:val="auto"/>
                <w:kern w:val="0"/>
                <w:sz w:val="21"/>
                <w:szCs w:val="21"/>
                <w:highlight w:val="none"/>
                <w:u w:val="none"/>
                <w:lang w:val="en-US" w:eastAsia="zh-CN" w:bidi="ar"/>
              </w:rPr>
              <w:t>应支持用户与调度员以及出诊医生等相关操作人员进行文本沟通；</w:t>
            </w:r>
          </w:p>
          <w:p>
            <w:pPr>
              <w:pStyle w:val="11"/>
              <w:numPr>
                <w:ilvl w:val="0"/>
                <w:numId w:val="20"/>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体验呼救</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需支持体验呼救，用户可以使用体验呼叫，来体验用户报警小程序的各项功能，体验呼救功能接听应由第三方负责，不应与正常视频报警串线或冲突；</w:t>
            </w:r>
          </w:p>
          <w:p>
            <w:pPr>
              <w:pStyle w:val="11"/>
              <w:numPr>
                <w:ilvl w:val="0"/>
                <w:numId w:val="20"/>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个人信息档案 </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系统应提供用户个人信息档案管理，内容应包括但不限于如下内容：</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（1）个人基本信息查看：应支持查看个人基本信息，如用户名、联系电话、头像等；</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（2）健康档案管理：应支持用户在智慧报警系统内添加健康档案，添加家人等至少5人的健康档案，内容应包含个人信息、健康数据以及健康情况三个方面内容；</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①</w:t>
            </w:r>
            <w:r>
              <w:rPr>
                <w:rFonts w:hint="eastAsia" w:ascii="宋体" w:hAnsi="宋体" w:eastAsia="宋体" w:cs="宋体"/>
                <w:b w:val="0"/>
                <w:bCs w:val="0"/>
                <w:i w:val="0"/>
                <w:iCs w:val="0"/>
                <w:color w:val="auto"/>
                <w:kern w:val="0"/>
                <w:sz w:val="21"/>
                <w:szCs w:val="21"/>
                <w:highlight w:val="none"/>
                <w:u w:val="none"/>
                <w:lang w:val="en-US" w:eastAsia="zh-CN" w:bidi="ar"/>
              </w:rPr>
              <w:t>个人信息：个人信息应包含姓名、性别、出生日期、身份证号码、联系电话、与本人关系、常住地址、社保卡号、婚姻、生育、献血证号信息等信息；</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②</w:t>
            </w:r>
            <w:r>
              <w:rPr>
                <w:rFonts w:hint="eastAsia" w:ascii="宋体" w:hAnsi="宋体" w:eastAsia="宋体" w:cs="宋体"/>
                <w:b w:val="0"/>
                <w:bCs w:val="0"/>
                <w:i w:val="0"/>
                <w:iCs w:val="0"/>
                <w:color w:val="auto"/>
                <w:kern w:val="0"/>
                <w:sz w:val="21"/>
                <w:szCs w:val="21"/>
                <w:highlight w:val="none"/>
                <w:u w:val="none"/>
                <w:lang w:val="en-US" w:eastAsia="zh-CN" w:bidi="ar"/>
              </w:rPr>
              <w:t>健康数据：健康数据应包含身高、体重、BMI、血型、血压、血糖、血脂等信息；</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③</w:t>
            </w:r>
            <w:r>
              <w:rPr>
                <w:rFonts w:hint="eastAsia" w:ascii="宋体" w:hAnsi="宋体" w:eastAsia="宋体" w:cs="宋体"/>
                <w:b w:val="0"/>
                <w:bCs w:val="0"/>
                <w:i w:val="0"/>
                <w:iCs w:val="0"/>
                <w:color w:val="auto"/>
                <w:kern w:val="0"/>
                <w:sz w:val="21"/>
                <w:szCs w:val="21"/>
                <w:highlight w:val="none"/>
                <w:u w:val="none"/>
                <w:lang w:val="en-US" w:eastAsia="zh-CN" w:bidi="ar"/>
              </w:rPr>
              <w:t>健康情况：健康情况应包含疾病史、手术史、家族史、过敏史、用药史、慢性病、过敏源等信息；</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（3）紧急联系人管理：需支持用户添加紧急联系人，内容应包含姓名、电话、与本人关系，至少可添加3人，应支持在报警后供调度员以及出诊医生查看，以确保特殊情况下能够及时联系相关人员；</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（4）历史报警记录：应支持用户查看拨打视频报警的记录，如呼叫时间，呼叫状态，呼叫位置等信息。</w:t>
            </w:r>
          </w:p>
          <w:p>
            <w:pPr>
              <w:pStyle w:val="11"/>
              <w:numPr>
                <w:ilvl w:val="0"/>
                <w:numId w:val="0"/>
              </w:numPr>
              <w:ind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三、120智慧急救聋哑人报警系统</w:t>
            </w:r>
          </w:p>
          <w:p>
            <w:pPr>
              <w:pStyle w:val="11"/>
              <w:numPr>
                <w:ilvl w:val="0"/>
                <w:numId w:val="21"/>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聋哑人短信报警</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聋哑人若拨打120报警无法进行正常语言沟通时，需支持坐席人员向报警人发送定位短信，需支持报警人通过短信链接与值班员建立文字沟通，并应支持自动获取报警者所在位置。具体操作方式应为：值班员下发短信链接，聋哑人只需用智能手机点击短信链接，完成自动定位，且应支持进行图文交流。</w:t>
            </w:r>
          </w:p>
          <w:p>
            <w:pPr>
              <w:pStyle w:val="11"/>
              <w:numPr>
                <w:ilvl w:val="0"/>
                <w:numId w:val="0"/>
              </w:numPr>
              <w:ind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四、120智慧急救电话报警云定位系统</w:t>
            </w:r>
          </w:p>
          <w:p>
            <w:pPr>
              <w:pStyle w:val="11"/>
              <w:numPr>
                <w:ilvl w:val="0"/>
                <w:numId w:val="22"/>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短信位置定位</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★应满足调度员在接听电话报警后向报警者发送定位短信，报警者会收到一条含有定位链接的短信，打开链接，应自动获取报警者当前的所在位置。</w:t>
            </w:r>
          </w:p>
          <w:p>
            <w:pPr>
              <w:pStyle w:val="11"/>
              <w:numPr>
                <w:ilvl w:val="0"/>
                <w:numId w:val="22"/>
              </w:numPr>
              <w:ind w:right="63" w:rightChars="3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位置信息同步及共享</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★应满足报警者在确定定位无误后点击确定后同步定位信息至120调度中心；应自动同步至调度端任务信息地址栏中，调度员无需再次输入。在调度员派车后，应将位置信息共享到分站或者司机，医生端中；</w:t>
            </w:r>
          </w:p>
          <w:p>
            <w:pPr>
              <w:pStyle w:val="11"/>
              <w:numPr>
                <w:ilvl w:val="0"/>
                <w:numId w:val="22"/>
              </w:numPr>
              <w:ind w:right="63" w:rightChars="3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文本沟通</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★应支持在定位链接内报警者与120调度中心建立文本沟通，以及发送图片，应支持对现场的其他信息进行补充。</w:t>
            </w:r>
          </w:p>
          <w:p>
            <w:pPr>
              <w:pStyle w:val="11"/>
              <w:numPr>
                <w:ilvl w:val="0"/>
                <w:numId w:val="0"/>
              </w:numPr>
              <w:ind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五、120智慧急救短信急救服务预告知系统</w:t>
            </w:r>
          </w:p>
          <w:p>
            <w:pPr>
              <w:pStyle w:val="11"/>
              <w:numPr>
                <w:ilvl w:val="0"/>
                <w:numId w:val="23"/>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智能患者告知</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满足在指派出车后往往会有报警者反复拨打电话催车，调度员可向报警者发送出车信息告知短信，信息内应含有出诊单位的联系电话，以帮助报警者与出诊单位建立联系，可有效缓解患者焦虑以及值班员的工作量。</w:t>
            </w:r>
          </w:p>
          <w:p>
            <w:pPr>
              <w:pStyle w:val="11"/>
              <w:numPr>
                <w:ilvl w:val="0"/>
                <w:numId w:val="0"/>
              </w:numPr>
              <w:ind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六、智慧急救电话转视频系统</w:t>
            </w:r>
          </w:p>
          <w:p>
            <w:pPr>
              <w:pStyle w:val="11"/>
              <w:numPr>
                <w:ilvl w:val="0"/>
                <w:numId w:val="0"/>
              </w:numPr>
              <w:ind w:leftChars="30" w:right="63" w:rightChars="30"/>
              <w:jc w:val="both"/>
              <w:rPr>
                <w:rStyle w:val="65"/>
                <w:rFonts w:hint="eastAsia" w:ascii="宋体" w:hAnsi="宋体" w:eastAsia="宋体" w:cs="宋体"/>
                <w:b w:val="0"/>
                <w:bCs w:val="0"/>
                <w:color w:val="auto"/>
                <w:sz w:val="21"/>
                <w:szCs w:val="21"/>
                <w:highlight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w:t>
            </w:r>
            <w:r>
              <w:rPr>
                <w:rStyle w:val="65"/>
                <w:rFonts w:hint="eastAsia" w:ascii="宋体" w:hAnsi="宋体" w:eastAsia="宋体" w:cs="宋体"/>
                <w:b w:val="0"/>
                <w:bCs w:val="0"/>
                <w:color w:val="auto"/>
                <w:sz w:val="21"/>
                <w:szCs w:val="21"/>
                <w:highlight w:val="none"/>
                <w:lang w:val="en-US" w:eastAsia="zh-CN" w:bidi="ar"/>
              </w:rPr>
              <w:t>电话报警转视频报警</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★①应支持向报警者发送含有视频小程序的链接功能；</w:t>
            </w:r>
          </w:p>
          <w:p>
            <w:pPr>
              <w:pStyle w:val="11"/>
              <w:numPr>
                <w:ilvl w:val="0"/>
                <w:numId w:val="0"/>
              </w:numPr>
              <w:ind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★②</w:t>
            </w:r>
            <w:r>
              <w:rPr>
                <w:rStyle w:val="65"/>
                <w:rFonts w:hint="default" w:ascii="宋体" w:hAnsi="宋体" w:eastAsia="宋体" w:cs="宋体"/>
                <w:b w:val="0"/>
                <w:bCs w:val="0"/>
                <w:color w:val="auto"/>
                <w:sz w:val="21"/>
                <w:szCs w:val="21"/>
                <w:highlight w:val="none"/>
                <w:lang w:val="en-US" w:eastAsia="zh-CN" w:bidi="ar"/>
              </w:rPr>
              <w:t>应支持报警者通过链接直接自动跳转微信小程序，直接与调度中心建立视频通讯；</w:t>
            </w:r>
          </w:p>
          <w:p>
            <w:pPr>
              <w:pStyle w:val="11"/>
              <w:numPr>
                <w:ilvl w:val="0"/>
                <w:numId w:val="23"/>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视频MPDS</w:t>
            </w:r>
          </w:p>
          <w:p>
            <w:pPr>
              <w:pStyle w:val="11"/>
              <w:numPr>
                <w:ilvl w:val="0"/>
                <w:numId w:val="0"/>
              </w:numPr>
              <w:ind w:leftChars="30"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应提供视频MPDS指导功能，其中视频MPDS指导视频应包括但不限于以下内容：</w:t>
            </w:r>
          </w:p>
          <w:p>
            <w:pPr>
              <w:pStyle w:val="11"/>
              <w:numPr>
                <w:ilvl w:val="0"/>
                <w:numId w:val="0"/>
              </w:numPr>
              <w:ind w:leftChars="30" w:right="63" w:rightChars="3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需内含复原体位、简易绷带止血法、简易气道异物梗阻（标准）、简易气道异物梗阻（卧推）、简易气道异物梗阻（胸部冲击）、简易气道异物梗阻（婴儿）、简易气道异物梗阻（自救）、心肺复苏简易、三人徒手搬运、上臂骨折固定（夹板固定）、上臂骨折健肢固定、冒式包扎法、前臂骨折固定、加压包扎止血、大腿骨折固定（夹板固定）、大腿骨折固定（健肢固定）、小腿骨折固定（夹板固定）、小腿骨折固定（健肢固定）、扶行转运、拉车式转运、指压股动脉止血、指压肱动脉止血、指压颈动脉止血、晕厥后处理、止血带止血、溺水后急救、烧烫伤处理、爬行转运、狗咬伤处理、癫痫发作处理、绷带包扎、背负转运、胸痛的处理、胸部伤包扎、脉搏测量、腹部伤包扎、蛇咬伤后处理、触电后的急救、螺旋式包扎法、轿杠式转运等几十个现场自救视频，长度建议在1分钟以内；</w:t>
            </w:r>
          </w:p>
          <w:p>
            <w:pPr>
              <w:pStyle w:val="11"/>
              <w:numPr>
                <w:ilvl w:val="0"/>
                <w:numId w:val="23"/>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视频MPDS短信推送</w:t>
            </w:r>
          </w:p>
          <w:p>
            <w:pPr>
              <w:pStyle w:val="11"/>
              <w:numPr>
                <w:ilvl w:val="0"/>
                <w:numId w:val="0"/>
              </w:numPr>
              <w:ind w:leftChars="30"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需支持视频MPDS短信推送，对于不适配电话转视频的患者，应支持将V-MPDS（视频MPDS）通过短信的方式发送到患者的手机；</w:t>
            </w:r>
          </w:p>
          <w:p>
            <w:pPr>
              <w:pStyle w:val="11"/>
              <w:numPr>
                <w:ilvl w:val="0"/>
                <w:numId w:val="23"/>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视频MPDS软件推送</w:t>
            </w:r>
          </w:p>
          <w:p>
            <w:pPr>
              <w:pStyle w:val="11"/>
              <w:numPr>
                <w:ilvl w:val="0"/>
                <w:numId w:val="0"/>
              </w:numPr>
              <w:ind w:leftChars="30"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需支持视频MPDS软件推送，对于已经电话转视频的患者，应支持直接将V-MPDS（视频MPDS）通过信息的方式发送到患者的手机，并持续保持视频通话；</w:t>
            </w:r>
          </w:p>
          <w:p>
            <w:pPr>
              <w:pStyle w:val="11"/>
              <w:numPr>
                <w:ilvl w:val="0"/>
                <w:numId w:val="23"/>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视频MPDS管理</w:t>
            </w:r>
          </w:p>
          <w:p>
            <w:pPr>
              <w:pStyle w:val="11"/>
              <w:numPr>
                <w:ilvl w:val="0"/>
                <w:numId w:val="0"/>
              </w:numPr>
              <w:ind w:leftChars="30" w:right="63" w:rightChars="3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 xml:space="preserve">  需支持MPDS视频管理，应支持对V-MPDS（视频MPDS）进行删除、添加等管理；</w:t>
            </w:r>
          </w:p>
          <w:p>
            <w:pPr>
              <w:pStyle w:val="11"/>
              <w:numPr>
                <w:ilvl w:val="0"/>
                <w:numId w:val="23"/>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历史接警记录</w:t>
            </w:r>
          </w:p>
          <w:p>
            <w:pPr>
              <w:pStyle w:val="11"/>
              <w:numPr>
                <w:ilvl w:val="0"/>
                <w:numId w:val="0"/>
              </w:numPr>
              <w:ind w:leftChars="30" w:right="63" w:rightChars="3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 xml:space="preserve">  需支持历史接警记录查看，系统需自动记录每个呼入、呼出电话或视频的流水记录，记录的内容应包括来电号码、呼叫类型、呼叫时间、通话时长等信息。</w:t>
            </w:r>
          </w:p>
          <w:p>
            <w:pPr>
              <w:pStyle w:val="11"/>
              <w:numPr>
                <w:ilvl w:val="0"/>
                <w:numId w:val="0"/>
              </w:numPr>
              <w:ind w:leftChars="30"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Style w:val="65"/>
                <w:rFonts w:hint="eastAsia" w:ascii="宋体" w:hAnsi="宋体" w:eastAsia="宋体" w:cs="宋体"/>
                <w:b/>
                <w:bCs/>
                <w:color w:val="auto"/>
                <w:sz w:val="24"/>
                <w:szCs w:val="24"/>
                <w:highlight w:val="none"/>
                <w:lang w:val="en-US" w:eastAsia="zh-CN" w:bidi="ar"/>
              </w:rPr>
              <w:t>七、</w:t>
            </w:r>
            <w:r>
              <w:rPr>
                <w:rFonts w:hint="eastAsia" w:ascii="宋体" w:hAnsi="宋体" w:eastAsia="宋体" w:cs="宋体"/>
                <w:b/>
                <w:bCs/>
                <w:i w:val="0"/>
                <w:iCs w:val="0"/>
                <w:color w:val="auto"/>
                <w:kern w:val="0"/>
                <w:sz w:val="24"/>
                <w:szCs w:val="24"/>
                <w:highlight w:val="none"/>
                <w:u w:val="none"/>
                <w:lang w:val="en-US" w:eastAsia="zh-CN" w:bidi="ar"/>
              </w:rPr>
              <w:t>120智慧急救视频MPDS系统</w:t>
            </w:r>
          </w:p>
          <w:p>
            <w:pPr>
              <w:pStyle w:val="11"/>
              <w:numPr>
                <w:ilvl w:val="0"/>
                <w:numId w:val="24"/>
              </w:numPr>
              <w:ind w:leftChars="3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MPDS指导视频维护</w:t>
            </w:r>
          </w:p>
          <w:p>
            <w:pPr>
              <w:pStyle w:val="11"/>
              <w:numPr>
                <w:ilvl w:val="0"/>
                <w:numId w:val="0"/>
              </w:numPr>
              <w:ind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★需支持MPDS指导视频维护，视频应由专家指导拍摄，需具备用时较短、易于理解等特性，需满足在院前指导过程中的使用，应由管理员对MPDS指导视频进行资源管理及维护的工作。</w:t>
            </w:r>
          </w:p>
          <w:p>
            <w:pPr>
              <w:pStyle w:val="11"/>
              <w:numPr>
                <w:ilvl w:val="0"/>
                <w:numId w:val="24"/>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MPDS指导视频筛选</w:t>
            </w:r>
          </w:p>
          <w:p>
            <w:pPr>
              <w:pStyle w:val="11"/>
              <w:numPr>
                <w:ilvl w:val="0"/>
                <w:numId w:val="0"/>
              </w:numPr>
              <w:ind w:leftChars="3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  ★需支持MPDS指导视频筛选，应支持关键字搜索快速查询MPDS视频，例如：需要对孕产妇进行指导时，应通过搜索孕产妇快速查找关于孕产妇的MPDS指导视频。</w:t>
            </w:r>
          </w:p>
          <w:p>
            <w:pPr>
              <w:pStyle w:val="11"/>
              <w:numPr>
                <w:ilvl w:val="0"/>
                <w:numId w:val="24"/>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短信MPDS指导视频</w:t>
            </w:r>
          </w:p>
          <w:p>
            <w:pPr>
              <w:pStyle w:val="11"/>
              <w:numPr>
                <w:ilvl w:val="0"/>
                <w:numId w:val="0"/>
              </w:numPr>
              <w:ind w:leftChars="3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  ★需支持短信MPDS指导视频，如对采用电话报警的用户应支持发送短信MPDS指导视频，报警者收到一条含有MPDS指导视频链接的短信，点击链接即可查看MPDS指导视频。</w:t>
            </w:r>
          </w:p>
          <w:p>
            <w:pPr>
              <w:pStyle w:val="11"/>
              <w:numPr>
                <w:ilvl w:val="0"/>
                <w:numId w:val="24"/>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视频MPDS指导视频</w:t>
            </w:r>
          </w:p>
          <w:p>
            <w:pPr>
              <w:pStyle w:val="11"/>
              <w:numPr>
                <w:ilvl w:val="0"/>
                <w:numId w:val="0"/>
              </w:numPr>
              <w:ind w:leftChars="3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  ★需支持视频MPDS指导视频，值班员或者专家应通过系统推送标准急救教学视频或进行视频指导，直接给报警的手机推送视频，当视频发送到报警手机后应自动开始播放，达到报警者一边查看MPDS指导视频，一边接受调度员指导的效果。</w:t>
            </w:r>
          </w:p>
          <w:p>
            <w:pPr>
              <w:pStyle w:val="11"/>
              <w:numPr>
                <w:ilvl w:val="0"/>
                <w:numId w:val="0"/>
              </w:numPr>
              <w:ind w:leftChars="30" w:right="63" w:rightChars="30"/>
              <w:jc w:val="both"/>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八、120智慧急救地理信息系统</w:t>
            </w:r>
          </w:p>
          <w:p>
            <w:pPr>
              <w:pStyle w:val="11"/>
              <w:numPr>
                <w:ilvl w:val="0"/>
                <w:numId w:val="25"/>
              </w:numPr>
              <w:ind w:leftChars="30"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GIS地图数据</w:t>
            </w:r>
          </w:p>
          <w:p>
            <w:pPr>
              <w:pStyle w:val="11"/>
              <w:numPr>
                <w:ilvl w:val="0"/>
                <w:numId w:val="0"/>
              </w:numPr>
              <w:ind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GIS地图数据：应支持数字化GIS地图，图例标识应分为一般标识和医疗急救单位的特殊标识，有利于急救调度时查阅；医疗单位应以特殊放大的医院图标为标识，参与急救的网络单位应以国际急救标志为图标；应具有明显的道路、河流、山脉、森林、绿地等区域划分和标注；应支持实时查看路况信息，以便急救车辆及时到达急救现场；应支持显示该单位管辖所有的救护车的位置，如前往阶段、返回阶段、途中待命、站内待命车辆，可点击隐藏或显示前往阶段、返回阶段、途中待命、站内待命车辆，便于查看每种状态的车辆，同时地图上的展示面板应显示该单位管辖的任务车辆的总数、待命车辆的总数。</w:t>
            </w:r>
          </w:p>
          <w:p>
            <w:pPr>
              <w:pStyle w:val="11"/>
              <w:numPr>
                <w:ilvl w:val="0"/>
                <w:numId w:val="25"/>
              </w:numPr>
              <w:ind w:left="63" w:leftChars="30" w:right="63" w:rightChars="30" w:firstLine="0" w:firstLineChars="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GIS地图控制</w:t>
            </w:r>
          </w:p>
          <w:p>
            <w:pPr>
              <w:pStyle w:val="11"/>
              <w:numPr>
                <w:ilvl w:val="0"/>
                <w:numId w:val="0"/>
              </w:numPr>
              <w:ind w:leftChars="30" w:right="63" w:rightChars="30" w:firstLine="424" w:firstLineChars="20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GIS地图控制应支持对地图进行如放大、缩小、动态漫游、位置拖动、全幅显示、图层控制等。应通过选择工具来放大、缩小和平移地图，改变地图的中心和视野，应支持能够直接通过选择视野下拉列表来更改视野范围快速地达到放大和缩小的效果。应支持在缩放时可以进行局部放大和缩小，并应支持在图层缩放过程中根据图层设定的显示视野自动显示和隐藏图层，使电子地图在不同的视野真正显示有用的信息，根据需要全幅显示等。</w:t>
            </w:r>
          </w:p>
          <w:p>
            <w:pPr>
              <w:pStyle w:val="11"/>
              <w:numPr>
                <w:ilvl w:val="0"/>
                <w:numId w:val="25"/>
              </w:numPr>
              <w:ind w:left="63" w:leftChars="30" w:right="63" w:rightChars="30" w:firstLine="0" w:firstLineChars="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★急救车地图监管</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急救车管理列表：需支持显示该单位下所有急救网点医院以及正在任务中的救护车、待命的救护车的数量，点击急救网点医院可出现下拉页面，应显示出该急救网点医院管辖每辆车的信息，信息应包括车牌、状态（站内待命、出发、到达、返回、途中待命），点击查看车辆，应在右侧弹出页面，显示车辆信息，应包含车辆牌照、出车医生、出车司机、出车状态、出车单位、接诊医院、来电号码、接车地点、行驶速度、行驶方向、行驶经度、行驶纬度；可点击搜索救护车，输入救护车车牌可在地图上显示该车辆的位置。监控救护车的工作状态，应用不同的救护车图标颜色区分不同的车辆任务状态信息；监控救护车的实时行车轨迹，并按规定的秒数更新经纬度；救护车的行驶轨迹应存储并可随时查看救护车历史行驶轨迹。</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4.</w:t>
            </w:r>
            <w:r>
              <w:rPr>
                <w:rFonts w:hint="eastAsia" w:ascii="宋体" w:hAnsi="宋体" w:eastAsia="宋体" w:cs="宋体"/>
                <w:b w:val="0"/>
                <w:bCs w:val="0"/>
                <w:i w:val="0"/>
                <w:iCs w:val="0"/>
                <w:color w:val="auto"/>
                <w:kern w:val="0"/>
                <w:sz w:val="21"/>
                <w:szCs w:val="21"/>
                <w:highlight w:val="none"/>
                <w:u w:val="none"/>
                <w:lang w:val="en-US" w:eastAsia="zh-CN" w:bidi="ar"/>
              </w:rPr>
              <w:t>医疗资源查看</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需支持点击选择图标查看医疗资源在地图的分布及位置；应包括药店、胸痛中心、卒中中心、创伤中心等。</w:t>
            </w:r>
          </w:p>
          <w:p>
            <w:pPr>
              <w:pStyle w:val="11"/>
              <w:numPr>
                <w:ilvl w:val="0"/>
                <w:numId w:val="0"/>
              </w:numPr>
              <w:ind w:right="63" w:rightChars="30"/>
              <w:jc w:val="both"/>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cs="宋体"/>
                <w:b w:val="0"/>
                <w:bCs w:val="0"/>
                <w:i w:val="0"/>
                <w:iCs w:val="0"/>
                <w:color w:val="auto"/>
                <w:kern w:val="0"/>
                <w:sz w:val="21"/>
                <w:szCs w:val="21"/>
                <w:highlight w:val="none"/>
                <w:u w:val="none"/>
                <w:lang w:val="en-US" w:eastAsia="zh-CN" w:bidi="ar"/>
              </w:rPr>
              <w:t>5.</w:t>
            </w:r>
            <w:r>
              <w:rPr>
                <w:rFonts w:hint="eastAsia" w:ascii="宋体" w:hAnsi="宋体" w:eastAsia="宋体" w:cs="宋体"/>
                <w:b w:val="0"/>
                <w:bCs w:val="0"/>
                <w:i w:val="0"/>
                <w:iCs w:val="0"/>
                <w:color w:val="auto"/>
                <w:kern w:val="0"/>
                <w:sz w:val="21"/>
                <w:szCs w:val="21"/>
                <w:highlight w:val="none"/>
                <w:u w:val="none"/>
                <w:lang w:val="en-US" w:eastAsia="zh-CN" w:bidi="ar"/>
              </w:rPr>
              <w:t>地图数据查询</w:t>
            </w:r>
          </w:p>
          <w:p>
            <w:pPr>
              <w:pStyle w:val="11"/>
              <w:numPr>
                <w:ilvl w:val="0"/>
                <w:numId w:val="0"/>
              </w:numPr>
              <w:ind w:leftChars="30" w:right="63" w:rightChars="30" w:firstLine="424" w:firstLineChars="200"/>
              <w:jc w:val="both"/>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应支持包括全称查询和模糊查询，电话号码关联查询，应能查询道路信息、地理信息查询、急救车辆信息查询、医院信息查询等。应支持编辑功能：如添加、删除和移动点、线、面等；应支持对图层数据进行拓扑处理，以帮助完成对电子地图的维护及部分更新工作。应支持数据进行修改，对特定区域进行分析统计，对属性数据进行编辑。应支持统计功能：需根据积累的急救信息，对区域内急救病历、急救资源等信息进行统计和分析，需支持用多种图、表数据等方式表达、保存，并应通过统计对急救资源短缺预警等。</w:t>
            </w:r>
          </w:p>
          <w:p>
            <w:pPr>
              <w:pStyle w:val="11"/>
              <w:numPr>
                <w:ilvl w:val="0"/>
                <w:numId w:val="0"/>
              </w:numPr>
              <w:ind w:right="63" w:rightChars="30"/>
              <w:jc w:val="both"/>
              <w:rPr>
                <w:rStyle w:val="65"/>
                <w:rFonts w:hint="eastAsia" w:ascii="宋体" w:hAnsi="宋体" w:eastAsia="宋体" w:cs="宋体"/>
                <w:b/>
                <w:bCs/>
                <w:color w:val="auto"/>
                <w:sz w:val="24"/>
                <w:szCs w:val="24"/>
                <w:highlight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九、</w:t>
            </w:r>
            <w:r>
              <w:rPr>
                <w:rStyle w:val="65"/>
                <w:rFonts w:hint="eastAsia" w:ascii="宋体" w:hAnsi="宋体" w:eastAsia="宋体" w:cs="宋体"/>
                <w:b/>
                <w:bCs/>
                <w:color w:val="auto"/>
                <w:sz w:val="24"/>
                <w:szCs w:val="24"/>
                <w:highlight w:val="none"/>
                <w:lang w:val="en-US" w:eastAsia="zh-CN" w:bidi="ar"/>
              </w:rPr>
              <w:t>120智慧急救调度辅助决策系统</w:t>
            </w:r>
          </w:p>
          <w:p>
            <w:pPr>
              <w:pStyle w:val="11"/>
              <w:numPr>
                <w:ilvl w:val="0"/>
                <w:numId w:val="26"/>
              </w:numPr>
              <w:ind w:right="63" w:rightChars="3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急救站点自动匹配</w:t>
            </w:r>
          </w:p>
          <w:p>
            <w:pPr>
              <w:pStyle w:val="11"/>
              <w:numPr>
                <w:ilvl w:val="0"/>
                <w:numId w:val="0"/>
              </w:numPr>
              <w:ind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应支持系统自动同步报警电话、报警视频、求救定位，模糊关键词输入症状、报警类型等，在指派出车或调度分站时应结合实时交通智能匹配用时最少的急救网点，并应支持为出诊车辆人员提供精准导航等功能；</w:t>
            </w:r>
          </w:p>
          <w:p>
            <w:pPr>
              <w:pStyle w:val="11"/>
              <w:numPr>
                <w:ilvl w:val="0"/>
                <w:numId w:val="26"/>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调度单位决策</w:t>
            </w:r>
          </w:p>
          <w:p>
            <w:pPr>
              <w:pStyle w:val="11"/>
              <w:numPr>
                <w:ilvl w:val="0"/>
                <w:numId w:val="0"/>
              </w:numPr>
              <w:ind w:leftChars="30"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★系统应支持根据患者位置和急救分站位置，并结合实时交通数据情况，自动计算急救分站的排序，应按照用时最少的置顶排列，为调度分站提供最优的选择；</w:t>
            </w:r>
          </w:p>
          <w:p>
            <w:pPr>
              <w:pStyle w:val="11"/>
              <w:numPr>
                <w:ilvl w:val="0"/>
                <w:numId w:val="26"/>
              </w:numPr>
              <w:ind w:left="63" w:leftChars="30" w:right="63" w:rightChars="30" w:firstLine="0" w:firstLineChars="0"/>
              <w:jc w:val="both"/>
              <w:rPr>
                <w:rStyle w:val="65"/>
                <w:rFonts w:hint="eastAsia" w:ascii="宋体" w:hAnsi="宋体" w:eastAsia="宋体" w:cs="宋体"/>
                <w:b w:val="0"/>
                <w:bCs w:val="0"/>
                <w:color w:val="auto"/>
                <w:sz w:val="21"/>
                <w:szCs w:val="21"/>
                <w:highlight w:val="none"/>
                <w:lang w:val="en-US" w:eastAsia="zh-CN" w:bidi="ar"/>
              </w:rPr>
            </w:pPr>
            <w:r>
              <w:rPr>
                <w:rStyle w:val="65"/>
                <w:rFonts w:hint="eastAsia" w:ascii="宋体" w:hAnsi="宋体" w:eastAsia="宋体" w:cs="宋体"/>
                <w:b w:val="0"/>
                <w:bCs w:val="0"/>
                <w:color w:val="auto"/>
                <w:sz w:val="21"/>
                <w:szCs w:val="21"/>
                <w:highlight w:val="none"/>
                <w:lang w:val="en-US" w:eastAsia="zh-CN" w:bidi="ar"/>
              </w:rPr>
              <w:t>指派出车决策</w:t>
            </w:r>
          </w:p>
          <w:p>
            <w:pPr>
              <w:pStyle w:val="11"/>
              <w:numPr>
                <w:ilvl w:val="0"/>
                <w:numId w:val="0"/>
              </w:numPr>
              <w:ind w:leftChars="30" w:right="63" w:rightChars="30" w:firstLine="424" w:firstLineChars="200"/>
              <w:jc w:val="both"/>
              <w:rPr>
                <w:rStyle w:val="65"/>
                <w:rFonts w:hint="default" w:ascii="宋体" w:hAnsi="宋体" w:eastAsia="宋体" w:cs="宋体"/>
                <w:b w:val="0"/>
                <w:bCs w:val="0"/>
                <w:color w:val="auto"/>
                <w:sz w:val="21"/>
                <w:szCs w:val="21"/>
                <w:highlight w:val="none"/>
                <w:lang w:val="en-US" w:eastAsia="zh-CN" w:bidi="ar"/>
              </w:rPr>
            </w:pPr>
            <w:r>
              <w:rPr>
                <w:rStyle w:val="65"/>
                <w:rFonts w:hint="default" w:ascii="宋体" w:hAnsi="宋体" w:eastAsia="宋体" w:cs="宋体"/>
                <w:b w:val="0"/>
                <w:bCs w:val="0"/>
                <w:color w:val="auto"/>
                <w:sz w:val="21"/>
                <w:szCs w:val="21"/>
                <w:highlight w:val="none"/>
                <w:lang w:val="en-US" w:eastAsia="zh-CN" w:bidi="ar"/>
              </w:rPr>
              <w:t>★系统应通过把患者位置和出车站点位置，并应结合实时交通数据将避免拥堵纳入计算条件，应通过计算出车站点的排序，指派前往现场用时最少的急救车，为指派出车提供最优的选择。</w:t>
            </w:r>
          </w:p>
          <w:p>
            <w:pPr>
              <w:pStyle w:val="11"/>
              <w:numPr>
                <w:ilvl w:val="0"/>
                <w:numId w:val="7"/>
              </w:numPr>
              <w:ind w:left="63" w:leftChars="30" w:right="63" w:rightChars="30" w:firstLine="0" w:firstLineChars="0"/>
              <w:jc w:val="both"/>
              <w:rPr>
                <w:rStyle w:val="65"/>
                <w:rFonts w:hint="eastAsia" w:ascii="宋体" w:hAnsi="宋体" w:eastAsia="宋体" w:cs="宋体"/>
                <w:b/>
                <w:bCs/>
                <w:color w:val="auto"/>
                <w:sz w:val="24"/>
                <w:szCs w:val="24"/>
                <w:highlight w:val="none"/>
                <w:lang w:val="en-US" w:eastAsia="zh-CN" w:bidi="ar"/>
              </w:rPr>
            </w:pPr>
            <w:r>
              <w:rPr>
                <w:rStyle w:val="65"/>
                <w:rFonts w:hint="eastAsia" w:ascii="宋体" w:hAnsi="宋体" w:eastAsia="宋体" w:cs="宋体"/>
                <w:b/>
                <w:bCs/>
                <w:color w:val="auto"/>
                <w:sz w:val="24"/>
                <w:szCs w:val="24"/>
                <w:highlight w:val="none"/>
                <w:lang w:val="en-US" w:eastAsia="zh-CN" w:bidi="ar"/>
              </w:rPr>
              <w:t>救护车医生APP</w:t>
            </w:r>
          </w:p>
          <w:p>
            <w:pPr>
              <w:pStyle w:val="11"/>
              <w:numPr>
                <w:ilvl w:val="0"/>
                <w:numId w:val="27"/>
              </w:numPr>
              <w:ind w:leftChars="30" w:right="63" w:rightChars="3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登录</w:t>
            </w:r>
          </w:p>
          <w:p>
            <w:pPr>
              <w:pStyle w:val="11"/>
              <w:numPr>
                <w:ilvl w:val="0"/>
                <w:numId w:val="0"/>
              </w:numPr>
              <w:ind w:right="63" w:rightChars="30" w:firstLine="424" w:firstLineChars="20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登录使用时需支持选择单位，需支持本地缓存单位数据，需支持已选择单位更改，建议提供工号和账号两种登录方式；</w:t>
            </w:r>
          </w:p>
          <w:p>
            <w:pPr>
              <w:pStyle w:val="11"/>
              <w:numPr>
                <w:ilvl w:val="0"/>
                <w:numId w:val="27"/>
              </w:numPr>
              <w:ind w:left="63" w:leftChars="30" w:right="63" w:rightChars="30" w:firstLine="0" w:firstLineChars="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报班</w:t>
            </w:r>
          </w:p>
          <w:p>
            <w:pPr>
              <w:pStyle w:val="11"/>
              <w:numPr>
                <w:ilvl w:val="0"/>
                <w:numId w:val="0"/>
              </w:numPr>
              <w:ind w:leftChars="30" w:right="63" w:rightChars="30" w:firstLine="424" w:firstLineChars="20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需支持车载工作人员填写出勤人员，并应支持同步上传到接警中心；</w:t>
            </w:r>
          </w:p>
          <w:p>
            <w:pPr>
              <w:pStyle w:val="11"/>
              <w:numPr>
                <w:ilvl w:val="0"/>
                <w:numId w:val="27"/>
              </w:numPr>
              <w:ind w:left="63" w:leftChars="30" w:right="63" w:rightChars="30" w:firstLine="0" w:firstLineChars="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考勤管理</w:t>
            </w:r>
          </w:p>
          <w:p>
            <w:pPr>
              <w:pStyle w:val="11"/>
              <w:numPr>
                <w:ilvl w:val="0"/>
                <w:numId w:val="0"/>
              </w:numPr>
              <w:ind w:leftChars="30" w:right="63" w:rightChars="30" w:firstLine="424" w:firstLineChars="20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需支持出诊医生考勤打卡，应支持直接在系统内进行上下班打卡，系统应记录上下班打卡时间、统计上班时长；</w:t>
            </w:r>
          </w:p>
          <w:p>
            <w:pPr>
              <w:pStyle w:val="11"/>
              <w:numPr>
                <w:ilvl w:val="0"/>
                <w:numId w:val="27"/>
              </w:numPr>
              <w:ind w:left="63" w:leftChars="30" w:right="63" w:rightChars="30" w:firstLine="0" w:firstLineChars="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调度指令接受</w:t>
            </w:r>
          </w:p>
          <w:p>
            <w:pPr>
              <w:pStyle w:val="11"/>
              <w:numPr>
                <w:ilvl w:val="0"/>
                <w:numId w:val="0"/>
              </w:numPr>
              <w:ind w:leftChars="30" w:right="63" w:rightChars="30" w:firstLine="424" w:firstLineChars="20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调度指令接收，如接收急诊科发送来的调度指令、派诊单和各种通知通告涵等;如在调度人员或分站值班员指派出车后，出诊医生可接收任务指令，指令内应含有呼车人来电号码、主诉、及患者目的地址等信息；</w:t>
            </w:r>
          </w:p>
          <w:p>
            <w:pPr>
              <w:pStyle w:val="11"/>
              <w:numPr>
                <w:ilvl w:val="0"/>
                <w:numId w:val="27"/>
              </w:numPr>
              <w:ind w:left="63" w:leftChars="30" w:right="63" w:rightChars="30" w:firstLine="0" w:firstLineChars="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状态反馈</w:t>
            </w:r>
          </w:p>
          <w:p>
            <w:pPr>
              <w:pStyle w:val="11"/>
              <w:numPr>
                <w:ilvl w:val="0"/>
                <w:numId w:val="0"/>
              </w:numPr>
              <w:ind w:right="63" w:rightChars="30" w:firstLine="424" w:firstLineChars="200"/>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需支持节点状态反馈，应根据急救过程的实际情况向中心反馈节点信息，如派诊出车、到达现场、接到病人、返回医院、到达医院等信息；</w:t>
            </w:r>
          </w:p>
          <w:p>
            <w:pPr>
              <w:pStyle w:val="11"/>
              <w:numPr>
                <w:ilvl w:val="0"/>
                <w:numId w:val="27"/>
              </w:numPr>
              <w:ind w:left="63" w:leftChars="30" w:right="63" w:rightChars="30" w:firstLine="0" w:firstLineChars="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★急救指南模块</w:t>
            </w:r>
          </w:p>
          <w:p>
            <w:pPr>
              <w:pStyle w:val="11"/>
              <w:numPr>
                <w:ilvl w:val="0"/>
                <w:numId w:val="0"/>
              </w:numPr>
              <w:ind w:leftChars="30" w:right="63" w:rightChars="30" w:firstLine="424" w:firstLineChars="20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★需内置常见急症疾病、循环系统、呼吸系统、消化系统、内分泌系统、神经系统、意外伤害等几十种医疗常规处理方法；</w:t>
            </w:r>
          </w:p>
          <w:p>
            <w:pPr>
              <w:pStyle w:val="11"/>
              <w:numPr>
                <w:ilvl w:val="0"/>
                <w:numId w:val="27"/>
              </w:numPr>
              <w:ind w:left="63" w:leftChars="30" w:right="63" w:rightChars="30" w:firstLine="0" w:firstLineChars="0"/>
              <w:jc w:val="both"/>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健康档案查看</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需支持查看患者健康档案，应包含患者个人信息、健康数据、健康情况等相关信息，以便医生及时了解患者情况；</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视频通知</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需支持视频通知，应支持急救医院随时通知救护车工作人员进入双向视频通话；</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地图导航</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需具有自主导航功能，系统应根据急救调度受理平台发送的出车指令信息自动生成出警行车路线，自主导航引导车辆到达呼救现场;特殊情况下,应支持手动修改目的地址；</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收费管理</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需具有以下功能：</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救护车里程费：根据院方相关规定，根据里程计费，输入计费结果，可同时输入其他计费任务；</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急救治疗费：按照急救中心院前急救收费标准，在完成出诊现场检查、处置注射、抢救监护等相关结果后，输入相应诊疗费用清单并合计；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医药费:出诊抢救产生药费、吸氧费、消毒费、卫生材料费及其他相关费用后，输入相应费用并合计；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定制收费信息：根据院前急救相关收费标准及收费项目要求，调整收费清单及结构；</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票据打印：完成出车任务、现场急救、随车监护等多项任务后，采集收费信息，按照规定的收费票据打印模板，打印收费票据；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收费统计：通过指挥中心软件对收费情况进行统计，可统计出诊实时收费情况，每车月度收费情况，各急救分站月度收费情况等；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收费接口：预留与医院收费系统对接接口，实时缴费；</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车辆检查</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需支持出车前创建车辆检查单，应包括录入车辆车牌、车辆管理员、司机、医生、里程数统计、车内清洁度、车况、车内设备、备注、上传图片等信息；需支持历史检查记录查看；</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查看图片</w:t>
            </w:r>
          </w:p>
          <w:p>
            <w:pPr>
              <w:pStyle w:val="11"/>
              <w:widowControl w:val="0"/>
              <w:numPr>
                <w:ilvl w:val="0"/>
                <w:numId w:val="0"/>
              </w:numPr>
              <w:adjustRightInd w:val="0"/>
              <w:spacing w:after="60" w:line="360" w:lineRule="atLeast"/>
              <w:ind w:leftChars="30"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需支持查看急诊科上传的图片或者上传本地图片或者拍照同步至急诊科；</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任务电话薄</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应支持接诊医院、出车医生、报警人电话查询和拨打；</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转诊风险告知书</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应支持转诊风险告知书管理，出诊医生可快速编辑，编辑后应形成电子版的转诊风险告知书，需支持打印；应根据医院需求定制文书模板；</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转诊医院</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应支持转诊医院联系，即可选择系统内置的转诊医院，应提供电话预沟通或视频沟通（对方需装有该平台）两种方式，转诊确认后急诊科平台应收到对应转诊信息，由此实现视频通讯以及数据互通，提高转诊效率；</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出诊人员管理</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需支持出诊人员管理，可自主配置出诊人员；应支持在出诊人员内查看本次出诊车牌号、医生、司机，且应支持编辑出诊护士、抬工和其他人员名字等信息；</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消息中心</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需支持消息通知功能，提供任务、预警等消息接收，应提供消息查询与消息已读状态标记；</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断点续传</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需满足在网络信号不好时，缓存出诊节点时间，应支持手动同步信息，信号恢复时手动上传至服务器；</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离开任务</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需支持任务后台挂起功能，从任务记录/任务列表内再次进入未完成的任务；</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取消出车</w:t>
            </w:r>
          </w:p>
          <w:p>
            <w:pPr>
              <w:pStyle w:val="11"/>
              <w:widowControl w:val="0"/>
              <w:numPr>
                <w:ilvl w:val="0"/>
                <w:numId w:val="0"/>
              </w:numPr>
              <w:adjustRightInd w:val="0"/>
              <w:spacing w:after="60" w:line="360" w:lineRule="atLeast"/>
              <w:ind w:leftChars="30"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需支持取消出车，出诊医生应根据实际出车情况取消出车；取消时需选择取消原因；应支持对取消原因进行个性化配置；</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途中待命</w:t>
            </w:r>
          </w:p>
          <w:p>
            <w:pPr>
              <w:pStyle w:val="11"/>
              <w:widowControl w:val="0"/>
              <w:numPr>
                <w:ilvl w:val="0"/>
                <w:numId w:val="0"/>
              </w:numPr>
              <w:adjustRightInd w:val="0"/>
              <w:spacing w:after="60" w:line="360" w:lineRule="atLeast"/>
              <w:ind w:leftChars="30"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出诊医生完成任务或取消任务后，应支持进入途中待命状态；若处于途中待命状态，应支持值班员直接向该车辆派发出诊任务；</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出诊记录</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应支持出诊记录查看，应包括但不限于以下内容：</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1）查看出车记录：需支持查看该出诊医生的年度累计出车次数、有效出车次数、取消出车次数、出车总用时；应支持通过月份筛选查询出车记录，如流水号、出车时间、车牌号、出诊医生、出诊司机、出车结果；</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（2）病历记录：需支持搜索查看患者的病历记录信息，如基本信息、检查记录、治疗措施等相关信息；</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（3）转诊记录：应支持通过月份筛选查看转诊记录信息，如流水号、患者地址、转诊医院等相关内容；</w:t>
            </w:r>
          </w:p>
          <w:p>
            <w:pPr>
              <w:pStyle w:val="11"/>
              <w:widowControl w:val="0"/>
              <w:numPr>
                <w:ilvl w:val="0"/>
                <w:numId w:val="27"/>
              </w:numPr>
              <w:adjustRightInd w:val="0"/>
              <w:spacing w:after="60" w:line="360" w:lineRule="atLeast"/>
              <w:ind w:left="63" w:leftChars="30" w:right="63" w:rightChars="30" w:firstLine="0" w:firstLineChars="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质控查询</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应支持质控查询，应包括但不限于以下内容：</w:t>
            </w:r>
          </w:p>
          <w:p>
            <w:pPr>
              <w:pStyle w:val="11"/>
              <w:widowControl w:val="0"/>
              <w:numPr>
                <w:ilvl w:val="0"/>
                <w:numId w:val="0"/>
              </w:numPr>
              <w:adjustRightInd w:val="0"/>
              <w:spacing w:after="60" w:line="360" w:lineRule="atLeast"/>
              <w:ind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（1）需支持以时间维度进行质控查询；</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2）应支持查看出诊医生工作量信息记录，如救治病人数量、出车数量、有效出车数量、无效出车数量、超时出车数量、到场平均时长、现场平均时长、送往平均时长、任务总用时、前往总用时、现场总用时、送往总用时、上班总时长等数据；</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（3）应支持考勤明细查看：需支持查看医生上下班打卡的流水记录，如序号、姓名、工号、上班及下班时间和工时的统计；</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default"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（4）送往医院详情查看：需支持查看医生以往出诊中送往医院记录，如车牌号、出诊医生、出诊司机、送往时间以及送往医院等数据。</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十一、120智慧急救领导公卫决策系统</w:t>
            </w:r>
          </w:p>
          <w:p>
            <w:pPr>
              <w:pStyle w:val="11"/>
              <w:widowControl w:val="0"/>
              <w:numPr>
                <w:ilvl w:val="0"/>
                <w:numId w:val="28"/>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登录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首次使用时，需选择单位，应支持选择后存入本地缓存，后续打开页面应可直接进入账号登录页面，需支持做单位更改的操作； </w:t>
            </w:r>
          </w:p>
          <w:p>
            <w:pPr>
              <w:pStyle w:val="11"/>
              <w:widowControl w:val="0"/>
              <w:numPr>
                <w:ilvl w:val="0"/>
                <w:numId w:val="28"/>
              </w:numPr>
              <w:adjustRightInd w:val="0"/>
              <w:spacing w:after="60" w:line="360" w:lineRule="atLeast"/>
              <w:ind w:left="63" w:leftChars="3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账号信息查看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需支持查看账号信息，需支持进行修改密码以及退出登录操作； </w:t>
            </w:r>
          </w:p>
          <w:p>
            <w:pPr>
              <w:pStyle w:val="11"/>
              <w:widowControl w:val="0"/>
              <w:numPr>
                <w:ilvl w:val="0"/>
                <w:numId w:val="28"/>
              </w:numPr>
              <w:adjustRightInd w:val="0"/>
              <w:spacing w:after="60" w:line="360" w:lineRule="atLeast"/>
              <w:ind w:left="63" w:leftChars="3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今日实时监管 </w:t>
            </w:r>
          </w:p>
          <w:p>
            <w:pPr>
              <w:pStyle w:val="11"/>
              <w:widowControl w:val="0"/>
              <w:numPr>
                <w:ilvl w:val="0"/>
                <w:numId w:val="0"/>
              </w:numPr>
              <w:adjustRightInd w:val="0"/>
              <w:spacing w:after="60" w:line="360" w:lineRule="atLeast"/>
              <w:ind w:leftChars="30"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（1）医疗资源统计：应显示车辆总数、待命数、任务数、修整数以及值班员总数、就绪数、任务数、离席数；</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（2）报警任务统计：应显示报警总数、接听数、漏接数以及出车总数、有效数、无效数；</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3）急救单位分布：需支持急救单位分布统计，需支持展示单位以及分站下的车辆和值班员总数和各状态所占人数，点击列表可以查看该项的详细信息，如车辆信息应包含车牌号、行驶速度、出诊医生、出诊司机、出车单位等，且应支持查看实时位置信息和值班员信息，值班员信息应包含姓名、工号、接警量、状态信息等；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4.120数据分析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急救数据统计：需支持院前急救数值统计，系统应展示院前急救急救数值数量统计以及日均值，如值班员收到用户报警的数量、接听用户报警的数量、未接用户报警任务的数量、接听任务后有调度分站或指派出车的数量、处理骚扰报警的数量、调度分站的数量、院前出车的数量、正常完成救治任务的出车数量、出车后由于异常原因取消出车任务的数量、救治病人的数量、普通、重大事件数量；</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质控指标分析：需支持质控指标统计分析，应通过图形化的方式显示各类质控指标的占比、及时率、超时率。指标内容应包括及时接警率、及时受理率、及时调度率、及时派车率、及时出车率、及时到场率等；</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急救时间分析：需支持院前急救用时均值统计，系统应显示院前急救用时均值数据统计，如值班员接听用户报警的平均用时、受理任务的平均用时、接听任务至分站反馈的平均用时、指派出车至任务被接听的平均用时、接听任务至车辆到场现场的平均用时、现场救治病人的平均用时、车辆从现场驶向接诊医院的平均用时、急救任务的平均用时等相关数据；</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来电类型分析：需支持来电类型统计分析，应通过数据图形化的方式显示值班员接听来电后设置各类来电类型的数量及占比，来电类型如紧急呼叫、骚扰报警、催车电话、内部沟通、医疗护送、咨询电话、投诉电话、误拨电话、无声电话、其他；</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（5）出车结果分析：需支持出车结果统计，应通过图形化的形式显示有效出车和无效出车的数量及占比,占比原因应包括患者拒绝入院、患者已死亡、未找到患者、已送往他院、虚假报警及其他；</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（6）常见急诊严重程度分析：需支持常见急诊程度统计，应通过图形化的方式显示报警任务的严重程度的对比分析，严重程度应划分为未知、轻度、中度、重度；</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7）突发事件统计：需支持重大事故统计分析，应通过图形化的方式显示突发事件的类型及等级，类型应包括自然灾害、事故灾难、社会突发安全事件、社会公共卫生事件等，等级应划分为一般、较大、重大、特别重大；</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（8）24小时峰值分析：需支持24小时峰值分析，应通过图形化的方式显示24小时中每个小时的报警量、接警量、出车量等数据；</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（9）送往医院排名：需支持送往医院排名统计，应通过图形化的形式显示接收报警后送往各院的数量；</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（10）症状年龄分布：需支持病症年龄分析，应通过数据图形化的方式显示受理患者年龄与疾病的分析图，应支持查看各类疾病症状在各个年龄段的占比。</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5.车载监控视频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（1）单位车辆查询：需支持通过单位名称、车牌号、车辆数量、班次、状态、摄像头名称等相关信息进行数据查询；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（2）视频监控：需支持车载视频监控查看，可通过摄像头进行实时监控查看，应支持对监控画面进行录像、截图、声音开关等相关操作。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十二、120智慧急救大数据综合管理及科研分析平台</w:t>
            </w:r>
          </w:p>
          <w:p>
            <w:pPr>
              <w:pStyle w:val="11"/>
              <w:widowControl w:val="0"/>
              <w:numPr>
                <w:ilvl w:val="0"/>
                <w:numId w:val="29"/>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任务记录流水</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（1）数据导出：应具有任务记录、调度记录、出车记录、专家记录等表单导出功能，应支持根据查询结果导出明细数据；</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任务记录查询：需支持任务记录查询，应提供多种方式查询任务记录，如单位、振铃时间、流水号、来电号码、受理人员、呼入类型、来电类型、接听情况、超时接听、有无调度、有无派车的方式进行记录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任务记录：需支持任务记录查看，应支持在记录内查看任务的来电时间、来电地址、接听时间、接听人员、有无调度分站、有无指派出车等信息维度，应支持查看报警任务下的受理任务详情、调度分站情况、出车情况、专家协助记录、录音、视频回放等信息，并应支持进行打印；</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（4）任务详情：需支持任务详情查看，应支持查看本次任务中调度员的受理信息详情，如受理人员、接听时间、来电号码、来电地址、事件类型、患者基础信息以及地址附近的天气信息等；</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（5）调度记录：需支持调度记录查看，应支持查看本次任务中调度分站的记录信息，如调度时间、调度方式、接收单位、反馈时间、是否超时、是否接听等信息；</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出车记录：需支持出车记录查看，应支持查看本次任务中的急救车出车记录，如车牌号、出诊医生/司机、出车里程以及出车各个阶段的时间信息，并应支持查看本次出车所产生的出诊信息、车辆轨迹、设备检测记录、病历记录；</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（7）专家记录：需支持专家记录查看，应支持查看本次任务中邀请专家协助的记录信息，如邀请时间、邀请专家信息、专家加入协助时间及邀请结果等；</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（8）录音记录：需支持录音记录，系统应记录本次任务中产生的电话录音文件，应支持录音回放和导出录音文件至本地；</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（9）视频回放：需支持视频回放，系统应记录每次任务中产生的视频通话录像文件，应具有视频回放查看和导出视频文件至本地的功能；</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（10）打印：应具有任务记录打印功能，应支持直接在系统内打印本次任务内的报警受理信息、调度记录信息以及出车信息；应支持A4尺寸打印；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2.转诊记录流水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（1）转诊记录查询：需支持根据单位、转诊时间、流水号、车牌号等进行查询；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（2）转诊记录：需支持转诊记录相关流水号、车牌号、出诊医生、出诊司机等查看；</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（3）转诊记录导出：需支持根据查询结果导出转诊记录明细，导出格式应为Excel表格；</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3.骚扰报警记录流水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（1）骚扰报警记录查询：需支持多种查询方式，如单位、接听时间、流水号、来电号码、受理人员、是否锁定；</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（2）骚扰报警记录：需支持骚扰报警记录相关流水号、来电号码、振铃开始日期时间等查看；</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（3）骚扰报警记录导出：需支持根据查询结果导出骚扰报警记录明细，导出格式应为Excel表格；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4.漏接记录流水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（1）漏接记录查询：应支持通过单位、振铃时间、流水号、来电号码等方式进行查询；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（2）漏接记录：应支持漏接记录相关流水号、来电号码、来电地址等查看；</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（3）漏接记录导出：需支持根据查询结果导出漏接记录明细，导出格式应为Excel表格；</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5.事件记录流水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（1）事件记录查询：应支持通过单位、事件时间、事件流水号、事件类型等方式进行查询；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（2）事件记录：应支持记录事件流水号、事件名称、事件类型等查看；</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（3）事件记录导出：需支持根据查询结果导出事件记录明细，导出格式应为Excel表格；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6.车辆检查单管理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（1）检查单模板配置：应配置检查单基本信息、车辆历程检查、车内清洁情况、车辆等信息；需支持检查单新增、删除和编辑等操作；</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（2）车辆检查单记录：应通过单位、检测时间、车牌号等方式查询检查单；需支持车辆检查单详情查看，如车辆车牌号、类型、所属站点等；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7.单位管理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（1）基本信息管理：需具有单位管理功能，应包括对单位logo、联系电话、地址、区域类型、医院类型等信息进行管理；</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（2）单位管理：需支持单位新增、单位信息编辑、停用/启用等功能；</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（3）单位参数配置：需提供基本信息、费用配置、车辆班次、快捷回复、指标管理相关参数配置；</w:t>
            </w:r>
          </w:p>
          <w:p>
            <w:pPr>
              <w:pStyle w:val="11"/>
              <w:widowControl w:val="0"/>
              <w:numPr>
                <w:ilvl w:val="0"/>
                <w:numId w:val="0"/>
              </w:numPr>
              <w:adjustRightInd w:val="0"/>
              <w:spacing w:after="60" w:line="360" w:lineRule="atLeast"/>
              <w:ind w:right="63" w:rightChars="30" w:firstLine="212" w:firstLineChars="1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（4）系统个性化配置：需支持系统个性化配置，需提供各端logo、名称配置；需支持调度系统、出车站点系统、医生系统、司机系统、专家系统、领导系统、大屏数据分析系统和管理后台等端个性化配置；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8.字典管理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（1）医疗资源字典：需支持医疗资源字典管理，需提供字典名称、显示图标、创建时间及相关备注等信息进行管理；需支持字典新建、启用/禁用、编辑和删除等操作；</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（2）任务取消字典：需支持取消任务字典管理，需提供字典名称、显示图标、创建时间及相关备注等信息进行管理；需支持字典新建、启用/禁用、编辑和删除等操作；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9.电话簿管理</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（1）电话组管理：需支持电话组管理，应支持对电话簿进行分组管理；</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（2）电话簿管理：需支持电话簿管理，应支持对电话簿内容进行新增、编辑和删除等操作；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10.出车站点管理 </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（1）应支持出车站点管理，如站点名称、地址、备注等相关信息，应支持站点新增、编辑、关联急救车、关联人员及站点范围等操作；</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（2）站点关联救护车：应实现出车站点和救护车关联，需支持关联后查看关联救护车车牌号和车辆类型，需支持取消关联操作；</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（3）关联人员：需支持出车站点关联人员，需支持关联后查看关联人员姓名、角色等，需支持取消关联操作；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11.车辆管理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需具有车辆管理功能，如车辆新增、车辆授权、车辆与设备管理、车辆信息编辑、车辆删除等； </w:t>
            </w:r>
          </w:p>
          <w:p>
            <w:pPr>
              <w:pStyle w:val="11"/>
              <w:widowControl w:val="0"/>
              <w:numPr>
                <w:ilvl w:val="0"/>
                <w:numId w:val="0"/>
              </w:numPr>
              <w:adjustRightInd w:val="0"/>
              <w:spacing w:after="60" w:line="360" w:lineRule="atLeast"/>
              <w:ind w:left="72" w:leftChars="0"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12.人员管理 </w:t>
            </w:r>
          </w:p>
          <w:p>
            <w:pPr>
              <w:pStyle w:val="11"/>
              <w:widowControl w:val="0"/>
              <w:numPr>
                <w:ilvl w:val="0"/>
                <w:numId w:val="0"/>
              </w:numPr>
              <w:adjustRightInd w:val="0"/>
              <w:spacing w:after="60" w:line="360" w:lineRule="atLeast"/>
              <w:ind w:left="72"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需支持人员管理，如姓名、角色、联系电话、工号及备注信息;应支持对新增/编辑、修改密码、停用/启用、角色授权、权限管理和删除等操作；需提供人员姓名、人员角色类型等信息查询； </w:t>
            </w:r>
          </w:p>
          <w:p>
            <w:pPr>
              <w:pStyle w:val="11"/>
              <w:widowControl w:val="0"/>
              <w:numPr>
                <w:ilvl w:val="0"/>
                <w:numId w:val="14"/>
              </w:numPr>
              <w:adjustRightInd w:val="0"/>
              <w:spacing w:after="60" w:line="360" w:lineRule="atLeast"/>
              <w:ind w:left="72"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角色管理 </w:t>
            </w:r>
          </w:p>
          <w:p>
            <w:pPr>
              <w:pStyle w:val="11"/>
              <w:widowControl w:val="0"/>
              <w:numPr>
                <w:ilvl w:val="0"/>
                <w:numId w:val="0"/>
              </w:numPr>
              <w:adjustRightInd w:val="0"/>
              <w:spacing w:after="60" w:line="360" w:lineRule="atLeast"/>
              <w:ind w:left="72"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应实现所有单位以结构树的形式展现，需通过搜索框快速查找；应支持对管理员、值班员、出诊医生、出诊司机、医疗专家、领导角色等权限配置；</w:t>
            </w:r>
          </w:p>
          <w:p>
            <w:pPr>
              <w:pStyle w:val="11"/>
              <w:widowControl w:val="0"/>
              <w:numPr>
                <w:ilvl w:val="0"/>
                <w:numId w:val="14"/>
              </w:numPr>
              <w:adjustRightInd w:val="0"/>
              <w:spacing w:after="60" w:line="360" w:lineRule="atLeast"/>
              <w:ind w:left="72"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资源管理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（1）下级单位资源管理：应支持对下级单位资源进行管理；</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（2）资源管理：应包括对设备管理和医疗资源管理；</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Calibri" w:hAnsi="Calibri" w:eastAsia="宋体" w:cs="Calibri"/>
                <w:b w:val="0"/>
                <w:bCs w:val="0"/>
                <w:i w:val="0"/>
                <w:iCs w:val="0"/>
                <w:color w:val="auto"/>
                <w:kern w:val="0"/>
                <w:sz w:val="21"/>
                <w:szCs w:val="21"/>
                <w:highlight w:val="none"/>
                <w:u w:val="none"/>
                <w:lang w:val="en-US" w:eastAsia="zh-CN" w:bidi="ar"/>
              </w:rPr>
              <w:t>①</w:t>
            </w:r>
            <w:r>
              <w:rPr>
                <w:rFonts w:hint="eastAsia" w:ascii="宋体" w:hAnsi="宋体" w:eastAsia="宋体" w:cs="宋体"/>
                <w:b w:val="0"/>
                <w:bCs w:val="0"/>
                <w:i w:val="0"/>
                <w:iCs w:val="0"/>
                <w:color w:val="auto"/>
                <w:kern w:val="0"/>
                <w:sz w:val="21"/>
                <w:szCs w:val="21"/>
                <w:highlight w:val="none"/>
                <w:u w:val="none"/>
                <w:lang w:val="en-US" w:eastAsia="zh-CN" w:bidi="ar"/>
              </w:rPr>
              <w:t>设备管理，应对设备名称、设备类型、设备编号及设备关联车辆等信息进行管理；需提供设备新增、编辑和删除等操作；</w:t>
            </w:r>
          </w:p>
          <w:p>
            <w:pPr>
              <w:pStyle w:val="11"/>
              <w:widowControl w:val="0"/>
              <w:numPr>
                <w:ilvl w:val="0"/>
                <w:numId w:val="0"/>
              </w:numPr>
              <w:adjustRightInd w:val="0"/>
              <w:spacing w:after="60" w:line="360" w:lineRule="atLeast"/>
              <w:ind w:right="63" w:rightChars="30" w:firstLine="424" w:firstLineChars="2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default" w:ascii="Calibri" w:hAnsi="Calibri" w:eastAsia="宋体" w:cs="Calibri"/>
                <w:b w:val="0"/>
                <w:bCs w:val="0"/>
                <w:i w:val="0"/>
                <w:iCs w:val="0"/>
                <w:color w:val="auto"/>
                <w:kern w:val="0"/>
                <w:sz w:val="21"/>
                <w:szCs w:val="21"/>
                <w:highlight w:val="none"/>
                <w:u w:val="none"/>
                <w:lang w:val="en-US" w:eastAsia="zh-CN" w:bidi="ar"/>
              </w:rPr>
              <w:t>②</w:t>
            </w:r>
            <w:r>
              <w:rPr>
                <w:rFonts w:hint="eastAsia" w:ascii="宋体" w:hAnsi="宋体" w:eastAsia="宋体" w:cs="宋体"/>
                <w:b w:val="0"/>
                <w:bCs w:val="0"/>
                <w:i w:val="0"/>
                <w:iCs w:val="0"/>
                <w:color w:val="auto"/>
                <w:kern w:val="0"/>
                <w:sz w:val="21"/>
                <w:szCs w:val="21"/>
                <w:highlight w:val="none"/>
                <w:u w:val="none"/>
                <w:lang w:val="en-US" w:eastAsia="zh-CN" w:bidi="ar"/>
              </w:rPr>
              <w:t xml:space="preserve">医疗资源管理：需实现管理资源名称、资源类型、地址等信息；需提供资源添加、编辑和删除等操作； </w:t>
            </w:r>
          </w:p>
          <w:p>
            <w:pPr>
              <w:pStyle w:val="11"/>
              <w:widowControl w:val="0"/>
              <w:numPr>
                <w:ilvl w:val="0"/>
                <w:numId w:val="14"/>
              </w:numPr>
              <w:adjustRightInd w:val="0"/>
              <w:spacing w:after="60" w:line="360" w:lineRule="atLeast"/>
              <w:ind w:left="72"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日志管理 </w:t>
            </w:r>
          </w:p>
          <w:p>
            <w:pPr>
              <w:pStyle w:val="11"/>
              <w:widowControl w:val="0"/>
              <w:numPr>
                <w:ilvl w:val="0"/>
                <w:numId w:val="0"/>
              </w:numPr>
              <w:adjustRightInd w:val="0"/>
              <w:spacing w:after="60" w:line="360" w:lineRule="atLeast"/>
              <w:ind w:left="72"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（1）登录日志：需支持查看登录人员姓名、工号、人员类型、登录系统、登录时间及登录IP；需提供单位、姓名、工号、登录系统等方式查询；</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（2）操作日志：需支持查看用户操作时间、操作人单位、操作人姓名及登录IP等；需提供多种方式查询操作日志，如单位、操作时间、用户姓名/工号、所属系统、所属功能/菜单等查询方式；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16.急救指挥平台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（1）分站急救车管理：需支持查看当前单位选择范围内的单位数量、车辆总数、任务中车辆、待命车辆等相关信息，车辆状态应包含准备出发、前往现场、到达现场、站内待命等；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急救车详情：需支持在可视化地图上显示车辆详细信息，如车辆牌照、出诊医生、出诊司机、任务状态、出车单位、接诊单位、来电号码、接车地点、车辆位置经纬度、车辆油耗、仪表盘里程、设备警告等相关信息；</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可视化地图展示：应显示呼车人信息，如来电号码、来电时间、来电地址以及来电类型等；应显示任务中、待命中车辆数量统计；需支持选择显示/隐藏地图中处于各状态的车辆，如前往现场、返回医院、途中待命、站内待命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当日急救数据统计：需支持当日急救数据统计，系统应展示院前急救急救数值数量统计以及日均值，应包括值班员收到用户报警的数量、接听用户报警的数量、未接用户报警任务的数量、接听任务后有调度分站或指派出车的数量、处理骚扰报警的数量、调度分站的数量、院前出车的数量、正常完成救治任务的出车数量、出车后由于异常原因取消出车任务的数量、救治病人的数量、普通、重大事件数量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（5）当日值班员管理：需支持当日值班员管理，应支持查看当日值班员状态（如就绪、处理中、离席）数量统计、姓名、工号等相关信息功能；</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（6）出车信息：应显示被选中车辆的相关信息，如派车时间、出诊医生、出诊司机、出车状态（应包含准备出发、前往现场、到达现场）等相关信息；</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17. 数据分析平台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（1）数据分析统计范围筛选：需支持数据分析查询，应通过选择时间段范围进行数据查询；</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报警数据分析：需提供院前急救数值统计功能，系统应展示院前急救急救数值数量统计以及日均值，如值班员收到用户报警的数量、接听用户报警的数量、未接用户报警任务的数量、接听任务后有调度分站或指派出车的数量、处理骚扰报警的数量、调度分站的数量、院前出车的数量、正常完成救治任务的出车数量、出车后由于异常原因取消出车任务的数量、救治病人的数量、普通、重大事件数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急救时间分析：需支持院前急救用时均值统计，应显示院前急救用时均值数据统计，如值班员接听用户报警的平均用时、受理任务的平均用时、接听任务至分站反馈的平均用时、指派出车至任务被接听的平均用时、接听任务至车辆到场现场的平均用时、现场救治病人的平均用时、车辆从现场驶向接诊医院的平均用时、急救任务的平均用时等相关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质控指标分析：需支持质控指标统计分析，应通过图形化的方式显示各类质控指标的占比、及时率、超时率。指标内容应包括及时接警率、及时受理率、及时调度率、及时派车率、及时出车率、及时到场率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来电类型分析：需支持来电类型统计分析，应通过数据图形化的方式显示值班员接听来电后设置各类来电类型的数量及占比，来电类型如紧急呼叫、骚扰报警、催车电话、内部沟通、医疗护送、咨询电话、投诉电话、误拨电话、无声电话、其他；</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（6）24小时峰值分析：需支持24小时峰值分析，应通过图形化的方式显示24小时中每个小时的报警量、接警量、出车量等数据；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7）突发事件统计：需支持突发事件统计分析，应通过图形化的方式显示突发事件的类型及等级，类型应包括自然灾害、事故灾难、社会突发安全事件、社会公共卫生事件等，等级应包括一般、较大、重大、特别重大；</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（8）出车结果分析：需支持出车结果统计，应通过图形化的形式显示有效出车和无效出车的数量及占比,出车结果应包括患者拒绝入院、患者已死亡、未找到患者、已送往他院、虚假报警及其他；</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（9）送往医院排名：需支持送往医院排名统计，应通过图形化的形式显示接收到报警后送往各院的数量；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（10）常见急诊严重程度分析：需支持常见急诊程度统计，应通过图形化的方式显示报警任务的严重程度的对比分析，严重程度应划分为未知、轻度、中度、重度；</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18.区域分布平台</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各区域报警数量统计：需支持各区域报警数量统计分析，应展示各个地报警数量，若登录单位为省级单位时，报警列表应显示各市的报警数量；若登录单位为市级单位时，报警列表应显示各区/县的报警数量；若登录单位为区级和县级单位时，报警列表应显示乡镇的名称和数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（2）各区域报警数量地图展示：需支持展示地图，且应支持区域块划分和报警数量显示；</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①</w:t>
            </w:r>
            <w:r>
              <w:rPr>
                <w:rFonts w:hint="eastAsia" w:ascii="宋体" w:hAnsi="宋体" w:eastAsia="宋体" w:cs="宋体"/>
                <w:b w:val="0"/>
                <w:bCs w:val="0"/>
                <w:i w:val="0"/>
                <w:iCs w:val="0"/>
                <w:color w:val="auto"/>
                <w:kern w:val="0"/>
                <w:sz w:val="21"/>
                <w:szCs w:val="21"/>
                <w:highlight w:val="none"/>
                <w:u w:val="none"/>
                <w:lang w:val="en-US" w:eastAsia="zh-CN" w:bidi="ar"/>
              </w:rPr>
              <w:t>区域块：若报警数量范围为省级或市级时应显示该省、市下各个区域，需支持每个区域块根据报警数量的范围做色彩区分；</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default" w:ascii="宋体" w:hAnsi="宋体" w:eastAsia="宋体" w:cs="宋体"/>
                <w:b w:val="0"/>
                <w:bCs w:val="0"/>
                <w:i w:val="0"/>
                <w:iCs w:val="0"/>
                <w:color w:val="auto"/>
                <w:kern w:val="0"/>
                <w:sz w:val="21"/>
                <w:szCs w:val="21"/>
                <w:highlight w:val="none"/>
                <w:u w:val="none"/>
                <w:lang w:val="en-US" w:eastAsia="zh-CN" w:bidi="ar"/>
              </w:rPr>
              <w:t>②</w:t>
            </w:r>
            <w:r>
              <w:rPr>
                <w:rFonts w:hint="eastAsia" w:ascii="宋体" w:hAnsi="宋体" w:eastAsia="宋体" w:cs="宋体"/>
                <w:b w:val="0"/>
                <w:bCs w:val="0"/>
                <w:i w:val="0"/>
                <w:iCs w:val="0"/>
                <w:color w:val="auto"/>
                <w:kern w:val="0"/>
                <w:sz w:val="21"/>
                <w:szCs w:val="21"/>
                <w:highlight w:val="none"/>
                <w:u w:val="none"/>
                <w:lang w:val="en-US" w:eastAsia="zh-CN" w:bidi="ar"/>
              </w:rPr>
              <w:t xml:space="preserve">报警数量：需支持根据筛选条件下的报警数量做自适应区分，每个数量范围需做色彩区分； </w:t>
            </w:r>
          </w:p>
          <w:p>
            <w:pPr>
              <w:pStyle w:val="11"/>
              <w:widowControl w:val="0"/>
              <w:numPr>
                <w:ilvl w:val="0"/>
                <w:numId w:val="3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视频监控平台</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（1）报警数据分析：需支持报警数据查询，应通过车牌号进行数据查询，查询时应显示单位名称、车辆数量、车牌号、班次、状态、摄像头、历史录像等相关信息；</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（2）云台控制：需支持对摄像头进行控制，需支持转动视角、缩放画面、调节焦点及光圈等；</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（3）实时视频监控：应通过摄像头进行实时监控查看，需支持对监控画面进行录像、截图、声音开关等相关操作；</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（4）录像回放：需支持查看对应车辆的监控回放，需支持对视频进行播放、暂停、快进、后退、保存至本地等操作。</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十三、120智慧急救调度员调度质控评分系统</w:t>
            </w:r>
          </w:p>
          <w:p>
            <w:pPr>
              <w:pStyle w:val="11"/>
              <w:widowControl w:val="0"/>
              <w:numPr>
                <w:ilvl w:val="0"/>
                <w:numId w:val="31"/>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基础数据统计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院前急救数值统计：需支持系统展示院前急救急救数值数量统计以及日均值，如值班员收到用户报警的数量、接听用户报警的数量、未接用户报警任务的数量、接听任务后有调度分站或指派出车的数量、处理骚扰报警的数量、调度分站的数量、院前出车的数量、正常完成救治任务的出车数量、出车后由于异常原因取消出车任务的数量、救治病人的数量、普通、重大事件数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院前急救用时均值统计：需支持显示院前急救用时均值数据统计，如值班员接听用户报警的平均用时、受理任务的平均用时、接听任务至分站反馈的平均用时、指派出车至任务被接听的平均用时、接听任务至车辆到场现场的平均用时、现场救治病人的平均用时、车辆从现场驶向接诊医院的平均用时、急救任务的平均用时等相关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（3）医疗资源数值统计：需支持包括所选单位范围内值班员的数量、出诊医生的数量、出诊司机的数量、急救车的数量、急救分站的数量、各类设备的数量等相关数据；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来电类型统计分析：需支持通过数据图形化的方式显示值班员接听来电后设置各类来电类型的数量及占比，来电类型如紧急呼叫、骚扰报警、催车电话、内部沟通、医疗护送、咨询电话、投诉电话、误拨电话、无声电话、其他；</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（5）病症年龄分析：需支持通过数据图形化的方式显示受理患者年龄与疾病的分析图，应支持查看各类疾病症状在各个年龄段的占比；还应包括出警量、出车量等数据；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（6）应支持通过查询单位、时间范围维度进行基础数据查询；</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2.质控数据统计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质控指标统计分析：需支持以圆环图显示各类质控指标的占比；应通过以图形化的方式显示各类质控指标的占比、及时率、超时率。指标内容应包括及时接警率、及时受理率、及时调度率、及时派车率、及时出车率、及时到场率；</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（2）出车结果统计分析：需支持通过以图形化的形式显示有效出车和无效出车的数量及占比；</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无效出车统计分析：需支持以饼图的形式展示出车任务取消时，人员所选择的原因数量和占比；应通过以图形化的方式显示出车任务取消时各类原因的数量及占比，如患者拒绝入院、患者已死亡、未找到患者、已送往他院、虚假报警及其他；</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（4）常见急诊程度统计：需支持以柱状图显示常见急诊各类程度的数量统计；应通过以图形化的方式显示报警任务的严重程度的对比分析，严重程度应划分为：未知、轻度、中度、重度；</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重大事故统计分析：需支持以分段柱状图显示各类重大突发事件的数量以及对应等级的占比；应通过以图形化的方式显示突发事件的类型及等级，类型应包括自然灾害、事故灾难、社会突发安全事件、社会公共卫生事件，等级应划分为一般、较大、重大、特别重大；</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（6）24小时峰值分析：需支持通过以折线图的方式显示24小时内每个小时的报警量、接警量、出车量等数据；</w:t>
            </w:r>
          </w:p>
          <w:p>
            <w:pPr>
              <w:pStyle w:val="11"/>
              <w:widowControl w:val="0"/>
              <w:numPr>
                <w:ilvl w:val="0"/>
                <w:numId w:val="32"/>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应支持通过查询单位、时间范围维度进行质控数据查询。</w:t>
            </w:r>
          </w:p>
          <w:p>
            <w:pPr>
              <w:pStyle w:val="11"/>
              <w:widowControl w:val="0"/>
              <w:numPr>
                <w:ilvl w:val="0"/>
                <w:numId w:val="0"/>
              </w:numPr>
              <w:adjustRightInd w:val="0"/>
              <w:spacing w:after="60" w:line="360" w:lineRule="atLeast"/>
              <w:ind w:leftChars="30"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3.值班员工作量统计</w:t>
            </w:r>
          </w:p>
          <w:p>
            <w:pPr>
              <w:pStyle w:val="11"/>
              <w:widowControl w:val="0"/>
              <w:numPr>
                <w:ilvl w:val="0"/>
                <w:numId w:val="0"/>
              </w:numPr>
              <w:adjustRightInd w:val="0"/>
              <w:spacing w:after="60" w:line="360" w:lineRule="atLeast"/>
              <w:ind w:leftChars="3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（1）工作记录流水导出：需支持根据查询结果导出明细数据，导出格式应为Excel表格；</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值班员工作量查询：需提供多种查询方式，应通过单位、姓名、时间范围等方式进行查询，同时应支持由接警数、超时接听数、受理次数、超时受理次数、骚扰报警次数、指派出车次数、调度分站次数的由低到高或由高到低方式的排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值班员工作量记录详情：需支持值班员工作量信息展示,应包括接警数量、超时接警数量、受理任务数、超时受理数、骚扰报警数、通知分站数、指派出车数、平均接警时长、平均受理时长、就绪总时长、离席总时长、受理总时长、上班总时长等维度数据；</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（4）状态变化流水：需支持值班员席位状态变化明细记录，应支持查看值班员状态变化的开始时间、结束时间以及间隔时长，状态应有离线、就绪、受理中以及离席；</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（5）考勤明细流水：需支持值班员考勤明细查看，应支持查看值班员上下班打卡的流水记录，应包括序号、姓名、上班及下班时间和工时的统计；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6）历史调度分站：需支持值班员历史调度分站明细查看，应支持查看值班员在任务受理过程中调度的分站单位，且需支持查看流水号、受理人员、调度时间、调度单位、调度方式、反馈时间、有无超时调度以及调度结果的信息，应提供多种查询方式，如调度单位、调度单位以及调度结果进行查询；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4.出诊医生工作量统计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（1）工作记录流水导出：需支持出诊医生工作明细数据导出，应根据查询结果导出明细数据，导出格式应为Excel表格；</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工作量查询：需支持出诊医生工作量查询，应通过单位、姓名、时间范围的方式进行查询，同时应支持由出车次数、有效出车数、无效出车数、超时出车数、超时到场数、现场总用时、送往总用时以从高到低或从低到高的方式排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工作量记录：需支持出诊医生工作量明细记录，列表应展示出诊医生工作量信息记录，明细应包括救治病人数量、出车数量、有效出车数量、无效出车数量、超时出车数量、到场平均时长、现场平均时长、送往平均时长、任务总用时、前往总用时、现场总用时、送往总用时、上班总时长；</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（4）考勤明细：需支持出诊医生考勤明细查看，应支持查看医生上下班打卡的流水记录，应包括序号、姓名、上班及下班时间和工时的统计；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（5）历史送往医院详情：需支持查看送往医院历史明细记录，应支持查看医生以往出诊中送往医院记录，应包括车牌号、出诊医生、出诊司机、送往时间以及送往医院；</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5.出诊司机工作量统计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（1）工作记录流水导出：需支持出诊司机工作明细数据导出，应根据查询结果导出明细数据，导出格式应为Excel表格；</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工作量查询：需支持出诊司机工作量查询，如单位、姓名、时间范围等方式进行查询，同时应支持由出车次数、有效出车数、无效出车数、超时出车数、超时到场数、现场总用时、送往总用时以从高到低或从低到高的方式排序；</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工作量记录：需支持出诊司机工作量明细记录，列表应展示出诊司机工作量信息记录，明细应包括救治病人数量、出车数量、有效出车数量、无效出车数量、超时出车数量、到场平均时长、现场平均时长、送往平均时长、任务总用时、前往总用时、现场总用时、送往总用时、上班总时长；</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（4）考勤明细：需支持出诊司机考勤明细查看，应支持查看司机上下班打卡的流水记录，应包括序号、姓名、上班及下班时间和工时的统计；</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（5）历史送往医院详情：需支持查看送往医院历史明细记录，应支持查看司机以往出诊中送往医院记录，应包括车牌号、出诊医生、出诊司机、送往时间以及送往医院；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6.短信语音用量统计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需支持显示系统调度短信通知及语音通知的数量，需支持查看短信及语音的使用明细记录，应包括使用人、使用时间、使用模板等内容。 </w:t>
            </w:r>
          </w:p>
          <w:p>
            <w:pPr>
              <w:pStyle w:val="11"/>
              <w:widowControl w:val="0"/>
              <w:numPr>
                <w:ilvl w:val="0"/>
                <w:numId w:val="0"/>
              </w:numPr>
              <w:adjustRightInd w:val="0"/>
              <w:spacing w:after="60" w:line="360" w:lineRule="atLeast"/>
              <w:ind w:right="63" w:rightChars="30"/>
              <w:jc w:val="both"/>
              <w:textAlignment w:val="baseline"/>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十四、120智慧急救满意度回访系统</w:t>
            </w:r>
          </w:p>
          <w:p>
            <w:pPr>
              <w:pStyle w:val="11"/>
              <w:widowControl w:val="0"/>
              <w:numPr>
                <w:ilvl w:val="0"/>
                <w:numId w:val="33"/>
              </w:numPr>
              <w:adjustRightInd w:val="0"/>
              <w:spacing w:after="60" w:line="360" w:lineRule="atLeast"/>
              <w:ind w:left="0" w:leftChars="0" w:right="63" w:rightChars="3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 xml:space="preserve">满意度回访 </w:t>
            </w:r>
          </w:p>
          <w:p>
            <w:pPr>
              <w:pStyle w:val="11"/>
              <w:widowControl w:val="0"/>
              <w:numPr>
                <w:ilvl w:val="0"/>
                <w:numId w:val="0"/>
              </w:numPr>
              <w:adjustRightInd w:val="0"/>
              <w:spacing w:after="60" w:line="360" w:lineRule="atLeast"/>
              <w:ind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需支持满意度调研分析，调研内容应包括但不限于：整体急救满意度、调度指挥满意度、出车速度满意度、急救车况满意度、车内环境满意度、急救措施满意度、服务态度满意度、医疗收费满意度；</w:t>
            </w:r>
          </w:p>
          <w:p>
            <w:pPr>
              <w:pStyle w:val="11"/>
              <w:widowControl w:val="0"/>
              <w:numPr>
                <w:ilvl w:val="0"/>
                <w:numId w:val="33"/>
              </w:numPr>
              <w:adjustRightInd w:val="0"/>
              <w:spacing w:after="60" w:line="360" w:lineRule="atLeast"/>
              <w:ind w:left="0"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回访调研</w:t>
            </w:r>
            <w:r>
              <w:rPr>
                <w:rFonts w:hint="eastAsia" w:ascii="宋体" w:hAnsi="宋体" w:eastAsia="宋体" w:cs="宋体"/>
                <w:b w:val="0"/>
                <w:bCs w:val="0"/>
                <w:i w:val="0"/>
                <w:iCs w:val="0"/>
                <w:color w:val="auto"/>
                <w:kern w:val="0"/>
                <w:sz w:val="21"/>
                <w:szCs w:val="21"/>
                <w:highlight w:val="none"/>
                <w:u w:val="none"/>
                <w:lang w:val="en-US" w:eastAsia="zh-CN" w:bidi="ar"/>
              </w:rPr>
              <w:tab/>
            </w:r>
          </w:p>
          <w:p>
            <w:pPr>
              <w:pStyle w:val="11"/>
              <w:widowControl w:val="0"/>
              <w:numPr>
                <w:ilvl w:val="0"/>
                <w:numId w:val="0"/>
              </w:numPr>
              <w:adjustRightInd w:val="0"/>
              <w:spacing w:after="60" w:line="360" w:lineRule="atLeast"/>
              <w:ind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需支持回访调研，应支持在系统内对历史呼车人进行回访调研，需支持多种方式筛选呼车人，如通过振铃时间、流水号、来电号码、来电类型、调度分站等条件进行呼车人筛选；需支持呼车人报警信息查看，如流水号、受理人员、来电类型、调度分站等；需支持回访调研记录功能，回访人需填写相关信息、回访信息、回访人信息；需支持回访记录查看；</w:t>
            </w:r>
          </w:p>
          <w:p>
            <w:pPr>
              <w:pStyle w:val="11"/>
              <w:widowControl w:val="0"/>
              <w:numPr>
                <w:ilvl w:val="0"/>
                <w:numId w:val="33"/>
              </w:numPr>
              <w:adjustRightInd w:val="0"/>
              <w:spacing w:after="60" w:line="360" w:lineRule="atLeast"/>
              <w:ind w:left="0"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回访结果分析</w:t>
            </w:r>
            <w:r>
              <w:rPr>
                <w:rFonts w:hint="eastAsia" w:ascii="宋体" w:hAnsi="宋体" w:eastAsia="宋体" w:cs="宋体"/>
                <w:b w:val="0"/>
                <w:bCs w:val="0"/>
                <w:i w:val="0"/>
                <w:iCs w:val="0"/>
                <w:color w:val="auto"/>
                <w:kern w:val="0"/>
                <w:sz w:val="21"/>
                <w:szCs w:val="21"/>
                <w:highlight w:val="none"/>
                <w:u w:val="none"/>
                <w:lang w:val="en-US" w:eastAsia="zh-CN" w:bidi="ar"/>
              </w:rPr>
              <w:tab/>
            </w:r>
          </w:p>
          <w:p>
            <w:pPr>
              <w:pStyle w:val="11"/>
              <w:widowControl w:val="0"/>
              <w:numPr>
                <w:ilvl w:val="0"/>
                <w:numId w:val="0"/>
              </w:numPr>
              <w:adjustRightInd w:val="0"/>
              <w:spacing w:after="60" w:line="360" w:lineRule="atLeast"/>
              <w:ind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应提供回放结果分析功能，应支持以图形化的方式展示满意度调查的占比分析；</w:t>
            </w:r>
          </w:p>
          <w:p>
            <w:pPr>
              <w:pStyle w:val="11"/>
              <w:widowControl w:val="0"/>
              <w:numPr>
                <w:ilvl w:val="0"/>
                <w:numId w:val="33"/>
              </w:numPr>
              <w:adjustRightInd w:val="0"/>
              <w:spacing w:after="60" w:line="360" w:lineRule="atLeast"/>
              <w:ind w:left="0" w:leftChars="0" w:right="63" w:rightChars="30" w:firstLine="0" w:firstLineChars="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回访记录</w:t>
            </w:r>
            <w:r>
              <w:rPr>
                <w:rFonts w:hint="eastAsia" w:ascii="宋体" w:hAnsi="宋体" w:eastAsia="宋体" w:cs="宋体"/>
                <w:b w:val="0"/>
                <w:bCs w:val="0"/>
                <w:i w:val="0"/>
                <w:iCs w:val="0"/>
                <w:color w:val="auto"/>
                <w:kern w:val="0"/>
                <w:sz w:val="21"/>
                <w:szCs w:val="21"/>
                <w:highlight w:val="none"/>
                <w:u w:val="none"/>
                <w:lang w:val="en-US" w:eastAsia="zh-CN" w:bidi="ar"/>
              </w:rPr>
              <w:tab/>
            </w:r>
          </w:p>
          <w:p>
            <w:pPr>
              <w:pStyle w:val="11"/>
              <w:widowControl w:val="0"/>
              <w:numPr>
                <w:ilvl w:val="0"/>
                <w:numId w:val="0"/>
              </w:numPr>
              <w:adjustRightInd w:val="0"/>
              <w:spacing w:after="60" w:line="360" w:lineRule="atLeast"/>
              <w:ind w:leftChars="0" w:right="63" w:rightChars="30" w:firstLine="424" w:firstLineChars="2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应支持回放记录，应包括但不限于如下内容：</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（1）回访记录查询：需支持通过单位、回访时间、流水号、来电号码、来电类型、调度分站、指派出车、整体满意度等方式进行查询；</w:t>
            </w:r>
          </w:p>
          <w:p>
            <w:pPr>
              <w:pStyle w:val="11"/>
              <w:widowControl w:val="0"/>
              <w:numPr>
                <w:ilvl w:val="0"/>
                <w:numId w:val="0"/>
              </w:numPr>
              <w:adjustRightInd w:val="0"/>
              <w:spacing w:after="60" w:line="360" w:lineRule="atLeast"/>
              <w:ind w:right="63" w:rightChars="30" w:firstLine="212" w:firstLineChars="100"/>
              <w:jc w:val="both"/>
              <w:textAlignment w:val="baseline"/>
              <w:rPr>
                <w:rFonts w:hint="eastAsia"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（2）回访详情：需支持通过列表查看回访记录相关信息；</w:t>
            </w:r>
          </w:p>
          <w:p>
            <w:pPr>
              <w:pStyle w:val="11"/>
              <w:widowControl w:val="0"/>
              <w:numPr>
                <w:ilvl w:val="0"/>
                <w:numId w:val="0"/>
              </w:numPr>
              <w:adjustRightInd w:val="0"/>
              <w:spacing w:after="60" w:line="360" w:lineRule="atLeast"/>
              <w:ind w:right="63" w:rightChars="30" w:firstLine="212" w:firstLineChars="100"/>
              <w:jc w:val="both"/>
              <w:textAlignment w:val="baseline"/>
              <w:rPr>
                <w:rFonts w:hint="default" w:ascii="宋体" w:hAnsi="宋体" w:eastAsia="宋体" w:cs="宋体"/>
                <w:b w:val="0"/>
                <w:bCs w:val="0"/>
                <w:i w:val="0"/>
                <w:iCs w:val="0"/>
                <w:color w:val="auto"/>
                <w:kern w:val="0"/>
                <w:sz w:val="21"/>
                <w:szCs w:val="21"/>
                <w:highlight w:val="none"/>
                <w:u w:val="none"/>
                <w:lang w:val="en-US" w:eastAsia="zh-CN" w:bidi="ar"/>
              </w:rPr>
            </w:pPr>
            <w:r>
              <w:rPr>
                <w:rFonts w:hint="eastAsia" w:ascii="宋体" w:hAnsi="宋体" w:eastAsia="宋体" w:cs="宋体"/>
                <w:b w:val="0"/>
                <w:bCs w:val="0"/>
                <w:i w:val="0"/>
                <w:iCs w:val="0"/>
                <w:color w:val="auto"/>
                <w:kern w:val="0"/>
                <w:sz w:val="21"/>
                <w:szCs w:val="21"/>
                <w:highlight w:val="none"/>
                <w:u w:val="none"/>
                <w:lang w:val="en-US" w:eastAsia="zh-CN" w:bidi="ar"/>
              </w:rPr>
              <w:t>（3）回访记录导出：需支持根据查询结果导出明细数据，导出格式应为Excel表格。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5</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车载录像机</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【车载DVR】【4路1080PTVI】】</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视频：4路1080P，模拟高清；1路IPC1080P；</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硬盘存储：支持2块2.5英寸SATA接口的HDD/SSD硬盘，标配500硬盘；</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SD卡存储：支持1张SD卡，单卡最大可支持128G；</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通信模块：4G全网通；</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定位模块：标配GPS/BD定位；</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WIFI模块：不支持；</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电源输入：DC+8V～+36V；</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整机尺寸：206mm（宽）×225.4mm（深）×60.1mm（高）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6</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车载半球摄像机</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编码：H.265</w:t>
            </w:r>
            <w:r>
              <w:rPr>
                <w:rFonts w:hint="eastAsia"/>
                <w:color w:val="auto"/>
                <w:highlight w:val="none"/>
                <w:vertAlign w:val="baseline"/>
                <w:lang w:val="en-US" w:eastAsia="zh-CN"/>
              </w:rPr>
              <w:t>；</w:t>
            </w:r>
            <w:r>
              <w:rPr>
                <w:rFonts w:hint="default"/>
                <w:color w:val="auto"/>
                <w:highlight w:val="none"/>
                <w:vertAlign w:val="baseline"/>
                <w:lang w:val="en-US" w:eastAsia="zh-CN"/>
              </w:rPr>
              <w:t>像素：500W</w:t>
            </w:r>
            <w:r>
              <w:rPr>
                <w:rFonts w:hint="eastAsia"/>
                <w:color w:val="auto"/>
                <w:highlight w:val="none"/>
                <w:vertAlign w:val="baseline"/>
                <w:lang w:val="en-US" w:eastAsia="zh-CN"/>
              </w:rPr>
              <w:t>；</w:t>
            </w:r>
            <w:r>
              <w:rPr>
                <w:rFonts w:hint="default"/>
                <w:color w:val="auto"/>
                <w:highlight w:val="none"/>
                <w:vertAlign w:val="baseline"/>
                <w:lang w:val="en-US" w:eastAsia="zh-CN"/>
              </w:rPr>
              <w:t>焦距：4mm</w:t>
            </w:r>
            <w:r>
              <w:rPr>
                <w:rFonts w:hint="eastAsia"/>
                <w:color w:val="auto"/>
                <w:highlight w:val="none"/>
                <w:vertAlign w:val="baseline"/>
                <w:lang w:val="en-US" w:eastAsia="zh-CN"/>
              </w:rPr>
              <w:t>；</w:t>
            </w:r>
            <w:r>
              <w:rPr>
                <w:rFonts w:hint="default"/>
                <w:color w:val="auto"/>
                <w:highlight w:val="none"/>
                <w:vertAlign w:val="baseline"/>
                <w:lang w:val="en-US" w:eastAsia="zh-CN"/>
              </w:rPr>
              <w:t>红外夜视距离：30m</w:t>
            </w:r>
            <w:r>
              <w:rPr>
                <w:rFonts w:hint="eastAsia"/>
                <w:color w:val="auto"/>
                <w:highlight w:val="none"/>
                <w:vertAlign w:val="baseline"/>
                <w:lang w:val="en-US" w:eastAsia="zh-CN"/>
              </w:rPr>
              <w:t>；</w:t>
            </w:r>
            <w:r>
              <w:rPr>
                <w:rFonts w:hint="default"/>
                <w:color w:val="auto"/>
                <w:highlight w:val="none"/>
                <w:vertAlign w:val="baseline"/>
                <w:lang w:val="en-US" w:eastAsia="zh-CN"/>
              </w:rPr>
              <w:t>变倍变焦：不支持变倍变焦</w:t>
            </w:r>
            <w:r>
              <w:rPr>
                <w:rFonts w:hint="eastAsia"/>
                <w:color w:val="auto"/>
                <w:highlight w:val="none"/>
                <w:vertAlign w:val="baseline"/>
                <w:lang w:val="en-US" w:eastAsia="zh-CN"/>
              </w:rPr>
              <w:t>；</w:t>
            </w:r>
            <w:r>
              <w:rPr>
                <w:rFonts w:hint="default"/>
                <w:color w:val="auto"/>
                <w:highlight w:val="none"/>
                <w:vertAlign w:val="baseline"/>
                <w:lang w:val="en-US" w:eastAsia="zh-CN"/>
              </w:rPr>
              <w:t>供电方式：网线供电</w:t>
            </w:r>
            <w:r>
              <w:rPr>
                <w:rFonts w:hint="eastAsia"/>
                <w:color w:val="auto"/>
                <w:highlight w:val="none"/>
                <w:vertAlign w:val="baseline"/>
                <w:lang w:val="en-US" w:eastAsia="zh-CN"/>
              </w:rPr>
              <w:t>；</w:t>
            </w:r>
            <w:r>
              <w:rPr>
                <w:rFonts w:hint="default"/>
                <w:color w:val="auto"/>
                <w:highlight w:val="none"/>
                <w:vertAlign w:val="baseline"/>
                <w:lang w:val="en-US" w:eastAsia="zh-CN"/>
              </w:rPr>
              <w:t>夜视类型：星光夜视</w:t>
            </w:r>
            <w:r>
              <w:rPr>
                <w:rFonts w:hint="eastAsia"/>
                <w:color w:val="auto"/>
                <w:highlight w:val="none"/>
                <w:vertAlign w:val="baseline"/>
                <w:lang w:val="en-US" w:eastAsia="zh-CN"/>
              </w:rPr>
              <w:t>；</w:t>
            </w:r>
            <w:r>
              <w:rPr>
                <w:rFonts w:hint="default"/>
                <w:color w:val="auto"/>
                <w:highlight w:val="none"/>
                <w:vertAlign w:val="baseline"/>
                <w:lang w:val="en-US" w:eastAsia="zh-CN"/>
              </w:rPr>
              <w:t>探头个数：1个</w:t>
            </w:r>
            <w:r>
              <w:rPr>
                <w:rFonts w:hint="eastAsia"/>
                <w:color w:val="auto"/>
                <w:highlight w:val="none"/>
                <w:vertAlign w:val="baseline"/>
                <w:lang w:val="en-US" w:eastAsia="zh-CN"/>
              </w:rPr>
              <w:t>；</w:t>
            </w:r>
            <w:r>
              <w:rPr>
                <w:rFonts w:hint="default"/>
                <w:color w:val="auto"/>
                <w:highlight w:val="none"/>
                <w:vertAlign w:val="baseline"/>
                <w:lang w:val="en-US" w:eastAsia="zh-CN"/>
              </w:rPr>
              <w:t>智能识别：移动识别</w:t>
            </w:r>
            <w:r>
              <w:rPr>
                <w:rFonts w:hint="eastAsia"/>
                <w:color w:val="auto"/>
                <w:highlight w:val="none"/>
                <w:vertAlign w:val="baseline"/>
                <w:lang w:val="en-US" w:eastAsia="zh-CN"/>
              </w:rPr>
              <w:t>；</w:t>
            </w:r>
            <w:r>
              <w:rPr>
                <w:rFonts w:hint="default"/>
                <w:color w:val="auto"/>
                <w:highlight w:val="none"/>
                <w:vertAlign w:val="baseline"/>
                <w:lang w:val="en-US" w:eastAsia="zh-CN"/>
              </w:rPr>
              <w:t>适用面积：40-80㎡</w:t>
            </w:r>
            <w:r>
              <w:rPr>
                <w:rFonts w:hint="eastAsia"/>
                <w:color w:val="auto"/>
                <w:highlight w:val="none"/>
                <w:vertAlign w:val="baseline"/>
                <w:lang w:val="en-US" w:eastAsia="zh-CN"/>
              </w:rPr>
              <w:t>；</w:t>
            </w:r>
            <w:r>
              <w:rPr>
                <w:rFonts w:hint="default"/>
                <w:color w:val="auto"/>
                <w:highlight w:val="none"/>
                <w:vertAlign w:val="baseline"/>
                <w:lang w:val="en-US" w:eastAsia="zh-CN"/>
              </w:rPr>
              <w:t>监控类型：半球监控</w:t>
            </w:r>
            <w:r>
              <w:rPr>
                <w:rFonts w:hint="eastAsia"/>
                <w:color w:val="auto"/>
                <w:highlight w:val="none"/>
                <w:vertAlign w:val="baseline"/>
                <w:lang w:val="en-US" w:eastAsia="zh-CN"/>
              </w:rPr>
              <w:t>；</w:t>
            </w:r>
            <w:r>
              <w:rPr>
                <w:rFonts w:hint="default"/>
                <w:color w:val="auto"/>
                <w:highlight w:val="none"/>
                <w:vertAlign w:val="baseline"/>
                <w:lang w:val="en-US" w:eastAsia="zh-CN"/>
              </w:rPr>
              <w:t>语音类型：语音对讲</w:t>
            </w:r>
            <w:r>
              <w:rPr>
                <w:rFonts w:hint="eastAsia"/>
                <w:color w:val="auto"/>
                <w:highlight w:val="none"/>
                <w:vertAlign w:val="baseline"/>
                <w:lang w:val="en-US" w:eastAsia="zh-CN"/>
              </w:rPr>
              <w:t>；</w:t>
            </w:r>
            <w:r>
              <w:rPr>
                <w:rFonts w:hint="default"/>
                <w:color w:val="auto"/>
                <w:highlight w:val="none"/>
                <w:vertAlign w:val="baseline"/>
                <w:lang w:val="en-US" w:eastAsia="zh-CN"/>
              </w:rPr>
              <w:t>云存安全协议：ISO27001</w:t>
            </w:r>
            <w:r>
              <w:rPr>
                <w:rFonts w:hint="eastAsia"/>
                <w:color w:val="auto"/>
                <w:highlight w:val="none"/>
                <w:vertAlign w:val="baseline"/>
                <w:lang w:val="en-US" w:eastAsia="zh-CN"/>
              </w:rPr>
              <w:t>；</w:t>
            </w:r>
            <w:r>
              <w:rPr>
                <w:rFonts w:hint="default"/>
                <w:color w:val="auto"/>
                <w:highlight w:val="none"/>
                <w:vertAlign w:val="baseline"/>
                <w:lang w:val="en-US" w:eastAsia="zh-CN"/>
              </w:rPr>
              <w:t>防水等级：IP67</w:t>
            </w:r>
            <w:r>
              <w:rPr>
                <w:rFonts w:hint="eastAsia"/>
                <w:color w:val="auto"/>
                <w:highlight w:val="none"/>
                <w:vertAlign w:val="baseline"/>
                <w:lang w:val="en-US" w:eastAsia="zh-CN"/>
              </w:rPr>
              <w:t>；</w:t>
            </w:r>
            <w:r>
              <w:rPr>
                <w:rFonts w:hint="default"/>
                <w:color w:val="auto"/>
                <w:highlight w:val="none"/>
                <w:vertAlign w:val="baseline"/>
                <w:lang w:val="en-US" w:eastAsia="zh-CN"/>
              </w:rPr>
              <w:t>供网方式：网线</w:t>
            </w:r>
            <w:r>
              <w:rPr>
                <w:rFonts w:hint="eastAsia"/>
                <w:color w:val="auto"/>
                <w:highlight w:val="none"/>
                <w:vertAlign w:val="baseline"/>
                <w:lang w:val="en-US" w:eastAsia="zh-CN"/>
              </w:rPr>
              <w:t>；</w:t>
            </w:r>
            <w:r>
              <w:rPr>
                <w:rFonts w:hint="default"/>
                <w:color w:val="auto"/>
                <w:highlight w:val="none"/>
                <w:vertAlign w:val="baseline"/>
                <w:lang w:val="en-US" w:eastAsia="zh-CN"/>
              </w:rPr>
              <w:t>警戒方式：手机推送；存储方式：硬盘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7</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硬盘录像机存储硬盘</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尺寸：2.5寸；重量：</w:t>
            </w:r>
            <w:r>
              <w:rPr>
                <w:rFonts w:hint="eastAsia"/>
                <w:color w:val="auto"/>
                <w:highlight w:val="none"/>
                <w:vertAlign w:val="baseline"/>
                <w:lang w:val="en-US" w:eastAsia="zh-CN"/>
              </w:rPr>
              <w:t>约</w:t>
            </w:r>
            <w:r>
              <w:rPr>
                <w:rFonts w:hint="default"/>
                <w:color w:val="auto"/>
                <w:highlight w:val="none"/>
                <w:vertAlign w:val="baseline"/>
                <w:lang w:val="en-US" w:eastAsia="zh-CN"/>
              </w:rPr>
              <w:t>500.00g；转速：5400rpm；容量：500GB</w:t>
            </w:r>
            <w:r>
              <w:rPr>
                <w:rFonts w:hint="eastAsia"/>
                <w:color w:val="auto"/>
                <w:highlight w:val="none"/>
                <w:vertAlign w:val="baseline"/>
                <w:lang w:val="en-US" w:eastAsia="zh-CN"/>
              </w:rPr>
              <w:t>；</w:t>
            </w:r>
            <w:r>
              <w:rPr>
                <w:rFonts w:hint="default"/>
                <w:color w:val="auto"/>
                <w:highlight w:val="none"/>
                <w:vertAlign w:val="baseline"/>
                <w:lang w:val="en-US" w:eastAsia="zh-CN"/>
              </w:rPr>
              <w:t>缓存：128MB</w:t>
            </w:r>
            <w:r>
              <w:rPr>
                <w:rFonts w:hint="eastAsia"/>
                <w:color w:val="auto"/>
                <w:highlight w:val="none"/>
                <w:vertAlign w:val="baseline"/>
                <w:lang w:val="en-US" w:eastAsia="zh-CN"/>
              </w:rPr>
              <w:t>；</w:t>
            </w:r>
            <w:r>
              <w:rPr>
                <w:rFonts w:hint="default"/>
                <w:color w:val="auto"/>
                <w:highlight w:val="none"/>
                <w:vertAlign w:val="baseline"/>
                <w:lang w:val="en-US" w:eastAsia="zh-CN"/>
              </w:rPr>
              <w:t>接口：SATA接口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8</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车载终端</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实时上传车辆相关数据。后台页面实时展示当前车辆的相关数据。数据包括：总里程、总油量、行程里程、行程油量、累计里程、累计油耗、瞬间油耗、百公里油耗、转速、车速、电压、水温、进气压力、进气流量、喷油量、机油温度、机油压力、燃油温度、发动机进气温度、扭矩、发动机负荷、油箱液位盖度、离合器负荷、空调开启状态、档位、安全带状态、离合状态、脚刹状态、手刹状态、SCR状态、发动机运行时间、车辆总重量、故障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9</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数字中继网关</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SIP v2.0 (UDP/TCP)</w:t>
            </w:r>
            <w:r>
              <w:rPr>
                <w:rFonts w:hint="eastAsia"/>
                <w:color w:val="auto"/>
                <w:highlight w:val="none"/>
                <w:vertAlign w:val="baseline"/>
                <w:lang w:val="en-US" w:eastAsia="zh-CN"/>
              </w:rPr>
              <w:t>，</w:t>
            </w:r>
            <w:r>
              <w:rPr>
                <w:rFonts w:hint="default"/>
                <w:color w:val="auto"/>
                <w:highlight w:val="none"/>
                <w:vertAlign w:val="baseline"/>
                <w:lang w:val="en-US" w:eastAsia="zh-CN"/>
              </w:rPr>
              <w:t>RFC3261</w:t>
            </w:r>
            <w:r>
              <w:rPr>
                <w:rFonts w:hint="eastAsia"/>
                <w:color w:val="auto"/>
                <w:highlight w:val="none"/>
                <w:vertAlign w:val="baseline"/>
                <w:lang w:val="en-US" w:eastAsia="zh-CN"/>
              </w:rPr>
              <w:t>，</w:t>
            </w:r>
            <w:r>
              <w:rPr>
                <w:rFonts w:hint="default"/>
                <w:color w:val="auto"/>
                <w:highlight w:val="none"/>
                <w:vertAlign w:val="baseline"/>
                <w:lang w:val="en-US" w:eastAsia="zh-CN"/>
              </w:rPr>
              <w:t>SDP</w:t>
            </w:r>
            <w:r>
              <w:rPr>
                <w:rFonts w:hint="eastAsia"/>
                <w:color w:val="auto"/>
                <w:highlight w:val="none"/>
                <w:vertAlign w:val="baseline"/>
                <w:lang w:val="en-US" w:eastAsia="zh-CN"/>
              </w:rPr>
              <w:t>，</w:t>
            </w:r>
            <w:r>
              <w:rPr>
                <w:rFonts w:hint="default"/>
                <w:color w:val="auto"/>
                <w:highlight w:val="none"/>
                <w:vertAlign w:val="baseline"/>
                <w:lang w:val="en-US" w:eastAsia="zh-CN"/>
              </w:rPr>
              <w:t>RTP(RFC2833)</w:t>
            </w:r>
            <w:r>
              <w:rPr>
                <w:rFonts w:hint="eastAsia"/>
                <w:color w:val="auto"/>
                <w:highlight w:val="none"/>
                <w:vertAlign w:val="baseline"/>
                <w:lang w:val="en-US" w:eastAsia="zh-CN"/>
              </w:rPr>
              <w:t>，</w:t>
            </w:r>
            <w:r>
              <w:rPr>
                <w:rFonts w:hint="default"/>
                <w:color w:val="auto"/>
                <w:highlight w:val="none"/>
                <w:vertAlign w:val="baseline"/>
                <w:lang w:val="en-US" w:eastAsia="zh-CN"/>
              </w:rPr>
              <w:t>RFC3262</w:t>
            </w:r>
            <w:r>
              <w:rPr>
                <w:rFonts w:hint="eastAsia"/>
                <w:color w:val="auto"/>
                <w:highlight w:val="none"/>
                <w:vertAlign w:val="baseline"/>
                <w:lang w:val="en-US" w:eastAsia="zh-CN"/>
              </w:rPr>
              <w:t>，</w:t>
            </w:r>
            <w:r>
              <w:rPr>
                <w:rFonts w:hint="default"/>
                <w:color w:val="auto"/>
                <w:highlight w:val="none"/>
                <w:vertAlign w:val="baseline"/>
                <w:lang w:val="en-US" w:eastAsia="zh-CN"/>
              </w:rPr>
              <w:t>PRI/SS7/R2</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23B+D(T1)</w:t>
            </w:r>
            <w:r>
              <w:rPr>
                <w:rFonts w:hint="eastAsia"/>
                <w:color w:val="auto"/>
                <w:highlight w:val="none"/>
                <w:vertAlign w:val="baseline"/>
                <w:lang w:val="en-US" w:eastAsia="zh-CN"/>
              </w:rPr>
              <w:t>，</w:t>
            </w:r>
            <w:r>
              <w:rPr>
                <w:rFonts w:hint="default"/>
                <w:color w:val="auto"/>
                <w:highlight w:val="none"/>
                <w:vertAlign w:val="baseline"/>
                <w:lang w:val="en-US" w:eastAsia="zh-CN"/>
              </w:rPr>
              <w:t>30B+D(E1)</w:t>
            </w:r>
            <w:r>
              <w:rPr>
                <w:rFonts w:hint="eastAsia"/>
                <w:color w:val="auto"/>
                <w:highlight w:val="none"/>
                <w:vertAlign w:val="baseline"/>
                <w:lang w:val="en-US" w:eastAsia="zh-CN"/>
              </w:rPr>
              <w:t>，</w:t>
            </w:r>
            <w:r>
              <w:rPr>
                <w:rFonts w:hint="default"/>
                <w:color w:val="auto"/>
                <w:highlight w:val="none"/>
                <w:vertAlign w:val="baseline"/>
                <w:lang w:val="en-US" w:eastAsia="zh-CN"/>
              </w:rPr>
              <w:t xml:space="preserve">NT或TE可配置                 </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语音编码：G.711a/μ law</w:t>
            </w:r>
            <w:r>
              <w:rPr>
                <w:rFonts w:hint="eastAsia"/>
                <w:color w:val="auto"/>
                <w:highlight w:val="none"/>
                <w:vertAlign w:val="baseline"/>
                <w:lang w:val="en-US" w:eastAsia="zh-CN"/>
              </w:rPr>
              <w:t>，</w:t>
            </w:r>
            <w:r>
              <w:rPr>
                <w:rFonts w:hint="default"/>
                <w:color w:val="auto"/>
                <w:highlight w:val="none"/>
                <w:vertAlign w:val="baseline"/>
                <w:lang w:val="en-US" w:eastAsia="zh-CN"/>
              </w:rPr>
              <w:t>G.723.1</w:t>
            </w:r>
            <w:r>
              <w:rPr>
                <w:rFonts w:hint="eastAsia"/>
                <w:color w:val="auto"/>
                <w:highlight w:val="none"/>
                <w:vertAlign w:val="baseline"/>
                <w:lang w:val="en-US" w:eastAsia="zh-CN"/>
              </w:rPr>
              <w:t>，</w:t>
            </w:r>
            <w:r>
              <w:rPr>
                <w:rFonts w:hint="default"/>
                <w:color w:val="auto"/>
                <w:highlight w:val="none"/>
                <w:vertAlign w:val="baseline"/>
                <w:lang w:val="en-US" w:eastAsia="zh-CN"/>
              </w:rPr>
              <w:t>G.729A/B</w:t>
            </w:r>
            <w:r>
              <w:rPr>
                <w:rFonts w:hint="eastAsia"/>
                <w:color w:val="auto"/>
                <w:highlight w:val="none"/>
                <w:vertAlign w:val="baseline"/>
                <w:lang w:val="en-US" w:eastAsia="zh-CN"/>
              </w:rPr>
              <w:t>，</w:t>
            </w:r>
            <w:r>
              <w:rPr>
                <w:rFonts w:hint="default"/>
                <w:color w:val="auto"/>
                <w:highlight w:val="none"/>
                <w:vertAlign w:val="baseline"/>
                <w:lang w:val="en-US" w:eastAsia="zh-CN"/>
              </w:rPr>
              <w:t>iLBC</w:t>
            </w:r>
            <w:r>
              <w:rPr>
                <w:rFonts w:hint="eastAsia"/>
                <w:color w:val="auto"/>
                <w:highlight w:val="none"/>
                <w:vertAlign w:val="baseline"/>
                <w:lang w:val="en-US" w:eastAsia="zh-CN"/>
              </w:rPr>
              <w:t>，</w:t>
            </w:r>
            <w:r>
              <w:rPr>
                <w:rFonts w:hint="default"/>
                <w:color w:val="auto"/>
                <w:highlight w:val="none"/>
                <w:vertAlign w:val="baseline"/>
                <w:lang w:val="en-US" w:eastAsia="zh-CN"/>
              </w:rPr>
              <w:t>AMR</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DTMF模式：RFC2833/SIP Info/In-band</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最大支持60路并发</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 xml:space="preserve">回声消除(G.168)，最大128ms                     </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呼叫路由和号码变换</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语音和信令加密功能（VOS RC4)</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冗余路由备份/选择</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IP 访问列表防火墙功能</w:t>
            </w:r>
          </w:p>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基于Web的可视化配置及维护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10</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IP耳麦话机</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需配备高清哈曼扬声器，需支持宽带音频解码G.722和Opus；</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需配备2.8英寸320x240分辨率彩色显示屏；</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需配备2.4英寸320x240分辨率彩色副屏；</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应带有12条SIP线路；</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需具有30个可编程按键，3个带LED指示灯线路键；</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千兆双网口，需支持PoE供电；</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需支持通过蓝牙dongle连接蓝牙；</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需支持EHS无线耳机；</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需支持通过WiFi dongle连接WiFi；</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需支持IPv4和IPv6协议；</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需支持屏幕及网页多语言界面；</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需支持LDAP，XML电话本；</w:t>
            </w:r>
          </w:p>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需支持桌面立式/壁挂（壁挂需另外购买挂墙配件）；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11</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话务耳机</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需具有降噪、抗拉伸、可弯曲、滤杂音等功能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12</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耳麦培训线</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应采用标准Y型培训线，一分二式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13</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耳麦连接线</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应采用标准3.5mm接口连接线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14</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耳麦连接线</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应采用标准RJ9接口连接线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15</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49寸拼接屏</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图像长宽比：1.尺寸49英寸，物理拼接缝隙≤3.5mm;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单元外观尺寸：随型号确定</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亮度 ≥500cd/m2；对比度 ≥</w:t>
            </w:r>
            <w:r>
              <w:rPr>
                <w:rFonts w:hint="eastAsia" w:ascii="宋体" w:hAnsi="宋体" w:eastAsia="宋体" w:cs="宋体"/>
                <w:i w:val="0"/>
                <w:iCs w:val="0"/>
                <w:color w:val="auto"/>
                <w:kern w:val="0"/>
                <w:sz w:val="21"/>
                <w:szCs w:val="21"/>
                <w:highlight w:val="none"/>
                <w:u w:val="none"/>
                <w:lang w:val="en-US" w:eastAsia="zh-CN" w:bidi="ar"/>
              </w:rPr>
              <w:t>4</w:t>
            </w:r>
            <w:r>
              <w:rPr>
                <w:rFonts w:hint="eastAsia" w:ascii="宋体" w:hAnsi="宋体" w:cs="宋体"/>
                <w:i w:val="0"/>
                <w:iCs w:val="0"/>
                <w:color w:val="auto"/>
                <w:kern w:val="0"/>
                <w:sz w:val="21"/>
                <w:szCs w:val="21"/>
                <w:highlight w:val="none"/>
                <w:u w:val="none"/>
                <w:lang w:val="en-US" w:eastAsia="zh-CN" w:bidi="ar"/>
              </w:rPr>
              <w:t>0</w:t>
            </w:r>
            <w:r>
              <w:rPr>
                <w:rFonts w:hint="eastAsia" w:ascii="宋体" w:hAnsi="宋体" w:eastAsia="宋体" w:cs="宋体"/>
                <w:i w:val="0"/>
                <w:iCs w:val="0"/>
                <w:color w:val="auto"/>
                <w:kern w:val="0"/>
                <w:sz w:val="21"/>
                <w:szCs w:val="21"/>
                <w:highlight w:val="none"/>
                <w:u w:val="none"/>
                <w:lang w:val="en-US" w:eastAsia="zh-CN" w:bidi="ar"/>
              </w:rPr>
              <w:t>00:</w:t>
            </w:r>
            <w:r>
              <w:rPr>
                <w:rFonts w:hint="eastAsia" w:ascii="宋体" w:hAnsi="宋体" w:eastAsia="宋体" w:cs="宋体"/>
                <w:i w:val="0"/>
                <w:iCs w:val="0"/>
                <w:color w:val="auto"/>
                <w:kern w:val="0"/>
                <w:sz w:val="21"/>
                <w:szCs w:val="21"/>
                <w:highlight w:val="none"/>
                <w:u w:val="none"/>
                <w:lang w:val="en-US" w:eastAsia="zh-CN" w:bidi="ar"/>
              </w:rPr>
              <w:t>1；显示模式16:9；</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上下左右可视角度178度   分辨率1920×1080（FULL HD）且向下兼容；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响应时间≤8ms；  外壳材质：强固型金属机壳，防静电、防磁场、防强电场干扰；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重量≤30KG；   电源：100VAC～240VAC(50/60Hz)；  最大功耗≤30W；</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工作环境温度：0℃-60℃；  工作环境相对湿度：10%-90%；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寿命≥60000小时；16:9   响应时间：8ms  色彩：8BIT,16.7M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亮度：700cd/m2  对比度：3500:1  可视角度：178度  拼缝：3.5mm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最大分辨率：1920*1080   信号接口：HDMI×2/VGA×1/AV×1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16</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拼接盒</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和拼接屏配套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17</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支架</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均采用SPCC优质冷轧钢板保障质量的源头；表面采用静电喷塑工艺，喷塑固化温度180-210度，涂层厚度80-100微米，对高防腐要求产品还可选择阴极电泳底漆工艺，防腐耐锈</w:t>
            </w:r>
            <w:r>
              <w:rPr>
                <w:rFonts w:hint="eastAsia" w:ascii="宋体" w:hAnsi="宋体" w:cs="宋体"/>
                <w:i w:val="0"/>
                <w:iCs w:val="0"/>
                <w:color w:val="auto"/>
                <w:kern w:val="0"/>
                <w:sz w:val="21"/>
                <w:szCs w:val="21"/>
                <w:highlight w:val="none"/>
                <w:u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18</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拼接处理器</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 xml:space="preserve">4路HDMI输入，12路HDMI输出（带RS2S2串口），面板控制，遥控控制                                                    分辨率支持：1920X1080P60 每路输入都可在屏幕上的任意位置进行大小调整和定位                                               </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HDMI接口：HD-19     控制接口：RS232(DB-9)</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在拼接屏上，所有信号窗口均可以任意漫游、叠加、缩放（无缩放比的限制）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19</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视频线材</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高清HDMI/DVI线材5-15米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20</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插线板</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12" w:lineRule="auto"/>
              <w:jc w:val="left"/>
              <w:textAlignment w:val="center"/>
              <w:rPr>
                <w:rFonts w:hint="default" w:eastAsia="宋体"/>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插线板</w:t>
            </w:r>
            <w:r>
              <w:rPr>
                <w:rFonts w:hint="eastAsia" w:ascii="宋体" w:hAnsi="宋体" w:cs="宋体"/>
                <w:i w:val="0"/>
                <w:iCs w:val="0"/>
                <w:color w:val="auto"/>
                <w:kern w:val="0"/>
                <w:sz w:val="21"/>
                <w:szCs w:val="21"/>
                <w:highlight w:val="none"/>
                <w:u w:val="none"/>
                <w:lang w:val="en-US" w:eastAsia="zh-CN" w:bidi="ar"/>
              </w:rPr>
              <w:t>、绿联线</w:t>
            </w:r>
            <w:r>
              <w:rPr>
                <w:rFonts w:hint="eastAsia"/>
                <w:color w:val="auto"/>
                <w:highlight w:val="none"/>
                <w:lang w:eastAsia="zh-CN"/>
              </w:rPr>
              <w:t>、</w:t>
            </w:r>
            <w:r>
              <w:rPr>
                <w:rFonts w:hint="eastAsia"/>
                <w:color w:val="auto"/>
                <w:highlight w:val="none"/>
                <w:lang w:val="en-US" w:eastAsia="zh-CN"/>
              </w:rPr>
              <w:t>五孔。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21</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电源线及管材</w:t>
            </w:r>
          </w:p>
        </w:tc>
        <w:tc>
          <w:tcPr>
            <w:tcW w:w="7466" w:type="dxa"/>
          </w:tcPr>
          <w:p>
            <w:pPr>
              <w:pStyle w:val="11"/>
              <w:numPr>
                <w:ilvl w:val="0"/>
                <w:numId w:val="0"/>
              </w:numPr>
              <w:ind w:right="63" w:rightChars="30"/>
              <w:jc w:val="both"/>
              <w:rPr>
                <w:rFonts w:hint="default"/>
                <w:color w:val="auto"/>
                <w:highlight w:val="none"/>
                <w:vertAlign w:val="baseline"/>
                <w:lang w:val="en-US" w:eastAsia="zh-CN"/>
              </w:rPr>
            </w:pPr>
            <w:r>
              <w:rPr>
                <w:rFonts w:hint="default"/>
                <w:color w:val="auto"/>
                <w:highlight w:val="none"/>
                <w:vertAlign w:val="baseline"/>
                <w:lang w:val="en-US" w:eastAsia="zh-CN"/>
              </w:rPr>
              <w:t>电源线，配件管材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22</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蓝牙信号基站</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★定位精度可达0.3~1m，亚米级高精度定位</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★支持菊花链式双网口串行链接，布线节约部署便利</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★终端系统兼容 iOS/Android、支持APP/小程序，应用延展性强</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★可内置4G及Wi-Fi模块，适用多种通信需求</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★定位技术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蓝牙AOA，精度0.3 ~ 1.0m   最大定位半径：10m（亚米级）  协议标准：Bluetooth 4.2及以上</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★兼容性</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终端系统兼容 iOS/Android  终端应用程序兼容APP/小程序</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★网络接口</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10/100/1000M RJ45，可内置4G/Wi-Fi模块</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★接口形式</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菊花链一进一出，双网口串行链接  天线类型：内置全向天线  频段范围：2.4GHz ~ 2.485GHz</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升级方式 OTA    尺寸&lt; 230mm×230mm×35mm    安装方式：吸顶、吊装，最大安装高度20m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供电接口：IEEE 802.3af POE 48V   额定功耗：2W</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工作温度：-20 ~ 70℃    存储温度：-40 ~ 85℃    工作湿度：10% ~ 90%无凝结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存储湿度：5% ~ 95%无凝结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★认证支持  SRRC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23</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电子腕带</w:t>
            </w:r>
          </w:p>
        </w:tc>
        <w:tc>
          <w:tcPr>
            <w:tcW w:w="7466"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★高精度定位，定位精度可达0.3~1m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★亲肤材质腕带，佩戴感受高度舒适</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★波纹状工业设计，契合工业定位场景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★IP65防水等级，满足工业多水、潮湿环境使用    频段范围：2.4GHz ~ 2.485GHz</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★天线类型：内置全向天线</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★测距精度：0.3 ~ 1m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★刷新率：0.1Hz ~ 30Hz，可调</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★升级方式：OTA</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产品编号：全球唯一固化ID，不可更改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★状态指示：LED闪烁/振动/蜂鸣</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★状态监测：SOS按键检测/电量检测</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★状态报警：SOS报警/电量报警</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★节电方式：支持休眠方式   尺寸：&lt; 55mm×40mm×17mm   重量：40g</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★防护等级：IP65</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佩戴方式：腕带佩戴</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★续航时间：4 ~ 6个月   待机功耗：10uA   电池电量：600mAh/可充电锂电池</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★充电接口：磁吸式   充电电压：5±0.1V，1000mA   充电时间：4 ~ 6小时   充电次数：500次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工作温度：-20 ~ 70℃   存储温度：-40 ~ 75℃   工作湿度：10% ~ 90%无凝结   存储湿度：5% ~ 95%无凝结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★快速发卡   内置RFID标签，支持ISO14443A协议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★认证支持：SRRC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24</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color w:val="auto"/>
                <w:highlight w:val="none"/>
                <w:lang w:val="en-US" w:eastAsia="zh-CN"/>
              </w:rPr>
              <w:t>平板</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★CPU： 2.0GHz 八核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RAM≥3GB ，ROM≥32GB</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WLAN: 2.4G/5G双频，支持802.11 a/b/g/n/ac/d/e/h/i/k/r/v, IPV4,IPV6;</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WWAN：支持4G全网通</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★显示屏：8英寸</w:t>
            </w:r>
            <w:r>
              <w:rPr>
                <w:rFonts w:hint="eastAsia" w:ascii="宋体" w:hAnsi="宋体" w:cs="宋体"/>
                <w:i w:val="0"/>
                <w:iCs w:val="0"/>
                <w:color w:val="auto"/>
                <w:kern w:val="0"/>
                <w:sz w:val="21"/>
                <w:szCs w:val="21"/>
                <w:highlight w:val="none"/>
                <w:u w:val="none"/>
                <w:lang w:val="en-US" w:eastAsia="zh-CN" w:bidi="ar"/>
              </w:rPr>
              <w:t>-10英寸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分辨率：1920*1200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触控屏：支持多点触控,支持手套和湿手操作</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整机尺寸：长度&lt;251mm，宽度&lt;153mm,厚度&lt;16mm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整机重量：≤700g</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后置摄像头：1300万像素彩色摄像头，支持自动对焦、闪光灯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前置摄像头：800万像素彩色摄像头</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★跌落规格：可承受多次1.5米高度跌落至混凝土地面的冲击</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★防护等级：IP65，达到密封标准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操作系统：Android 7.1 / Android 9.0；支持 Soti MobiControl, SafeUEM等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蓝牙：蓝牙 4.2/4.1+HS/4.0/3.0+HS/2.1+EDR</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电池容量：可充电锂聚合物电池8000mAh</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★机器按键：1个正面实体键，1个电源键，1个侧面音量键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25</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PDA</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操作系统</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Android 9（可升级安卓10/安卓11）</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CPU平台</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 MT8768芯片  8核，12nm，主频2.0 GHz</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RAM内存   4GB      Flash存储   64GB</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物理规格</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重量  226g(include battery)</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尺寸 – 最大 (长x宽x厚度)  158mm×76.2mm×12.6mm</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主要规格</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显示屏   5.0寸，IPS，HD 1280*720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触摸屏   GFF电容屏，多点触摸</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显示保护  高强度玻璃，硬度&gt;7H</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SIM卡槽   Micro SIM, 单卡槽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SD卡槽    MicroSD, 可选最大64GB</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主摄像头  自动对焦 1300万像素,闪光灯</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供电与充电  USB 充电   USB 2.0 Type-C 充电，数据传输</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外部接口  2接触式充电点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适配器    5V2A适配器 100~240V AC 50/60HZ，插头: 国标</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性能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电池容量  4000 mAh</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待机时间  25 天</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充电时间  3小时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工作时长  15小时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电池寿命  500 充放电&gt; 80%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Sensors</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重力传感器G-Sensor（2D/3D)</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近感Proximity sensor</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光感Light sensor</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霍尔传感器Hall (Magnet sensor)</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电子指南针E-Compass</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状态灯Status LED</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语音VoIP</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over internet (skype) and intranet (SIP)</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喇叭  至少 90db （1KHz 音源，10cm 处测试）</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听筒</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麦克风  双麦克，降噪</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Noise suppression / Echo cancellation</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语音识别  (谷歌助手和第三方)</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按键  电源, 音量+/-, 左右扫面按键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环境规格</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IP 防护等级</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IP67（提供测试证书）</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落摔(自由落体)   1.5 米 / 4.0 ft 水泥地面，每个面3次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翻转  300次0.5米钢板跌落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存储温度  -30C to  70C /  -22F to  158F</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工作温度  -25°C ~ +50°C</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工作湿度  5%-95% non-condensing</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充电温度  0C-35C</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静电防护  8K/15K</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数据采集  扫描引擎  E3250/E3200LE</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绿点功能</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条码支持  一维/二维码/邮政码</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无线通信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蓝牙  BLE V5.0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WLAN  802.11.a/b/g/n/ac WiFi dual band radio; IPv4； IPv6</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 xml:space="preserve">WLAN FEM  2.4G      </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GPS  GPS/Glonass/Beidou,Assisted GPS</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NFC   NXP PN553芯片</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WWAN  GSM: 900/1800</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UMTS: B1/B8</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FDD_LTE:B1/3/7/8</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TDD_LTE:B38/39/40/41</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VOLTE</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有 载波聚合CA</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LTE CAT6, CA B1/3/7/40/41，下行 300Mbps</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通信协议  USB   Type-C with DRP feature</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配件（选配）</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单主机座充, 硅胶套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26</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车载无线</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4G/5G无线信号发送，设备连接10台以上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27</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耳麦/音响</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耳麦，有源音箱，支持AUX、蓝牙、USB输入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28</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车载采集机</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屏幕≥19寸、高色域、广视角、多点触控屏幕，支持windows系统</w:t>
            </w:r>
            <w:r>
              <w:rPr>
                <w:rStyle w:val="66"/>
                <w:rFonts w:hint="eastAsia" w:ascii="宋体" w:hAnsi="宋体" w:eastAsia="宋体" w:cs="宋体"/>
                <w:color w:val="auto"/>
                <w:sz w:val="21"/>
                <w:szCs w:val="21"/>
                <w:highlight w:val="none"/>
                <w:lang w:val="en-US" w:eastAsia="zh-CN" w:bidi="ar"/>
              </w:rPr>
              <w:t>7以上，i5-9400六核、H310c芯片组、4G/8G高频率DDR4内存、120GB高速固态硬盘支持RJ45，HDMI，USB3.0，wifi，采集车载设备数据，控制车载设备，呈现车载设备数据图。支持VESA标准壁挂（75mm*75mm）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29</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急救记录仪</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高清1080P像素，记录音视频，支持外接耳机话筒，支持音视频本地存储和导出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30</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耳麦</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耳麦，可语音交互。有源音箱，支持AUX、蓝牙、USB输入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1" w:type="dxa"/>
            <w:vAlign w:val="center"/>
          </w:tcPr>
          <w:p>
            <w:pPr>
              <w:pStyle w:val="11"/>
              <w:numPr>
                <w:ilvl w:val="0"/>
                <w:numId w:val="0"/>
              </w:numPr>
              <w:ind w:right="63" w:rightChars="30"/>
              <w:jc w:val="center"/>
              <w:rPr>
                <w:rFonts w:hint="default"/>
                <w:color w:val="auto"/>
                <w:highlight w:val="none"/>
                <w:vertAlign w:val="baseline"/>
                <w:lang w:val="en-US" w:eastAsia="zh-CN"/>
              </w:rPr>
            </w:pPr>
            <w:r>
              <w:rPr>
                <w:rFonts w:hint="eastAsia"/>
                <w:color w:val="auto"/>
                <w:highlight w:val="none"/>
                <w:vertAlign w:val="baseline"/>
                <w:lang w:val="en-US" w:eastAsia="zh-CN"/>
              </w:rPr>
              <w:t>31</w:t>
            </w:r>
          </w:p>
        </w:tc>
        <w:tc>
          <w:tcPr>
            <w:tcW w:w="1600" w:type="dxa"/>
            <w:vAlign w:val="center"/>
          </w:tcPr>
          <w:p>
            <w:pPr>
              <w:adjustRightInd w:val="0"/>
              <w:snapToGrid w:val="0"/>
              <w:spacing w:line="400" w:lineRule="exact"/>
              <w:jc w:val="center"/>
              <w:rPr>
                <w:rFonts w:hint="default"/>
                <w:color w:val="auto"/>
                <w:highlight w:val="none"/>
                <w:vertAlign w:val="baseline"/>
                <w:lang w:val="en-US" w:eastAsia="zh-CN"/>
              </w:rPr>
            </w:pPr>
            <w:r>
              <w:rPr>
                <w:rFonts w:hint="eastAsia" w:ascii="宋体" w:hAnsi="宋体"/>
                <w:color w:val="auto"/>
                <w:szCs w:val="21"/>
                <w:highlight w:val="none"/>
                <w:lang w:val="en-US" w:eastAsia="zh-CN"/>
              </w:rPr>
              <w:t>车载摄像头</w:t>
            </w:r>
          </w:p>
        </w:tc>
        <w:tc>
          <w:tcPr>
            <w:tcW w:w="7466" w:type="dxa"/>
            <w:vAlign w:val="top"/>
          </w:tcPr>
          <w:p>
            <w:pPr>
              <w:keepNext w:val="0"/>
              <w:keepLines w:val="0"/>
              <w:pageBreakBefore w:val="0"/>
              <w:widowControl/>
              <w:suppressLineNumbers w:val="0"/>
              <w:kinsoku/>
              <w:wordWrap/>
              <w:overflowPunct/>
              <w:topLinePunct w:val="0"/>
              <w:autoSpaceDE/>
              <w:autoSpaceDN/>
              <w:bidi w:val="0"/>
              <w:adjustRightInd/>
              <w:snapToGrid/>
              <w:spacing w:line="312" w:lineRule="auto"/>
              <w:jc w:val="both"/>
              <w:textAlignment w:val="top"/>
              <w:rPr>
                <w:rFonts w:hint="default"/>
                <w:color w:val="auto"/>
                <w:sz w:val="21"/>
                <w:szCs w:val="21"/>
                <w:highlight w:val="none"/>
                <w:vertAlign w:val="baseline"/>
                <w:lang w:val="en-US" w:eastAsia="zh-CN"/>
              </w:rPr>
            </w:pPr>
            <w:r>
              <w:rPr>
                <w:rFonts w:hint="eastAsia" w:ascii="宋体" w:hAnsi="宋体" w:eastAsia="宋体" w:cs="宋体"/>
                <w:i w:val="0"/>
                <w:iCs w:val="0"/>
                <w:color w:val="auto"/>
                <w:kern w:val="0"/>
                <w:sz w:val="21"/>
                <w:szCs w:val="21"/>
                <w:highlight w:val="none"/>
                <w:u w:val="none"/>
                <w:lang w:val="en-US" w:eastAsia="zh-CN" w:bidi="ar"/>
              </w:rPr>
              <w:t>高清1080P像素，180°以上旋。</w:t>
            </w:r>
          </w:p>
        </w:tc>
      </w:tr>
    </w:tbl>
    <w:p>
      <w:pPr>
        <w:pStyle w:val="11"/>
        <w:numPr>
          <w:ilvl w:val="0"/>
          <w:numId w:val="0"/>
        </w:numPr>
        <w:ind w:right="63" w:rightChars="30"/>
        <w:jc w:val="both"/>
        <w:rPr>
          <w:rFonts w:hint="default"/>
          <w:color w:val="auto"/>
          <w:highlight w:val="none"/>
          <w:lang w:val="en-US" w:eastAsia="zh-CN"/>
        </w:rPr>
      </w:pPr>
    </w:p>
    <w:p>
      <w:pPr>
        <w:spacing w:line="440" w:lineRule="exact"/>
        <w:jc w:val="both"/>
        <w:rPr>
          <w:rFonts w:hint="eastAsia" w:ascii="宋体" w:hAnsi="宋体"/>
          <w:b/>
          <w:color w:val="auto"/>
          <w:kern w:val="0"/>
          <w:sz w:val="32"/>
          <w:szCs w:val="32"/>
          <w:highlight w:val="none"/>
        </w:rPr>
      </w:pPr>
    </w:p>
    <w:p>
      <w:pPr>
        <w:pStyle w:val="11"/>
        <w:rPr>
          <w:rFonts w:hint="eastAsia" w:ascii="宋体" w:hAnsi="宋体"/>
          <w:b/>
          <w:color w:val="auto"/>
          <w:kern w:val="0"/>
          <w:sz w:val="32"/>
          <w:szCs w:val="32"/>
          <w:highlight w:val="none"/>
        </w:rPr>
      </w:pPr>
    </w:p>
    <w:p>
      <w:pPr>
        <w:pStyle w:val="11"/>
        <w:rPr>
          <w:rFonts w:hint="eastAsia" w:ascii="宋体" w:hAnsi="宋体"/>
          <w:b/>
          <w:color w:val="auto"/>
          <w:kern w:val="0"/>
          <w:sz w:val="32"/>
          <w:szCs w:val="32"/>
          <w:highlight w:val="none"/>
        </w:rPr>
      </w:pPr>
    </w:p>
    <w:p>
      <w:pPr>
        <w:pStyle w:val="11"/>
        <w:rPr>
          <w:rFonts w:hint="eastAsia" w:ascii="宋体" w:hAnsi="宋体"/>
          <w:b/>
          <w:color w:val="auto"/>
          <w:kern w:val="0"/>
          <w:sz w:val="32"/>
          <w:szCs w:val="32"/>
          <w:highlight w:val="none"/>
        </w:rPr>
      </w:pPr>
    </w:p>
    <w:p>
      <w:pPr>
        <w:pStyle w:val="11"/>
        <w:rPr>
          <w:rFonts w:hint="eastAsia" w:ascii="宋体" w:hAnsi="宋体"/>
          <w:b/>
          <w:color w:val="auto"/>
          <w:kern w:val="0"/>
          <w:sz w:val="32"/>
          <w:szCs w:val="32"/>
          <w:highlight w:val="none"/>
        </w:rPr>
      </w:pPr>
    </w:p>
    <w:p>
      <w:pPr>
        <w:pStyle w:val="11"/>
        <w:rPr>
          <w:rFonts w:hint="eastAsia" w:ascii="宋体" w:hAnsi="宋体"/>
          <w:b/>
          <w:color w:val="auto"/>
          <w:kern w:val="0"/>
          <w:sz w:val="32"/>
          <w:szCs w:val="32"/>
          <w:highlight w:val="none"/>
        </w:rPr>
      </w:pPr>
    </w:p>
    <w:p>
      <w:pPr>
        <w:pStyle w:val="11"/>
        <w:ind w:left="0" w:leftChars="0" w:firstLine="0" w:firstLineChars="0"/>
        <w:jc w:val="both"/>
        <w:rPr>
          <w:rFonts w:hint="eastAsia" w:ascii="宋体" w:hAnsi="宋体"/>
          <w:b/>
          <w:color w:val="auto"/>
          <w:kern w:val="0"/>
          <w:sz w:val="32"/>
          <w:szCs w:val="32"/>
          <w:highlight w:val="none"/>
        </w:rPr>
      </w:pPr>
    </w:p>
    <w:p>
      <w:pPr>
        <w:pStyle w:val="11"/>
        <w:ind w:left="0" w:leftChars="0" w:firstLine="0" w:firstLineChars="0"/>
        <w:jc w:val="both"/>
        <w:rPr>
          <w:rFonts w:hint="eastAsia" w:ascii="宋体" w:hAnsi="宋体"/>
          <w:b/>
          <w:color w:val="auto"/>
          <w:kern w:val="0"/>
          <w:sz w:val="32"/>
          <w:szCs w:val="32"/>
          <w:highlight w:val="none"/>
        </w:rPr>
      </w:pPr>
    </w:p>
    <w:p>
      <w:pPr>
        <w:pStyle w:val="11"/>
        <w:ind w:left="0" w:leftChars="0" w:firstLine="0" w:firstLineChars="0"/>
        <w:jc w:val="both"/>
        <w:rPr>
          <w:rFonts w:hint="eastAsia" w:ascii="宋体" w:hAnsi="宋体"/>
          <w:b/>
          <w:color w:val="auto"/>
          <w:kern w:val="0"/>
          <w:sz w:val="32"/>
          <w:szCs w:val="32"/>
          <w:highlight w:val="none"/>
        </w:rPr>
      </w:pPr>
    </w:p>
    <w:p>
      <w:pPr>
        <w:pStyle w:val="11"/>
        <w:ind w:left="0" w:leftChars="0" w:firstLine="0" w:firstLineChars="0"/>
        <w:jc w:val="both"/>
        <w:rPr>
          <w:rFonts w:hint="eastAsia" w:ascii="宋体" w:hAnsi="宋体"/>
          <w:b/>
          <w:color w:val="auto"/>
          <w:kern w:val="0"/>
          <w:sz w:val="32"/>
          <w:szCs w:val="32"/>
          <w:highlight w:val="none"/>
        </w:rPr>
      </w:pPr>
    </w:p>
    <w:p>
      <w:pPr>
        <w:spacing w:line="440" w:lineRule="exact"/>
        <w:jc w:val="center"/>
        <w:rPr>
          <w:rFonts w:ascii="宋体" w:hAnsi="宋体"/>
          <w:b/>
          <w:color w:val="auto"/>
          <w:kern w:val="0"/>
          <w:sz w:val="32"/>
          <w:szCs w:val="32"/>
          <w:highlight w:val="none"/>
        </w:rPr>
      </w:pPr>
      <w:r>
        <w:rPr>
          <w:rFonts w:hint="eastAsia" w:ascii="宋体" w:hAnsi="宋体"/>
          <w:b/>
          <w:color w:val="auto"/>
          <w:kern w:val="0"/>
          <w:sz w:val="32"/>
          <w:szCs w:val="32"/>
          <w:highlight w:val="none"/>
        </w:rPr>
        <w:t>第四章 评标办法</w:t>
      </w:r>
    </w:p>
    <w:p>
      <w:pPr>
        <w:pStyle w:val="12"/>
        <w:spacing w:line="440" w:lineRule="exact"/>
        <w:ind w:firstLine="414" w:firstLineChars="196"/>
        <w:rPr>
          <w:rFonts w:hAnsi="宋体"/>
          <w:b/>
          <w:bCs/>
          <w:color w:val="auto"/>
          <w:highlight w:val="none"/>
        </w:rPr>
      </w:pPr>
      <w:r>
        <w:rPr>
          <w:rFonts w:hint="eastAsia" w:hAnsi="宋体"/>
          <w:b/>
          <w:bCs/>
          <w:color w:val="auto"/>
          <w:highlight w:val="none"/>
        </w:rPr>
        <w:t>一、评标依据及方式</w:t>
      </w:r>
    </w:p>
    <w:p>
      <w:pPr>
        <w:pStyle w:val="12"/>
        <w:spacing w:line="440" w:lineRule="exact"/>
        <w:ind w:firstLine="424" w:firstLineChars="200"/>
        <w:rPr>
          <w:rFonts w:hAnsi="宋体"/>
          <w:color w:val="auto"/>
          <w:highlight w:val="none"/>
        </w:rPr>
      </w:pPr>
      <w:r>
        <w:rPr>
          <w:rFonts w:hint="eastAsia" w:hAnsi="宋体"/>
          <w:color w:val="auto"/>
          <w:highlight w:val="none"/>
        </w:rPr>
        <w:t>1. 评标依据：评标委员会以</w:t>
      </w:r>
      <w:r>
        <w:rPr>
          <w:rFonts w:hint="eastAsia" w:hAnsi="宋体"/>
          <w:color w:val="auto"/>
          <w:highlight w:val="none"/>
          <w:lang w:eastAsia="zh-CN"/>
        </w:rPr>
        <w:t>采购文件</w:t>
      </w:r>
      <w:r>
        <w:rPr>
          <w:rFonts w:hint="eastAsia" w:hAnsi="宋体"/>
          <w:color w:val="auto"/>
          <w:highlight w:val="none"/>
        </w:rPr>
        <w:t>和投标文件为评标依据，对供应商投标文件进行评审。</w:t>
      </w:r>
    </w:p>
    <w:p>
      <w:pPr>
        <w:pStyle w:val="12"/>
        <w:spacing w:line="440" w:lineRule="exact"/>
        <w:ind w:firstLine="424" w:firstLineChars="200"/>
        <w:rPr>
          <w:rFonts w:hAnsi="宋体"/>
          <w:color w:val="auto"/>
          <w:highlight w:val="none"/>
        </w:rPr>
      </w:pPr>
      <w:r>
        <w:rPr>
          <w:rFonts w:hint="eastAsia" w:hAnsi="宋体"/>
          <w:color w:val="auto"/>
          <w:highlight w:val="none"/>
        </w:rPr>
        <w:t>2. 评标方式：以封闭方式进行评标。</w:t>
      </w:r>
    </w:p>
    <w:p>
      <w:pPr>
        <w:pStyle w:val="12"/>
        <w:spacing w:line="440" w:lineRule="exact"/>
        <w:ind w:firstLine="424" w:firstLineChars="200"/>
        <w:rPr>
          <w:rFonts w:hAnsi="宋体"/>
          <w:color w:val="auto"/>
          <w:highlight w:val="none"/>
        </w:rPr>
      </w:pPr>
      <w:r>
        <w:rPr>
          <w:rFonts w:hint="eastAsia" w:hAnsi="宋体"/>
          <w:color w:val="auto"/>
          <w:highlight w:val="none"/>
        </w:rPr>
        <w:t>3. 根据财库〔2012〕69号文规定，采购人和采购代理机构、评标委员会成员要严格遵守政府采购相关法律制度，依法履行各自职责，公正、客观、审慎地组织和参与评审工作。</w:t>
      </w:r>
    </w:p>
    <w:p>
      <w:pPr>
        <w:pStyle w:val="12"/>
        <w:spacing w:line="440" w:lineRule="exact"/>
        <w:ind w:firstLine="424" w:firstLineChars="200"/>
        <w:rPr>
          <w:rFonts w:hAnsi="宋体"/>
          <w:b/>
          <w:bCs/>
          <w:color w:val="auto"/>
          <w:highlight w:val="none"/>
        </w:rPr>
      </w:pPr>
      <w:r>
        <w:rPr>
          <w:rFonts w:hint="eastAsia" w:hAnsi="宋体"/>
          <w:b/>
          <w:bCs/>
          <w:color w:val="auto"/>
          <w:highlight w:val="none"/>
        </w:rPr>
        <w:t>二、评标办法</w:t>
      </w:r>
    </w:p>
    <w:p>
      <w:pPr>
        <w:pStyle w:val="12"/>
        <w:spacing w:line="440" w:lineRule="exact"/>
        <w:ind w:firstLine="424" w:firstLineChars="200"/>
        <w:rPr>
          <w:rFonts w:hAnsi="宋体"/>
          <w:bCs/>
          <w:color w:val="auto"/>
          <w:highlight w:val="none"/>
        </w:rPr>
      </w:pPr>
      <w:r>
        <w:rPr>
          <w:rFonts w:hint="eastAsia" w:hAnsi="宋体"/>
          <w:bCs/>
          <w:color w:val="auto"/>
          <w:highlight w:val="none"/>
        </w:rPr>
        <w:t>（一）对进入详评的，采用综合评分法。</w:t>
      </w:r>
    </w:p>
    <w:p>
      <w:pPr>
        <w:pStyle w:val="12"/>
        <w:spacing w:line="440" w:lineRule="exact"/>
        <w:ind w:firstLine="424" w:firstLineChars="200"/>
        <w:rPr>
          <w:rFonts w:hAnsi="宋体"/>
          <w:bCs/>
          <w:color w:val="auto"/>
          <w:highlight w:val="none"/>
        </w:rPr>
      </w:pPr>
      <w:r>
        <w:rPr>
          <w:rFonts w:hint="eastAsia" w:hAnsi="宋体"/>
          <w:bCs/>
          <w:color w:val="auto"/>
          <w:highlight w:val="none"/>
        </w:rPr>
        <w:t>（二）计分办法（按四舍五入取至小数点后二位）</w:t>
      </w:r>
    </w:p>
    <w:p>
      <w:pPr>
        <w:pStyle w:val="12"/>
        <w:spacing w:line="440" w:lineRule="exact"/>
        <w:ind w:firstLine="636" w:firstLineChars="300"/>
        <w:rPr>
          <w:rFonts w:hAnsi="宋体"/>
          <w:b/>
          <w:bCs/>
          <w:color w:val="auto"/>
          <w:highlight w:val="none"/>
        </w:rPr>
      </w:pPr>
      <w:r>
        <w:rPr>
          <w:rFonts w:hAnsi="宋体"/>
          <w:b/>
          <w:color w:val="auto"/>
          <w:highlight w:val="none"/>
        </w:rPr>
        <w:t>1</w:t>
      </w:r>
      <w:r>
        <w:rPr>
          <w:rFonts w:hint="eastAsia" w:hAnsi="宋体"/>
          <w:b/>
          <w:color w:val="auto"/>
          <w:highlight w:val="none"/>
        </w:rPr>
        <w:t>.</w:t>
      </w:r>
      <w:r>
        <w:rPr>
          <w:rFonts w:hint="eastAsia" w:hAnsi="宋体"/>
          <w:b/>
          <w:bCs/>
          <w:color w:val="auto"/>
          <w:highlight w:val="none"/>
        </w:rPr>
        <w:t>价格分……………………………………………………………………………………………</w:t>
      </w:r>
      <w:r>
        <w:rPr>
          <w:rFonts w:hint="eastAsia" w:hAnsi="宋体"/>
          <w:b/>
          <w:bCs/>
          <w:color w:val="auto"/>
          <w:highlight w:val="none"/>
          <w:lang w:val="en-US" w:eastAsia="zh-CN"/>
        </w:rPr>
        <w:t>45</w:t>
      </w:r>
      <w:r>
        <w:rPr>
          <w:rFonts w:hint="eastAsia" w:hAnsi="宋体"/>
          <w:b/>
          <w:bCs/>
          <w:color w:val="auto"/>
          <w:highlight w:val="none"/>
        </w:rPr>
        <w:t>分</w:t>
      </w:r>
    </w:p>
    <w:p>
      <w:pPr>
        <w:pStyle w:val="12"/>
        <w:spacing w:line="440" w:lineRule="exact"/>
        <w:ind w:firstLine="574" w:firstLineChars="271"/>
        <w:rPr>
          <w:color w:val="auto"/>
          <w:highlight w:val="none"/>
        </w:rPr>
      </w:pPr>
      <w:r>
        <w:rPr>
          <w:rFonts w:hint="eastAsia" w:hAnsi="宋体"/>
          <w:color w:val="auto"/>
          <w:highlight w:val="none"/>
        </w:rPr>
        <w:t>（1）按照</w:t>
      </w:r>
      <w:r>
        <w:rPr>
          <w:rFonts w:hint="eastAsia"/>
          <w:color w:val="auto"/>
          <w:highlight w:val="none"/>
        </w:rPr>
        <w:t>《政府采购促进中小企业发展管理办法》（财库[2020]46号）规定：</w:t>
      </w:r>
    </w:p>
    <w:p>
      <w:pPr>
        <w:pStyle w:val="12"/>
        <w:spacing w:line="440" w:lineRule="exact"/>
        <w:ind w:firstLine="424" w:firstLineChars="200"/>
        <w:rPr>
          <w:rFonts w:hAnsi="宋体"/>
          <w:color w:val="auto"/>
          <w:highlight w:val="none"/>
        </w:rPr>
      </w:pPr>
      <w:r>
        <w:rPr>
          <w:rFonts w:hint="eastAsia" w:hAnsi="宋体"/>
          <w:bCs/>
          <w:color w:val="auto"/>
          <w:highlight w:val="none"/>
        </w:rPr>
        <w:t>①供应商提供的货物全部由符合政策要求的小型或者微型企业制造，即货物由小型或者微型企业生产且使用该小型或者微型企业商号或者注册商标的，投标报价给予</w:t>
      </w:r>
      <w:r>
        <w:rPr>
          <w:rFonts w:hint="eastAsia" w:hAnsi="宋体"/>
          <w:bCs/>
          <w:color w:val="auto"/>
          <w:highlight w:val="none"/>
          <w:lang w:val="en-US" w:eastAsia="zh-CN"/>
        </w:rPr>
        <w:t>6</w:t>
      </w:r>
      <w:r>
        <w:rPr>
          <w:rFonts w:hint="eastAsia" w:hAnsi="宋体"/>
          <w:bCs/>
          <w:color w:val="auto"/>
          <w:highlight w:val="none"/>
        </w:rPr>
        <w:t>%的扣除，扣除后的价格为评标报价，即该供应商的评标报价=该供应商的投标报价×（1-</w:t>
      </w:r>
      <w:r>
        <w:rPr>
          <w:rFonts w:hint="eastAsia" w:hAnsi="宋体"/>
          <w:bCs/>
          <w:color w:val="auto"/>
          <w:highlight w:val="none"/>
          <w:lang w:val="en-US" w:eastAsia="zh-CN"/>
        </w:rPr>
        <w:t>6</w:t>
      </w:r>
      <w:r>
        <w:rPr>
          <w:rFonts w:hint="eastAsia" w:hAnsi="宋体"/>
          <w:bCs/>
          <w:color w:val="auto"/>
          <w:highlight w:val="none"/>
        </w:rPr>
        <w:t>%）；（注：在货物采购项目中，供应商提供的货物既有中型企业制造，也有小微型企业制造的，不享受中小企业扶持政策，投标报价不给予</w:t>
      </w:r>
      <w:r>
        <w:rPr>
          <w:rFonts w:hint="eastAsia" w:hAnsi="宋体"/>
          <w:bCs/>
          <w:color w:val="auto"/>
          <w:highlight w:val="none"/>
          <w:lang w:val="en-US" w:eastAsia="zh-CN"/>
        </w:rPr>
        <w:t>6</w:t>
      </w:r>
      <w:r>
        <w:rPr>
          <w:rFonts w:hint="eastAsia" w:hAnsi="宋体"/>
          <w:bCs/>
          <w:color w:val="auto"/>
          <w:highlight w:val="none"/>
        </w:rPr>
        <w:t>%的扣除。）</w:t>
      </w:r>
    </w:p>
    <w:p>
      <w:pPr>
        <w:pStyle w:val="18"/>
        <w:widowControl w:val="0"/>
        <w:spacing w:before="0" w:beforeAutospacing="0" w:after="0" w:afterAutospacing="0" w:line="440" w:lineRule="exact"/>
        <w:ind w:firstLine="424" w:firstLineChars="200"/>
        <w:jc w:val="both"/>
        <w:rPr>
          <w:rFonts w:hAnsi="宋体"/>
          <w:color w:val="auto"/>
          <w:highlight w:val="none"/>
        </w:rPr>
      </w:pPr>
      <w:r>
        <w:rPr>
          <w:rFonts w:hint="eastAsia" w:ascii="宋体" w:hAnsi="宋体" w:cs="宋体"/>
          <w:color w:val="auto"/>
          <w:kern w:val="2"/>
          <w:sz w:val="21"/>
          <w:szCs w:val="21"/>
          <w:highlight w:val="none"/>
        </w:rPr>
        <w:t>②供应商为大中型企业与小型、微型企业组成联合体投标的，其中小型、微型企业的协议合同金额占到联合体协议合同总金额30%以上（含30%）的（供应商须于《联合投标协议书》中明确约定小型、微型企业的协议合同金额及所占比例，该金额应与投标报价表所报金额对应一致），联合体投标价给予2%的扣除，扣除后的价格为评标报价，即评标报价=投标报价×（1-2%）；</w:t>
      </w:r>
    </w:p>
    <w:p>
      <w:pPr>
        <w:pStyle w:val="12"/>
        <w:spacing w:line="440" w:lineRule="exact"/>
        <w:ind w:firstLine="424" w:firstLineChars="200"/>
        <w:rPr>
          <w:color w:val="auto"/>
          <w:highlight w:val="none"/>
        </w:rPr>
      </w:pPr>
      <w:r>
        <w:rPr>
          <w:rFonts w:hint="eastAsia" w:hAnsi="宋体" w:cs="宋体"/>
          <w:color w:val="auto"/>
          <w:szCs w:val="21"/>
          <w:highlight w:val="none"/>
        </w:rPr>
        <w:t>③</w:t>
      </w:r>
      <w:r>
        <w:rPr>
          <w:rFonts w:hint="eastAsia"/>
          <w:color w:val="auto"/>
          <w:highlight w:val="none"/>
        </w:rPr>
        <w:t>除上述情况外，评标报价=投标报价。</w:t>
      </w:r>
    </w:p>
    <w:p>
      <w:pPr>
        <w:pStyle w:val="12"/>
        <w:spacing w:line="440" w:lineRule="exact"/>
        <w:ind w:firstLine="420"/>
        <w:rPr>
          <w:rFonts w:hAnsi="宋体"/>
          <w:b/>
          <w:color w:val="auto"/>
          <w:highlight w:val="none"/>
        </w:rPr>
      </w:pPr>
      <w:r>
        <w:rPr>
          <w:rFonts w:hint="eastAsia" w:hAnsi="宋体"/>
          <w:b/>
          <w:color w:val="auto"/>
          <w:highlight w:val="none"/>
        </w:rPr>
        <w:t>注：①小型、微型企业提供中型企业制造的货物的，视同为中型企业。</w:t>
      </w:r>
    </w:p>
    <w:p>
      <w:pPr>
        <w:pStyle w:val="12"/>
        <w:spacing w:line="440" w:lineRule="exact"/>
        <w:ind w:firstLine="212" w:firstLineChars="100"/>
        <w:rPr>
          <w:rFonts w:hAnsi="宋体"/>
          <w:color w:val="auto"/>
          <w:highlight w:val="none"/>
        </w:rPr>
      </w:pPr>
      <w:r>
        <w:rPr>
          <w:rFonts w:hint="eastAsia" w:hAnsi="宋体"/>
          <w:b/>
          <w:color w:val="auto"/>
          <w:highlight w:val="none"/>
        </w:rPr>
        <w:t xml:space="preserve">    ②评标报价为供应商的投标报价进行政策性扣除后的价格，评标报价只是作为评标时使用。最终中标人的中标金额＝投标报价。</w:t>
      </w:r>
    </w:p>
    <w:p>
      <w:pPr>
        <w:pStyle w:val="12"/>
        <w:spacing w:line="440" w:lineRule="exact"/>
        <w:ind w:firstLine="362" w:firstLineChars="171"/>
        <w:rPr>
          <w:color w:val="auto"/>
          <w:highlight w:val="none"/>
        </w:rPr>
      </w:pPr>
      <w:r>
        <w:rPr>
          <w:rFonts w:hint="eastAsia"/>
          <w:color w:val="auto"/>
          <w:highlight w:val="none"/>
        </w:rPr>
        <w:t>（2）根据《关于政府采购支持监狱企业发展有关问题的通知》（财库[2014]68号）和《关于促进残疾人就业政府采购政策的通知》（财库</w:t>
      </w:r>
      <w:r>
        <w:rPr>
          <w:color w:val="auto"/>
          <w:highlight w:val="none"/>
        </w:rPr>
        <w:t>[201</w:t>
      </w:r>
      <w:r>
        <w:rPr>
          <w:rFonts w:hint="eastAsia"/>
          <w:color w:val="auto"/>
          <w:highlight w:val="none"/>
        </w:rPr>
        <w:t>7</w:t>
      </w:r>
      <w:r>
        <w:rPr>
          <w:color w:val="auto"/>
          <w:highlight w:val="none"/>
        </w:rPr>
        <w:t>]</w:t>
      </w:r>
      <w:r>
        <w:rPr>
          <w:rFonts w:hint="eastAsia"/>
          <w:color w:val="auto"/>
          <w:highlight w:val="none"/>
        </w:rPr>
        <w:t>141号），监狱企业和符合条件的残疾人福利性单位视同小型、微型企业，享受小型、微型企业评审中价格扣除的政府采购政策。残疾人福利性单位属于小型、微型企业的，不重复享受政策。</w:t>
      </w:r>
    </w:p>
    <w:p>
      <w:pPr>
        <w:pStyle w:val="12"/>
        <w:spacing w:line="440" w:lineRule="exact"/>
        <w:ind w:firstLine="362" w:firstLineChars="171"/>
        <w:rPr>
          <w:color w:val="auto"/>
          <w:highlight w:val="none"/>
        </w:rPr>
      </w:pPr>
      <w:r>
        <w:rPr>
          <w:rFonts w:hint="eastAsia"/>
          <w:color w:val="auto"/>
          <w:highlight w:val="none"/>
        </w:rPr>
        <w:t>（3）以进入评标的最低的评标报价为</w:t>
      </w:r>
      <w:r>
        <w:rPr>
          <w:rFonts w:hint="eastAsia"/>
          <w:color w:val="auto"/>
          <w:highlight w:val="none"/>
          <w:lang w:val="en-US" w:eastAsia="zh-CN"/>
        </w:rPr>
        <w:t>45</w:t>
      </w:r>
      <w:r>
        <w:rPr>
          <w:rFonts w:hint="eastAsia"/>
          <w:color w:val="auto"/>
          <w:highlight w:val="none"/>
        </w:rPr>
        <w:t>分。</w:t>
      </w:r>
    </w:p>
    <w:p>
      <w:pPr>
        <w:pStyle w:val="12"/>
        <w:spacing w:line="440" w:lineRule="exact"/>
        <w:ind w:firstLine="3286" w:firstLineChars="1550"/>
        <w:rPr>
          <w:color w:val="auto"/>
          <w:highlight w:val="none"/>
        </w:rPr>
      </w:pPr>
      <w:r>
        <w:rPr>
          <w:rFonts w:hint="eastAsia"/>
          <w:color w:val="auto"/>
          <w:highlight w:val="none"/>
        </w:rPr>
        <w:t xml:space="preserve">最低供应商评标报价金额          </w:t>
      </w:r>
    </w:p>
    <w:p>
      <w:pPr>
        <w:pStyle w:val="12"/>
        <w:spacing w:line="440" w:lineRule="exact"/>
        <w:ind w:firstLine="362" w:firstLineChars="171"/>
        <w:rPr>
          <w:color w:val="auto"/>
          <w:highlight w:val="none"/>
        </w:rPr>
      </w:pPr>
      <w:r>
        <w:rPr>
          <w:color w:val="auto"/>
          <w:highlight w:val="none"/>
        </w:rPr>
        <w:pict>
          <v:line id="直线 126" o:spid="_x0000_s1031" o:spt="20" style="position:absolute;left:0pt;margin-left:144pt;margin-top:15.5pt;height:0pt;width:173.15pt;z-index:251669504;mso-width-relative:page;mso-height-relative:page;" coordsize="21600,21600">
            <v:path arrowok="t"/>
            <v:fill focussize="0,0"/>
            <v:stroke/>
            <v:imagedata o:title=""/>
            <o:lock v:ext="edit"/>
          </v:line>
        </w:pict>
      </w:r>
      <w:r>
        <w:rPr>
          <w:rFonts w:hint="eastAsia"/>
          <w:color w:val="auto"/>
          <w:highlight w:val="none"/>
        </w:rPr>
        <w:t xml:space="preserve">（4）供应商价格分 =                              </w:t>
      </w:r>
      <w:r>
        <w:rPr>
          <w:color w:val="auto"/>
          <w:highlight w:val="none"/>
        </w:rPr>
        <w:t xml:space="preserve">  </w:t>
      </w:r>
      <w:r>
        <w:rPr>
          <w:rFonts w:hint="eastAsia"/>
          <w:color w:val="auto"/>
          <w:highlight w:val="none"/>
        </w:rPr>
        <w:t xml:space="preserve">    　　×</w:t>
      </w:r>
      <w:r>
        <w:rPr>
          <w:rFonts w:hint="eastAsia"/>
          <w:color w:val="auto"/>
          <w:highlight w:val="none"/>
          <w:lang w:val="en-US" w:eastAsia="zh-CN"/>
        </w:rPr>
        <w:t>45</w:t>
      </w:r>
      <w:r>
        <w:rPr>
          <w:rFonts w:hint="eastAsia"/>
          <w:color w:val="auto"/>
          <w:highlight w:val="none"/>
        </w:rPr>
        <w:t xml:space="preserve"> 分</w:t>
      </w:r>
    </w:p>
    <w:p>
      <w:pPr>
        <w:pStyle w:val="12"/>
        <w:spacing w:line="440" w:lineRule="exact"/>
        <w:ind w:firstLine="540" w:firstLineChars="255"/>
        <w:rPr>
          <w:color w:val="auto"/>
          <w:highlight w:val="none"/>
        </w:rPr>
      </w:pPr>
      <w:r>
        <w:rPr>
          <w:rFonts w:hint="eastAsia"/>
          <w:color w:val="auto"/>
          <w:highlight w:val="none"/>
        </w:rPr>
        <w:t xml:space="preserve">                           供应商评标报价金额  </w:t>
      </w:r>
    </w:p>
    <w:p>
      <w:pPr>
        <w:pStyle w:val="12"/>
        <w:spacing w:line="440" w:lineRule="exact"/>
        <w:ind w:firstLine="424" w:firstLineChars="200"/>
        <w:rPr>
          <w:rFonts w:hAnsi="宋体"/>
          <w:color w:val="auto"/>
          <w:highlight w:val="none"/>
        </w:rPr>
      </w:pPr>
      <w:r>
        <w:rPr>
          <w:rFonts w:hint="eastAsia" w:hAnsi="宋体"/>
          <w:b/>
          <w:bCs/>
          <w:color w:val="auto"/>
          <w:highlight w:val="none"/>
        </w:rPr>
        <w:t>2.</w:t>
      </w:r>
      <w:r>
        <w:rPr>
          <w:rFonts w:hint="eastAsia" w:hAnsi="宋体"/>
          <w:b/>
          <w:bCs/>
          <w:color w:val="auto"/>
          <w:highlight w:val="none"/>
          <w:lang w:val="en-US" w:eastAsia="zh-CN"/>
        </w:rPr>
        <w:t>技术</w:t>
      </w:r>
      <w:r>
        <w:rPr>
          <w:rFonts w:hint="eastAsia" w:hAnsi="宋体"/>
          <w:b/>
          <w:bCs/>
          <w:color w:val="auto"/>
          <w:highlight w:val="none"/>
        </w:rPr>
        <w:t>分………………………………………………………………………………………………</w:t>
      </w:r>
      <w:r>
        <w:rPr>
          <w:rFonts w:hint="eastAsia" w:hAnsi="宋体"/>
          <w:b/>
          <w:bCs/>
          <w:color w:val="auto"/>
          <w:highlight w:val="none"/>
          <w:lang w:val="en-US" w:eastAsia="zh-CN"/>
        </w:rPr>
        <w:t>31</w:t>
      </w:r>
      <w:r>
        <w:rPr>
          <w:rFonts w:hint="eastAsia" w:hAnsi="宋体"/>
          <w:b/>
          <w:bCs/>
          <w:color w:val="auto"/>
          <w:highlight w:val="none"/>
        </w:rPr>
        <w:t>分</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rPr>
        <w:t>（1）技术分</w:t>
      </w:r>
      <w:r>
        <w:rPr>
          <w:rFonts w:hint="eastAsia" w:hAnsi="宋体" w:cs="宋体"/>
          <w:b/>
          <w:color w:val="auto"/>
          <w:szCs w:val="21"/>
          <w:highlight w:val="none"/>
        </w:rPr>
        <w:t>（满分</w:t>
      </w:r>
      <w:r>
        <w:rPr>
          <w:rFonts w:hint="eastAsia" w:hAnsi="宋体" w:cs="宋体"/>
          <w:b/>
          <w:color w:val="auto"/>
          <w:szCs w:val="21"/>
          <w:highlight w:val="none"/>
          <w:lang w:val="en-US" w:eastAsia="zh-CN"/>
        </w:rPr>
        <w:t>3</w:t>
      </w:r>
      <w:r>
        <w:rPr>
          <w:rFonts w:hint="eastAsia" w:hAnsi="宋体" w:cs="宋体"/>
          <w:b/>
          <w:color w:val="auto"/>
          <w:szCs w:val="21"/>
          <w:highlight w:val="none"/>
        </w:rPr>
        <w:t>分）</w:t>
      </w:r>
    </w:p>
    <w:p>
      <w:pPr>
        <w:pStyle w:val="12"/>
        <w:keepNext w:val="0"/>
        <w:keepLines w:val="0"/>
        <w:pageBreakBefore w:val="0"/>
        <w:kinsoku/>
        <w:wordWrap/>
        <w:overflowPunct/>
        <w:topLinePunct w:val="0"/>
        <w:autoSpaceDE/>
        <w:autoSpaceDN/>
        <w:bidi w:val="0"/>
        <w:adjustRightInd/>
        <w:snapToGrid/>
        <w:spacing w:line="440" w:lineRule="exact"/>
        <w:ind w:left="0" w:leftChars="0" w:firstLine="424" w:firstLineChars="200"/>
        <w:textAlignment w:val="auto"/>
        <w:rPr>
          <w:rFonts w:hAnsi="宋体"/>
          <w:color w:val="auto"/>
          <w:highlight w:val="none"/>
        </w:rPr>
      </w:pPr>
      <w:r>
        <w:rPr>
          <w:rFonts w:hint="eastAsia" w:ascii="宋体" w:hAnsi="宋体" w:cs="宋体"/>
          <w:color w:val="auto"/>
          <w:szCs w:val="21"/>
          <w:highlight w:val="none"/>
        </w:rPr>
        <w:t>评委根据</w:t>
      </w:r>
      <w:r>
        <w:rPr>
          <w:rFonts w:hint="eastAsia" w:hAnsi="宋体" w:cs="宋体"/>
          <w:color w:val="auto"/>
          <w:szCs w:val="21"/>
          <w:highlight w:val="none"/>
          <w:lang w:eastAsia="zh-CN"/>
        </w:rPr>
        <w:t>采购文件</w:t>
      </w:r>
      <w:r>
        <w:rPr>
          <w:rFonts w:hint="eastAsia" w:ascii="宋体" w:hAnsi="宋体" w:cs="宋体"/>
          <w:color w:val="auto"/>
          <w:szCs w:val="21"/>
          <w:highlight w:val="none"/>
        </w:rPr>
        <w:t>要求，对通过资格性和符合性审查进入详评的各供应商投标文件的技术参数响应情况进行独立评审，确定并填写“技术规格偏离表”</w:t>
      </w:r>
      <w:r>
        <w:rPr>
          <w:rFonts w:hint="eastAsia" w:hAnsi="宋体"/>
          <w:color w:val="auto"/>
          <w:highlight w:val="none"/>
        </w:rPr>
        <w:t>：</w:t>
      </w:r>
      <w:r>
        <w:rPr>
          <w:rFonts w:ascii="F3" w:hAnsi="F3" w:eastAsia="F3" w:cs="F3"/>
          <w:color w:val="auto"/>
          <w:kern w:val="0"/>
          <w:szCs w:val="21"/>
          <w:highlight w:val="none"/>
        </w:rPr>
        <w:t>满足</w:t>
      </w:r>
      <w:r>
        <w:rPr>
          <w:rFonts w:hint="eastAsia" w:ascii="F3" w:hAnsi="F3" w:eastAsia="宋体" w:cs="F3"/>
          <w:color w:val="auto"/>
          <w:kern w:val="0"/>
          <w:szCs w:val="21"/>
          <w:highlight w:val="none"/>
          <w:lang w:eastAsia="zh-CN"/>
        </w:rPr>
        <w:t>采购文件</w:t>
      </w:r>
      <w:r>
        <w:rPr>
          <w:rFonts w:ascii="F3" w:hAnsi="F3" w:eastAsia="F3" w:cs="F3"/>
          <w:color w:val="auto"/>
          <w:kern w:val="0"/>
          <w:szCs w:val="21"/>
          <w:highlight w:val="none"/>
        </w:rPr>
        <w:t>全部实质性要求的得</w:t>
      </w:r>
      <w:r>
        <w:rPr>
          <w:rFonts w:hint="eastAsia" w:hAnsi="宋体" w:cs="宋体"/>
          <w:color w:val="auto"/>
          <w:highlight w:val="none"/>
          <w:lang w:val="en-US" w:eastAsia="zh-CN"/>
        </w:rPr>
        <w:t>3</w:t>
      </w:r>
      <w:r>
        <w:rPr>
          <w:rFonts w:hint="eastAsia" w:ascii="宋体" w:hAnsi="宋体" w:cs="宋体"/>
          <w:color w:val="auto"/>
          <w:highlight w:val="none"/>
        </w:rPr>
        <w:t>分</w:t>
      </w:r>
      <w:r>
        <w:rPr>
          <w:rFonts w:hint="eastAsia" w:hAnsi="宋体" w:cs="宋体"/>
          <w:color w:val="auto"/>
          <w:highlight w:val="none"/>
          <w:lang w:eastAsia="zh-CN"/>
        </w:rPr>
        <w:t>。</w:t>
      </w:r>
      <w:r>
        <w:rPr>
          <w:rFonts w:hint="eastAsia" w:hAnsi="宋体"/>
          <w:color w:val="auto"/>
          <w:highlight w:val="none"/>
        </w:rPr>
        <w:t xml:space="preserve">                                                     </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rPr>
        <w:t>（2）系统建设和技术方案分</w:t>
      </w:r>
      <w:r>
        <w:rPr>
          <w:rFonts w:hint="eastAsia" w:hAnsi="宋体" w:cs="宋体"/>
          <w:b/>
          <w:color w:val="auto"/>
          <w:szCs w:val="21"/>
          <w:highlight w:val="none"/>
        </w:rPr>
        <w:t>（满分</w:t>
      </w:r>
      <w:r>
        <w:rPr>
          <w:rFonts w:hint="eastAsia" w:hAnsi="宋体" w:cs="宋体"/>
          <w:b/>
          <w:color w:val="auto"/>
          <w:szCs w:val="21"/>
          <w:highlight w:val="none"/>
          <w:lang w:val="en-US" w:eastAsia="zh-CN"/>
        </w:rPr>
        <w:t>14</w:t>
      </w:r>
      <w:r>
        <w:rPr>
          <w:rFonts w:hint="eastAsia" w:hAnsi="宋体" w:cs="宋体"/>
          <w:b/>
          <w:color w:val="auto"/>
          <w:szCs w:val="21"/>
          <w:highlight w:val="none"/>
        </w:rPr>
        <w:t>分）</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rPr>
        <w:t>评标委员会根据</w:t>
      </w:r>
      <w:r>
        <w:rPr>
          <w:rFonts w:hint="eastAsia" w:hAnsi="宋体" w:cs="宋体"/>
          <w:color w:val="auto"/>
          <w:szCs w:val="21"/>
          <w:highlight w:val="none"/>
          <w:lang w:eastAsia="zh-CN"/>
        </w:rPr>
        <w:t>采购文件</w:t>
      </w:r>
      <w:r>
        <w:rPr>
          <w:rFonts w:hint="eastAsia" w:hAnsi="宋体" w:cs="宋体"/>
          <w:color w:val="auto"/>
          <w:szCs w:val="21"/>
          <w:highlight w:val="none"/>
        </w:rPr>
        <w:t>要求，对比各投标文件“项目建设和技术方案”的建设目标、整体架构、功能模块、实现思路、业务流程、平台架构等内容，集体讨论确定</w:t>
      </w:r>
      <w:r>
        <w:rPr>
          <w:rFonts w:hint="eastAsia" w:hAnsi="宋体" w:cs="宋体"/>
          <w:color w:val="auto"/>
          <w:szCs w:val="21"/>
          <w:highlight w:val="none"/>
          <w:lang w:val="en-US" w:eastAsia="zh-CN"/>
        </w:rPr>
        <w:t>供应商</w:t>
      </w:r>
      <w:r>
        <w:rPr>
          <w:rFonts w:hint="eastAsia" w:hAnsi="宋体" w:cs="宋体"/>
          <w:color w:val="auto"/>
          <w:szCs w:val="21"/>
          <w:highlight w:val="none"/>
        </w:rPr>
        <w:t>“一档、二档、三档、四档”各所属档次，由评委按确定后的各</w:t>
      </w:r>
      <w:r>
        <w:rPr>
          <w:rFonts w:hint="eastAsia" w:hAnsi="宋体" w:cs="宋体"/>
          <w:color w:val="auto"/>
          <w:szCs w:val="21"/>
          <w:highlight w:val="none"/>
          <w:lang w:val="en-US" w:eastAsia="zh-CN"/>
        </w:rPr>
        <w:t>供应商</w:t>
      </w:r>
      <w:r>
        <w:rPr>
          <w:rFonts w:hint="eastAsia" w:hAnsi="宋体" w:cs="宋体"/>
          <w:color w:val="auto"/>
          <w:szCs w:val="21"/>
          <w:highlight w:val="none"/>
        </w:rPr>
        <w:t>所属档次评定说明内容，在相应档次内独立打分。具体内容如下：</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一</w:t>
      </w:r>
      <w:r>
        <w:rPr>
          <w:rFonts w:hint="eastAsia" w:hAnsi="宋体" w:cs="宋体"/>
          <w:color w:val="auto"/>
          <w:szCs w:val="21"/>
          <w:highlight w:val="none"/>
        </w:rPr>
        <w:t>档（</w:t>
      </w:r>
      <w:r>
        <w:rPr>
          <w:rFonts w:hint="eastAsia" w:hAnsi="宋体" w:cs="宋体"/>
          <w:color w:val="auto"/>
          <w:szCs w:val="21"/>
          <w:highlight w:val="none"/>
          <w:lang w:val="en-US" w:eastAsia="zh-CN"/>
        </w:rPr>
        <w:t>9</w:t>
      </w:r>
      <w:r>
        <w:rPr>
          <w:rFonts w:hint="eastAsia" w:hAnsi="宋体" w:cs="宋体"/>
          <w:color w:val="auto"/>
          <w:szCs w:val="21"/>
          <w:highlight w:val="none"/>
        </w:rPr>
        <w:t>.1～</w:t>
      </w:r>
      <w:r>
        <w:rPr>
          <w:rFonts w:hint="eastAsia" w:hAnsi="宋体" w:cs="宋体"/>
          <w:color w:val="auto"/>
          <w:szCs w:val="21"/>
          <w:highlight w:val="none"/>
          <w:lang w:val="en-US" w:eastAsia="zh-CN"/>
        </w:rPr>
        <w:t>14</w:t>
      </w:r>
      <w:r>
        <w:rPr>
          <w:rFonts w:hint="eastAsia" w:hAnsi="宋体" w:cs="宋体"/>
          <w:color w:val="auto"/>
          <w:szCs w:val="21"/>
          <w:highlight w:val="none"/>
        </w:rPr>
        <w:t>分）：对项目建设目标、整体架构、功能模块、实现思路、业务流程、平台架构描述合理可行、详细明晰。以大数据的思维进行系统设计，具备大数据的组织管理、开发、可视化利用的能力。</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二</w:t>
      </w:r>
      <w:r>
        <w:rPr>
          <w:rFonts w:hint="eastAsia" w:hAnsi="宋体" w:cs="宋体"/>
          <w:color w:val="auto"/>
          <w:szCs w:val="21"/>
          <w:highlight w:val="none"/>
        </w:rPr>
        <w:t>档（</w:t>
      </w:r>
      <w:r>
        <w:rPr>
          <w:rFonts w:hint="eastAsia" w:hAnsi="宋体" w:cs="宋体"/>
          <w:color w:val="auto"/>
          <w:szCs w:val="21"/>
          <w:highlight w:val="none"/>
          <w:lang w:val="en-US" w:eastAsia="zh-CN"/>
        </w:rPr>
        <w:t>4</w:t>
      </w:r>
      <w:r>
        <w:rPr>
          <w:rFonts w:hint="eastAsia" w:hAnsi="宋体" w:cs="宋体"/>
          <w:color w:val="auto"/>
          <w:szCs w:val="21"/>
          <w:highlight w:val="none"/>
        </w:rPr>
        <w:t>.1～</w:t>
      </w:r>
      <w:r>
        <w:rPr>
          <w:rFonts w:hint="eastAsia" w:hAnsi="宋体" w:cs="宋体"/>
          <w:color w:val="auto"/>
          <w:szCs w:val="21"/>
          <w:highlight w:val="none"/>
          <w:lang w:val="en-US" w:eastAsia="zh-CN"/>
        </w:rPr>
        <w:t>9</w:t>
      </w:r>
      <w:r>
        <w:rPr>
          <w:rFonts w:hint="eastAsia" w:hAnsi="宋体" w:cs="宋体"/>
          <w:color w:val="auto"/>
          <w:szCs w:val="21"/>
          <w:highlight w:val="none"/>
        </w:rPr>
        <w:t>分）：对项目建设目标、整体架构、功能模块、实现思路、业务流程、平台架构描述基本合理可行，无漏项。</w:t>
      </w:r>
    </w:p>
    <w:p>
      <w:pPr>
        <w:pStyle w:val="12"/>
        <w:tabs>
          <w:tab w:val="left" w:pos="4214"/>
        </w:tabs>
        <w:spacing w:line="370" w:lineRule="exact"/>
        <w:ind w:firstLine="424" w:firstLineChars="200"/>
        <w:rPr>
          <w:rFonts w:hint="eastAsia" w:hAnsi="宋体" w:cs="宋体"/>
          <w:color w:val="auto"/>
          <w:szCs w:val="21"/>
          <w:highlight w:val="none"/>
          <w:lang w:val="en-US" w:eastAsia="zh-CN"/>
        </w:rPr>
      </w:pPr>
      <w:r>
        <w:rPr>
          <w:rFonts w:hint="eastAsia" w:hAnsi="宋体" w:cs="宋体"/>
          <w:color w:val="auto"/>
          <w:szCs w:val="21"/>
          <w:highlight w:val="none"/>
          <w:lang w:val="en-US" w:eastAsia="zh-CN"/>
        </w:rPr>
        <w:t>三</w:t>
      </w:r>
      <w:r>
        <w:rPr>
          <w:rFonts w:hint="eastAsia" w:hAnsi="宋体" w:cs="宋体"/>
          <w:color w:val="auto"/>
          <w:szCs w:val="21"/>
          <w:highlight w:val="none"/>
        </w:rPr>
        <w:t>档（0.1～</w:t>
      </w:r>
      <w:r>
        <w:rPr>
          <w:rFonts w:hint="eastAsia" w:hAnsi="宋体" w:cs="宋体"/>
          <w:color w:val="auto"/>
          <w:szCs w:val="21"/>
          <w:highlight w:val="none"/>
          <w:lang w:val="en-US" w:eastAsia="zh-CN"/>
        </w:rPr>
        <w:t>4</w:t>
      </w:r>
      <w:r>
        <w:rPr>
          <w:rFonts w:hint="eastAsia" w:hAnsi="宋体" w:cs="宋体"/>
          <w:color w:val="auto"/>
          <w:szCs w:val="21"/>
          <w:highlight w:val="none"/>
        </w:rPr>
        <w:t>分）：对项目建设目标、整体架构、功能模块、实现思路、业务流程、平台架构描述不够合理可行或有漏项。</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四</w:t>
      </w:r>
      <w:r>
        <w:rPr>
          <w:rFonts w:hint="eastAsia" w:hAnsi="宋体" w:cs="宋体"/>
          <w:color w:val="auto"/>
          <w:szCs w:val="21"/>
          <w:highlight w:val="none"/>
        </w:rPr>
        <w:t>档（0分）：未提供项目系统建设和技术方案。</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rPr>
        <w:t xml:space="preserve"> （3）</w:t>
      </w:r>
      <w:r>
        <w:rPr>
          <w:rFonts w:hint="eastAsia" w:hAnsi="宋体" w:cs="宋体"/>
          <w:color w:val="auto"/>
          <w:szCs w:val="21"/>
          <w:highlight w:val="none"/>
        </w:rPr>
        <w:t>组织实施方案分</w:t>
      </w:r>
      <w:r>
        <w:rPr>
          <w:rFonts w:hint="eastAsia" w:hAnsi="宋体" w:cs="宋体"/>
          <w:b/>
          <w:color w:val="auto"/>
          <w:szCs w:val="21"/>
          <w:highlight w:val="none"/>
        </w:rPr>
        <w:t>（满分</w:t>
      </w:r>
      <w:r>
        <w:rPr>
          <w:rFonts w:hint="eastAsia" w:hAnsi="宋体" w:cs="宋体"/>
          <w:b/>
          <w:color w:val="auto"/>
          <w:szCs w:val="21"/>
          <w:highlight w:val="none"/>
          <w:lang w:val="en-US" w:eastAsia="zh-CN"/>
        </w:rPr>
        <w:t>14</w:t>
      </w:r>
      <w:r>
        <w:rPr>
          <w:rFonts w:hint="eastAsia" w:hAnsi="宋体" w:cs="宋体"/>
          <w:b/>
          <w:color w:val="auto"/>
          <w:szCs w:val="21"/>
          <w:highlight w:val="none"/>
        </w:rPr>
        <w:t>分）</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rPr>
        <w:t>评标委员会根据</w:t>
      </w:r>
      <w:r>
        <w:rPr>
          <w:rFonts w:hint="eastAsia" w:hAnsi="宋体" w:cs="宋体"/>
          <w:color w:val="auto"/>
          <w:szCs w:val="21"/>
          <w:highlight w:val="none"/>
          <w:lang w:eastAsia="zh-CN"/>
        </w:rPr>
        <w:t>采购文件</w:t>
      </w:r>
      <w:r>
        <w:rPr>
          <w:rFonts w:hint="eastAsia" w:hAnsi="宋体" w:cs="宋体"/>
          <w:color w:val="auto"/>
          <w:szCs w:val="21"/>
          <w:highlight w:val="none"/>
        </w:rPr>
        <w:t>要求，对比各投标文件“组织实施方案”的人员安排、进度安排及控制、质量保证实施措施、系统调试、系统试运行等内容，集体讨论确定</w:t>
      </w:r>
      <w:r>
        <w:rPr>
          <w:rFonts w:hint="eastAsia" w:hAnsi="宋体" w:cs="宋体"/>
          <w:color w:val="auto"/>
          <w:szCs w:val="21"/>
          <w:highlight w:val="none"/>
          <w:lang w:val="en-US" w:eastAsia="zh-CN"/>
        </w:rPr>
        <w:t>供应商</w:t>
      </w:r>
      <w:r>
        <w:rPr>
          <w:rFonts w:hint="eastAsia" w:hAnsi="宋体" w:cs="宋体"/>
          <w:color w:val="auto"/>
          <w:szCs w:val="21"/>
          <w:highlight w:val="none"/>
        </w:rPr>
        <w:t>“一档、二档、三档、四档”各所属档次，由评委按确定后的各</w:t>
      </w:r>
      <w:r>
        <w:rPr>
          <w:rFonts w:hint="eastAsia" w:hAnsi="宋体" w:cs="宋体"/>
          <w:color w:val="auto"/>
          <w:szCs w:val="21"/>
          <w:highlight w:val="none"/>
          <w:lang w:val="en-US" w:eastAsia="zh-CN"/>
        </w:rPr>
        <w:t>供应商</w:t>
      </w:r>
      <w:r>
        <w:rPr>
          <w:rFonts w:hint="eastAsia" w:hAnsi="宋体" w:cs="宋体"/>
          <w:color w:val="auto"/>
          <w:szCs w:val="21"/>
          <w:highlight w:val="none"/>
        </w:rPr>
        <w:t>所属档次评定说明内容，在相应档次内独立打分。具体内容如下：</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一</w:t>
      </w:r>
      <w:r>
        <w:rPr>
          <w:rFonts w:hint="eastAsia" w:hAnsi="宋体" w:cs="宋体"/>
          <w:color w:val="auto"/>
          <w:szCs w:val="21"/>
          <w:highlight w:val="none"/>
        </w:rPr>
        <w:t>档(</w:t>
      </w:r>
      <w:r>
        <w:rPr>
          <w:rFonts w:hint="eastAsia" w:hAnsi="宋体" w:cs="宋体"/>
          <w:color w:val="auto"/>
          <w:szCs w:val="21"/>
          <w:highlight w:val="none"/>
          <w:lang w:val="en-US" w:eastAsia="zh-CN"/>
        </w:rPr>
        <w:t>9</w:t>
      </w:r>
      <w:r>
        <w:rPr>
          <w:rFonts w:hint="eastAsia" w:hAnsi="宋体" w:cs="宋体"/>
          <w:color w:val="auto"/>
          <w:szCs w:val="21"/>
          <w:highlight w:val="none"/>
        </w:rPr>
        <w:t>.1～</w:t>
      </w:r>
      <w:r>
        <w:rPr>
          <w:rFonts w:hint="eastAsia" w:hAnsi="宋体" w:cs="宋体"/>
          <w:color w:val="auto"/>
          <w:szCs w:val="21"/>
          <w:highlight w:val="none"/>
          <w:lang w:val="en-US" w:eastAsia="zh-CN"/>
        </w:rPr>
        <w:t>14</w:t>
      </w:r>
      <w:r>
        <w:rPr>
          <w:rFonts w:hint="eastAsia" w:hAnsi="宋体" w:cs="宋体"/>
          <w:color w:val="auto"/>
          <w:szCs w:val="21"/>
          <w:highlight w:val="none"/>
        </w:rPr>
        <w:t>分）：项目实施方案中人员安排、进度安排及控制、质量保证实施措施、系统调试、系统试运行等内容描述合理可行，无漏项。</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二</w:t>
      </w:r>
      <w:r>
        <w:rPr>
          <w:rFonts w:hint="eastAsia" w:hAnsi="宋体" w:cs="宋体"/>
          <w:color w:val="auto"/>
          <w:szCs w:val="21"/>
          <w:highlight w:val="none"/>
        </w:rPr>
        <w:t>档(</w:t>
      </w:r>
      <w:r>
        <w:rPr>
          <w:rFonts w:hint="eastAsia" w:hAnsi="宋体" w:cs="宋体"/>
          <w:color w:val="auto"/>
          <w:szCs w:val="21"/>
          <w:highlight w:val="none"/>
          <w:lang w:val="en-US" w:eastAsia="zh-CN"/>
        </w:rPr>
        <w:t>4</w:t>
      </w:r>
      <w:r>
        <w:rPr>
          <w:rFonts w:hint="eastAsia" w:hAnsi="宋体" w:cs="宋体"/>
          <w:color w:val="auto"/>
          <w:szCs w:val="21"/>
          <w:highlight w:val="none"/>
        </w:rPr>
        <w:t>.1～</w:t>
      </w:r>
      <w:r>
        <w:rPr>
          <w:rFonts w:hint="eastAsia" w:hAnsi="宋体" w:cs="宋体"/>
          <w:color w:val="auto"/>
          <w:szCs w:val="21"/>
          <w:highlight w:val="none"/>
          <w:lang w:val="en-US" w:eastAsia="zh-CN"/>
        </w:rPr>
        <w:t>9</w:t>
      </w:r>
      <w:r>
        <w:rPr>
          <w:rFonts w:hint="eastAsia" w:hAnsi="宋体" w:cs="宋体"/>
          <w:color w:val="auto"/>
          <w:szCs w:val="21"/>
          <w:highlight w:val="none"/>
        </w:rPr>
        <w:t>分）：项目实施方案中人员安排、进度安排及控制、质量保证实施措施、系统调试、系统试运行等内容描述基本合理可行，无漏项；</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三</w:t>
      </w:r>
      <w:r>
        <w:rPr>
          <w:rFonts w:hint="eastAsia" w:hAnsi="宋体" w:cs="宋体"/>
          <w:color w:val="auto"/>
          <w:szCs w:val="21"/>
          <w:highlight w:val="none"/>
        </w:rPr>
        <w:t>档(0.1～</w:t>
      </w:r>
      <w:r>
        <w:rPr>
          <w:rFonts w:hint="eastAsia" w:hAnsi="宋体" w:cs="宋体"/>
          <w:color w:val="auto"/>
          <w:szCs w:val="21"/>
          <w:highlight w:val="none"/>
          <w:lang w:val="en-US" w:eastAsia="zh-CN"/>
        </w:rPr>
        <w:t>4</w:t>
      </w:r>
      <w:r>
        <w:rPr>
          <w:rFonts w:hint="eastAsia" w:hAnsi="宋体" w:cs="宋体"/>
          <w:color w:val="auto"/>
          <w:szCs w:val="21"/>
          <w:highlight w:val="none"/>
        </w:rPr>
        <w:t>分）：项目实施方案中人员安排、进度安排及控制、质量保证实施措施、系统调试、系统试运行等内容描述不够合理可行或有漏项；</w:t>
      </w:r>
    </w:p>
    <w:p>
      <w:pPr>
        <w:pStyle w:val="12"/>
        <w:tabs>
          <w:tab w:val="left" w:pos="4214"/>
        </w:tabs>
        <w:spacing w:line="370" w:lineRule="exact"/>
        <w:ind w:firstLine="424" w:firstLineChars="200"/>
        <w:rPr>
          <w:rFonts w:hint="eastAsia" w:hAnsi="宋体" w:cs="宋体"/>
          <w:color w:val="auto"/>
          <w:szCs w:val="21"/>
          <w:highlight w:val="none"/>
        </w:rPr>
      </w:pPr>
      <w:r>
        <w:rPr>
          <w:rFonts w:hint="eastAsia" w:hAnsi="宋体" w:cs="宋体"/>
          <w:color w:val="auto"/>
          <w:szCs w:val="21"/>
          <w:highlight w:val="none"/>
          <w:lang w:val="en-US" w:eastAsia="zh-CN"/>
        </w:rPr>
        <w:t>四</w:t>
      </w:r>
      <w:r>
        <w:rPr>
          <w:rFonts w:hint="eastAsia" w:hAnsi="宋体" w:cs="宋体"/>
          <w:color w:val="auto"/>
          <w:szCs w:val="21"/>
          <w:highlight w:val="none"/>
        </w:rPr>
        <w:t>档（0分）：未提供组织实施方案。</w:t>
      </w:r>
    </w:p>
    <w:p>
      <w:pPr>
        <w:pStyle w:val="12"/>
        <w:tabs>
          <w:tab w:val="left" w:pos="8820"/>
        </w:tabs>
        <w:spacing w:line="370" w:lineRule="exact"/>
        <w:ind w:firstLine="310" w:firstLineChars="147"/>
        <w:outlineLvl w:val="0"/>
        <w:rPr>
          <w:rFonts w:hAnsi="宋体"/>
          <w:b/>
          <w:color w:val="auto"/>
          <w:highlight w:val="none"/>
        </w:rPr>
      </w:pPr>
      <w:r>
        <w:rPr>
          <w:rFonts w:hint="eastAsia" w:hAnsi="宋体"/>
          <w:b/>
          <w:color w:val="auto"/>
          <w:highlight w:val="none"/>
          <w:lang w:val="en-US" w:eastAsia="zh-CN"/>
        </w:rPr>
        <w:t>3</w:t>
      </w:r>
      <w:r>
        <w:rPr>
          <w:rFonts w:hint="eastAsia" w:hAnsi="宋体"/>
          <w:b/>
          <w:color w:val="auto"/>
          <w:highlight w:val="none"/>
        </w:rPr>
        <w:t>.信誉</w:t>
      </w:r>
      <w:r>
        <w:rPr>
          <w:rFonts w:hAnsi="宋体"/>
          <w:b/>
          <w:color w:val="auto"/>
          <w:highlight w:val="none"/>
        </w:rPr>
        <w:t>分…………………………………………………………………………………………………</w:t>
      </w:r>
      <w:r>
        <w:rPr>
          <w:rFonts w:hint="eastAsia"/>
          <w:b/>
          <w:color w:val="auto"/>
          <w:szCs w:val="21"/>
          <w:highlight w:val="none"/>
          <w:lang w:val="en-US" w:eastAsia="zh-CN"/>
        </w:rPr>
        <w:t>14</w:t>
      </w:r>
      <w:r>
        <w:rPr>
          <w:rFonts w:hAnsi="宋体"/>
          <w:b/>
          <w:color w:val="auto"/>
          <w:highlight w:val="none"/>
        </w:rPr>
        <w:t>分</w:t>
      </w:r>
    </w:p>
    <w:p>
      <w:pPr>
        <w:pStyle w:val="12"/>
        <w:spacing w:line="370" w:lineRule="exact"/>
        <w:ind w:firstLine="424" w:firstLineChars="200"/>
        <w:rPr>
          <w:rFonts w:hint="eastAsia" w:eastAsia="宋体"/>
          <w:color w:val="auto"/>
          <w:highlight w:val="none"/>
          <w:lang w:eastAsia="zh-CN"/>
        </w:rPr>
      </w:pPr>
      <w:r>
        <w:rPr>
          <w:rFonts w:hint="eastAsia"/>
          <w:color w:val="auto"/>
          <w:highlight w:val="none"/>
        </w:rPr>
        <w:t>（1）</w:t>
      </w:r>
      <w:r>
        <w:rPr>
          <w:rFonts w:hint="eastAsia"/>
          <w:color w:val="auto"/>
          <w:highlight w:val="none"/>
          <w:lang w:val="en-US" w:eastAsia="zh-CN"/>
        </w:rPr>
        <w:t>供应商或</w:t>
      </w:r>
      <w:r>
        <w:rPr>
          <w:rFonts w:hint="eastAsia"/>
          <w:color w:val="auto"/>
          <w:highlight w:val="none"/>
        </w:rPr>
        <w:t>所</w:t>
      </w:r>
      <w:r>
        <w:rPr>
          <w:rFonts w:hint="eastAsia"/>
          <w:color w:val="auto"/>
          <w:highlight w:val="none"/>
        </w:rPr>
        <w:t>投院前</w:t>
      </w:r>
      <w:r>
        <w:rPr>
          <w:rFonts w:hint="eastAsia"/>
          <w:color w:val="auto"/>
          <w:highlight w:val="none"/>
          <w:lang w:val="en-US" w:eastAsia="zh-CN"/>
        </w:rPr>
        <w:t>急救</w:t>
      </w:r>
      <w:r>
        <w:rPr>
          <w:rFonts w:hint="eastAsia"/>
          <w:color w:val="auto"/>
          <w:highlight w:val="none"/>
        </w:rPr>
        <w:t>、院内急诊</w:t>
      </w:r>
      <w:r>
        <w:rPr>
          <w:rFonts w:hint="eastAsia"/>
          <w:color w:val="auto"/>
          <w:highlight w:val="none"/>
          <w:lang w:val="en-US" w:eastAsia="zh-CN"/>
        </w:rPr>
        <w:t>模块</w:t>
      </w:r>
      <w:r>
        <w:rPr>
          <w:rFonts w:hint="eastAsia"/>
          <w:color w:val="auto"/>
          <w:highlight w:val="none"/>
        </w:rPr>
        <w:t>系统制造厂商</w:t>
      </w:r>
      <w:r>
        <w:rPr>
          <w:rFonts w:hint="eastAsia"/>
          <w:color w:val="auto"/>
          <w:highlight w:val="none"/>
          <w:lang w:val="en-US" w:eastAsia="zh-CN"/>
        </w:rPr>
        <w:t>同时</w:t>
      </w:r>
      <w:r>
        <w:rPr>
          <w:rFonts w:hint="eastAsia"/>
          <w:color w:val="auto"/>
          <w:highlight w:val="none"/>
        </w:rPr>
        <w:t>具有信息安全管理体系认证证书、售后服务认证证书</w:t>
      </w:r>
      <w:r>
        <w:rPr>
          <w:rFonts w:hint="eastAsia"/>
          <w:color w:val="auto"/>
          <w:highlight w:val="none"/>
          <w:lang w:val="en-US" w:eastAsia="zh-CN"/>
        </w:rPr>
        <w:t>、知识产权管理体系</w:t>
      </w:r>
      <w:r>
        <w:rPr>
          <w:rFonts w:hint="eastAsia"/>
          <w:color w:val="auto"/>
          <w:highlight w:val="none"/>
        </w:rPr>
        <w:t>认证证书，</w:t>
      </w:r>
      <w:r>
        <w:rPr>
          <w:rFonts w:hint="eastAsia"/>
          <w:color w:val="auto"/>
          <w:highlight w:val="none"/>
          <w:lang w:val="en-US" w:eastAsia="zh-CN"/>
        </w:rPr>
        <w:t>得6</w:t>
      </w:r>
      <w:r>
        <w:rPr>
          <w:rFonts w:hint="eastAsia"/>
          <w:color w:val="auto"/>
          <w:highlight w:val="none"/>
        </w:rPr>
        <w:t>分</w:t>
      </w:r>
      <w:r>
        <w:rPr>
          <w:rFonts w:hint="eastAsia"/>
          <w:color w:val="auto"/>
          <w:highlight w:val="none"/>
          <w:lang w:eastAsia="zh-CN"/>
        </w:rPr>
        <w:t>。</w:t>
      </w:r>
      <w:r>
        <w:rPr>
          <w:rFonts w:hint="eastAsia"/>
          <w:color w:val="auto"/>
          <w:highlight w:val="none"/>
        </w:rPr>
        <w:t>要求提供</w:t>
      </w:r>
      <w:r>
        <w:rPr>
          <w:rFonts w:hint="eastAsia"/>
          <w:color w:val="auto"/>
          <w:highlight w:val="none"/>
          <w:lang w:val="en-US" w:eastAsia="zh-CN"/>
        </w:rPr>
        <w:t>有效</w:t>
      </w:r>
      <w:r>
        <w:rPr>
          <w:rFonts w:hint="eastAsia"/>
          <w:color w:val="auto"/>
          <w:highlight w:val="none"/>
        </w:rPr>
        <w:t>证书复印件</w:t>
      </w:r>
      <w:r>
        <w:rPr>
          <w:rFonts w:hint="eastAsia" w:hAnsi="宋体" w:cs="宋体"/>
          <w:bCs/>
          <w:color w:val="auto"/>
          <w:spacing w:val="-2"/>
          <w:szCs w:val="21"/>
          <w:highlight w:val="none"/>
        </w:rPr>
        <w:t>并加盖</w:t>
      </w:r>
      <w:r>
        <w:rPr>
          <w:rFonts w:hint="eastAsia" w:hAnsi="宋体" w:cs="宋体"/>
          <w:bCs/>
          <w:color w:val="auto"/>
          <w:spacing w:val="-2"/>
          <w:szCs w:val="21"/>
          <w:highlight w:val="none"/>
          <w:lang w:val="en-US" w:eastAsia="zh-CN"/>
        </w:rPr>
        <w:t>供应商</w:t>
      </w:r>
      <w:r>
        <w:rPr>
          <w:rFonts w:hint="eastAsia" w:hAnsi="宋体" w:cs="宋体"/>
          <w:bCs/>
          <w:color w:val="auto"/>
          <w:spacing w:val="-2"/>
          <w:szCs w:val="21"/>
          <w:highlight w:val="none"/>
        </w:rPr>
        <w:t>公章</w:t>
      </w:r>
      <w:r>
        <w:rPr>
          <w:rFonts w:hint="eastAsia" w:hAnsi="宋体" w:cs="宋体"/>
          <w:bCs/>
          <w:color w:val="auto"/>
          <w:spacing w:val="-2"/>
          <w:szCs w:val="21"/>
          <w:highlight w:val="none"/>
          <w:lang w:eastAsia="zh-CN"/>
        </w:rPr>
        <w:t>，否则不予计分。</w:t>
      </w:r>
    </w:p>
    <w:p>
      <w:pPr>
        <w:pStyle w:val="12"/>
        <w:spacing w:line="370" w:lineRule="exact"/>
        <w:ind w:firstLine="424" w:firstLineChars="200"/>
        <w:rPr>
          <w:rFonts w:hint="eastAsia" w:eastAsia="宋体"/>
          <w:color w:val="auto"/>
          <w:highlight w:val="none"/>
          <w:lang w:eastAsia="zh-CN"/>
        </w:rPr>
      </w:pPr>
      <w:r>
        <w:rPr>
          <w:rFonts w:hint="eastAsia"/>
          <w:color w:val="auto"/>
          <w:highlight w:val="none"/>
        </w:rPr>
        <w:t>（2</w:t>
      </w:r>
      <w:r>
        <w:rPr>
          <w:rFonts w:hint="eastAsia"/>
          <w:color w:val="auto"/>
          <w:highlight w:val="none"/>
          <w:lang w:eastAsia="zh-CN"/>
        </w:rPr>
        <w:t>）</w:t>
      </w:r>
      <w:r>
        <w:rPr>
          <w:rFonts w:hint="eastAsia"/>
          <w:color w:val="auto"/>
          <w:highlight w:val="none"/>
          <w:lang w:val="en-US" w:eastAsia="zh-CN"/>
        </w:rPr>
        <w:t>供应商或</w:t>
      </w:r>
      <w:r>
        <w:rPr>
          <w:rFonts w:hint="eastAsia" w:ascii="宋体" w:hAnsi="宋体" w:cs="黑体"/>
          <w:color w:val="auto"/>
          <w:kern w:val="0"/>
          <w:szCs w:val="21"/>
          <w:highlight w:val="none"/>
        </w:rPr>
        <w:t>所投</w:t>
      </w:r>
      <w:r>
        <w:rPr>
          <w:rFonts w:hint="eastAsia"/>
          <w:color w:val="auto"/>
          <w:highlight w:val="none"/>
        </w:rPr>
        <w:t>院前</w:t>
      </w:r>
      <w:r>
        <w:rPr>
          <w:rFonts w:hint="eastAsia"/>
          <w:color w:val="auto"/>
          <w:highlight w:val="none"/>
          <w:lang w:val="en-US" w:eastAsia="zh-CN"/>
        </w:rPr>
        <w:t>急救</w:t>
      </w:r>
      <w:r>
        <w:rPr>
          <w:rFonts w:hint="eastAsia"/>
          <w:color w:val="auto"/>
          <w:highlight w:val="none"/>
        </w:rPr>
        <w:t>、院内急诊</w:t>
      </w:r>
      <w:r>
        <w:rPr>
          <w:rFonts w:hint="eastAsia"/>
          <w:color w:val="auto"/>
          <w:highlight w:val="none"/>
          <w:lang w:val="en-US" w:eastAsia="zh-CN"/>
        </w:rPr>
        <w:t>模块</w:t>
      </w:r>
      <w:r>
        <w:rPr>
          <w:rFonts w:hint="eastAsia"/>
          <w:color w:val="auto"/>
          <w:highlight w:val="none"/>
        </w:rPr>
        <w:t>系统</w:t>
      </w:r>
      <w:r>
        <w:rPr>
          <w:rFonts w:hint="eastAsia" w:ascii="宋体" w:hAnsi="宋体" w:cs="黑体"/>
          <w:color w:val="auto"/>
          <w:kern w:val="0"/>
          <w:szCs w:val="21"/>
          <w:highlight w:val="none"/>
        </w:rPr>
        <w:t>制造厂商</w:t>
      </w:r>
      <w:r>
        <w:rPr>
          <w:rFonts w:hint="eastAsia" w:hAnsi="宋体" w:cs="黑体"/>
          <w:color w:val="auto"/>
          <w:kern w:val="0"/>
          <w:szCs w:val="21"/>
          <w:highlight w:val="none"/>
          <w:lang w:val="en-US" w:eastAsia="zh-CN"/>
        </w:rPr>
        <w:t>同时</w:t>
      </w:r>
      <w:r>
        <w:rPr>
          <w:rFonts w:hint="eastAsia" w:ascii="宋体" w:hAnsi="宋体" w:cs="黑体"/>
          <w:color w:val="auto"/>
          <w:kern w:val="0"/>
          <w:szCs w:val="21"/>
          <w:highlight w:val="none"/>
        </w:rPr>
        <w:t>具有急诊急救联动平台计算机软件著作权登记证书</w:t>
      </w:r>
      <w:r>
        <w:rPr>
          <w:rFonts w:hint="eastAsia" w:ascii="宋体" w:hAnsi="宋体" w:cs="黑体"/>
          <w:color w:val="auto"/>
          <w:kern w:val="0"/>
          <w:szCs w:val="21"/>
          <w:highlight w:val="none"/>
          <w:lang w:eastAsia="zh-Hans"/>
        </w:rPr>
        <w:t>及</w:t>
      </w:r>
      <w:r>
        <w:rPr>
          <w:rFonts w:hint="eastAsia" w:ascii="宋体" w:hAnsi="宋体" w:cs="黑体"/>
          <w:color w:val="auto"/>
          <w:kern w:val="0"/>
          <w:szCs w:val="21"/>
          <w:highlight w:val="none"/>
        </w:rPr>
        <w:t>软件检测报告，得</w:t>
      </w:r>
      <w:r>
        <w:rPr>
          <w:rFonts w:hint="eastAsia"/>
          <w:color w:val="auto"/>
          <w:highlight w:val="none"/>
          <w:lang w:val="en-US" w:eastAsia="zh-CN"/>
        </w:rPr>
        <w:t>2</w:t>
      </w:r>
      <w:r>
        <w:rPr>
          <w:rFonts w:hint="eastAsia"/>
          <w:color w:val="auto"/>
          <w:highlight w:val="none"/>
        </w:rPr>
        <w:t>分</w:t>
      </w:r>
      <w:r>
        <w:rPr>
          <w:rFonts w:hint="eastAsia"/>
          <w:color w:val="auto"/>
          <w:highlight w:val="none"/>
          <w:lang w:eastAsia="zh-CN"/>
        </w:rPr>
        <w:t>。</w:t>
      </w:r>
      <w:r>
        <w:rPr>
          <w:rFonts w:hint="eastAsia"/>
          <w:color w:val="auto"/>
          <w:highlight w:val="none"/>
        </w:rPr>
        <w:t>要求提供</w:t>
      </w:r>
      <w:r>
        <w:rPr>
          <w:rFonts w:hint="eastAsia"/>
          <w:color w:val="auto"/>
          <w:highlight w:val="none"/>
          <w:lang w:val="en-US" w:eastAsia="zh-CN"/>
        </w:rPr>
        <w:t>相关有效证明材料</w:t>
      </w:r>
      <w:r>
        <w:rPr>
          <w:rFonts w:hint="eastAsia"/>
          <w:color w:val="auto"/>
          <w:highlight w:val="none"/>
        </w:rPr>
        <w:t>复印件</w:t>
      </w:r>
      <w:r>
        <w:rPr>
          <w:rFonts w:hint="eastAsia" w:hAnsi="宋体" w:cs="宋体"/>
          <w:bCs/>
          <w:color w:val="auto"/>
          <w:spacing w:val="-2"/>
          <w:szCs w:val="21"/>
          <w:highlight w:val="none"/>
        </w:rPr>
        <w:t>并加盖</w:t>
      </w:r>
      <w:r>
        <w:rPr>
          <w:rFonts w:hint="eastAsia" w:hAnsi="宋体" w:cs="宋体"/>
          <w:bCs/>
          <w:color w:val="auto"/>
          <w:spacing w:val="-2"/>
          <w:szCs w:val="21"/>
          <w:highlight w:val="none"/>
          <w:lang w:val="en-US" w:eastAsia="zh-CN"/>
        </w:rPr>
        <w:t>供应商</w:t>
      </w:r>
      <w:r>
        <w:rPr>
          <w:rFonts w:hint="eastAsia" w:hAnsi="宋体" w:cs="宋体"/>
          <w:bCs/>
          <w:color w:val="auto"/>
          <w:spacing w:val="-2"/>
          <w:szCs w:val="21"/>
          <w:highlight w:val="none"/>
        </w:rPr>
        <w:t>公章</w:t>
      </w:r>
      <w:r>
        <w:rPr>
          <w:rFonts w:hint="eastAsia" w:hAnsi="宋体" w:cs="宋体"/>
          <w:bCs/>
          <w:color w:val="auto"/>
          <w:spacing w:val="-2"/>
          <w:szCs w:val="21"/>
          <w:highlight w:val="none"/>
          <w:lang w:eastAsia="zh-CN"/>
        </w:rPr>
        <w:t>，否则不予计分。</w:t>
      </w:r>
    </w:p>
    <w:p>
      <w:pPr>
        <w:pStyle w:val="13"/>
        <w:ind w:left="0" w:leftChars="0" w:firstLine="425" w:firstLineChars="0"/>
        <w:jc w:val="left"/>
        <w:rPr>
          <w:rFonts w:hint="default"/>
          <w:color w:val="auto"/>
          <w:highlight w:val="none"/>
          <w:lang w:val="en-US" w:eastAsia="zh-CN"/>
        </w:rPr>
      </w:pPr>
      <w:r>
        <w:rPr>
          <w:rFonts w:hint="eastAsia"/>
          <w:color w:val="auto"/>
          <w:highlight w:val="none"/>
          <w:lang w:val="en-US" w:eastAsia="zh-CN"/>
        </w:rPr>
        <w:t>（3）供应商或</w:t>
      </w:r>
      <w:r>
        <w:rPr>
          <w:rFonts w:hint="eastAsia"/>
          <w:color w:val="auto"/>
          <w:highlight w:val="none"/>
        </w:rPr>
        <w:t>所投120智慧急救调度系统制造厂商</w:t>
      </w:r>
      <w:r>
        <w:rPr>
          <w:rFonts w:hint="eastAsia"/>
          <w:color w:val="auto"/>
          <w:highlight w:val="none"/>
          <w:lang w:val="en-US" w:eastAsia="zh-CN"/>
        </w:rPr>
        <w:t>同时</w:t>
      </w:r>
      <w:r>
        <w:rPr>
          <w:rFonts w:hint="eastAsia"/>
          <w:color w:val="auto"/>
          <w:highlight w:val="none"/>
        </w:rPr>
        <w:t>具有信息安全管理体系认证证书、</w:t>
      </w:r>
      <w:r>
        <w:rPr>
          <w:rFonts w:hint="eastAsia"/>
          <w:color w:val="auto"/>
          <w:highlight w:val="none"/>
          <w:lang w:val="en-US" w:eastAsia="zh-CN"/>
        </w:rPr>
        <w:t>质量管理体系认证证书、知识产权管理体系</w:t>
      </w:r>
      <w:r>
        <w:rPr>
          <w:rFonts w:hint="eastAsia"/>
          <w:color w:val="auto"/>
          <w:highlight w:val="none"/>
        </w:rPr>
        <w:t xml:space="preserve">认证证书， </w:t>
      </w:r>
      <w:r>
        <w:rPr>
          <w:rFonts w:hint="eastAsia"/>
          <w:color w:val="auto"/>
          <w:highlight w:val="none"/>
          <w:lang w:val="en-US" w:eastAsia="zh-CN"/>
        </w:rPr>
        <w:t>得6</w:t>
      </w:r>
      <w:r>
        <w:rPr>
          <w:rFonts w:hint="eastAsia"/>
          <w:color w:val="auto"/>
          <w:highlight w:val="none"/>
        </w:rPr>
        <w:t>分</w:t>
      </w:r>
      <w:r>
        <w:rPr>
          <w:rFonts w:hint="eastAsia"/>
          <w:color w:val="auto"/>
          <w:highlight w:val="none"/>
          <w:lang w:eastAsia="zh-CN"/>
        </w:rPr>
        <w:t>。</w:t>
      </w:r>
      <w:r>
        <w:rPr>
          <w:rFonts w:hint="eastAsia"/>
          <w:color w:val="auto"/>
          <w:highlight w:val="none"/>
        </w:rPr>
        <w:t>要求提供</w:t>
      </w:r>
      <w:r>
        <w:rPr>
          <w:rFonts w:hint="eastAsia"/>
          <w:color w:val="auto"/>
          <w:highlight w:val="none"/>
          <w:lang w:val="en-US" w:eastAsia="zh-CN"/>
        </w:rPr>
        <w:t>有效</w:t>
      </w:r>
      <w:r>
        <w:rPr>
          <w:rFonts w:hint="eastAsia"/>
          <w:color w:val="auto"/>
          <w:highlight w:val="none"/>
        </w:rPr>
        <w:t>证书复印件</w:t>
      </w:r>
      <w:r>
        <w:rPr>
          <w:rFonts w:hint="eastAsia" w:hAnsi="宋体" w:cs="宋体"/>
          <w:bCs/>
          <w:color w:val="auto"/>
          <w:spacing w:val="-2"/>
          <w:szCs w:val="21"/>
          <w:highlight w:val="none"/>
        </w:rPr>
        <w:t>并加盖</w:t>
      </w:r>
      <w:r>
        <w:rPr>
          <w:rFonts w:hint="eastAsia" w:hAnsi="宋体" w:cs="宋体"/>
          <w:bCs/>
          <w:color w:val="auto"/>
          <w:spacing w:val="-2"/>
          <w:szCs w:val="21"/>
          <w:highlight w:val="none"/>
          <w:lang w:val="en-US" w:eastAsia="zh-CN"/>
        </w:rPr>
        <w:t>供应商</w:t>
      </w:r>
      <w:r>
        <w:rPr>
          <w:rFonts w:hint="eastAsia" w:hAnsi="宋体" w:cs="宋体"/>
          <w:bCs/>
          <w:color w:val="auto"/>
          <w:spacing w:val="-2"/>
          <w:szCs w:val="21"/>
          <w:highlight w:val="none"/>
        </w:rPr>
        <w:t>公章</w:t>
      </w:r>
      <w:r>
        <w:rPr>
          <w:rFonts w:hint="eastAsia" w:hAnsi="宋体" w:cs="宋体"/>
          <w:bCs/>
          <w:color w:val="auto"/>
          <w:spacing w:val="-2"/>
          <w:szCs w:val="21"/>
          <w:highlight w:val="none"/>
          <w:lang w:eastAsia="zh-CN"/>
        </w:rPr>
        <w:t>，否则不予计分。</w:t>
      </w:r>
    </w:p>
    <w:p>
      <w:pPr>
        <w:pStyle w:val="12"/>
        <w:spacing w:line="370" w:lineRule="exact"/>
        <w:ind w:firstLine="310" w:firstLineChars="147"/>
        <w:outlineLvl w:val="0"/>
        <w:rPr>
          <w:rFonts w:hint="eastAsia" w:hAnsi="宋体"/>
          <w:b/>
          <w:color w:val="auto"/>
          <w:highlight w:val="none"/>
        </w:rPr>
      </w:pPr>
      <w:r>
        <w:rPr>
          <w:rFonts w:hint="eastAsia" w:hAnsi="宋体"/>
          <w:b/>
          <w:color w:val="auto"/>
          <w:highlight w:val="none"/>
          <w:lang w:val="en-US" w:eastAsia="zh-CN"/>
        </w:rPr>
        <w:t>4</w:t>
      </w:r>
      <w:r>
        <w:rPr>
          <w:rFonts w:hint="eastAsia" w:hAnsi="宋体"/>
          <w:b/>
          <w:color w:val="auto"/>
          <w:highlight w:val="none"/>
        </w:rPr>
        <w:t>.售后服务</w:t>
      </w:r>
      <w:r>
        <w:rPr>
          <w:rFonts w:hAnsi="宋体"/>
          <w:b/>
          <w:color w:val="auto"/>
          <w:highlight w:val="none"/>
        </w:rPr>
        <w:t>分…………………………………………………………………………………………</w:t>
      </w:r>
      <w:r>
        <w:rPr>
          <w:rFonts w:hint="eastAsia"/>
          <w:b/>
          <w:color w:val="auto"/>
          <w:highlight w:val="none"/>
          <w:lang w:val="en-US" w:eastAsia="zh-CN"/>
        </w:rPr>
        <w:t>10</w:t>
      </w:r>
      <w:r>
        <w:rPr>
          <w:rFonts w:hAnsi="宋体"/>
          <w:b/>
          <w:color w:val="auto"/>
          <w:highlight w:val="none"/>
        </w:rPr>
        <w:t>分</w:t>
      </w:r>
    </w:p>
    <w:p>
      <w:pPr>
        <w:pStyle w:val="12"/>
        <w:keepNext w:val="0"/>
        <w:keepLines w:val="0"/>
        <w:pageBreakBefore w:val="0"/>
        <w:widowControl w:val="0"/>
        <w:kinsoku/>
        <w:wordWrap/>
        <w:overflowPunct/>
        <w:topLinePunct w:val="0"/>
        <w:autoSpaceDE/>
        <w:autoSpaceDN/>
        <w:bidi w:val="0"/>
        <w:adjustRightInd/>
        <w:snapToGrid/>
        <w:spacing w:before="0" w:after="0" w:line="400" w:lineRule="exact"/>
        <w:ind w:right="0" w:rightChars="0" w:firstLine="420"/>
        <w:jc w:val="both"/>
        <w:textAlignment w:val="auto"/>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由</w:t>
      </w:r>
      <w:r>
        <w:rPr>
          <w:rFonts w:hint="eastAsia" w:ascii="宋体" w:hAnsi="宋体" w:eastAsia="宋体" w:cs="宋体"/>
          <w:color w:val="auto"/>
          <w:sz w:val="21"/>
          <w:szCs w:val="21"/>
          <w:highlight w:val="none"/>
          <w:lang w:val="en-US" w:eastAsia="zh-CN"/>
        </w:rPr>
        <w:t>评标委员会</w:t>
      </w:r>
      <w:r>
        <w:rPr>
          <w:rFonts w:hint="eastAsia" w:ascii="宋体" w:hAnsi="宋体" w:eastAsia="宋体" w:cs="宋体"/>
          <w:color w:val="auto"/>
          <w:sz w:val="21"/>
          <w:szCs w:val="21"/>
          <w:highlight w:val="none"/>
        </w:rPr>
        <w:t>在打分前根据</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中售后服务承诺书的</w:t>
      </w:r>
      <w:r>
        <w:rPr>
          <w:rFonts w:hint="eastAsia" w:ascii="宋体" w:hAnsi="宋体" w:eastAsia="宋体" w:cs="宋体"/>
          <w:color w:val="auto"/>
          <w:szCs w:val="21"/>
          <w:highlight w:val="none"/>
        </w:rPr>
        <w:t>交付使用期、免费保修期、</w:t>
      </w:r>
      <w:r>
        <w:rPr>
          <w:rFonts w:hint="eastAsia" w:ascii="宋体" w:hAnsi="宋体" w:eastAsia="宋体" w:cs="宋体"/>
          <w:color w:val="auto"/>
          <w:sz w:val="21"/>
          <w:szCs w:val="21"/>
          <w:highlight w:val="none"/>
        </w:rPr>
        <w:t>到达故障现场时间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Cs w:val="21"/>
          <w:highlight w:val="none"/>
        </w:rPr>
        <w:t>技术服务、</w:t>
      </w:r>
      <w:r>
        <w:rPr>
          <w:rFonts w:hint="eastAsia" w:ascii="宋体" w:hAnsi="宋体" w:eastAsia="宋体" w:cs="宋体"/>
          <w:bCs/>
          <w:color w:val="auto"/>
          <w:sz w:val="21"/>
          <w:szCs w:val="21"/>
          <w:highlight w:val="none"/>
          <w:lang w:val="zh-CN"/>
        </w:rPr>
        <w:t>免费技术培训方案</w:t>
      </w: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定期回访（须注明时间）</w:t>
      </w:r>
      <w:r>
        <w:rPr>
          <w:rFonts w:hint="eastAsia" w:ascii="宋体" w:hAnsi="宋体" w:eastAsia="宋体" w:cs="宋体"/>
          <w:color w:val="auto"/>
          <w:sz w:val="21"/>
          <w:szCs w:val="21"/>
          <w:highlight w:val="none"/>
          <w:lang w:eastAsia="zh-CN"/>
        </w:rPr>
        <w:t>、</w:t>
      </w:r>
      <w:r>
        <w:rPr>
          <w:rFonts w:hint="eastAsia" w:ascii="宋体" w:hAnsi="宋体" w:eastAsia="宋体" w:cs="宋体"/>
          <w:bCs/>
          <w:color w:val="auto"/>
          <w:sz w:val="21"/>
          <w:szCs w:val="21"/>
          <w:highlight w:val="none"/>
          <w:lang w:val="zh-CN"/>
        </w:rPr>
        <w:t>出现故障解决方案、</w:t>
      </w:r>
      <w:r>
        <w:rPr>
          <w:rFonts w:hint="eastAsia" w:ascii="宋体" w:hAnsi="宋体" w:eastAsia="宋体" w:cs="宋体"/>
          <w:color w:val="auto"/>
          <w:sz w:val="21"/>
          <w:szCs w:val="21"/>
          <w:highlight w:val="none"/>
        </w:rPr>
        <w:t>故障期内备品备件提供</w:t>
      </w:r>
      <w:r>
        <w:rPr>
          <w:rFonts w:hint="eastAsia" w:ascii="宋体" w:hAnsi="宋体" w:eastAsia="宋体" w:cs="宋体"/>
          <w:bCs/>
          <w:color w:val="auto"/>
          <w:sz w:val="21"/>
          <w:szCs w:val="21"/>
          <w:highlight w:val="none"/>
          <w:lang w:val="zh-CN"/>
        </w:rPr>
        <w:t>、</w:t>
      </w:r>
      <w:r>
        <w:rPr>
          <w:rFonts w:hint="eastAsia" w:ascii="宋体" w:hAnsi="宋体" w:eastAsia="宋体" w:cs="宋体"/>
          <w:color w:val="auto"/>
          <w:szCs w:val="21"/>
          <w:highlight w:val="none"/>
        </w:rPr>
        <w:t>售后服务的内容和措施</w:t>
      </w:r>
      <w:r>
        <w:rPr>
          <w:rFonts w:hint="eastAsia" w:ascii="宋体" w:hAnsi="宋体" w:eastAsia="宋体" w:cs="宋体"/>
          <w:color w:val="auto"/>
          <w:sz w:val="21"/>
          <w:szCs w:val="21"/>
          <w:highlight w:val="none"/>
        </w:rPr>
        <w:t>等内容集体讨论确定</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各所属档次，由</w:t>
      </w:r>
      <w:r>
        <w:rPr>
          <w:rFonts w:hint="eastAsia" w:ascii="宋体" w:hAnsi="宋体" w:eastAsia="宋体" w:cs="宋体"/>
          <w:color w:val="auto"/>
          <w:sz w:val="21"/>
          <w:szCs w:val="21"/>
          <w:highlight w:val="none"/>
          <w:lang w:val="en-US" w:eastAsia="zh-CN"/>
        </w:rPr>
        <w:t>评标委员会</w:t>
      </w:r>
      <w:r>
        <w:rPr>
          <w:rFonts w:hint="eastAsia" w:ascii="宋体" w:hAnsi="宋体" w:eastAsia="宋体" w:cs="宋体"/>
          <w:color w:val="auto"/>
          <w:sz w:val="21"/>
          <w:szCs w:val="21"/>
          <w:highlight w:val="none"/>
        </w:rPr>
        <w:t>在确定后的所属档次内独立打分。</w:t>
      </w:r>
    </w:p>
    <w:p>
      <w:pPr>
        <w:pStyle w:val="12"/>
        <w:keepNext w:val="0"/>
        <w:keepLines w:val="0"/>
        <w:pageBreakBefore w:val="0"/>
        <w:widowControl w:val="0"/>
        <w:kinsoku/>
        <w:wordWrap/>
        <w:overflowPunct/>
        <w:topLinePunct w:val="0"/>
        <w:autoSpaceDE/>
        <w:autoSpaceDN/>
        <w:bidi w:val="0"/>
        <w:adjustRightInd/>
        <w:snapToGrid/>
        <w:spacing w:before="0" w:after="0" w:line="400" w:lineRule="exact"/>
        <w:ind w:firstLine="424" w:firstLineChars="200"/>
        <w:textAlignment w:val="auto"/>
        <w:outlineLvl w:val="0"/>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eastAsia="zh-CN"/>
        </w:rPr>
        <w:t>优</w:t>
      </w:r>
      <w:r>
        <w:rPr>
          <w:rFonts w:hint="eastAsia" w:ascii="宋体" w:hAnsi="宋体" w:eastAsia="宋体" w:cs="宋体"/>
          <w:color w:val="auto"/>
          <w:sz w:val="21"/>
          <w:szCs w:val="21"/>
          <w:highlight w:val="none"/>
        </w:rPr>
        <w:t>（</w:t>
      </w:r>
      <w:r>
        <w:rPr>
          <w:rFonts w:hint="eastAsia" w:hAnsi="宋体" w:cs="宋体"/>
          <w:color w:val="auto"/>
          <w:sz w:val="21"/>
          <w:szCs w:val="21"/>
          <w:highlight w:val="none"/>
          <w:lang w:val="en-US" w:eastAsia="zh-CN"/>
        </w:rPr>
        <w:t>6.1</w:t>
      </w:r>
      <w:r>
        <w:rPr>
          <w:rFonts w:hint="eastAsia" w:ascii="宋体" w:hAnsi="宋体" w:eastAsia="宋体" w:cs="宋体"/>
          <w:color w:val="auto"/>
          <w:sz w:val="21"/>
          <w:szCs w:val="21"/>
          <w:highlight w:val="none"/>
        </w:rPr>
        <w:t>～</w:t>
      </w:r>
      <w:r>
        <w:rPr>
          <w:rFonts w:hint="eastAsia"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分）：保修期满足</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w:t>
      </w:r>
      <w:r>
        <w:rPr>
          <w:rFonts w:hint="eastAsia" w:hAnsi="宋体" w:cs="宋体"/>
          <w:color w:val="auto"/>
          <w:sz w:val="21"/>
          <w:szCs w:val="21"/>
          <w:highlight w:val="none"/>
          <w:lang w:eastAsia="zh-CN"/>
        </w:rPr>
        <w:t>，</w:t>
      </w:r>
      <w:r>
        <w:rPr>
          <w:rFonts w:hint="eastAsia" w:ascii="宋体" w:hAnsi="宋体" w:eastAsia="宋体" w:cs="宋体"/>
          <w:color w:val="auto"/>
          <w:sz w:val="21"/>
          <w:szCs w:val="21"/>
          <w:highlight w:val="none"/>
        </w:rPr>
        <w:t>保修期满后</w:t>
      </w:r>
      <w:r>
        <w:rPr>
          <w:rFonts w:hint="eastAsia" w:hAnsi="宋体" w:cs="宋体"/>
          <w:color w:val="auto"/>
          <w:sz w:val="21"/>
          <w:szCs w:val="21"/>
          <w:highlight w:val="none"/>
          <w:lang w:val="en-US" w:eastAsia="zh-CN"/>
        </w:rPr>
        <w:t>有</w:t>
      </w:r>
      <w:r>
        <w:rPr>
          <w:rFonts w:hint="eastAsia" w:ascii="宋体" w:hAnsi="宋体" w:eastAsia="宋体" w:cs="宋体"/>
          <w:color w:val="auto"/>
          <w:sz w:val="21"/>
          <w:szCs w:val="21"/>
          <w:highlight w:val="none"/>
        </w:rPr>
        <w:t>维修零配件优惠，到达现场处理故障时间为</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小时以内,</w:t>
      </w:r>
      <w:r>
        <w:rPr>
          <w:rFonts w:hint="eastAsia" w:ascii="宋体" w:hAnsi="宋体" w:eastAsia="宋体" w:cs="宋体"/>
          <w:color w:val="auto"/>
          <w:sz w:val="21"/>
          <w:szCs w:val="21"/>
          <w:highlight w:val="none"/>
          <w:lang w:val="en-US" w:eastAsia="zh-CN"/>
        </w:rPr>
        <w:t>售后服务人员能最大化的满足售后要求</w:t>
      </w:r>
      <w:r>
        <w:rPr>
          <w:rFonts w:hint="eastAsia"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有详细的免费培训计划、培训方案, 发生故障时有替代产品，提供技术支持服务，定期回访的。</w:t>
      </w:r>
    </w:p>
    <w:p>
      <w:pPr>
        <w:keepNext w:val="0"/>
        <w:keepLines w:val="0"/>
        <w:pageBreakBefore w:val="0"/>
        <w:widowControl w:val="0"/>
        <w:kinsoku/>
        <w:wordWrap/>
        <w:overflowPunct/>
        <w:topLinePunct w:val="0"/>
        <w:autoSpaceDE/>
        <w:autoSpaceDN/>
        <w:bidi w:val="0"/>
        <w:adjustRightInd/>
        <w:snapToGrid/>
        <w:spacing w:before="0" w:after="0" w:line="400" w:lineRule="exact"/>
        <w:ind w:firstLine="424" w:firstLineChars="200"/>
        <w:textAlignment w:val="auto"/>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eastAsia="zh-CN"/>
        </w:rPr>
        <w:t>良</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：保修期满足</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保修期满后</w:t>
      </w:r>
      <w:r>
        <w:rPr>
          <w:rFonts w:hint="eastAsia" w:ascii="宋体" w:hAnsi="宋体" w:cs="宋体"/>
          <w:color w:val="auto"/>
          <w:sz w:val="21"/>
          <w:szCs w:val="21"/>
          <w:highlight w:val="none"/>
          <w:lang w:val="en-US" w:eastAsia="zh-CN"/>
        </w:rPr>
        <w:t>有</w:t>
      </w:r>
      <w:r>
        <w:rPr>
          <w:rFonts w:hint="eastAsia" w:ascii="宋体" w:hAnsi="宋体" w:eastAsia="宋体" w:cs="宋体"/>
          <w:color w:val="auto"/>
          <w:sz w:val="21"/>
          <w:szCs w:val="21"/>
          <w:highlight w:val="none"/>
        </w:rPr>
        <w:t>维修零配件优惠，到达现场处理故障时间为</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小时以内，</w:t>
      </w:r>
      <w:r>
        <w:rPr>
          <w:rFonts w:hint="eastAsia" w:ascii="宋体" w:hAnsi="宋体" w:eastAsia="宋体" w:cs="宋体"/>
          <w:color w:val="auto"/>
          <w:sz w:val="21"/>
          <w:szCs w:val="21"/>
          <w:highlight w:val="none"/>
          <w:lang w:eastAsia="zh-CN"/>
        </w:rPr>
        <w:t>售后服务人员能满足售后要求，</w:t>
      </w:r>
      <w:r>
        <w:rPr>
          <w:rFonts w:hint="eastAsia" w:ascii="宋体" w:hAnsi="宋体" w:eastAsia="宋体" w:cs="宋体"/>
          <w:color w:val="auto"/>
          <w:sz w:val="21"/>
          <w:szCs w:val="21"/>
          <w:highlight w:val="none"/>
        </w:rPr>
        <w:t>有较详细的免费培训计划</w:t>
      </w:r>
      <w:r>
        <w:rPr>
          <w:rFonts w:hint="eastAsia" w:ascii="宋体" w:hAnsi="宋体" w:eastAsia="宋体" w:cs="宋体"/>
          <w:color w:val="auto"/>
          <w:sz w:val="21"/>
          <w:szCs w:val="21"/>
          <w:highlight w:val="none"/>
          <w:lang w:val="en-US" w:eastAsia="zh-CN"/>
        </w:rPr>
        <w:t>方案</w:t>
      </w:r>
      <w:r>
        <w:rPr>
          <w:rFonts w:hint="eastAsia" w:ascii="宋体" w:hAnsi="宋体" w:eastAsia="宋体" w:cs="宋体"/>
          <w:color w:val="auto"/>
          <w:sz w:val="21"/>
          <w:szCs w:val="21"/>
          <w:highlight w:val="none"/>
        </w:rPr>
        <w:t>。</w:t>
      </w:r>
    </w:p>
    <w:p>
      <w:pPr>
        <w:pStyle w:val="12"/>
        <w:spacing w:line="370" w:lineRule="exact"/>
        <w:ind w:firstLine="424" w:firstLineChars="200"/>
        <w:outlineLvl w:val="0"/>
        <w:rPr>
          <w:rFonts w:hint="eastAsia" w:eastAsia="宋体"/>
          <w:color w:val="auto"/>
          <w:highlight w:val="none"/>
          <w:lang w:eastAsia="zh-CN"/>
        </w:rPr>
      </w:pPr>
      <w:r>
        <w:rPr>
          <w:rFonts w:hint="eastAsia" w:hAnsi="宋体" w:eastAsia="宋体" w:cs="宋体"/>
          <w:color w:val="auto"/>
          <w:sz w:val="21"/>
          <w:szCs w:val="21"/>
          <w:highlight w:val="none"/>
          <w:lang w:eastAsia="zh-CN"/>
        </w:rPr>
        <w:t>差</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0.1</w:t>
      </w:r>
      <w:r>
        <w:rPr>
          <w:rFonts w:hint="eastAsia" w:ascii="宋体" w:hAnsi="宋体" w:eastAsia="宋体" w:cs="宋体"/>
          <w:color w:val="auto"/>
          <w:sz w:val="21"/>
          <w:szCs w:val="21"/>
          <w:highlight w:val="none"/>
        </w:rPr>
        <w:t>～</w:t>
      </w:r>
      <w:r>
        <w:rPr>
          <w:rFonts w:hint="eastAsia"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：保修期满足</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要求，保修期满后</w:t>
      </w:r>
      <w:r>
        <w:rPr>
          <w:rFonts w:hint="eastAsia" w:hAnsi="宋体" w:cs="宋体"/>
          <w:color w:val="auto"/>
          <w:sz w:val="21"/>
          <w:szCs w:val="21"/>
          <w:highlight w:val="none"/>
          <w:lang w:val="en-US" w:eastAsia="zh-CN"/>
        </w:rPr>
        <w:t>有</w:t>
      </w:r>
      <w:r>
        <w:rPr>
          <w:rFonts w:hint="eastAsia" w:ascii="宋体" w:hAnsi="宋体" w:eastAsia="宋体" w:cs="宋体"/>
          <w:color w:val="auto"/>
          <w:sz w:val="21"/>
          <w:szCs w:val="21"/>
          <w:highlight w:val="none"/>
        </w:rPr>
        <w:t>维修零配件优惠，到达现场处理故障时间为8小时以内，</w:t>
      </w:r>
      <w:r>
        <w:rPr>
          <w:rFonts w:hint="eastAsia" w:ascii="宋体" w:hAnsi="宋体" w:eastAsia="宋体" w:cs="宋体"/>
          <w:color w:val="auto"/>
          <w:sz w:val="21"/>
          <w:szCs w:val="21"/>
          <w:highlight w:val="none"/>
          <w:lang w:eastAsia="zh-CN"/>
        </w:rPr>
        <w:t>售后服务人员能基本满足售后要求</w:t>
      </w:r>
      <w:r>
        <w:rPr>
          <w:rFonts w:hint="eastAsia" w:ascii="宋体" w:hAnsi="宋体" w:eastAsia="宋体" w:cs="宋体"/>
          <w:color w:val="auto"/>
          <w:sz w:val="21"/>
          <w:szCs w:val="21"/>
          <w:highlight w:val="none"/>
        </w:rPr>
        <w:t>有免费培训计划</w:t>
      </w:r>
      <w:r>
        <w:rPr>
          <w:rFonts w:hint="eastAsia" w:ascii="宋体" w:hAnsi="宋体" w:eastAsia="宋体" w:cs="宋体"/>
          <w:color w:val="auto"/>
          <w:sz w:val="21"/>
          <w:szCs w:val="21"/>
          <w:highlight w:val="none"/>
          <w:lang w:val="en-US" w:eastAsia="zh-CN"/>
        </w:rPr>
        <w:t>方案</w:t>
      </w:r>
      <w:r>
        <w:rPr>
          <w:rFonts w:hint="eastAsia" w:ascii="宋体" w:hAnsi="宋体" w:eastAsia="宋体" w:cs="宋体"/>
          <w:color w:val="auto"/>
          <w:sz w:val="21"/>
          <w:szCs w:val="21"/>
          <w:highlight w:val="none"/>
          <w:lang w:eastAsia="zh-CN"/>
        </w:rPr>
        <w:t>。</w:t>
      </w:r>
    </w:p>
    <w:p>
      <w:pPr>
        <w:pStyle w:val="12"/>
        <w:spacing w:line="440" w:lineRule="exact"/>
        <w:ind w:firstLine="632" w:firstLineChars="299"/>
        <w:rPr>
          <w:rFonts w:hint="default" w:hAnsi="宋体" w:eastAsia="宋体"/>
          <w:b/>
          <w:color w:val="auto"/>
          <w:highlight w:val="none"/>
          <w:lang w:val="en-US" w:eastAsia="zh-CN"/>
        </w:rPr>
      </w:pPr>
      <w:r>
        <w:rPr>
          <w:rFonts w:hint="eastAsia" w:hAnsi="宋体"/>
          <w:b/>
          <w:bCs/>
          <w:color w:val="auto"/>
          <w:highlight w:val="none"/>
          <w:lang w:val="en-US" w:eastAsia="zh-CN"/>
        </w:rPr>
        <w:t>5</w:t>
      </w:r>
      <w:r>
        <w:rPr>
          <w:rFonts w:hint="eastAsia" w:hAnsi="宋体"/>
          <w:b/>
          <w:bCs/>
          <w:color w:val="auto"/>
          <w:highlight w:val="none"/>
        </w:rPr>
        <w:t>.综合得分＝1+2+3+4</w:t>
      </w:r>
    </w:p>
    <w:p>
      <w:pPr>
        <w:pStyle w:val="12"/>
        <w:tabs>
          <w:tab w:val="left" w:pos="4214"/>
        </w:tabs>
        <w:spacing w:line="440" w:lineRule="exact"/>
        <w:ind w:firstLine="424" w:firstLineChars="200"/>
        <w:rPr>
          <w:rFonts w:hAnsi="宋体"/>
          <w:b/>
          <w:color w:val="auto"/>
          <w:highlight w:val="none"/>
        </w:rPr>
      </w:pPr>
      <w:r>
        <w:rPr>
          <w:rFonts w:hint="eastAsia" w:hAnsi="宋体"/>
          <w:b/>
          <w:color w:val="auto"/>
          <w:highlight w:val="none"/>
        </w:rPr>
        <w:t>三、推荐及确定中标候选供应商原则</w:t>
      </w:r>
    </w:p>
    <w:p>
      <w:pPr>
        <w:pStyle w:val="12"/>
        <w:tabs>
          <w:tab w:val="left" w:pos="4214"/>
        </w:tabs>
        <w:spacing w:line="430" w:lineRule="exact"/>
        <w:ind w:firstLine="424" w:firstLineChars="200"/>
        <w:rPr>
          <w:rFonts w:hAnsi="宋体"/>
          <w:color w:val="auto"/>
          <w:szCs w:val="21"/>
          <w:highlight w:val="none"/>
        </w:rPr>
      </w:pPr>
      <w:r>
        <w:rPr>
          <w:rFonts w:hint="eastAsia" w:hAnsi="宋体"/>
          <w:color w:val="auto"/>
          <w:szCs w:val="21"/>
          <w:highlight w:val="none"/>
        </w:rPr>
        <w:t>（1）</w:t>
      </w:r>
      <w:r>
        <w:rPr>
          <w:rFonts w:hint="eastAsia" w:hAnsi="宋体" w:cs="宋体"/>
          <w:color w:val="auto"/>
          <w:szCs w:val="21"/>
          <w:highlight w:val="none"/>
        </w:rPr>
        <w:t>评标委员会根据综合得分由高到低排列次序，若得分相同时，按评标价由低到高顺序排列；若得分相同且评标价也相同的，按</w:t>
      </w:r>
      <w:r>
        <w:rPr>
          <w:rFonts w:hint="eastAsia" w:hAnsi="宋体" w:cs="宋体"/>
          <w:color w:val="auto"/>
          <w:szCs w:val="21"/>
          <w:highlight w:val="none"/>
          <w:lang w:val="en-US" w:eastAsia="zh-CN"/>
        </w:rPr>
        <w:t>技术</w:t>
      </w:r>
      <w:r>
        <w:rPr>
          <w:rFonts w:hint="eastAsia" w:hAnsi="宋体" w:cs="宋体"/>
          <w:color w:val="auto"/>
          <w:szCs w:val="21"/>
          <w:highlight w:val="none"/>
        </w:rPr>
        <w:t>分由高到低顺序确定中标供应商，若</w:t>
      </w:r>
      <w:r>
        <w:rPr>
          <w:rFonts w:hint="eastAsia" w:hAnsi="宋体" w:cs="宋体"/>
          <w:color w:val="auto"/>
          <w:szCs w:val="21"/>
          <w:highlight w:val="none"/>
          <w:lang w:val="en-US" w:eastAsia="zh-CN"/>
        </w:rPr>
        <w:t>技术</w:t>
      </w:r>
      <w:r>
        <w:rPr>
          <w:rFonts w:hint="eastAsia" w:hAnsi="宋体" w:cs="宋体"/>
          <w:color w:val="auto"/>
          <w:szCs w:val="21"/>
          <w:highlight w:val="none"/>
        </w:rPr>
        <w:t>分也相同的由评标委员会按照抽签的方式决定排次次序。</w:t>
      </w:r>
    </w:p>
    <w:p>
      <w:pPr>
        <w:pStyle w:val="12"/>
        <w:tabs>
          <w:tab w:val="left" w:pos="4214"/>
        </w:tabs>
        <w:spacing w:line="440" w:lineRule="exact"/>
        <w:ind w:firstLine="424" w:firstLineChars="200"/>
        <w:rPr>
          <w:rFonts w:hAnsi="宋体"/>
          <w:color w:val="auto"/>
          <w:szCs w:val="21"/>
          <w:highlight w:val="none"/>
        </w:rPr>
      </w:pPr>
      <w:r>
        <w:rPr>
          <w:rFonts w:hint="eastAsia" w:hAnsi="宋体"/>
          <w:color w:val="auto"/>
          <w:szCs w:val="21"/>
          <w:highlight w:val="none"/>
        </w:rPr>
        <w:t>（2）进入详评的</w:t>
      </w:r>
      <w:r>
        <w:rPr>
          <w:rFonts w:hint="eastAsia" w:hAnsi="宋体" w:cs="宋体"/>
          <w:color w:val="auto"/>
          <w:szCs w:val="21"/>
          <w:highlight w:val="none"/>
          <w:lang w:val="en-US" w:eastAsia="zh-CN"/>
        </w:rPr>
        <w:t>供应商</w:t>
      </w:r>
      <w:r>
        <w:rPr>
          <w:rFonts w:hint="eastAsia" w:hAnsi="宋体"/>
          <w:color w:val="auto"/>
          <w:szCs w:val="21"/>
          <w:highlight w:val="none"/>
        </w:rPr>
        <w:t>为五家以上(含五家)的，可推荐前三名为中标候选供应商，进入详评的</w:t>
      </w:r>
      <w:r>
        <w:rPr>
          <w:rFonts w:hint="eastAsia" w:hAnsi="宋体" w:cs="宋体"/>
          <w:color w:val="auto"/>
          <w:szCs w:val="21"/>
          <w:highlight w:val="none"/>
          <w:lang w:val="en-US" w:eastAsia="zh-CN"/>
        </w:rPr>
        <w:t>供应商</w:t>
      </w:r>
      <w:r>
        <w:rPr>
          <w:rFonts w:hint="eastAsia" w:hAnsi="宋体"/>
          <w:color w:val="auto"/>
          <w:szCs w:val="21"/>
          <w:highlight w:val="none"/>
        </w:rPr>
        <w:t>为四家以下(含四家)的，可推荐前两名为中标候选供应商。招标采购单位应当确定评审委员会推荐排名第一的中标候选供应商为中标供应商。</w:t>
      </w:r>
    </w:p>
    <w:p>
      <w:pPr>
        <w:pStyle w:val="12"/>
        <w:tabs>
          <w:tab w:val="left" w:pos="4214"/>
        </w:tabs>
        <w:spacing w:line="440" w:lineRule="exact"/>
        <w:ind w:firstLine="424" w:firstLineChars="200"/>
        <w:rPr>
          <w:rFonts w:hAnsi="宋体"/>
          <w:color w:val="auto"/>
          <w:szCs w:val="21"/>
          <w:highlight w:val="none"/>
        </w:rPr>
      </w:pPr>
      <w:r>
        <w:rPr>
          <w:rFonts w:hint="eastAsia" w:hAnsi="宋体"/>
          <w:color w:val="auto"/>
          <w:szCs w:val="21"/>
          <w:highlight w:val="none"/>
        </w:rPr>
        <w:t>（3）排名第一的中标候选供应商放弃中标、因不可抗力提出不能履行合同，或者</w:t>
      </w:r>
      <w:r>
        <w:rPr>
          <w:rFonts w:hint="eastAsia" w:hAnsi="宋体"/>
          <w:color w:val="auto"/>
          <w:szCs w:val="21"/>
          <w:highlight w:val="none"/>
          <w:lang w:eastAsia="zh-CN"/>
        </w:rPr>
        <w:t>采购文件</w:t>
      </w:r>
      <w:r>
        <w:rPr>
          <w:rFonts w:hint="eastAsia" w:hAnsi="宋体"/>
          <w:color w:val="auto"/>
          <w:szCs w:val="21"/>
          <w:highlight w:val="none"/>
        </w:rPr>
        <w:t>规定应当提交履约保证金而在规定的期限内未能提交的，或因失信行为被取消中标候选供应商资格的，采购供应商可以确定排名第二的中标候选供应商为中标供应商，并依此类推。</w:t>
      </w:r>
    </w:p>
    <w:p>
      <w:pPr>
        <w:pStyle w:val="12"/>
        <w:tabs>
          <w:tab w:val="left" w:pos="4214"/>
        </w:tabs>
        <w:spacing w:line="440" w:lineRule="exact"/>
        <w:ind w:firstLine="424" w:firstLineChars="200"/>
        <w:rPr>
          <w:rFonts w:hAnsi="宋体"/>
          <w:color w:val="auto"/>
          <w:szCs w:val="21"/>
          <w:highlight w:val="none"/>
        </w:rPr>
      </w:pPr>
    </w:p>
    <w:p>
      <w:pPr>
        <w:pStyle w:val="12"/>
        <w:tabs>
          <w:tab w:val="left" w:pos="4214"/>
        </w:tabs>
        <w:spacing w:line="400" w:lineRule="exact"/>
        <w:ind w:firstLine="424" w:firstLineChars="200"/>
        <w:rPr>
          <w:rFonts w:hAnsi="宋体"/>
          <w:color w:val="auto"/>
          <w:szCs w:val="21"/>
          <w:highlight w:val="none"/>
        </w:rPr>
      </w:pPr>
    </w:p>
    <w:p>
      <w:pPr>
        <w:pStyle w:val="12"/>
        <w:tabs>
          <w:tab w:val="left" w:pos="4214"/>
        </w:tabs>
        <w:spacing w:line="400" w:lineRule="exact"/>
        <w:ind w:firstLine="424" w:firstLineChars="200"/>
        <w:rPr>
          <w:rFonts w:hAnsi="宋体"/>
          <w:color w:val="auto"/>
          <w:szCs w:val="21"/>
          <w:highlight w:val="none"/>
        </w:rPr>
      </w:pPr>
    </w:p>
    <w:p>
      <w:pPr>
        <w:pStyle w:val="12"/>
        <w:tabs>
          <w:tab w:val="left" w:pos="4214"/>
        </w:tabs>
        <w:spacing w:line="400" w:lineRule="exact"/>
        <w:ind w:firstLine="424" w:firstLineChars="200"/>
        <w:rPr>
          <w:rFonts w:hAnsi="宋体"/>
          <w:color w:val="auto"/>
          <w:szCs w:val="21"/>
          <w:highlight w:val="none"/>
        </w:rPr>
      </w:pPr>
    </w:p>
    <w:p>
      <w:pPr>
        <w:pStyle w:val="13"/>
        <w:rPr>
          <w:rFonts w:hAnsi="宋体"/>
          <w:color w:val="auto"/>
          <w:szCs w:val="21"/>
          <w:highlight w:val="none"/>
        </w:rPr>
      </w:pPr>
    </w:p>
    <w:p>
      <w:pPr>
        <w:rPr>
          <w:rFonts w:hAnsi="宋体"/>
          <w:color w:val="auto"/>
          <w:szCs w:val="21"/>
          <w:highlight w:val="none"/>
        </w:rPr>
      </w:pPr>
    </w:p>
    <w:p>
      <w:pPr>
        <w:pStyle w:val="6"/>
        <w:rPr>
          <w:rFonts w:hAnsi="宋体"/>
          <w:color w:val="auto"/>
          <w:szCs w:val="21"/>
          <w:highlight w:val="none"/>
        </w:rPr>
      </w:pPr>
    </w:p>
    <w:p>
      <w:pPr>
        <w:rPr>
          <w:color w:val="auto"/>
          <w:highlight w:val="none"/>
        </w:rPr>
      </w:pPr>
    </w:p>
    <w:p>
      <w:pPr>
        <w:rPr>
          <w:rFonts w:hAnsi="宋体"/>
          <w:color w:val="auto"/>
          <w:szCs w:val="21"/>
          <w:highlight w:val="none"/>
        </w:rPr>
      </w:pPr>
    </w:p>
    <w:p>
      <w:pPr>
        <w:pStyle w:val="12"/>
        <w:tabs>
          <w:tab w:val="left" w:pos="4214"/>
        </w:tabs>
        <w:spacing w:line="400" w:lineRule="exact"/>
        <w:ind w:firstLine="424" w:firstLineChars="200"/>
        <w:rPr>
          <w:rFonts w:hAnsi="宋体"/>
          <w:color w:val="auto"/>
          <w:szCs w:val="21"/>
          <w:highlight w:val="none"/>
        </w:rPr>
      </w:pPr>
    </w:p>
    <w:p>
      <w:pPr>
        <w:pStyle w:val="13"/>
        <w:ind w:left="0" w:leftChars="0" w:firstLine="0" w:firstLineChars="0"/>
        <w:rPr>
          <w:rFonts w:hAnsi="宋体"/>
          <w:color w:val="auto"/>
          <w:szCs w:val="21"/>
          <w:highlight w:val="none"/>
        </w:rPr>
      </w:pPr>
    </w:p>
    <w:p>
      <w:pPr>
        <w:rPr>
          <w:color w:val="auto"/>
          <w:highlight w:val="none"/>
        </w:rPr>
      </w:pPr>
    </w:p>
    <w:p>
      <w:pPr>
        <w:pStyle w:val="12"/>
        <w:tabs>
          <w:tab w:val="left" w:pos="4214"/>
        </w:tabs>
        <w:spacing w:line="400" w:lineRule="exact"/>
        <w:ind w:firstLine="604" w:firstLineChars="200"/>
        <w:jc w:val="center"/>
        <w:rPr>
          <w:rFonts w:hAnsi="宋体"/>
          <w:b/>
          <w:bCs/>
          <w:color w:val="auto"/>
          <w:sz w:val="30"/>
          <w:szCs w:val="30"/>
          <w:highlight w:val="none"/>
        </w:rPr>
      </w:pPr>
      <w:r>
        <w:rPr>
          <w:rFonts w:hint="eastAsia" w:hAnsi="宋体"/>
          <w:b/>
          <w:bCs/>
          <w:color w:val="auto"/>
          <w:sz w:val="30"/>
          <w:szCs w:val="30"/>
          <w:highlight w:val="none"/>
        </w:rPr>
        <w:t>第五章  采购合同（合同主要条款及格式）</w:t>
      </w:r>
      <w:bookmarkEnd w:id="29"/>
    </w:p>
    <w:p>
      <w:pPr>
        <w:spacing w:line="360" w:lineRule="auto"/>
        <w:rPr>
          <w:rFonts w:ascii="宋体" w:hAnsi="宋体"/>
          <w:color w:val="auto"/>
          <w:highlight w:val="none"/>
        </w:rPr>
      </w:pPr>
    </w:p>
    <w:p>
      <w:pPr>
        <w:spacing w:line="360" w:lineRule="auto"/>
        <w:rPr>
          <w:rFonts w:ascii="宋体" w:hAnsi="宋体"/>
          <w:color w:val="auto"/>
          <w:highlight w:val="none"/>
        </w:rPr>
      </w:pPr>
      <w:r>
        <w:rPr>
          <w:rFonts w:hint="eastAsia" w:ascii="宋体" w:hAnsi="宋体"/>
          <w:color w:val="auto"/>
          <w:highlight w:val="none"/>
        </w:rPr>
        <w:t>项目名称：</w:t>
      </w:r>
    </w:p>
    <w:p>
      <w:pPr>
        <w:spacing w:line="360" w:lineRule="auto"/>
        <w:rPr>
          <w:rFonts w:ascii="宋体" w:hAnsi="宋体"/>
          <w:color w:val="auto"/>
          <w:highlight w:val="none"/>
        </w:rPr>
      </w:pPr>
      <w:r>
        <w:rPr>
          <w:rFonts w:hint="eastAsia" w:ascii="宋体" w:hAnsi="宋体"/>
          <w:color w:val="auto"/>
          <w:highlight w:val="none"/>
        </w:rPr>
        <w:t>项目编号：</w:t>
      </w:r>
    </w:p>
    <w:p>
      <w:pPr>
        <w:spacing w:line="360" w:lineRule="auto"/>
        <w:rPr>
          <w:rFonts w:ascii="宋体" w:hAnsi="宋体"/>
          <w:color w:val="auto"/>
          <w:highlight w:val="none"/>
        </w:rPr>
      </w:pPr>
      <w:r>
        <w:rPr>
          <w:rFonts w:hint="eastAsia" w:ascii="宋体" w:hAnsi="宋体"/>
          <w:color w:val="auto"/>
          <w:highlight w:val="none"/>
        </w:rPr>
        <w:t>甲方：</w:t>
      </w:r>
      <w:r>
        <w:rPr>
          <w:rFonts w:hint="eastAsia" w:ascii="宋体" w:hAnsi="宋体"/>
          <w:color w:val="auto"/>
          <w:highlight w:val="none"/>
          <w:u w:val="single"/>
        </w:rPr>
        <w:t xml:space="preserve">                                                      </w:t>
      </w:r>
      <w:r>
        <w:rPr>
          <w:rFonts w:hint="eastAsia" w:ascii="宋体" w:hAnsi="宋体"/>
          <w:color w:val="auto"/>
          <w:highlight w:val="none"/>
        </w:rPr>
        <w:t>（采购人）</w:t>
      </w:r>
    </w:p>
    <w:p>
      <w:pPr>
        <w:spacing w:line="360" w:lineRule="auto"/>
        <w:rPr>
          <w:rFonts w:ascii="宋体" w:hAnsi="宋体"/>
          <w:color w:val="auto"/>
          <w:highlight w:val="none"/>
        </w:rPr>
      </w:pPr>
      <w:r>
        <w:rPr>
          <w:rFonts w:hint="eastAsia" w:ascii="宋体" w:hAnsi="宋体"/>
          <w:color w:val="auto"/>
          <w:highlight w:val="none"/>
        </w:rPr>
        <w:t>乙方：</w:t>
      </w:r>
      <w:r>
        <w:rPr>
          <w:rFonts w:hint="eastAsia" w:ascii="宋体" w:hAnsi="宋体"/>
          <w:color w:val="auto"/>
          <w:highlight w:val="none"/>
          <w:u w:val="single"/>
        </w:rPr>
        <w:t xml:space="preserve">                                                      </w:t>
      </w:r>
      <w:r>
        <w:rPr>
          <w:rFonts w:hint="eastAsia" w:ascii="宋体" w:hAnsi="宋体"/>
          <w:color w:val="auto"/>
          <w:highlight w:val="none"/>
        </w:rPr>
        <w:t>（中标供应商）</w:t>
      </w:r>
    </w:p>
    <w:p>
      <w:pPr>
        <w:spacing w:line="360" w:lineRule="auto"/>
        <w:rPr>
          <w:rFonts w:ascii="宋体" w:hAnsi="宋体"/>
          <w:color w:val="auto"/>
          <w:highlight w:val="none"/>
        </w:rPr>
      </w:pPr>
    </w:p>
    <w:p>
      <w:pPr>
        <w:spacing w:line="360" w:lineRule="auto"/>
        <w:ind w:firstLine="424" w:firstLineChars="200"/>
        <w:rPr>
          <w:rFonts w:ascii="宋体" w:hAnsi="宋体"/>
          <w:color w:val="auto"/>
          <w:highlight w:val="none"/>
        </w:rPr>
      </w:pPr>
      <w:r>
        <w:rPr>
          <w:rFonts w:hint="eastAsia" w:ascii="宋体" w:hAnsi="宋体"/>
          <w:color w:val="auto"/>
          <w:highlight w:val="none"/>
        </w:rPr>
        <w:t>根据《中华人民共和国政府采购法》、《中华人民共和国</w:t>
      </w:r>
      <w:r>
        <w:rPr>
          <w:rFonts w:hint="eastAsia" w:ascii="宋体" w:hAnsi="宋体"/>
          <w:color w:val="auto"/>
          <w:highlight w:val="none"/>
          <w:lang w:eastAsia="zh-CN"/>
        </w:rPr>
        <w:t>民法典</w:t>
      </w:r>
      <w:r>
        <w:rPr>
          <w:rFonts w:hint="eastAsia" w:ascii="宋体" w:hAnsi="宋体"/>
          <w:color w:val="auto"/>
          <w:highlight w:val="none"/>
        </w:rPr>
        <w:t>》等法律、法规规定，按照招、投标文件规定条款和中标供应商承诺、甲乙双方签订本采购合同。</w:t>
      </w:r>
    </w:p>
    <w:p>
      <w:pPr>
        <w:numPr>
          <w:ilvl w:val="0"/>
          <w:numId w:val="34"/>
        </w:numPr>
        <w:spacing w:line="360" w:lineRule="auto"/>
        <w:ind w:left="0" w:firstLine="424" w:firstLineChars="200"/>
        <w:rPr>
          <w:rFonts w:ascii="宋体" w:hAnsi="宋体"/>
          <w:b/>
          <w:color w:val="auto"/>
          <w:szCs w:val="21"/>
          <w:highlight w:val="none"/>
        </w:rPr>
      </w:pPr>
      <w:r>
        <w:rPr>
          <w:rFonts w:hint="eastAsia" w:ascii="宋体" w:hAnsi="宋体"/>
          <w:b/>
          <w:color w:val="auto"/>
          <w:szCs w:val="21"/>
          <w:highlight w:val="none"/>
        </w:rPr>
        <w:t>合同标的及合同金额</w:t>
      </w:r>
    </w:p>
    <w:tbl>
      <w:tblPr>
        <w:tblStyle w:val="21"/>
        <w:tblW w:w="977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2"/>
        <w:gridCol w:w="1445"/>
        <w:gridCol w:w="1483"/>
        <w:gridCol w:w="1073"/>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项号</w:t>
            </w:r>
          </w:p>
        </w:tc>
        <w:tc>
          <w:tcPr>
            <w:tcW w:w="123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货物名称</w:t>
            </w:r>
          </w:p>
        </w:tc>
        <w:tc>
          <w:tcPr>
            <w:tcW w:w="1445" w:type="dxa"/>
            <w:vAlign w:val="center"/>
          </w:tcPr>
          <w:p>
            <w:pPr>
              <w:spacing w:line="360" w:lineRule="auto"/>
              <w:jc w:val="center"/>
              <w:rPr>
                <w:rFonts w:ascii="宋体" w:hAnsi="宋体"/>
                <w:color w:val="auto"/>
                <w:szCs w:val="21"/>
                <w:highlight w:val="none"/>
              </w:rPr>
            </w:pPr>
            <w:r>
              <w:rPr>
                <w:rFonts w:hint="eastAsia" w:ascii="宋体" w:hAnsi="宋体"/>
                <w:color w:val="auto"/>
                <w:szCs w:val="30"/>
                <w:highlight w:val="none"/>
              </w:rPr>
              <w:t>厂家、品牌、规格型号</w:t>
            </w:r>
          </w:p>
        </w:tc>
        <w:tc>
          <w:tcPr>
            <w:tcW w:w="1483"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技术参数</w:t>
            </w:r>
          </w:p>
        </w:tc>
        <w:tc>
          <w:tcPr>
            <w:tcW w:w="1073"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数量</w:t>
            </w:r>
          </w:p>
          <w:p>
            <w:pPr>
              <w:spacing w:line="360" w:lineRule="auto"/>
              <w:jc w:val="center"/>
              <w:rPr>
                <w:rFonts w:ascii="宋体" w:hAnsi="宋体"/>
                <w:color w:val="auto"/>
                <w:szCs w:val="21"/>
                <w:highlight w:val="none"/>
              </w:rPr>
            </w:pPr>
            <w:r>
              <w:rPr>
                <w:rFonts w:hint="eastAsia" w:ascii="宋体" w:hAnsi="宋体"/>
                <w:color w:val="auto"/>
                <w:szCs w:val="21"/>
                <w:highlight w:val="none"/>
              </w:rPr>
              <w:t>①</w:t>
            </w:r>
          </w:p>
        </w:tc>
        <w:tc>
          <w:tcPr>
            <w:tcW w:w="714"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单位</w:t>
            </w:r>
          </w:p>
        </w:tc>
        <w:tc>
          <w:tcPr>
            <w:tcW w:w="1545"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单价（元）</w:t>
            </w:r>
          </w:p>
          <w:p>
            <w:pPr>
              <w:spacing w:line="360" w:lineRule="auto"/>
              <w:jc w:val="center"/>
              <w:rPr>
                <w:rFonts w:ascii="宋体" w:hAnsi="宋体"/>
                <w:color w:val="auto"/>
                <w:szCs w:val="21"/>
                <w:highlight w:val="none"/>
              </w:rPr>
            </w:pPr>
            <w:r>
              <w:rPr>
                <w:rFonts w:hint="eastAsia" w:ascii="宋体" w:hAnsi="宋体"/>
                <w:color w:val="auto"/>
                <w:szCs w:val="21"/>
                <w:highlight w:val="none"/>
              </w:rPr>
              <w:t>②</w:t>
            </w:r>
          </w:p>
        </w:tc>
        <w:tc>
          <w:tcPr>
            <w:tcW w:w="1575" w:type="dxa"/>
            <w:vAlign w:val="center"/>
          </w:tcPr>
          <w:p>
            <w:pPr>
              <w:spacing w:line="360" w:lineRule="auto"/>
              <w:jc w:val="center"/>
              <w:rPr>
                <w:rFonts w:ascii="宋体" w:hAnsi="宋体"/>
                <w:color w:val="auto"/>
                <w:szCs w:val="21"/>
                <w:highlight w:val="none"/>
              </w:rPr>
            </w:pPr>
            <w:r>
              <w:rPr>
                <w:rFonts w:hint="eastAsia" w:ascii="宋体" w:hAnsi="宋体"/>
                <w:b/>
                <w:color w:val="auto"/>
                <w:szCs w:val="21"/>
                <w:highlight w:val="none"/>
              </w:rPr>
              <w:t>单项合计金额</w:t>
            </w:r>
            <w:r>
              <w:rPr>
                <w:rFonts w:hint="eastAsia" w:ascii="宋体" w:hAnsi="宋体"/>
                <w:color w:val="auto"/>
                <w:szCs w:val="21"/>
                <w:highlight w:val="none"/>
              </w:rPr>
              <w:t>（元）</w:t>
            </w:r>
          </w:p>
          <w:p>
            <w:pPr>
              <w:spacing w:line="360" w:lineRule="auto"/>
              <w:jc w:val="center"/>
              <w:rPr>
                <w:rFonts w:ascii="宋体" w:hAnsi="宋体"/>
                <w:color w:val="auto"/>
                <w:szCs w:val="21"/>
                <w:highlight w:val="none"/>
              </w:rPr>
            </w:pPr>
            <w:r>
              <w:rPr>
                <w:rFonts w:hint="eastAsia" w:ascii="宋体" w:hAnsi="宋体"/>
                <w:color w:val="auto"/>
                <w:szCs w:val="21"/>
                <w:highlight w:val="none"/>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1</w:t>
            </w:r>
          </w:p>
        </w:tc>
        <w:tc>
          <w:tcPr>
            <w:tcW w:w="1232" w:type="dxa"/>
            <w:vAlign w:val="center"/>
          </w:tcPr>
          <w:p>
            <w:pPr>
              <w:spacing w:line="360" w:lineRule="auto"/>
              <w:rPr>
                <w:rFonts w:ascii="宋体" w:hAnsi="宋体"/>
                <w:color w:val="auto"/>
                <w:szCs w:val="21"/>
                <w:highlight w:val="none"/>
              </w:rPr>
            </w:pPr>
          </w:p>
        </w:tc>
        <w:tc>
          <w:tcPr>
            <w:tcW w:w="1445" w:type="dxa"/>
            <w:vAlign w:val="center"/>
          </w:tcPr>
          <w:p>
            <w:pPr>
              <w:spacing w:line="360" w:lineRule="auto"/>
              <w:rPr>
                <w:rFonts w:ascii="宋体" w:hAnsi="宋体"/>
                <w:color w:val="auto"/>
                <w:szCs w:val="21"/>
                <w:highlight w:val="none"/>
              </w:rPr>
            </w:pPr>
          </w:p>
        </w:tc>
        <w:tc>
          <w:tcPr>
            <w:tcW w:w="1483" w:type="dxa"/>
            <w:vAlign w:val="center"/>
          </w:tcPr>
          <w:p>
            <w:pPr>
              <w:spacing w:line="360" w:lineRule="auto"/>
              <w:rPr>
                <w:rFonts w:ascii="宋体" w:hAnsi="宋体"/>
                <w:color w:val="auto"/>
                <w:szCs w:val="21"/>
                <w:highlight w:val="none"/>
              </w:rPr>
            </w:pPr>
          </w:p>
        </w:tc>
        <w:tc>
          <w:tcPr>
            <w:tcW w:w="1073" w:type="dxa"/>
          </w:tcPr>
          <w:p>
            <w:pPr>
              <w:spacing w:line="360" w:lineRule="auto"/>
              <w:rPr>
                <w:rFonts w:ascii="宋体" w:hAnsi="宋体"/>
                <w:color w:val="auto"/>
                <w:szCs w:val="21"/>
                <w:highlight w:val="none"/>
              </w:rPr>
            </w:pPr>
          </w:p>
        </w:tc>
        <w:tc>
          <w:tcPr>
            <w:tcW w:w="714" w:type="dxa"/>
          </w:tcPr>
          <w:p>
            <w:pPr>
              <w:spacing w:line="360" w:lineRule="auto"/>
              <w:rPr>
                <w:rFonts w:ascii="宋体" w:hAnsi="宋体"/>
                <w:color w:val="auto"/>
                <w:szCs w:val="21"/>
                <w:highlight w:val="none"/>
              </w:rPr>
            </w:pPr>
          </w:p>
        </w:tc>
        <w:tc>
          <w:tcPr>
            <w:tcW w:w="1545" w:type="dxa"/>
            <w:vAlign w:val="center"/>
          </w:tcPr>
          <w:p>
            <w:pPr>
              <w:spacing w:line="360" w:lineRule="auto"/>
              <w:rPr>
                <w:rFonts w:ascii="宋体" w:hAnsi="宋体"/>
                <w:color w:val="auto"/>
                <w:szCs w:val="21"/>
                <w:highlight w:val="none"/>
              </w:rPr>
            </w:pPr>
          </w:p>
        </w:tc>
        <w:tc>
          <w:tcPr>
            <w:tcW w:w="1575" w:type="dxa"/>
            <w:vAlign w:val="center"/>
          </w:tcPr>
          <w:p>
            <w:pPr>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2</w:t>
            </w:r>
          </w:p>
        </w:tc>
        <w:tc>
          <w:tcPr>
            <w:tcW w:w="1232" w:type="dxa"/>
            <w:vAlign w:val="center"/>
          </w:tcPr>
          <w:p>
            <w:pPr>
              <w:spacing w:line="360" w:lineRule="auto"/>
              <w:rPr>
                <w:rFonts w:ascii="宋体" w:hAnsi="宋体"/>
                <w:color w:val="auto"/>
                <w:szCs w:val="21"/>
                <w:highlight w:val="none"/>
              </w:rPr>
            </w:pPr>
          </w:p>
        </w:tc>
        <w:tc>
          <w:tcPr>
            <w:tcW w:w="1445" w:type="dxa"/>
            <w:vAlign w:val="center"/>
          </w:tcPr>
          <w:p>
            <w:pPr>
              <w:spacing w:line="360" w:lineRule="auto"/>
              <w:rPr>
                <w:rFonts w:ascii="宋体" w:hAnsi="宋体"/>
                <w:color w:val="auto"/>
                <w:szCs w:val="21"/>
                <w:highlight w:val="none"/>
              </w:rPr>
            </w:pPr>
          </w:p>
        </w:tc>
        <w:tc>
          <w:tcPr>
            <w:tcW w:w="1483" w:type="dxa"/>
            <w:vAlign w:val="center"/>
          </w:tcPr>
          <w:p>
            <w:pPr>
              <w:spacing w:line="360" w:lineRule="auto"/>
              <w:rPr>
                <w:rFonts w:ascii="宋体" w:hAnsi="宋体"/>
                <w:color w:val="auto"/>
                <w:szCs w:val="21"/>
                <w:highlight w:val="none"/>
              </w:rPr>
            </w:pPr>
          </w:p>
        </w:tc>
        <w:tc>
          <w:tcPr>
            <w:tcW w:w="1073" w:type="dxa"/>
          </w:tcPr>
          <w:p>
            <w:pPr>
              <w:spacing w:line="360" w:lineRule="auto"/>
              <w:rPr>
                <w:rFonts w:ascii="宋体" w:hAnsi="宋体"/>
                <w:color w:val="auto"/>
                <w:szCs w:val="21"/>
                <w:highlight w:val="none"/>
              </w:rPr>
            </w:pPr>
          </w:p>
        </w:tc>
        <w:tc>
          <w:tcPr>
            <w:tcW w:w="714" w:type="dxa"/>
          </w:tcPr>
          <w:p>
            <w:pPr>
              <w:spacing w:line="360" w:lineRule="auto"/>
              <w:rPr>
                <w:rFonts w:ascii="宋体" w:hAnsi="宋体"/>
                <w:color w:val="auto"/>
                <w:szCs w:val="21"/>
                <w:highlight w:val="none"/>
              </w:rPr>
            </w:pPr>
          </w:p>
        </w:tc>
        <w:tc>
          <w:tcPr>
            <w:tcW w:w="1545" w:type="dxa"/>
            <w:vAlign w:val="center"/>
          </w:tcPr>
          <w:p>
            <w:pPr>
              <w:spacing w:line="360" w:lineRule="auto"/>
              <w:rPr>
                <w:rFonts w:ascii="宋体" w:hAnsi="宋体"/>
                <w:color w:val="auto"/>
                <w:szCs w:val="21"/>
                <w:highlight w:val="none"/>
              </w:rPr>
            </w:pPr>
          </w:p>
        </w:tc>
        <w:tc>
          <w:tcPr>
            <w:tcW w:w="1575" w:type="dxa"/>
            <w:vAlign w:val="center"/>
          </w:tcPr>
          <w:p>
            <w:pPr>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vAlign w:val="center"/>
          </w:tcPr>
          <w:p>
            <w:pPr>
              <w:spacing w:line="360" w:lineRule="auto"/>
              <w:jc w:val="center"/>
              <w:rPr>
                <w:rFonts w:ascii="宋体" w:hAnsi="宋体"/>
                <w:color w:val="auto"/>
                <w:szCs w:val="21"/>
                <w:highlight w:val="none"/>
              </w:rPr>
            </w:pPr>
            <w:r>
              <w:rPr>
                <w:rFonts w:ascii="宋体" w:hAnsi="宋体"/>
                <w:color w:val="auto"/>
                <w:szCs w:val="21"/>
                <w:highlight w:val="none"/>
              </w:rPr>
              <w:t>…</w:t>
            </w:r>
          </w:p>
        </w:tc>
        <w:tc>
          <w:tcPr>
            <w:tcW w:w="1232" w:type="dxa"/>
            <w:vAlign w:val="center"/>
          </w:tcPr>
          <w:p>
            <w:pPr>
              <w:spacing w:line="360" w:lineRule="auto"/>
              <w:rPr>
                <w:rFonts w:ascii="宋体" w:hAnsi="宋体"/>
                <w:color w:val="auto"/>
                <w:szCs w:val="21"/>
                <w:highlight w:val="none"/>
              </w:rPr>
            </w:pPr>
          </w:p>
        </w:tc>
        <w:tc>
          <w:tcPr>
            <w:tcW w:w="1445" w:type="dxa"/>
            <w:vAlign w:val="center"/>
          </w:tcPr>
          <w:p>
            <w:pPr>
              <w:spacing w:line="360" w:lineRule="auto"/>
              <w:rPr>
                <w:rFonts w:ascii="宋体" w:hAnsi="宋体"/>
                <w:color w:val="auto"/>
                <w:szCs w:val="21"/>
                <w:highlight w:val="none"/>
              </w:rPr>
            </w:pPr>
          </w:p>
        </w:tc>
        <w:tc>
          <w:tcPr>
            <w:tcW w:w="1483" w:type="dxa"/>
            <w:vAlign w:val="center"/>
          </w:tcPr>
          <w:p>
            <w:pPr>
              <w:spacing w:line="360" w:lineRule="auto"/>
              <w:rPr>
                <w:rFonts w:ascii="宋体" w:hAnsi="宋体"/>
                <w:color w:val="auto"/>
                <w:szCs w:val="21"/>
                <w:highlight w:val="none"/>
              </w:rPr>
            </w:pPr>
          </w:p>
        </w:tc>
        <w:tc>
          <w:tcPr>
            <w:tcW w:w="1073" w:type="dxa"/>
          </w:tcPr>
          <w:p>
            <w:pPr>
              <w:spacing w:line="360" w:lineRule="auto"/>
              <w:rPr>
                <w:rFonts w:ascii="宋体" w:hAnsi="宋体"/>
                <w:color w:val="auto"/>
                <w:szCs w:val="21"/>
                <w:highlight w:val="none"/>
              </w:rPr>
            </w:pPr>
          </w:p>
        </w:tc>
        <w:tc>
          <w:tcPr>
            <w:tcW w:w="714" w:type="dxa"/>
          </w:tcPr>
          <w:p>
            <w:pPr>
              <w:spacing w:line="360" w:lineRule="auto"/>
              <w:rPr>
                <w:rFonts w:ascii="宋体" w:hAnsi="宋体"/>
                <w:color w:val="auto"/>
                <w:szCs w:val="21"/>
                <w:highlight w:val="none"/>
              </w:rPr>
            </w:pPr>
          </w:p>
        </w:tc>
        <w:tc>
          <w:tcPr>
            <w:tcW w:w="1545" w:type="dxa"/>
            <w:vAlign w:val="center"/>
          </w:tcPr>
          <w:p>
            <w:pPr>
              <w:spacing w:line="360" w:lineRule="auto"/>
              <w:rPr>
                <w:rFonts w:ascii="宋体" w:hAnsi="宋体"/>
                <w:color w:val="auto"/>
                <w:szCs w:val="21"/>
                <w:highlight w:val="none"/>
              </w:rPr>
            </w:pPr>
          </w:p>
        </w:tc>
        <w:tc>
          <w:tcPr>
            <w:tcW w:w="1575" w:type="dxa"/>
            <w:vAlign w:val="center"/>
          </w:tcPr>
          <w:p>
            <w:pPr>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8201" w:type="dxa"/>
            <w:gridSpan w:val="7"/>
            <w:vAlign w:val="center"/>
          </w:tcPr>
          <w:p>
            <w:pPr>
              <w:spacing w:line="360" w:lineRule="auto"/>
              <w:rPr>
                <w:rFonts w:ascii="宋体" w:hAnsi="宋体"/>
                <w:color w:val="auto"/>
                <w:szCs w:val="21"/>
                <w:highlight w:val="none"/>
              </w:rPr>
            </w:pPr>
            <w:r>
              <w:rPr>
                <w:rFonts w:hint="eastAsia" w:ascii="宋体" w:hAnsi="宋体"/>
                <w:color w:val="auto"/>
                <w:szCs w:val="21"/>
                <w:highlight w:val="none"/>
              </w:rPr>
              <w:t xml:space="preserve">                                                      合     计</w:t>
            </w:r>
          </w:p>
        </w:tc>
        <w:tc>
          <w:tcPr>
            <w:tcW w:w="1575" w:type="dxa"/>
            <w:vAlign w:val="center"/>
          </w:tcPr>
          <w:p>
            <w:pPr>
              <w:spacing w:line="360" w:lineRule="auto"/>
              <w:rPr>
                <w:rFonts w:ascii="宋体" w:hAnsi="宋体"/>
                <w:color w:val="auto"/>
                <w:szCs w:val="21"/>
                <w:highlight w:val="none"/>
              </w:rPr>
            </w:pPr>
          </w:p>
        </w:tc>
      </w:tr>
    </w:tbl>
    <w:p>
      <w:pPr>
        <w:tabs>
          <w:tab w:val="left" w:pos="1305"/>
        </w:tabs>
        <w:spacing w:line="420" w:lineRule="exact"/>
        <w:ind w:firstLine="420"/>
        <w:rPr>
          <w:rFonts w:ascii="宋体" w:hAnsi="宋体"/>
          <w:color w:val="auto"/>
          <w:szCs w:val="21"/>
          <w:highlight w:val="none"/>
        </w:rPr>
      </w:pPr>
      <w:r>
        <w:rPr>
          <w:rFonts w:hint="eastAsia" w:ascii="宋体" w:hAnsi="宋体"/>
          <w:color w:val="auto"/>
          <w:szCs w:val="21"/>
          <w:highlight w:val="none"/>
        </w:rPr>
        <w:t>根据《中标通知书》的中标内容，合同的总金额为：（大写）</w:t>
      </w:r>
      <w:r>
        <w:rPr>
          <w:rFonts w:hint="eastAsia" w:ascii="宋体" w:hAnsi="宋体"/>
          <w:color w:val="auto"/>
          <w:szCs w:val="21"/>
          <w:highlight w:val="none"/>
          <w:u w:val="single"/>
        </w:rPr>
        <w:t>　　　　　　　　　　　　　　　　　</w:t>
      </w:r>
      <w:r>
        <w:rPr>
          <w:rFonts w:hint="eastAsia" w:ascii="宋体" w:hAnsi="宋体"/>
          <w:color w:val="auto"/>
          <w:szCs w:val="21"/>
          <w:highlight w:val="none"/>
        </w:rPr>
        <w:t>人民币（￥</w:t>
      </w:r>
      <w:r>
        <w:rPr>
          <w:rFonts w:hint="eastAsia" w:ascii="宋体" w:hAnsi="宋体"/>
          <w:color w:val="auto"/>
          <w:szCs w:val="21"/>
          <w:highlight w:val="none"/>
          <w:u w:val="single"/>
        </w:rPr>
        <w:t>　　　　　　　　　　　　　　　</w:t>
      </w:r>
      <w:r>
        <w:rPr>
          <w:rFonts w:hint="eastAsia" w:ascii="宋体" w:hAnsi="宋体"/>
          <w:color w:val="auto"/>
          <w:szCs w:val="21"/>
          <w:highlight w:val="none"/>
        </w:rPr>
        <w:t>元），合同金额含</w:t>
      </w:r>
      <w:r>
        <w:rPr>
          <w:rFonts w:hint="eastAsia" w:ascii="宋体" w:hAnsi="宋体" w:eastAsia="宋体" w:cs="宋体"/>
          <w:color w:val="auto"/>
          <w:szCs w:val="22"/>
          <w:highlight w:val="none"/>
        </w:rPr>
        <w:t>本次招标采购范围内</w:t>
      </w:r>
      <w:r>
        <w:rPr>
          <w:rFonts w:hint="eastAsia" w:ascii="宋体" w:hAnsi="宋体" w:eastAsia="宋体" w:cs="宋体"/>
          <w:color w:val="auto"/>
          <w:szCs w:val="22"/>
          <w:highlight w:val="none"/>
          <w:lang w:val="en-US" w:eastAsia="zh-CN"/>
        </w:rPr>
        <w:t>货物</w:t>
      </w:r>
      <w:r>
        <w:rPr>
          <w:rFonts w:hint="eastAsia" w:ascii="宋体" w:hAnsi="宋体" w:eastAsia="宋体" w:cs="宋体"/>
          <w:color w:val="auto"/>
          <w:szCs w:val="22"/>
          <w:highlight w:val="none"/>
        </w:rPr>
        <w:t>价款、检验、售后服务、培训、保修和完成本次服务所需的运行支撑环境的软硬件设备费用及其他所有成本费用的总和；供应商综合考虑在报价中，采购人不再另行支付投标报价之外的任何费用</w:t>
      </w:r>
      <w:r>
        <w:rPr>
          <w:rFonts w:hint="eastAsia" w:ascii="宋体" w:hAnsi="宋体" w:cs="宋体"/>
          <w:color w:val="auto"/>
          <w:szCs w:val="21"/>
          <w:highlight w:val="none"/>
        </w:rPr>
        <w:t>。</w:t>
      </w:r>
    </w:p>
    <w:p>
      <w:pPr>
        <w:spacing w:line="360" w:lineRule="auto"/>
        <w:ind w:firstLine="424" w:firstLineChars="200"/>
        <w:rPr>
          <w:rFonts w:hint="eastAsia" w:ascii="宋体" w:hAnsi="宋体" w:eastAsia="宋体"/>
          <w:b/>
          <w:color w:val="auto"/>
          <w:szCs w:val="21"/>
          <w:highlight w:val="none"/>
          <w:lang w:val="en-US" w:eastAsia="zh-CN"/>
        </w:rPr>
      </w:pPr>
      <w:r>
        <w:rPr>
          <w:rFonts w:hint="eastAsia" w:ascii="宋体" w:hAnsi="宋体"/>
          <w:b/>
          <w:color w:val="auto"/>
          <w:szCs w:val="21"/>
          <w:highlight w:val="none"/>
        </w:rPr>
        <w:t>第二条  质量保证</w:t>
      </w:r>
      <w:r>
        <w:rPr>
          <w:rFonts w:hint="eastAsia" w:ascii="宋体" w:hAnsi="宋体"/>
          <w:b/>
          <w:color w:val="auto"/>
          <w:szCs w:val="21"/>
          <w:highlight w:val="none"/>
          <w:lang w:val="en-US" w:eastAsia="zh-CN"/>
        </w:rPr>
        <w:t xml:space="preserve"> </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乙方应按投标文件承诺的货物规格型号、技术参数、质量标准等向甲方提供未经使用的全新原装产品，且在正常安装使用和保养条件下，其使用寿命期内各项指标均达到质量标准。乙方提供的节能和环境标志产品必须是列入现行政府采购清单目录内的产品。</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2.乙方提供货物的质量保证期为</w:t>
      </w:r>
      <w:r>
        <w:rPr>
          <w:rFonts w:hint="eastAsia" w:ascii="宋体" w:hAnsi="宋体"/>
          <w:color w:val="auto"/>
          <w:szCs w:val="21"/>
          <w:highlight w:val="none"/>
          <w:u w:val="single"/>
        </w:rPr>
        <w:t xml:space="preserve">           </w:t>
      </w:r>
      <w:r>
        <w:rPr>
          <w:rFonts w:hint="eastAsia" w:ascii="宋体" w:hAnsi="宋体"/>
          <w:color w:val="auto"/>
          <w:szCs w:val="21"/>
          <w:highlight w:val="none"/>
        </w:rPr>
        <w:t>。在质保期内因货物本身的质量问题发生故障，乙方应负责免费修理或者整体更换设备。对达不到技术要求者，根据实际情况，经双方协商，可按以下办法处理：</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（1）更换：由乙方承担所有发生的全部费用。</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（2）贬值处理：由甲乙双方合议定价。</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（3）退货处理：乙方应退还甲方支付的合同款，同时应承担该货物的直接费用（运输、保险、检验、贷款利息及银行手续费等）。</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第三条  权力保证</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1.乙方应保证所提供货物在使用时不会侵犯任何第三方的专利权、商标权、工业设计权或其他权利。</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2.乙方应按采购文件规定的时间向甲方提供使用货物的有关技术资料。</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3.乙方保证所交付的货物的所有权完全属于乙方且无任何抵押、质押、查封等产权瑕疵。</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第四条  货物包装、运输</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1.乙方应在货物发运前对其进行满足运输距离、防潮、防震、防锈和防破损装卸等要求包装，以保证货物安全运达甲方指定地点。</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2.使用中文说明书（货物属于进口产品的，供货时应同时附上中文使用说明书）、质量检验证明书随配附件和工具以及清单一并附于货物内。</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3.乙方在货物发运手续办理完毕后二十四小时内或货到甲方四十八小时前通知甲方，以准备接货。</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4.货物在交付甲方前发生的风险均由乙方负责。</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第五条  交付</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1.交付时间：</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交付地点：</w:t>
      </w:r>
      <w:r>
        <w:rPr>
          <w:rFonts w:hint="eastAsia" w:ascii="宋体" w:hAnsi="宋体"/>
          <w:color w:val="auto"/>
          <w:szCs w:val="21"/>
          <w:highlight w:val="none"/>
          <w:u w:val="single"/>
        </w:rPr>
        <w:t xml:space="preserve">  广西桂林市采购人指定地点  </w:t>
      </w:r>
      <w:r>
        <w:rPr>
          <w:rFonts w:hint="eastAsia" w:ascii="宋体" w:hAnsi="宋体"/>
          <w:color w:val="auto"/>
          <w:szCs w:val="21"/>
          <w:highlight w:val="none"/>
        </w:rPr>
        <w:t>。</w:t>
      </w:r>
    </w:p>
    <w:p>
      <w:pPr>
        <w:widowControl/>
        <w:spacing w:line="400" w:lineRule="exact"/>
        <w:ind w:firstLine="424" w:firstLineChars="200"/>
        <w:jc w:val="left"/>
        <w:rPr>
          <w:color w:val="auto"/>
          <w:highlight w:val="none"/>
        </w:rPr>
      </w:pPr>
      <w:r>
        <w:rPr>
          <w:rFonts w:hint="eastAsia" w:ascii="宋体" w:hAnsi="宋体" w:cs="宋体"/>
          <w:color w:val="auto"/>
          <w:kern w:val="0"/>
          <w:szCs w:val="21"/>
          <w:highlight w:val="none"/>
        </w:rPr>
        <w:t>2.根据主体工程建设进度进行安装，并验收合格交付使用；</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3.乙方提供不符合招投标文件和本合同规定的货物，甲方有权拒绝接受。</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4.乙方应将所有提供货物的装箱清单、用户手册、原厂保修卡、随机资料、工具和备用、备件等交付给甲方，货物属于进口产品的，供货时应同时附上中文使用说明书，如有缺失应及时补齐，否则视为逾期交货。</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第六条  调试和验收</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验收标准：所有货物按厂家产品验收标准（符合国家或行业或地方标准）、采购文件、投标文件等有关部分内容进行验收。产品质量达到以上要求，免费安装调试各项指标符合技术参数要求。产品可按供货批次安装完工验收。</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2.乙方交货前应对产品做出全面的检查和对验收文件进行整理，并列出清单，作为甲方验收和使用的技术条件依据，验收的结果应随货物交甲方。</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 xml:space="preserve">3. 货物安装调试完成后，甲方应在七个工作日内依据采购文件、投标文件的技术规格要求及承诺和国家有关质量标准对货物进行现场验收，验收合格后由甲乙双方签署货物验收单并加盖公章，甲乙双方各执一份。 </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4.甲方对乙方提供的货物在使用前进行调试时，乙方需负责安装并培训甲方的使用操作人员，并协助甲方一起调试，直到符合技术要求，甲方才做最终验收。</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5.对技术复杂的货物，甲方应请国家认可的专业检测机构参与初步验收及最终验收，并由其出具质量检测报告。</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6.验收时乙方必须在现场，验收完毕后作出验收结果报告，验收费用由乙方负责。</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7.甲方对验收有异议的，在验收后五个工作日内以书面形式向乙方提出，乙方应自收到甲方书面异议后</w:t>
      </w:r>
      <w:r>
        <w:rPr>
          <w:rFonts w:hint="eastAsia" w:ascii="宋体" w:hAnsi="宋体"/>
          <w:color w:val="auto"/>
          <w:szCs w:val="21"/>
          <w:highlight w:val="none"/>
          <w:u w:val="single"/>
        </w:rPr>
        <w:t>　7个工作　</w:t>
      </w:r>
      <w:r>
        <w:rPr>
          <w:rFonts w:hint="eastAsia" w:ascii="宋体" w:hAnsi="宋体"/>
          <w:color w:val="auto"/>
          <w:szCs w:val="21"/>
          <w:highlight w:val="none"/>
        </w:rPr>
        <w:t>日内及时予以解决。</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第七条  安装和培训</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 xml:space="preserve"> 1.甲方应提供必要安装条件（如场地、电源、水源等）。</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 xml:space="preserve"> 2.乙方负责甲方有关人员的培训。培训时间、地点：</w:t>
      </w:r>
      <w:r>
        <w:rPr>
          <w:rFonts w:hint="eastAsia" w:ascii="宋体" w:hAnsi="宋体"/>
          <w:color w:val="auto"/>
          <w:szCs w:val="21"/>
          <w:highlight w:val="none"/>
          <w:u w:val="single"/>
        </w:rPr>
        <w:t>广西桂林市采购人指定时间地点</w:t>
      </w:r>
      <w:r>
        <w:rPr>
          <w:rFonts w:hint="eastAsia" w:ascii="宋体" w:hAnsi="宋体"/>
          <w:color w:val="auto"/>
          <w:szCs w:val="21"/>
          <w:highlight w:val="none"/>
        </w:rPr>
        <w:t>。</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第八条  售后服务</w:t>
      </w:r>
    </w:p>
    <w:p>
      <w:pPr>
        <w:tabs>
          <w:tab w:val="left" w:pos="0"/>
        </w:tabs>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1.乙方应按照国家有关法律规定和“三包”规定以及招投标文件和本合同所附《服务承诺》，为甲方提供售后服务。</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2.如在使用过程中发生质量问题，乙方在接到甲方通知后在</w:t>
      </w:r>
      <w:r>
        <w:rPr>
          <w:rFonts w:hint="eastAsia" w:ascii="宋体" w:hAnsi="宋体"/>
          <w:color w:val="auto"/>
          <w:szCs w:val="21"/>
          <w:highlight w:val="none"/>
          <w:u w:val="single"/>
        </w:rPr>
        <w:t>投标文件承诺的时间</w:t>
      </w:r>
      <w:r>
        <w:rPr>
          <w:rFonts w:hint="eastAsia" w:ascii="宋体" w:hAnsi="宋体"/>
          <w:color w:val="auto"/>
          <w:szCs w:val="21"/>
          <w:highlight w:val="none"/>
        </w:rPr>
        <w:t>内到达甲方现场处理。</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3.在质保期内，乙方应对货物出现的质量及安全问题负责处理解决并承担一切费用。</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第九条  税费</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本合同执行中相关的一切税费均由乙方负担。</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第十条　付款方式</w:t>
      </w:r>
    </w:p>
    <w:p>
      <w:pPr>
        <w:widowControl/>
        <w:spacing w:line="400" w:lineRule="exact"/>
        <w:ind w:firstLine="424" w:firstLineChars="200"/>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1、货物安装调试完成合格后的三个月后支付合同价款的95%；</w:t>
      </w:r>
    </w:p>
    <w:p>
      <w:pPr>
        <w:widowControl/>
        <w:spacing w:line="400" w:lineRule="exact"/>
        <w:ind w:firstLine="424" w:firstLineChars="200"/>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2、余下的5%在设备正常使用满1年后的3个月内转账支付；</w:t>
      </w:r>
    </w:p>
    <w:p>
      <w:pPr>
        <w:widowControl/>
        <w:spacing w:line="400" w:lineRule="exact"/>
        <w:ind w:firstLine="424" w:firstLineChars="200"/>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3、</w:t>
      </w:r>
      <w:r>
        <w:rPr>
          <w:rFonts w:hint="eastAsia" w:ascii="宋体" w:hAnsi="宋体" w:cs="宋体"/>
          <w:bCs/>
          <w:color w:val="auto"/>
          <w:kern w:val="0"/>
          <w:szCs w:val="21"/>
          <w:highlight w:val="none"/>
          <w:lang w:val="en-US" w:eastAsia="zh-CN"/>
        </w:rPr>
        <w:t>乙方</w:t>
      </w:r>
      <w:r>
        <w:rPr>
          <w:rFonts w:hint="eastAsia" w:ascii="宋体" w:hAnsi="宋体" w:cs="宋体"/>
          <w:bCs/>
          <w:color w:val="auto"/>
          <w:kern w:val="0"/>
          <w:szCs w:val="21"/>
          <w:highlight w:val="none"/>
        </w:rPr>
        <w:t>收到款项后开具相应金额的发票给采购人；</w:t>
      </w:r>
    </w:p>
    <w:p>
      <w:pPr>
        <w:widowControl/>
        <w:spacing w:line="400" w:lineRule="exact"/>
        <w:ind w:firstLine="424" w:firstLineChars="200"/>
        <w:jc w:val="left"/>
        <w:textAlignment w:val="bottom"/>
        <w:rPr>
          <w:rFonts w:hint="eastAsia" w:ascii="宋体" w:hAnsi="宋体" w:cs="宋体"/>
          <w:bCs/>
          <w:color w:val="auto"/>
          <w:kern w:val="0"/>
          <w:szCs w:val="21"/>
          <w:highlight w:val="none"/>
        </w:rPr>
      </w:pPr>
      <w:r>
        <w:rPr>
          <w:rFonts w:hint="eastAsia" w:ascii="宋体" w:hAnsi="宋体" w:cs="宋体"/>
          <w:bCs/>
          <w:color w:val="auto"/>
          <w:kern w:val="0"/>
          <w:szCs w:val="21"/>
          <w:highlight w:val="none"/>
        </w:rPr>
        <w:t>4、本合同使用货币币制如未作特别说明均为人民币。</w:t>
      </w:r>
    </w:p>
    <w:p>
      <w:pPr>
        <w:spacing w:line="360" w:lineRule="auto"/>
        <w:ind w:firstLine="424" w:firstLineChars="200"/>
        <w:rPr>
          <w:rFonts w:ascii="宋体" w:hAnsi="宋体" w:cs="宋体"/>
          <w:color w:val="auto"/>
          <w:kern w:val="0"/>
          <w:szCs w:val="21"/>
          <w:highlight w:val="none"/>
        </w:rPr>
      </w:pPr>
      <w:r>
        <w:rPr>
          <w:rFonts w:hint="eastAsia" w:ascii="宋体" w:hAnsi="宋体" w:cs="宋体"/>
          <w:bCs/>
          <w:color w:val="auto"/>
          <w:kern w:val="0"/>
          <w:szCs w:val="21"/>
          <w:highlight w:val="none"/>
        </w:rPr>
        <w:t>5、票据要求：</w:t>
      </w:r>
      <w:r>
        <w:rPr>
          <w:rFonts w:hint="eastAsia" w:ascii="宋体" w:hAnsi="宋体" w:cs="宋体"/>
          <w:bCs/>
          <w:color w:val="auto"/>
          <w:kern w:val="0"/>
          <w:szCs w:val="21"/>
          <w:highlight w:val="none"/>
          <w:lang w:val="en-US" w:eastAsia="zh-CN"/>
        </w:rPr>
        <w:t>乙方</w:t>
      </w:r>
      <w:r>
        <w:rPr>
          <w:rFonts w:hint="eastAsia" w:ascii="宋体" w:hAnsi="宋体" w:cs="宋体"/>
          <w:bCs/>
          <w:color w:val="auto"/>
          <w:kern w:val="0"/>
          <w:szCs w:val="21"/>
          <w:highlight w:val="none"/>
        </w:rPr>
        <w:t>必须按照</w:t>
      </w:r>
      <w:r>
        <w:rPr>
          <w:rFonts w:hint="eastAsia" w:ascii="宋体" w:hAnsi="宋体" w:cs="宋体"/>
          <w:bCs/>
          <w:color w:val="auto"/>
          <w:kern w:val="0"/>
          <w:szCs w:val="21"/>
          <w:highlight w:val="none"/>
          <w:lang w:val="en-US" w:eastAsia="zh-CN"/>
        </w:rPr>
        <w:t>甲方</w:t>
      </w:r>
      <w:r>
        <w:rPr>
          <w:rFonts w:hint="eastAsia" w:ascii="宋体" w:hAnsi="宋体" w:cs="宋体"/>
          <w:bCs/>
          <w:color w:val="auto"/>
          <w:kern w:val="0"/>
          <w:szCs w:val="21"/>
          <w:highlight w:val="none"/>
        </w:rPr>
        <w:t>要求提供真实、有效、合法的正式发票。一旦发现</w:t>
      </w:r>
      <w:r>
        <w:rPr>
          <w:rFonts w:hint="eastAsia" w:ascii="宋体" w:hAnsi="宋体" w:cs="宋体"/>
          <w:bCs/>
          <w:color w:val="auto"/>
          <w:kern w:val="0"/>
          <w:szCs w:val="21"/>
          <w:highlight w:val="none"/>
          <w:lang w:val="en-US" w:eastAsia="zh-CN"/>
        </w:rPr>
        <w:t>乙方</w:t>
      </w:r>
      <w:r>
        <w:rPr>
          <w:rFonts w:hint="eastAsia" w:ascii="宋体" w:hAnsi="宋体" w:cs="宋体"/>
          <w:bCs/>
          <w:color w:val="auto"/>
          <w:kern w:val="0"/>
          <w:szCs w:val="21"/>
          <w:highlight w:val="none"/>
        </w:rPr>
        <w:t>提供虚假发票，除须向</w:t>
      </w:r>
      <w:r>
        <w:rPr>
          <w:rFonts w:hint="eastAsia" w:ascii="宋体" w:hAnsi="宋体" w:cs="宋体"/>
          <w:bCs/>
          <w:color w:val="auto"/>
          <w:kern w:val="0"/>
          <w:szCs w:val="21"/>
          <w:highlight w:val="none"/>
          <w:lang w:val="en-US" w:eastAsia="zh-CN"/>
        </w:rPr>
        <w:t>甲方</w:t>
      </w:r>
      <w:r>
        <w:rPr>
          <w:rFonts w:hint="eastAsia" w:ascii="宋体" w:hAnsi="宋体" w:cs="宋体"/>
          <w:bCs/>
          <w:color w:val="auto"/>
          <w:kern w:val="0"/>
          <w:szCs w:val="21"/>
          <w:highlight w:val="none"/>
        </w:rPr>
        <w:t>补开合法发票外，须赔偿</w:t>
      </w:r>
      <w:r>
        <w:rPr>
          <w:rFonts w:hint="eastAsia" w:ascii="宋体" w:hAnsi="宋体" w:cs="宋体"/>
          <w:bCs/>
          <w:color w:val="auto"/>
          <w:kern w:val="0"/>
          <w:szCs w:val="21"/>
          <w:highlight w:val="none"/>
          <w:lang w:val="en-US" w:eastAsia="zh-CN"/>
        </w:rPr>
        <w:t>甲方</w:t>
      </w:r>
      <w:r>
        <w:rPr>
          <w:rFonts w:hint="eastAsia" w:ascii="宋体" w:hAnsi="宋体" w:cs="宋体"/>
          <w:bCs/>
          <w:color w:val="auto"/>
          <w:kern w:val="0"/>
          <w:szCs w:val="21"/>
          <w:highlight w:val="none"/>
        </w:rPr>
        <w:t>发票票面金额一倍的违约金，且采购人有权终止合同，</w:t>
      </w:r>
      <w:r>
        <w:rPr>
          <w:rFonts w:hint="eastAsia" w:ascii="宋体" w:hAnsi="宋体" w:cs="宋体"/>
          <w:bCs/>
          <w:color w:val="auto"/>
          <w:kern w:val="0"/>
          <w:szCs w:val="21"/>
          <w:highlight w:val="none"/>
          <w:lang w:val="en-US" w:eastAsia="zh-CN"/>
        </w:rPr>
        <w:t>乙方</w:t>
      </w:r>
      <w:r>
        <w:rPr>
          <w:rFonts w:hint="eastAsia" w:ascii="宋体" w:hAnsi="宋体" w:cs="宋体"/>
          <w:bCs/>
          <w:color w:val="auto"/>
          <w:kern w:val="0"/>
          <w:szCs w:val="21"/>
          <w:highlight w:val="none"/>
        </w:rPr>
        <w:t>不得提出异议，因终止合同而产生的一切损失均由供应商承担</w:t>
      </w:r>
      <w:r>
        <w:rPr>
          <w:rFonts w:hint="eastAsia" w:ascii="宋体" w:hAnsi="宋体" w:cs="宋体"/>
          <w:bCs/>
          <w:color w:val="auto"/>
          <w:szCs w:val="21"/>
          <w:highlight w:val="none"/>
        </w:rPr>
        <w:t>。</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第十一条  违约责任</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1.乙方所提供的货物规格、技术标准、材料等质量不合格的，应及时更换，更换不及时的按逾期交货处罚，乙方应向甲方支付合同金额</w:t>
      </w:r>
      <w:r>
        <w:rPr>
          <w:rFonts w:hint="eastAsia" w:ascii="宋体" w:hAnsi="宋体"/>
          <w:color w:val="auto"/>
          <w:szCs w:val="21"/>
          <w:highlight w:val="none"/>
          <w:u w:val="single"/>
        </w:rPr>
        <w:t>　5　</w:t>
      </w:r>
      <w:r>
        <w:rPr>
          <w:rFonts w:hint="eastAsia" w:ascii="宋体" w:hAnsi="宋体"/>
          <w:color w:val="auto"/>
          <w:szCs w:val="21"/>
          <w:highlight w:val="none"/>
        </w:rPr>
        <w:t>%违约金并赔偿甲方经济损失。</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2.乙方提供的货物如果侵犯了第三方合法权益而引发的任何纠纷或诉讼，均由乙方负责交涉并承担全部责任。</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3.因包装、运输引起的货物损坏，按质量不合格处理。</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4.甲方无故延期接收货物、乙方逾期交货的，每天向对方偿付违约货款额</w:t>
      </w:r>
      <w:r>
        <w:rPr>
          <w:rFonts w:hint="eastAsia" w:ascii="宋体" w:hAnsi="宋体"/>
          <w:color w:val="auto"/>
          <w:szCs w:val="21"/>
          <w:highlight w:val="none"/>
          <w:u w:val="single"/>
        </w:rPr>
        <w:t>3‰</w:t>
      </w:r>
      <w:r>
        <w:rPr>
          <w:rFonts w:hint="eastAsia" w:ascii="宋体" w:hAnsi="宋体"/>
          <w:color w:val="auto"/>
          <w:szCs w:val="21"/>
          <w:highlight w:val="none"/>
        </w:rPr>
        <w:t>违约金，但违约金累计不得超过违约货款额</w:t>
      </w:r>
      <w:r>
        <w:rPr>
          <w:rFonts w:hint="eastAsia" w:ascii="宋体" w:hAnsi="宋体"/>
          <w:color w:val="auto"/>
          <w:szCs w:val="21"/>
          <w:highlight w:val="none"/>
          <w:u w:val="single"/>
        </w:rPr>
        <w:t>5%</w:t>
      </w:r>
      <w:r>
        <w:rPr>
          <w:rFonts w:hint="eastAsia" w:ascii="宋体" w:hAnsi="宋体"/>
          <w:color w:val="auto"/>
          <w:szCs w:val="21"/>
          <w:highlight w:val="none"/>
        </w:rPr>
        <w:t>，超过</w:t>
      </w:r>
      <w:r>
        <w:rPr>
          <w:rFonts w:hint="eastAsia" w:ascii="宋体" w:hAnsi="宋体"/>
          <w:color w:val="auto"/>
          <w:szCs w:val="21"/>
          <w:highlight w:val="none"/>
          <w:u w:val="single"/>
        </w:rPr>
        <w:t xml:space="preserve"> 10天</w:t>
      </w:r>
      <w:r>
        <w:rPr>
          <w:rFonts w:hint="eastAsia" w:ascii="宋体" w:hAnsi="宋体"/>
          <w:color w:val="auto"/>
          <w:szCs w:val="21"/>
          <w:highlight w:val="none"/>
        </w:rPr>
        <w:t>对方有权解除合同，违约方承担因此给对方造成经济损失；甲方延期付货款的，每天向乙方偿付延期货款额3‰滞纳金，但滞纳金累计不得超过延期货款额</w:t>
      </w:r>
      <w:r>
        <w:rPr>
          <w:rFonts w:hint="eastAsia" w:ascii="宋体" w:hAnsi="宋体"/>
          <w:color w:val="auto"/>
          <w:szCs w:val="21"/>
          <w:highlight w:val="none"/>
          <w:u w:val="single"/>
        </w:rPr>
        <w:t>5%</w:t>
      </w:r>
      <w:r>
        <w:rPr>
          <w:rFonts w:hint="eastAsia" w:ascii="宋体" w:hAnsi="宋体"/>
          <w:color w:val="auto"/>
          <w:szCs w:val="21"/>
          <w:highlight w:val="none"/>
        </w:rPr>
        <w:t>。</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5.乙方未按本合同和投标文件中规定的服务承诺提供售后服务的，乙方应按本合同合计金额</w:t>
      </w:r>
      <w:r>
        <w:rPr>
          <w:rFonts w:hint="eastAsia" w:ascii="宋体" w:hAnsi="宋体"/>
          <w:color w:val="auto"/>
          <w:szCs w:val="21"/>
          <w:highlight w:val="none"/>
          <w:u w:val="single"/>
        </w:rPr>
        <w:t>　5　</w:t>
      </w:r>
      <w:r>
        <w:rPr>
          <w:rFonts w:hint="eastAsia" w:ascii="宋体" w:hAnsi="宋体"/>
          <w:color w:val="auto"/>
          <w:szCs w:val="21"/>
          <w:highlight w:val="none"/>
        </w:rPr>
        <w:t>%向甲方支付违约金。</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6.乙方提供的货物在质保期内，因设计、工艺或材料的缺陷和其他质量原因造成的问题，由乙方负责，费用从质量保证金中扣除，不足另补。</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7.其他违约行为按违约货款额</w:t>
      </w:r>
      <w:r>
        <w:rPr>
          <w:rFonts w:hint="eastAsia" w:ascii="宋体" w:hAnsi="宋体"/>
          <w:color w:val="auto"/>
          <w:szCs w:val="21"/>
          <w:highlight w:val="none"/>
          <w:u w:val="single"/>
        </w:rPr>
        <w:t xml:space="preserve">　5  </w:t>
      </w:r>
      <w:r>
        <w:rPr>
          <w:rFonts w:hint="eastAsia" w:ascii="宋体" w:hAnsi="宋体"/>
          <w:color w:val="auto"/>
          <w:szCs w:val="21"/>
          <w:highlight w:val="none"/>
        </w:rPr>
        <w:t>%收取违约金并赔偿经济损失。</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第十二条  不可抗力事件处理</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1.在合同有效期内，乙方因不可抗力事件导致不能履行合同，则合同履行期可延长，其延长期与不可抗力影响期相同。</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2.不可抗力事件发生后，应立即通知对方，并寄送有关权威机构出具的证明。</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3.不可抗力事件延续一百二十天以上，双方应通过友好协商，确定是否继续履行合同。</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第十三条  合同争议解决</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1.因货物质量问题发生争议的，应邀请国家认可的质量检测机构对货物质量进行鉴定。货物符合标准的，鉴定费由甲方承担；货物不符合标准的，鉴定费由乙方承担。</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2.因履行本合同引起的或与本合同有关的争议，甲乙双方应首先通过友好协商解决，如果协商不能解决，可向桂林市仲裁委员会申请仲裁或向项目所在地人民法院提起诉讼。</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3.诉讼期间，本合同继续履行。</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第十四条  合同生效及其它</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1.合同经甲乙双方法定代表人、负责人、自然人或相应的授权代表签字并加盖供应商公章后生效。</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2.合同执行中涉及采购资金和采购内容修改或补充的，需经财政部门审批，并签订书面补充协议报监督管理部门备案，方可作为主合同不可分割的一部分。</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3.本合同未尽事宜，遵照《</w:t>
      </w:r>
      <w:r>
        <w:rPr>
          <w:rFonts w:hint="eastAsia" w:ascii="宋体" w:hAnsi="宋体"/>
          <w:color w:val="auto"/>
          <w:szCs w:val="21"/>
          <w:highlight w:val="none"/>
          <w:lang w:eastAsia="zh-CN"/>
        </w:rPr>
        <w:t>民法典</w:t>
      </w:r>
      <w:r>
        <w:rPr>
          <w:rFonts w:hint="eastAsia" w:ascii="宋体" w:hAnsi="宋体"/>
          <w:color w:val="auto"/>
          <w:szCs w:val="21"/>
          <w:highlight w:val="none"/>
        </w:rPr>
        <w:t>》有关条文执行。</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第十五条  合同的变更、终止与转让</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1.除《中华人民共和国政府采购法》第五十条规定的情形外，本合同一经签订，甲乙双方不得擅自变更，中止或终止。</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2.乙方不得擅自转让其应履行的合同义务。</w:t>
      </w:r>
    </w:p>
    <w:p>
      <w:pPr>
        <w:spacing w:line="360" w:lineRule="auto"/>
        <w:ind w:firstLine="424" w:firstLineChars="200"/>
        <w:rPr>
          <w:rFonts w:ascii="宋体" w:hAnsi="宋体"/>
          <w:b/>
          <w:color w:val="auto"/>
          <w:szCs w:val="21"/>
          <w:highlight w:val="none"/>
        </w:rPr>
      </w:pPr>
      <w:r>
        <w:rPr>
          <w:rFonts w:hint="eastAsia" w:ascii="宋体" w:hAnsi="宋体"/>
          <w:b/>
          <w:color w:val="auto"/>
          <w:szCs w:val="21"/>
          <w:highlight w:val="none"/>
        </w:rPr>
        <w:t>第十六条  签订本合同依据：</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1.采购文件；</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2.乙方提供的投标（或应答）文件；</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3.售后服务承诺书；</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4.中标通知书。</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本合同甲乙双方签字盖章后生效，一式捌份，具有同等法律效力，甲、乙双方各四份。</w:t>
      </w:r>
      <w:r>
        <w:rPr>
          <w:rFonts w:hint="eastAsia" w:ascii="宋体" w:hAnsi="宋体" w:cs="宋体"/>
          <w:color w:val="auto"/>
          <w:szCs w:val="21"/>
          <w:highlight w:val="none"/>
        </w:rPr>
        <w:t>政府采购合同双方自签订之日起一个工作日内将合同原件一份交采购代理机构存档。采购代理机构将于收到政府采购合同后在省级以上人民政府财政部门指定媒体上公告。</w:t>
      </w:r>
    </w:p>
    <w:p>
      <w:pPr>
        <w:spacing w:line="360" w:lineRule="auto"/>
        <w:ind w:firstLine="424" w:firstLineChars="200"/>
        <w:rPr>
          <w:rFonts w:ascii="宋体" w:hAnsi="宋体"/>
          <w:color w:val="auto"/>
          <w:szCs w:val="21"/>
          <w:highlight w:val="none"/>
        </w:rPr>
      </w:pPr>
    </w:p>
    <w:p>
      <w:pPr>
        <w:spacing w:line="360" w:lineRule="auto"/>
        <w:rPr>
          <w:rFonts w:ascii="宋体" w:hAnsi="宋体"/>
          <w:color w:val="auto"/>
          <w:szCs w:val="21"/>
          <w:highlight w:val="none"/>
          <w:u w:val="single"/>
        </w:rPr>
      </w:pPr>
      <w:r>
        <w:rPr>
          <w:rFonts w:hint="eastAsia" w:ascii="宋体" w:hAnsi="宋体"/>
          <w:color w:val="auto"/>
          <w:szCs w:val="21"/>
          <w:highlight w:val="none"/>
        </w:rPr>
        <w:t>甲方（公章）：</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乙方（公章，自然人除外）：</w:t>
      </w:r>
      <w:r>
        <w:rPr>
          <w:rFonts w:hint="eastAsia" w:ascii="宋体" w:hAnsi="宋体"/>
          <w:color w:val="auto"/>
          <w:szCs w:val="21"/>
          <w:highlight w:val="none"/>
          <w:u w:val="single"/>
        </w:rPr>
        <w:t xml:space="preserve">                           </w:t>
      </w:r>
    </w:p>
    <w:p>
      <w:pPr>
        <w:spacing w:line="360" w:lineRule="auto"/>
        <w:ind w:left="4684" w:hanging="4664" w:hangingChars="2200"/>
        <w:rPr>
          <w:rFonts w:ascii="宋体" w:hAnsi="宋体"/>
          <w:color w:val="auto"/>
          <w:szCs w:val="21"/>
          <w:highlight w:val="none"/>
          <w:u w:val="single"/>
        </w:rPr>
      </w:pPr>
      <w:r>
        <w:rPr>
          <w:rFonts w:hint="eastAsia" w:ascii="宋体" w:hAnsi="宋体"/>
          <w:color w:val="auto"/>
          <w:szCs w:val="21"/>
          <w:highlight w:val="none"/>
        </w:rPr>
        <w:t>法定代表人签字：</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hint="eastAsia" w:hAnsi="宋体"/>
          <w:color w:val="auto"/>
          <w:highlight w:val="none"/>
        </w:rPr>
        <w:t>法定代表人（负责人、自然人）签字（属自然人的应在签名处加盖食指指印）</w:t>
      </w:r>
      <w:r>
        <w:rPr>
          <w:rFonts w:hint="eastAsia" w:ascii="宋体" w:hAnsi="宋体"/>
          <w:color w:val="auto"/>
          <w:szCs w:val="21"/>
          <w:highlight w:val="none"/>
        </w:rPr>
        <w:t>：</w:t>
      </w:r>
      <w:r>
        <w:rPr>
          <w:rFonts w:hint="eastAsia" w:ascii="宋体" w:hAnsi="宋体"/>
          <w:color w:val="auto"/>
          <w:szCs w:val="21"/>
          <w:highlight w:val="none"/>
          <w:u w:val="single"/>
        </w:rPr>
        <w:t xml:space="preserve">                                 </w:t>
      </w:r>
    </w:p>
    <w:p>
      <w:pPr>
        <w:tabs>
          <w:tab w:val="left" w:pos="4680"/>
        </w:tabs>
        <w:spacing w:line="360" w:lineRule="auto"/>
        <w:rPr>
          <w:rFonts w:ascii="宋体" w:hAnsi="宋体"/>
          <w:color w:val="auto"/>
          <w:szCs w:val="21"/>
          <w:highlight w:val="none"/>
          <w:u w:val="single"/>
        </w:rPr>
      </w:pPr>
      <w:r>
        <w:rPr>
          <w:rFonts w:hint="eastAsia" w:ascii="宋体" w:hAnsi="宋体"/>
          <w:color w:val="auto"/>
          <w:szCs w:val="21"/>
          <w:highlight w:val="none"/>
        </w:rPr>
        <w:t>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委托代理人：</w:t>
      </w:r>
      <w:r>
        <w:rPr>
          <w:rFonts w:hint="eastAsia" w:ascii="宋体" w:hAnsi="宋体"/>
          <w:color w:val="auto"/>
          <w:szCs w:val="21"/>
          <w:highlight w:val="none"/>
          <w:u w:val="single"/>
        </w:rPr>
        <w:t xml:space="preserve">                                 </w:t>
      </w:r>
    </w:p>
    <w:p>
      <w:pPr>
        <w:tabs>
          <w:tab w:val="left" w:pos="5040"/>
        </w:tabs>
        <w:spacing w:line="360" w:lineRule="auto"/>
        <w:rPr>
          <w:rFonts w:ascii="宋体" w:hAnsi="宋体"/>
          <w:color w:val="auto"/>
          <w:szCs w:val="21"/>
          <w:highlight w:val="none"/>
          <w:u w:val="single"/>
        </w:rPr>
      </w:pPr>
      <w:r>
        <w:rPr>
          <w:rFonts w:hint="eastAsia" w:ascii="宋体" w:hAnsi="宋体"/>
          <w:color w:val="auto"/>
          <w:szCs w:val="21"/>
          <w:highlight w:val="none"/>
        </w:rPr>
        <w:t>电  话：</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电   话： </w:t>
      </w:r>
      <w:r>
        <w:rPr>
          <w:rFonts w:hint="eastAsia" w:ascii="宋体" w:hAnsi="宋体"/>
          <w:color w:val="auto"/>
          <w:szCs w:val="21"/>
          <w:highlight w:val="none"/>
          <w:u w:val="single"/>
        </w:rPr>
        <w:t xml:space="preserve">                                  </w:t>
      </w:r>
    </w:p>
    <w:p>
      <w:pPr>
        <w:tabs>
          <w:tab w:val="left" w:pos="5040"/>
        </w:tabs>
        <w:spacing w:line="360" w:lineRule="auto"/>
        <w:rPr>
          <w:rFonts w:ascii="宋体" w:hAnsi="宋体"/>
          <w:color w:val="auto"/>
          <w:szCs w:val="21"/>
          <w:highlight w:val="none"/>
        </w:rPr>
      </w:pPr>
      <w:r>
        <w:rPr>
          <w:rFonts w:hint="eastAsia" w:ascii="宋体" w:hAnsi="宋体"/>
          <w:color w:val="auto"/>
          <w:szCs w:val="21"/>
          <w:highlight w:val="none"/>
        </w:rPr>
        <w:t>开户名称：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开户名称：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tabs>
          <w:tab w:val="left" w:pos="5040"/>
        </w:tabs>
        <w:spacing w:line="360" w:lineRule="auto"/>
        <w:rPr>
          <w:rFonts w:ascii="宋体" w:hAnsi="宋体"/>
          <w:color w:val="auto"/>
          <w:szCs w:val="21"/>
          <w:highlight w:val="none"/>
        </w:rPr>
      </w:pPr>
      <w:r>
        <w:rPr>
          <w:rFonts w:hint="eastAsia" w:ascii="宋体" w:hAnsi="宋体"/>
          <w:color w:val="auto"/>
          <w:szCs w:val="21"/>
          <w:highlight w:val="none"/>
        </w:rPr>
        <w:t>开户银行：</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开户银行：</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tabs>
          <w:tab w:val="left" w:pos="5040"/>
        </w:tabs>
        <w:spacing w:line="360" w:lineRule="auto"/>
        <w:rPr>
          <w:rFonts w:ascii="宋体" w:hAnsi="宋体"/>
          <w:color w:val="auto"/>
          <w:szCs w:val="21"/>
          <w:highlight w:val="none"/>
        </w:rPr>
      </w:pPr>
      <w:r>
        <w:rPr>
          <w:rFonts w:hint="eastAsia" w:ascii="宋体" w:hAnsi="宋体"/>
          <w:color w:val="auto"/>
          <w:szCs w:val="21"/>
          <w:highlight w:val="none"/>
        </w:rPr>
        <w:t>银行账号：</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银行账号：</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tabs>
          <w:tab w:val="left" w:pos="5040"/>
        </w:tabs>
        <w:spacing w:line="360" w:lineRule="auto"/>
        <w:rPr>
          <w:rFonts w:ascii="宋体" w:hAnsi="宋体"/>
          <w:color w:val="auto"/>
          <w:szCs w:val="21"/>
          <w:highlight w:val="none"/>
        </w:rPr>
      </w:pPr>
      <w:r>
        <w:rPr>
          <w:rFonts w:hint="eastAsia" w:ascii="宋体" w:hAnsi="宋体"/>
          <w:color w:val="auto"/>
          <w:szCs w:val="21"/>
          <w:highlight w:val="none"/>
        </w:rPr>
        <w:t>日    期：</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日    期：</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spacing w:line="360" w:lineRule="auto"/>
        <w:rPr>
          <w:color w:val="auto"/>
          <w:highlight w:val="none"/>
        </w:rPr>
      </w:pPr>
    </w:p>
    <w:p>
      <w:pPr>
        <w:tabs>
          <w:tab w:val="left" w:pos="5040"/>
        </w:tabs>
        <w:spacing w:line="400" w:lineRule="exact"/>
        <w:rPr>
          <w:rFonts w:ascii="宋体" w:hAnsi="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spacing w:line="360" w:lineRule="auto"/>
        <w:rPr>
          <w:color w:val="auto"/>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15"/>
        <w:rPr>
          <w:rFonts w:ascii="宋体" w:hAnsi="宋体"/>
          <w:color w:val="auto"/>
          <w:szCs w:val="21"/>
          <w:highlight w:val="none"/>
        </w:rPr>
      </w:pPr>
    </w:p>
    <w:p>
      <w:pPr>
        <w:pStyle w:val="4"/>
        <w:spacing w:line="360" w:lineRule="auto"/>
        <w:rPr>
          <w:rFonts w:ascii="宋体" w:hAnsi="宋体"/>
          <w:b w:val="0"/>
          <w:color w:val="auto"/>
          <w:szCs w:val="32"/>
          <w:highlight w:val="none"/>
        </w:rPr>
      </w:pPr>
      <w:bookmarkStart w:id="30" w:name="_Toc17003"/>
      <w:r>
        <w:rPr>
          <w:rFonts w:hint="eastAsia"/>
          <w:color w:val="auto"/>
          <w:highlight w:val="none"/>
        </w:rPr>
        <w:t>第六章  投标文件格式</w:t>
      </w:r>
      <w:bookmarkEnd w:id="30"/>
    </w:p>
    <w:p>
      <w:pPr>
        <w:spacing w:line="360" w:lineRule="auto"/>
        <w:rPr>
          <w:rFonts w:ascii="宋体" w:hAnsi="宋体"/>
          <w:b/>
          <w:color w:val="auto"/>
          <w:sz w:val="32"/>
          <w:szCs w:val="32"/>
          <w:highlight w:val="none"/>
        </w:rPr>
      </w:pPr>
    </w:p>
    <w:p>
      <w:pPr>
        <w:pStyle w:val="12"/>
        <w:spacing w:line="360" w:lineRule="auto"/>
        <w:ind w:firstLine="156" w:firstLineChars="49"/>
        <w:rPr>
          <w:rFonts w:hAnsi="宋体"/>
          <w:b/>
          <w:color w:val="auto"/>
          <w:sz w:val="32"/>
          <w:szCs w:val="32"/>
          <w:highlight w:val="none"/>
        </w:rPr>
      </w:pPr>
      <w:r>
        <w:rPr>
          <w:rFonts w:hint="eastAsia" w:hAnsi="宋体"/>
          <w:b/>
          <w:color w:val="auto"/>
          <w:sz w:val="32"/>
          <w:szCs w:val="32"/>
          <w:highlight w:val="none"/>
        </w:rPr>
        <w:br w:type="page"/>
      </w:r>
    </w:p>
    <w:p>
      <w:pPr>
        <w:spacing w:line="360" w:lineRule="exact"/>
        <w:rPr>
          <w:rFonts w:ascii="宋体" w:hAnsi="宋体" w:cs="宋体"/>
          <w:b/>
          <w:color w:val="auto"/>
          <w:sz w:val="32"/>
          <w:szCs w:val="32"/>
          <w:highlight w:val="none"/>
        </w:rPr>
      </w:pPr>
      <w:r>
        <w:rPr>
          <w:rFonts w:hint="eastAsia" w:ascii="宋体" w:hAnsi="宋体" w:cs="宋体"/>
          <w:b/>
          <w:color w:val="auto"/>
          <w:sz w:val="32"/>
          <w:szCs w:val="32"/>
          <w:highlight w:val="none"/>
        </w:rPr>
        <w:t>一、投标报价表</w:t>
      </w:r>
    </w:p>
    <w:p>
      <w:pPr>
        <w:spacing w:line="36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rPr>
        <w:t>投标报价表</w:t>
      </w:r>
    </w:p>
    <w:p>
      <w:pPr>
        <w:spacing w:line="360" w:lineRule="exact"/>
        <w:jc w:val="center"/>
        <w:rPr>
          <w:rFonts w:ascii="宋体" w:hAnsi="宋体" w:cs="宋体"/>
          <w:color w:val="auto"/>
          <w:sz w:val="32"/>
          <w:highlight w:val="none"/>
        </w:rPr>
      </w:pPr>
    </w:p>
    <w:p>
      <w:pPr>
        <w:spacing w:line="360" w:lineRule="exact"/>
        <w:rPr>
          <w:rFonts w:ascii="宋体" w:hAnsi="宋体" w:cs="宋体"/>
          <w:color w:val="auto"/>
          <w:highlight w:val="none"/>
        </w:rPr>
      </w:pPr>
      <w:r>
        <w:rPr>
          <w:rFonts w:hint="eastAsia" w:ascii="宋体" w:hAnsi="宋体" w:cs="宋体"/>
          <w:color w:val="auto"/>
          <w:szCs w:val="21"/>
          <w:highlight w:val="none"/>
        </w:rPr>
        <w:t>致：（采购人）</w:t>
      </w:r>
    </w:p>
    <w:p>
      <w:pPr>
        <w:pStyle w:val="12"/>
        <w:spacing w:line="360" w:lineRule="exact"/>
        <w:ind w:firstLine="420"/>
        <w:rPr>
          <w:rFonts w:hAnsi="宋体" w:cs="宋体"/>
          <w:color w:val="auto"/>
          <w:highlight w:val="none"/>
        </w:rPr>
      </w:pPr>
      <w:r>
        <w:rPr>
          <w:rFonts w:hint="eastAsia" w:hAnsi="宋体" w:cs="宋体"/>
          <w:color w:val="auto"/>
          <w:highlight w:val="none"/>
        </w:rPr>
        <w:t>根据贵方</w:t>
      </w:r>
      <w:r>
        <w:rPr>
          <w:rFonts w:hint="eastAsia" w:hAnsi="宋体" w:cs="宋体"/>
          <w:color w:val="auto"/>
          <w:highlight w:val="none"/>
          <w:u w:val="single"/>
        </w:rPr>
        <w:t xml:space="preserve">      （项目名称）  </w:t>
      </w:r>
      <w:r>
        <w:rPr>
          <w:rFonts w:hint="eastAsia" w:hAnsi="宋体" w:cs="宋体"/>
          <w:color w:val="auto"/>
          <w:highlight w:val="none"/>
        </w:rPr>
        <w:t>采购文件，项目编号</w:t>
      </w:r>
      <w:r>
        <w:rPr>
          <w:rFonts w:hint="eastAsia" w:hAnsi="宋体" w:cs="宋体"/>
          <w:color w:val="auto"/>
          <w:szCs w:val="21"/>
          <w:highlight w:val="none"/>
          <w:u w:val="single"/>
        </w:rPr>
        <w:t xml:space="preserve">    </w:t>
      </w:r>
      <w:r>
        <w:rPr>
          <w:rFonts w:hint="eastAsia" w:hAnsi="宋体" w:cs="宋体"/>
          <w:color w:val="auto"/>
          <w:szCs w:val="21"/>
          <w:highlight w:val="none"/>
        </w:rPr>
        <w:t>，签字代表</w:t>
      </w:r>
      <w:r>
        <w:rPr>
          <w:rFonts w:hint="eastAsia" w:hAnsi="宋体" w:cs="宋体"/>
          <w:color w:val="auto"/>
          <w:highlight w:val="none"/>
          <w:u w:val="single"/>
        </w:rPr>
        <w:t xml:space="preserve">         </w:t>
      </w:r>
      <w:r>
        <w:rPr>
          <w:rFonts w:hint="eastAsia" w:hAnsi="宋体" w:cs="宋体"/>
          <w:color w:val="auto"/>
          <w:highlight w:val="none"/>
        </w:rPr>
        <w:t xml:space="preserve">（姓名）经正式授权并代表供应商 </w:t>
      </w:r>
      <w:r>
        <w:rPr>
          <w:rFonts w:hint="eastAsia" w:hAnsi="宋体" w:cs="宋体"/>
          <w:color w:val="auto"/>
          <w:highlight w:val="none"/>
          <w:u w:val="single"/>
        </w:rPr>
        <w:t xml:space="preserve">                           （</w:t>
      </w:r>
      <w:r>
        <w:rPr>
          <w:rFonts w:hint="eastAsia" w:hAnsi="宋体" w:cs="宋体"/>
          <w:color w:val="auto"/>
          <w:highlight w:val="none"/>
        </w:rPr>
        <w:t>供应商名称），提交投标文件正本一份，副本</w:t>
      </w:r>
      <w:r>
        <w:rPr>
          <w:rFonts w:hint="eastAsia" w:hAnsi="宋体" w:cs="宋体"/>
          <w:color w:val="auto"/>
          <w:highlight w:val="none"/>
          <w:u w:val="single"/>
        </w:rPr>
        <w:t xml:space="preserve">  四 </w:t>
      </w:r>
      <w:r>
        <w:rPr>
          <w:rFonts w:hint="eastAsia" w:hAnsi="宋体" w:cs="宋体"/>
          <w:color w:val="auto"/>
          <w:highlight w:val="none"/>
        </w:rPr>
        <w:t>份，并做出如下报价：</w:t>
      </w:r>
    </w:p>
    <w:tbl>
      <w:tblPr>
        <w:tblStyle w:val="21"/>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3"/>
        <w:gridCol w:w="1365"/>
        <w:gridCol w:w="1494"/>
        <w:gridCol w:w="993"/>
        <w:gridCol w:w="1275"/>
        <w:gridCol w:w="709"/>
        <w:gridCol w:w="567"/>
        <w:gridCol w:w="851"/>
        <w:gridCol w:w="1430"/>
        <w:gridCol w:w="69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08"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项号</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货物名称</w:t>
            </w:r>
          </w:p>
        </w:tc>
        <w:tc>
          <w:tcPr>
            <w:tcW w:w="149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生产厂家</w:t>
            </w:r>
          </w:p>
        </w:tc>
        <w:tc>
          <w:tcPr>
            <w:tcW w:w="99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品牌</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规格型号</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数量</w:t>
            </w:r>
          </w:p>
          <w:p>
            <w:pPr>
              <w:spacing w:line="360" w:lineRule="exact"/>
              <w:jc w:val="center"/>
              <w:rPr>
                <w:rFonts w:ascii="宋体" w:hAnsi="宋体" w:cs="宋体"/>
                <w:color w:val="auto"/>
                <w:highlight w:val="none"/>
              </w:rPr>
            </w:pPr>
            <w:r>
              <w:rPr>
                <w:rFonts w:hint="eastAsia" w:ascii="宋体" w:hAnsi="宋体" w:cs="宋体"/>
                <w:color w:val="auto"/>
                <w:szCs w:val="21"/>
                <w:highlight w:val="none"/>
              </w:rPr>
              <w:t>①</w:t>
            </w: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单位</w:t>
            </w:r>
          </w:p>
        </w:tc>
        <w:tc>
          <w:tcPr>
            <w:tcW w:w="85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单价（元）</w:t>
            </w:r>
          </w:p>
          <w:p>
            <w:pPr>
              <w:spacing w:line="360" w:lineRule="exact"/>
              <w:jc w:val="center"/>
              <w:rPr>
                <w:rFonts w:ascii="宋体" w:hAnsi="宋体" w:cs="宋体"/>
                <w:color w:val="auto"/>
                <w:highlight w:val="none"/>
              </w:rPr>
            </w:pPr>
            <w:r>
              <w:rPr>
                <w:rFonts w:hint="eastAsia" w:ascii="宋体" w:hAnsi="宋体" w:cs="宋体"/>
                <w:color w:val="auto"/>
                <w:szCs w:val="21"/>
                <w:highlight w:val="none"/>
              </w:rPr>
              <w:t>②</w:t>
            </w:r>
          </w:p>
        </w:tc>
        <w:tc>
          <w:tcPr>
            <w:tcW w:w="1430" w:type="dxa"/>
            <w:tcBorders>
              <w:top w:val="single" w:color="auto" w:sz="4" w:space="0"/>
              <w:left w:val="single" w:color="auto" w:sz="4" w:space="0"/>
              <w:bottom w:val="single" w:color="auto" w:sz="4" w:space="0"/>
            </w:tcBorders>
            <w:vAlign w:val="center"/>
          </w:tcPr>
          <w:p>
            <w:pPr>
              <w:spacing w:line="360" w:lineRule="exact"/>
              <w:jc w:val="center"/>
              <w:rPr>
                <w:rFonts w:ascii="宋体" w:hAnsi="宋体" w:cs="宋体"/>
                <w:color w:val="auto"/>
                <w:highlight w:val="none"/>
              </w:rPr>
            </w:pPr>
            <w:r>
              <w:rPr>
                <w:rFonts w:hint="eastAsia" w:ascii="宋体" w:hAnsi="宋体" w:cs="宋体"/>
                <w:color w:val="auto"/>
                <w:highlight w:val="none"/>
              </w:rPr>
              <w:t>单项合计=数量×单价</w:t>
            </w:r>
          </w:p>
          <w:p>
            <w:pPr>
              <w:spacing w:line="360" w:lineRule="exact"/>
              <w:jc w:val="center"/>
              <w:rPr>
                <w:rFonts w:ascii="宋体" w:hAnsi="宋体" w:cs="宋体"/>
                <w:color w:val="auto"/>
                <w:highlight w:val="none"/>
              </w:rPr>
            </w:pPr>
            <w:r>
              <w:rPr>
                <w:rFonts w:hint="eastAsia" w:ascii="宋体" w:hAnsi="宋体" w:cs="宋体"/>
                <w:color w:val="auto"/>
                <w:szCs w:val="21"/>
                <w:highlight w:val="none"/>
              </w:rPr>
              <w:t>③＝①×②</w:t>
            </w:r>
          </w:p>
        </w:tc>
        <w:tc>
          <w:tcPr>
            <w:tcW w:w="696" w:type="dxa"/>
            <w:tcBorders>
              <w:top w:val="single" w:color="auto" w:sz="4" w:space="0"/>
              <w:left w:val="single" w:color="auto" w:sz="4" w:space="0"/>
              <w:bottom w:val="single" w:color="auto" w:sz="4" w:space="0"/>
            </w:tcBorders>
          </w:tcPr>
          <w:p>
            <w:pPr>
              <w:spacing w:line="360" w:lineRule="exact"/>
              <w:jc w:val="center"/>
              <w:rPr>
                <w:rFonts w:ascii="宋体" w:hAnsi="宋体" w:cs="宋体"/>
                <w:color w:val="auto"/>
                <w:highlight w:val="none"/>
              </w:rPr>
            </w:pPr>
            <w:r>
              <w:rPr>
                <w:rFonts w:hint="eastAsia" w:ascii="宋体" w:hAnsi="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一、</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49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color w:val="auto"/>
                <w:highlight w:val="none"/>
              </w:rPr>
            </w:pPr>
          </w:p>
        </w:tc>
        <w:tc>
          <w:tcPr>
            <w:tcW w:w="1430" w:type="dxa"/>
            <w:tcBorders>
              <w:top w:val="single" w:color="auto" w:sz="4" w:space="0"/>
              <w:left w:val="single" w:color="auto" w:sz="4" w:space="0"/>
              <w:bottom w:val="single" w:color="auto" w:sz="4" w:space="0"/>
            </w:tcBorders>
            <w:vAlign w:val="center"/>
          </w:tcPr>
          <w:p>
            <w:pPr>
              <w:spacing w:line="360" w:lineRule="exact"/>
              <w:jc w:val="center"/>
              <w:rPr>
                <w:rFonts w:ascii="宋体" w:hAnsi="宋体" w:cs="宋体"/>
                <w:b/>
                <w:bCs/>
                <w:color w:val="auto"/>
                <w:highlight w:val="none"/>
              </w:rPr>
            </w:pPr>
          </w:p>
        </w:tc>
        <w:tc>
          <w:tcPr>
            <w:tcW w:w="696" w:type="dxa"/>
            <w:tcBorders>
              <w:top w:val="single" w:color="auto" w:sz="4" w:space="0"/>
              <w:left w:val="single" w:color="auto" w:sz="4" w:space="0"/>
              <w:bottom w:val="single" w:color="auto" w:sz="4" w:space="0"/>
            </w:tcBorders>
          </w:tcPr>
          <w:p>
            <w:pPr>
              <w:spacing w:line="360" w:lineRule="exact"/>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543" w:type="dxa"/>
            <w:tcBorders>
              <w:top w:val="single" w:color="auto" w:sz="4" w:space="0"/>
              <w:left w:val="single" w:color="auto" w:sz="4" w:space="0"/>
              <w:right w:val="single" w:color="auto" w:sz="4" w:space="0"/>
            </w:tcBorders>
            <w:vAlign w:val="center"/>
          </w:tcPr>
          <w:p>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49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color w:val="auto"/>
                <w:highlight w:val="none"/>
              </w:rPr>
            </w:pPr>
          </w:p>
        </w:tc>
        <w:tc>
          <w:tcPr>
            <w:tcW w:w="1430" w:type="dxa"/>
            <w:tcBorders>
              <w:top w:val="single" w:color="auto" w:sz="4" w:space="0"/>
              <w:left w:val="single" w:color="auto" w:sz="4" w:space="0"/>
              <w:bottom w:val="single" w:color="auto" w:sz="4" w:space="0"/>
            </w:tcBorders>
            <w:vAlign w:val="center"/>
          </w:tcPr>
          <w:p>
            <w:pPr>
              <w:spacing w:line="360" w:lineRule="exact"/>
              <w:jc w:val="center"/>
              <w:rPr>
                <w:rFonts w:ascii="宋体" w:hAnsi="宋体" w:cs="宋体"/>
                <w:b/>
                <w:bCs/>
                <w:color w:val="auto"/>
                <w:highlight w:val="none"/>
              </w:rPr>
            </w:pPr>
          </w:p>
        </w:tc>
        <w:tc>
          <w:tcPr>
            <w:tcW w:w="696" w:type="dxa"/>
            <w:tcBorders>
              <w:top w:val="single" w:color="auto" w:sz="4" w:space="0"/>
              <w:left w:val="single" w:color="auto" w:sz="4" w:space="0"/>
              <w:bottom w:val="single" w:color="auto" w:sz="4" w:space="0"/>
            </w:tcBorders>
          </w:tcPr>
          <w:p>
            <w:pPr>
              <w:spacing w:line="360" w:lineRule="exact"/>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543" w:type="dxa"/>
            <w:tcBorders>
              <w:top w:val="single" w:color="auto" w:sz="4" w:space="0"/>
              <w:left w:val="single" w:color="auto" w:sz="4" w:space="0"/>
              <w:right w:val="single" w:color="auto" w:sz="4" w:space="0"/>
            </w:tcBorders>
            <w:vAlign w:val="center"/>
          </w:tcPr>
          <w:p>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49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color w:val="auto"/>
                <w:highlight w:val="none"/>
              </w:rPr>
            </w:pPr>
          </w:p>
        </w:tc>
        <w:tc>
          <w:tcPr>
            <w:tcW w:w="1430" w:type="dxa"/>
            <w:tcBorders>
              <w:top w:val="single" w:color="auto" w:sz="4" w:space="0"/>
              <w:left w:val="single" w:color="auto" w:sz="4" w:space="0"/>
              <w:bottom w:val="single" w:color="auto" w:sz="4" w:space="0"/>
            </w:tcBorders>
            <w:vAlign w:val="center"/>
          </w:tcPr>
          <w:p>
            <w:pPr>
              <w:spacing w:line="360" w:lineRule="exact"/>
              <w:jc w:val="center"/>
              <w:rPr>
                <w:rFonts w:ascii="宋体" w:hAnsi="宋体" w:cs="宋体"/>
                <w:b/>
                <w:bCs/>
                <w:color w:val="auto"/>
                <w:highlight w:val="none"/>
              </w:rPr>
            </w:pPr>
          </w:p>
        </w:tc>
        <w:tc>
          <w:tcPr>
            <w:tcW w:w="696" w:type="dxa"/>
            <w:tcBorders>
              <w:top w:val="single" w:color="auto" w:sz="4" w:space="0"/>
              <w:left w:val="single" w:color="auto" w:sz="4" w:space="0"/>
              <w:bottom w:val="single" w:color="auto" w:sz="4" w:space="0"/>
            </w:tcBorders>
          </w:tcPr>
          <w:p>
            <w:pPr>
              <w:spacing w:line="360" w:lineRule="exact"/>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543" w:type="dxa"/>
            <w:tcBorders>
              <w:top w:val="single" w:color="auto" w:sz="4" w:space="0"/>
              <w:left w:val="single" w:color="auto" w:sz="4" w:space="0"/>
              <w:right w:val="single" w:color="auto" w:sz="4" w:space="0"/>
            </w:tcBorders>
            <w:vAlign w:val="center"/>
          </w:tcPr>
          <w:p>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49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color w:val="auto"/>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bCs/>
                <w:color w:val="auto"/>
                <w:highlight w:val="none"/>
              </w:rPr>
            </w:pPr>
          </w:p>
        </w:tc>
        <w:tc>
          <w:tcPr>
            <w:tcW w:w="1430" w:type="dxa"/>
            <w:tcBorders>
              <w:top w:val="single" w:color="auto" w:sz="4" w:space="0"/>
              <w:left w:val="single" w:color="auto" w:sz="4" w:space="0"/>
              <w:bottom w:val="single" w:color="auto" w:sz="4" w:space="0"/>
            </w:tcBorders>
            <w:vAlign w:val="center"/>
          </w:tcPr>
          <w:p>
            <w:pPr>
              <w:spacing w:line="360" w:lineRule="exact"/>
              <w:jc w:val="center"/>
              <w:rPr>
                <w:rFonts w:ascii="宋体" w:hAnsi="宋体" w:cs="宋体"/>
                <w:b/>
                <w:bCs/>
                <w:color w:val="auto"/>
                <w:highlight w:val="none"/>
              </w:rPr>
            </w:pPr>
          </w:p>
        </w:tc>
        <w:tc>
          <w:tcPr>
            <w:tcW w:w="696" w:type="dxa"/>
            <w:tcBorders>
              <w:top w:val="single" w:color="auto" w:sz="4" w:space="0"/>
              <w:left w:val="single" w:color="auto" w:sz="4" w:space="0"/>
              <w:bottom w:val="single" w:color="auto" w:sz="4" w:space="0"/>
            </w:tcBorders>
          </w:tcPr>
          <w:p>
            <w:pPr>
              <w:spacing w:line="360" w:lineRule="exact"/>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spacing w:line="360" w:lineRule="exact"/>
              <w:rPr>
                <w:color w:val="auto"/>
                <w:highlight w:val="none"/>
              </w:rPr>
            </w:pPr>
            <w:r>
              <w:rPr>
                <w:rFonts w:hint="eastAsia"/>
                <w:color w:val="auto"/>
                <w:highlight w:val="none"/>
              </w:rPr>
              <w:t>投标报价（大写）：                                 元  人民币（￥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spacing w:line="360" w:lineRule="exact"/>
              <w:rPr>
                <w:rFonts w:hint="eastAsia" w:ascii="宋体" w:hAnsi="宋体" w:eastAsia="宋体" w:cs="宋体"/>
                <w:color w:val="auto"/>
                <w:spacing w:val="-6"/>
                <w:kern w:val="2"/>
                <w:sz w:val="21"/>
                <w:szCs w:val="24"/>
                <w:highlight w:val="none"/>
                <w:lang w:val="en-US" w:eastAsia="zh-CN" w:bidi="ar-SA"/>
              </w:rPr>
            </w:pPr>
            <w:r>
              <w:rPr>
                <w:rFonts w:hint="eastAsia" w:ascii="宋体" w:hAnsi="宋体" w:cs="宋体"/>
                <w:color w:val="auto"/>
                <w:spacing w:val="-6"/>
                <w:highlight w:val="none"/>
              </w:rPr>
              <w:t>本项目投标有效期为投标截止时间之日起90天。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spacing w:line="360" w:lineRule="exact"/>
              <w:rPr>
                <w:rFonts w:hint="eastAsia" w:ascii="宋体" w:hAnsi="宋体" w:eastAsia="宋体" w:cs="宋体"/>
                <w:color w:val="auto"/>
                <w:spacing w:val="-6"/>
                <w:kern w:val="2"/>
                <w:sz w:val="21"/>
                <w:szCs w:val="24"/>
                <w:highlight w:val="none"/>
                <w:lang w:val="en-US" w:eastAsia="zh-CN" w:bidi="ar-SA"/>
              </w:rPr>
            </w:pPr>
            <w:r>
              <w:rPr>
                <w:rFonts w:hint="eastAsia" w:ascii="宋体" w:hAnsi="宋体" w:cs="宋体"/>
                <w:color w:val="auto"/>
                <w:spacing w:val="-6"/>
                <w:highlight w:val="none"/>
              </w:rPr>
              <w:t>免费保修期: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spacing w:line="360" w:lineRule="exact"/>
              <w:rPr>
                <w:rFonts w:hint="default" w:ascii="宋体" w:hAnsi="宋体" w:eastAsia="宋体" w:cs="宋体"/>
                <w:color w:val="auto"/>
                <w:spacing w:val="-6"/>
                <w:highlight w:val="none"/>
                <w:lang w:val="en-US" w:eastAsia="zh-CN"/>
              </w:rPr>
            </w:pPr>
            <w:r>
              <w:rPr>
                <w:rFonts w:hint="eastAsia" w:ascii="宋体" w:hAnsi="宋体" w:cs="宋体"/>
                <w:color w:val="auto"/>
                <w:spacing w:val="-6"/>
                <w:highlight w:val="none"/>
                <w:lang w:val="en-US" w:eastAsia="zh-CN"/>
              </w:rPr>
              <w:t>交付使用期：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cs="宋体"/>
                <w:color w:val="auto"/>
                <w:spacing w:val="-6"/>
                <w:highlight w:val="none"/>
              </w:rPr>
            </w:pPr>
            <w:r>
              <w:rPr>
                <w:rFonts w:hint="eastAsia" w:ascii="宋体" w:hAnsi="宋体" w:cs="宋体"/>
                <w:color w:val="auto"/>
                <w:spacing w:val="-6"/>
                <w:highlight w:val="none"/>
              </w:rPr>
              <w:t>其中：属于《节能产品政府采购清单》目录内产品的总金额为人民币（大写）：  </w:t>
            </w:r>
            <w:r>
              <w:rPr>
                <w:rFonts w:hint="eastAsia" w:ascii="宋体" w:hAnsi="宋体" w:cs="宋体"/>
                <w:color w:val="auto"/>
                <w:spacing w:val="-6"/>
                <w:highlight w:val="none"/>
                <w:lang w:val="en-US" w:eastAsia="zh-CN"/>
              </w:rPr>
              <w:t xml:space="preserve">  </w:t>
            </w:r>
            <w:r>
              <w:rPr>
                <w:rFonts w:hint="eastAsia" w:ascii="宋体" w:hAnsi="宋体" w:cs="宋体"/>
                <w:color w:val="auto"/>
                <w:spacing w:val="-6"/>
                <w:highlight w:val="none"/>
              </w:rPr>
              <w:t>元（￥ </w:t>
            </w:r>
            <w:r>
              <w:rPr>
                <w:rFonts w:hint="eastAsia" w:ascii="宋体" w:hAnsi="宋体" w:cs="宋体"/>
                <w:color w:val="auto"/>
                <w:spacing w:val="-6"/>
                <w:highlight w:val="none"/>
                <w:lang w:val="en-US" w:eastAsia="zh-CN"/>
              </w:rPr>
              <w:t xml:space="preserve">      </w:t>
            </w:r>
            <w:r>
              <w:rPr>
                <w:rFonts w:hint="eastAsia" w:ascii="宋体" w:hAnsi="宋体" w:cs="宋体"/>
                <w:color w:val="auto"/>
                <w:spacing w:val="-6"/>
                <w:highlight w:val="none"/>
              </w:rPr>
              <w:t> ）；</w:t>
            </w:r>
            <w:r>
              <w:rPr>
                <w:rFonts w:hint="eastAsia" w:ascii="宋体" w:hAnsi="宋体" w:cs="宋体"/>
                <w:color w:val="auto"/>
                <w:spacing w:val="-6"/>
                <w:highlight w:val="none"/>
              </w:rPr>
              <w:br w:type="textWrapping"/>
            </w:r>
            <w:r>
              <w:rPr>
                <w:rFonts w:hint="eastAsia" w:ascii="宋体" w:hAnsi="宋体" w:cs="宋体"/>
                <w:color w:val="auto"/>
                <w:spacing w:val="-6"/>
                <w:highlight w:val="none"/>
              </w:rPr>
              <w:t>属于《环境标志产品政府采购清单》目录内产品的总金额为人民币（大写）：    元（￥  </w:t>
            </w:r>
            <w:r>
              <w:rPr>
                <w:rFonts w:hint="eastAsia" w:ascii="宋体" w:hAnsi="宋体" w:cs="宋体"/>
                <w:color w:val="auto"/>
                <w:spacing w:val="-6"/>
                <w:highlight w:val="none"/>
                <w:lang w:val="en-US" w:eastAsia="zh-CN"/>
              </w:rPr>
              <w:t xml:space="preserve">    </w:t>
            </w:r>
            <w:r>
              <w:rPr>
                <w:rFonts w:hint="eastAsia" w:ascii="宋体" w:hAnsi="宋体" w:cs="宋体"/>
                <w:color w:val="auto"/>
                <w:spacing w:val="-6"/>
                <w:highlight w:val="none"/>
              </w:rPr>
              <w:t> ）。</w:t>
            </w:r>
            <w:r>
              <w:rPr>
                <w:rFonts w:hint="eastAsia" w:ascii="宋体" w:hAnsi="宋体" w:cs="宋体"/>
                <w:color w:val="auto"/>
                <w:spacing w:val="-6"/>
                <w:highlight w:val="none"/>
              </w:rPr>
              <w:br w:type="textWrapping"/>
            </w:r>
            <w:r>
              <w:rPr>
                <w:rFonts w:hint="eastAsia" w:ascii="宋体" w:hAnsi="宋体" w:cs="宋体"/>
                <w:b/>
                <w:bCs/>
                <w:color w:val="auto"/>
                <w:spacing w:val="-6"/>
                <w:highlight w:val="none"/>
              </w:rPr>
              <w:t>备注：若不属于《节能产品政府采购清单》及《环境标志产品政府采购清单》目录内产品的，则该处填写“无”字样。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jc w:val="center"/>
        </w:trPr>
        <w:tc>
          <w:tcPr>
            <w:tcW w:w="9923" w:type="dxa"/>
            <w:gridSpan w:val="10"/>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ascii="宋体" w:hAnsi="宋体" w:cs="宋体"/>
                <w:color w:val="auto"/>
                <w:spacing w:val="-6"/>
                <w:highlight w:val="none"/>
              </w:rPr>
            </w:pPr>
            <w:r>
              <w:rPr>
                <w:rFonts w:hint="eastAsia"/>
                <w:color w:val="auto"/>
                <w:highlight w:val="none"/>
                <w:lang w:val="en-US" w:eastAsia="zh-CN"/>
              </w:rPr>
              <w:t>说明：</w:t>
            </w:r>
            <w:r>
              <w:rPr>
                <w:rFonts w:hint="eastAsia"/>
                <w:color w:val="auto"/>
                <w:highlight w:val="none"/>
              </w:rPr>
              <w:t>投标报价应包括本次招标采购范围内</w:t>
            </w:r>
            <w:r>
              <w:rPr>
                <w:rFonts w:hint="eastAsia"/>
                <w:color w:val="auto"/>
                <w:highlight w:val="none"/>
                <w:lang w:val="en-US" w:eastAsia="zh-CN"/>
              </w:rPr>
              <w:t>货物</w:t>
            </w:r>
            <w:r>
              <w:rPr>
                <w:rFonts w:hint="eastAsia"/>
                <w:color w:val="auto"/>
                <w:highlight w:val="none"/>
              </w:rPr>
              <w:t>价款、检验、售后服务、培训、保修和完成本次服务所需的运行支撑环境的软硬件设备费用及其他所有成本费用的总和；供应商综合考虑在报价中，采购人不再另行支付投标报价之外的任何费用。</w:t>
            </w:r>
          </w:p>
        </w:tc>
      </w:tr>
    </w:tbl>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与本投标有关的正式通讯地址为：</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u w:val="single"/>
        </w:rPr>
      </w:pPr>
      <w:r>
        <w:rPr>
          <w:rFonts w:hint="eastAsia" w:hAnsi="宋体" w:cs="宋体"/>
          <w:color w:val="auto"/>
          <w:highlight w:val="none"/>
        </w:rPr>
        <w:t>地址：</w:t>
      </w:r>
      <w:r>
        <w:rPr>
          <w:rFonts w:hint="eastAsia" w:hAnsi="宋体" w:cs="宋体"/>
          <w:color w:val="auto"/>
          <w:highlight w:val="none"/>
          <w:u w:val="single"/>
        </w:rPr>
        <w:t xml:space="preserve">                                   </w:t>
      </w:r>
      <w:r>
        <w:rPr>
          <w:rFonts w:hint="eastAsia" w:hAnsi="宋体" w:cs="宋体"/>
          <w:color w:val="auto"/>
          <w:highlight w:val="none"/>
        </w:rPr>
        <w:t xml:space="preserve"> 邮编：</w:t>
      </w:r>
      <w:r>
        <w:rPr>
          <w:rFonts w:hint="eastAsia" w:hAnsi="宋体" w:cs="宋体"/>
          <w:color w:val="auto"/>
          <w:highlight w:val="none"/>
          <w:u w:val="single"/>
        </w:rPr>
        <w:t xml:space="preserve">          </w:t>
      </w:r>
      <w:r>
        <w:rPr>
          <w:rFonts w:hint="eastAsia" w:hAnsi="宋体" w:cs="宋体"/>
          <w:color w:val="auto"/>
          <w:highlight w:val="none"/>
        </w:rPr>
        <w:t xml:space="preserve">  电话、传真：</w:t>
      </w:r>
      <w:r>
        <w:rPr>
          <w:rFonts w:hint="eastAsia" w:hAnsi="宋体" w:cs="宋体"/>
          <w:color w:val="auto"/>
          <w:highlight w:val="none"/>
          <w:u w:val="single"/>
        </w:rPr>
        <w:t xml:space="preserve">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 xml:space="preserve">开户名称：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开户银行：</w:t>
      </w:r>
      <w:r>
        <w:rPr>
          <w:rFonts w:hint="eastAsia" w:hAnsi="宋体" w:cs="宋体"/>
          <w:color w:val="auto"/>
          <w:highlight w:val="none"/>
          <w:u w:val="single"/>
        </w:rPr>
        <w:t xml:space="preserve">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账号：</w:t>
      </w:r>
      <w:r>
        <w:rPr>
          <w:rFonts w:hint="eastAsia" w:hAnsi="宋体" w:cs="宋体"/>
          <w:color w:val="auto"/>
          <w:highlight w:val="none"/>
          <w:u w:val="single"/>
        </w:rPr>
        <w:t xml:space="preserve">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供应商：</w:t>
      </w:r>
      <w:r>
        <w:rPr>
          <w:rFonts w:hint="eastAsia" w:hAnsi="宋体" w:cs="宋体"/>
          <w:color w:val="auto"/>
          <w:highlight w:val="none"/>
          <w:u w:val="single"/>
        </w:rPr>
        <w:t xml:space="preserve">                              </w:t>
      </w:r>
      <w:r>
        <w:rPr>
          <w:rFonts w:hint="eastAsia" w:hAnsi="宋体" w:cs="宋体"/>
          <w:color w:val="auto"/>
          <w:highlight w:val="none"/>
        </w:rPr>
        <w:t>（公章，自然人除外）</w:t>
      </w:r>
      <w:r>
        <w:rPr>
          <w:rFonts w:hint="eastAsia" w:hAnsi="宋体" w:cs="宋体"/>
          <w:color w:val="auto"/>
          <w:highlight w:val="none"/>
          <w:u w:val="single"/>
        </w:rPr>
        <w:t xml:space="preserve">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法定代表人或负责人或自然人或相应的委托代理人签字（或盖章）</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color w:val="auto"/>
          <w:highlight w:val="none"/>
        </w:rPr>
      </w:pPr>
      <w:r>
        <w:rPr>
          <w:rFonts w:hint="eastAsia" w:hAnsi="宋体" w:cs="宋体"/>
          <w:color w:val="auto"/>
          <w:highlight w:val="none"/>
        </w:rPr>
        <w:t>（属自然人的应在签名处加盖大拇指指印）：</w:t>
      </w:r>
      <w:r>
        <w:rPr>
          <w:rFonts w:hint="eastAsia" w:hAnsi="宋体" w:cs="宋体"/>
          <w:color w:val="auto"/>
          <w:highlight w:val="none"/>
          <w:u w:val="single"/>
        </w:rPr>
        <w:t xml:space="preserve">                       </w:t>
      </w:r>
    </w:p>
    <w:p>
      <w:pPr>
        <w:pStyle w:val="12"/>
        <w:keepNext w:val="0"/>
        <w:keepLines w:val="0"/>
        <w:pageBreakBefore w:val="0"/>
        <w:widowControl w:val="0"/>
        <w:kinsoku/>
        <w:wordWrap/>
        <w:overflowPunct/>
        <w:topLinePunct w:val="0"/>
        <w:autoSpaceDE/>
        <w:autoSpaceDN/>
        <w:bidi w:val="0"/>
        <w:adjustRightInd/>
        <w:snapToGrid/>
        <w:spacing w:line="340" w:lineRule="exact"/>
        <w:ind w:firstLine="420"/>
        <w:textAlignment w:val="auto"/>
        <w:rPr>
          <w:rFonts w:hAnsi="宋体" w:cs="宋体"/>
          <w:b/>
          <w:color w:val="auto"/>
          <w:sz w:val="32"/>
          <w:szCs w:val="32"/>
          <w:highlight w:val="none"/>
        </w:rPr>
      </w:pPr>
      <w:r>
        <w:rPr>
          <w:rFonts w:hint="eastAsia" w:hAnsi="宋体" w:cs="宋体"/>
          <w:color w:val="auto"/>
          <w:highlight w:val="none"/>
        </w:rPr>
        <w:t>日期：</w:t>
      </w:r>
      <w:r>
        <w:rPr>
          <w:rFonts w:hint="eastAsia" w:hAnsi="宋体" w:cs="宋体"/>
          <w:color w:val="auto"/>
          <w:highlight w:val="none"/>
          <w:u w:val="single"/>
        </w:rPr>
        <w:t xml:space="preserve">                               </w:t>
      </w:r>
    </w:p>
    <w:p>
      <w:pPr>
        <w:keepNext w:val="0"/>
        <w:keepLines w:val="0"/>
        <w:pageBreakBefore w:val="0"/>
        <w:widowControl w:val="0"/>
        <w:tabs>
          <w:tab w:val="left" w:pos="1305"/>
        </w:tabs>
        <w:kinsoku/>
        <w:wordWrap/>
        <w:overflowPunct/>
        <w:topLinePunct w:val="0"/>
        <w:autoSpaceDE/>
        <w:autoSpaceDN/>
        <w:bidi w:val="0"/>
        <w:adjustRightInd/>
        <w:snapToGrid/>
        <w:spacing w:line="340" w:lineRule="exact"/>
        <w:ind w:firstLine="206" w:firstLineChars="98"/>
        <w:textAlignment w:val="auto"/>
        <w:rPr>
          <w:rFonts w:ascii="宋体" w:hAnsi="宋体" w:cs="宋体"/>
          <w:bCs/>
          <w:color w:val="auto"/>
          <w:szCs w:val="21"/>
          <w:highlight w:val="none"/>
        </w:rPr>
      </w:pPr>
      <w:r>
        <w:rPr>
          <w:rFonts w:hint="eastAsia" w:ascii="宋体" w:hAnsi="宋体" w:cs="宋体"/>
          <w:bCs/>
          <w:color w:val="auto"/>
          <w:szCs w:val="21"/>
          <w:highlight w:val="none"/>
        </w:rPr>
        <w:t>注</w:t>
      </w:r>
      <w:r>
        <w:rPr>
          <w:rFonts w:hint="eastAsia" w:ascii="宋体" w:hAnsi="宋体" w:cs="宋体"/>
          <w:b/>
          <w:bCs/>
          <w:color w:val="auto"/>
          <w:szCs w:val="21"/>
          <w:highlight w:val="none"/>
        </w:rPr>
        <w:t>：</w:t>
      </w:r>
      <w:r>
        <w:rPr>
          <w:rFonts w:hint="eastAsia" w:ascii="宋体" w:hAnsi="宋体" w:cs="宋体"/>
          <w:bCs/>
          <w:color w:val="auto"/>
          <w:szCs w:val="21"/>
          <w:highlight w:val="none"/>
        </w:rPr>
        <w:t>1.各供应商</w:t>
      </w:r>
      <w:r>
        <w:rPr>
          <w:rFonts w:hint="eastAsia" w:ascii="宋体" w:hAnsi="宋体" w:cs="宋体"/>
          <w:color w:val="auto"/>
          <w:szCs w:val="21"/>
          <w:highlight w:val="none"/>
        </w:rPr>
        <w:t>必须就“</w:t>
      </w:r>
      <w:r>
        <w:rPr>
          <w:rFonts w:hint="eastAsia" w:ascii="宋体" w:hAnsi="宋体" w:cs="宋体"/>
          <w:color w:val="auto"/>
          <w:szCs w:val="21"/>
          <w:highlight w:val="none"/>
          <w:lang w:eastAsia="zh-CN"/>
        </w:rPr>
        <w:t>采购需求</w:t>
      </w:r>
      <w:r>
        <w:rPr>
          <w:rFonts w:hint="eastAsia" w:ascii="宋体" w:hAnsi="宋体" w:cs="宋体"/>
          <w:color w:val="auto"/>
          <w:szCs w:val="21"/>
          <w:highlight w:val="none"/>
        </w:rPr>
        <w:t>”中所有内容作完整唯一报价，否则，其投标将被拒绝。投标文件只允许有一个报价。</w:t>
      </w:r>
    </w:p>
    <w:p>
      <w:pPr>
        <w:pStyle w:val="12"/>
        <w:keepNext w:val="0"/>
        <w:keepLines w:val="0"/>
        <w:pageBreakBefore w:val="0"/>
        <w:widowControl w:val="0"/>
        <w:kinsoku/>
        <w:wordWrap/>
        <w:overflowPunct/>
        <w:topLinePunct w:val="0"/>
        <w:autoSpaceDE/>
        <w:autoSpaceDN/>
        <w:bidi w:val="0"/>
        <w:adjustRightInd/>
        <w:snapToGrid/>
        <w:spacing w:line="340" w:lineRule="exact"/>
        <w:ind w:firstLine="636" w:firstLineChars="300"/>
        <w:textAlignment w:val="auto"/>
        <w:rPr>
          <w:rFonts w:hAnsi="宋体" w:cs="宋体"/>
          <w:color w:val="auto"/>
          <w:highlight w:val="none"/>
        </w:rPr>
      </w:pPr>
      <w:r>
        <w:rPr>
          <w:rFonts w:hint="eastAsia" w:hAnsi="宋体" w:cs="宋体"/>
          <w:color w:val="auto"/>
          <w:highlight w:val="none"/>
        </w:rPr>
        <w:t>2.供应商应根据所投货物如实填写投标报价表</w:t>
      </w:r>
      <w:r>
        <w:rPr>
          <w:rFonts w:hint="eastAsia" w:hAnsi="宋体" w:cs="宋体"/>
          <w:bCs/>
          <w:color w:val="auto"/>
          <w:szCs w:val="21"/>
          <w:highlight w:val="none"/>
        </w:rPr>
        <w:t>的各项内容。</w:t>
      </w:r>
    </w:p>
    <w:p>
      <w:pPr>
        <w:pStyle w:val="12"/>
        <w:keepNext w:val="0"/>
        <w:keepLines w:val="0"/>
        <w:pageBreakBefore w:val="0"/>
        <w:widowControl w:val="0"/>
        <w:kinsoku/>
        <w:wordWrap/>
        <w:overflowPunct/>
        <w:topLinePunct w:val="0"/>
        <w:autoSpaceDE/>
        <w:autoSpaceDN/>
        <w:bidi w:val="0"/>
        <w:adjustRightInd/>
        <w:snapToGrid/>
        <w:spacing w:line="340" w:lineRule="exact"/>
        <w:ind w:left="636" w:leftChars="300"/>
        <w:textAlignment w:val="auto"/>
        <w:rPr>
          <w:rFonts w:hAnsi="宋体" w:cs="宋体"/>
          <w:b/>
          <w:bCs/>
          <w:color w:val="auto"/>
          <w:szCs w:val="21"/>
          <w:highlight w:val="none"/>
        </w:rPr>
      </w:pPr>
      <w:r>
        <w:rPr>
          <w:rFonts w:hint="eastAsia" w:hAnsi="宋体" w:cs="宋体"/>
          <w:b/>
          <w:color w:val="auto"/>
          <w:highlight w:val="none"/>
        </w:rPr>
        <w:t>3. 当本表由多页构成时，需逐页加盖供应商公章（属自然人的须逐页签字）。</w:t>
      </w:r>
    </w:p>
    <w:p>
      <w:pPr>
        <w:pStyle w:val="12"/>
        <w:keepNext w:val="0"/>
        <w:keepLines w:val="0"/>
        <w:pageBreakBefore w:val="0"/>
        <w:widowControl w:val="0"/>
        <w:kinsoku/>
        <w:wordWrap/>
        <w:overflowPunct/>
        <w:topLinePunct w:val="0"/>
        <w:autoSpaceDE/>
        <w:autoSpaceDN/>
        <w:bidi w:val="0"/>
        <w:adjustRightInd/>
        <w:snapToGrid/>
        <w:spacing w:line="340" w:lineRule="exact"/>
        <w:ind w:firstLine="636" w:firstLineChars="300"/>
        <w:textAlignment w:val="auto"/>
        <w:rPr>
          <w:rFonts w:ascii="宋体" w:hAnsi="宋体" w:cs="宋体"/>
          <w:b/>
          <w:color w:val="auto"/>
          <w:sz w:val="32"/>
          <w:szCs w:val="32"/>
          <w:highlight w:val="none"/>
        </w:rPr>
      </w:pPr>
      <w:r>
        <w:rPr>
          <w:rFonts w:hint="eastAsia" w:hAnsi="宋体" w:cs="宋体"/>
          <w:bCs/>
          <w:color w:val="auto"/>
          <w:szCs w:val="21"/>
          <w:highlight w:val="none"/>
        </w:rPr>
        <w:t>4.如投标的全部或部分产品属于《节能产品政府采购清单》或《环境标志产品政府采购清单》目录范围的，供应商应在本表备注栏内写明各分项货物属于节能（或环境标志）产品政府采购清单第几类第几项序号的产品，以便评标委员会作为优先采购或评分的依据。</w:t>
      </w:r>
    </w:p>
    <w:p>
      <w:pPr>
        <w:tabs>
          <w:tab w:val="left" w:pos="1305"/>
        </w:tabs>
        <w:spacing w:line="520" w:lineRule="exact"/>
        <w:ind w:firstLine="472" w:firstLineChars="147"/>
        <w:rPr>
          <w:rFonts w:ascii="宋体" w:hAnsi="宋体" w:cs="宋体"/>
          <w:color w:val="auto"/>
          <w:sz w:val="24"/>
          <w:highlight w:val="none"/>
        </w:rPr>
      </w:pPr>
      <w:r>
        <w:rPr>
          <w:rFonts w:hint="eastAsia" w:ascii="宋体" w:hAnsi="宋体" w:cs="宋体"/>
          <w:b/>
          <w:color w:val="auto"/>
          <w:sz w:val="32"/>
          <w:szCs w:val="32"/>
          <w:highlight w:val="none"/>
        </w:rPr>
        <w:t>二、资格性响应证明材料（格式）</w:t>
      </w:r>
    </w:p>
    <w:p>
      <w:pPr>
        <w:pStyle w:val="12"/>
        <w:spacing w:line="360" w:lineRule="auto"/>
        <w:rPr>
          <w:rFonts w:hAnsi="宋体"/>
          <w:b/>
          <w:color w:val="auto"/>
          <w:sz w:val="32"/>
          <w:szCs w:val="32"/>
          <w:highlight w:val="none"/>
        </w:rPr>
      </w:pPr>
    </w:p>
    <w:p>
      <w:pPr>
        <w:pStyle w:val="12"/>
        <w:spacing w:line="360" w:lineRule="auto"/>
        <w:rPr>
          <w:rFonts w:hAnsi="宋体"/>
          <w:b/>
          <w:color w:val="auto"/>
          <w:sz w:val="32"/>
          <w:szCs w:val="32"/>
          <w:highlight w:val="none"/>
        </w:rPr>
      </w:pPr>
    </w:p>
    <w:p>
      <w:pPr>
        <w:pStyle w:val="12"/>
        <w:numPr>
          <w:ilvl w:val="0"/>
          <w:numId w:val="35"/>
        </w:numPr>
        <w:spacing w:line="360" w:lineRule="auto"/>
        <w:rPr>
          <w:rFonts w:hAnsi="宋体"/>
          <w:b/>
          <w:color w:val="auto"/>
          <w:sz w:val="32"/>
          <w:szCs w:val="32"/>
          <w:highlight w:val="none"/>
        </w:rPr>
      </w:pPr>
      <w:r>
        <w:rPr>
          <w:rFonts w:hint="eastAsia" w:hAnsi="宋体"/>
          <w:b/>
          <w:color w:val="auto"/>
          <w:sz w:val="32"/>
          <w:szCs w:val="32"/>
          <w:highlight w:val="none"/>
        </w:rPr>
        <w:t>供应商相应的法定代表人、负责人、自然人身份证正反面复印件（必须提供）</w:t>
      </w:r>
    </w:p>
    <w:p>
      <w:pPr>
        <w:pStyle w:val="12"/>
        <w:spacing w:line="360" w:lineRule="auto"/>
        <w:rPr>
          <w:rFonts w:hAnsi="宋体"/>
          <w:b/>
          <w:color w:val="auto"/>
          <w:sz w:val="32"/>
          <w:szCs w:val="32"/>
          <w:highlight w:val="none"/>
        </w:rPr>
      </w:pPr>
    </w:p>
    <w:p>
      <w:pPr>
        <w:pStyle w:val="38"/>
        <w:ind w:firstLine="0" w:firstLineChars="0"/>
        <w:rPr>
          <w:rFonts w:ascii="宋体" w:hAnsi="宋体" w:cs="宋体"/>
          <w:b/>
          <w:color w:val="auto"/>
          <w:sz w:val="32"/>
          <w:szCs w:val="32"/>
          <w:highlight w:val="none"/>
        </w:rPr>
      </w:pPr>
    </w:p>
    <w:p>
      <w:pPr>
        <w:pStyle w:val="12"/>
        <w:spacing w:line="360" w:lineRule="auto"/>
        <w:rPr>
          <w:rFonts w:hAnsi="宋体"/>
          <w:b/>
          <w:color w:val="auto"/>
          <w:sz w:val="32"/>
          <w:szCs w:val="32"/>
          <w:highlight w:val="none"/>
        </w:rPr>
      </w:pPr>
      <w:r>
        <w:rPr>
          <w:rFonts w:hint="eastAsia" w:hAnsi="宋体"/>
          <w:b/>
          <w:color w:val="auto"/>
          <w:sz w:val="32"/>
          <w:szCs w:val="32"/>
          <w:highlight w:val="none"/>
        </w:rPr>
        <w:t>2.供应商的授权委托书原件、委托代理人身份证正反面复印件（委托代理时必须提供）</w:t>
      </w:r>
    </w:p>
    <w:p>
      <w:pPr>
        <w:pStyle w:val="12"/>
        <w:spacing w:line="360" w:lineRule="auto"/>
        <w:ind w:firstLine="156" w:firstLineChars="49"/>
        <w:rPr>
          <w:rFonts w:hAnsi="宋体"/>
          <w:b/>
          <w:color w:val="auto"/>
          <w:sz w:val="32"/>
          <w:szCs w:val="32"/>
          <w:highlight w:val="none"/>
        </w:rPr>
      </w:pPr>
      <w:r>
        <w:rPr>
          <w:rFonts w:hint="eastAsia" w:hAnsi="宋体"/>
          <w:b/>
          <w:color w:val="auto"/>
          <w:sz w:val="32"/>
          <w:szCs w:val="32"/>
          <w:highlight w:val="none"/>
        </w:rPr>
        <w:t>附件：</w:t>
      </w:r>
    </w:p>
    <w:p>
      <w:pPr>
        <w:pStyle w:val="12"/>
        <w:spacing w:line="400" w:lineRule="exact"/>
        <w:jc w:val="center"/>
        <w:rPr>
          <w:rFonts w:hAnsi="宋体" w:cs="宋体"/>
          <w:b/>
          <w:color w:val="auto"/>
          <w:sz w:val="32"/>
          <w:highlight w:val="none"/>
        </w:rPr>
      </w:pPr>
      <w:r>
        <w:rPr>
          <w:rFonts w:hint="eastAsia" w:hAnsi="宋体"/>
          <w:b/>
          <w:color w:val="auto"/>
          <w:sz w:val="32"/>
          <w:highlight w:val="none"/>
        </w:rPr>
        <w:t xml:space="preserve">  授权委托书（格式一）</w:t>
      </w:r>
    </w:p>
    <w:p>
      <w:pPr>
        <w:pStyle w:val="12"/>
        <w:spacing w:line="360" w:lineRule="auto"/>
        <w:jc w:val="center"/>
        <w:rPr>
          <w:rFonts w:hAnsi="宋体"/>
          <w:b/>
          <w:color w:val="auto"/>
          <w:sz w:val="32"/>
          <w:highlight w:val="none"/>
        </w:rPr>
      </w:pPr>
    </w:p>
    <w:p>
      <w:pPr>
        <w:spacing w:line="360" w:lineRule="auto"/>
        <w:outlineLvl w:val="4"/>
        <w:rPr>
          <w:rFonts w:ascii="宋体" w:hAnsi="宋体"/>
          <w:color w:val="auto"/>
          <w:highlight w:val="none"/>
        </w:rPr>
      </w:pPr>
      <w:r>
        <w:rPr>
          <w:rFonts w:hint="eastAsia" w:ascii="宋体" w:hAnsi="宋体"/>
          <w:bCs/>
          <w:color w:val="auto"/>
          <w:szCs w:val="21"/>
          <w:highlight w:val="none"/>
        </w:rPr>
        <w:t>致：</w:t>
      </w:r>
      <w:r>
        <w:rPr>
          <w:rFonts w:hint="eastAsia" w:ascii="宋体" w:hAnsi="宋体" w:cs="宋体"/>
          <w:color w:val="auto"/>
          <w:highlight w:val="none"/>
          <w:u w:val="single"/>
        </w:rPr>
        <w:t>（采购人）</w:t>
      </w:r>
      <w:r>
        <w:rPr>
          <w:rFonts w:hint="eastAsia" w:ascii="宋体" w:hAnsi="宋体"/>
          <w:color w:val="auto"/>
          <w:highlight w:val="none"/>
          <w:u w:val="single"/>
        </w:rPr>
        <w:t xml:space="preserve">                     </w:t>
      </w:r>
    </w:p>
    <w:p>
      <w:pPr>
        <w:pStyle w:val="12"/>
        <w:spacing w:line="360" w:lineRule="auto"/>
        <w:ind w:firstLine="530" w:firstLineChars="25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w:t>
      </w:r>
      <w:r>
        <w:rPr>
          <w:rFonts w:hint="eastAsia" w:hAnsi="宋体"/>
          <w:color w:val="auto"/>
          <w:kern w:val="0"/>
          <w:highlight w:val="none"/>
          <w:u w:val="single"/>
        </w:rPr>
        <w:t xml:space="preserve">                              </w:t>
      </w:r>
      <w:r>
        <w:rPr>
          <w:rFonts w:hint="eastAsia" w:hAnsi="宋体"/>
          <w:color w:val="auto"/>
          <w:kern w:val="0"/>
          <w:highlight w:val="none"/>
        </w:rPr>
        <w:t>（供应商名称）的法定代表人（负责人），现授权委托本单位在职职工</w:t>
      </w:r>
      <w:r>
        <w:rPr>
          <w:rFonts w:hint="eastAsia" w:hAnsi="宋体"/>
          <w:color w:val="auto"/>
          <w:kern w:val="0"/>
          <w:highlight w:val="none"/>
          <w:u w:val="single"/>
        </w:rPr>
        <w:t xml:space="preserve">            </w:t>
      </w:r>
      <w:r>
        <w:rPr>
          <w:rFonts w:hint="eastAsia" w:hAnsi="宋体"/>
          <w:color w:val="auto"/>
          <w:kern w:val="0"/>
          <w:highlight w:val="none"/>
        </w:rPr>
        <w:t>（姓名）以我公司名义参加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项目的投标活动，并代表我方全权办理针对上述项目的投标、开标、评标、签约等具体事务和签署相关文件。</w:t>
      </w:r>
    </w:p>
    <w:p>
      <w:pPr>
        <w:pStyle w:val="12"/>
        <w:spacing w:line="360" w:lineRule="auto"/>
        <w:ind w:firstLine="424" w:firstLineChars="200"/>
        <w:rPr>
          <w:rFonts w:hAnsi="宋体"/>
          <w:color w:val="auto"/>
          <w:highlight w:val="none"/>
        </w:rPr>
      </w:pPr>
      <w:r>
        <w:rPr>
          <w:rFonts w:hint="eastAsia" w:hAnsi="宋体"/>
          <w:color w:val="auto"/>
          <w:highlight w:val="none"/>
        </w:rPr>
        <w:t>我方对被授权人的签字事项负全部责任。</w:t>
      </w:r>
    </w:p>
    <w:p>
      <w:pPr>
        <w:spacing w:line="360" w:lineRule="auto"/>
        <w:ind w:firstLine="424"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pacing w:line="360" w:lineRule="auto"/>
        <w:ind w:firstLine="420"/>
        <w:outlineLvl w:val="4"/>
        <w:rPr>
          <w:rFonts w:ascii="宋体" w:hAnsi="宋体"/>
          <w:color w:val="auto"/>
          <w:szCs w:val="21"/>
          <w:highlight w:val="none"/>
        </w:rPr>
      </w:pPr>
    </w:p>
    <w:p>
      <w:pPr>
        <w:spacing w:line="360" w:lineRule="auto"/>
        <w:ind w:firstLine="420"/>
        <w:outlineLvl w:val="4"/>
        <w:rPr>
          <w:rFonts w:ascii="宋体" w:hAnsi="宋体"/>
          <w:color w:val="auto"/>
          <w:szCs w:val="21"/>
          <w:highlight w:val="none"/>
          <w:u w:val="single"/>
        </w:rPr>
      </w:pPr>
      <w:r>
        <w:rPr>
          <w:rFonts w:hint="eastAsia" w:ascii="宋体" w:hAnsi="宋体"/>
          <w:color w:val="auto"/>
          <w:szCs w:val="21"/>
          <w:highlight w:val="none"/>
        </w:rPr>
        <w:t>供应商</w:t>
      </w:r>
      <w:r>
        <w:rPr>
          <w:rFonts w:hint="eastAsia" w:hAnsi="宋体" w:cs="宋体"/>
          <w:color w:val="auto"/>
          <w:highlight w:val="none"/>
        </w:rPr>
        <w:t>（</w:t>
      </w:r>
      <w:r>
        <w:rPr>
          <w:rFonts w:hAnsi="宋体" w:cs="宋体"/>
          <w:color w:val="auto"/>
          <w:highlight w:val="none"/>
        </w:rPr>
        <w:t>公章</w:t>
      </w:r>
      <w:r>
        <w:rPr>
          <w:rFonts w:hint="eastAsia" w:hAnsi="宋体" w:cs="宋体"/>
          <w:color w:val="auto"/>
          <w:highlight w:val="none"/>
        </w:rPr>
        <w:t>，自然人除外）</w:t>
      </w:r>
      <w:r>
        <w:rPr>
          <w:rFonts w:hint="eastAsia" w:ascii="宋体" w:hAnsi="宋体"/>
          <w:color w:val="auto"/>
          <w:szCs w:val="21"/>
          <w:highlight w:val="none"/>
        </w:rPr>
        <w:t>：</w:t>
      </w:r>
      <w:r>
        <w:rPr>
          <w:rFonts w:hint="eastAsia" w:ascii="宋体" w:hAnsi="宋体"/>
          <w:color w:val="auto"/>
          <w:szCs w:val="21"/>
          <w:highlight w:val="none"/>
          <w:u w:val="single"/>
        </w:rPr>
        <w:t xml:space="preserve">                                   </w:t>
      </w:r>
    </w:p>
    <w:p>
      <w:pPr>
        <w:spacing w:line="360" w:lineRule="auto"/>
        <w:ind w:firstLine="420"/>
        <w:outlineLvl w:val="4"/>
        <w:rPr>
          <w:rFonts w:ascii="宋体" w:hAnsi="宋体"/>
          <w:color w:val="auto"/>
          <w:szCs w:val="21"/>
          <w:highlight w:val="none"/>
        </w:rPr>
      </w:pPr>
      <w:r>
        <w:rPr>
          <w:rFonts w:hint="eastAsia" w:ascii="宋体" w:hAnsi="宋体"/>
          <w:color w:val="auto"/>
          <w:szCs w:val="21"/>
          <w:highlight w:val="none"/>
        </w:rPr>
        <w:t>法定代表人（负责人）签字（或盖章）：</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pPr>
        <w:spacing w:line="360" w:lineRule="auto"/>
        <w:ind w:firstLine="420"/>
        <w:outlineLvl w:val="4"/>
        <w:rPr>
          <w:rFonts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pPr>
        <w:pStyle w:val="12"/>
        <w:spacing w:line="400" w:lineRule="exact"/>
        <w:ind w:firstLine="605" w:firstLineChars="250"/>
        <w:rPr>
          <w:rFonts w:hAnsi="宋体"/>
          <w:b/>
          <w:color w:val="auto"/>
          <w:sz w:val="32"/>
          <w:highlight w:val="none"/>
        </w:rPr>
      </w:pPr>
      <w:r>
        <w:rPr>
          <w:rFonts w:hint="eastAsia" w:hAnsi="宋体" w:cs="宋体"/>
          <w:b/>
          <w:color w:val="auto"/>
          <w:sz w:val="24"/>
          <w:szCs w:val="24"/>
          <w:highlight w:val="none"/>
        </w:rPr>
        <w:t>附：委托代理人身份证正反面复印件（委托代理时必须提供）。</w:t>
      </w:r>
    </w:p>
    <w:p>
      <w:pPr>
        <w:pStyle w:val="12"/>
        <w:spacing w:line="360" w:lineRule="auto"/>
        <w:jc w:val="center"/>
        <w:rPr>
          <w:rFonts w:hAnsi="宋体"/>
          <w:b/>
          <w:color w:val="auto"/>
          <w:sz w:val="32"/>
          <w:highlight w:val="none"/>
        </w:rPr>
      </w:pPr>
      <w:r>
        <w:rPr>
          <w:rFonts w:hint="eastAsia" w:hAnsi="宋体"/>
          <w:b/>
          <w:color w:val="auto"/>
          <w:sz w:val="32"/>
          <w:highlight w:val="none"/>
        </w:rPr>
        <w:t>授权委托书（格式二）</w:t>
      </w:r>
    </w:p>
    <w:p>
      <w:pPr>
        <w:pStyle w:val="12"/>
        <w:spacing w:line="360" w:lineRule="auto"/>
        <w:jc w:val="center"/>
        <w:rPr>
          <w:rFonts w:hAnsi="宋体"/>
          <w:b/>
          <w:color w:val="auto"/>
          <w:sz w:val="32"/>
          <w:highlight w:val="none"/>
        </w:rPr>
      </w:pPr>
    </w:p>
    <w:p>
      <w:pPr>
        <w:spacing w:line="360" w:lineRule="auto"/>
        <w:outlineLvl w:val="4"/>
        <w:rPr>
          <w:rFonts w:ascii="宋体" w:hAnsi="宋体"/>
          <w:color w:val="auto"/>
          <w:highlight w:val="none"/>
        </w:rPr>
      </w:pPr>
      <w:r>
        <w:rPr>
          <w:rFonts w:hint="eastAsia" w:ascii="宋体" w:hAnsi="宋体"/>
          <w:bCs/>
          <w:color w:val="auto"/>
          <w:szCs w:val="21"/>
          <w:highlight w:val="none"/>
        </w:rPr>
        <w:t>致</w:t>
      </w:r>
      <w:r>
        <w:rPr>
          <w:rFonts w:hint="eastAsia" w:ascii="宋体" w:hAnsi="宋体"/>
          <w:color w:val="auto"/>
          <w:szCs w:val="21"/>
          <w:highlight w:val="none"/>
        </w:rPr>
        <w:t>：</w:t>
      </w:r>
      <w:r>
        <w:rPr>
          <w:rFonts w:hint="eastAsia" w:ascii="宋体" w:hAnsi="宋体" w:cs="宋体"/>
          <w:color w:val="auto"/>
          <w:highlight w:val="none"/>
          <w:u w:val="single"/>
        </w:rPr>
        <w:t>（采购人）</w:t>
      </w:r>
      <w:r>
        <w:rPr>
          <w:rFonts w:hint="eastAsia" w:ascii="宋体" w:hAnsi="宋体"/>
          <w:color w:val="auto"/>
          <w:highlight w:val="none"/>
          <w:u w:val="single"/>
        </w:rPr>
        <w:t xml:space="preserve">                  </w:t>
      </w:r>
    </w:p>
    <w:p>
      <w:pPr>
        <w:spacing w:line="360" w:lineRule="auto"/>
        <w:outlineLvl w:val="4"/>
        <w:rPr>
          <w:rFonts w:ascii="宋体" w:hAnsi="宋体"/>
          <w:color w:val="auto"/>
          <w:szCs w:val="21"/>
          <w:highlight w:val="none"/>
          <w:u w:val="single"/>
        </w:rPr>
      </w:pPr>
    </w:p>
    <w:p>
      <w:pPr>
        <w:pStyle w:val="12"/>
        <w:spacing w:line="360" w:lineRule="auto"/>
        <w:ind w:firstLine="424" w:firstLineChars="200"/>
        <w:rPr>
          <w:rFonts w:hAnsi="宋体"/>
          <w:color w:val="auto"/>
          <w:highlight w:val="none"/>
        </w:rPr>
      </w:pPr>
      <w:r>
        <w:rPr>
          <w:rFonts w:hint="eastAsia" w:hAnsi="宋体"/>
          <w:color w:val="auto"/>
          <w:kern w:val="0"/>
          <w:highlight w:val="none"/>
        </w:rPr>
        <w:t>我</w:t>
      </w:r>
      <w:r>
        <w:rPr>
          <w:rFonts w:hint="eastAsia" w:hAnsi="宋体"/>
          <w:color w:val="auto"/>
          <w:kern w:val="0"/>
          <w:highlight w:val="none"/>
          <w:u w:val="single"/>
        </w:rPr>
        <w:t xml:space="preserve">              </w:t>
      </w:r>
      <w:r>
        <w:rPr>
          <w:rFonts w:hint="eastAsia" w:hAnsi="宋体"/>
          <w:color w:val="auto"/>
          <w:kern w:val="0"/>
          <w:highlight w:val="none"/>
        </w:rPr>
        <w:t>（姓名）系自然人，现授权委托</w:t>
      </w:r>
      <w:r>
        <w:rPr>
          <w:rFonts w:hint="eastAsia" w:hAnsi="宋体"/>
          <w:color w:val="auto"/>
          <w:kern w:val="0"/>
          <w:highlight w:val="none"/>
          <w:u w:val="single"/>
        </w:rPr>
        <w:t xml:space="preserve">            </w:t>
      </w:r>
      <w:r>
        <w:rPr>
          <w:rFonts w:hint="eastAsia" w:hAnsi="宋体"/>
          <w:color w:val="auto"/>
          <w:kern w:val="0"/>
          <w:highlight w:val="none"/>
        </w:rPr>
        <w:t>（姓 名）以本人名义参加</w:t>
      </w:r>
      <w:r>
        <w:rPr>
          <w:rFonts w:hint="eastAsia" w:hAnsi="宋体"/>
          <w:color w:val="auto"/>
          <w:kern w:val="0"/>
          <w:highlight w:val="none"/>
          <w:u w:val="single"/>
        </w:rPr>
        <w:t xml:space="preserve">      </w:t>
      </w:r>
      <w:r>
        <w:rPr>
          <w:rFonts w:hint="eastAsia" w:hAnsi="宋体"/>
          <w:color w:val="auto"/>
          <w:highlight w:val="none"/>
          <w:u w:val="single"/>
        </w:rPr>
        <w:t xml:space="preserve">（项目名称及项目编号）        </w:t>
      </w:r>
      <w:r>
        <w:rPr>
          <w:rFonts w:hint="eastAsia" w:hAnsi="宋体"/>
          <w:color w:val="auto"/>
          <w:highlight w:val="none"/>
        </w:rPr>
        <w:t>项目的投标活动，并代表本人全权办理针对上述项目的投标、开标、评标、签约等具体事务和签署相关文件。</w:t>
      </w:r>
    </w:p>
    <w:p>
      <w:pPr>
        <w:pStyle w:val="12"/>
        <w:spacing w:line="360" w:lineRule="auto"/>
        <w:ind w:firstLine="424" w:firstLineChars="200"/>
        <w:rPr>
          <w:rFonts w:hAnsi="宋体"/>
          <w:color w:val="auto"/>
          <w:highlight w:val="none"/>
        </w:rPr>
      </w:pPr>
      <w:r>
        <w:rPr>
          <w:rFonts w:hint="eastAsia" w:hAnsi="宋体"/>
          <w:color w:val="auto"/>
          <w:highlight w:val="none"/>
        </w:rPr>
        <w:t>本人对被授权人的签字事项负全部责任。</w:t>
      </w:r>
    </w:p>
    <w:p>
      <w:pPr>
        <w:spacing w:line="360" w:lineRule="auto"/>
        <w:ind w:firstLine="424" w:firstLineChars="200"/>
        <w:rPr>
          <w:rFonts w:ascii="宋体" w:hAnsi="宋体"/>
          <w:color w:val="auto"/>
          <w:kern w:val="0"/>
          <w:highlight w:val="none"/>
        </w:rPr>
      </w:pPr>
      <w:r>
        <w:rPr>
          <w:rFonts w:hint="eastAsia" w:ascii="宋体" w:hAnsi="宋体"/>
          <w:color w:val="auto"/>
          <w:kern w:val="0"/>
          <w:highlight w:val="none"/>
        </w:rPr>
        <w:t>代理人无转委托权,特此委托。</w:t>
      </w:r>
      <w:r>
        <w:rPr>
          <w:rFonts w:ascii="宋体" w:hAnsi="宋体"/>
          <w:color w:val="auto"/>
          <w:kern w:val="0"/>
          <w:highlight w:val="none"/>
        </w:rPr>
        <w:t xml:space="preserve"> </w:t>
      </w:r>
    </w:p>
    <w:p>
      <w:pPr>
        <w:spacing w:line="360" w:lineRule="auto"/>
        <w:ind w:firstLine="420"/>
        <w:outlineLvl w:val="4"/>
        <w:rPr>
          <w:rFonts w:ascii="宋体" w:hAnsi="宋体"/>
          <w:color w:val="auto"/>
          <w:szCs w:val="21"/>
          <w:highlight w:val="none"/>
        </w:rPr>
      </w:pPr>
      <w:r>
        <w:rPr>
          <w:rFonts w:hint="eastAsia" w:ascii="宋体" w:hAnsi="宋体"/>
          <w:color w:val="auto"/>
          <w:szCs w:val="21"/>
          <w:highlight w:val="none"/>
        </w:rPr>
        <w:t>我已在下面签字，以资证明。</w:t>
      </w:r>
    </w:p>
    <w:p>
      <w:pPr>
        <w:spacing w:line="360" w:lineRule="auto"/>
        <w:ind w:firstLine="420"/>
        <w:outlineLvl w:val="4"/>
        <w:rPr>
          <w:rFonts w:ascii="宋体" w:hAnsi="宋体"/>
          <w:color w:val="auto"/>
          <w:szCs w:val="21"/>
          <w:highlight w:val="none"/>
        </w:rPr>
      </w:pPr>
    </w:p>
    <w:p>
      <w:pPr>
        <w:spacing w:line="360" w:lineRule="auto"/>
        <w:ind w:firstLine="420"/>
        <w:outlineLvl w:val="4"/>
        <w:rPr>
          <w:rFonts w:ascii="宋体" w:hAnsi="宋体"/>
          <w:color w:val="auto"/>
          <w:szCs w:val="21"/>
          <w:highlight w:val="none"/>
          <w:u w:val="single"/>
        </w:rPr>
      </w:pPr>
      <w:r>
        <w:rPr>
          <w:rFonts w:hint="eastAsia" w:ascii="宋体" w:hAnsi="宋体"/>
          <w:color w:val="auto"/>
          <w:szCs w:val="21"/>
          <w:highlight w:val="none"/>
        </w:rPr>
        <w:t>自然人签字并在签名处加盖食指指印：</w:t>
      </w:r>
      <w:r>
        <w:rPr>
          <w:rFonts w:hint="eastAsia" w:ascii="宋体" w:hAnsi="宋体"/>
          <w:color w:val="auto"/>
          <w:szCs w:val="21"/>
          <w:highlight w:val="none"/>
          <w:u w:val="single"/>
        </w:rPr>
        <w:t xml:space="preserve">                  </w:t>
      </w:r>
    </w:p>
    <w:p>
      <w:pPr>
        <w:spacing w:line="360" w:lineRule="auto"/>
        <w:ind w:firstLine="420"/>
        <w:outlineLvl w:val="4"/>
        <w:rPr>
          <w:rFonts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pPr>
        <w:spacing w:line="360" w:lineRule="auto"/>
        <w:ind w:firstLine="420"/>
        <w:outlineLvl w:val="4"/>
        <w:rPr>
          <w:rFonts w:ascii="宋体" w:hAnsi="宋体"/>
          <w:color w:val="auto"/>
          <w:szCs w:val="21"/>
          <w:highlight w:val="none"/>
        </w:rPr>
      </w:pPr>
    </w:p>
    <w:p>
      <w:pPr>
        <w:pStyle w:val="12"/>
        <w:spacing w:line="400" w:lineRule="exact"/>
        <w:ind w:firstLine="605" w:firstLineChars="250"/>
        <w:rPr>
          <w:rFonts w:hAnsi="宋体" w:cs="宋体"/>
          <w:b/>
          <w:color w:val="auto"/>
          <w:sz w:val="24"/>
          <w:szCs w:val="24"/>
          <w:highlight w:val="none"/>
        </w:rPr>
      </w:pPr>
      <w:r>
        <w:rPr>
          <w:rFonts w:hint="eastAsia" w:hAnsi="宋体" w:cs="宋体"/>
          <w:b/>
          <w:color w:val="auto"/>
          <w:sz w:val="24"/>
          <w:szCs w:val="24"/>
          <w:highlight w:val="none"/>
        </w:rPr>
        <w:t>附：委托代理人身份证正反面复印件（委托代理时必须提供）。</w:t>
      </w:r>
    </w:p>
    <w:p>
      <w:pPr>
        <w:pStyle w:val="12"/>
        <w:spacing w:line="360" w:lineRule="auto"/>
        <w:ind w:firstLine="156" w:firstLineChars="49"/>
        <w:rPr>
          <w:rFonts w:hAnsi="宋体"/>
          <w:b/>
          <w:color w:val="auto"/>
          <w:sz w:val="32"/>
          <w:szCs w:val="32"/>
          <w:highlight w:val="none"/>
        </w:rPr>
      </w:pPr>
    </w:p>
    <w:p>
      <w:pPr>
        <w:pStyle w:val="12"/>
        <w:spacing w:line="360" w:lineRule="auto"/>
        <w:ind w:firstLine="156" w:firstLineChars="49"/>
        <w:rPr>
          <w:rFonts w:hAnsi="宋体"/>
          <w:b/>
          <w:color w:val="auto"/>
          <w:sz w:val="32"/>
          <w:szCs w:val="32"/>
          <w:highlight w:val="none"/>
        </w:rPr>
      </w:pPr>
    </w:p>
    <w:p>
      <w:pPr>
        <w:pStyle w:val="13"/>
        <w:ind w:left="5323"/>
        <w:rPr>
          <w:color w:val="auto"/>
          <w:highlight w:val="none"/>
        </w:rPr>
      </w:pPr>
      <w:r>
        <w:rPr>
          <w:rFonts w:hint="eastAsia" w:hAnsi="宋体"/>
          <w:b/>
          <w:color w:val="auto"/>
          <w:sz w:val="32"/>
          <w:szCs w:val="32"/>
          <w:highlight w:val="none"/>
        </w:rPr>
        <w:br w:type="page"/>
      </w:r>
    </w:p>
    <w:p>
      <w:pPr>
        <w:pStyle w:val="12"/>
        <w:spacing w:line="360" w:lineRule="auto"/>
        <w:rPr>
          <w:rFonts w:hAnsi="宋体"/>
          <w:b/>
          <w:color w:val="auto"/>
          <w:sz w:val="32"/>
          <w:szCs w:val="32"/>
          <w:highlight w:val="none"/>
        </w:rPr>
      </w:pPr>
      <w:r>
        <w:rPr>
          <w:rFonts w:hint="eastAsia" w:hAnsi="宋体"/>
          <w:b/>
          <w:color w:val="auto"/>
          <w:sz w:val="32"/>
          <w:szCs w:val="32"/>
          <w:highlight w:val="none"/>
        </w:rPr>
        <w:t>3.供应商参加政府采购活动前3年内在经营活动中没有重大违法记录和不良记录的书面声明（必须提供）</w:t>
      </w:r>
    </w:p>
    <w:p>
      <w:pPr>
        <w:pStyle w:val="12"/>
        <w:spacing w:line="360" w:lineRule="auto"/>
        <w:ind w:firstLine="156" w:firstLineChars="49"/>
        <w:rPr>
          <w:rFonts w:hAnsi="宋体"/>
          <w:b/>
          <w:color w:val="auto"/>
          <w:sz w:val="32"/>
          <w:szCs w:val="32"/>
          <w:highlight w:val="none"/>
        </w:rPr>
      </w:pPr>
      <w:r>
        <w:rPr>
          <w:rFonts w:hint="eastAsia" w:hAnsi="宋体"/>
          <w:b/>
          <w:color w:val="auto"/>
          <w:sz w:val="32"/>
          <w:szCs w:val="32"/>
          <w:highlight w:val="none"/>
        </w:rPr>
        <w:t>附件：</w:t>
      </w:r>
    </w:p>
    <w:p>
      <w:pPr>
        <w:pStyle w:val="12"/>
        <w:spacing w:line="360" w:lineRule="auto"/>
        <w:jc w:val="center"/>
        <w:rPr>
          <w:rFonts w:hAnsi="宋体"/>
          <w:b/>
          <w:color w:val="auto"/>
          <w:sz w:val="32"/>
          <w:szCs w:val="32"/>
          <w:highlight w:val="none"/>
        </w:rPr>
      </w:pPr>
      <w:r>
        <w:rPr>
          <w:rFonts w:hint="eastAsia" w:hAnsi="宋体"/>
          <w:b/>
          <w:color w:val="auto"/>
          <w:sz w:val="32"/>
          <w:szCs w:val="32"/>
          <w:highlight w:val="none"/>
        </w:rPr>
        <w:t>声   明</w:t>
      </w:r>
    </w:p>
    <w:p>
      <w:pPr>
        <w:spacing w:line="360" w:lineRule="auto"/>
        <w:outlineLvl w:val="4"/>
        <w:rPr>
          <w:rFonts w:ascii="宋体" w:hAnsi="宋体"/>
          <w:color w:val="auto"/>
          <w:highlight w:val="none"/>
        </w:rPr>
      </w:pPr>
      <w:r>
        <w:rPr>
          <w:rFonts w:hint="eastAsia" w:ascii="宋体" w:hAnsi="宋体"/>
          <w:bCs/>
          <w:color w:val="auto"/>
          <w:szCs w:val="21"/>
          <w:highlight w:val="none"/>
        </w:rPr>
        <w:t>致：</w:t>
      </w:r>
      <w:r>
        <w:rPr>
          <w:rFonts w:hint="eastAsia" w:ascii="宋体" w:hAnsi="宋体" w:cs="宋体"/>
          <w:color w:val="auto"/>
          <w:highlight w:val="none"/>
          <w:u w:val="single"/>
        </w:rPr>
        <w:t>（采购人）</w:t>
      </w:r>
      <w:r>
        <w:rPr>
          <w:rFonts w:hint="eastAsia" w:ascii="宋体" w:hAnsi="宋体"/>
          <w:color w:val="auto"/>
          <w:highlight w:val="none"/>
          <w:u w:val="single"/>
        </w:rPr>
        <w:t xml:space="preserve">                      </w:t>
      </w:r>
    </w:p>
    <w:p>
      <w:pPr>
        <w:pStyle w:val="12"/>
        <w:spacing w:line="360" w:lineRule="auto"/>
        <w:ind w:firstLine="424" w:firstLineChars="200"/>
        <w:rPr>
          <w:rFonts w:hAnsi="宋体"/>
          <w:color w:val="auto"/>
          <w:highlight w:val="none"/>
        </w:rPr>
      </w:pPr>
      <w:r>
        <w:rPr>
          <w:rFonts w:hint="eastAsia" w:hAnsi="宋体"/>
          <w:color w:val="auto"/>
          <w:highlight w:val="none"/>
        </w:rPr>
        <w:t>我（公司）郑重声明，在参加政府采购活动前3年内在经营活动中没有重大违法记录（重大违法记录是指供应商因违法经营受到刑事处罚或者责令停产停业、吊销许可证或者执照、较大数额罚款等行政处罚）和不良记录。</w:t>
      </w:r>
    </w:p>
    <w:p>
      <w:pPr>
        <w:spacing w:line="360" w:lineRule="auto"/>
        <w:ind w:firstLine="420"/>
        <w:outlineLvl w:val="4"/>
        <w:rPr>
          <w:rFonts w:ascii="宋体" w:hAnsi="宋体"/>
          <w:color w:val="auto"/>
          <w:szCs w:val="21"/>
          <w:highlight w:val="none"/>
        </w:rPr>
      </w:pPr>
    </w:p>
    <w:p>
      <w:pPr>
        <w:spacing w:line="360" w:lineRule="auto"/>
        <w:ind w:firstLine="3286" w:firstLineChars="155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spacing w:line="360" w:lineRule="auto"/>
        <w:rPr>
          <w:rFonts w:ascii="宋体" w:hAnsi="宋体"/>
          <w:color w:val="auto"/>
          <w:szCs w:val="21"/>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ascii="宋体" w:hAnsi="宋体"/>
          <w:color w:val="auto"/>
          <w:szCs w:val="21"/>
          <w:highlight w:val="none"/>
          <w:u w:val="single"/>
        </w:rPr>
        <w:t xml:space="preserve">                        </w:t>
      </w:r>
    </w:p>
    <w:p>
      <w:pPr>
        <w:spacing w:line="360" w:lineRule="auto"/>
        <w:ind w:firstLine="3392" w:firstLineChars="1600"/>
        <w:rPr>
          <w:rFonts w:ascii="宋体" w:hAnsi="宋体"/>
          <w:color w:val="auto"/>
          <w:highlight w:val="none"/>
        </w:rPr>
      </w:pPr>
      <w:r>
        <w:rPr>
          <w:rFonts w:hint="eastAsia" w:ascii="宋体" w:hAnsi="宋体"/>
          <w:color w:val="auto"/>
          <w:highlight w:val="none"/>
        </w:rPr>
        <w:t>日          期：</w:t>
      </w:r>
      <w:r>
        <w:rPr>
          <w:rFonts w:hint="eastAsia" w:ascii="宋体" w:hAnsi="宋体"/>
          <w:color w:val="auto"/>
          <w:highlight w:val="none"/>
          <w:u w:val="single"/>
        </w:rPr>
        <w:t xml:space="preserve">                                           </w:t>
      </w:r>
      <w:r>
        <w:rPr>
          <w:rFonts w:hint="eastAsia" w:ascii="宋体" w:hAnsi="宋体"/>
          <w:color w:val="auto"/>
          <w:highlight w:val="none"/>
        </w:rPr>
        <w:t xml:space="preserve">   </w:t>
      </w:r>
    </w:p>
    <w:p>
      <w:pPr>
        <w:pStyle w:val="12"/>
        <w:spacing w:line="360" w:lineRule="auto"/>
        <w:rPr>
          <w:rFonts w:hAnsi="宋体"/>
          <w:b/>
          <w:color w:val="auto"/>
          <w:szCs w:val="21"/>
          <w:highlight w:val="none"/>
        </w:rPr>
      </w:pPr>
    </w:p>
    <w:p>
      <w:pPr>
        <w:pStyle w:val="12"/>
        <w:spacing w:line="360" w:lineRule="auto"/>
        <w:ind w:firstLine="156" w:firstLineChars="49"/>
        <w:rPr>
          <w:rFonts w:hAnsi="宋体"/>
          <w:b/>
          <w:color w:val="auto"/>
          <w:sz w:val="32"/>
          <w:szCs w:val="32"/>
          <w:highlight w:val="none"/>
        </w:rPr>
      </w:pPr>
      <w:r>
        <w:rPr>
          <w:rFonts w:hint="eastAsia" w:hAnsi="宋体"/>
          <w:b/>
          <w:color w:val="auto"/>
          <w:sz w:val="32"/>
          <w:szCs w:val="32"/>
          <w:highlight w:val="none"/>
        </w:rPr>
        <w:t>4.供应商的法人或者其他组织营业执照等证明文件复印件（必须提供，自然人除外）</w:t>
      </w:r>
    </w:p>
    <w:p>
      <w:pPr>
        <w:pStyle w:val="12"/>
        <w:spacing w:line="360" w:lineRule="auto"/>
        <w:rPr>
          <w:rFonts w:hAnsi="宋体"/>
          <w:color w:val="auto"/>
          <w:szCs w:val="21"/>
          <w:highlight w:val="none"/>
        </w:rPr>
      </w:pPr>
      <w:r>
        <w:rPr>
          <w:rFonts w:hint="eastAsia" w:hAnsi="宋体"/>
          <w:color w:val="auto"/>
          <w:szCs w:val="21"/>
          <w:highlight w:val="none"/>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420" w:lineRule="exact"/>
        <w:rPr>
          <w:rFonts w:ascii="宋体" w:hAnsi="宋体"/>
          <w:b/>
          <w:color w:val="auto"/>
          <w:sz w:val="32"/>
          <w:szCs w:val="32"/>
          <w:highlight w:val="none"/>
        </w:rPr>
      </w:pPr>
    </w:p>
    <w:p>
      <w:pPr>
        <w:tabs>
          <w:tab w:val="left" w:pos="1305"/>
        </w:tabs>
        <w:spacing w:line="420" w:lineRule="exact"/>
        <w:rPr>
          <w:rFonts w:ascii="宋体" w:hAnsi="宋体"/>
          <w:b/>
          <w:color w:val="auto"/>
          <w:sz w:val="32"/>
          <w:szCs w:val="32"/>
          <w:highlight w:val="none"/>
        </w:rPr>
      </w:pPr>
    </w:p>
    <w:p>
      <w:pPr>
        <w:tabs>
          <w:tab w:val="left" w:pos="1305"/>
        </w:tabs>
        <w:spacing w:line="420" w:lineRule="exact"/>
        <w:rPr>
          <w:rFonts w:ascii="宋体" w:hAnsi="宋体"/>
          <w:b/>
          <w:color w:val="auto"/>
          <w:sz w:val="32"/>
          <w:szCs w:val="32"/>
          <w:highlight w:val="none"/>
        </w:rPr>
      </w:pPr>
    </w:p>
    <w:p>
      <w:pPr>
        <w:tabs>
          <w:tab w:val="left" w:pos="1305"/>
        </w:tabs>
        <w:spacing w:line="420" w:lineRule="exact"/>
        <w:rPr>
          <w:rFonts w:ascii="宋体" w:hAnsi="宋体"/>
          <w:b/>
          <w:color w:val="auto"/>
          <w:sz w:val="32"/>
          <w:szCs w:val="32"/>
          <w:highlight w:val="none"/>
        </w:rPr>
      </w:pPr>
      <w:r>
        <w:rPr>
          <w:rFonts w:hint="eastAsia" w:ascii="宋体" w:hAnsi="宋体"/>
          <w:b/>
          <w:color w:val="auto"/>
          <w:sz w:val="32"/>
          <w:szCs w:val="32"/>
          <w:highlight w:val="none"/>
        </w:rPr>
        <w:t>5.供应商认为须提供的其他资格性响应证明材料复印件</w:t>
      </w:r>
      <w:r>
        <w:rPr>
          <w:rFonts w:hint="eastAsia" w:hAnsi="宋体"/>
          <w:b/>
          <w:color w:val="auto"/>
          <w:sz w:val="32"/>
          <w:szCs w:val="32"/>
          <w:highlight w:val="none"/>
        </w:rPr>
        <w:t>（如有，请提供）</w:t>
      </w:r>
      <w:r>
        <w:rPr>
          <w:rFonts w:hint="eastAsia" w:ascii="宋体" w:hAnsi="宋体"/>
          <w:b/>
          <w:color w:val="auto"/>
          <w:sz w:val="32"/>
          <w:szCs w:val="32"/>
          <w:highlight w:val="none"/>
        </w:rPr>
        <w:t>.</w:t>
      </w:r>
    </w:p>
    <w:p>
      <w:pPr>
        <w:pStyle w:val="12"/>
        <w:spacing w:line="360" w:lineRule="auto"/>
        <w:rPr>
          <w:rFonts w:hAnsi="宋体"/>
          <w:color w:val="auto"/>
          <w:szCs w:val="21"/>
          <w:highlight w:val="none"/>
        </w:rPr>
      </w:pPr>
    </w:p>
    <w:p>
      <w:pPr>
        <w:tabs>
          <w:tab w:val="left" w:pos="1305"/>
        </w:tabs>
        <w:spacing w:line="360" w:lineRule="auto"/>
        <w:rPr>
          <w:rFonts w:ascii="宋体" w:hAnsi="宋体"/>
          <w:b/>
          <w:color w:val="auto"/>
          <w:sz w:val="32"/>
          <w:szCs w:val="32"/>
          <w:highlight w:val="none"/>
        </w:rPr>
      </w:pPr>
      <w:r>
        <w:rPr>
          <w:rFonts w:hint="eastAsia" w:ascii="宋体" w:hAnsi="宋体"/>
          <w:b/>
          <w:color w:val="auto"/>
          <w:sz w:val="32"/>
          <w:szCs w:val="32"/>
          <w:highlight w:val="none"/>
        </w:rPr>
        <w:br w:type="page"/>
      </w:r>
    </w:p>
    <w:p>
      <w:pPr>
        <w:spacing w:line="400" w:lineRule="exact"/>
        <w:rPr>
          <w:rFonts w:ascii="宋体" w:hAnsi="宋体" w:cs="宋体"/>
          <w:b/>
          <w:color w:val="auto"/>
          <w:sz w:val="32"/>
          <w:szCs w:val="32"/>
          <w:highlight w:val="none"/>
        </w:rPr>
      </w:pPr>
      <w:r>
        <w:rPr>
          <w:rFonts w:hint="eastAsia" w:ascii="宋体" w:hAnsi="宋体" w:cs="宋体"/>
          <w:b/>
          <w:color w:val="auto"/>
          <w:sz w:val="32"/>
          <w:szCs w:val="32"/>
          <w:highlight w:val="none"/>
        </w:rPr>
        <w:t>三、商务、技术性响应及其他有效证明材料（格式）</w:t>
      </w:r>
    </w:p>
    <w:p>
      <w:pPr>
        <w:pStyle w:val="12"/>
        <w:spacing w:line="360" w:lineRule="auto"/>
        <w:rPr>
          <w:rFonts w:hAnsi="宋体"/>
          <w:b/>
          <w:color w:val="auto"/>
          <w:sz w:val="32"/>
          <w:szCs w:val="32"/>
          <w:highlight w:val="none"/>
        </w:rPr>
      </w:pPr>
    </w:p>
    <w:p>
      <w:pPr>
        <w:pStyle w:val="12"/>
        <w:spacing w:line="360" w:lineRule="auto"/>
        <w:rPr>
          <w:rFonts w:hAnsi="宋体"/>
          <w:b/>
          <w:color w:val="auto"/>
          <w:sz w:val="32"/>
          <w:szCs w:val="32"/>
          <w:highlight w:val="none"/>
        </w:rPr>
      </w:pPr>
    </w:p>
    <w:p>
      <w:pPr>
        <w:pStyle w:val="12"/>
        <w:spacing w:line="360" w:lineRule="auto"/>
        <w:rPr>
          <w:rFonts w:hAnsi="宋体"/>
          <w:b/>
          <w:color w:val="auto"/>
          <w:sz w:val="32"/>
          <w:szCs w:val="32"/>
          <w:highlight w:val="none"/>
        </w:rPr>
      </w:pPr>
      <w:r>
        <w:rPr>
          <w:rFonts w:hint="eastAsia" w:hAnsi="宋体"/>
          <w:b/>
          <w:color w:val="auto"/>
          <w:sz w:val="32"/>
          <w:szCs w:val="32"/>
          <w:highlight w:val="none"/>
        </w:rPr>
        <w:t>1.技术规格偏离表（必须提供）</w:t>
      </w:r>
    </w:p>
    <w:p>
      <w:pPr>
        <w:pStyle w:val="12"/>
        <w:spacing w:line="360" w:lineRule="auto"/>
        <w:rPr>
          <w:rFonts w:hAnsi="宋体"/>
          <w:b/>
          <w:color w:val="auto"/>
          <w:sz w:val="24"/>
          <w:szCs w:val="24"/>
          <w:highlight w:val="none"/>
        </w:rPr>
      </w:pPr>
    </w:p>
    <w:p>
      <w:pPr>
        <w:pStyle w:val="12"/>
        <w:spacing w:line="360" w:lineRule="auto"/>
        <w:ind w:firstLine="472" w:firstLineChars="147"/>
        <w:rPr>
          <w:rFonts w:hAnsi="宋体"/>
          <w:b/>
          <w:color w:val="auto"/>
          <w:sz w:val="32"/>
          <w:szCs w:val="32"/>
          <w:highlight w:val="none"/>
        </w:rPr>
      </w:pPr>
      <w:r>
        <w:rPr>
          <w:rFonts w:hint="eastAsia" w:hAnsi="宋体"/>
          <w:b/>
          <w:color w:val="auto"/>
          <w:sz w:val="32"/>
          <w:szCs w:val="32"/>
          <w:highlight w:val="none"/>
        </w:rPr>
        <w:t xml:space="preserve">附件： </w:t>
      </w:r>
      <w:r>
        <w:rPr>
          <w:rFonts w:hint="eastAsia" w:hAnsi="宋体"/>
          <w:b/>
          <w:color w:val="auto"/>
          <w:sz w:val="24"/>
          <w:szCs w:val="24"/>
          <w:highlight w:val="none"/>
        </w:rPr>
        <w:t xml:space="preserve">          </w:t>
      </w:r>
      <w:r>
        <w:rPr>
          <w:rFonts w:hint="eastAsia" w:hAnsi="宋体"/>
          <w:b/>
          <w:color w:val="auto"/>
          <w:sz w:val="32"/>
          <w:szCs w:val="32"/>
          <w:highlight w:val="none"/>
        </w:rPr>
        <w:t xml:space="preserve"> </w:t>
      </w:r>
    </w:p>
    <w:p>
      <w:pPr>
        <w:pStyle w:val="12"/>
        <w:spacing w:line="360" w:lineRule="auto"/>
        <w:ind w:firstLine="472" w:firstLineChars="147"/>
        <w:jc w:val="center"/>
        <w:rPr>
          <w:rFonts w:hAnsi="宋体"/>
          <w:b/>
          <w:bCs/>
          <w:color w:val="auto"/>
          <w:sz w:val="32"/>
          <w:highlight w:val="none"/>
        </w:rPr>
      </w:pPr>
      <w:r>
        <w:rPr>
          <w:rFonts w:hint="eastAsia" w:hAnsi="宋体"/>
          <w:b/>
          <w:color w:val="auto"/>
          <w:sz w:val="32"/>
          <w:szCs w:val="32"/>
          <w:highlight w:val="none"/>
        </w:rPr>
        <w:t>技术规格偏离表</w:t>
      </w:r>
      <w:r>
        <w:rPr>
          <w:rFonts w:hint="eastAsia" w:hAnsi="宋体"/>
          <w:b/>
          <w:bCs/>
          <w:color w:val="auto"/>
          <w:sz w:val="32"/>
          <w:highlight w:val="none"/>
        </w:rPr>
        <w:t>（格式）</w:t>
      </w:r>
    </w:p>
    <w:p>
      <w:pPr>
        <w:pStyle w:val="12"/>
        <w:spacing w:line="360" w:lineRule="auto"/>
        <w:ind w:firstLine="212" w:firstLineChars="100"/>
        <w:rPr>
          <w:rFonts w:hAnsi="宋体"/>
          <w:color w:val="auto"/>
          <w:highlight w:val="none"/>
        </w:rPr>
      </w:pPr>
    </w:p>
    <w:tbl>
      <w:tblPr>
        <w:tblStyle w:val="21"/>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651"/>
        <w:gridCol w:w="2145"/>
        <w:gridCol w:w="216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812" w:type="dxa"/>
            <w:vAlign w:val="center"/>
          </w:tcPr>
          <w:p>
            <w:pPr>
              <w:pStyle w:val="12"/>
              <w:spacing w:line="360" w:lineRule="auto"/>
              <w:jc w:val="center"/>
              <w:rPr>
                <w:rFonts w:hAnsi="宋体"/>
                <w:color w:val="auto"/>
                <w:highlight w:val="none"/>
              </w:rPr>
            </w:pPr>
            <w:r>
              <w:rPr>
                <w:rFonts w:hint="eastAsia" w:hAnsi="宋体"/>
                <w:color w:val="auto"/>
                <w:highlight w:val="none"/>
              </w:rPr>
              <w:t>项号</w:t>
            </w:r>
          </w:p>
        </w:tc>
        <w:tc>
          <w:tcPr>
            <w:tcW w:w="1651" w:type="dxa"/>
            <w:vAlign w:val="center"/>
          </w:tcPr>
          <w:p>
            <w:pPr>
              <w:pStyle w:val="12"/>
              <w:spacing w:line="360" w:lineRule="auto"/>
              <w:jc w:val="center"/>
              <w:rPr>
                <w:rFonts w:hAnsi="宋体"/>
                <w:color w:val="auto"/>
                <w:highlight w:val="none"/>
              </w:rPr>
            </w:pPr>
            <w:r>
              <w:rPr>
                <w:rFonts w:hint="eastAsia" w:hAnsi="宋体"/>
                <w:color w:val="auto"/>
                <w:highlight w:val="none"/>
              </w:rPr>
              <w:t>货物名称</w:t>
            </w:r>
          </w:p>
        </w:tc>
        <w:tc>
          <w:tcPr>
            <w:tcW w:w="2145" w:type="dxa"/>
            <w:vAlign w:val="center"/>
          </w:tcPr>
          <w:p>
            <w:pPr>
              <w:pStyle w:val="12"/>
              <w:spacing w:line="360" w:lineRule="auto"/>
              <w:jc w:val="center"/>
              <w:rPr>
                <w:rFonts w:hAnsi="宋体"/>
                <w:color w:val="auto"/>
                <w:highlight w:val="none"/>
              </w:rPr>
            </w:pPr>
            <w:r>
              <w:rPr>
                <w:rFonts w:hint="eastAsia" w:hAnsi="宋体"/>
                <w:color w:val="auto"/>
                <w:szCs w:val="21"/>
                <w:highlight w:val="none"/>
              </w:rPr>
              <w:t>技术参数要求</w:t>
            </w:r>
          </w:p>
        </w:tc>
        <w:tc>
          <w:tcPr>
            <w:tcW w:w="216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投标文件的响应情况及偏离情况</w:t>
            </w:r>
          </w:p>
        </w:tc>
        <w:tc>
          <w:tcPr>
            <w:tcW w:w="2340" w:type="dxa"/>
            <w:vAlign w:val="center"/>
          </w:tcPr>
          <w:p>
            <w:pPr>
              <w:pStyle w:val="12"/>
              <w:spacing w:line="360" w:lineRule="auto"/>
              <w:jc w:val="center"/>
              <w:rPr>
                <w:rFonts w:hAnsi="宋体"/>
                <w:color w:val="auto"/>
                <w:highlight w:val="none"/>
              </w:rPr>
            </w:pPr>
            <w:bookmarkStart w:id="31" w:name="_Toc254970560"/>
            <w:bookmarkStart w:id="32" w:name="_Toc254970701"/>
            <w:r>
              <w:rPr>
                <w:rFonts w:hint="eastAsia" w:hAnsi="宋体"/>
                <w:color w:val="auto"/>
                <w:highlight w:val="none"/>
              </w:rPr>
              <w:t>偏离情况</w:t>
            </w:r>
            <w:bookmarkEnd w:id="31"/>
            <w:bookmarkEnd w:id="32"/>
            <w:r>
              <w:rPr>
                <w:rFonts w:hint="eastAsia" w:hAnsi="宋体"/>
                <w:color w:val="auto"/>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651" w:type="dxa"/>
            <w:vAlign w:val="center"/>
          </w:tcPr>
          <w:p>
            <w:pPr>
              <w:spacing w:line="360" w:lineRule="auto"/>
              <w:jc w:val="center"/>
              <w:rPr>
                <w:rFonts w:ascii="宋体" w:hAnsi="宋体" w:cs="宋体"/>
                <w:color w:val="auto"/>
                <w:szCs w:val="21"/>
                <w:highlight w:val="none"/>
              </w:rPr>
            </w:pPr>
          </w:p>
        </w:tc>
        <w:tc>
          <w:tcPr>
            <w:tcW w:w="2145" w:type="dxa"/>
            <w:vAlign w:val="center"/>
          </w:tcPr>
          <w:p>
            <w:pPr>
              <w:pStyle w:val="12"/>
              <w:spacing w:line="360" w:lineRule="auto"/>
              <w:jc w:val="center"/>
              <w:rPr>
                <w:rFonts w:hAnsi="宋体"/>
                <w:color w:val="auto"/>
                <w:highlight w:val="none"/>
              </w:rPr>
            </w:pPr>
          </w:p>
        </w:tc>
        <w:tc>
          <w:tcPr>
            <w:tcW w:w="2160" w:type="dxa"/>
          </w:tcPr>
          <w:p>
            <w:pPr>
              <w:pStyle w:val="12"/>
              <w:spacing w:line="360" w:lineRule="auto"/>
              <w:jc w:val="center"/>
              <w:rPr>
                <w:rFonts w:hAnsi="宋体"/>
                <w:color w:val="auto"/>
                <w:highlight w:val="none"/>
              </w:rPr>
            </w:pPr>
          </w:p>
        </w:tc>
        <w:tc>
          <w:tcPr>
            <w:tcW w:w="2340" w:type="dxa"/>
            <w:vAlign w:val="center"/>
          </w:tcPr>
          <w:p>
            <w:pPr>
              <w:pStyle w:val="12"/>
              <w:spacing w:line="360" w:lineRule="auto"/>
              <w:jc w:val="center"/>
              <w:rPr>
                <w:rFonts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651" w:type="dxa"/>
            <w:vAlign w:val="center"/>
          </w:tcPr>
          <w:p>
            <w:pPr>
              <w:spacing w:line="360" w:lineRule="auto"/>
              <w:jc w:val="center"/>
              <w:rPr>
                <w:rFonts w:ascii="宋体" w:hAnsi="宋体" w:cs="宋体"/>
                <w:color w:val="auto"/>
                <w:szCs w:val="21"/>
                <w:highlight w:val="none"/>
              </w:rPr>
            </w:pPr>
          </w:p>
        </w:tc>
        <w:tc>
          <w:tcPr>
            <w:tcW w:w="2145" w:type="dxa"/>
          </w:tcPr>
          <w:p>
            <w:pPr>
              <w:pStyle w:val="12"/>
              <w:spacing w:line="360" w:lineRule="auto"/>
              <w:rPr>
                <w:rFonts w:hAnsi="宋体"/>
                <w:color w:val="auto"/>
                <w:highlight w:val="none"/>
              </w:rPr>
            </w:pPr>
          </w:p>
        </w:tc>
        <w:tc>
          <w:tcPr>
            <w:tcW w:w="2160" w:type="dxa"/>
          </w:tcPr>
          <w:p>
            <w:pPr>
              <w:pStyle w:val="12"/>
              <w:spacing w:line="360" w:lineRule="auto"/>
              <w:rPr>
                <w:rFonts w:hAnsi="宋体"/>
                <w:color w:val="auto"/>
                <w:highlight w:val="none"/>
              </w:rPr>
            </w:pPr>
          </w:p>
        </w:tc>
        <w:tc>
          <w:tcPr>
            <w:tcW w:w="2340" w:type="dxa"/>
          </w:tcPr>
          <w:p>
            <w:pPr>
              <w:pStyle w:val="12"/>
              <w:spacing w:line="360" w:lineRule="auto"/>
              <w:rPr>
                <w:rFonts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w:t>
            </w:r>
          </w:p>
        </w:tc>
        <w:tc>
          <w:tcPr>
            <w:tcW w:w="1651" w:type="dxa"/>
            <w:vAlign w:val="center"/>
          </w:tcPr>
          <w:p>
            <w:pPr>
              <w:spacing w:line="360" w:lineRule="auto"/>
              <w:jc w:val="center"/>
              <w:rPr>
                <w:rFonts w:ascii="宋体" w:hAnsi="宋体" w:cs="宋体"/>
                <w:color w:val="auto"/>
                <w:szCs w:val="21"/>
                <w:highlight w:val="none"/>
              </w:rPr>
            </w:pPr>
          </w:p>
        </w:tc>
        <w:tc>
          <w:tcPr>
            <w:tcW w:w="2145" w:type="dxa"/>
          </w:tcPr>
          <w:p>
            <w:pPr>
              <w:pStyle w:val="12"/>
              <w:spacing w:line="360" w:lineRule="auto"/>
              <w:rPr>
                <w:rFonts w:hAnsi="宋体"/>
                <w:color w:val="auto"/>
                <w:highlight w:val="none"/>
              </w:rPr>
            </w:pPr>
          </w:p>
        </w:tc>
        <w:tc>
          <w:tcPr>
            <w:tcW w:w="2160" w:type="dxa"/>
          </w:tcPr>
          <w:p>
            <w:pPr>
              <w:pStyle w:val="12"/>
              <w:spacing w:line="360" w:lineRule="auto"/>
              <w:rPr>
                <w:rFonts w:hAnsi="宋体"/>
                <w:color w:val="auto"/>
                <w:highlight w:val="none"/>
              </w:rPr>
            </w:pPr>
          </w:p>
        </w:tc>
        <w:tc>
          <w:tcPr>
            <w:tcW w:w="2340" w:type="dxa"/>
          </w:tcPr>
          <w:p>
            <w:pPr>
              <w:pStyle w:val="12"/>
              <w:spacing w:line="360" w:lineRule="auto"/>
              <w:rPr>
                <w:rFonts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N</w:t>
            </w:r>
          </w:p>
        </w:tc>
        <w:tc>
          <w:tcPr>
            <w:tcW w:w="1651" w:type="dxa"/>
            <w:vAlign w:val="center"/>
          </w:tcPr>
          <w:p>
            <w:pPr>
              <w:spacing w:line="360" w:lineRule="auto"/>
              <w:jc w:val="center"/>
              <w:rPr>
                <w:rFonts w:ascii="宋体" w:hAnsi="宋体" w:cs="宋体"/>
                <w:color w:val="auto"/>
                <w:szCs w:val="21"/>
                <w:highlight w:val="none"/>
              </w:rPr>
            </w:pPr>
          </w:p>
        </w:tc>
        <w:tc>
          <w:tcPr>
            <w:tcW w:w="2145" w:type="dxa"/>
          </w:tcPr>
          <w:p>
            <w:pPr>
              <w:pStyle w:val="12"/>
              <w:spacing w:line="360" w:lineRule="auto"/>
              <w:rPr>
                <w:rFonts w:hAnsi="宋体"/>
                <w:color w:val="auto"/>
                <w:highlight w:val="none"/>
              </w:rPr>
            </w:pPr>
          </w:p>
        </w:tc>
        <w:tc>
          <w:tcPr>
            <w:tcW w:w="2160" w:type="dxa"/>
          </w:tcPr>
          <w:p>
            <w:pPr>
              <w:pStyle w:val="12"/>
              <w:spacing w:line="360" w:lineRule="auto"/>
              <w:rPr>
                <w:rFonts w:hAnsi="宋体"/>
                <w:color w:val="auto"/>
                <w:highlight w:val="none"/>
              </w:rPr>
            </w:pPr>
          </w:p>
        </w:tc>
        <w:tc>
          <w:tcPr>
            <w:tcW w:w="2340" w:type="dxa"/>
          </w:tcPr>
          <w:p>
            <w:pPr>
              <w:pStyle w:val="12"/>
              <w:spacing w:line="360" w:lineRule="auto"/>
              <w:rPr>
                <w:rFonts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spacing w:line="360" w:lineRule="auto"/>
              <w:jc w:val="center"/>
              <w:rPr>
                <w:rFonts w:ascii="宋体" w:hAnsi="宋体" w:cs="宋体"/>
                <w:color w:val="auto"/>
                <w:szCs w:val="21"/>
                <w:highlight w:val="none"/>
              </w:rPr>
            </w:pPr>
          </w:p>
        </w:tc>
        <w:tc>
          <w:tcPr>
            <w:tcW w:w="1651" w:type="dxa"/>
            <w:vAlign w:val="center"/>
          </w:tcPr>
          <w:p>
            <w:pPr>
              <w:spacing w:line="360" w:lineRule="auto"/>
              <w:jc w:val="center"/>
              <w:rPr>
                <w:rFonts w:ascii="宋体" w:hAnsi="宋体" w:cs="宋体"/>
                <w:color w:val="auto"/>
                <w:szCs w:val="21"/>
                <w:highlight w:val="none"/>
              </w:rPr>
            </w:pPr>
          </w:p>
        </w:tc>
        <w:tc>
          <w:tcPr>
            <w:tcW w:w="2145" w:type="dxa"/>
          </w:tcPr>
          <w:p>
            <w:pPr>
              <w:pStyle w:val="12"/>
              <w:spacing w:line="360" w:lineRule="auto"/>
              <w:rPr>
                <w:rFonts w:hAnsi="宋体"/>
                <w:color w:val="auto"/>
                <w:highlight w:val="none"/>
              </w:rPr>
            </w:pPr>
          </w:p>
        </w:tc>
        <w:tc>
          <w:tcPr>
            <w:tcW w:w="2160" w:type="dxa"/>
          </w:tcPr>
          <w:p>
            <w:pPr>
              <w:pStyle w:val="12"/>
              <w:spacing w:line="360" w:lineRule="auto"/>
              <w:rPr>
                <w:rFonts w:hAnsi="宋体"/>
                <w:color w:val="auto"/>
                <w:highlight w:val="none"/>
              </w:rPr>
            </w:pPr>
          </w:p>
        </w:tc>
        <w:tc>
          <w:tcPr>
            <w:tcW w:w="2340" w:type="dxa"/>
          </w:tcPr>
          <w:p>
            <w:pPr>
              <w:pStyle w:val="12"/>
              <w:spacing w:line="360" w:lineRule="auto"/>
              <w:rPr>
                <w:rFonts w:hAnsi="宋体"/>
                <w:color w:val="auto"/>
                <w:highlight w:val="none"/>
              </w:rPr>
            </w:pPr>
          </w:p>
        </w:tc>
      </w:tr>
    </w:tbl>
    <w:p>
      <w:pPr>
        <w:spacing w:line="360" w:lineRule="auto"/>
        <w:ind w:firstLine="3816" w:firstLineChars="1800"/>
        <w:outlineLvl w:val="4"/>
        <w:rPr>
          <w:rFonts w:ascii="宋体" w:hAnsi="宋体"/>
          <w:color w:val="auto"/>
          <w:szCs w:val="20"/>
          <w:highlight w:val="none"/>
          <w:u w:val="single"/>
        </w:rPr>
      </w:pPr>
    </w:p>
    <w:p>
      <w:pPr>
        <w:spacing w:line="360" w:lineRule="auto"/>
        <w:ind w:firstLine="3074" w:firstLineChars="145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pStyle w:val="12"/>
        <w:spacing w:line="360" w:lineRule="auto"/>
        <w:rPr>
          <w:rFonts w:hAnsi="宋体"/>
          <w:color w:val="auto"/>
          <w:highlight w:val="none"/>
        </w:rPr>
      </w:pPr>
    </w:p>
    <w:p>
      <w:pPr>
        <w:spacing w:line="360" w:lineRule="auto"/>
        <w:rPr>
          <w:rFonts w:ascii="宋体" w:hAnsi="宋体"/>
          <w:color w:val="auto"/>
          <w:szCs w:val="21"/>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ascii="宋体" w:hAnsi="宋体"/>
          <w:color w:val="auto"/>
          <w:szCs w:val="21"/>
          <w:highlight w:val="none"/>
          <w:u w:val="single"/>
        </w:rPr>
        <w:t xml:space="preserve">                        </w:t>
      </w:r>
    </w:p>
    <w:p>
      <w:pPr>
        <w:pStyle w:val="12"/>
        <w:spacing w:line="360" w:lineRule="auto"/>
        <w:rPr>
          <w:rFonts w:hAnsi="宋体"/>
          <w:color w:val="auto"/>
          <w:highlight w:val="none"/>
        </w:rPr>
      </w:pPr>
    </w:p>
    <w:p>
      <w:pPr>
        <w:pStyle w:val="12"/>
        <w:spacing w:line="360" w:lineRule="auto"/>
        <w:rPr>
          <w:rFonts w:hAnsi="宋体"/>
          <w:bCs/>
          <w:color w:val="auto"/>
          <w:szCs w:val="21"/>
          <w:highlight w:val="none"/>
        </w:rPr>
      </w:pPr>
      <w:r>
        <w:rPr>
          <w:rFonts w:hint="eastAsia" w:hAnsi="宋体"/>
          <w:bCs/>
          <w:color w:val="auto"/>
          <w:szCs w:val="21"/>
          <w:highlight w:val="none"/>
        </w:rPr>
        <w:t>注：1.供应商应对照“</w:t>
      </w:r>
      <w:r>
        <w:rPr>
          <w:rFonts w:hint="eastAsia" w:hAnsi="宋体"/>
          <w:bCs/>
          <w:color w:val="auto"/>
          <w:szCs w:val="21"/>
          <w:highlight w:val="none"/>
          <w:lang w:eastAsia="zh-CN"/>
        </w:rPr>
        <w:t>采购需求</w:t>
      </w:r>
      <w:r>
        <w:rPr>
          <w:rFonts w:hint="eastAsia" w:hAnsi="宋体"/>
          <w:bCs/>
          <w:color w:val="auto"/>
          <w:szCs w:val="21"/>
          <w:highlight w:val="none"/>
        </w:rPr>
        <w:t>”注明所投产品技术参数的响应情况及偏离情况（无偏离、正偏离、负偏离），当出现“正偏离”或“负偏离”情况时应对应填写偏离情况说明及提供相应有效的证明材料。</w:t>
      </w:r>
    </w:p>
    <w:p>
      <w:pPr>
        <w:pStyle w:val="12"/>
        <w:spacing w:line="360" w:lineRule="auto"/>
        <w:rPr>
          <w:rFonts w:hAnsi="宋体"/>
          <w:bCs/>
          <w:color w:val="auto"/>
          <w:szCs w:val="21"/>
          <w:highlight w:val="none"/>
        </w:rPr>
      </w:pPr>
      <w:r>
        <w:rPr>
          <w:rFonts w:hint="eastAsia" w:hAnsi="宋体"/>
          <w:bCs/>
          <w:color w:val="auto"/>
          <w:szCs w:val="21"/>
          <w:highlight w:val="none"/>
        </w:rPr>
        <w:t>2.技术规格偏离表</w:t>
      </w:r>
      <w:r>
        <w:rPr>
          <w:rFonts w:hint="eastAsia"/>
          <w:color w:val="auto"/>
          <w:highlight w:val="none"/>
        </w:rPr>
        <w:t>须由法定代表人、负责人、自然人或相应的委托代理人签字</w:t>
      </w:r>
      <w:r>
        <w:rPr>
          <w:rFonts w:hint="eastAsia" w:hAnsi="宋体"/>
          <w:color w:val="auto"/>
          <w:highlight w:val="none"/>
        </w:rPr>
        <w:t>或盖章（属自然人的应在签名处加盖食指指印）</w:t>
      </w:r>
      <w:r>
        <w:rPr>
          <w:rFonts w:hint="eastAsia"/>
          <w:color w:val="auto"/>
          <w:highlight w:val="none"/>
        </w:rPr>
        <w:t>并加盖供应商公章（自然人除外）。当本表由多页构成时，需逐页加盖供应商公章（属自然人的须逐页签字）。</w:t>
      </w:r>
    </w:p>
    <w:p>
      <w:pPr>
        <w:pStyle w:val="12"/>
        <w:spacing w:line="360" w:lineRule="auto"/>
        <w:rPr>
          <w:rFonts w:hAnsi="宋体"/>
          <w:b/>
          <w:bCs/>
          <w:color w:val="auto"/>
          <w:sz w:val="32"/>
          <w:szCs w:val="32"/>
          <w:highlight w:val="none"/>
        </w:rPr>
      </w:pPr>
      <w:r>
        <w:rPr>
          <w:rFonts w:hint="eastAsia" w:hAnsi="宋体"/>
          <w:b/>
          <w:bCs/>
          <w:color w:val="auto"/>
          <w:sz w:val="32"/>
          <w:szCs w:val="32"/>
          <w:highlight w:val="none"/>
        </w:rPr>
        <w:br w:type="page"/>
      </w:r>
    </w:p>
    <w:p>
      <w:pPr>
        <w:pStyle w:val="12"/>
        <w:spacing w:line="360" w:lineRule="auto"/>
        <w:jc w:val="left"/>
        <w:rPr>
          <w:rFonts w:hAnsi="宋体"/>
          <w:b/>
          <w:bCs/>
          <w:color w:val="auto"/>
          <w:sz w:val="32"/>
          <w:szCs w:val="32"/>
          <w:highlight w:val="none"/>
        </w:rPr>
      </w:pPr>
      <w:r>
        <w:rPr>
          <w:rFonts w:hint="eastAsia" w:hAnsi="宋体"/>
          <w:b/>
          <w:bCs/>
          <w:color w:val="auto"/>
          <w:sz w:val="32"/>
          <w:szCs w:val="32"/>
          <w:highlight w:val="none"/>
        </w:rPr>
        <w:t>2.售后服务方案（格式自拟，由供应商根据采购需求和评审办法自行编制）（必须提供）；</w:t>
      </w:r>
    </w:p>
    <w:p>
      <w:pPr>
        <w:pStyle w:val="12"/>
        <w:spacing w:line="360" w:lineRule="auto"/>
        <w:ind w:firstLine="472" w:firstLineChars="147"/>
        <w:rPr>
          <w:rFonts w:hAnsi="宋体"/>
          <w:b/>
          <w:color w:val="auto"/>
          <w:sz w:val="32"/>
          <w:szCs w:val="32"/>
          <w:highlight w:val="none"/>
        </w:rPr>
      </w:pPr>
      <w:r>
        <w:rPr>
          <w:rFonts w:hint="eastAsia" w:hAnsi="宋体"/>
          <w:b/>
          <w:color w:val="auto"/>
          <w:sz w:val="32"/>
          <w:szCs w:val="32"/>
          <w:highlight w:val="none"/>
        </w:rPr>
        <w:t>附件：</w:t>
      </w:r>
    </w:p>
    <w:p>
      <w:pPr>
        <w:pStyle w:val="12"/>
        <w:spacing w:line="360" w:lineRule="auto"/>
        <w:ind w:firstLine="472" w:firstLineChars="147"/>
        <w:jc w:val="center"/>
        <w:rPr>
          <w:rFonts w:hAnsi="宋体"/>
          <w:b/>
          <w:bCs/>
          <w:color w:val="auto"/>
          <w:sz w:val="32"/>
          <w:highlight w:val="none"/>
        </w:rPr>
      </w:pPr>
      <w:r>
        <w:rPr>
          <w:rFonts w:hint="eastAsia" w:hAnsi="宋体"/>
          <w:b/>
          <w:bCs/>
          <w:color w:val="auto"/>
          <w:sz w:val="32"/>
          <w:szCs w:val="32"/>
          <w:highlight w:val="none"/>
        </w:rPr>
        <w:t>售后服务方案</w:t>
      </w:r>
      <w:r>
        <w:rPr>
          <w:rFonts w:hint="eastAsia" w:hAnsi="宋体"/>
          <w:b/>
          <w:bCs/>
          <w:color w:val="auto"/>
          <w:sz w:val="32"/>
          <w:highlight w:val="none"/>
        </w:rPr>
        <w:t>（格式）</w:t>
      </w:r>
    </w:p>
    <w:p>
      <w:pPr>
        <w:pStyle w:val="12"/>
        <w:spacing w:line="360" w:lineRule="auto"/>
        <w:ind w:firstLine="3542" w:firstLineChars="1100"/>
        <w:rPr>
          <w:rFonts w:hAnsi="宋体"/>
          <w:color w:val="auto"/>
          <w:sz w:val="32"/>
          <w:szCs w:val="32"/>
          <w:highlight w:val="none"/>
        </w:rPr>
      </w:pPr>
    </w:p>
    <w:p>
      <w:pPr>
        <w:pStyle w:val="12"/>
        <w:spacing w:line="360" w:lineRule="auto"/>
        <w:rPr>
          <w:rFonts w:hAnsi="宋体"/>
          <w:color w:val="auto"/>
          <w:sz w:val="32"/>
          <w:szCs w:val="32"/>
          <w:highlight w:val="none"/>
        </w:rPr>
      </w:pPr>
    </w:p>
    <w:p>
      <w:pPr>
        <w:pStyle w:val="12"/>
        <w:spacing w:line="360" w:lineRule="auto"/>
        <w:rPr>
          <w:rFonts w:hAnsi="宋体"/>
          <w:color w:val="auto"/>
          <w:sz w:val="32"/>
          <w:szCs w:val="32"/>
          <w:highlight w:val="none"/>
        </w:rPr>
      </w:pPr>
    </w:p>
    <w:p>
      <w:pPr>
        <w:pStyle w:val="12"/>
        <w:spacing w:line="360" w:lineRule="auto"/>
        <w:rPr>
          <w:rFonts w:hAnsi="宋体"/>
          <w:color w:val="auto"/>
          <w:sz w:val="32"/>
          <w:szCs w:val="32"/>
          <w:highlight w:val="none"/>
        </w:rPr>
      </w:pPr>
    </w:p>
    <w:p>
      <w:pPr>
        <w:pStyle w:val="12"/>
        <w:spacing w:line="360" w:lineRule="auto"/>
        <w:rPr>
          <w:rFonts w:hAnsi="宋体"/>
          <w:color w:val="auto"/>
          <w:sz w:val="32"/>
          <w:szCs w:val="32"/>
          <w:highlight w:val="none"/>
        </w:rPr>
      </w:pPr>
    </w:p>
    <w:p>
      <w:pPr>
        <w:spacing w:line="360" w:lineRule="auto"/>
        <w:ind w:firstLine="1696" w:firstLineChars="80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spacing w:line="360" w:lineRule="auto"/>
        <w:ind w:firstLine="420"/>
        <w:outlineLvl w:val="4"/>
        <w:rPr>
          <w:rFonts w:ascii="宋体" w:hAnsi="宋体"/>
          <w:color w:val="auto"/>
          <w:szCs w:val="21"/>
          <w:highlight w:val="none"/>
        </w:rPr>
      </w:pPr>
    </w:p>
    <w:p>
      <w:pPr>
        <w:spacing w:line="360" w:lineRule="auto"/>
        <w:rPr>
          <w:rFonts w:ascii="宋体" w:hAnsi="宋体"/>
          <w:color w:val="auto"/>
          <w:szCs w:val="21"/>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ascii="宋体" w:hAnsi="宋体"/>
          <w:color w:val="auto"/>
          <w:szCs w:val="21"/>
          <w:highlight w:val="none"/>
          <w:u w:val="single"/>
        </w:rPr>
        <w:t xml:space="preserve">                        </w:t>
      </w:r>
    </w:p>
    <w:p>
      <w:pPr>
        <w:spacing w:line="360" w:lineRule="auto"/>
        <w:rPr>
          <w:rFonts w:ascii="宋体" w:hAnsi="宋体"/>
          <w:b/>
          <w:color w:val="auto"/>
          <w:sz w:val="32"/>
          <w:szCs w:val="32"/>
          <w:highlight w:val="none"/>
        </w:rPr>
      </w:pPr>
    </w:p>
    <w:p>
      <w:pPr>
        <w:spacing w:line="360" w:lineRule="auto"/>
        <w:rPr>
          <w:rFonts w:ascii="宋体" w:hAnsi="宋体"/>
          <w:b/>
          <w:color w:val="auto"/>
          <w:sz w:val="32"/>
          <w:szCs w:val="32"/>
          <w:highlight w:val="none"/>
        </w:rPr>
      </w:pPr>
      <w:r>
        <w:rPr>
          <w:rFonts w:hint="eastAsia" w:ascii="宋体" w:hAnsi="宋体"/>
          <w:b/>
          <w:color w:val="auto"/>
          <w:sz w:val="32"/>
          <w:szCs w:val="32"/>
          <w:highlight w:val="none"/>
        </w:rPr>
        <w:br w:type="page"/>
      </w:r>
    </w:p>
    <w:p>
      <w:pPr>
        <w:spacing w:line="360" w:lineRule="auto"/>
        <w:rPr>
          <w:rFonts w:ascii="宋体" w:hAnsi="宋体"/>
          <w:color w:val="auto"/>
          <w:highlight w:val="none"/>
        </w:rPr>
      </w:pPr>
    </w:p>
    <w:p>
      <w:pPr>
        <w:pStyle w:val="12"/>
        <w:spacing w:line="360" w:lineRule="auto"/>
        <w:rPr>
          <w:rFonts w:hAnsi="宋体"/>
          <w:b/>
          <w:bCs/>
          <w:color w:val="auto"/>
          <w:sz w:val="32"/>
          <w:szCs w:val="32"/>
          <w:highlight w:val="none"/>
        </w:rPr>
      </w:pPr>
      <w:r>
        <w:rPr>
          <w:rFonts w:hint="eastAsia" w:hAnsi="宋体"/>
          <w:b/>
          <w:bCs/>
          <w:color w:val="auto"/>
          <w:sz w:val="32"/>
          <w:szCs w:val="32"/>
          <w:highlight w:val="none"/>
        </w:rPr>
        <w:t>3.系统建设和技术方案（如有，请提供）；</w:t>
      </w:r>
    </w:p>
    <w:p>
      <w:pPr>
        <w:pStyle w:val="12"/>
        <w:spacing w:line="360" w:lineRule="auto"/>
        <w:rPr>
          <w:rFonts w:hAnsi="宋体"/>
          <w:b/>
          <w:bCs/>
          <w:color w:val="auto"/>
          <w:sz w:val="32"/>
          <w:szCs w:val="32"/>
          <w:highlight w:val="none"/>
        </w:rPr>
      </w:pPr>
    </w:p>
    <w:p>
      <w:pPr>
        <w:pStyle w:val="13"/>
        <w:ind w:left="5323"/>
        <w:rPr>
          <w:rFonts w:hAnsi="宋体"/>
          <w:b/>
          <w:bCs/>
          <w:color w:val="auto"/>
          <w:sz w:val="32"/>
          <w:szCs w:val="32"/>
          <w:highlight w:val="none"/>
        </w:rPr>
      </w:pPr>
    </w:p>
    <w:p>
      <w:pPr>
        <w:rPr>
          <w:color w:val="auto"/>
          <w:highlight w:val="none"/>
        </w:rPr>
      </w:pPr>
    </w:p>
    <w:p>
      <w:pPr>
        <w:pStyle w:val="12"/>
        <w:spacing w:line="360" w:lineRule="auto"/>
        <w:rPr>
          <w:rFonts w:hAnsi="宋体"/>
          <w:b/>
          <w:bCs/>
          <w:color w:val="auto"/>
          <w:sz w:val="32"/>
          <w:szCs w:val="32"/>
          <w:highlight w:val="none"/>
        </w:rPr>
      </w:pPr>
    </w:p>
    <w:p>
      <w:pPr>
        <w:pStyle w:val="12"/>
        <w:spacing w:line="360" w:lineRule="auto"/>
        <w:rPr>
          <w:rFonts w:hAnsi="宋体"/>
          <w:b/>
          <w:bCs/>
          <w:color w:val="auto"/>
          <w:sz w:val="32"/>
          <w:szCs w:val="32"/>
          <w:highlight w:val="none"/>
        </w:rPr>
      </w:pPr>
    </w:p>
    <w:p>
      <w:pPr>
        <w:pStyle w:val="12"/>
        <w:spacing w:line="360" w:lineRule="auto"/>
        <w:rPr>
          <w:rFonts w:hAnsi="宋体"/>
          <w:b/>
          <w:bCs/>
          <w:color w:val="auto"/>
          <w:sz w:val="32"/>
          <w:szCs w:val="32"/>
          <w:highlight w:val="none"/>
        </w:rPr>
      </w:pPr>
      <w:r>
        <w:rPr>
          <w:rFonts w:hint="eastAsia" w:hAnsi="宋体"/>
          <w:b/>
          <w:bCs/>
          <w:color w:val="auto"/>
          <w:sz w:val="32"/>
          <w:szCs w:val="32"/>
          <w:highlight w:val="none"/>
        </w:rPr>
        <w:t>4.</w:t>
      </w:r>
      <w:r>
        <w:rPr>
          <w:rFonts w:hint="eastAsia" w:hAnsi="宋体"/>
          <w:b/>
          <w:bCs/>
          <w:color w:val="auto"/>
          <w:sz w:val="32"/>
          <w:szCs w:val="32"/>
          <w:highlight w:val="none"/>
          <w:lang w:val="en-US" w:eastAsia="zh-CN"/>
        </w:rPr>
        <w:t>组织</w:t>
      </w:r>
      <w:r>
        <w:rPr>
          <w:rFonts w:hint="eastAsia" w:hAnsi="宋体"/>
          <w:b/>
          <w:bCs/>
          <w:color w:val="auto"/>
          <w:sz w:val="32"/>
          <w:szCs w:val="32"/>
          <w:highlight w:val="none"/>
        </w:rPr>
        <w:t>实施方案（如有，请提供）；</w:t>
      </w:r>
    </w:p>
    <w:p>
      <w:pPr>
        <w:pStyle w:val="12"/>
        <w:spacing w:line="360" w:lineRule="auto"/>
        <w:rPr>
          <w:rFonts w:hAnsi="宋体"/>
          <w:b/>
          <w:bCs/>
          <w:color w:val="auto"/>
          <w:sz w:val="32"/>
          <w:szCs w:val="32"/>
          <w:highlight w:val="none"/>
        </w:rPr>
      </w:pPr>
    </w:p>
    <w:p>
      <w:pPr>
        <w:pStyle w:val="13"/>
        <w:ind w:left="5323"/>
        <w:rPr>
          <w:rFonts w:hAnsi="宋体"/>
          <w:b/>
          <w:bCs/>
          <w:color w:val="auto"/>
          <w:sz w:val="32"/>
          <w:szCs w:val="32"/>
          <w:highlight w:val="none"/>
        </w:rPr>
      </w:pPr>
    </w:p>
    <w:p>
      <w:pPr>
        <w:rPr>
          <w:rFonts w:hAnsi="宋体"/>
          <w:b/>
          <w:bCs/>
          <w:color w:val="auto"/>
          <w:sz w:val="32"/>
          <w:szCs w:val="32"/>
          <w:highlight w:val="none"/>
        </w:rPr>
      </w:pPr>
    </w:p>
    <w:p>
      <w:pPr>
        <w:pStyle w:val="6"/>
        <w:rPr>
          <w:color w:val="auto"/>
          <w:highlight w:val="none"/>
        </w:rPr>
      </w:pPr>
    </w:p>
    <w:p>
      <w:pPr>
        <w:pStyle w:val="12"/>
        <w:spacing w:line="360" w:lineRule="auto"/>
        <w:rPr>
          <w:rFonts w:hAnsi="宋体"/>
          <w:b/>
          <w:bCs/>
          <w:color w:val="auto"/>
          <w:sz w:val="32"/>
          <w:szCs w:val="32"/>
          <w:highlight w:val="none"/>
        </w:rPr>
      </w:pPr>
    </w:p>
    <w:p>
      <w:pPr>
        <w:pStyle w:val="12"/>
        <w:spacing w:line="360" w:lineRule="auto"/>
        <w:rPr>
          <w:rFonts w:hAnsi="宋体"/>
          <w:b/>
          <w:bCs/>
          <w:color w:val="auto"/>
          <w:sz w:val="32"/>
          <w:szCs w:val="32"/>
          <w:highlight w:val="none"/>
        </w:rPr>
      </w:pPr>
      <w:r>
        <w:rPr>
          <w:rFonts w:hint="eastAsia" w:hAnsi="宋体"/>
          <w:b/>
          <w:bCs/>
          <w:color w:val="auto"/>
          <w:sz w:val="32"/>
          <w:szCs w:val="32"/>
          <w:highlight w:val="none"/>
        </w:rPr>
        <w:t>5.“</w:t>
      </w:r>
      <w:r>
        <w:rPr>
          <w:rFonts w:hint="eastAsia" w:hAnsi="宋体"/>
          <w:b/>
          <w:bCs/>
          <w:color w:val="auto"/>
          <w:sz w:val="32"/>
          <w:szCs w:val="32"/>
          <w:highlight w:val="none"/>
          <w:lang w:eastAsia="zh-CN"/>
        </w:rPr>
        <w:t>采购需求</w:t>
      </w:r>
      <w:r>
        <w:rPr>
          <w:rFonts w:hint="eastAsia" w:hAnsi="宋体"/>
          <w:b/>
          <w:bCs/>
          <w:color w:val="auto"/>
          <w:sz w:val="32"/>
          <w:szCs w:val="32"/>
          <w:highlight w:val="none"/>
        </w:rPr>
        <w:t>”需提供的有效证明文件复印件（按</w:t>
      </w:r>
      <w:r>
        <w:rPr>
          <w:rFonts w:hint="eastAsia" w:hAnsi="宋体"/>
          <w:b/>
          <w:bCs/>
          <w:color w:val="auto"/>
          <w:sz w:val="32"/>
          <w:szCs w:val="32"/>
          <w:highlight w:val="none"/>
          <w:lang w:eastAsia="zh-CN"/>
        </w:rPr>
        <w:t>采购需求</w:t>
      </w:r>
      <w:r>
        <w:rPr>
          <w:rFonts w:hint="eastAsia" w:hAnsi="宋体"/>
          <w:b/>
          <w:bCs/>
          <w:color w:val="auto"/>
          <w:sz w:val="32"/>
          <w:szCs w:val="32"/>
          <w:highlight w:val="none"/>
        </w:rPr>
        <w:t>要求提供）；</w:t>
      </w:r>
    </w:p>
    <w:p>
      <w:pPr>
        <w:pStyle w:val="12"/>
        <w:spacing w:line="360" w:lineRule="auto"/>
        <w:rPr>
          <w:rFonts w:hAnsi="宋体"/>
          <w:b/>
          <w:bCs/>
          <w:color w:val="auto"/>
          <w:sz w:val="32"/>
          <w:szCs w:val="32"/>
          <w:highlight w:val="none"/>
        </w:rPr>
      </w:pPr>
    </w:p>
    <w:p>
      <w:pPr>
        <w:pStyle w:val="12"/>
        <w:spacing w:line="360" w:lineRule="auto"/>
        <w:rPr>
          <w:rFonts w:hAnsi="宋体"/>
          <w:b/>
          <w:bCs/>
          <w:color w:val="auto"/>
          <w:sz w:val="32"/>
          <w:szCs w:val="32"/>
          <w:highlight w:val="none"/>
        </w:rPr>
      </w:pPr>
    </w:p>
    <w:p>
      <w:pPr>
        <w:pStyle w:val="13"/>
        <w:ind w:left="5323"/>
        <w:rPr>
          <w:rFonts w:hAnsi="宋体"/>
          <w:b/>
          <w:bCs/>
          <w:color w:val="auto"/>
          <w:sz w:val="32"/>
          <w:szCs w:val="32"/>
          <w:highlight w:val="none"/>
        </w:rPr>
      </w:pPr>
    </w:p>
    <w:p>
      <w:pPr>
        <w:rPr>
          <w:rFonts w:hAnsi="宋体"/>
          <w:b/>
          <w:bCs/>
          <w:color w:val="auto"/>
          <w:sz w:val="32"/>
          <w:szCs w:val="32"/>
          <w:highlight w:val="none"/>
        </w:rPr>
      </w:pPr>
    </w:p>
    <w:p>
      <w:pPr>
        <w:pStyle w:val="12"/>
        <w:spacing w:line="360" w:lineRule="auto"/>
        <w:rPr>
          <w:rFonts w:hAnsi="宋体"/>
          <w:b/>
          <w:bCs/>
          <w:color w:val="auto"/>
          <w:sz w:val="32"/>
          <w:szCs w:val="32"/>
          <w:highlight w:val="none"/>
        </w:rPr>
      </w:pPr>
    </w:p>
    <w:p>
      <w:pPr>
        <w:pStyle w:val="12"/>
        <w:spacing w:line="360" w:lineRule="auto"/>
        <w:rPr>
          <w:rFonts w:hAnsi="宋体"/>
          <w:b/>
          <w:bCs/>
          <w:color w:val="auto"/>
          <w:sz w:val="32"/>
          <w:szCs w:val="32"/>
          <w:highlight w:val="none"/>
        </w:rPr>
      </w:pPr>
    </w:p>
    <w:p>
      <w:pPr>
        <w:pStyle w:val="13"/>
        <w:rPr>
          <w:color w:val="auto"/>
          <w:highlight w:val="none"/>
        </w:rPr>
      </w:pPr>
    </w:p>
    <w:p>
      <w:pPr>
        <w:pStyle w:val="12"/>
        <w:spacing w:line="360" w:lineRule="auto"/>
        <w:rPr>
          <w:rFonts w:hAnsi="宋体"/>
          <w:color w:val="auto"/>
          <w:sz w:val="32"/>
          <w:szCs w:val="32"/>
          <w:highlight w:val="none"/>
        </w:rPr>
      </w:pPr>
      <w:r>
        <w:rPr>
          <w:rFonts w:hint="eastAsia" w:hAnsi="宋体"/>
          <w:b/>
          <w:bCs/>
          <w:color w:val="auto"/>
          <w:sz w:val="32"/>
          <w:szCs w:val="32"/>
          <w:highlight w:val="none"/>
        </w:rPr>
        <w:t>6.项目实施人员一览表【如有，请提供】；</w:t>
      </w:r>
    </w:p>
    <w:p>
      <w:pPr>
        <w:pStyle w:val="12"/>
        <w:spacing w:line="360" w:lineRule="auto"/>
        <w:ind w:firstLine="472" w:firstLineChars="147"/>
        <w:rPr>
          <w:rFonts w:hAnsi="宋体"/>
          <w:b/>
          <w:color w:val="auto"/>
          <w:szCs w:val="21"/>
          <w:highlight w:val="none"/>
        </w:rPr>
      </w:pPr>
      <w:r>
        <w:rPr>
          <w:rFonts w:hint="eastAsia" w:hAnsi="宋体"/>
          <w:b/>
          <w:color w:val="auto"/>
          <w:sz w:val="32"/>
          <w:szCs w:val="32"/>
          <w:highlight w:val="none"/>
        </w:rPr>
        <w:t xml:space="preserve">附件：       </w:t>
      </w:r>
      <w:r>
        <w:rPr>
          <w:rFonts w:hint="eastAsia" w:hAnsi="宋体"/>
          <w:b/>
          <w:color w:val="auto"/>
          <w:szCs w:val="21"/>
          <w:highlight w:val="none"/>
        </w:rPr>
        <w:t xml:space="preserve">                     </w:t>
      </w:r>
    </w:p>
    <w:p>
      <w:pPr>
        <w:pStyle w:val="12"/>
        <w:spacing w:line="360" w:lineRule="auto"/>
        <w:ind w:firstLine="472" w:firstLineChars="147"/>
        <w:jc w:val="center"/>
        <w:rPr>
          <w:rFonts w:hAnsi="宋体"/>
          <w:b/>
          <w:bCs/>
          <w:color w:val="auto"/>
          <w:sz w:val="32"/>
          <w:szCs w:val="32"/>
          <w:highlight w:val="none"/>
        </w:rPr>
      </w:pPr>
      <w:r>
        <w:rPr>
          <w:rFonts w:hint="eastAsia" w:hAnsi="宋体"/>
          <w:b/>
          <w:bCs/>
          <w:color w:val="auto"/>
          <w:sz w:val="32"/>
          <w:szCs w:val="32"/>
          <w:highlight w:val="none"/>
        </w:rPr>
        <w:t>项目实施人员一览表（格式）</w:t>
      </w:r>
    </w:p>
    <w:tbl>
      <w:tblPr>
        <w:tblStyle w:val="21"/>
        <w:tblW w:w="92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2"/>
        <w:gridCol w:w="806"/>
        <w:gridCol w:w="1537"/>
        <w:gridCol w:w="1371"/>
        <w:gridCol w:w="2163"/>
        <w:gridCol w:w="2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2"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姓 名</w:t>
            </w:r>
          </w:p>
        </w:tc>
        <w:tc>
          <w:tcPr>
            <w:tcW w:w="806"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职务</w:t>
            </w:r>
          </w:p>
        </w:tc>
        <w:tc>
          <w:tcPr>
            <w:tcW w:w="1537"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专业技术资格</w:t>
            </w:r>
          </w:p>
        </w:tc>
        <w:tc>
          <w:tcPr>
            <w:tcW w:w="1371"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证书编号</w:t>
            </w:r>
          </w:p>
        </w:tc>
        <w:tc>
          <w:tcPr>
            <w:tcW w:w="2163"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参加本单位</w:t>
            </w:r>
          </w:p>
          <w:p>
            <w:pPr>
              <w:spacing w:line="360" w:lineRule="auto"/>
              <w:jc w:val="center"/>
              <w:rPr>
                <w:rFonts w:ascii="宋体" w:hAnsi="宋体"/>
                <w:color w:val="auto"/>
                <w:szCs w:val="21"/>
                <w:highlight w:val="none"/>
              </w:rPr>
            </w:pPr>
            <w:r>
              <w:rPr>
                <w:rFonts w:hint="eastAsia" w:ascii="宋体" w:hAnsi="宋体"/>
                <w:color w:val="auto"/>
                <w:szCs w:val="21"/>
                <w:highlight w:val="none"/>
              </w:rPr>
              <w:t>工作时间</w:t>
            </w:r>
          </w:p>
        </w:tc>
        <w:tc>
          <w:tcPr>
            <w:tcW w:w="2000" w:type="dxa"/>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劳动合同编号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2" w:type="dxa"/>
          </w:tcPr>
          <w:p>
            <w:pPr>
              <w:spacing w:line="360" w:lineRule="auto"/>
              <w:rPr>
                <w:rFonts w:ascii="宋体" w:hAnsi="宋体"/>
                <w:color w:val="auto"/>
                <w:szCs w:val="21"/>
                <w:highlight w:val="none"/>
              </w:rPr>
            </w:pPr>
          </w:p>
        </w:tc>
        <w:tc>
          <w:tcPr>
            <w:tcW w:w="806" w:type="dxa"/>
          </w:tcPr>
          <w:p>
            <w:pPr>
              <w:spacing w:line="360" w:lineRule="auto"/>
              <w:rPr>
                <w:rFonts w:ascii="宋体" w:hAnsi="宋体"/>
                <w:color w:val="auto"/>
                <w:szCs w:val="21"/>
                <w:highlight w:val="none"/>
              </w:rPr>
            </w:pPr>
          </w:p>
        </w:tc>
        <w:tc>
          <w:tcPr>
            <w:tcW w:w="1537" w:type="dxa"/>
          </w:tcPr>
          <w:p>
            <w:pPr>
              <w:spacing w:line="360" w:lineRule="auto"/>
              <w:rPr>
                <w:rFonts w:ascii="宋体" w:hAnsi="宋体"/>
                <w:color w:val="auto"/>
                <w:szCs w:val="21"/>
                <w:highlight w:val="none"/>
              </w:rPr>
            </w:pPr>
          </w:p>
        </w:tc>
        <w:tc>
          <w:tcPr>
            <w:tcW w:w="1371" w:type="dxa"/>
          </w:tcPr>
          <w:p>
            <w:pPr>
              <w:spacing w:line="360" w:lineRule="auto"/>
              <w:rPr>
                <w:rFonts w:ascii="宋体" w:hAnsi="宋体"/>
                <w:color w:val="auto"/>
                <w:szCs w:val="21"/>
                <w:highlight w:val="none"/>
              </w:rPr>
            </w:pPr>
          </w:p>
        </w:tc>
        <w:tc>
          <w:tcPr>
            <w:tcW w:w="2163" w:type="dxa"/>
          </w:tcPr>
          <w:p>
            <w:pPr>
              <w:spacing w:line="360" w:lineRule="auto"/>
              <w:rPr>
                <w:rFonts w:ascii="宋体" w:hAnsi="宋体"/>
                <w:color w:val="auto"/>
                <w:szCs w:val="21"/>
                <w:highlight w:val="none"/>
              </w:rPr>
            </w:pPr>
          </w:p>
        </w:tc>
        <w:tc>
          <w:tcPr>
            <w:tcW w:w="2000" w:type="dxa"/>
          </w:tcPr>
          <w:p>
            <w:pPr>
              <w:spacing w:line="360" w:lineRule="auto"/>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2" w:type="dxa"/>
          </w:tcPr>
          <w:p>
            <w:pPr>
              <w:spacing w:line="360" w:lineRule="auto"/>
              <w:rPr>
                <w:rFonts w:ascii="宋体" w:hAnsi="宋体"/>
                <w:color w:val="auto"/>
                <w:szCs w:val="21"/>
                <w:highlight w:val="none"/>
              </w:rPr>
            </w:pPr>
          </w:p>
        </w:tc>
        <w:tc>
          <w:tcPr>
            <w:tcW w:w="806" w:type="dxa"/>
          </w:tcPr>
          <w:p>
            <w:pPr>
              <w:spacing w:line="360" w:lineRule="auto"/>
              <w:rPr>
                <w:rFonts w:ascii="宋体" w:hAnsi="宋体"/>
                <w:color w:val="auto"/>
                <w:szCs w:val="21"/>
                <w:highlight w:val="none"/>
              </w:rPr>
            </w:pPr>
          </w:p>
        </w:tc>
        <w:tc>
          <w:tcPr>
            <w:tcW w:w="1537" w:type="dxa"/>
          </w:tcPr>
          <w:p>
            <w:pPr>
              <w:spacing w:line="360" w:lineRule="auto"/>
              <w:rPr>
                <w:rFonts w:ascii="宋体" w:hAnsi="宋体"/>
                <w:color w:val="auto"/>
                <w:szCs w:val="21"/>
                <w:highlight w:val="none"/>
              </w:rPr>
            </w:pPr>
          </w:p>
        </w:tc>
        <w:tc>
          <w:tcPr>
            <w:tcW w:w="1371" w:type="dxa"/>
          </w:tcPr>
          <w:p>
            <w:pPr>
              <w:spacing w:line="360" w:lineRule="auto"/>
              <w:rPr>
                <w:rFonts w:ascii="宋体" w:hAnsi="宋体"/>
                <w:color w:val="auto"/>
                <w:szCs w:val="21"/>
                <w:highlight w:val="none"/>
              </w:rPr>
            </w:pPr>
          </w:p>
        </w:tc>
        <w:tc>
          <w:tcPr>
            <w:tcW w:w="2163" w:type="dxa"/>
          </w:tcPr>
          <w:p>
            <w:pPr>
              <w:spacing w:line="360" w:lineRule="auto"/>
              <w:rPr>
                <w:rFonts w:ascii="宋体" w:hAnsi="宋体"/>
                <w:color w:val="auto"/>
                <w:szCs w:val="21"/>
                <w:highlight w:val="none"/>
              </w:rPr>
            </w:pPr>
          </w:p>
        </w:tc>
        <w:tc>
          <w:tcPr>
            <w:tcW w:w="2000" w:type="dxa"/>
          </w:tcPr>
          <w:p>
            <w:pPr>
              <w:spacing w:line="360" w:lineRule="auto"/>
              <w:rPr>
                <w:rFonts w:ascii="宋体" w:hAnsi="宋体"/>
                <w:color w:val="auto"/>
                <w:szCs w:val="21"/>
                <w:highlight w:val="none"/>
              </w:rPr>
            </w:pPr>
          </w:p>
        </w:tc>
      </w:tr>
    </w:tbl>
    <w:p>
      <w:pPr>
        <w:spacing w:line="360" w:lineRule="auto"/>
        <w:rPr>
          <w:rFonts w:ascii="宋体" w:hAnsi="宋体"/>
          <w:color w:val="auto"/>
          <w:szCs w:val="21"/>
          <w:highlight w:val="none"/>
        </w:rPr>
      </w:pPr>
    </w:p>
    <w:p>
      <w:pPr>
        <w:spacing w:line="360" w:lineRule="auto"/>
        <w:rPr>
          <w:rFonts w:ascii="宋体" w:hAnsi="宋体"/>
          <w:color w:val="auto"/>
          <w:szCs w:val="21"/>
          <w:highlight w:val="none"/>
        </w:rPr>
      </w:pPr>
      <w:r>
        <w:rPr>
          <w:rFonts w:hint="eastAsia" w:ascii="宋体" w:hAnsi="宋体"/>
          <w:color w:val="auto"/>
          <w:szCs w:val="21"/>
          <w:highlight w:val="none"/>
        </w:rPr>
        <w:t>注：1.在填写时，如本表格不适合供应商的实际情况，可根据本表格式自行制表填写。</w:t>
      </w:r>
    </w:p>
    <w:p>
      <w:pPr>
        <w:spacing w:line="360" w:lineRule="auto"/>
        <w:ind w:firstLine="424" w:firstLineChars="200"/>
        <w:rPr>
          <w:rFonts w:ascii="宋体" w:hAnsi="宋体"/>
          <w:color w:val="auto"/>
          <w:szCs w:val="21"/>
          <w:highlight w:val="none"/>
        </w:rPr>
      </w:pPr>
      <w:r>
        <w:rPr>
          <w:rFonts w:hint="eastAsia" w:ascii="宋体" w:hAnsi="宋体"/>
          <w:color w:val="auto"/>
          <w:szCs w:val="21"/>
          <w:highlight w:val="none"/>
        </w:rPr>
        <w:t>2.项目实施人员一览表须由法定代表人、负责人、自然人或相应的委托代理人签字或盖章</w:t>
      </w:r>
      <w:r>
        <w:rPr>
          <w:rFonts w:hint="eastAsia" w:hAnsi="宋体"/>
          <w:color w:val="auto"/>
          <w:highlight w:val="none"/>
        </w:rPr>
        <w:t>（属自然人的应在签名处加盖食指指印）</w:t>
      </w:r>
      <w:r>
        <w:rPr>
          <w:rFonts w:hint="eastAsia" w:ascii="宋体" w:hAnsi="宋体"/>
          <w:color w:val="auto"/>
          <w:szCs w:val="21"/>
          <w:highlight w:val="none"/>
        </w:rPr>
        <w:t>并加盖供应商公章</w:t>
      </w:r>
      <w:r>
        <w:rPr>
          <w:rFonts w:hint="eastAsia"/>
          <w:color w:val="auto"/>
          <w:highlight w:val="none"/>
        </w:rPr>
        <w:t>（自然人除外）</w:t>
      </w:r>
      <w:r>
        <w:rPr>
          <w:rFonts w:hint="eastAsia" w:ascii="宋体" w:hAnsi="宋体"/>
          <w:color w:val="auto"/>
          <w:szCs w:val="21"/>
          <w:highlight w:val="none"/>
        </w:rPr>
        <w:t>。</w:t>
      </w:r>
    </w:p>
    <w:p>
      <w:pPr>
        <w:pStyle w:val="12"/>
        <w:spacing w:line="360" w:lineRule="auto"/>
        <w:rPr>
          <w:rFonts w:hAnsi="宋体"/>
          <w:color w:val="auto"/>
          <w:highlight w:val="none"/>
        </w:rPr>
      </w:pPr>
      <w:r>
        <w:rPr>
          <w:rFonts w:hint="eastAsia" w:hAnsi="宋体"/>
          <w:color w:val="auto"/>
          <w:highlight w:val="none"/>
        </w:rPr>
        <w:t xml:space="preserve">   </w:t>
      </w:r>
    </w:p>
    <w:p>
      <w:pPr>
        <w:pStyle w:val="12"/>
        <w:spacing w:line="360" w:lineRule="auto"/>
        <w:ind w:firstLine="3286" w:firstLineChars="1550"/>
        <w:rPr>
          <w:rFonts w:hAnsi="宋体"/>
          <w:color w:val="auto"/>
          <w:highlight w:val="none"/>
        </w:rPr>
      </w:pPr>
    </w:p>
    <w:p>
      <w:pPr>
        <w:spacing w:line="360" w:lineRule="auto"/>
        <w:ind w:firstLine="3604" w:firstLineChars="1700"/>
        <w:outlineLvl w:val="4"/>
        <w:rPr>
          <w:rFonts w:ascii="宋体" w:hAnsi="宋体"/>
          <w:color w:val="auto"/>
          <w:szCs w:val="21"/>
          <w:highlight w:val="none"/>
          <w:u w:val="single"/>
        </w:rPr>
      </w:pPr>
      <w:r>
        <w:rPr>
          <w:rFonts w:hint="eastAsia" w:ascii="宋体" w:hAnsi="宋体"/>
          <w:color w:val="auto"/>
          <w:szCs w:val="21"/>
          <w:highlight w:val="none"/>
        </w:rPr>
        <w:t>供应商（公章，自然人除外）：</w:t>
      </w:r>
      <w:r>
        <w:rPr>
          <w:rFonts w:hint="eastAsia" w:ascii="宋体" w:hAnsi="宋体"/>
          <w:color w:val="auto"/>
          <w:szCs w:val="21"/>
          <w:highlight w:val="none"/>
          <w:u w:val="single"/>
        </w:rPr>
        <w:t xml:space="preserve">                                         </w:t>
      </w:r>
    </w:p>
    <w:p>
      <w:pPr>
        <w:spacing w:line="360" w:lineRule="auto"/>
        <w:ind w:firstLine="420"/>
        <w:outlineLvl w:val="4"/>
        <w:rPr>
          <w:rFonts w:ascii="宋体" w:hAnsi="宋体"/>
          <w:color w:val="auto"/>
          <w:szCs w:val="21"/>
          <w:highlight w:val="none"/>
        </w:rPr>
      </w:pPr>
    </w:p>
    <w:p>
      <w:pPr>
        <w:spacing w:line="360" w:lineRule="auto"/>
        <w:rPr>
          <w:rFonts w:ascii="宋体" w:hAnsi="宋体"/>
          <w:color w:val="auto"/>
          <w:szCs w:val="21"/>
          <w:highlight w:val="none"/>
          <w:u w:val="single"/>
        </w:rPr>
      </w:pPr>
      <w:r>
        <w:rPr>
          <w:rFonts w:hint="eastAsia" w:hAnsi="宋体"/>
          <w:color w:val="auto"/>
          <w:highlight w:val="none"/>
        </w:rPr>
        <w:t>法定代表人、负责人、自然人或相应的委托代理人签字（或盖章）（属自然人的应在签名处加盖食指指印）：</w:t>
      </w:r>
      <w:r>
        <w:rPr>
          <w:rFonts w:hint="eastAsia" w:ascii="宋体" w:hAnsi="宋体"/>
          <w:color w:val="auto"/>
          <w:szCs w:val="21"/>
          <w:highlight w:val="none"/>
          <w:u w:val="single"/>
        </w:rPr>
        <w:t xml:space="preserve">    </w:t>
      </w:r>
    </w:p>
    <w:p>
      <w:pPr>
        <w:spacing w:line="360" w:lineRule="auto"/>
        <w:rPr>
          <w:rFonts w:hAnsi="宋体"/>
          <w:b/>
          <w:color w:val="auto"/>
          <w:sz w:val="32"/>
          <w:szCs w:val="32"/>
          <w:highlight w:val="none"/>
        </w:rPr>
      </w:pPr>
      <w:r>
        <w:rPr>
          <w:rFonts w:hint="eastAsia" w:ascii="宋体" w:hAnsi="宋体"/>
          <w:color w:val="auto"/>
          <w:szCs w:val="21"/>
          <w:highlight w:val="none"/>
          <w:u w:val="single"/>
        </w:rPr>
        <w:t xml:space="preserve">                    </w:t>
      </w:r>
    </w:p>
    <w:p>
      <w:pPr>
        <w:spacing w:line="360" w:lineRule="auto"/>
        <w:rPr>
          <w:rFonts w:hAnsi="宋体"/>
          <w:b/>
          <w:color w:val="auto"/>
          <w:sz w:val="32"/>
          <w:szCs w:val="32"/>
          <w:highlight w:val="none"/>
        </w:rPr>
      </w:pPr>
    </w:p>
    <w:p>
      <w:pPr>
        <w:spacing w:line="360" w:lineRule="auto"/>
        <w:rPr>
          <w:rFonts w:hAnsi="宋体"/>
          <w:b/>
          <w:color w:val="auto"/>
          <w:sz w:val="32"/>
          <w:szCs w:val="32"/>
          <w:highlight w:val="none"/>
        </w:rPr>
      </w:pPr>
      <w:r>
        <w:rPr>
          <w:rFonts w:hint="eastAsia" w:hAnsi="宋体"/>
          <w:b/>
          <w:color w:val="auto"/>
          <w:sz w:val="32"/>
          <w:szCs w:val="32"/>
          <w:highlight w:val="none"/>
        </w:rPr>
        <w:t>7.节能方面的资质证书复印件（如有，请提供）；</w:t>
      </w:r>
      <w:bookmarkStart w:id="33" w:name="_GoBack"/>
      <w:bookmarkEnd w:id="33"/>
    </w:p>
    <w:p>
      <w:pPr>
        <w:pStyle w:val="38"/>
        <w:ind w:firstLine="0" w:firstLineChars="0"/>
        <w:rPr>
          <w:color w:val="auto"/>
          <w:highlight w:val="none"/>
        </w:rPr>
      </w:pPr>
    </w:p>
    <w:p>
      <w:pPr>
        <w:pStyle w:val="38"/>
        <w:ind w:firstLine="0" w:firstLineChars="0"/>
        <w:rPr>
          <w:color w:val="auto"/>
          <w:highlight w:val="none"/>
        </w:rPr>
      </w:pPr>
    </w:p>
    <w:p>
      <w:pPr>
        <w:spacing w:line="360" w:lineRule="auto"/>
        <w:rPr>
          <w:rFonts w:ascii="宋体" w:hAnsi="宋体"/>
          <w:b/>
          <w:bCs/>
          <w:color w:val="auto"/>
          <w:sz w:val="32"/>
          <w:szCs w:val="32"/>
          <w:highlight w:val="none"/>
        </w:rPr>
      </w:pPr>
    </w:p>
    <w:p>
      <w:pPr>
        <w:spacing w:line="360" w:lineRule="auto"/>
        <w:rPr>
          <w:rFonts w:ascii="宋体" w:hAnsi="宋体"/>
          <w:b/>
          <w:bCs/>
          <w:color w:val="auto"/>
          <w:sz w:val="32"/>
          <w:szCs w:val="32"/>
          <w:highlight w:val="none"/>
        </w:rPr>
      </w:pPr>
    </w:p>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8.环保方面的资质证书复印件（如有，请提供）；</w:t>
      </w:r>
    </w:p>
    <w:p>
      <w:pPr>
        <w:pStyle w:val="38"/>
        <w:ind w:firstLine="0" w:firstLineChars="0"/>
        <w:rPr>
          <w:color w:val="auto"/>
          <w:highlight w:val="none"/>
        </w:rPr>
      </w:pPr>
    </w:p>
    <w:p>
      <w:pPr>
        <w:spacing w:line="360" w:lineRule="auto"/>
        <w:rPr>
          <w:rFonts w:ascii="宋体" w:hAnsi="宋体"/>
          <w:b/>
          <w:bCs/>
          <w:color w:val="auto"/>
          <w:sz w:val="32"/>
          <w:szCs w:val="32"/>
          <w:highlight w:val="none"/>
        </w:rPr>
      </w:pPr>
    </w:p>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9.供应商</w:t>
      </w:r>
      <w:r>
        <w:rPr>
          <w:rFonts w:hint="eastAsia" w:ascii="宋体" w:hAnsi="宋体"/>
          <w:b/>
          <w:bCs/>
          <w:color w:val="auto"/>
          <w:sz w:val="32"/>
          <w:szCs w:val="32"/>
          <w:highlight w:val="none"/>
          <w:lang w:eastAsia="zh-CN"/>
        </w:rPr>
        <w:t>201</w:t>
      </w:r>
      <w:r>
        <w:rPr>
          <w:rFonts w:hint="eastAsia" w:ascii="宋体" w:hAnsi="宋体"/>
          <w:b/>
          <w:bCs/>
          <w:color w:val="auto"/>
          <w:sz w:val="32"/>
          <w:szCs w:val="32"/>
          <w:highlight w:val="none"/>
          <w:lang w:val="en-US" w:eastAsia="zh-CN"/>
        </w:rPr>
        <w:t>8</w:t>
      </w:r>
      <w:r>
        <w:rPr>
          <w:rFonts w:hint="eastAsia" w:ascii="宋体" w:hAnsi="宋体"/>
          <w:b/>
          <w:bCs/>
          <w:color w:val="auto"/>
          <w:sz w:val="32"/>
          <w:szCs w:val="32"/>
          <w:highlight w:val="none"/>
          <w:lang w:eastAsia="zh-CN"/>
        </w:rPr>
        <w:t>年度通过中介审计的有效财务审计报告复印件</w:t>
      </w:r>
      <w:r>
        <w:rPr>
          <w:rFonts w:hint="eastAsia" w:ascii="宋体" w:hAnsi="宋体"/>
          <w:b/>
          <w:bCs/>
          <w:color w:val="auto"/>
          <w:sz w:val="32"/>
          <w:szCs w:val="32"/>
          <w:highlight w:val="none"/>
        </w:rPr>
        <w:t>（如有，请提供）；</w:t>
      </w: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10.供应商2017年以来具有同类产品的销售业绩的相关证明材料（无不良记录，以中标（成交）通知书或签订的销售合同为准，并能清晰反映所销售的货物名称、种类、金额）（如有，请提供）；</w:t>
      </w:r>
    </w:p>
    <w:p>
      <w:pPr>
        <w:spacing w:line="360" w:lineRule="auto"/>
        <w:rPr>
          <w:rFonts w:ascii="宋体" w:hAnsi="宋体"/>
          <w:b/>
          <w:bCs/>
          <w:color w:val="auto"/>
          <w:sz w:val="32"/>
          <w:szCs w:val="32"/>
          <w:highlight w:val="none"/>
        </w:rPr>
      </w:pPr>
    </w:p>
    <w:p>
      <w:pPr>
        <w:pStyle w:val="5"/>
        <w:rPr>
          <w:rFonts w:ascii="宋体" w:hAnsi="宋体"/>
          <w:b/>
          <w:color w:val="auto"/>
          <w:sz w:val="32"/>
          <w:highlight w:val="none"/>
        </w:rPr>
      </w:pPr>
    </w:p>
    <w:p>
      <w:pPr>
        <w:rPr>
          <w:rFonts w:ascii="宋体" w:hAnsi="宋体"/>
          <w:b/>
          <w:bCs/>
          <w:color w:val="auto"/>
          <w:sz w:val="32"/>
          <w:szCs w:val="32"/>
          <w:highlight w:val="none"/>
        </w:rPr>
      </w:pPr>
    </w:p>
    <w:p>
      <w:pPr>
        <w:pStyle w:val="6"/>
        <w:rPr>
          <w:rFonts w:ascii="宋体" w:hAnsi="宋体"/>
          <w:color w:val="auto"/>
          <w:highlight w:val="none"/>
        </w:rPr>
      </w:pPr>
    </w:p>
    <w:p>
      <w:pPr>
        <w:rPr>
          <w:color w:val="auto"/>
          <w:highlight w:val="none"/>
        </w:rPr>
      </w:pPr>
    </w:p>
    <w:p>
      <w:pPr>
        <w:rPr>
          <w:color w:val="auto"/>
          <w:highlight w:val="none"/>
        </w:rPr>
      </w:pPr>
    </w:p>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11.供应商相关获奖证书、认证证书等复印件（如有，请提供）；</w:t>
      </w:r>
    </w:p>
    <w:p>
      <w:pPr>
        <w:pStyle w:val="38"/>
        <w:ind w:firstLine="0" w:firstLineChars="0"/>
        <w:rPr>
          <w:rFonts w:ascii="宋体" w:hAnsi="宋体"/>
          <w:b/>
          <w:bCs/>
          <w:color w:val="auto"/>
          <w:sz w:val="32"/>
          <w:szCs w:val="32"/>
          <w:highlight w:val="none"/>
        </w:rPr>
      </w:pPr>
    </w:p>
    <w:p>
      <w:pPr>
        <w:pStyle w:val="38"/>
        <w:ind w:firstLine="648"/>
        <w:rPr>
          <w:rFonts w:ascii="宋体" w:hAnsi="宋体"/>
          <w:b/>
          <w:bCs/>
          <w:color w:val="auto"/>
          <w:sz w:val="32"/>
          <w:szCs w:val="32"/>
          <w:highlight w:val="none"/>
        </w:rPr>
      </w:pPr>
    </w:p>
    <w:p>
      <w:pPr>
        <w:pStyle w:val="38"/>
        <w:ind w:firstLine="648"/>
        <w:rPr>
          <w:rFonts w:ascii="宋体" w:hAnsi="宋体"/>
          <w:b/>
          <w:bCs/>
          <w:color w:val="auto"/>
          <w:sz w:val="32"/>
          <w:szCs w:val="32"/>
          <w:highlight w:val="none"/>
        </w:rPr>
      </w:pPr>
    </w:p>
    <w:p>
      <w:pPr>
        <w:pStyle w:val="38"/>
        <w:ind w:firstLine="0" w:firstLineChars="0"/>
        <w:rPr>
          <w:rFonts w:ascii="宋体" w:hAnsi="宋体"/>
          <w:b/>
          <w:bCs/>
          <w:color w:val="auto"/>
          <w:sz w:val="32"/>
          <w:szCs w:val="32"/>
          <w:highlight w:val="none"/>
        </w:rPr>
      </w:pPr>
    </w:p>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12.供应商所投产品为广西工业产品的，如实提供《广西工业产品声明函》（如有，请提供）；</w:t>
      </w:r>
    </w:p>
    <w:p>
      <w:pPr>
        <w:pStyle w:val="12"/>
        <w:spacing w:line="360" w:lineRule="auto"/>
        <w:ind w:firstLine="472" w:firstLineChars="147"/>
        <w:rPr>
          <w:rFonts w:hAnsi="宋体"/>
          <w:b/>
          <w:color w:val="auto"/>
          <w:sz w:val="32"/>
          <w:szCs w:val="32"/>
          <w:highlight w:val="none"/>
        </w:rPr>
      </w:pPr>
      <w:r>
        <w:rPr>
          <w:rFonts w:hint="eastAsia" w:hAnsi="宋体"/>
          <w:b/>
          <w:color w:val="auto"/>
          <w:sz w:val="32"/>
          <w:szCs w:val="32"/>
          <w:highlight w:val="none"/>
        </w:rPr>
        <w:t>附件：</w:t>
      </w:r>
    </w:p>
    <w:p>
      <w:pPr>
        <w:pStyle w:val="12"/>
        <w:spacing w:line="360" w:lineRule="auto"/>
        <w:jc w:val="center"/>
        <w:rPr>
          <w:rFonts w:hAnsi="宋体"/>
          <w:b/>
          <w:color w:val="auto"/>
          <w:sz w:val="32"/>
          <w:szCs w:val="32"/>
          <w:highlight w:val="none"/>
        </w:rPr>
      </w:pPr>
      <w:r>
        <w:rPr>
          <w:rFonts w:hint="eastAsia" w:hAnsi="宋体"/>
          <w:b/>
          <w:color w:val="auto"/>
          <w:sz w:val="32"/>
          <w:szCs w:val="32"/>
          <w:highlight w:val="none"/>
        </w:rPr>
        <w:t>广西工业产品声明函</w:t>
      </w:r>
    </w:p>
    <w:p>
      <w:pPr>
        <w:pStyle w:val="12"/>
        <w:spacing w:line="360" w:lineRule="auto"/>
        <w:ind w:firstLine="484" w:firstLineChars="200"/>
        <w:jc w:val="center"/>
        <w:rPr>
          <w:rFonts w:hAnsi="宋体"/>
          <w:color w:val="auto"/>
          <w:sz w:val="24"/>
          <w:szCs w:val="24"/>
          <w:highlight w:val="none"/>
        </w:rPr>
      </w:pPr>
      <w:r>
        <w:rPr>
          <w:rFonts w:hint="eastAsia" w:hAnsi="宋体"/>
          <w:color w:val="auto"/>
          <w:sz w:val="24"/>
          <w:szCs w:val="24"/>
          <w:highlight w:val="none"/>
        </w:rPr>
        <w:t>本公司郑重声明，根据《招标采购促进广西工业产品产销对接实施细则》的规定，</w:t>
      </w:r>
    </w:p>
    <w:p>
      <w:pPr>
        <w:pStyle w:val="12"/>
        <w:spacing w:line="360" w:lineRule="auto"/>
        <w:rPr>
          <w:rFonts w:hAnsi="宋体"/>
          <w:color w:val="auto"/>
          <w:sz w:val="24"/>
          <w:szCs w:val="24"/>
          <w:highlight w:val="none"/>
        </w:rPr>
      </w:pPr>
      <w:r>
        <w:rPr>
          <w:rFonts w:hint="eastAsia" w:hAnsi="宋体"/>
          <w:color w:val="auto"/>
          <w:sz w:val="24"/>
          <w:szCs w:val="24"/>
          <w:highlight w:val="none"/>
        </w:rPr>
        <w:t>本公司在本次投标</w:t>
      </w:r>
      <w:r>
        <w:rPr>
          <w:rFonts w:hAnsi="宋体"/>
          <w:color w:val="auto"/>
          <w:sz w:val="24"/>
          <w:szCs w:val="24"/>
          <w:highlight w:val="none"/>
        </w:rPr>
        <w:t>/</w:t>
      </w:r>
      <w:r>
        <w:rPr>
          <w:rFonts w:hint="eastAsia" w:hAnsi="宋体"/>
          <w:color w:val="auto"/>
          <w:sz w:val="24"/>
          <w:szCs w:val="24"/>
          <w:highlight w:val="none"/>
        </w:rPr>
        <w:t>竞标中或者工程项目中提供的下述产品为广西工业产品，详情如下：</w:t>
      </w:r>
    </w:p>
    <w:p>
      <w:pPr>
        <w:pStyle w:val="12"/>
        <w:spacing w:line="360" w:lineRule="auto"/>
        <w:jc w:val="center"/>
        <w:rPr>
          <w:rFonts w:hAnsi="宋体"/>
          <w:color w:val="auto"/>
          <w:sz w:val="24"/>
          <w:szCs w:val="24"/>
          <w:highlight w:val="none"/>
        </w:rPr>
      </w:pPr>
    </w:p>
    <w:tbl>
      <w:tblPr>
        <w:tblStyle w:val="21"/>
        <w:tblW w:w="900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617"/>
        <w:gridCol w:w="903"/>
        <w:gridCol w:w="2160"/>
        <w:gridCol w:w="1087"/>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序号</w:t>
            </w:r>
          </w:p>
        </w:tc>
        <w:tc>
          <w:tcPr>
            <w:tcW w:w="144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产品名称</w:t>
            </w:r>
          </w:p>
        </w:tc>
        <w:tc>
          <w:tcPr>
            <w:tcW w:w="1617"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型号和规格</w:t>
            </w:r>
          </w:p>
        </w:tc>
        <w:tc>
          <w:tcPr>
            <w:tcW w:w="903"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数量</w:t>
            </w:r>
          </w:p>
        </w:tc>
        <w:tc>
          <w:tcPr>
            <w:tcW w:w="216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制造厂商及原产地</w:t>
            </w:r>
          </w:p>
        </w:tc>
        <w:tc>
          <w:tcPr>
            <w:tcW w:w="1087"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投标价</w:t>
            </w:r>
          </w:p>
        </w:tc>
        <w:tc>
          <w:tcPr>
            <w:tcW w:w="1073"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1</w:t>
            </w:r>
          </w:p>
        </w:tc>
        <w:tc>
          <w:tcPr>
            <w:tcW w:w="1440" w:type="dxa"/>
            <w:vAlign w:val="center"/>
          </w:tcPr>
          <w:p>
            <w:pPr>
              <w:pStyle w:val="12"/>
              <w:spacing w:line="360" w:lineRule="auto"/>
              <w:jc w:val="center"/>
              <w:rPr>
                <w:rFonts w:hAnsi="宋体"/>
                <w:color w:val="auto"/>
                <w:szCs w:val="21"/>
                <w:highlight w:val="none"/>
              </w:rPr>
            </w:pPr>
          </w:p>
        </w:tc>
        <w:tc>
          <w:tcPr>
            <w:tcW w:w="1617" w:type="dxa"/>
            <w:vAlign w:val="center"/>
          </w:tcPr>
          <w:p>
            <w:pPr>
              <w:pStyle w:val="12"/>
              <w:spacing w:line="360" w:lineRule="auto"/>
              <w:jc w:val="center"/>
              <w:rPr>
                <w:rFonts w:hAnsi="宋体"/>
                <w:color w:val="auto"/>
                <w:szCs w:val="21"/>
                <w:highlight w:val="none"/>
              </w:rPr>
            </w:pPr>
          </w:p>
        </w:tc>
        <w:tc>
          <w:tcPr>
            <w:tcW w:w="903" w:type="dxa"/>
            <w:vAlign w:val="center"/>
          </w:tcPr>
          <w:p>
            <w:pPr>
              <w:pStyle w:val="12"/>
              <w:spacing w:line="360" w:lineRule="auto"/>
              <w:jc w:val="center"/>
              <w:rPr>
                <w:rFonts w:hAnsi="宋体"/>
                <w:color w:val="auto"/>
                <w:szCs w:val="21"/>
                <w:highlight w:val="none"/>
              </w:rPr>
            </w:pPr>
          </w:p>
        </w:tc>
        <w:tc>
          <w:tcPr>
            <w:tcW w:w="2160" w:type="dxa"/>
            <w:vAlign w:val="center"/>
          </w:tcPr>
          <w:p>
            <w:pPr>
              <w:pStyle w:val="12"/>
              <w:spacing w:line="360" w:lineRule="auto"/>
              <w:jc w:val="center"/>
              <w:rPr>
                <w:rFonts w:hAnsi="宋体"/>
                <w:color w:val="auto"/>
                <w:szCs w:val="21"/>
                <w:highlight w:val="none"/>
              </w:rPr>
            </w:pPr>
          </w:p>
        </w:tc>
        <w:tc>
          <w:tcPr>
            <w:tcW w:w="1087" w:type="dxa"/>
            <w:vAlign w:val="center"/>
          </w:tcPr>
          <w:p>
            <w:pPr>
              <w:pStyle w:val="12"/>
              <w:spacing w:line="360" w:lineRule="auto"/>
              <w:jc w:val="center"/>
              <w:rPr>
                <w:rFonts w:hAnsi="宋体"/>
                <w:color w:val="auto"/>
                <w:szCs w:val="21"/>
                <w:highlight w:val="none"/>
              </w:rPr>
            </w:pPr>
          </w:p>
        </w:tc>
        <w:tc>
          <w:tcPr>
            <w:tcW w:w="1073" w:type="dxa"/>
            <w:vAlign w:val="center"/>
          </w:tcPr>
          <w:p>
            <w:pPr>
              <w:pStyle w:val="12"/>
              <w:spacing w:line="360" w:lineRule="auto"/>
              <w:jc w:val="center"/>
              <w:rPr>
                <w:rFonts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2</w:t>
            </w:r>
          </w:p>
        </w:tc>
        <w:tc>
          <w:tcPr>
            <w:tcW w:w="1440" w:type="dxa"/>
            <w:vAlign w:val="center"/>
          </w:tcPr>
          <w:p>
            <w:pPr>
              <w:pStyle w:val="12"/>
              <w:spacing w:line="360" w:lineRule="auto"/>
              <w:jc w:val="center"/>
              <w:rPr>
                <w:rFonts w:hAnsi="宋体"/>
                <w:color w:val="auto"/>
                <w:szCs w:val="21"/>
                <w:highlight w:val="none"/>
              </w:rPr>
            </w:pPr>
          </w:p>
        </w:tc>
        <w:tc>
          <w:tcPr>
            <w:tcW w:w="1617" w:type="dxa"/>
            <w:vAlign w:val="center"/>
          </w:tcPr>
          <w:p>
            <w:pPr>
              <w:pStyle w:val="12"/>
              <w:spacing w:line="360" w:lineRule="auto"/>
              <w:jc w:val="center"/>
              <w:rPr>
                <w:rFonts w:hAnsi="宋体"/>
                <w:color w:val="auto"/>
                <w:szCs w:val="21"/>
                <w:highlight w:val="none"/>
              </w:rPr>
            </w:pPr>
          </w:p>
        </w:tc>
        <w:tc>
          <w:tcPr>
            <w:tcW w:w="903" w:type="dxa"/>
            <w:vAlign w:val="center"/>
          </w:tcPr>
          <w:p>
            <w:pPr>
              <w:pStyle w:val="12"/>
              <w:spacing w:line="360" w:lineRule="auto"/>
              <w:jc w:val="center"/>
              <w:rPr>
                <w:rFonts w:hAnsi="宋体"/>
                <w:color w:val="auto"/>
                <w:szCs w:val="21"/>
                <w:highlight w:val="none"/>
              </w:rPr>
            </w:pPr>
          </w:p>
        </w:tc>
        <w:tc>
          <w:tcPr>
            <w:tcW w:w="2160" w:type="dxa"/>
            <w:vAlign w:val="center"/>
          </w:tcPr>
          <w:p>
            <w:pPr>
              <w:pStyle w:val="12"/>
              <w:spacing w:line="360" w:lineRule="auto"/>
              <w:jc w:val="center"/>
              <w:rPr>
                <w:rFonts w:hAnsi="宋体"/>
                <w:color w:val="auto"/>
                <w:szCs w:val="21"/>
                <w:highlight w:val="none"/>
              </w:rPr>
            </w:pPr>
          </w:p>
        </w:tc>
        <w:tc>
          <w:tcPr>
            <w:tcW w:w="1087" w:type="dxa"/>
            <w:vAlign w:val="center"/>
          </w:tcPr>
          <w:p>
            <w:pPr>
              <w:pStyle w:val="12"/>
              <w:spacing w:line="360" w:lineRule="auto"/>
              <w:jc w:val="center"/>
              <w:rPr>
                <w:rFonts w:hAnsi="宋体"/>
                <w:color w:val="auto"/>
                <w:szCs w:val="21"/>
                <w:highlight w:val="none"/>
              </w:rPr>
            </w:pPr>
          </w:p>
        </w:tc>
        <w:tc>
          <w:tcPr>
            <w:tcW w:w="1073" w:type="dxa"/>
            <w:vAlign w:val="center"/>
          </w:tcPr>
          <w:p>
            <w:pPr>
              <w:pStyle w:val="12"/>
              <w:spacing w:line="360" w:lineRule="auto"/>
              <w:jc w:val="center"/>
              <w:rPr>
                <w:rFonts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vAlign w:val="center"/>
          </w:tcPr>
          <w:p>
            <w:pPr>
              <w:pStyle w:val="12"/>
              <w:spacing w:line="360" w:lineRule="auto"/>
              <w:jc w:val="center"/>
              <w:rPr>
                <w:rFonts w:hAnsi="宋体"/>
                <w:color w:val="auto"/>
                <w:szCs w:val="21"/>
                <w:highlight w:val="none"/>
              </w:rPr>
            </w:pPr>
            <w:r>
              <w:rPr>
                <w:rFonts w:hAnsi="宋体"/>
                <w:color w:val="auto"/>
                <w:szCs w:val="21"/>
                <w:highlight w:val="none"/>
              </w:rPr>
              <w:t>……</w:t>
            </w:r>
          </w:p>
        </w:tc>
        <w:tc>
          <w:tcPr>
            <w:tcW w:w="1440" w:type="dxa"/>
            <w:vAlign w:val="center"/>
          </w:tcPr>
          <w:p>
            <w:pPr>
              <w:pStyle w:val="12"/>
              <w:spacing w:line="360" w:lineRule="auto"/>
              <w:jc w:val="center"/>
              <w:rPr>
                <w:rFonts w:hAnsi="宋体"/>
                <w:color w:val="auto"/>
                <w:szCs w:val="21"/>
                <w:highlight w:val="none"/>
              </w:rPr>
            </w:pPr>
          </w:p>
        </w:tc>
        <w:tc>
          <w:tcPr>
            <w:tcW w:w="1617" w:type="dxa"/>
            <w:vAlign w:val="center"/>
          </w:tcPr>
          <w:p>
            <w:pPr>
              <w:pStyle w:val="12"/>
              <w:spacing w:line="360" w:lineRule="auto"/>
              <w:jc w:val="center"/>
              <w:rPr>
                <w:rFonts w:hAnsi="宋体"/>
                <w:color w:val="auto"/>
                <w:szCs w:val="21"/>
                <w:highlight w:val="none"/>
              </w:rPr>
            </w:pPr>
          </w:p>
        </w:tc>
        <w:tc>
          <w:tcPr>
            <w:tcW w:w="903" w:type="dxa"/>
            <w:vAlign w:val="center"/>
          </w:tcPr>
          <w:p>
            <w:pPr>
              <w:pStyle w:val="12"/>
              <w:spacing w:line="360" w:lineRule="auto"/>
              <w:jc w:val="center"/>
              <w:rPr>
                <w:rFonts w:hAnsi="宋体"/>
                <w:color w:val="auto"/>
                <w:szCs w:val="21"/>
                <w:highlight w:val="none"/>
              </w:rPr>
            </w:pPr>
          </w:p>
        </w:tc>
        <w:tc>
          <w:tcPr>
            <w:tcW w:w="2160" w:type="dxa"/>
            <w:vAlign w:val="center"/>
          </w:tcPr>
          <w:p>
            <w:pPr>
              <w:pStyle w:val="12"/>
              <w:spacing w:line="360" w:lineRule="auto"/>
              <w:jc w:val="center"/>
              <w:rPr>
                <w:rFonts w:hAnsi="宋体"/>
                <w:color w:val="auto"/>
                <w:szCs w:val="21"/>
                <w:highlight w:val="none"/>
              </w:rPr>
            </w:pPr>
          </w:p>
        </w:tc>
        <w:tc>
          <w:tcPr>
            <w:tcW w:w="1087" w:type="dxa"/>
            <w:vAlign w:val="center"/>
          </w:tcPr>
          <w:p>
            <w:pPr>
              <w:pStyle w:val="12"/>
              <w:spacing w:line="360" w:lineRule="auto"/>
              <w:jc w:val="center"/>
              <w:rPr>
                <w:rFonts w:hAnsi="宋体"/>
                <w:color w:val="auto"/>
                <w:szCs w:val="21"/>
                <w:highlight w:val="none"/>
              </w:rPr>
            </w:pPr>
          </w:p>
        </w:tc>
        <w:tc>
          <w:tcPr>
            <w:tcW w:w="1073" w:type="dxa"/>
            <w:vAlign w:val="center"/>
          </w:tcPr>
          <w:p>
            <w:pPr>
              <w:pStyle w:val="12"/>
              <w:spacing w:line="360" w:lineRule="auto"/>
              <w:jc w:val="center"/>
              <w:rPr>
                <w:rFonts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vAlign w:val="center"/>
          </w:tcPr>
          <w:p>
            <w:pPr>
              <w:pStyle w:val="12"/>
              <w:spacing w:line="360" w:lineRule="auto"/>
              <w:jc w:val="center"/>
              <w:rPr>
                <w:rFonts w:hAnsi="宋体"/>
                <w:color w:val="auto"/>
                <w:szCs w:val="21"/>
                <w:highlight w:val="none"/>
              </w:rPr>
            </w:pPr>
          </w:p>
        </w:tc>
        <w:tc>
          <w:tcPr>
            <w:tcW w:w="144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广西工业产品合计价格</w:t>
            </w:r>
          </w:p>
        </w:tc>
        <w:tc>
          <w:tcPr>
            <w:tcW w:w="2520" w:type="dxa"/>
            <w:gridSpan w:val="2"/>
            <w:vAlign w:val="center"/>
          </w:tcPr>
          <w:p>
            <w:pPr>
              <w:pStyle w:val="12"/>
              <w:spacing w:line="360" w:lineRule="auto"/>
              <w:jc w:val="center"/>
              <w:rPr>
                <w:rFonts w:hAnsi="宋体"/>
                <w:color w:val="auto"/>
                <w:szCs w:val="21"/>
                <w:highlight w:val="none"/>
              </w:rPr>
            </w:pPr>
          </w:p>
        </w:tc>
        <w:tc>
          <w:tcPr>
            <w:tcW w:w="2160" w:type="dxa"/>
            <w:vAlign w:val="center"/>
          </w:tcPr>
          <w:p>
            <w:pPr>
              <w:pStyle w:val="12"/>
              <w:spacing w:line="360" w:lineRule="auto"/>
              <w:jc w:val="center"/>
              <w:rPr>
                <w:rFonts w:hAnsi="宋体"/>
                <w:color w:val="auto"/>
                <w:szCs w:val="21"/>
                <w:highlight w:val="none"/>
              </w:rPr>
            </w:pPr>
            <w:r>
              <w:rPr>
                <w:rFonts w:hint="eastAsia" w:hAnsi="宋体"/>
                <w:color w:val="auto"/>
                <w:szCs w:val="21"/>
                <w:highlight w:val="none"/>
              </w:rPr>
              <w:t>占投标总价比例</w:t>
            </w:r>
          </w:p>
        </w:tc>
        <w:tc>
          <w:tcPr>
            <w:tcW w:w="2160" w:type="dxa"/>
            <w:gridSpan w:val="2"/>
            <w:vAlign w:val="center"/>
          </w:tcPr>
          <w:p>
            <w:pPr>
              <w:pStyle w:val="12"/>
              <w:spacing w:line="360" w:lineRule="auto"/>
              <w:jc w:val="center"/>
              <w:rPr>
                <w:rFonts w:hAnsi="宋体"/>
                <w:color w:val="auto"/>
                <w:szCs w:val="21"/>
                <w:highlight w:val="none"/>
              </w:rPr>
            </w:pPr>
          </w:p>
        </w:tc>
      </w:tr>
    </w:tbl>
    <w:p>
      <w:pPr>
        <w:pStyle w:val="12"/>
        <w:spacing w:line="360" w:lineRule="auto"/>
        <w:ind w:firstLine="726" w:firstLineChars="300"/>
        <w:rPr>
          <w:rFonts w:hAnsi="宋体"/>
          <w:color w:val="auto"/>
          <w:sz w:val="24"/>
          <w:szCs w:val="24"/>
          <w:highlight w:val="none"/>
        </w:rPr>
      </w:pPr>
      <w:r>
        <w:rPr>
          <w:rFonts w:hint="eastAsia" w:hAnsi="宋体"/>
          <w:color w:val="auto"/>
          <w:sz w:val="24"/>
          <w:szCs w:val="24"/>
          <w:highlight w:val="none"/>
        </w:rPr>
        <w:t>本公司对上述声明的真实性负责。如有虚假，将依法承担相应责任。</w:t>
      </w:r>
    </w:p>
    <w:p>
      <w:pPr>
        <w:pStyle w:val="12"/>
        <w:spacing w:line="360" w:lineRule="auto"/>
        <w:ind w:firstLine="242" w:firstLineChars="100"/>
        <w:rPr>
          <w:rFonts w:hAnsi="宋体"/>
          <w:color w:val="auto"/>
          <w:sz w:val="24"/>
          <w:szCs w:val="24"/>
          <w:highlight w:val="none"/>
        </w:rPr>
      </w:pPr>
    </w:p>
    <w:p>
      <w:pPr>
        <w:pStyle w:val="12"/>
        <w:spacing w:line="360" w:lineRule="auto"/>
        <w:ind w:firstLine="6292" w:firstLineChars="2600"/>
        <w:rPr>
          <w:rFonts w:hAnsi="宋体"/>
          <w:color w:val="auto"/>
          <w:sz w:val="24"/>
          <w:szCs w:val="24"/>
          <w:highlight w:val="none"/>
        </w:rPr>
      </w:pPr>
      <w:r>
        <w:rPr>
          <w:rFonts w:hint="eastAsia" w:hAnsi="宋体"/>
          <w:color w:val="auto"/>
          <w:sz w:val="24"/>
          <w:szCs w:val="24"/>
          <w:highlight w:val="none"/>
        </w:rPr>
        <w:t>供应商名称（盖章）：</w:t>
      </w:r>
    </w:p>
    <w:p>
      <w:pPr>
        <w:pStyle w:val="12"/>
        <w:spacing w:line="360" w:lineRule="auto"/>
        <w:ind w:firstLine="6655" w:firstLineChars="2750"/>
        <w:rPr>
          <w:rFonts w:hAnsi="宋体"/>
          <w:color w:val="auto"/>
          <w:sz w:val="24"/>
          <w:szCs w:val="24"/>
          <w:highlight w:val="none"/>
        </w:rPr>
      </w:pPr>
      <w:r>
        <w:rPr>
          <w:rFonts w:hint="eastAsia" w:hAnsi="宋体"/>
          <w:color w:val="auto"/>
          <w:sz w:val="24"/>
          <w:szCs w:val="24"/>
          <w:highlight w:val="none"/>
        </w:rPr>
        <w:t>日</w:t>
      </w:r>
      <w:r>
        <w:rPr>
          <w:rFonts w:hAnsi="宋体"/>
          <w:color w:val="auto"/>
          <w:sz w:val="24"/>
          <w:szCs w:val="24"/>
          <w:highlight w:val="none"/>
        </w:rPr>
        <w:t xml:space="preserve"> </w:t>
      </w:r>
      <w:r>
        <w:rPr>
          <w:rFonts w:hint="eastAsia" w:hAnsi="宋体"/>
          <w:color w:val="auto"/>
          <w:sz w:val="24"/>
          <w:szCs w:val="24"/>
          <w:highlight w:val="none"/>
        </w:rPr>
        <w:t>期：</w:t>
      </w:r>
    </w:p>
    <w:p>
      <w:pPr>
        <w:spacing w:line="360" w:lineRule="auto"/>
        <w:rPr>
          <w:rFonts w:ascii="宋体" w:hAnsi="宋体"/>
          <w:b/>
          <w:bCs/>
          <w:color w:val="auto"/>
          <w:sz w:val="32"/>
          <w:szCs w:val="32"/>
          <w:highlight w:val="none"/>
        </w:rPr>
      </w:pPr>
    </w:p>
    <w:p>
      <w:pPr>
        <w:pStyle w:val="5"/>
        <w:rPr>
          <w:rFonts w:ascii="宋体" w:hAnsi="宋体"/>
          <w:b/>
          <w:color w:val="auto"/>
          <w:sz w:val="32"/>
          <w:highlight w:val="none"/>
        </w:rPr>
      </w:pPr>
    </w:p>
    <w:p>
      <w:pPr>
        <w:rPr>
          <w:color w:val="auto"/>
          <w:highlight w:val="none"/>
        </w:rPr>
      </w:pPr>
    </w:p>
    <w:p>
      <w:pPr>
        <w:pStyle w:val="6"/>
        <w:rPr>
          <w:color w:val="auto"/>
          <w:highlight w:val="none"/>
        </w:rPr>
      </w:pPr>
    </w:p>
    <w:p>
      <w:pPr>
        <w:rPr>
          <w:color w:val="auto"/>
          <w:highlight w:val="none"/>
        </w:rPr>
      </w:pPr>
    </w:p>
    <w:p>
      <w:pPr>
        <w:rPr>
          <w:color w:val="auto"/>
          <w:highlight w:val="none"/>
        </w:rPr>
      </w:pPr>
    </w:p>
    <w:p>
      <w:pPr>
        <w:spacing w:line="360" w:lineRule="auto"/>
        <w:rPr>
          <w:rFonts w:hint="eastAsia" w:ascii="宋体" w:hAnsi="宋体"/>
          <w:b/>
          <w:bCs/>
          <w:color w:val="auto"/>
          <w:sz w:val="32"/>
          <w:szCs w:val="32"/>
          <w:highlight w:val="none"/>
        </w:rPr>
      </w:pPr>
    </w:p>
    <w:p>
      <w:pPr>
        <w:spacing w:line="360" w:lineRule="auto"/>
        <w:rPr>
          <w:rFonts w:hint="eastAsia" w:ascii="宋体" w:hAnsi="宋体"/>
          <w:b/>
          <w:bCs/>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宋体" w:hAnsi="宋体"/>
          <w:b/>
          <w:bCs/>
          <w:color w:val="auto"/>
          <w:sz w:val="32"/>
          <w:szCs w:val="32"/>
          <w:highlight w:val="none"/>
        </w:rPr>
      </w:pPr>
      <w:r>
        <w:rPr>
          <w:rFonts w:hint="eastAsia" w:ascii="宋体" w:hAnsi="宋体"/>
          <w:b/>
          <w:bCs/>
          <w:color w:val="auto"/>
          <w:sz w:val="32"/>
          <w:szCs w:val="32"/>
          <w:highlight w:val="none"/>
        </w:rPr>
        <w:t>13.①</w:t>
      </w:r>
      <w:r>
        <w:rPr>
          <w:rFonts w:hint="eastAsia" w:ascii="宋体" w:hAnsi="宋体"/>
          <w:b/>
          <w:bCs/>
          <w:color w:val="auto"/>
          <w:sz w:val="32"/>
          <w:szCs w:val="32"/>
          <w:highlight w:val="none"/>
          <w:lang w:val="en-US" w:eastAsia="zh-CN"/>
        </w:rPr>
        <w:t>如</w:t>
      </w:r>
      <w:r>
        <w:rPr>
          <w:rFonts w:hint="eastAsia" w:ascii="宋体" w:hAnsi="宋体"/>
          <w:b/>
          <w:bCs/>
          <w:color w:val="auto"/>
          <w:sz w:val="32"/>
          <w:szCs w:val="32"/>
          <w:highlight w:val="none"/>
        </w:rPr>
        <w:t>供应商提供的货物全部由符合政策要求的小型或者微型企业制造，即货物由小型或者微型企业生产且使用该小型或者微型企业商号或者注册商标的</w:t>
      </w:r>
      <w:r>
        <w:rPr>
          <w:rFonts w:hint="eastAsia" w:ascii="宋体" w:hAnsi="宋体"/>
          <w:b/>
          <w:bCs/>
          <w:color w:val="auto"/>
          <w:sz w:val="32"/>
          <w:szCs w:val="32"/>
          <w:highlight w:val="none"/>
          <w:lang w:eastAsia="zh-CN"/>
        </w:rPr>
        <w:t>，</w:t>
      </w:r>
      <w:r>
        <w:rPr>
          <w:rFonts w:hint="eastAsia" w:ascii="宋体" w:hAnsi="宋体"/>
          <w:b/>
          <w:bCs/>
          <w:color w:val="auto"/>
          <w:sz w:val="32"/>
          <w:szCs w:val="32"/>
          <w:highlight w:val="none"/>
        </w:rPr>
        <w:t>以提供小型、微型企业中小企业声明函为准，</w:t>
      </w:r>
      <w:r>
        <w:rPr>
          <w:rFonts w:hint="eastAsia" w:ascii="宋体" w:hAnsi="宋体"/>
          <w:b/>
          <w:bCs/>
          <w:color w:val="auto"/>
          <w:sz w:val="32"/>
          <w:szCs w:val="32"/>
          <w:highlight w:val="none"/>
          <w:lang w:eastAsia="zh-CN"/>
        </w:rPr>
        <w:t>采购人或者其委托的采购代理机构应当随中标结果同时公告企业《中小企业声明函》</w:t>
      </w:r>
      <w:r>
        <w:rPr>
          <w:rFonts w:hint="eastAsia" w:ascii="宋体" w:hAnsi="宋体"/>
          <w:b/>
          <w:bCs/>
          <w:color w:val="auto"/>
          <w:sz w:val="32"/>
          <w:szCs w:val="32"/>
          <w:highlight w:val="none"/>
        </w:rPr>
        <w:t>，接受社会监督。供应商应如实申明，如提供虚假申明应依法承担相应法律责任；②属于监狱企业的，应当提供由省级以上监狱管理局、戒毒管理局（含新疆生产建设兵团）出具的属于监狱企业的证明文件复印件, 否则不予享受优惠政策。）（如有，请提供）；</w:t>
      </w:r>
    </w:p>
    <w:p>
      <w:pPr>
        <w:pStyle w:val="12"/>
        <w:spacing w:line="360" w:lineRule="auto"/>
        <w:ind w:firstLine="472" w:firstLineChars="147"/>
        <w:rPr>
          <w:rFonts w:hAnsi="宋体" w:cs="宋体"/>
          <w:b/>
          <w:color w:val="auto"/>
          <w:sz w:val="32"/>
          <w:szCs w:val="32"/>
          <w:highlight w:val="none"/>
        </w:rPr>
      </w:pPr>
      <w:r>
        <w:rPr>
          <w:rFonts w:hint="eastAsia" w:hAnsi="宋体"/>
          <w:b/>
          <w:color w:val="auto"/>
          <w:sz w:val="32"/>
          <w:szCs w:val="32"/>
          <w:highlight w:val="none"/>
        </w:rPr>
        <w:t>附件：</w:t>
      </w:r>
    </w:p>
    <w:p>
      <w:pPr>
        <w:shd w:val="clear" w:color="auto" w:fill="FFFFFF"/>
        <w:spacing w:after="240" w:line="400" w:lineRule="exact"/>
        <w:ind w:firstLine="420"/>
        <w:jc w:val="center"/>
        <w:rPr>
          <w:rFonts w:ascii="宋体" w:hAnsi="宋体" w:cs="仿宋"/>
          <w:color w:val="auto"/>
          <w:kern w:val="0"/>
          <w:szCs w:val="21"/>
          <w:highlight w:val="none"/>
        </w:rPr>
      </w:pPr>
      <w:r>
        <w:rPr>
          <w:rFonts w:hint="eastAsia" w:ascii="宋体" w:hAnsi="宋体"/>
          <w:color w:val="auto"/>
          <w:kern w:val="0"/>
          <w:highlight w:val="none"/>
        </w:rPr>
        <w:t>中小企业声明函（格式）</w:t>
      </w:r>
    </w:p>
    <w:p>
      <w:pPr>
        <w:autoSpaceDE w:val="0"/>
        <w:autoSpaceDN w:val="0"/>
        <w:adjustRightInd w:val="0"/>
        <w:spacing w:line="400" w:lineRule="exact"/>
        <w:ind w:firstLine="424" w:firstLineChars="200"/>
        <w:jc w:val="left"/>
        <w:rPr>
          <w:rFonts w:ascii="宋体" w:hAnsi="宋体" w:cs="仿宋"/>
          <w:color w:val="auto"/>
          <w:kern w:val="0"/>
          <w:szCs w:val="21"/>
          <w:highlight w:val="none"/>
        </w:rPr>
      </w:pPr>
      <w:r>
        <w:rPr>
          <w:rFonts w:hint="eastAsia" w:ascii="宋体" w:hAnsi="宋体" w:cs="仿宋"/>
          <w:color w:val="auto"/>
          <w:kern w:val="0"/>
          <w:szCs w:val="21"/>
          <w:highlight w:val="none"/>
        </w:rPr>
        <w:t>本公司（联合体）郑重声明，根据《政府采购促进中小企业发展管理办法》（财库</w:t>
      </w:r>
      <w:r>
        <w:rPr>
          <w:rFonts w:hint="eastAsia" w:ascii="宋体" w:hAnsi="宋体" w:cs="宋体"/>
          <w:color w:val="auto"/>
          <w:kern w:val="0"/>
          <w:szCs w:val="21"/>
          <w:highlight w:val="none"/>
        </w:rPr>
        <w:t>﹝</w:t>
      </w:r>
      <w:r>
        <w:rPr>
          <w:rFonts w:ascii="宋体" w:hAnsi="宋体" w:cs="仿宋"/>
          <w:color w:val="auto"/>
          <w:kern w:val="0"/>
          <w:szCs w:val="21"/>
          <w:highlight w:val="none"/>
        </w:rPr>
        <w:t>2020</w:t>
      </w:r>
      <w:r>
        <w:rPr>
          <w:rFonts w:hint="eastAsia" w:ascii="宋体" w:hAnsi="宋体" w:cs="宋体"/>
          <w:color w:val="auto"/>
          <w:kern w:val="0"/>
          <w:szCs w:val="21"/>
          <w:highlight w:val="none"/>
        </w:rPr>
        <w:t>﹞</w:t>
      </w:r>
      <w:r>
        <w:rPr>
          <w:rFonts w:ascii="宋体" w:hAnsi="宋体" w:cs="仿宋"/>
          <w:color w:val="auto"/>
          <w:kern w:val="0"/>
          <w:szCs w:val="21"/>
          <w:highlight w:val="none"/>
        </w:rPr>
        <w:t xml:space="preserve">46 </w:t>
      </w:r>
      <w:r>
        <w:rPr>
          <w:rFonts w:hint="eastAsia" w:ascii="宋体" w:hAnsi="宋体" w:cs="仿宋"/>
          <w:color w:val="auto"/>
          <w:kern w:val="0"/>
          <w:szCs w:val="21"/>
          <w:highlight w:val="none"/>
        </w:rPr>
        <w:t>号）的规定，本公司（联合体）参加</w:t>
      </w:r>
      <w:r>
        <w:rPr>
          <w:rFonts w:hint="eastAsia" w:ascii="宋体" w:hAnsi="宋体" w:cs="仿宋"/>
          <w:color w:val="auto"/>
          <w:kern w:val="0"/>
          <w:szCs w:val="21"/>
          <w:highlight w:val="none"/>
          <w:u w:val="single"/>
        </w:rPr>
        <w:t xml:space="preserve">   （单位名称）    </w:t>
      </w:r>
      <w:r>
        <w:rPr>
          <w:rFonts w:hint="eastAsia" w:ascii="宋体" w:hAnsi="宋体" w:cs="仿宋"/>
          <w:color w:val="auto"/>
          <w:kern w:val="0"/>
          <w:szCs w:val="21"/>
          <w:highlight w:val="none"/>
        </w:rPr>
        <w:t>的</w:t>
      </w:r>
      <w:r>
        <w:rPr>
          <w:rFonts w:hint="eastAsia" w:ascii="宋体" w:hAnsi="宋体" w:cs="仿宋"/>
          <w:color w:val="auto"/>
          <w:kern w:val="0"/>
          <w:szCs w:val="21"/>
          <w:highlight w:val="none"/>
          <w:u w:val="single"/>
        </w:rPr>
        <w:t xml:space="preserve">    （项目名称）   </w:t>
      </w:r>
      <w:r>
        <w:rPr>
          <w:rFonts w:hint="eastAsia" w:ascii="宋体" w:hAnsi="宋体" w:cs="仿宋"/>
          <w:color w:val="auto"/>
          <w:kern w:val="0"/>
          <w:szCs w:val="21"/>
          <w:highlight w:val="none"/>
        </w:rPr>
        <w:t>采购活动，提供的货物全部由符合政策要求的中小企业制造。相关企业（含联合体中的中小企业、签订分包意向协议的中小企业）的具体情况如下：</w:t>
      </w:r>
    </w:p>
    <w:p>
      <w:pPr>
        <w:numPr>
          <w:ilvl w:val="0"/>
          <w:numId w:val="36"/>
        </w:numPr>
        <w:autoSpaceDE w:val="0"/>
        <w:autoSpaceDN w:val="0"/>
        <w:adjustRightInd w:val="0"/>
        <w:spacing w:line="400" w:lineRule="exact"/>
        <w:ind w:firstLine="424" w:firstLineChars="200"/>
        <w:jc w:val="left"/>
        <w:rPr>
          <w:rFonts w:hint="eastAsia" w:ascii="宋体" w:hAnsi="宋体" w:cs="仿宋"/>
          <w:color w:val="auto"/>
          <w:kern w:val="0"/>
          <w:szCs w:val="21"/>
          <w:highlight w:val="none"/>
        </w:rPr>
      </w:pPr>
      <w:r>
        <w:rPr>
          <w:rFonts w:ascii="宋体" w:hAnsi="宋体" w:cs="仿宋"/>
          <w:color w:val="auto"/>
          <w:kern w:val="0"/>
          <w:szCs w:val="21"/>
          <w:highlight w:val="none"/>
          <w:u w:val="single"/>
        </w:rPr>
        <w:t xml:space="preserve"> </w:t>
      </w:r>
      <w:r>
        <w:rPr>
          <w:rFonts w:hint="eastAsia" w:ascii="宋体" w:hAnsi="宋体" w:cs="仿宋"/>
          <w:color w:val="auto"/>
          <w:kern w:val="0"/>
          <w:szCs w:val="21"/>
          <w:highlight w:val="none"/>
          <w:u w:val="single"/>
        </w:rPr>
        <w:t xml:space="preserve">（项目名称） </w:t>
      </w:r>
      <w:r>
        <w:rPr>
          <w:rFonts w:ascii="宋体" w:hAnsi="宋体" w:cs="仿宋"/>
          <w:color w:val="auto"/>
          <w:kern w:val="0"/>
          <w:szCs w:val="21"/>
          <w:highlight w:val="none"/>
        </w:rPr>
        <w:t xml:space="preserve"> </w:t>
      </w:r>
      <w:r>
        <w:rPr>
          <w:rFonts w:hint="eastAsia" w:ascii="宋体" w:hAnsi="宋体" w:cs="仿宋"/>
          <w:color w:val="auto"/>
          <w:kern w:val="0"/>
          <w:szCs w:val="21"/>
          <w:highlight w:val="none"/>
        </w:rPr>
        <w:t>，属于</w:t>
      </w:r>
      <w:r>
        <w:rPr>
          <w:rFonts w:hint="eastAsia" w:ascii="宋体" w:hAnsi="宋体" w:cs="仿宋"/>
          <w:color w:val="auto"/>
          <w:kern w:val="0"/>
          <w:szCs w:val="21"/>
          <w:highlight w:val="none"/>
          <w:u w:val="single"/>
        </w:rPr>
        <w:t xml:space="preserve">  （采购文件中明确的所属行业）  </w:t>
      </w:r>
      <w:r>
        <w:rPr>
          <w:rFonts w:hint="eastAsia" w:ascii="宋体" w:hAnsi="宋体" w:cs="仿宋"/>
          <w:color w:val="auto"/>
          <w:kern w:val="0"/>
          <w:szCs w:val="21"/>
          <w:highlight w:val="none"/>
        </w:rPr>
        <w:t xml:space="preserve">行业；制造商为 </w:t>
      </w:r>
      <w:r>
        <w:rPr>
          <w:rFonts w:hint="eastAsia" w:ascii="宋体" w:hAnsi="宋体" w:cs="仿宋"/>
          <w:color w:val="auto"/>
          <w:kern w:val="0"/>
          <w:szCs w:val="21"/>
          <w:highlight w:val="none"/>
          <w:u w:val="single"/>
        </w:rPr>
        <w:t xml:space="preserve">（企业名称  </w:t>
      </w:r>
      <w:r>
        <w:rPr>
          <w:rFonts w:hint="eastAsia" w:ascii="宋体" w:hAnsi="宋体" w:cs="仿宋"/>
          <w:color w:val="auto"/>
          <w:kern w:val="0"/>
          <w:szCs w:val="21"/>
          <w:highlight w:val="none"/>
        </w:rPr>
        <w:t>），从业人员</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人，营业收入为</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万元，资产总额为</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万元，属于</w:t>
      </w:r>
      <w:r>
        <w:rPr>
          <w:rFonts w:hint="eastAsia" w:ascii="宋体" w:hAnsi="宋体" w:cs="仿宋"/>
          <w:color w:val="auto"/>
          <w:kern w:val="0"/>
          <w:szCs w:val="21"/>
          <w:highlight w:val="none"/>
          <w:u w:val="single"/>
        </w:rPr>
        <w:t>（中型企业、小型企业、微型企业）</w:t>
      </w:r>
      <w:r>
        <w:rPr>
          <w:rFonts w:hint="eastAsia" w:ascii="宋体" w:hAnsi="宋体" w:cs="仿宋"/>
          <w:color w:val="auto"/>
          <w:kern w:val="0"/>
          <w:szCs w:val="21"/>
          <w:highlight w:val="none"/>
        </w:rPr>
        <w:t>；</w:t>
      </w:r>
    </w:p>
    <w:p>
      <w:pPr>
        <w:autoSpaceDE w:val="0"/>
        <w:autoSpaceDN w:val="0"/>
        <w:adjustRightInd w:val="0"/>
        <w:spacing w:line="400" w:lineRule="exact"/>
        <w:ind w:firstLine="424" w:firstLineChars="200"/>
        <w:jc w:val="left"/>
        <w:rPr>
          <w:rFonts w:ascii="宋体" w:hAnsi="宋体" w:cs="仿宋"/>
          <w:color w:val="auto"/>
          <w:kern w:val="0"/>
          <w:szCs w:val="21"/>
          <w:highlight w:val="none"/>
        </w:rPr>
      </w:pPr>
      <w:r>
        <w:rPr>
          <w:rFonts w:hint="eastAsia" w:ascii="宋体" w:hAnsi="宋体" w:cs="仿宋"/>
          <w:color w:val="auto"/>
          <w:kern w:val="0"/>
          <w:szCs w:val="21"/>
          <w:highlight w:val="none"/>
          <w:lang w:val="en-US" w:eastAsia="zh-CN"/>
        </w:rPr>
        <w:t>2</w:t>
      </w:r>
      <w:r>
        <w:rPr>
          <w:rFonts w:ascii="宋体" w:hAnsi="宋体" w:cs="仿宋"/>
          <w:color w:val="auto"/>
          <w:kern w:val="0"/>
          <w:szCs w:val="21"/>
          <w:highlight w:val="none"/>
        </w:rPr>
        <w:t>.</w:t>
      </w:r>
      <w:r>
        <w:rPr>
          <w:rFonts w:hint="eastAsia" w:ascii="宋体" w:hAnsi="宋体" w:cs="仿宋"/>
          <w:color w:val="auto"/>
          <w:kern w:val="0"/>
          <w:szCs w:val="21"/>
          <w:highlight w:val="none"/>
        </w:rPr>
        <w:t xml:space="preserve"> </w:t>
      </w:r>
      <w:r>
        <w:rPr>
          <w:rFonts w:ascii="宋体" w:hAnsi="宋体" w:cs="仿宋"/>
          <w:color w:val="auto"/>
          <w:kern w:val="0"/>
          <w:szCs w:val="21"/>
          <w:highlight w:val="none"/>
          <w:u w:val="single"/>
        </w:rPr>
        <w:t xml:space="preserve"> </w:t>
      </w:r>
      <w:r>
        <w:rPr>
          <w:rFonts w:hint="eastAsia" w:ascii="宋体" w:hAnsi="宋体" w:cs="仿宋"/>
          <w:color w:val="auto"/>
          <w:kern w:val="0"/>
          <w:szCs w:val="21"/>
          <w:highlight w:val="none"/>
          <w:u w:val="single"/>
        </w:rPr>
        <w:t xml:space="preserve">（项目名称） </w:t>
      </w:r>
      <w:r>
        <w:rPr>
          <w:rFonts w:ascii="宋体" w:hAnsi="宋体" w:cs="仿宋"/>
          <w:color w:val="auto"/>
          <w:kern w:val="0"/>
          <w:szCs w:val="21"/>
          <w:highlight w:val="none"/>
        </w:rPr>
        <w:t xml:space="preserve"> </w:t>
      </w:r>
      <w:r>
        <w:rPr>
          <w:rFonts w:hint="eastAsia" w:ascii="宋体" w:hAnsi="宋体" w:cs="仿宋"/>
          <w:color w:val="auto"/>
          <w:kern w:val="0"/>
          <w:szCs w:val="21"/>
          <w:highlight w:val="none"/>
        </w:rPr>
        <w:t>，属于</w:t>
      </w:r>
      <w:r>
        <w:rPr>
          <w:rFonts w:hint="eastAsia" w:ascii="宋体" w:hAnsi="宋体" w:cs="仿宋"/>
          <w:color w:val="auto"/>
          <w:kern w:val="0"/>
          <w:szCs w:val="21"/>
          <w:highlight w:val="none"/>
          <w:u w:val="single"/>
        </w:rPr>
        <w:t xml:space="preserve">  （采购文件中明确的所属行业）  </w:t>
      </w:r>
      <w:r>
        <w:rPr>
          <w:rFonts w:hint="eastAsia" w:ascii="宋体" w:hAnsi="宋体" w:cs="仿宋"/>
          <w:color w:val="auto"/>
          <w:kern w:val="0"/>
          <w:szCs w:val="21"/>
          <w:highlight w:val="none"/>
        </w:rPr>
        <w:t xml:space="preserve">行业；制造商为 </w:t>
      </w:r>
      <w:r>
        <w:rPr>
          <w:rFonts w:hint="eastAsia" w:ascii="宋体" w:hAnsi="宋体" w:cs="仿宋"/>
          <w:color w:val="auto"/>
          <w:kern w:val="0"/>
          <w:szCs w:val="21"/>
          <w:highlight w:val="none"/>
          <w:u w:val="single"/>
        </w:rPr>
        <w:t xml:space="preserve">（企业名称  </w:t>
      </w:r>
      <w:r>
        <w:rPr>
          <w:rFonts w:hint="eastAsia" w:ascii="宋体" w:hAnsi="宋体" w:cs="仿宋"/>
          <w:color w:val="auto"/>
          <w:kern w:val="0"/>
          <w:szCs w:val="21"/>
          <w:highlight w:val="none"/>
        </w:rPr>
        <w:t>），从业人员</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人，营业收入为</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万元，资产总额为</w:t>
      </w:r>
      <w:r>
        <w:rPr>
          <w:rFonts w:hint="eastAsia" w:ascii="宋体" w:hAnsi="宋体" w:cs="仿宋"/>
          <w:color w:val="auto"/>
          <w:kern w:val="0"/>
          <w:szCs w:val="21"/>
          <w:highlight w:val="none"/>
          <w:u w:val="single"/>
        </w:rPr>
        <w:t xml:space="preserve">         </w:t>
      </w:r>
      <w:r>
        <w:rPr>
          <w:rFonts w:hint="eastAsia" w:ascii="宋体" w:hAnsi="宋体" w:cs="仿宋"/>
          <w:color w:val="auto"/>
          <w:kern w:val="0"/>
          <w:szCs w:val="21"/>
          <w:highlight w:val="none"/>
        </w:rPr>
        <w:t>万元，属于</w:t>
      </w:r>
      <w:r>
        <w:rPr>
          <w:rFonts w:hint="eastAsia" w:ascii="宋体" w:hAnsi="宋体" w:cs="仿宋"/>
          <w:color w:val="auto"/>
          <w:kern w:val="0"/>
          <w:szCs w:val="21"/>
          <w:highlight w:val="none"/>
          <w:u w:val="single"/>
        </w:rPr>
        <w:t>（中型企业、小型企业、微型企业）</w:t>
      </w:r>
      <w:r>
        <w:rPr>
          <w:rFonts w:hint="eastAsia" w:ascii="宋体" w:hAnsi="宋体" w:cs="仿宋"/>
          <w:color w:val="auto"/>
          <w:kern w:val="0"/>
          <w:szCs w:val="21"/>
          <w:highlight w:val="none"/>
        </w:rPr>
        <w:t>；</w:t>
      </w:r>
    </w:p>
    <w:p>
      <w:pPr>
        <w:pStyle w:val="2"/>
        <w:numPr>
          <w:ilvl w:val="0"/>
          <w:numId w:val="0"/>
        </w:numPr>
        <w:rPr>
          <w:rFonts w:hint="eastAsia"/>
          <w:color w:val="auto"/>
          <w:highlight w:val="none"/>
          <w:lang w:eastAsia="zh-CN"/>
        </w:rPr>
      </w:pPr>
    </w:p>
    <w:p>
      <w:pPr>
        <w:pStyle w:val="2"/>
        <w:numPr>
          <w:ilvl w:val="0"/>
          <w:numId w:val="0"/>
        </w:numPr>
        <w:ind w:firstLine="348" w:firstLineChars="200"/>
        <w:rPr>
          <w:rFonts w:hint="default" w:eastAsia="宋体"/>
          <w:color w:val="auto"/>
          <w:highlight w:val="none"/>
          <w:lang w:val="en-US" w:eastAsia="zh-CN"/>
        </w:rPr>
      </w:pPr>
      <w:r>
        <w:rPr>
          <w:rFonts w:hint="eastAsia"/>
          <w:color w:val="auto"/>
          <w:highlight w:val="none"/>
          <w:lang w:val="en-US" w:eastAsia="zh-CN"/>
        </w:rPr>
        <w:t>.....</w:t>
      </w:r>
    </w:p>
    <w:p>
      <w:pPr>
        <w:autoSpaceDE w:val="0"/>
        <w:autoSpaceDN w:val="0"/>
        <w:adjustRightInd w:val="0"/>
        <w:spacing w:line="400" w:lineRule="exact"/>
        <w:ind w:firstLine="424" w:firstLineChars="200"/>
        <w:jc w:val="left"/>
        <w:rPr>
          <w:rFonts w:ascii="宋体" w:hAnsi="宋体" w:cs="仿宋"/>
          <w:color w:val="auto"/>
          <w:kern w:val="0"/>
          <w:szCs w:val="21"/>
          <w:highlight w:val="none"/>
        </w:rPr>
      </w:pPr>
      <w:r>
        <w:rPr>
          <w:rFonts w:hint="eastAsia" w:ascii="宋体" w:hAnsi="宋体" w:cs="仿宋"/>
          <w:color w:val="auto"/>
          <w:kern w:val="0"/>
          <w:szCs w:val="21"/>
          <w:highlight w:val="none"/>
        </w:rPr>
        <w:t>以上企业，不属于大企业的分支机构，不存在控股股东为大企业的情形，也不存在与大企业的负责人为同一人的情形。</w:t>
      </w:r>
    </w:p>
    <w:p>
      <w:pPr>
        <w:autoSpaceDE w:val="0"/>
        <w:autoSpaceDN w:val="0"/>
        <w:adjustRightInd w:val="0"/>
        <w:spacing w:line="400" w:lineRule="exact"/>
        <w:ind w:firstLine="424" w:firstLineChars="200"/>
        <w:jc w:val="left"/>
        <w:rPr>
          <w:rFonts w:ascii="宋体" w:hAnsi="宋体" w:cs="仿宋"/>
          <w:color w:val="auto"/>
          <w:kern w:val="0"/>
          <w:szCs w:val="21"/>
          <w:highlight w:val="none"/>
        </w:rPr>
      </w:pPr>
      <w:r>
        <w:rPr>
          <w:rFonts w:hint="eastAsia" w:ascii="宋体" w:hAnsi="宋体" w:cs="仿宋"/>
          <w:color w:val="auto"/>
          <w:kern w:val="0"/>
          <w:szCs w:val="21"/>
          <w:highlight w:val="none"/>
        </w:rPr>
        <w:t>本企业对上述声明内容的真实性负责。如有虚假，将依法承担相应责任。</w:t>
      </w:r>
    </w:p>
    <w:p>
      <w:pPr>
        <w:autoSpaceDE w:val="0"/>
        <w:autoSpaceDN w:val="0"/>
        <w:adjustRightInd w:val="0"/>
        <w:spacing w:line="400" w:lineRule="exact"/>
        <w:ind w:firstLine="3816" w:firstLineChars="1800"/>
        <w:jc w:val="left"/>
        <w:rPr>
          <w:rFonts w:ascii="宋体" w:hAnsi="宋体" w:cs="仿宋"/>
          <w:color w:val="auto"/>
          <w:kern w:val="0"/>
          <w:szCs w:val="21"/>
          <w:highlight w:val="none"/>
        </w:rPr>
      </w:pPr>
    </w:p>
    <w:p>
      <w:pPr>
        <w:autoSpaceDE w:val="0"/>
        <w:autoSpaceDN w:val="0"/>
        <w:adjustRightInd w:val="0"/>
        <w:spacing w:line="400" w:lineRule="exact"/>
        <w:ind w:firstLine="3816" w:firstLineChars="1800"/>
        <w:jc w:val="left"/>
        <w:rPr>
          <w:rFonts w:ascii="宋体" w:hAnsi="宋体" w:cs="仿宋"/>
          <w:color w:val="auto"/>
          <w:kern w:val="0"/>
          <w:szCs w:val="21"/>
          <w:highlight w:val="none"/>
        </w:rPr>
      </w:pPr>
      <w:r>
        <w:rPr>
          <w:rFonts w:hint="eastAsia" w:ascii="宋体" w:hAnsi="宋体" w:cs="仿宋"/>
          <w:color w:val="auto"/>
          <w:kern w:val="0"/>
          <w:szCs w:val="21"/>
          <w:highlight w:val="none"/>
        </w:rPr>
        <w:t>企业名称（盖章）：</w:t>
      </w:r>
    </w:p>
    <w:p>
      <w:pPr>
        <w:spacing w:line="400" w:lineRule="exact"/>
        <w:ind w:firstLine="3816" w:firstLineChars="1800"/>
        <w:rPr>
          <w:rFonts w:ascii="宋体" w:hAnsi="宋体"/>
          <w:color w:val="auto"/>
          <w:kern w:val="0"/>
          <w:highlight w:val="none"/>
        </w:rPr>
      </w:pPr>
      <w:r>
        <w:rPr>
          <w:rFonts w:hint="eastAsia" w:ascii="宋体" w:hAnsi="宋体" w:cs="仿宋"/>
          <w:color w:val="auto"/>
          <w:kern w:val="0"/>
          <w:szCs w:val="21"/>
          <w:highlight w:val="none"/>
        </w:rPr>
        <w:t>日期：</w:t>
      </w:r>
      <w:r>
        <w:rPr>
          <w:rFonts w:hint="eastAsia" w:ascii="宋体" w:hAnsi="宋体"/>
          <w:color w:val="auto"/>
          <w:kern w:val="0"/>
          <w:highlight w:val="none"/>
        </w:rPr>
        <w:t>　　　　　　　　　　　　　　　　　　　　　　</w:t>
      </w:r>
    </w:p>
    <w:p>
      <w:pPr>
        <w:pStyle w:val="12"/>
        <w:ind w:firstLine="420"/>
        <w:rPr>
          <w:rFonts w:hAnsi="宋体" w:cs="宋体"/>
          <w:color w:val="auto"/>
          <w:szCs w:val="21"/>
          <w:highlight w:val="none"/>
        </w:rPr>
      </w:pPr>
    </w:p>
    <w:p>
      <w:pPr>
        <w:pStyle w:val="12"/>
        <w:rPr>
          <w:rFonts w:hAnsi="宋体" w:cs="宋体"/>
          <w:color w:val="auto"/>
          <w:szCs w:val="21"/>
          <w:highlight w:val="none"/>
        </w:rPr>
      </w:pPr>
    </w:p>
    <w:p>
      <w:pPr>
        <w:pStyle w:val="12"/>
        <w:ind w:firstLine="420"/>
        <w:rPr>
          <w:rFonts w:hint="eastAsia"/>
          <w:color w:val="auto"/>
          <w:highlight w:val="none"/>
        </w:rPr>
      </w:pPr>
      <w:r>
        <w:rPr>
          <w:rFonts w:hint="eastAsia" w:hAnsi="宋体" w:cs="宋体"/>
          <w:color w:val="auto"/>
          <w:szCs w:val="21"/>
          <w:highlight w:val="none"/>
        </w:rPr>
        <w:t>备注：</w:t>
      </w:r>
      <w:r>
        <w:rPr>
          <w:rFonts w:hint="eastAsia" w:hAnsi="宋体" w:cs="宋体"/>
          <w:b/>
          <w:color w:val="auto"/>
          <w:szCs w:val="21"/>
          <w:highlight w:val="none"/>
        </w:rPr>
        <w:t>中小企业在政府采购活动过程中，请根据自己的真实情况出具本声明函。依法享受中小企业优惠政策的，采购人或采购代理机构在公告成交结果时，同时公告其《中小企业声明函》，接受社会监督。</w:t>
      </w:r>
      <w:r>
        <w:rPr>
          <w:rFonts w:hint="eastAsia" w:hAnsi="宋体"/>
          <w:color w:val="auto"/>
          <w:kern w:val="0"/>
          <w:highlight w:val="none"/>
          <w:u w:val="single"/>
        </w:rPr>
        <w:t xml:space="preserve">          </w:t>
      </w:r>
    </w:p>
    <w:p>
      <w:pPr>
        <w:spacing w:line="400" w:lineRule="exact"/>
        <w:rPr>
          <w:color w:val="auto"/>
          <w:highlight w:val="none"/>
        </w:rPr>
      </w:pPr>
      <w:r>
        <w:rPr>
          <w:rFonts w:hint="eastAsia"/>
          <w:color w:val="auto"/>
          <w:highlight w:val="none"/>
        </w:rPr>
        <w:t>附：大型、中型和小型、微型企业划型标准</w:t>
      </w:r>
    </w:p>
    <w:tbl>
      <w:tblPr>
        <w:tblStyle w:val="21"/>
        <w:tblW w:w="8500" w:type="dxa"/>
        <w:tblInd w:w="93" w:type="dxa"/>
        <w:tblLayout w:type="autofit"/>
        <w:tblCellMar>
          <w:top w:w="0" w:type="dxa"/>
          <w:left w:w="108" w:type="dxa"/>
          <w:bottom w:w="0" w:type="dxa"/>
          <w:right w:w="108" w:type="dxa"/>
        </w:tblCellMar>
      </w:tblPr>
      <w:tblGrid>
        <w:gridCol w:w="1180"/>
        <w:gridCol w:w="1188"/>
        <w:gridCol w:w="900"/>
        <w:gridCol w:w="1400"/>
        <w:gridCol w:w="1536"/>
        <w:gridCol w:w="1296"/>
        <w:gridCol w:w="1000"/>
      </w:tblGrid>
      <w:tr>
        <w:trPr>
          <w:trHeight w:val="851" w:hRule="atLeast"/>
        </w:trPr>
        <w:tc>
          <w:tcPr>
            <w:tcW w:w="8500" w:type="dxa"/>
            <w:gridSpan w:val="7"/>
            <w:tcBorders>
              <w:top w:val="nil"/>
              <w:left w:val="nil"/>
              <w:bottom w:val="single" w:color="auto" w:sz="4" w:space="0"/>
              <w:right w:val="nil"/>
            </w:tcBorders>
            <w:noWrap/>
            <w:vAlign w:val="bottom"/>
          </w:tcPr>
          <w:p>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ascii="仿宋" w:hAnsi="仿宋" w:eastAsia="仿宋" w:cs="宋体"/>
                <w:b/>
                <w:bCs/>
                <w:color w:val="auto"/>
                <w:kern w:val="0"/>
                <w:sz w:val="32"/>
                <w:szCs w:val="32"/>
                <w:highlight w:val="none"/>
              </w:rPr>
            </w:pPr>
            <w:r>
              <w:rPr>
                <w:rFonts w:hint="eastAsia" w:ascii="仿宋" w:hAnsi="仿宋" w:eastAsia="仿宋" w:cs="宋体"/>
                <w:b/>
                <w:bCs/>
                <w:color w:val="auto"/>
                <w:kern w:val="0"/>
                <w:sz w:val="32"/>
                <w:szCs w:val="32"/>
                <w:highlight w:val="none"/>
              </w:rPr>
              <w:t>大型、中型和小型、微型企业划型标准</w:t>
            </w:r>
          </w:p>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Arial"/>
                <w:b/>
                <w:bCs/>
                <w:color w:val="auto"/>
                <w:kern w:val="0"/>
                <w:sz w:val="24"/>
                <w:highlight w:val="none"/>
              </w:rPr>
              <w:t>根据(工信部联企业</w:t>
            </w:r>
            <w:r>
              <w:rPr>
                <w:rFonts w:ascii="仿宋" w:hAnsi="仿宋" w:eastAsia="仿宋" w:cs="Arial"/>
                <w:b/>
                <w:bCs/>
                <w:color w:val="auto"/>
                <w:kern w:val="0"/>
                <w:sz w:val="24"/>
                <w:highlight w:val="none"/>
              </w:rPr>
              <w:t>[2011]300</w:t>
            </w:r>
            <w:r>
              <w:rPr>
                <w:rFonts w:hint="eastAsia" w:ascii="仿宋" w:hAnsi="仿宋" w:eastAsia="仿宋" w:cs="Arial"/>
                <w:b/>
                <w:bCs/>
                <w:color w:val="auto"/>
                <w:kern w:val="0"/>
                <w:sz w:val="24"/>
                <w:highlight w:val="none"/>
              </w:rPr>
              <w:t>号)文</w:t>
            </w:r>
          </w:p>
        </w:tc>
      </w:tr>
      <w:tr>
        <w:trPr>
          <w:trHeight w:val="439" w:hRule="atLeast"/>
        </w:trPr>
        <w:tc>
          <w:tcPr>
            <w:tcW w:w="1180" w:type="dxa"/>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行业名称</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指标名称</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单位</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大型</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 xml:space="preserve">中型 </w:t>
            </w:r>
          </w:p>
        </w:tc>
        <w:tc>
          <w:tcPr>
            <w:tcW w:w="124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 xml:space="preserve">小型 </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b/>
                <w:bCs/>
                <w:color w:val="auto"/>
                <w:kern w:val="0"/>
                <w:sz w:val="24"/>
                <w:highlight w:val="none"/>
              </w:rPr>
            </w:pPr>
            <w:r>
              <w:rPr>
                <w:rFonts w:hint="eastAsia" w:ascii="仿宋" w:hAnsi="仿宋" w:eastAsia="仿宋" w:cs="宋体"/>
                <w:b/>
                <w:bCs/>
                <w:color w:val="auto"/>
                <w:kern w:val="0"/>
                <w:sz w:val="24"/>
                <w:highlight w:val="none"/>
              </w:rPr>
              <w:t>微型</w:t>
            </w:r>
          </w:p>
        </w:tc>
      </w:tr>
      <w:tr>
        <w:tblPrEx>
          <w:tblCellMar>
            <w:top w:w="0" w:type="dxa"/>
            <w:left w:w="108" w:type="dxa"/>
            <w:bottom w:w="0" w:type="dxa"/>
            <w:right w:w="108" w:type="dxa"/>
          </w:tblCellMar>
        </w:tblPrEx>
        <w:trPr>
          <w:trHeight w:val="439" w:hRule="atLeast"/>
        </w:trPr>
        <w:tc>
          <w:tcPr>
            <w:tcW w:w="1180" w:type="dxa"/>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农林牧渔</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500-20000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50-500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工业</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300-1000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20-300</w:t>
            </w:r>
          </w:p>
        </w:tc>
        <w:tc>
          <w:tcPr>
            <w:tcW w:w="10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w:t>
            </w:r>
          </w:p>
        </w:tc>
      </w:tr>
      <w:tr>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2000-40000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300-2000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建筑业</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≥80000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6000-80000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300-6000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资产总额</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≥80000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5000-80000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300-5000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批发业</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20-200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5-20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5000-40000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1000-5000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零售业</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50-300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10-50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500-20000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100-500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交通运输</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300-1000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20-300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3000-30000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200-3000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仓储</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100-200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1000-30000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100-1000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邮政业</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300- 1000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20-300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2000-30000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100-2000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住宿餐饮</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100-300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2000-10000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100-2000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43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房地产</w:t>
            </w:r>
            <w:r>
              <w:rPr>
                <w:rFonts w:hint="eastAsia" w:ascii="仿宋" w:hAnsi="仿宋" w:eastAsia="仿宋" w:cs="宋体"/>
                <w:color w:val="auto"/>
                <w:kern w:val="0"/>
                <w:sz w:val="24"/>
                <w:highlight w:val="none"/>
              </w:rPr>
              <w:br w:type="textWrapping"/>
            </w:r>
            <w:r>
              <w:rPr>
                <w:rFonts w:hint="eastAsia" w:ascii="仿宋" w:hAnsi="仿宋" w:eastAsia="仿宋" w:cs="宋体"/>
                <w:color w:val="auto"/>
                <w:kern w:val="0"/>
                <w:sz w:val="24"/>
                <w:highlight w:val="none"/>
              </w:rPr>
              <w:t>开发经营</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资产总额</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5000-10000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2000&lt;5000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1000-200000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100&lt;10000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28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物业管理</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300-1000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100-300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1000-5000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500- 1000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＜500</w:t>
            </w:r>
          </w:p>
        </w:tc>
      </w:tr>
      <w:tr>
        <w:tblPrEx>
          <w:tblCellMar>
            <w:top w:w="0" w:type="dxa"/>
            <w:left w:w="108" w:type="dxa"/>
            <w:bottom w:w="0" w:type="dxa"/>
            <w:right w:w="108" w:type="dxa"/>
          </w:tblCellMar>
        </w:tblPrEx>
        <w:trPr>
          <w:trHeight w:val="28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信息传输</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100-200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1000-100000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100-1000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349"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软件和</w:t>
            </w:r>
            <w:r>
              <w:rPr>
                <w:rFonts w:hint="eastAsia" w:ascii="仿宋" w:hAnsi="仿宋" w:eastAsia="仿宋" w:cs="宋体"/>
                <w:color w:val="auto"/>
                <w:kern w:val="0"/>
                <w:sz w:val="24"/>
                <w:highlight w:val="none"/>
              </w:rPr>
              <w:br w:type="textWrapping"/>
            </w:r>
            <w:r>
              <w:rPr>
                <w:rFonts w:hint="eastAsia" w:ascii="仿宋" w:hAnsi="仿宋" w:eastAsia="仿宋" w:cs="宋体"/>
                <w:color w:val="auto"/>
                <w:kern w:val="0"/>
                <w:sz w:val="24"/>
                <w:highlight w:val="none"/>
              </w:rPr>
              <w:t>信息技术</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100-300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营业收入</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1000-10000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50-1000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＜50</w:t>
            </w:r>
          </w:p>
        </w:tc>
      </w:tr>
      <w:tr>
        <w:tblPrEx>
          <w:tblCellMar>
            <w:top w:w="0" w:type="dxa"/>
            <w:left w:w="108" w:type="dxa"/>
            <w:bottom w:w="0" w:type="dxa"/>
            <w:right w:w="108" w:type="dxa"/>
          </w:tblCellMar>
        </w:tblPrEx>
        <w:trPr>
          <w:trHeight w:val="330" w:hRule="atLeast"/>
        </w:trPr>
        <w:tc>
          <w:tcPr>
            <w:tcW w:w="1180" w:type="dxa"/>
            <w:vMerge w:val="restart"/>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租赁和</w:t>
            </w:r>
            <w:r>
              <w:rPr>
                <w:rFonts w:hint="eastAsia" w:ascii="仿宋" w:hAnsi="仿宋" w:eastAsia="仿宋" w:cs="宋体"/>
                <w:color w:val="auto"/>
                <w:kern w:val="0"/>
                <w:sz w:val="24"/>
                <w:highlight w:val="none"/>
              </w:rPr>
              <w:br w:type="textWrapping"/>
            </w:r>
            <w:r>
              <w:rPr>
                <w:rFonts w:hint="eastAsia" w:ascii="仿宋" w:hAnsi="仿宋" w:eastAsia="仿宋" w:cs="宋体"/>
                <w:color w:val="auto"/>
                <w:kern w:val="0"/>
                <w:sz w:val="24"/>
                <w:highlight w:val="none"/>
              </w:rPr>
              <w:t>商务服务</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100-300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blPrEx>
          <w:tblCellMar>
            <w:top w:w="0" w:type="dxa"/>
            <w:left w:w="108" w:type="dxa"/>
            <w:bottom w:w="0" w:type="dxa"/>
            <w:right w:w="108" w:type="dxa"/>
          </w:tblCellMar>
        </w:tblPrEx>
        <w:trPr>
          <w:trHeight w:val="439" w:hRule="atLeast"/>
        </w:trPr>
        <w:tc>
          <w:tcPr>
            <w:tcW w:w="1180" w:type="dxa"/>
            <w:vMerge w:val="continue"/>
            <w:tcBorders>
              <w:top w:val="nil"/>
              <w:left w:val="single" w:color="auto" w:sz="4" w:space="0"/>
              <w:bottom w:val="single" w:color="auto" w:sz="4" w:space="0"/>
              <w:right w:val="single" w:color="auto" w:sz="4" w:space="0"/>
            </w:tcBorders>
            <w:vAlign w:val="center"/>
          </w:tcPr>
          <w:p>
            <w:pPr>
              <w:widowControl/>
              <w:spacing w:line="250" w:lineRule="exact"/>
              <w:jc w:val="left"/>
              <w:rPr>
                <w:rFonts w:ascii="仿宋" w:hAnsi="仿宋" w:eastAsia="仿宋" w:cs="宋体"/>
                <w:color w:val="auto"/>
                <w:kern w:val="0"/>
                <w:sz w:val="24"/>
                <w:highlight w:val="none"/>
              </w:rPr>
            </w:pP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资产总额</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万元</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≥120000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8000-120000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100-8000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w:t>
            </w:r>
          </w:p>
        </w:tc>
      </w:tr>
      <w:tr>
        <w:tblPrEx>
          <w:tblCellMar>
            <w:top w:w="0" w:type="dxa"/>
            <w:left w:w="108" w:type="dxa"/>
            <w:bottom w:w="0" w:type="dxa"/>
            <w:right w:w="108" w:type="dxa"/>
          </w:tblCellMar>
        </w:tblPrEx>
        <w:trPr>
          <w:trHeight w:val="349" w:hRule="atLeast"/>
        </w:trPr>
        <w:tc>
          <w:tcPr>
            <w:tcW w:w="1180" w:type="dxa"/>
            <w:tcBorders>
              <w:top w:val="nil"/>
              <w:left w:val="single" w:color="auto" w:sz="4" w:space="0"/>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其他</w:t>
            </w:r>
          </w:p>
        </w:tc>
        <w:tc>
          <w:tcPr>
            <w:tcW w:w="132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从业人员</w:t>
            </w:r>
          </w:p>
        </w:tc>
        <w:tc>
          <w:tcPr>
            <w:tcW w:w="9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人</w:t>
            </w:r>
          </w:p>
        </w:tc>
        <w:tc>
          <w:tcPr>
            <w:tcW w:w="140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≥300</w:t>
            </w:r>
          </w:p>
        </w:tc>
        <w:tc>
          <w:tcPr>
            <w:tcW w:w="146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100-300</w:t>
            </w:r>
          </w:p>
        </w:tc>
        <w:tc>
          <w:tcPr>
            <w:tcW w:w="1240" w:type="dxa"/>
            <w:tcBorders>
              <w:top w:val="nil"/>
              <w:left w:val="nil"/>
              <w:bottom w:val="single" w:color="auto" w:sz="4" w:space="0"/>
              <w:right w:val="single" w:color="auto" w:sz="4" w:space="0"/>
            </w:tcBorders>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10-100</w:t>
            </w:r>
          </w:p>
        </w:tc>
        <w:tc>
          <w:tcPr>
            <w:tcW w:w="1000" w:type="dxa"/>
            <w:tcBorders>
              <w:top w:val="nil"/>
              <w:left w:val="nil"/>
              <w:bottom w:val="single" w:color="auto" w:sz="4" w:space="0"/>
              <w:right w:val="single" w:color="auto" w:sz="4" w:space="0"/>
            </w:tcBorders>
            <w:noWrap/>
            <w:vAlign w:val="center"/>
          </w:tcPr>
          <w:p>
            <w:pPr>
              <w:widowControl/>
              <w:spacing w:line="250" w:lineRule="exact"/>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＜10</w:t>
            </w:r>
          </w:p>
        </w:tc>
      </w:tr>
      <w:tr>
        <w:tblPrEx>
          <w:tblCellMar>
            <w:top w:w="0" w:type="dxa"/>
            <w:left w:w="108" w:type="dxa"/>
            <w:bottom w:w="0" w:type="dxa"/>
            <w:right w:w="108" w:type="dxa"/>
          </w:tblCellMar>
        </w:tblPrEx>
        <w:trPr>
          <w:trHeight w:val="285" w:hRule="atLeast"/>
        </w:trPr>
        <w:tc>
          <w:tcPr>
            <w:tcW w:w="8500" w:type="dxa"/>
            <w:gridSpan w:val="7"/>
            <w:tcBorders>
              <w:top w:val="single" w:color="auto" w:sz="4" w:space="0"/>
              <w:left w:val="nil"/>
              <w:bottom w:val="nil"/>
              <w:right w:val="nil"/>
            </w:tcBorders>
            <w:noWrap/>
            <w:vAlign w:val="bottom"/>
          </w:tcPr>
          <w:p>
            <w:pPr>
              <w:widowControl/>
              <w:shd w:val="clear" w:color="auto" w:fill="FFFFFF"/>
              <w:spacing w:line="250" w:lineRule="exact"/>
              <w:jc w:val="left"/>
              <w:rPr>
                <w:rFonts w:ascii="仿宋" w:hAnsi="仿宋" w:eastAsia="仿宋" w:cs="Arial"/>
                <w:color w:val="auto"/>
                <w:kern w:val="0"/>
                <w:sz w:val="24"/>
                <w:highlight w:val="none"/>
              </w:rPr>
            </w:pPr>
            <w:r>
              <w:rPr>
                <w:rFonts w:hint="eastAsia" w:ascii="仿宋" w:hAnsi="仿宋" w:eastAsia="仿宋" w:cs="宋体"/>
                <w:b/>
                <w:color w:val="auto"/>
                <w:kern w:val="0"/>
                <w:sz w:val="24"/>
                <w:highlight w:val="none"/>
              </w:rPr>
              <w:t>说明：</w:t>
            </w:r>
            <w:r>
              <w:rPr>
                <w:rFonts w:hint="eastAsia" w:ascii="仿宋" w:hAnsi="仿宋" w:eastAsia="仿宋" w:cs="Arial"/>
                <w:b/>
                <w:bCs/>
                <w:color w:val="auto"/>
                <w:kern w:val="0"/>
                <w:sz w:val="24"/>
                <w:highlight w:val="none"/>
              </w:rPr>
              <w:t>中、小、微型企业只须满足所列指标中的一项，即为该型企业</w:t>
            </w:r>
          </w:p>
        </w:tc>
      </w:tr>
    </w:tbl>
    <w:p>
      <w:pPr>
        <w:spacing w:line="360" w:lineRule="auto"/>
        <w:rPr>
          <w:rFonts w:ascii="宋体" w:hAnsi="宋体"/>
          <w:b/>
          <w:bCs/>
          <w:color w:val="auto"/>
          <w:sz w:val="32"/>
          <w:szCs w:val="32"/>
          <w:highlight w:val="none"/>
        </w:rPr>
      </w:pPr>
      <w:r>
        <w:rPr>
          <w:rFonts w:hint="eastAsia" w:ascii="宋体" w:hAnsi="宋体"/>
          <w:b/>
          <w:bCs/>
          <w:color w:val="auto"/>
          <w:sz w:val="32"/>
          <w:szCs w:val="32"/>
          <w:highlight w:val="none"/>
        </w:rPr>
        <w:t>14.残疾人福利性单位声明函（如中标供应商为残疾人福利性单位的，采购人或者其委托的采购代理机构应当随中标结果同时公告企业《残疾人福利性单位声明函》，接受社会监督。）（如有，请提供）；</w:t>
      </w:r>
    </w:p>
    <w:p>
      <w:pPr>
        <w:rPr>
          <w:rFonts w:ascii="宋体" w:hAnsi="宋体" w:cs="宋体"/>
          <w:b/>
          <w:color w:val="auto"/>
          <w:sz w:val="32"/>
          <w:szCs w:val="32"/>
          <w:highlight w:val="none"/>
        </w:rPr>
      </w:pPr>
    </w:p>
    <w:p>
      <w:pPr>
        <w:pStyle w:val="5"/>
        <w:rPr>
          <w:rFonts w:ascii="宋体" w:hAnsi="宋体" w:cs="宋体"/>
          <w:b/>
          <w:color w:val="auto"/>
          <w:sz w:val="32"/>
          <w:highlight w:val="none"/>
          <w:lang w:val="en-US"/>
        </w:rPr>
      </w:pPr>
    </w:p>
    <w:p>
      <w:pPr>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color w:val="auto"/>
          <w:highlight w:val="none"/>
        </w:rPr>
      </w:pPr>
    </w:p>
    <w:p>
      <w:pPr>
        <w:pStyle w:val="38"/>
        <w:ind w:firstLine="0" w:firstLineChars="0"/>
        <w:rPr>
          <w:rFonts w:hint="eastAsia" w:eastAsia="宋体"/>
          <w:color w:val="auto"/>
          <w:highlight w:val="none"/>
          <w:lang w:eastAsia="zh-CN"/>
        </w:rPr>
      </w:pPr>
      <w:r>
        <w:rPr>
          <w:rFonts w:hint="eastAsia" w:ascii="宋体" w:hAnsi="宋体"/>
          <w:b/>
          <w:bCs/>
          <w:color w:val="auto"/>
          <w:sz w:val="32"/>
          <w:szCs w:val="32"/>
          <w:highlight w:val="none"/>
        </w:rPr>
        <w:t>15.供应商可结合本项目的评标办法视自身情况自行提交相关证明材料</w:t>
      </w:r>
      <w:r>
        <w:rPr>
          <w:rFonts w:hint="eastAsia" w:ascii="宋体" w:hAnsi="宋体"/>
          <w:b/>
          <w:bCs/>
          <w:color w:val="auto"/>
          <w:sz w:val="32"/>
          <w:szCs w:val="32"/>
          <w:highlight w:val="none"/>
          <w:lang w:eastAsia="zh-CN"/>
        </w:rPr>
        <w:t>。</w:t>
      </w:r>
    </w:p>
    <w:sectPr>
      <w:footerReference r:id="rId11" w:type="first"/>
      <w:footerReference r:id="rId10" w:type="default"/>
      <w:pgSz w:w="11849" w:h="16781"/>
      <w:pgMar w:top="1134" w:right="1134" w:bottom="1134" w:left="1134" w:header="454" w:footer="454" w:gutter="0"/>
      <w:pgBorders>
        <w:top w:val="none" w:sz="0" w:space="0"/>
        <w:left w:val="none" w:sz="0" w:space="0"/>
        <w:bottom w:val="none" w:sz="0" w:space="0"/>
        <w:right w:val="none" w:sz="0" w:space="0"/>
      </w:pgBorders>
      <w:cols w:space="0" w:num="1"/>
      <w:titlePg/>
      <w:docGrid w:type="linesAndChars" w:linePitch="342" w:charSpace="5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F3">
    <w:altName w:val="Segoe Print"/>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jc w:val="center"/>
      <w:rPr>
        <w:rStyle w:val="25"/>
      </w:rPr>
    </w:pPr>
  </w:p>
  <w:p>
    <w:pPr>
      <w:pStyle w:val="15"/>
      <w:framePr w:wrap="around" w:vAnchor="text" w:hAnchor="margin" w:xAlign="center" w:y="1"/>
      <w:rPr>
        <w:rStyle w:val="25"/>
      </w:rPr>
    </w:pPr>
  </w:p>
  <w:p>
    <w:pPr>
      <w:pStyle w:val="15"/>
      <w:framePr w:wrap="around" w:vAnchor="text" w:hAnchor="margin" w:xAlign="right" w:y="1"/>
      <w:rPr>
        <w:rStyle w:val="25"/>
      </w:rPr>
    </w:pPr>
  </w:p>
  <w:p>
    <w:pPr>
      <w:pStyle w:val="1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fldChar w:fldCharType="begin"/>
    </w:r>
    <w:r>
      <w:rPr>
        <w:rStyle w:val="25"/>
      </w:rPr>
      <w:instrText xml:space="preserve">PAGE  </w:instrText>
    </w:r>
    <w:r>
      <w:fldChar w:fldCharType="separate"/>
    </w:r>
    <w:r>
      <w:rPr>
        <w:rStyle w:val="25"/>
      </w:rPr>
      <w:t>1</w:t>
    </w:r>
    <w:r>
      <w:fldChar w:fldCharType="end"/>
    </w:r>
  </w:p>
  <w:p>
    <w:pPr>
      <w:pStyle w:val="1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Style w:val="25"/>
      </w:rPr>
    </w:pPr>
    <w:r>
      <w:pict>
        <v:shape id="Text Box 4" o:spid="_x0000_s2053"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zql5uc8AAAAFAQAADwAAAAAAAAABACAAAAAi&#10;AAAAZHJzL2Rvd25yZXYueG1sUEsBAhQAFAAAAAgAh07iQM4ExdXaAQAAtQMAAA4AAAAAAAAAAQAg&#10;AAAAHgEAAGRycy9lMm9Eb2MueG1sUEsFBgAAAAAGAAYAWQEAAGoFAAAAAA==&#10;">
          <v:path/>
          <v:fill on="f" focussize="0,0"/>
          <v:stroke on="f" joinstyle="miter"/>
          <v:imagedata o:title=""/>
          <o:lock v:ext="edit"/>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rPr>
                    <w:rFonts w:hint="eastAsia"/>
                  </w:rPr>
                  <w:t>0</w:t>
                </w:r>
                <w:r>
                  <w:rPr>
                    <w:rFonts w:hint="eastAsia"/>
                  </w:rPr>
                  <w:fldChar w:fldCharType="end"/>
                </w:r>
              </w:p>
            </w:txbxContent>
          </v:textbox>
        </v:shape>
      </w:pict>
    </w:r>
  </w:p>
  <w:p>
    <w:pPr>
      <w:pStyle w:val="15"/>
      <w:rPr>
        <w:rStyle w:val="25"/>
      </w:rPr>
    </w:pPr>
  </w:p>
  <w:p>
    <w:pPr>
      <w:pStyle w:val="15"/>
      <w:framePr w:wrap="around" w:vAnchor="text" w:hAnchor="margin" w:xAlign="right" w:y="1"/>
      <w:rPr>
        <w:rStyle w:val="25"/>
      </w:rPr>
    </w:pPr>
  </w:p>
  <w:p>
    <w:pPr>
      <w:pStyle w:val="15"/>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Text Box 5" o:spid="_x0000_s2054" o:spt="202" type="#_x0000_t202" style="position:absolute;left:0pt;margin-top:0pt;height:10.35pt;width:4.55pt;mso-position-horizontal:center;mso-position-horizontal-relative:margin;mso-wrap-style:none;z-index:251662336;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4vdRNAAAAACAQAADwAAAAAAAAAB&#10;ACAAAAAiAAAAZHJzL2Rvd25yZXYueG1sUEsBAhQAFAAAAAgAh07iQCxYp0PfAQAAsgMAAA4AAAAA&#10;AAAAAQAgAAAAHwEAAGRycy9lMm9Eb2MueG1sUEsFBgAAAAAGAAYAWQEAAHAFAAAAAA==&#10;">
          <v:path/>
          <v:fill on="f" focussize="0,0"/>
          <v:stroke on="f" joinstyle="miter"/>
          <v:imagedata o:title=""/>
          <o:lock v:ext="edit"/>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tabs>
        <w:tab w:val="center" w:pos="4649"/>
        <w:tab w:val="clear" w:pos="4153"/>
      </w:tabs>
    </w:pPr>
    <w:r>
      <w:pict>
        <v:shape id="文本框 1" o:spid="_x0000_s2057" o:spt="202" type="#_x0000_t202" style="position:absolute;left:0pt;margin-top:0pt;height:10.35pt;width:9.05pt;mso-position-horizontal:center;mso-position-horizontal-relative:margin;mso-wrap-style:none;z-index:25166438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lfknQAAAAAwEAAA8AAAAAAAAAAQAgAAAAIgAAAGRycy9kb3ducmV2LnhtbFBLAQIU&#10;ABQAAAAIAIdO4kAlZYQEwgEAAF0DAAAOAAAAAAAAAAEAIAAAAB8BAABkcnMvZTJvRG9jLnhtbFBL&#10;BQYAAAAABgAGAFkBAABTBQ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17</w:t>
                </w:r>
                <w:r>
                  <w:rPr>
                    <w:rFonts w:hint="eastAsia"/>
                    <w:sz w:val="18"/>
                  </w:rPr>
                  <w:fldChar w:fldCharType="end"/>
                </w:r>
              </w:p>
            </w:txbxContent>
          </v:textbox>
        </v:shape>
      </w:pict>
    </w:r>
    <w:r>
      <w:rPr>
        <w:rFonts w:hint="eastAsia"/>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_x0000_s2055" o:spid="_x0000_s2055" o:spt="202" type="#_x0000_t202" style="position:absolute;left:0pt;margin-top:0pt;height:10.35pt;width:9.05pt;mso-position-horizontal:center;mso-position-horizontal-relative:margin;mso-wrap-style:none;z-index:25166643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D5X5J0AAAAAMBAAAPAAAAAAAAAAEA&#10;IAAAACIAAABkcnMvZG93bnJldi54bWxQSwECFAAUAAAACACHTuJAYNNtTt4BAACzAwAADgAAAAAA&#10;AAABACAAAAAfAQAAZHJzL2Uyb0RvYy54bWxQSwUGAAAAAAYABgBZAQAAbwUAAAAA&#10;">
          <v:path/>
          <v:fill on="f" focussize="0,0"/>
          <v:stroke on="f" joinstyle="miter"/>
          <v:imagedata o:title=""/>
          <o:lock v:ext="edit"/>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v:textbox>
        </v:shape>
      </w:pict>
    </w:r>
    <w:r>
      <w:pict>
        <v:shape id="_x0000_s2056" o:spid="_x0000_s2056" o:spt="202" type="#_x0000_t202" style="position:absolute;left:0pt;margin-top:0pt;height:10.35pt;width:9.05pt;mso-position-horizontal:center;mso-position-horizontal-relative:margin;mso-wrap-style:none;z-index:25166540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lfknQAAAAAwEAAA8AAAAAAAAAAQAgAAAAIgAAAGRycy9kb3ducmV2LnhtbFBLAQIU&#10;ABQAAAAIAIdO4kA//JbLwgEAAF0DAAAOAAAAAAAAAAEAIAAAAB8BAABkcnMvZTJvRG9jLnhtbFBL&#10;BQYAAAAABgAGAFkBAABTBQAAAAA=&#10;">
          <v:path/>
          <v:fill on="f" focussize="0,0"/>
          <v:stroke on="f" joinstyle="miter"/>
          <v:imagedata o:title=""/>
          <o:lock v:ext="edit"/>
          <v:textbox inset="0mm,0mm,0mm,0mm" style="mso-fit-shape-to-text:t;">
            <w:txbxContent>
              <w:p>
                <w:pPr>
                  <w:snapToGrid w:val="0"/>
                  <w:rPr>
                    <w:sz w:val="18"/>
                  </w:rPr>
                </w:pP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文本框 3" o:spid="_x0000_s2049"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lfknQAAAAAwEAAA8AAAAAAAAAAQAgAAAAIgAAAGRycy9kb3ducmV2LnhtbFBLAQIU&#10;ABQAAAAIAIdO4kCouyW3wgEAAF0DAAAOAAAAAAAAAAEAIAAAAB8BAABkcnMvZTJvRG9jLnhtbFBL&#10;BQYAAAAABgAGAFkBAABTBQ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Text Box 6" o:spid="_x0000_s2052"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D5X5J0AAAAAMBAAAPAAAAAAAAAAEA&#10;IAAAACIAAABkcnMvZG93bnJldi54bWxQSwECFAAUAAAACACHTuJAYNNtTt4BAACzAwAADgAAAAAA&#10;AAABACAAAAAfAQAAZHJzL2Uyb0RvYy54bWxQSwUGAAAAAAYABgBZAQAAbwUAAAAA&#10;">
          <v:path/>
          <v:fill on="f" focussize="0,0"/>
          <v:stroke on="f" joinstyle="miter"/>
          <v:imagedata o:title=""/>
          <o:lock v:ext="edit"/>
          <v:textbox inset="0mm,0mm,0mm,0mm" style="mso-fit-shape-to-text:t;">
            <w:txbxContent>
              <w:p>
                <w:pPr>
                  <w:pStyle w:val="15"/>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v:textbox>
        </v:shape>
      </w:pict>
    </w:r>
    <w:r>
      <w:pict>
        <v:shape id="文本框 2" o:spid="_x0000_s2051"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EPlfknQAAAAAwEAAA8AAAAAAAAAAQAgAAAAIgAAAGRycy9kb3ducmV2LnhtbFBLAQIU&#10;ABQAAAAIAIdO4kA//JbLwgEAAF0DAAAOAAAAAAAAAAEAIAAAAB8BAABkcnMvZTJvRG9jLnhtbFBL&#10;BQYAAAAABgAGAFkBAABTBQAAAAA=&#10;">
          <v:path/>
          <v:fill on="f" focussize="0,0"/>
          <v:stroke on="f" joinstyle="miter"/>
          <v:imagedata o:title=""/>
          <o:lock v:ext="edit"/>
          <v:textbox inset="0mm,0mm,0mm,0mm" style="mso-fit-shape-to-text:t;">
            <w:txbxContent>
              <w:p>
                <w:pPr>
                  <w:snapToGrid w:val="0"/>
                  <w:rPr>
                    <w:sz w:val="18"/>
                  </w:rPr>
                </w:pP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54FE30"/>
    <w:multiLevelType w:val="singleLevel"/>
    <w:tmpl w:val="9854FE30"/>
    <w:lvl w:ilvl="0" w:tentative="0">
      <w:start w:val="1"/>
      <w:numFmt w:val="decimal"/>
      <w:lvlText w:val="%1."/>
      <w:lvlJc w:val="left"/>
      <w:pPr>
        <w:tabs>
          <w:tab w:val="left" w:pos="312"/>
        </w:tabs>
      </w:pPr>
    </w:lvl>
  </w:abstractNum>
  <w:abstractNum w:abstractNumId="1">
    <w:nsid w:val="98F1BF31"/>
    <w:multiLevelType w:val="singleLevel"/>
    <w:tmpl w:val="98F1BF31"/>
    <w:lvl w:ilvl="0" w:tentative="0">
      <w:start w:val="1"/>
      <w:numFmt w:val="decimal"/>
      <w:lvlText w:val="%1."/>
      <w:lvlJc w:val="left"/>
      <w:pPr>
        <w:tabs>
          <w:tab w:val="left" w:pos="312"/>
        </w:tabs>
      </w:pPr>
    </w:lvl>
  </w:abstractNum>
  <w:abstractNum w:abstractNumId="2">
    <w:nsid w:val="9F54DC4A"/>
    <w:multiLevelType w:val="singleLevel"/>
    <w:tmpl w:val="9F54DC4A"/>
    <w:lvl w:ilvl="0" w:tentative="0">
      <w:start w:val="1"/>
      <w:numFmt w:val="decimal"/>
      <w:suff w:val="space"/>
      <w:lvlText w:val="%1."/>
      <w:lvlJc w:val="left"/>
    </w:lvl>
  </w:abstractNum>
  <w:abstractNum w:abstractNumId="3">
    <w:nsid w:val="A0B133E1"/>
    <w:multiLevelType w:val="singleLevel"/>
    <w:tmpl w:val="A0B133E1"/>
    <w:lvl w:ilvl="0" w:tentative="0">
      <w:start w:val="1"/>
      <w:numFmt w:val="decimal"/>
      <w:lvlText w:val="%1."/>
      <w:lvlJc w:val="left"/>
      <w:pPr>
        <w:tabs>
          <w:tab w:val="left" w:pos="312"/>
        </w:tabs>
      </w:pPr>
    </w:lvl>
  </w:abstractNum>
  <w:abstractNum w:abstractNumId="4">
    <w:nsid w:val="B085E64C"/>
    <w:multiLevelType w:val="singleLevel"/>
    <w:tmpl w:val="B085E64C"/>
    <w:lvl w:ilvl="0" w:tentative="0">
      <w:start w:val="1"/>
      <w:numFmt w:val="decimal"/>
      <w:suff w:val="space"/>
      <w:lvlText w:val="%1."/>
      <w:lvlJc w:val="left"/>
    </w:lvl>
  </w:abstractNum>
  <w:abstractNum w:abstractNumId="5">
    <w:nsid w:val="B5331E70"/>
    <w:multiLevelType w:val="singleLevel"/>
    <w:tmpl w:val="B5331E70"/>
    <w:lvl w:ilvl="0" w:tentative="0">
      <w:start w:val="1"/>
      <w:numFmt w:val="decimal"/>
      <w:lvlText w:val="%1."/>
      <w:lvlJc w:val="left"/>
      <w:pPr>
        <w:tabs>
          <w:tab w:val="left" w:pos="312"/>
        </w:tabs>
      </w:pPr>
    </w:lvl>
  </w:abstractNum>
  <w:abstractNum w:abstractNumId="6">
    <w:nsid w:val="BB214523"/>
    <w:multiLevelType w:val="singleLevel"/>
    <w:tmpl w:val="BB214523"/>
    <w:lvl w:ilvl="0" w:tentative="0">
      <w:start w:val="1"/>
      <w:numFmt w:val="decimal"/>
      <w:lvlText w:val="%1."/>
      <w:lvlJc w:val="left"/>
      <w:pPr>
        <w:tabs>
          <w:tab w:val="left" w:pos="312"/>
        </w:tabs>
      </w:pPr>
    </w:lvl>
  </w:abstractNum>
  <w:abstractNum w:abstractNumId="7">
    <w:nsid w:val="C75A2974"/>
    <w:multiLevelType w:val="singleLevel"/>
    <w:tmpl w:val="C75A2974"/>
    <w:lvl w:ilvl="0" w:tentative="0">
      <w:start w:val="1"/>
      <w:numFmt w:val="decimal"/>
      <w:suff w:val="nothing"/>
      <w:lvlText w:val="（%1）"/>
      <w:lvlJc w:val="left"/>
    </w:lvl>
  </w:abstractNum>
  <w:abstractNum w:abstractNumId="8">
    <w:nsid w:val="D3FE40CD"/>
    <w:multiLevelType w:val="singleLevel"/>
    <w:tmpl w:val="D3FE40CD"/>
    <w:lvl w:ilvl="0" w:tentative="0">
      <w:start w:val="1"/>
      <w:numFmt w:val="chineseCounting"/>
      <w:suff w:val="nothing"/>
      <w:lvlText w:val="%1、"/>
      <w:lvlJc w:val="left"/>
      <w:rPr>
        <w:rFonts w:hint="eastAsia"/>
      </w:rPr>
    </w:lvl>
  </w:abstractNum>
  <w:abstractNum w:abstractNumId="9">
    <w:nsid w:val="D54D3B5A"/>
    <w:multiLevelType w:val="singleLevel"/>
    <w:tmpl w:val="D54D3B5A"/>
    <w:lvl w:ilvl="0" w:tentative="0">
      <w:start w:val="1"/>
      <w:numFmt w:val="chineseCounting"/>
      <w:suff w:val="nothing"/>
      <w:lvlText w:val="%1、"/>
      <w:lvlJc w:val="left"/>
      <w:rPr>
        <w:rFonts w:hint="eastAsia"/>
      </w:rPr>
    </w:lvl>
  </w:abstractNum>
  <w:abstractNum w:abstractNumId="10">
    <w:nsid w:val="D718DD67"/>
    <w:multiLevelType w:val="singleLevel"/>
    <w:tmpl w:val="D718DD67"/>
    <w:lvl w:ilvl="0" w:tentative="0">
      <w:start w:val="1"/>
      <w:numFmt w:val="decimal"/>
      <w:suff w:val="nothing"/>
      <w:lvlText w:val="（%1）"/>
      <w:lvlJc w:val="left"/>
    </w:lvl>
  </w:abstractNum>
  <w:abstractNum w:abstractNumId="11">
    <w:nsid w:val="DDE772BB"/>
    <w:multiLevelType w:val="singleLevel"/>
    <w:tmpl w:val="DDE772BB"/>
    <w:lvl w:ilvl="0" w:tentative="0">
      <w:start w:val="1"/>
      <w:numFmt w:val="decimal"/>
      <w:suff w:val="space"/>
      <w:lvlText w:val="%1."/>
      <w:lvlJc w:val="left"/>
    </w:lvl>
  </w:abstractNum>
  <w:abstractNum w:abstractNumId="12">
    <w:nsid w:val="E000E9C4"/>
    <w:multiLevelType w:val="singleLevel"/>
    <w:tmpl w:val="E000E9C4"/>
    <w:lvl w:ilvl="0" w:tentative="0">
      <w:start w:val="7"/>
      <w:numFmt w:val="decimal"/>
      <w:suff w:val="nothing"/>
      <w:lvlText w:val="（%1）"/>
      <w:lvlJc w:val="left"/>
    </w:lvl>
  </w:abstractNum>
  <w:abstractNum w:abstractNumId="13">
    <w:nsid w:val="E99A1C8E"/>
    <w:multiLevelType w:val="singleLevel"/>
    <w:tmpl w:val="E99A1C8E"/>
    <w:lvl w:ilvl="0" w:tentative="0">
      <w:start w:val="1"/>
      <w:numFmt w:val="chineseCounting"/>
      <w:suff w:val="nothing"/>
      <w:lvlText w:val="（%1）"/>
      <w:lvlJc w:val="left"/>
      <w:rPr>
        <w:rFonts w:hint="eastAsia"/>
      </w:rPr>
    </w:lvl>
  </w:abstractNum>
  <w:abstractNum w:abstractNumId="14">
    <w:nsid w:val="E9B031B3"/>
    <w:multiLevelType w:val="singleLevel"/>
    <w:tmpl w:val="E9B031B3"/>
    <w:lvl w:ilvl="0" w:tentative="0">
      <w:start w:val="11"/>
      <w:numFmt w:val="decimal"/>
      <w:lvlText w:val="%1."/>
      <w:lvlJc w:val="left"/>
      <w:pPr>
        <w:tabs>
          <w:tab w:val="left" w:pos="312"/>
        </w:tabs>
      </w:pPr>
    </w:lvl>
  </w:abstractNum>
  <w:abstractNum w:abstractNumId="15">
    <w:nsid w:val="F0552C4A"/>
    <w:multiLevelType w:val="singleLevel"/>
    <w:tmpl w:val="F0552C4A"/>
    <w:lvl w:ilvl="0" w:tentative="0">
      <w:start w:val="1"/>
      <w:numFmt w:val="decimal"/>
      <w:lvlText w:val="%1."/>
      <w:lvlJc w:val="left"/>
      <w:pPr>
        <w:tabs>
          <w:tab w:val="left" w:pos="312"/>
        </w:tabs>
      </w:pPr>
    </w:lvl>
  </w:abstractNum>
  <w:abstractNum w:abstractNumId="16">
    <w:nsid w:val="FB69754D"/>
    <w:multiLevelType w:val="singleLevel"/>
    <w:tmpl w:val="FB69754D"/>
    <w:lvl w:ilvl="0" w:tentative="0">
      <w:start w:val="1"/>
      <w:numFmt w:val="decimal"/>
      <w:lvlText w:val="%1."/>
      <w:lvlJc w:val="left"/>
      <w:pPr>
        <w:tabs>
          <w:tab w:val="left" w:pos="312"/>
        </w:tabs>
      </w:pPr>
    </w:lvl>
  </w:abstractNum>
  <w:abstractNum w:abstractNumId="17">
    <w:nsid w:val="00000005"/>
    <w:multiLevelType w:val="multilevel"/>
    <w:tmpl w:val="00000005"/>
    <w:lvl w:ilvl="0" w:tentative="0">
      <w:start w:val="2"/>
      <w:numFmt w:val="japaneseCounting"/>
      <w:lvlText w:val="%1、"/>
      <w:lvlJc w:val="left"/>
      <w:pPr>
        <w:tabs>
          <w:tab w:val="left" w:pos="720"/>
        </w:tabs>
        <w:ind w:left="720" w:hanging="720"/>
      </w:pPr>
      <w:rPr>
        <w:rFonts w:hint="default" w:cs="Times New Roman"/>
      </w:rPr>
    </w:lvl>
    <w:lvl w:ilvl="1" w:tentative="0">
      <w:start w:val="1"/>
      <w:numFmt w:val="decimal"/>
      <w:pStyle w:val="59"/>
      <w:lvlText w:val="%2、"/>
      <w:lvlJc w:val="left"/>
      <w:pPr>
        <w:tabs>
          <w:tab w:val="left" w:pos="780"/>
        </w:tabs>
        <w:ind w:left="780" w:hanging="360"/>
      </w:pPr>
      <w:rPr>
        <w:rFonts w:hint="default" w:cs="Times New Roman"/>
      </w:rPr>
    </w:lvl>
    <w:lvl w:ilvl="2" w:tentative="0">
      <w:start w:val="1"/>
      <w:numFmt w:val="lowerRoman"/>
      <w:lvlText w:val="%3."/>
      <w:lvlJc w:val="right"/>
      <w:pPr>
        <w:tabs>
          <w:tab w:val="left" w:pos="1260"/>
        </w:tabs>
        <w:ind w:left="1260" w:hanging="420"/>
      </w:pPr>
      <w:rPr>
        <w:rFonts w:hint="default"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8">
    <w:nsid w:val="0FD936CF"/>
    <w:multiLevelType w:val="singleLevel"/>
    <w:tmpl w:val="0FD936CF"/>
    <w:lvl w:ilvl="0" w:tentative="0">
      <w:start w:val="5"/>
      <w:numFmt w:val="decimal"/>
      <w:suff w:val="space"/>
      <w:lvlText w:val="%1."/>
      <w:lvlJc w:val="left"/>
      <w:pPr>
        <w:ind w:left="-284"/>
      </w:pPr>
    </w:lvl>
  </w:abstractNum>
  <w:abstractNum w:abstractNumId="19">
    <w:nsid w:val="13B90C9D"/>
    <w:multiLevelType w:val="singleLevel"/>
    <w:tmpl w:val="13B90C9D"/>
    <w:lvl w:ilvl="0" w:tentative="0">
      <w:start w:val="4"/>
      <w:numFmt w:val="chineseCounting"/>
      <w:suff w:val="nothing"/>
      <w:lvlText w:val="%1、"/>
      <w:lvlJc w:val="left"/>
      <w:pPr>
        <w:ind w:left="140"/>
      </w:pPr>
      <w:rPr>
        <w:rFonts w:hint="eastAsia"/>
      </w:rPr>
    </w:lvl>
  </w:abstractNum>
  <w:abstractNum w:abstractNumId="20">
    <w:nsid w:val="18642185"/>
    <w:multiLevelType w:val="singleLevel"/>
    <w:tmpl w:val="18642185"/>
    <w:lvl w:ilvl="0" w:tentative="0">
      <w:start w:val="1"/>
      <w:numFmt w:val="decimal"/>
      <w:lvlText w:val="%1."/>
      <w:lvlJc w:val="left"/>
      <w:pPr>
        <w:tabs>
          <w:tab w:val="left" w:pos="312"/>
        </w:tabs>
      </w:pPr>
    </w:lvl>
  </w:abstractNum>
  <w:abstractNum w:abstractNumId="21">
    <w:nsid w:val="1CA059F1"/>
    <w:multiLevelType w:val="singleLevel"/>
    <w:tmpl w:val="1CA059F1"/>
    <w:lvl w:ilvl="0" w:tentative="0">
      <w:start w:val="1"/>
      <w:numFmt w:val="decimal"/>
      <w:lvlText w:val="%1."/>
      <w:lvlJc w:val="left"/>
      <w:pPr>
        <w:tabs>
          <w:tab w:val="left" w:pos="312"/>
        </w:tabs>
      </w:pPr>
    </w:lvl>
  </w:abstractNum>
  <w:abstractNum w:abstractNumId="22">
    <w:nsid w:val="2A5D2C77"/>
    <w:multiLevelType w:val="singleLevel"/>
    <w:tmpl w:val="2A5D2C77"/>
    <w:lvl w:ilvl="0" w:tentative="0">
      <w:start w:val="1"/>
      <w:numFmt w:val="decimal"/>
      <w:lvlText w:val="%1."/>
      <w:lvlJc w:val="left"/>
      <w:pPr>
        <w:tabs>
          <w:tab w:val="left" w:pos="312"/>
        </w:tabs>
      </w:pPr>
    </w:lvl>
  </w:abstractNum>
  <w:abstractNum w:abstractNumId="23">
    <w:nsid w:val="327A5635"/>
    <w:multiLevelType w:val="singleLevel"/>
    <w:tmpl w:val="327A5635"/>
    <w:lvl w:ilvl="0" w:tentative="0">
      <w:start w:val="1"/>
      <w:numFmt w:val="decimal"/>
      <w:lvlText w:val="%1."/>
      <w:lvlJc w:val="left"/>
      <w:pPr>
        <w:tabs>
          <w:tab w:val="left" w:pos="312"/>
        </w:tabs>
      </w:pPr>
    </w:lvl>
  </w:abstractNum>
  <w:abstractNum w:abstractNumId="24">
    <w:nsid w:val="3C7339B6"/>
    <w:multiLevelType w:val="multilevel"/>
    <w:tmpl w:val="3C7339B6"/>
    <w:lvl w:ilvl="0" w:tentative="0">
      <w:start w:val="1"/>
      <w:numFmt w:val="japaneseCounting"/>
      <w:lvlText w:val="第%1条"/>
      <w:lvlJc w:val="left"/>
      <w:pPr>
        <w:tabs>
          <w:tab w:val="left" w:pos="1253"/>
        </w:tabs>
        <w:ind w:left="1253" w:hanging="840"/>
      </w:pPr>
      <w:rPr>
        <w:rFonts w:hint="default"/>
      </w:rPr>
    </w:lvl>
    <w:lvl w:ilvl="1" w:tentative="0">
      <w:start w:val="1"/>
      <w:numFmt w:val="lowerLetter"/>
      <w:lvlText w:val="%2)"/>
      <w:lvlJc w:val="left"/>
      <w:pPr>
        <w:tabs>
          <w:tab w:val="left" w:pos="1253"/>
        </w:tabs>
        <w:ind w:left="1253" w:hanging="420"/>
      </w:pPr>
    </w:lvl>
    <w:lvl w:ilvl="2" w:tentative="0">
      <w:start w:val="1"/>
      <w:numFmt w:val="lowerRoman"/>
      <w:lvlText w:val="%3."/>
      <w:lvlJc w:val="right"/>
      <w:pPr>
        <w:tabs>
          <w:tab w:val="left" w:pos="1673"/>
        </w:tabs>
        <w:ind w:left="1673" w:hanging="420"/>
      </w:pPr>
    </w:lvl>
    <w:lvl w:ilvl="3" w:tentative="0">
      <w:start w:val="1"/>
      <w:numFmt w:val="decimal"/>
      <w:lvlText w:val="%4."/>
      <w:lvlJc w:val="left"/>
      <w:pPr>
        <w:tabs>
          <w:tab w:val="left" w:pos="2093"/>
        </w:tabs>
        <w:ind w:left="2093" w:hanging="420"/>
      </w:pPr>
    </w:lvl>
    <w:lvl w:ilvl="4" w:tentative="0">
      <w:start w:val="1"/>
      <w:numFmt w:val="lowerLetter"/>
      <w:lvlText w:val="%5)"/>
      <w:lvlJc w:val="left"/>
      <w:pPr>
        <w:tabs>
          <w:tab w:val="left" w:pos="2513"/>
        </w:tabs>
        <w:ind w:left="2513" w:hanging="420"/>
      </w:pPr>
    </w:lvl>
    <w:lvl w:ilvl="5" w:tentative="0">
      <w:start w:val="1"/>
      <w:numFmt w:val="lowerRoman"/>
      <w:lvlText w:val="%6."/>
      <w:lvlJc w:val="right"/>
      <w:pPr>
        <w:tabs>
          <w:tab w:val="left" w:pos="2933"/>
        </w:tabs>
        <w:ind w:left="2933" w:hanging="420"/>
      </w:pPr>
    </w:lvl>
    <w:lvl w:ilvl="6" w:tentative="0">
      <w:start w:val="1"/>
      <w:numFmt w:val="decimal"/>
      <w:lvlText w:val="%7."/>
      <w:lvlJc w:val="left"/>
      <w:pPr>
        <w:tabs>
          <w:tab w:val="left" w:pos="3353"/>
        </w:tabs>
        <w:ind w:left="3353" w:hanging="420"/>
      </w:pPr>
    </w:lvl>
    <w:lvl w:ilvl="7" w:tentative="0">
      <w:start w:val="1"/>
      <w:numFmt w:val="lowerLetter"/>
      <w:lvlText w:val="%8)"/>
      <w:lvlJc w:val="left"/>
      <w:pPr>
        <w:tabs>
          <w:tab w:val="left" w:pos="3773"/>
        </w:tabs>
        <w:ind w:left="3773" w:hanging="420"/>
      </w:pPr>
    </w:lvl>
    <w:lvl w:ilvl="8" w:tentative="0">
      <w:start w:val="1"/>
      <w:numFmt w:val="lowerRoman"/>
      <w:lvlText w:val="%9."/>
      <w:lvlJc w:val="right"/>
      <w:pPr>
        <w:tabs>
          <w:tab w:val="left" w:pos="4193"/>
        </w:tabs>
        <w:ind w:left="4193" w:hanging="420"/>
      </w:pPr>
    </w:lvl>
  </w:abstractNum>
  <w:abstractNum w:abstractNumId="25">
    <w:nsid w:val="496B6B66"/>
    <w:multiLevelType w:val="singleLevel"/>
    <w:tmpl w:val="496B6B66"/>
    <w:lvl w:ilvl="0" w:tentative="0">
      <w:start w:val="1"/>
      <w:numFmt w:val="decimal"/>
      <w:lvlText w:val="%1."/>
      <w:lvlJc w:val="left"/>
      <w:pPr>
        <w:tabs>
          <w:tab w:val="left" w:pos="312"/>
        </w:tabs>
      </w:pPr>
    </w:lvl>
  </w:abstractNum>
  <w:abstractNum w:abstractNumId="26">
    <w:nsid w:val="554D8AA5"/>
    <w:multiLevelType w:val="singleLevel"/>
    <w:tmpl w:val="554D8AA5"/>
    <w:lvl w:ilvl="0" w:tentative="0">
      <w:start w:val="1"/>
      <w:numFmt w:val="decimal"/>
      <w:suff w:val="nothing"/>
      <w:lvlText w:val="（%1）"/>
      <w:lvlJc w:val="left"/>
      <w:pPr>
        <w:ind w:left="383" w:leftChars="0" w:firstLine="0" w:firstLineChars="0"/>
      </w:pPr>
    </w:lvl>
  </w:abstractNum>
  <w:abstractNum w:abstractNumId="27">
    <w:nsid w:val="56D619AA"/>
    <w:multiLevelType w:val="singleLevel"/>
    <w:tmpl w:val="56D619AA"/>
    <w:lvl w:ilvl="0" w:tentative="0">
      <w:start w:val="1"/>
      <w:numFmt w:val="decimal"/>
      <w:lvlText w:val="%1."/>
      <w:lvlJc w:val="left"/>
      <w:pPr>
        <w:tabs>
          <w:tab w:val="left" w:pos="312"/>
        </w:tabs>
      </w:pPr>
    </w:lvl>
  </w:abstractNum>
  <w:abstractNum w:abstractNumId="28">
    <w:nsid w:val="570AB868"/>
    <w:multiLevelType w:val="singleLevel"/>
    <w:tmpl w:val="570AB868"/>
    <w:lvl w:ilvl="0" w:tentative="0">
      <w:start w:val="1"/>
      <w:numFmt w:val="decimal"/>
      <w:lvlText w:val="%1."/>
      <w:lvlJc w:val="left"/>
      <w:pPr>
        <w:tabs>
          <w:tab w:val="left" w:pos="312"/>
        </w:tabs>
        <w:ind w:left="-72"/>
      </w:pPr>
    </w:lvl>
  </w:abstractNum>
  <w:abstractNum w:abstractNumId="29">
    <w:nsid w:val="5811D137"/>
    <w:multiLevelType w:val="singleLevel"/>
    <w:tmpl w:val="5811D137"/>
    <w:lvl w:ilvl="0" w:tentative="0">
      <w:start w:val="1"/>
      <w:numFmt w:val="decimal"/>
      <w:suff w:val="nothing"/>
      <w:lvlText w:val="（%1）"/>
      <w:lvlJc w:val="left"/>
      <w:pPr>
        <w:ind w:left="0" w:firstLine="0"/>
      </w:pPr>
      <w:rPr>
        <w:rFonts w:hint="default"/>
      </w:rPr>
    </w:lvl>
  </w:abstractNum>
  <w:abstractNum w:abstractNumId="30">
    <w:nsid w:val="587712DD"/>
    <w:multiLevelType w:val="singleLevel"/>
    <w:tmpl w:val="587712DD"/>
    <w:lvl w:ilvl="0" w:tentative="0">
      <w:start w:val="19"/>
      <w:numFmt w:val="decimal"/>
      <w:lvlText w:val="%1."/>
      <w:lvlJc w:val="left"/>
      <w:pPr>
        <w:tabs>
          <w:tab w:val="left" w:pos="312"/>
        </w:tabs>
      </w:pPr>
    </w:lvl>
  </w:abstractNum>
  <w:abstractNum w:abstractNumId="31">
    <w:nsid w:val="5932613D"/>
    <w:multiLevelType w:val="singleLevel"/>
    <w:tmpl w:val="5932613D"/>
    <w:lvl w:ilvl="0" w:tentative="0">
      <w:start w:val="1"/>
      <w:numFmt w:val="decimal"/>
      <w:lvlText w:val="%1."/>
      <w:lvlJc w:val="left"/>
      <w:pPr>
        <w:tabs>
          <w:tab w:val="left" w:pos="312"/>
        </w:tabs>
      </w:pPr>
    </w:lvl>
  </w:abstractNum>
  <w:abstractNum w:abstractNumId="32">
    <w:nsid w:val="5C5C1AD5"/>
    <w:multiLevelType w:val="singleLevel"/>
    <w:tmpl w:val="5C5C1AD5"/>
    <w:lvl w:ilvl="0" w:tentative="0">
      <w:start w:val="1"/>
      <w:numFmt w:val="decimal"/>
      <w:lvlText w:val="%1."/>
      <w:lvlJc w:val="left"/>
      <w:pPr>
        <w:tabs>
          <w:tab w:val="left" w:pos="312"/>
        </w:tabs>
      </w:pPr>
    </w:lvl>
  </w:abstractNum>
  <w:abstractNum w:abstractNumId="33">
    <w:nsid w:val="6983CC68"/>
    <w:multiLevelType w:val="singleLevel"/>
    <w:tmpl w:val="6983CC68"/>
    <w:lvl w:ilvl="0" w:tentative="0">
      <w:start w:val="1"/>
      <w:numFmt w:val="decimal"/>
      <w:lvlText w:val="%1."/>
      <w:lvlJc w:val="left"/>
      <w:pPr>
        <w:tabs>
          <w:tab w:val="left" w:pos="312"/>
        </w:tabs>
      </w:pPr>
    </w:lvl>
  </w:abstractNum>
  <w:abstractNum w:abstractNumId="34">
    <w:nsid w:val="7A3D08CB"/>
    <w:multiLevelType w:val="singleLevel"/>
    <w:tmpl w:val="7A3D08CB"/>
    <w:lvl w:ilvl="0" w:tentative="0">
      <w:start w:val="1"/>
      <w:numFmt w:val="decimal"/>
      <w:lvlText w:val="%1."/>
      <w:lvlJc w:val="left"/>
      <w:pPr>
        <w:tabs>
          <w:tab w:val="left" w:pos="312"/>
        </w:tabs>
        <w:ind w:left="-72"/>
      </w:pPr>
    </w:lvl>
  </w:abstractNum>
  <w:abstractNum w:abstractNumId="35">
    <w:nsid w:val="7DDF6B23"/>
    <w:multiLevelType w:val="singleLevel"/>
    <w:tmpl w:val="7DDF6B23"/>
    <w:lvl w:ilvl="0" w:tentative="0">
      <w:start w:val="3"/>
      <w:numFmt w:val="chineseCounting"/>
      <w:suff w:val="nothing"/>
      <w:lvlText w:val="第%1章　"/>
      <w:lvlJc w:val="left"/>
      <w:rPr>
        <w:rFonts w:hint="eastAsia"/>
      </w:rPr>
    </w:lvl>
  </w:abstractNum>
  <w:num w:numId="1">
    <w:abstractNumId w:val="17"/>
  </w:num>
  <w:num w:numId="2">
    <w:abstractNumId w:val="29"/>
  </w:num>
  <w:num w:numId="3">
    <w:abstractNumId w:val="7"/>
  </w:num>
  <w:num w:numId="4">
    <w:abstractNumId w:val="10"/>
  </w:num>
  <w:num w:numId="5">
    <w:abstractNumId w:val="35"/>
    <w:lvlOverride w:ilvl="0">
      <w:startOverride w:val="3"/>
    </w:lvlOverride>
  </w:num>
  <w:num w:numId="6">
    <w:abstractNumId w:val="19"/>
  </w:num>
  <w:num w:numId="7">
    <w:abstractNumId w:val="9"/>
  </w:num>
  <w:num w:numId="8">
    <w:abstractNumId w:val="11"/>
  </w:num>
  <w:num w:numId="9">
    <w:abstractNumId w:val="8"/>
  </w:num>
  <w:num w:numId="10">
    <w:abstractNumId w:val="34"/>
  </w:num>
  <w:num w:numId="11">
    <w:abstractNumId w:val="18"/>
  </w:num>
  <w:num w:numId="12">
    <w:abstractNumId w:val="14"/>
  </w:num>
  <w:num w:numId="13">
    <w:abstractNumId w:val="6"/>
  </w:num>
  <w:num w:numId="14">
    <w:abstractNumId w:val="33"/>
  </w:num>
  <w:num w:numId="15">
    <w:abstractNumId w:val="22"/>
  </w:num>
  <w:num w:numId="16">
    <w:abstractNumId w:val="26"/>
  </w:num>
  <w:num w:numId="17">
    <w:abstractNumId w:val="13"/>
  </w:num>
  <w:num w:numId="18">
    <w:abstractNumId w:val="20"/>
  </w:num>
  <w:num w:numId="19">
    <w:abstractNumId w:val="21"/>
  </w:num>
  <w:num w:numId="20">
    <w:abstractNumId w:val="0"/>
  </w:num>
  <w:num w:numId="21">
    <w:abstractNumId w:val="16"/>
  </w:num>
  <w:num w:numId="22">
    <w:abstractNumId w:val="1"/>
  </w:num>
  <w:num w:numId="23">
    <w:abstractNumId w:val="5"/>
  </w:num>
  <w:num w:numId="24">
    <w:abstractNumId w:val="27"/>
  </w:num>
  <w:num w:numId="25">
    <w:abstractNumId w:val="31"/>
  </w:num>
  <w:num w:numId="26">
    <w:abstractNumId w:val="25"/>
  </w:num>
  <w:num w:numId="27">
    <w:abstractNumId w:val="15"/>
  </w:num>
  <w:num w:numId="28">
    <w:abstractNumId w:val="3"/>
  </w:num>
  <w:num w:numId="29">
    <w:abstractNumId w:val="32"/>
  </w:num>
  <w:num w:numId="30">
    <w:abstractNumId w:val="30"/>
  </w:num>
  <w:num w:numId="31">
    <w:abstractNumId w:val="2"/>
  </w:num>
  <w:num w:numId="32">
    <w:abstractNumId w:val="12"/>
  </w:num>
  <w:num w:numId="33">
    <w:abstractNumId w:val="28"/>
  </w:num>
  <w:num w:numId="34">
    <w:abstractNumId w:val="24"/>
  </w:num>
  <w:num w:numId="35">
    <w:abstractNumId w:val="23"/>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mirrorMargins w:val="1"/>
  <w:bordersDoNotSurroundHeader w:val="0"/>
  <w:bordersDoNotSurroundFooter w:val="0"/>
  <w:documentProtection w:enforcement="0"/>
  <w:defaultTabStop w:val="420"/>
  <w:drawingGridHorizontalSpacing w:val="106"/>
  <w:drawingGridVerticalSpacing w:val="171"/>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92138"/>
    <w:rsid w:val="0000012A"/>
    <w:rsid w:val="000004C3"/>
    <w:rsid w:val="000013C5"/>
    <w:rsid w:val="0000245C"/>
    <w:rsid w:val="00002511"/>
    <w:rsid w:val="00002604"/>
    <w:rsid w:val="00002682"/>
    <w:rsid w:val="00002789"/>
    <w:rsid w:val="00004D43"/>
    <w:rsid w:val="000064D3"/>
    <w:rsid w:val="000066AE"/>
    <w:rsid w:val="00007562"/>
    <w:rsid w:val="00007A12"/>
    <w:rsid w:val="00007F96"/>
    <w:rsid w:val="00010630"/>
    <w:rsid w:val="0001073E"/>
    <w:rsid w:val="00010A38"/>
    <w:rsid w:val="00010EAD"/>
    <w:rsid w:val="00011006"/>
    <w:rsid w:val="00011968"/>
    <w:rsid w:val="0001263E"/>
    <w:rsid w:val="0001389F"/>
    <w:rsid w:val="000139C8"/>
    <w:rsid w:val="000139E0"/>
    <w:rsid w:val="00013C53"/>
    <w:rsid w:val="00014897"/>
    <w:rsid w:val="000154C2"/>
    <w:rsid w:val="00015616"/>
    <w:rsid w:val="000161E6"/>
    <w:rsid w:val="000165DF"/>
    <w:rsid w:val="000168D8"/>
    <w:rsid w:val="00016F9A"/>
    <w:rsid w:val="0001769C"/>
    <w:rsid w:val="00020282"/>
    <w:rsid w:val="000204F7"/>
    <w:rsid w:val="00020654"/>
    <w:rsid w:val="000206E4"/>
    <w:rsid w:val="00020C2E"/>
    <w:rsid w:val="00021DAE"/>
    <w:rsid w:val="000226EF"/>
    <w:rsid w:val="00022A04"/>
    <w:rsid w:val="00022F6B"/>
    <w:rsid w:val="0002300B"/>
    <w:rsid w:val="00023496"/>
    <w:rsid w:val="00023CCC"/>
    <w:rsid w:val="00023DA8"/>
    <w:rsid w:val="00024D1C"/>
    <w:rsid w:val="000250DF"/>
    <w:rsid w:val="000253B5"/>
    <w:rsid w:val="000255CC"/>
    <w:rsid w:val="00026487"/>
    <w:rsid w:val="00026761"/>
    <w:rsid w:val="00026A9C"/>
    <w:rsid w:val="00026BD0"/>
    <w:rsid w:val="00026E89"/>
    <w:rsid w:val="00027726"/>
    <w:rsid w:val="00030259"/>
    <w:rsid w:val="000316F5"/>
    <w:rsid w:val="00031D23"/>
    <w:rsid w:val="000320DB"/>
    <w:rsid w:val="00032419"/>
    <w:rsid w:val="00032AE3"/>
    <w:rsid w:val="00033233"/>
    <w:rsid w:val="00033A28"/>
    <w:rsid w:val="00033C62"/>
    <w:rsid w:val="00034267"/>
    <w:rsid w:val="00034D30"/>
    <w:rsid w:val="00034E5F"/>
    <w:rsid w:val="00035820"/>
    <w:rsid w:val="00035C6F"/>
    <w:rsid w:val="00036348"/>
    <w:rsid w:val="00036425"/>
    <w:rsid w:val="00036594"/>
    <w:rsid w:val="00037242"/>
    <w:rsid w:val="000373A3"/>
    <w:rsid w:val="00037991"/>
    <w:rsid w:val="00040678"/>
    <w:rsid w:val="000433E9"/>
    <w:rsid w:val="00043717"/>
    <w:rsid w:val="00043BC9"/>
    <w:rsid w:val="00044162"/>
    <w:rsid w:val="00044210"/>
    <w:rsid w:val="0004422A"/>
    <w:rsid w:val="00044409"/>
    <w:rsid w:val="000447E7"/>
    <w:rsid w:val="00044C3F"/>
    <w:rsid w:val="00044E5F"/>
    <w:rsid w:val="00045A4C"/>
    <w:rsid w:val="00047190"/>
    <w:rsid w:val="000473C1"/>
    <w:rsid w:val="00047877"/>
    <w:rsid w:val="000479E2"/>
    <w:rsid w:val="000500EE"/>
    <w:rsid w:val="000517CE"/>
    <w:rsid w:val="00052295"/>
    <w:rsid w:val="00052409"/>
    <w:rsid w:val="00053E02"/>
    <w:rsid w:val="0005424F"/>
    <w:rsid w:val="00054CFF"/>
    <w:rsid w:val="000561BD"/>
    <w:rsid w:val="00056276"/>
    <w:rsid w:val="0005641F"/>
    <w:rsid w:val="00057D96"/>
    <w:rsid w:val="000606D6"/>
    <w:rsid w:val="00061342"/>
    <w:rsid w:val="000617D3"/>
    <w:rsid w:val="0006269C"/>
    <w:rsid w:val="000629C0"/>
    <w:rsid w:val="00062EB9"/>
    <w:rsid w:val="00063580"/>
    <w:rsid w:val="00063621"/>
    <w:rsid w:val="0006377B"/>
    <w:rsid w:val="0006383D"/>
    <w:rsid w:val="00063C67"/>
    <w:rsid w:val="000645BF"/>
    <w:rsid w:val="00064792"/>
    <w:rsid w:val="00064E88"/>
    <w:rsid w:val="00064E8B"/>
    <w:rsid w:val="00066254"/>
    <w:rsid w:val="0006630F"/>
    <w:rsid w:val="000663F2"/>
    <w:rsid w:val="00066927"/>
    <w:rsid w:val="000675B5"/>
    <w:rsid w:val="00070648"/>
    <w:rsid w:val="000707BA"/>
    <w:rsid w:val="00070B84"/>
    <w:rsid w:val="000712BA"/>
    <w:rsid w:val="000731E0"/>
    <w:rsid w:val="0007321D"/>
    <w:rsid w:val="00073EB9"/>
    <w:rsid w:val="00074060"/>
    <w:rsid w:val="000740EE"/>
    <w:rsid w:val="000746D3"/>
    <w:rsid w:val="00074AAC"/>
    <w:rsid w:val="00075405"/>
    <w:rsid w:val="00075AC6"/>
    <w:rsid w:val="000763B8"/>
    <w:rsid w:val="00080266"/>
    <w:rsid w:val="00080FD4"/>
    <w:rsid w:val="00081197"/>
    <w:rsid w:val="000815D9"/>
    <w:rsid w:val="0008283C"/>
    <w:rsid w:val="00082B33"/>
    <w:rsid w:val="00082F26"/>
    <w:rsid w:val="000834F3"/>
    <w:rsid w:val="00083AFC"/>
    <w:rsid w:val="000844B3"/>
    <w:rsid w:val="00085194"/>
    <w:rsid w:val="00085993"/>
    <w:rsid w:val="000870A4"/>
    <w:rsid w:val="00087492"/>
    <w:rsid w:val="00087C2E"/>
    <w:rsid w:val="00087C30"/>
    <w:rsid w:val="00087D46"/>
    <w:rsid w:val="0009120F"/>
    <w:rsid w:val="0009192D"/>
    <w:rsid w:val="000921D6"/>
    <w:rsid w:val="00093502"/>
    <w:rsid w:val="0009423E"/>
    <w:rsid w:val="0009450E"/>
    <w:rsid w:val="0009583E"/>
    <w:rsid w:val="00095D3B"/>
    <w:rsid w:val="0009609B"/>
    <w:rsid w:val="00096254"/>
    <w:rsid w:val="0009629E"/>
    <w:rsid w:val="00096B3D"/>
    <w:rsid w:val="00097B00"/>
    <w:rsid w:val="000A1985"/>
    <w:rsid w:val="000A1C5C"/>
    <w:rsid w:val="000A482E"/>
    <w:rsid w:val="000A6BCA"/>
    <w:rsid w:val="000A6E55"/>
    <w:rsid w:val="000A715A"/>
    <w:rsid w:val="000B005F"/>
    <w:rsid w:val="000B0082"/>
    <w:rsid w:val="000B0948"/>
    <w:rsid w:val="000B1232"/>
    <w:rsid w:val="000B147E"/>
    <w:rsid w:val="000B14E2"/>
    <w:rsid w:val="000B1865"/>
    <w:rsid w:val="000B27B0"/>
    <w:rsid w:val="000B2E07"/>
    <w:rsid w:val="000B3350"/>
    <w:rsid w:val="000B3403"/>
    <w:rsid w:val="000B414E"/>
    <w:rsid w:val="000B420E"/>
    <w:rsid w:val="000B599B"/>
    <w:rsid w:val="000B6149"/>
    <w:rsid w:val="000B6464"/>
    <w:rsid w:val="000B7280"/>
    <w:rsid w:val="000B7B41"/>
    <w:rsid w:val="000C042D"/>
    <w:rsid w:val="000C16C7"/>
    <w:rsid w:val="000C17B3"/>
    <w:rsid w:val="000C18B9"/>
    <w:rsid w:val="000C1C14"/>
    <w:rsid w:val="000C1C47"/>
    <w:rsid w:val="000C1E87"/>
    <w:rsid w:val="000C1FFE"/>
    <w:rsid w:val="000C3182"/>
    <w:rsid w:val="000C3627"/>
    <w:rsid w:val="000C3D7C"/>
    <w:rsid w:val="000C3EBF"/>
    <w:rsid w:val="000C3EF9"/>
    <w:rsid w:val="000C46A7"/>
    <w:rsid w:val="000C4B4A"/>
    <w:rsid w:val="000C577C"/>
    <w:rsid w:val="000C5EBC"/>
    <w:rsid w:val="000C6007"/>
    <w:rsid w:val="000C6487"/>
    <w:rsid w:val="000C6905"/>
    <w:rsid w:val="000C726B"/>
    <w:rsid w:val="000C7DC0"/>
    <w:rsid w:val="000C7E03"/>
    <w:rsid w:val="000D04B5"/>
    <w:rsid w:val="000D0A2A"/>
    <w:rsid w:val="000D197F"/>
    <w:rsid w:val="000D1F8E"/>
    <w:rsid w:val="000D3131"/>
    <w:rsid w:val="000D317E"/>
    <w:rsid w:val="000D3499"/>
    <w:rsid w:val="000D416D"/>
    <w:rsid w:val="000D4271"/>
    <w:rsid w:val="000D5A69"/>
    <w:rsid w:val="000D6183"/>
    <w:rsid w:val="000D6249"/>
    <w:rsid w:val="000D713C"/>
    <w:rsid w:val="000D7241"/>
    <w:rsid w:val="000D7491"/>
    <w:rsid w:val="000D761D"/>
    <w:rsid w:val="000D7811"/>
    <w:rsid w:val="000E07EE"/>
    <w:rsid w:val="000E1051"/>
    <w:rsid w:val="000E125D"/>
    <w:rsid w:val="000E17A5"/>
    <w:rsid w:val="000E1EA9"/>
    <w:rsid w:val="000E221C"/>
    <w:rsid w:val="000E2D3C"/>
    <w:rsid w:val="000E3A00"/>
    <w:rsid w:val="000E4714"/>
    <w:rsid w:val="000E477C"/>
    <w:rsid w:val="000E4A2E"/>
    <w:rsid w:val="000E4AA0"/>
    <w:rsid w:val="000E5032"/>
    <w:rsid w:val="000E551D"/>
    <w:rsid w:val="000E6BBF"/>
    <w:rsid w:val="000E7078"/>
    <w:rsid w:val="000E75B1"/>
    <w:rsid w:val="000F07E0"/>
    <w:rsid w:val="000F09EA"/>
    <w:rsid w:val="000F0AEC"/>
    <w:rsid w:val="000F0DF2"/>
    <w:rsid w:val="000F1BF2"/>
    <w:rsid w:val="000F1C7B"/>
    <w:rsid w:val="000F25B0"/>
    <w:rsid w:val="000F2B3A"/>
    <w:rsid w:val="000F3291"/>
    <w:rsid w:val="000F33D3"/>
    <w:rsid w:val="000F3E81"/>
    <w:rsid w:val="000F4D92"/>
    <w:rsid w:val="000F5A14"/>
    <w:rsid w:val="000F6137"/>
    <w:rsid w:val="000F6477"/>
    <w:rsid w:val="000F660D"/>
    <w:rsid w:val="000F6E71"/>
    <w:rsid w:val="000F72C5"/>
    <w:rsid w:val="000F7404"/>
    <w:rsid w:val="000F7D5B"/>
    <w:rsid w:val="001002A5"/>
    <w:rsid w:val="00101C2F"/>
    <w:rsid w:val="001021CE"/>
    <w:rsid w:val="001023DA"/>
    <w:rsid w:val="00103D34"/>
    <w:rsid w:val="001051FB"/>
    <w:rsid w:val="00105E7C"/>
    <w:rsid w:val="00106635"/>
    <w:rsid w:val="00107AAB"/>
    <w:rsid w:val="00107DBE"/>
    <w:rsid w:val="00110BD9"/>
    <w:rsid w:val="00111642"/>
    <w:rsid w:val="0011171E"/>
    <w:rsid w:val="00111A1E"/>
    <w:rsid w:val="00111A2D"/>
    <w:rsid w:val="00111CA9"/>
    <w:rsid w:val="00112548"/>
    <w:rsid w:val="00112720"/>
    <w:rsid w:val="00112B1E"/>
    <w:rsid w:val="00112F5B"/>
    <w:rsid w:val="00113138"/>
    <w:rsid w:val="00113A99"/>
    <w:rsid w:val="00113AF4"/>
    <w:rsid w:val="00114B86"/>
    <w:rsid w:val="00115442"/>
    <w:rsid w:val="00115FBC"/>
    <w:rsid w:val="00116CBB"/>
    <w:rsid w:val="0011747F"/>
    <w:rsid w:val="001174AE"/>
    <w:rsid w:val="00117D20"/>
    <w:rsid w:val="00117E74"/>
    <w:rsid w:val="00120547"/>
    <w:rsid w:val="00120802"/>
    <w:rsid w:val="00121396"/>
    <w:rsid w:val="0012191A"/>
    <w:rsid w:val="0012247B"/>
    <w:rsid w:val="0012326A"/>
    <w:rsid w:val="001234BD"/>
    <w:rsid w:val="001235F0"/>
    <w:rsid w:val="001236EF"/>
    <w:rsid w:val="001239B2"/>
    <w:rsid w:val="00123B65"/>
    <w:rsid w:val="001240C4"/>
    <w:rsid w:val="00124323"/>
    <w:rsid w:val="00124ACB"/>
    <w:rsid w:val="001255C6"/>
    <w:rsid w:val="0012638B"/>
    <w:rsid w:val="0012694B"/>
    <w:rsid w:val="00130193"/>
    <w:rsid w:val="0013024C"/>
    <w:rsid w:val="001303EA"/>
    <w:rsid w:val="0013041D"/>
    <w:rsid w:val="00130436"/>
    <w:rsid w:val="00130EFA"/>
    <w:rsid w:val="00131BB7"/>
    <w:rsid w:val="00131C08"/>
    <w:rsid w:val="00131D21"/>
    <w:rsid w:val="0013248D"/>
    <w:rsid w:val="00132F97"/>
    <w:rsid w:val="00133180"/>
    <w:rsid w:val="001333DB"/>
    <w:rsid w:val="00133450"/>
    <w:rsid w:val="001335B1"/>
    <w:rsid w:val="00133F22"/>
    <w:rsid w:val="001344C7"/>
    <w:rsid w:val="001346D2"/>
    <w:rsid w:val="00134BD1"/>
    <w:rsid w:val="001357C1"/>
    <w:rsid w:val="00136517"/>
    <w:rsid w:val="001369C5"/>
    <w:rsid w:val="0014115B"/>
    <w:rsid w:val="00141E3C"/>
    <w:rsid w:val="00143102"/>
    <w:rsid w:val="0014329A"/>
    <w:rsid w:val="00143861"/>
    <w:rsid w:val="001440A4"/>
    <w:rsid w:val="00144815"/>
    <w:rsid w:val="00144F89"/>
    <w:rsid w:val="00145537"/>
    <w:rsid w:val="00145D1C"/>
    <w:rsid w:val="00146E05"/>
    <w:rsid w:val="00150055"/>
    <w:rsid w:val="00150AE6"/>
    <w:rsid w:val="00150C40"/>
    <w:rsid w:val="00150D03"/>
    <w:rsid w:val="00151F67"/>
    <w:rsid w:val="0015285A"/>
    <w:rsid w:val="0015313E"/>
    <w:rsid w:val="001531B4"/>
    <w:rsid w:val="001533BA"/>
    <w:rsid w:val="00153787"/>
    <w:rsid w:val="00153BBF"/>
    <w:rsid w:val="001543DB"/>
    <w:rsid w:val="0015440E"/>
    <w:rsid w:val="001552FB"/>
    <w:rsid w:val="00155B83"/>
    <w:rsid w:val="00155E4D"/>
    <w:rsid w:val="00156262"/>
    <w:rsid w:val="001563CA"/>
    <w:rsid w:val="00156979"/>
    <w:rsid w:val="00157320"/>
    <w:rsid w:val="00157C06"/>
    <w:rsid w:val="00157CF4"/>
    <w:rsid w:val="001600D7"/>
    <w:rsid w:val="001608AE"/>
    <w:rsid w:val="00160D3E"/>
    <w:rsid w:val="001613B7"/>
    <w:rsid w:val="00163584"/>
    <w:rsid w:val="001635A4"/>
    <w:rsid w:val="001638BE"/>
    <w:rsid w:val="00163AF5"/>
    <w:rsid w:val="00163E45"/>
    <w:rsid w:val="00164249"/>
    <w:rsid w:val="00165240"/>
    <w:rsid w:val="00165735"/>
    <w:rsid w:val="00166390"/>
    <w:rsid w:val="001666A4"/>
    <w:rsid w:val="00166CED"/>
    <w:rsid w:val="00167F1C"/>
    <w:rsid w:val="00170706"/>
    <w:rsid w:val="00170B25"/>
    <w:rsid w:val="00170BD1"/>
    <w:rsid w:val="001718C5"/>
    <w:rsid w:val="00171A3B"/>
    <w:rsid w:val="00171CE9"/>
    <w:rsid w:val="00171F84"/>
    <w:rsid w:val="0017246C"/>
    <w:rsid w:val="001724A3"/>
    <w:rsid w:val="00173282"/>
    <w:rsid w:val="001734B9"/>
    <w:rsid w:val="00173F97"/>
    <w:rsid w:val="00173FCF"/>
    <w:rsid w:val="00175739"/>
    <w:rsid w:val="00175FAB"/>
    <w:rsid w:val="001760DA"/>
    <w:rsid w:val="001769B1"/>
    <w:rsid w:val="00177096"/>
    <w:rsid w:val="001771F7"/>
    <w:rsid w:val="00180926"/>
    <w:rsid w:val="0018107F"/>
    <w:rsid w:val="00181CCB"/>
    <w:rsid w:val="00181D44"/>
    <w:rsid w:val="00181DE6"/>
    <w:rsid w:val="001821F4"/>
    <w:rsid w:val="001841FA"/>
    <w:rsid w:val="00184F7C"/>
    <w:rsid w:val="00185480"/>
    <w:rsid w:val="0018632C"/>
    <w:rsid w:val="001863AB"/>
    <w:rsid w:val="001866AB"/>
    <w:rsid w:val="00186A0B"/>
    <w:rsid w:val="00186B2C"/>
    <w:rsid w:val="001872B9"/>
    <w:rsid w:val="0018738A"/>
    <w:rsid w:val="00187CB1"/>
    <w:rsid w:val="00187CDD"/>
    <w:rsid w:val="00190215"/>
    <w:rsid w:val="001902E5"/>
    <w:rsid w:val="001904B0"/>
    <w:rsid w:val="00190523"/>
    <w:rsid w:val="00190ED8"/>
    <w:rsid w:val="001914DA"/>
    <w:rsid w:val="00191864"/>
    <w:rsid w:val="00191960"/>
    <w:rsid w:val="001919E8"/>
    <w:rsid w:val="00191DC4"/>
    <w:rsid w:val="0019308B"/>
    <w:rsid w:val="001934E3"/>
    <w:rsid w:val="00194200"/>
    <w:rsid w:val="001942EB"/>
    <w:rsid w:val="00194589"/>
    <w:rsid w:val="001948C3"/>
    <w:rsid w:val="00194924"/>
    <w:rsid w:val="0019500A"/>
    <w:rsid w:val="001958CA"/>
    <w:rsid w:val="00195D31"/>
    <w:rsid w:val="00195E63"/>
    <w:rsid w:val="00196835"/>
    <w:rsid w:val="0019721B"/>
    <w:rsid w:val="00197957"/>
    <w:rsid w:val="001A16A9"/>
    <w:rsid w:val="001A1A33"/>
    <w:rsid w:val="001A1AEE"/>
    <w:rsid w:val="001A1C41"/>
    <w:rsid w:val="001A2E4E"/>
    <w:rsid w:val="001A3D9F"/>
    <w:rsid w:val="001A415B"/>
    <w:rsid w:val="001A43DB"/>
    <w:rsid w:val="001A4BAE"/>
    <w:rsid w:val="001A5641"/>
    <w:rsid w:val="001A58E7"/>
    <w:rsid w:val="001A5C92"/>
    <w:rsid w:val="001A5EEF"/>
    <w:rsid w:val="001A62A0"/>
    <w:rsid w:val="001A68C1"/>
    <w:rsid w:val="001A6B02"/>
    <w:rsid w:val="001A6F5F"/>
    <w:rsid w:val="001A714B"/>
    <w:rsid w:val="001A71C3"/>
    <w:rsid w:val="001A74B6"/>
    <w:rsid w:val="001A7A94"/>
    <w:rsid w:val="001B0531"/>
    <w:rsid w:val="001B0DD6"/>
    <w:rsid w:val="001B0E49"/>
    <w:rsid w:val="001B16EB"/>
    <w:rsid w:val="001B213D"/>
    <w:rsid w:val="001B2294"/>
    <w:rsid w:val="001B3238"/>
    <w:rsid w:val="001B4A8B"/>
    <w:rsid w:val="001B5976"/>
    <w:rsid w:val="001B5ACC"/>
    <w:rsid w:val="001B5C67"/>
    <w:rsid w:val="001B7730"/>
    <w:rsid w:val="001C0AF7"/>
    <w:rsid w:val="001C0E3E"/>
    <w:rsid w:val="001C0F64"/>
    <w:rsid w:val="001C236F"/>
    <w:rsid w:val="001C27CF"/>
    <w:rsid w:val="001C27DF"/>
    <w:rsid w:val="001C34BA"/>
    <w:rsid w:val="001C3AF1"/>
    <w:rsid w:val="001C4E4F"/>
    <w:rsid w:val="001C6458"/>
    <w:rsid w:val="001C6B56"/>
    <w:rsid w:val="001C701F"/>
    <w:rsid w:val="001C71B5"/>
    <w:rsid w:val="001C7CA6"/>
    <w:rsid w:val="001D0D38"/>
    <w:rsid w:val="001D0F2A"/>
    <w:rsid w:val="001D120F"/>
    <w:rsid w:val="001D20A4"/>
    <w:rsid w:val="001D23BC"/>
    <w:rsid w:val="001D23F2"/>
    <w:rsid w:val="001D2E28"/>
    <w:rsid w:val="001D31D7"/>
    <w:rsid w:val="001D355E"/>
    <w:rsid w:val="001D3AB6"/>
    <w:rsid w:val="001D3AC0"/>
    <w:rsid w:val="001D4377"/>
    <w:rsid w:val="001D465D"/>
    <w:rsid w:val="001D4C8D"/>
    <w:rsid w:val="001D55BB"/>
    <w:rsid w:val="001D5D94"/>
    <w:rsid w:val="001D5E18"/>
    <w:rsid w:val="001D5FED"/>
    <w:rsid w:val="001D684F"/>
    <w:rsid w:val="001E02D1"/>
    <w:rsid w:val="001E0C63"/>
    <w:rsid w:val="001E10B5"/>
    <w:rsid w:val="001E148F"/>
    <w:rsid w:val="001E1CC1"/>
    <w:rsid w:val="001E1F5B"/>
    <w:rsid w:val="001E267B"/>
    <w:rsid w:val="001E2BF6"/>
    <w:rsid w:val="001E3014"/>
    <w:rsid w:val="001E3645"/>
    <w:rsid w:val="001E3AEC"/>
    <w:rsid w:val="001E40F0"/>
    <w:rsid w:val="001E4584"/>
    <w:rsid w:val="001E6316"/>
    <w:rsid w:val="001E696A"/>
    <w:rsid w:val="001E6A68"/>
    <w:rsid w:val="001E6C70"/>
    <w:rsid w:val="001E75C5"/>
    <w:rsid w:val="001E784D"/>
    <w:rsid w:val="001F02D9"/>
    <w:rsid w:val="001F0617"/>
    <w:rsid w:val="001F0875"/>
    <w:rsid w:val="001F0D48"/>
    <w:rsid w:val="001F0D4F"/>
    <w:rsid w:val="001F10E4"/>
    <w:rsid w:val="001F14D8"/>
    <w:rsid w:val="001F1853"/>
    <w:rsid w:val="001F2B87"/>
    <w:rsid w:val="001F32A9"/>
    <w:rsid w:val="001F352D"/>
    <w:rsid w:val="001F3734"/>
    <w:rsid w:val="001F388F"/>
    <w:rsid w:val="001F4C94"/>
    <w:rsid w:val="001F50A7"/>
    <w:rsid w:val="001F50E9"/>
    <w:rsid w:val="001F542B"/>
    <w:rsid w:val="001F562A"/>
    <w:rsid w:val="001F56EE"/>
    <w:rsid w:val="001F5959"/>
    <w:rsid w:val="001F5CA6"/>
    <w:rsid w:val="001F5DE0"/>
    <w:rsid w:val="001F606B"/>
    <w:rsid w:val="001F662E"/>
    <w:rsid w:val="001F6E17"/>
    <w:rsid w:val="001F75C1"/>
    <w:rsid w:val="001F7A84"/>
    <w:rsid w:val="001F7EC3"/>
    <w:rsid w:val="0020050E"/>
    <w:rsid w:val="00200DD7"/>
    <w:rsid w:val="0020115A"/>
    <w:rsid w:val="00201F52"/>
    <w:rsid w:val="0020234A"/>
    <w:rsid w:val="00202DFC"/>
    <w:rsid w:val="00204142"/>
    <w:rsid w:val="002056BD"/>
    <w:rsid w:val="00205FBE"/>
    <w:rsid w:val="00206225"/>
    <w:rsid w:val="00206463"/>
    <w:rsid w:val="00206878"/>
    <w:rsid w:val="00206D6A"/>
    <w:rsid w:val="00206DF4"/>
    <w:rsid w:val="002106DB"/>
    <w:rsid w:val="00210FA9"/>
    <w:rsid w:val="0021128A"/>
    <w:rsid w:val="00211891"/>
    <w:rsid w:val="00212153"/>
    <w:rsid w:val="00212499"/>
    <w:rsid w:val="002125D6"/>
    <w:rsid w:val="00212626"/>
    <w:rsid w:val="0021325E"/>
    <w:rsid w:val="002133B5"/>
    <w:rsid w:val="00214CC2"/>
    <w:rsid w:val="00216381"/>
    <w:rsid w:val="00216D6C"/>
    <w:rsid w:val="00217EDD"/>
    <w:rsid w:val="00220601"/>
    <w:rsid w:val="002210A3"/>
    <w:rsid w:val="00221704"/>
    <w:rsid w:val="0022348B"/>
    <w:rsid w:val="002239A4"/>
    <w:rsid w:val="002248DF"/>
    <w:rsid w:val="00224E71"/>
    <w:rsid w:val="00225AE7"/>
    <w:rsid w:val="0022635C"/>
    <w:rsid w:val="00226B69"/>
    <w:rsid w:val="00226F25"/>
    <w:rsid w:val="002277F1"/>
    <w:rsid w:val="0023032D"/>
    <w:rsid w:val="00230D05"/>
    <w:rsid w:val="00230DF5"/>
    <w:rsid w:val="00230EDB"/>
    <w:rsid w:val="002310DC"/>
    <w:rsid w:val="002312B3"/>
    <w:rsid w:val="002339C1"/>
    <w:rsid w:val="00233BD9"/>
    <w:rsid w:val="0023410C"/>
    <w:rsid w:val="00234492"/>
    <w:rsid w:val="00234B7A"/>
    <w:rsid w:val="00234C7A"/>
    <w:rsid w:val="0023591C"/>
    <w:rsid w:val="00235AD7"/>
    <w:rsid w:val="00235C84"/>
    <w:rsid w:val="00237617"/>
    <w:rsid w:val="00237DD4"/>
    <w:rsid w:val="002403AB"/>
    <w:rsid w:val="00240CCC"/>
    <w:rsid w:val="0024172E"/>
    <w:rsid w:val="00241A5C"/>
    <w:rsid w:val="00241F12"/>
    <w:rsid w:val="00242092"/>
    <w:rsid w:val="00242709"/>
    <w:rsid w:val="0024302E"/>
    <w:rsid w:val="002433E8"/>
    <w:rsid w:val="0024369D"/>
    <w:rsid w:val="00243F0E"/>
    <w:rsid w:val="002441BE"/>
    <w:rsid w:val="002447C1"/>
    <w:rsid w:val="002453BE"/>
    <w:rsid w:val="0024656D"/>
    <w:rsid w:val="002468E5"/>
    <w:rsid w:val="00246B28"/>
    <w:rsid w:val="00246BC2"/>
    <w:rsid w:val="00246CF3"/>
    <w:rsid w:val="002501A4"/>
    <w:rsid w:val="002502A8"/>
    <w:rsid w:val="0025120C"/>
    <w:rsid w:val="00251283"/>
    <w:rsid w:val="002513DE"/>
    <w:rsid w:val="00251C4A"/>
    <w:rsid w:val="00251E7B"/>
    <w:rsid w:val="002522E4"/>
    <w:rsid w:val="002528CC"/>
    <w:rsid w:val="00252D16"/>
    <w:rsid w:val="00252F49"/>
    <w:rsid w:val="00253376"/>
    <w:rsid w:val="00253667"/>
    <w:rsid w:val="00253715"/>
    <w:rsid w:val="0025374C"/>
    <w:rsid w:val="00253C52"/>
    <w:rsid w:val="002544BE"/>
    <w:rsid w:val="00254BEC"/>
    <w:rsid w:val="0025597E"/>
    <w:rsid w:val="00255BF6"/>
    <w:rsid w:val="00255DC5"/>
    <w:rsid w:val="00255E37"/>
    <w:rsid w:val="00256D6E"/>
    <w:rsid w:val="00257272"/>
    <w:rsid w:val="00257557"/>
    <w:rsid w:val="00257747"/>
    <w:rsid w:val="00257C0C"/>
    <w:rsid w:val="002600ED"/>
    <w:rsid w:val="0026041B"/>
    <w:rsid w:val="00260586"/>
    <w:rsid w:val="00260593"/>
    <w:rsid w:val="002609CA"/>
    <w:rsid w:val="00261726"/>
    <w:rsid w:val="00261A24"/>
    <w:rsid w:val="00262050"/>
    <w:rsid w:val="00262313"/>
    <w:rsid w:val="00262804"/>
    <w:rsid w:val="00262F55"/>
    <w:rsid w:val="002630F3"/>
    <w:rsid w:val="002634B7"/>
    <w:rsid w:val="00263CDC"/>
    <w:rsid w:val="002645AA"/>
    <w:rsid w:val="002647D1"/>
    <w:rsid w:val="00264E2B"/>
    <w:rsid w:val="0026598F"/>
    <w:rsid w:val="0026658D"/>
    <w:rsid w:val="002674B7"/>
    <w:rsid w:val="0026774F"/>
    <w:rsid w:val="0026776F"/>
    <w:rsid w:val="00267B04"/>
    <w:rsid w:val="0027039C"/>
    <w:rsid w:val="002704A0"/>
    <w:rsid w:val="0027076D"/>
    <w:rsid w:val="002709A1"/>
    <w:rsid w:val="00270C52"/>
    <w:rsid w:val="00270CC8"/>
    <w:rsid w:val="00271456"/>
    <w:rsid w:val="00272CD9"/>
    <w:rsid w:val="00273516"/>
    <w:rsid w:val="00273FCE"/>
    <w:rsid w:val="00274B4D"/>
    <w:rsid w:val="00275110"/>
    <w:rsid w:val="002755BC"/>
    <w:rsid w:val="00275B61"/>
    <w:rsid w:val="0027652D"/>
    <w:rsid w:val="0027768C"/>
    <w:rsid w:val="00277CA8"/>
    <w:rsid w:val="00277EC2"/>
    <w:rsid w:val="0028059E"/>
    <w:rsid w:val="00280E9D"/>
    <w:rsid w:val="00280EB0"/>
    <w:rsid w:val="00281541"/>
    <w:rsid w:val="00281F87"/>
    <w:rsid w:val="002824CA"/>
    <w:rsid w:val="00282762"/>
    <w:rsid w:val="0028343A"/>
    <w:rsid w:val="00283845"/>
    <w:rsid w:val="002846FC"/>
    <w:rsid w:val="00284FD0"/>
    <w:rsid w:val="0028552C"/>
    <w:rsid w:val="002874EA"/>
    <w:rsid w:val="00287CD3"/>
    <w:rsid w:val="00287E74"/>
    <w:rsid w:val="00290204"/>
    <w:rsid w:val="002903D6"/>
    <w:rsid w:val="00290983"/>
    <w:rsid w:val="00291DB8"/>
    <w:rsid w:val="002922EE"/>
    <w:rsid w:val="002923E8"/>
    <w:rsid w:val="002926ED"/>
    <w:rsid w:val="00292897"/>
    <w:rsid w:val="002928D7"/>
    <w:rsid w:val="00293F65"/>
    <w:rsid w:val="00293FD7"/>
    <w:rsid w:val="002940BC"/>
    <w:rsid w:val="00295200"/>
    <w:rsid w:val="00296A4D"/>
    <w:rsid w:val="002973ED"/>
    <w:rsid w:val="002A1EF2"/>
    <w:rsid w:val="002A22AA"/>
    <w:rsid w:val="002A39A3"/>
    <w:rsid w:val="002A3BA3"/>
    <w:rsid w:val="002A3CB1"/>
    <w:rsid w:val="002A425F"/>
    <w:rsid w:val="002A44C2"/>
    <w:rsid w:val="002A4644"/>
    <w:rsid w:val="002A46B7"/>
    <w:rsid w:val="002A4A83"/>
    <w:rsid w:val="002A4ADF"/>
    <w:rsid w:val="002A6A6B"/>
    <w:rsid w:val="002A6EBA"/>
    <w:rsid w:val="002A72EE"/>
    <w:rsid w:val="002A7A32"/>
    <w:rsid w:val="002B0292"/>
    <w:rsid w:val="002B02BA"/>
    <w:rsid w:val="002B055D"/>
    <w:rsid w:val="002B0D7C"/>
    <w:rsid w:val="002B0E33"/>
    <w:rsid w:val="002B1057"/>
    <w:rsid w:val="002B1B61"/>
    <w:rsid w:val="002B1C8D"/>
    <w:rsid w:val="002B2466"/>
    <w:rsid w:val="002B330D"/>
    <w:rsid w:val="002B42FF"/>
    <w:rsid w:val="002B4AD8"/>
    <w:rsid w:val="002B5F9F"/>
    <w:rsid w:val="002B6130"/>
    <w:rsid w:val="002B673E"/>
    <w:rsid w:val="002B6870"/>
    <w:rsid w:val="002B6B4B"/>
    <w:rsid w:val="002B7E97"/>
    <w:rsid w:val="002C0149"/>
    <w:rsid w:val="002C0295"/>
    <w:rsid w:val="002C0DBE"/>
    <w:rsid w:val="002C1004"/>
    <w:rsid w:val="002C1375"/>
    <w:rsid w:val="002C1E19"/>
    <w:rsid w:val="002C209E"/>
    <w:rsid w:val="002C2153"/>
    <w:rsid w:val="002C2224"/>
    <w:rsid w:val="002C2536"/>
    <w:rsid w:val="002C4099"/>
    <w:rsid w:val="002C424A"/>
    <w:rsid w:val="002C4580"/>
    <w:rsid w:val="002C4775"/>
    <w:rsid w:val="002C4792"/>
    <w:rsid w:val="002C4C38"/>
    <w:rsid w:val="002C4D0A"/>
    <w:rsid w:val="002C5383"/>
    <w:rsid w:val="002C5D56"/>
    <w:rsid w:val="002C6D53"/>
    <w:rsid w:val="002C6E0E"/>
    <w:rsid w:val="002C6E3A"/>
    <w:rsid w:val="002C6F79"/>
    <w:rsid w:val="002C73F6"/>
    <w:rsid w:val="002C7C68"/>
    <w:rsid w:val="002D0323"/>
    <w:rsid w:val="002D063F"/>
    <w:rsid w:val="002D0CC4"/>
    <w:rsid w:val="002D12C2"/>
    <w:rsid w:val="002D1988"/>
    <w:rsid w:val="002D19C1"/>
    <w:rsid w:val="002D232A"/>
    <w:rsid w:val="002D2CAE"/>
    <w:rsid w:val="002D2E7E"/>
    <w:rsid w:val="002D35BD"/>
    <w:rsid w:val="002D36C7"/>
    <w:rsid w:val="002D370A"/>
    <w:rsid w:val="002D37B7"/>
    <w:rsid w:val="002D3DCC"/>
    <w:rsid w:val="002D3F19"/>
    <w:rsid w:val="002D42A0"/>
    <w:rsid w:val="002D4FBB"/>
    <w:rsid w:val="002D52F6"/>
    <w:rsid w:val="002D55DE"/>
    <w:rsid w:val="002D57F5"/>
    <w:rsid w:val="002D5F03"/>
    <w:rsid w:val="002D695F"/>
    <w:rsid w:val="002D6981"/>
    <w:rsid w:val="002D6CAE"/>
    <w:rsid w:val="002D713F"/>
    <w:rsid w:val="002D78F5"/>
    <w:rsid w:val="002E0209"/>
    <w:rsid w:val="002E04F8"/>
    <w:rsid w:val="002E0AA5"/>
    <w:rsid w:val="002E120D"/>
    <w:rsid w:val="002E1416"/>
    <w:rsid w:val="002E2C4C"/>
    <w:rsid w:val="002E32B8"/>
    <w:rsid w:val="002E3507"/>
    <w:rsid w:val="002E39C5"/>
    <w:rsid w:val="002E3FE4"/>
    <w:rsid w:val="002E430C"/>
    <w:rsid w:val="002E46BB"/>
    <w:rsid w:val="002E4723"/>
    <w:rsid w:val="002E4DFF"/>
    <w:rsid w:val="002E5A98"/>
    <w:rsid w:val="002E5B4C"/>
    <w:rsid w:val="002E5DE0"/>
    <w:rsid w:val="002E6A8E"/>
    <w:rsid w:val="002E7DE6"/>
    <w:rsid w:val="002E7F0A"/>
    <w:rsid w:val="002F0B8A"/>
    <w:rsid w:val="002F0E87"/>
    <w:rsid w:val="002F13E6"/>
    <w:rsid w:val="002F148C"/>
    <w:rsid w:val="002F1590"/>
    <w:rsid w:val="002F1E2E"/>
    <w:rsid w:val="002F1FB4"/>
    <w:rsid w:val="002F2C27"/>
    <w:rsid w:val="002F375C"/>
    <w:rsid w:val="002F3E7D"/>
    <w:rsid w:val="002F43A6"/>
    <w:rsid w:val="002F4F60"/>
    <w:rsid w:val="002F5420"/>
    <w:rsid w:val="002F5A67"/>
    <w:rsid w:val="002F5FBD"/>
    <w:rsid w:val="002F6488"/>
    <w:rsid w:val="002F6D0E"/>
    <w:rsid w:val="002F7B95"/>
    <w:rsid w:val="003000B4"/>
    <w:rsid w:val="0030097B"/>
    <w:rsid w:val="00300A97"/>
    <w:rsid w:val="00300F4A"/>
    <w:rsid w:val="00301C9A"/>
    <w:rsid w:val="00301F57"/>
    <w:rsid w:val="003026B8"/>
    <w:rsid w:val="003026EB"/>
    <w:rsid w:val="00303137"/>
    <w:rsid w:val="003039DF"/>
    <w:rsid w:val="0030413D"/>
    <w:rsid w:val="00304DAD"/>
    <w:rsid w:val="00304DF1"/>
    <w:rsid w:val="0030566A"/>
    <w:rsid w:val="003056F9"/>
    <w:rsid w:val="00305979"/>
    <w:rsid w:val="00305B81"/>
    <w:rsid w:val="00305DE0"/>
    <w:rsid w:val="0030646F"/>
    <w:rsid w:val="00306CE9"/>
    <w:rsid w:val="00306FE1"/>
    <w:rsid w:val="00307420"/>
    <w:rsid w:val="003074CB"/>
    <w:rsid w:val="003074F7"/>
    <w:rsid w:val="00310623"/>
    <w:rsid w:val="0031074F"/>
    <w:rsid w:val="00310792"/>
    <w:rsid w:val="00310AB1"/>
    <w:rsid w:val="00310FED"/>
    <w:rsid w:val="00311611"/>
    <w:rsid w:val="00311690"/>
    <w:rsid w:val="00313FF8"/>
    <w:rsid w:val="003146F7"/>
    <w:rsid w:val="0031603C"/>
    <w:rsid w:val="0031651E"/>
    <w:rsid w:val="00316F1B"/>
    <w:rsid w:val="00317092"/>
    <w:rsid w:val="003177C2"/>
    <w:rsid w:val="00317C22"/>
    <w:rsid w:val="00320A25"/>
    <w:rsid w:val="00321001"/>
    <w:rsid w:val="00321248"/>
    <w:rsid w:val="00321946"/>
    <w:rsid w:val="00321D92"/>
    <w:rsid w:val="003224C5"/>
    <w:rsid w:val="00322660"/>
    <w:rsid w:val="003226FF"/>
    <w:rsid w:val="003233C4"/>
    <w:rsid w:val="00323436"/>
    <w:rsid w:val="00323A96"/>
    <w:rsid w:val="003241F6"/>
    <w:rsid w:val="003248ED"/>
    <w:rsid w:val="0032622F"/>
    <w:rsid w:val="0032654A"/>
    <w:rsid w:val="00326936"/>
    <w:rsid w:val="003301C6"/>
    <w:rsid w:val="00330618"/>
    <w:rsid w:val="00331A3D"/>
    <w:rsid w:val="0033238F"/>
    <w:rsid w:val="00333A93"/>
    <w:rsid w:val="00335404"/>
    <w:rsid w:val="00335C87"/>
    <w:rsid w:val="003360CD"/>
    <w:rsid w:val="0033692A"/>
    <w:rsid w:val="00336D41"/>
    <w:rsid w:val="0033701B"/>
    <w:rsid w:val="003405CA"/>
    <w:rsid w:val="003408D2"/>
    <w:rsid w:val="00340A08"/>
    <w:rsid w:val="00340B21"/>
    <w:rsid w:val="00340DAB"/>
    <w:rsid w:val="00341BF9"/>
    <w:rsid w:val="003421BD"/>
    <w:rsid w:val="00343144"/>
    <w:rsid w:val="00343C25"/>
    <w:rsid w:val="00344D1A"/>
    <w:rsid w:val="00344DD0"/>
    <w:rsid w:val="00344F5E"/>
    <w:rsid w:val="00344FAF"/>
    <w:rsid w:val="003452DA"/>
    <w:rsid w:val="00345F66"/>
    <w:rsid w:val="003467A1"/>
    <w:rsid w:val="0034752B"/>
    <w:rsid w:val="003501E5"/>
    <w:rsid w:val="0035045F"/>
    <w:rsid w:val="003513E3"/>
    <w:rsid w:val="00351506"/>
    <w:rsid w:val="003516E4"/>
    <w:rsid w:val="00351731"/>
    <w:rsid w:val="00351A7E"/>
    <w:rsid w:val="00351BD6"/>
    <w:rsid w:val="003524B0"/>
    <w:rsid w:val="003527E7"/>
    <w:rsid w:val="00352AA1"/>
    <w:rsid w:val="00352D65"/>
    <w:rsid w:val="00352D90"/>
    <w:rsid w:val="00353588"/>
    <w:rsid w:val="0035368D"/>
    <w:rsid w:val="003537F1"/>
    <w:rsid w:val="00353D93"/>
    <w:rsid w:val="00353F78"/>
    <w:rsid w:val="00354FCC"/>
    <w:rsid w:val="003557B7"/>
    <w:rsid w:val="0035744C"/>
    <w:rsid w:val="00361164"/>
    <w:rsid w:val="00362045"/>
    <w:rsid w:val="003621AD"/>
    <w:rsid w:val="0036262E"/>
    <w:rsid w:val="00362EF5"/>
    <w:rsid w:val="0036300A"/>
    <w:rsid w:val="00363A57"/>
    <w:rsid w:val="00363F68"/>
    <w:rsid w:val="003649E9"/>
    <w:rsid w:val="00365079"/>
    <w:rsid w:val="00365530"/>
    <w:rsid w:val="00366A02"/>
    <w:rsid w:val="0036768B"/>
    <w:rsid w:val="00367B1F"/>
    <w:rsid w:val="003705F2"/>
    <w:rsid w:val="00370E22"/>
    <w:rsid w:val="0037132A"/>
    <w:rsid w:val="00371756"/>
    <w:rsid w:val="00372AE6"/>
    <w:rsid w:val="00373063"/>
    <w:rsid w:val="003736CA"/>
    <w:rsid w:val="00373911"/>
    <w:rsid w:val="00373A66"/>
    <w:rsid w:val="00373ABC"/>
    <w:rsid w:val="00373E25"/>
    <w:rsid w:val="00373E79"/>
    <w:rsid w:val="00373FCA"/>
    <w:rsid w:val="003746AC"/>
    <w:rsid w:val="00374A37"/>
    <w:rsid w:val="00375873"/>
    <w:rsid w:val="0037610F"/>
    <w:rsid w:val="00376A71"/>
    <w:rsid w:val="003770CE"/>
    <w:rsid w:val="00380F81"/>
    <w:rsid w:val="0038170D"/>
    <w:rsid w:val="00381D7C"/>
    <w:rsid w:val="0038203B"/>
    <w:rsid w:val="0038255D"/>
    <w:rsid w:val="003828BA"/>
    <w:rsid w:val="00383890"/>
    <w:rsid w:val="00384555"/>
    <w:rsid w:val="00384BF3"/>
    <w:rsid w:val="00384D6A"/>
    <w:rsid w:val="0038519E"/>
    <w:rsid w:val="003853FB"/>
    <w:rsid w:val="0038615B"/>
    <w:rsid w:val="003868EA"/>
    <w:rsid w:val="00386CBF"/>
    <w:rsid w:val="003870D7"/>
    <w:rsid w:val="003906D3"/>
    <w:rsid w:val="00391382"/>
    <w:rsid w:val="00391BBA"/>
    <w:rsid w:val="0039272A"/>
    <w:rsid w:val="00392FAA"/>
    <w:rsid w:val="003934E6"/>
    <w:rsid w:val="003936FE"/>
    <w:rsid w:val="00393A8D"/>
    <w:rsid w:val="00393D55"/>
    <w:rsid w:val="00393EA4"/>
    <w:rsid w:val="00394061"/>
    <w:rsid w:val="00394612"/>
    <w:rsid w:val="00394CA6"/>
    <w:rsid w:val="00394F18"/>
    <w:rsid w:val="003956A2"/>
    <w:rsid w:val="00395754"/>
    <w:rsid w:val="00397264"/>
    <w:rsid w:val="0039736F"/>
    <w:rsid w:val="00397F46"/>
    <w:rsid w:val="003A0AA5"/>
    <w:rsid w:val="003A1464"/>
    <w:rsid w:val="003A1E87"/>
    <w:rsid w:val="003A2EF8"/>
    <w:rsid w:val="003A3447"/>
    <w:rsid w:val="003A3513"/>
    <w:rsid w:val="003A3D3F"/>
    <w:rsid w:val="003A44F5"/>
    <w:rsid w:val="003A51C6"/>
    <w:rsid w:val="003A6A55"/>
    <w:rsid w:val="003A75F5"/>
    <w:rsid w:val="003B00EA"/>
    <w:rsid w:val="003B0263"/>
    <w:rsid w:val="003B038F"/>
    <w:rsid w:val="003B0B27"/>
    <w:rsid w:val="003B126D"/>
    <w:rsid w:val="003B153B"/>
    <w:rsid w:val="003B1D5A"/>
    <w:rsid w:val="003B1E6B"/>
    <w:rsid w:val="003B1FA4"/>
    <w:rsid w:val="003B22E9"/>
    <w:rsid w:val="003B243A"/>
    <w:rsid w:val="003B248C"/>
    <w:rsid w:val="003B2AFD"/>
    <w:rsid w:val="003B39F0"/>
    <w:rsid w:val="003B3A2A"/>
    <w:rsid w:val="003B3E70"/>
    <w:rsid w:val="003B4644"/>
    <w:rsid w:val="003B4980"/>
    <w:rsid w:val="003B4F2D"/>
    <w:rsid w:val="003B558E"/>
    <w:rsid w:val="003B5799"/>
    <w:rsid w:val="003B5A75"/>
    <w:rsid w:val="003B773D"/>
    <w:rsid w:val="003C09A2"/>
    <w:rsid w:val="003C1032"/>
    <w:rsid w:val="003C1C19"/>
    <w:rsid w:val="003C1CFC"/>
    <w:rsid w:val="003C27A2"/>
    <w:rsid w:val="003C2C05"/>
    <w:rsid w:val="003C35B8"/>
    <w:rsid w:val="003C380A"/>
    <w:rsid w:val="003C3850"/>
    <w:rsid w:val="003C3963"/>
    <w:rsid w:val="003C3B73"/>
    <w:rsid w:val="003C4323"/>
    <w:rsid w:val="003C554A"/>
    <w:rsid w:val="003C5635"/>
    <w:rsid w:val="003C5C5B"/>
    <w:rsid w:val="003C6664"/>
    <w:rsid w:val="003C66C2"/>
    <w:rsid w:val="003C681E"/>
    <w:rsid w:val="003C6D08"/>
    <w:rsid w:val="003C7323"/>
    <w:rsid w:val="003C76A1"/>
    <w:rsid w:val="003C7BBC"/>
    <w:rsid w:val="003C7E0E"/>
    <w:rsid w:val="003D0354"/>
    <w:rsid w:val="003D06F5"/>
    <w:rsid w:val="003D0EDD"/>
    <w:rsid w:val="003D173E"/>
    <w:rsid w:val="003D1E17"/>
    <w:rsid w:val="003D22D5"/>
    <w:rsid w:val="003D24D7"/>
    <w:rsid w:val="003D2B4B"/>
    <w:rsid w:val="003D2BAD"/>
    <w:rsid w:val="003D2DA4"/>
    <w:rsid w:val="003D2E71"/>
    <w:rsid w:val="003D39BC"/>
    <w:rsid w:val="003D3DF6"/>
    <w:rsid w:val="003D3F4C"/>
    <w:rsid w:val="003D3FE8"/>
    <w:rsid w:val="003D4218"/>
    <w:rsid w:val="003D42CA"/>
    <w:rsid w:val="003D5264"/>
    <w:rsid w:val="003D6201"/>
    <w:rsid w:val="003D6DFF"/>
    <w:rsid w:val="003D7979"/>
    <w:rsid w:val="003D7E78"/>
    <w:rsid w:val="003E03FF"/>
    <w:rsid w:val="003E15FC"/>
    <w:rsid w:val="003E1B37"/>
    <w:rsid w:val="003E2189"/>
    <w:rsid w:val="003E2231"/>
    <w:rsid w:val="003E2D16"/>
    <w:rsid w:val="003E3495"/>
    <w:rsid w:val="003E37ED"/>
    <w:rsid w:val="003E37F4"/>
    <w:rsid w:val="003E386F"/>
    <w:rsid w:val="003E465D"/>
    <w:rsid w:val="003E55A9"/>
    <w:rsid w:val="003E5938"/>
    <w:rsid w:val="003E6558"/>
    <w:rsid w:val="003E6F05"/>
    <w:rsid w:val="003E6F32"/>
    <w:rsid w:val="003E7A46"/>
    <w:rsid w:val="003E7C5C"/>
    <w:rsid w:val="003F0C9D"/>
    <w:rsid w:val="003F0D84"/>
    <w:rsid w:val="003F1A29"/>
    <w:rsid w:val="003F2332"/>
    <w:rsid w:val="003F2356"/>
    <w:rsid w:val="003F2424"/>
    <w:rsid w:val="003F2A5C"/>
    <w:rsid w:val="003F33C6"/>
    <w:rsid w:val="003F3855"/>
    <w:rsid w:val="003F3900"/>
    <w:rsid w:val="003F3BD0"/>
    <w:rsid w:val="003F3C25"/>
    <w:rsid w:val="003F4366"/>
    <w:rsid w:val="003F4884"/>
    <w:rsid w:val="003F4BC9"/>
    <w:rsid w:val="003F52AD"/>
    <w:rsid w:val="003F58D7"/>
    <w:rsid w:val="003F5B3E"/>
    <w:rsid w:val="003F6329"/>
    <w:rsid w:val="003F6983"/>
    <w:rsid w:val="003F6DFE"/>
    <w:rsid w:val="003F7ABB"/>
    <w:rsid w:val="003F7D3A"/>
    <w:rsid w:val="003F7ED5"/>
    <w:rsid w:val="0040015F"/>
    <w:rsid w:val="0040077A"/>
    <w:rsid w:val="00401210"/>
    <w:rsid w:val="00401ABB"/>
    <w:rsid w:val="00401EFC"/>
    <w:rsid w:val="004024B0"/>
    <w:rsid w:val="0040258E"/>
    <w:rsid w:val="00402DE3"/>
    <w:rsid w:val="00403474"/>
    <w:rsid w:val="0040385D"/>
    <w:rsid w:val="00403F22"/>
    <w:rsid w:val="0040446F"/>
    <w:rsid w:val="004050A6"/>
    <w:rsid w:val="00405529"/>
    <w:rsid w:val="00405958"/>
    <w:rsid w:val="00405E9A"/>
    <w:rsid w:val="004067A3"/>
    <w:rsid w:val="0040696A"/>
    <w:rsid w:val="00406EB0"/>
    <w:rsid w:val="00410F1F"/>
    <w:rsid w:val="00410F7D"/>
    <w:rsid w:val="00411200"/>
    <w:rsid w:val="004112AA"/>
    <w:rsid w:val="0041155F"/>
    <w:rsid w:val="0041191B"/>
    <w:rsid w:val="00411B8A"/>
    <w:rsid w:val="00411C4A"/>
    <w:rsid w:val="004124FE"/>
    <w:rsid w:val="00412D71"/>
    <w:rsid w:val="0041354D"/>
    <w:rsid w:val="00414152"/>
    <w:rsid w:val="004143A8"/>
    <w:rsid w:val="00414E56"/>
    <w:rsid w:val="004155C6"/>
    <w:rsid w:val="004165BE"/>
    <w:rsid w:val="00416B07"/>
    <w:rsid w:val="00416C5B"/>
    <w:rsid w:val="00416F0A"/>
    <w:rsid w:val="004175EE"/>
    <w:rsid w:val="00417DA3"/>
    <w:rsid w:val="00420294"/>
    <w:rsid w:val="004205B3"/>
    <w:rsid w:val="00421A4C"/>
    <w:rsid w:val="00421C9C"/>
    <w:rsid w:val="00421CEE"/>
    <w:rsid w:val="00422A2D"/>
    <w:rsid w:val="004233B7"/>
    <w:rsid w:val="00423650"/>
    <w:rsid w:val="00423A79"/>
    <w:rsid w:val="00423C4F"/>
    <w:rsid w:val="0042472C"/>
    <w:rsid w:val="00424A37"/>
    <w:rsid w:val="0042506C"/>
    <w:rsid w:val="00425B44"/>
    <w:rsid w:val="00425B55"/>
    <w:rsid w:val="00425FCD"/>
    <w:rsid w:val="004272E1"/>
    <w:rsid w:val="00427B53"/>
    <w:rsid w:val="0043080A"/>
    <w:rsid w:val="00431B0D"/>
    <w:rsid w:val="00431CEB"/>
    <w:rsid w:val="00432DD6"/>
    <w:rsid w:val="0043340C"/>
    <w:rsid w:val="00433727"/>
    <w:rsid w:val="00433ECD"/>
    <w:rsid w:val="0043411B"/>
    <w:rsid w:val="00434D61"/>
    <w:rsid w:val="004354D5"/>
    <w:rsid w:val="00435E77"/>
    <w:rsid w:val="004374CD"/>
    <w:rsid w:val="004376E7"/>
    <w:rsid w:val="00437E34"/>
    <w:rsid w:val="004417ED"/>
    <w:rsid w:val="00442FC0"/>
    <w:rsid w:val="004431A4"/>
    <w:rsid w:val="0044391B"/>
    <w:rsid w:val="0044435C"/>
    <w:rsid w:val="00444917"/>
    <w:rsid w:val="0044491E"/>
    <w:rsid w:val="00444D0E"/>
    <w:rsid w:val="004456B1"/>
    <w:rsid w:val="00445DFA"/>
    <w:rsid w:val="004466E0"/>
    <w:rsid w:val="00447F91"/>
    <w:rsid w:val="0045013F"/>
    <w:rsid w:val="00450651"/>
    <w:rsid w:val="00450CCD"/>
    <w:rsid w:val="00453477"/>
    <w:rsid w:val="00453B89"/>
    <w:rsid w:val="00454507"/>
    <w:rsid w:val="00454640"/>
    <w:rsid w:val="00454F85"/>
    <w:rsid w:val="0045554E"/>
    <w:rsid w:val="004575E6"/>
    <w:rsid w:val="00457E27"/>
    <w:rsid w:val="0046298E"/>
    <w:rsid w:val="00463DD3"/>
    <w:rsid w:val="0046410B"/>
    <w:rsid w:val="00464D5E"/>
    <w:rsid w:val="00464E77"/>
    <w:rsid w:val="0046650C"/>
    <w:rsid w:val="00467115"/>
    <w:rsid w:val="00467468"/>
    <w:rsid w:val="0046760E"/>
    <w:rsid w:val="00467E36"/>
    <w:rsid w:val="0047031F"/>
    <w:rsid w:val="00470AB7"/>
    <w:rsid w:val="004710B8"/>
    <w:rsid w:val="0047123D"/>
    <w:rsid w:val="004719E8"/>
    <w:rsid w:val="00472B8D"/>
    <w:rsid w:val="00473868"/>
    <w:rsid w:val="00473F93"/>
    <w:rsid w:val="004740B1"/>
    <w:rsid w:val="00474A04"/>
    <w:rsid w:val="00475897"/>
    <w:rsid w:val="0047610D"/>
    <w:rsid w:val="004767AE"/>
    <w:rsid w:val="00476940"/>
    <w:rsid w:val="00476A0C"/>
    <w:rsid w:val="00477A6A"/>
    <w:rsid w:val="0048054C"/>
    <w:rsid w:val="00480FDF"/>
    <w:rsid w:val="00481171"/>
    <w:rsid w:val="00481A39"/>
    <w:rsid w:val="00481D3F"/>
    <w:rsid w:val="00481E5B"/>
    <w:rsid w:val="00482561"/>
    <w:rsid w:val="00483199"/>
    <w:rsid w:val="004847DC"/>
    <w:rsid w:val="00484FB0"/>
    <w:rsid w:val="004855BF"/>
    <w:rsid w:val="00486272"/>
    <w:rsid w:val="00486433"/>
    <w:rsid w:val="00486DC2"/>
    <w:rsid w:val="004873D3"/>
    <w:rsid w:val="004876F8"/>
    <w:rsid w:val="0048793E"/>
    <w:rsid w:val="00487B07"/>
    <w:rsid w:val="00487C6B"/>
    <w:rsid w:val="004916E4"/>
    <w:rsid w:val="004917DE"/>
    <w:rsid w:val="00491835"/>
    <w:rsid w:val="00491AD2"/>
    <w:rsid w:val="004928B0"/>
    <w:rsid w:val="00493F3B"/>
    <w:rsid w:val="00494185"/>
    <w:rsid w:val="00494A95"/>
    <w:rsid w:val="00495870"/>
    <w:rsid w:val="00495A89"/>
    <w:rsid w:val="00496795"/>
    <w:rsid w:val="00496ACA"/>
    <w:rsid w:val="004970AD"/>
    <w:rsid w:val="004974CF"/>
    <w:rsid w:val="004974FF"/>
    <w:rsid w:val="004978C1"/>
    <w:rsid w:val="004A03AD"/>
    <w:rsid w:val="004A0427"/>
    <w:rsid w:val="004A06D9"/>
    <w:rsid w:val="004A0BFD"/>
    <w:rsid w:val="004A14E9"/>
    <w:rsid w:val="004A3329"/>
    <w:rsid w:val="004A3E75"/>
    <w:rsid w:val="004A4188"/>
    <w:rsid w:val="004A4D99"/>
    <w:rsid w:val="004A4E60"/>
    <w:rsid w:val="004A4EC7"/>
    <w:rsid w:val="004A6327"/>
    <w:rsid w:val="004A7053"/>
    <w:rsid w:val="004A7602"/>
    <w:rsid w:val="004A76DC"/>
    <w:rsid w:val="004B058F"/>
    <w:rsid w:val="004B08B2"/>
    <w:rsid w:val="004B1166"/>
    <w:rsid w:val="004B1267"/>
    <w:rsid w:val="004B1E9E"/>
    <w:rsid w:val="004B20D1"/>
    <w:rsid w:val="004B2642"/>
    <w:rsid w:val="004B2CFD"/>
    <w:rsid w:val="004B3181"/>
    <w:rsid w:val="004B3732"/>
    <w:rsid w:val="004B382E"/>
    <w:rsid w:val="004B459B"/>
    <w:rsid w:val="004B4C72"/>
    <w:rsid w:val="004B4DBB"/>
    <w:rsid w:val="004B56F9"/>
    <w:rsid w:val="004B5D69"/>
    <w:rsid w:val="004B5E42"/>
    <w:rsid w:val="004B5ED6"/>
    <w:rsid w:val="004B5F11"/>
    <w:rsid w:val="004B6742"/>
    <w:rsid w:val="004B67EA"/>
    <w:rsid w:val="004B72CC"/>
    <w:rsid w:val="004B7849"/>
    <w:rsid w:val="004B7AD8"/>
    <w:rsid w:val="004B7BDF"/>
    <w:rsid w:val="004C0BFB"/>
    <w:rsid w:val="004C1309"/>
    <w:rsid w:val="004C287D"/>
    <w:rsid w:val="004C30F0"/>
    <w:rsid w:val="004C39E7"/>
    <w:rsid w:val="004C3F22"/>
    <w:rsid w:val="004C3FDD"/>
    <w:rsid w:val="004C50AB"/>
    <w:rsid w:val="004C615B"/>
    <w:rsid w:val="004C6341"/>
    <w:rsid w:val="004C6857"/>
    <w:rsid w:val="004C6BA0"/>
    <w:rsid w:val="004C7106"/>
    <w:rsid w:val="004C7810"/>
    <w:rsid w:val="004C7AD9"/>
    <w:rsid w:val="004D0354"/>
    <w:rsid w:val="004D08AF"/>
    <w:rsid w:val="004D0E53"/>
    <w:rsid w:val="004D1770"/>
    <w:rsid w:val="004D1965"/>
    <w:rsid w:val="004D1A88"/>
    <w:rsid w:val="004D26B2"/>
    <w:rsid w:val="004D2DED"/>
    <w:rsid w:val="004D2E45"/>
    <w:rsid w:val="004D37A1"/>
    <w:rsid w:val="004D3A05"/>
    <w:rsid w:val="004D4C48"/>
    <w:rsid w:val="004D5C94"/>
    <w:rsid w:val="004D640C"/>
    <w:rsid w:val="004D69B4"/>
    <w:rsid w:val="004D6A5F"/>
    <w:rsid w:val="004D7989"/>
    <w:rsid w:val="004D7C30"/>
    <w:rsid w:val="004D7CD2"/>
    <w:rsid w:val="004E00A3"/>
    <w:rsid w:val="004E0623"/>
    <w:rsid w:val="004E1230"/>
    <w:rsid w:val="004E1EB4"/>
    <w:rsid w:val="004E3A1A"/>
    <w:rsid w:val="004E4111"/>
    <w:rsid w:val="004E4285"/>
    <w:rsid w:val="004E4AFF"/>
    <w:rsid w:val="004E5069"/>
    <w:rsid w:val="004E6542"/>
    <w:rsid w:val="004E678D"/>
    <w:rsid w:val="004E7292"/>
    <w:rsid w:val="004E75FE"/>
    <w:rsid w:val="004E7F54"/>
    <w:rsid w:val="004F01B1"/>
    <w:rsid w:val="004F075B"/>
    <w:rsid w:val="004F0C0D"/>
    <w:rsid w:val="004F1FA2"/>
    <w:rsid w:val="004F31EC"/>
    <w:rsid w:val="004F3AFA"/>
    <w:rsid w:val="004F3EA0"/>
    <w:rsid w:val="004F419B"/>
    <w:rsid w:val="004F4518"/>
    <w:rsid w:val="004F4D91"/>
    <w:rsid w:val="004F4EA1"/>
    <w:rsid w:val="004F5297"/>
    <w:rsid w:val="004F5CA2"/>
    <w:rsid w:val="004F6397"/>
    <w:rsid w:val="004F69B7"/>
    <w:rsid w:val="004F6B45"/>
    <w:rsid w:val="004F6E93"/>
    <w:rsid w:val="004F748E"/>
    <w:rsid w:val="004F760C"/>
    <w:rsid w:val="004F79BB"/>
    <w:rsid w:val="00500568"/>
    <w:rsid w:val="00501300"/>
    <w:rsid w:val="0050135C"/>
    <w:rsid w:val="00501383"/>
    <w:rsid w:val="005016A9"/>
    <w:rsid w:val="00501897"/>
    <w:rsid w:val="00501DCF"/>
    <w:rsid w:val="00501E7B"/>
    <w:rsid w:val="00502228"/>
    <w:rsid w:val="005023DC"/>
    <w:rsid w:val="00502560"/>
    <w:rsid w:val="0050276C"/>
    <w:rsid w:val="00502D82"/>
    <w:rsid w:val="0050394F"/>
    <w:rsid w:val="005040F2"/>
    <w:rsid w:val="0050467C"/>
    <w:rsid w:val="005046F6"/>
    <w:rsid w:val="00504E44"/>
    <w:rsid w:val="005056B3"/>
    <w:rsid w:val="0050585D"/>
    <w:rsid w:val="00505880"/>
    <w:rsid w:val="00505AED"/>
    <w:rsid w:val="005070CD"/>
    <w:rsid w:val="00507462"/>
    <w:rsid w:val="00507530"/>
    <w:rsid w:val="00507D4E"/>
    <w:rsid w:val="0051076D"/>
    <w:rsid w:val="005107EB"/>
    <w:rsid w:val="00510ACD"/>
    <w:rsid w:val="00511C78"/>
    <w:rsid w:val="00512227"/>
    <w:rsid w:val="005130AB"/>
    <w:rsid w:val="005137F0"/>
    <w:rsid w:val="00513B89"/>
    <w:rsid w:val="00514815"/>
    <w:rsid w:val="00514C92"/>
    <w:rsid w:val="0051574E"/>
    <w:rsid w:val="0051588A"/>
    <w:rsid w:val="00516056"/>
    <w:rsid w:val="00516680"/>
    <w:rsid w:val="0051694B"/>
    <w:rsid w:val="00517089"/>
    <w:rsid w:val="005178D5"/>
    <w:rsid w:val="00517A1E"/>
    <w:rsid w:val="00517AAB"/>
    <w:rsid w:val="005204F3"/>
    <w:rsid w:val="00520692"/>
    <w:rsid w:val="00520E32"/>
    <w:rsid w:val="00521117"/>
    <w:rsid w:val="00521419"/>
    <w:rsid w:val="005217C0"/>
    <w:rsid w:val="00521861"/>
    <w:rsid w:val="0052273E"/>
    <w:rsid w:val="005230C3"/>
    <w:rsid w:val="0052340C"/>
    <w:rsid w:val="00523956"/>
    <w:rsid w:val="00523CAB"/>
    <w:rsid w:val="00523FAC"/>
    <w:rsid w:val="0052423E"/>
    <w:rsid w:val="005245A2"/>
    <w:rsid w:val="005246D4"/>
    <w:rsid w:val="005252CC"/>
    <w:rsid w:val="0052555D"/>
    <w:rsid w:val="005255F2"/>
    <w:rsid w:val="00525636"/>
    <w:rsid w:val="005256DD"/>
    <w:rsid w:val="00526021"/>
    <w:rsid w:val="00527A07"/>
    <w:rsid w:val="00527E60"/>
    <w:rsid w:val="0053000B"/>
    <w:rsid w:val="00530AC7"/>
    <w:rsid w:val="00530CE0"/>
    <w:rsid w:val="00530DE8"/>
    <w:rsid w:val="00530F9F"/>
    <w:rsid w:val="00531919"/>
    <w:rsid w:val="00532187"/>
    <w:rsid w:val="005331A5"/>
    <w:rsid w:val="005339B1"/>
    <w:rsid w:val="0053435F"/>
    <w:rsid w:val="0053477E"/>
    <w:rsid w:val="00535170"/>
    <w:rsid w:val="00535513"/>
    <w:rsid w:val="00535A8C"/>
    <w:rsid w:val="00536365"/>
    <w:rsid w:val="0053649C"/>
    <w:rsid w:val="005369C1"/>
    <w:rsid w:val="00537138"/>
    <w:rsid w:val="005372C9"/>
    <w:rsid w:val="00537577"/>
    <w:rsid w:val="0053796A"/>
    <w:rsid w:val="00540509"/>
    <w:rsid w:val="0054053A"/>
    <w:rsid w:val="00541894"/>
    <w:rsid w:val="005418EE"/>
    <w:rsid w:val="00541E39"/>
    <w:rsid w:val="0054236F"/>
    <w:rsid w:val="00542C2C"/>
    <w:rsid w:val="00542E32"/>
    <w:rsid w:val="00542ECA"/>
    <w:rsid w:val="00542F5F"/>
    <w:rsid w:val="005437A9"/>
    <w:rsid w:val="00543A3F"/>
    <w:rsid w:val="00543BDB"/>
    <w:rsid w:val="0054450E"/>
    <w:rsid w:val="0054495C"/>
    <w:rsid w:val="00544AA8"/>
    <w:rsid w:val="00544AC1"/>
    <w:rsid w:val="00544D90"/>
    <w:rsid w:val="00544F17"/>
    <w:rsid w:val="00544F86"/>
    <w:rsid w:val="00545A48"/>
    <w:rsid w:val="00546369"/>
    <w:rsid w:val="0054659E"/>
    <w:rsid w:val="005467ED"/>
    <w:rsid w:val="00546813"/>
    <w:rsid w:val="005468BC"/>
    <w:rsid w:val="00551CC8"/>
    <w:rsid w:val="00552075"/>
    <w:rsid w:val="00553377"/>
    <w:rsid w:val="00553943"/>
    <w:rsid w:val="0055406E"/>
    <w:rsid w:val="00554341"/>
    <w:rsid w:val="00554617"/>
    <w:rsid w:val="00554C29"/>
    <w:rsid w:val="0055516F"/>
    <w:rsid w:val="00555A02"/>
    <w:rsid w:val="00555C37"/>
    <w:rsid w:val="00556555"/>
    <w:rsid w:val="0055672C"/>
    <w:rsid w:val="00556B24"/>
    <w:rsid w:val="005571C1"/>
    <w:rsid w:val="005571DC"/>
    <w:rsid w:val="005574F9"/>
    <w:rsid w:val="00557553"/>
    <w:rsid w:val="005575C1"/>
    <w:rsid w:val="00557718"/>
    <w:rsid w:val="005578A4"/>
    <w:rsid w:val="00557EB5"/>
    <w:rsid w:val="005625D1"/>
    <w:rsid w:val="00562DAB"/>
    <w:rsid w:val="0056425D"/>
    <w:rsid w:val="0056478C"/>
    <w:rsid w:val="00564E7A"/>
    <w:rsid w:val="00565215"/>
    <w:rsid w:val="00565970"/>
    <w:rsid w:val="00566020"/>
    <w:rsid w:val="00566713"/>
    <w:rsid w:val="00566852"/>
    <w:rsid w:val="00566DE1"/>
    <w:rsid w:val="0056766B"/>
    <w:rsid w:val="00567C8C"/>
    <w:rsid w:val="005725D7"/>
    <w:rsid w:val="005733B0"/>
    <w:rsid w:val="005735F4"/>
    <w:rsid w:val="00573722"/>
    <w:rsid w:val="0057372A"/>
    <w:rsid w:val="00573EE5"/>
    <w:rsid w:val="00574139"/>
    <w:rsid w:val="00574930"/>
    <w:rsid w:val="00574F3D"/>
    <w:rsid w:val="0057566E"/>
    <w:rsid w:val="005758EA"/>
    <w:rsid w:val="005760F0"/>
    <w:rsid w:val="005765F3"/>
    <w:rsid w:val="00576B47"/>
    <w:rsid w:val="005773A7"/>
    <w:rsid w:val="00577497"/>
    <w:rsid w:val="00580971"/>
    <w:rsid w:val="0058099B"/>
    <w:rsid w:val="005809BA"/>
    <w:rsid w:val="00580D12"/>
    <w:rsid w:val="0058108C"/>
    <w:rsid w:val="005813A0"/>
    <w:rsid w:val="00581798"/>
    <w:rsid w:val="00581A18"/>
    <w:rsid w:val="00582E32"/>
    <w:rsid w:val="005837D7"/>
    <w:rsid w:val="0058404F"/>
    <w:rsid w:val="00584D94"/>
    <w:rsid w:val="00584F6E"/>
    <w:rsid w:val="005861F5"/>
    <w:rsid w:val="00586448"/>
    <w:rsid w:val="00586936"/>
    <w:rsid w:val="00587590"/>
    <w:rsid w:val="0058760A"/>
    <w:rsid w:val="00587971"/>
    <w:rsid w:val="00587DB7"/>
    <w:rsid w:val="00590C13"/>
    <w:rsid w:val="00591771"/>
    <w:rsid w:val="0059190C"/>
    <w:rsid w:val="00591C40"/>
    <w:rsid w:val="0059296C"/>
    <w:rsid w:val="00593A00"/>
    <w:rsid w:val="005940EB"/>
    <w:rsid w:val="005944C1"/>
    <w:rsid w:val="00595308"/>
    <w:rsid w:val="005954A7"/>
    <w:rsid w:val="00596858"/>
    <w:rsid w:val="00596D1C"/>
    <w:rsid w:val="00596D54"/>
    <w:rsid w:val="00597674"/>
    <w:rsid w:val="00597884"/>
    <w:rsid w:val="00597CC2"/>
    <w:rsid w:val="00597EC7"/>
    <w:rsid w:val="005A0212"/>
    <w:rsid w:val="005A0479"/>
    <w:rsid w:val="005A0B66"/>
    <w:rsid w:val="005A0F7E"/>
    <w:rsid w:val="005A128F"/>
    <w:rsid w:val="005A229B"/>
    <w:rsid w:val="005A24D7"/>
    <w:rsid w:val="005A25DE"/>
    <w:rsid w:val="005A32DD"/>
    <w:rsid w:val="005A33CD"/>
    <w:rsid w:val="005A392A"/>
    <w:rsid w:val="005A3A50"/>
    <w:rsid w:val="005A3C44"/>
    <w:rsid w:val="005A3C83"/>
    <w:rsid w:val="005A3DA6"/>
    <w:rsid w:val="005A3E4B"/>
    <w:rsid w:val="005A3FF5"/>
    <w:rsid w:val="005A45AB"/>
    <w:rsid w:val="005A4BEE"/>
    <w:rsid w:val="005A4DC0"/>
    <w:rsid w:val="005A5D6E"/>
    <w:rsid w:val="005A6226"/>
    <w:rsid w:val="005A6407"/>
    <w:rsid w:val="005A641F"/>
    <w:rsid w:val="005A6DA4"/>
    <w:rsid w:val="005A794E"/>
    <w:rsid w:val="005B04AD"/>
    <w:rsid w:val="005B0FEE"/>
    <w:rsid w:val="005B1267"/>
    <w:rsid w:val="005B1379"/>
    <w:rsid w:val="005B160A"/>
    <w:rsid w:val="005B1935"/>
    <w:rsid w:val="005B1BB2"/>
    <w:rsid w:val="005B1C83"/>
    <w:rsid w:val="005B2238"/>
    <w:rsid w:val="005B2242"/>
    <w:rsid w:val="005B2569"/>
    <w:rsid w:val="005B2E8F"/>
    <w:rsid w:val="005B312A"/>
    <w:rsid w:val="005B398E"/>
    <w:rsid w:val="005B3E44"/>
    <w:rsid w:val="005B3F2A"/>
    <w:rsid w:val="005B3F3B"/>
    <w:rsid w:val="005B4128"/>
    <w:rsid w:val="005B4208"/>
    <w:rsid w:val="005B42B6"/>
    <w:rsid w:val="005B434C"/>
    <w:rsid w:val="005B5018"/>
    <w:rsid w:val="005B5808"/>
    <w:rsid w:val="005B5B6C"/>
    <w:rsid w:val="005B5E35"/>
    <w:rsid w:val="005B668C"/>
    <w:rsid w:val="005B68BA"/>
    <w:rsid w:val="005B6E9D"/>
    <w:rsid w:val="005B7314"/>
    <w:rsid w:val="005B756A"/>
    <w:rsid w:val="005C039E"/>
    <w:rsid w:val="005C123A"/>
    <w:rsid w:val="005C2CC2"/>
    <w:rsid w:val="005C4558"/>
    <w:rsid w:val="005C46DF"/>
    <w:rsid w:val="005C4C15"/>
    <w:rsid w:val="005C4C84"/>
    <w:rsid w:val="005C55D7"/>
    <w:rsid w:val="005C5D23"/>
    <w:rsid w:val="005C76DF"/>
    <w:rsid w:val="005C7843"/>
    <w:rsid w:val="005C7A73"/>
    <w:rsid w:val="005D0F72"/>
    <w:rsid w:val="005D14EA"/>
    <w:rsid w:val="005D15CD"/>
    <w:rsid w:val="005D1830"/>
    <w:rsid w:val="005D1876"/>
    <w:rsid w:val="005D2653"/>
    <w:rsid w:val="005D2C7C"/>
    <w:rsid w:val="005D2E4B"/>
    <w:rsid w:val="005D2FFB"/>
    <w:rsid w:val="005D3056"/>
    <w:rsid w:val="005D30A0"/>
    <w:rsid w:val="005D3AC8"/>
    <w:rsid w:val="005D4A70"/>
    <w:rsid w:val="005D4FBC"/>
    <w:rsid w:val="005D508A"/>
    <w:rsid w:val="005D51F1"/>
    <w:rsid w:val="005D551F"/>
    <w:rsid w:val="005D583D"/>
    <w:rsid w:val="005D589F"/>
    <w:rsid w:val="005D5E97"/>
    <w:rsid w:val="005D6D72"/>
    <w:rsid w:val="005D6EC0"/>
    <w:rsid w:val="005E04E8"/>
    <w:rsid w:val="005E0538"/>
    <w:rsid w:val="005E079D"/>
    <w:rsid w:val="005E13A7"/>
    <w:rsid w:val="005E17D9"/>
    <w:rsid w:val="005E1E8A"/>
    <w:rsid w:val="005E250F"/>
    <w:rsid w:val="005E2806"/>
    <w:rsid w:val="005E3AF0"/>
    <w:rsid w:val="005E43F2"/>
    <w:rsid w:val="005E4FBB"/>
    <w:rsid w:val="005E5412"/>
    <w:rsid w:val="005E595D"/>
    <w:rsid w:val="005E5A3A"/>
    <w:rsid w:val="005E5CC2"/>
    <w:rsid w:val="005E62B7"/>
    <w:rsid w:val="005E6B1F"/>
    <w:rsid w:val="005E7F3F"/>
    <w:rsid w:val="005F2164"/>
    <w:rsid w:val="005F22FA"/>
    <w:rsid w:val="005F3150"/>
    <w:rsid w:val="005F4069"/>
    <w:rsid w:val="005F44A2"/>
    <w:rsid w:val="005F49EC"/>
    <w:rsid w:val="005F4C7B"/>
    <w:rsid w:val="005F5AFE"/>
    <w:rsid w:val="005F5F8C"/>
    <w:rsid w:val="005F697D"/>
    <w:rsid w:val="005F6ED6"/>
    <w:rsid w:val="005F7102"/>
    <w:rsid w:val="005F757C"/>
    <w:rsid w:val="005F7EB7"/>
    <w:rsid w:val="00600D04"/>
    <w:rsid w:val="006023B9"/>
    <w:rsid w:val="006023E9"/>
    <w:rsid w:val="00602441"/>
    <w:rsid w:val="00603BE1"/>
    <w:rsid w:val="00603CD7"/>
    <w:rsid w:val="006044D5"/>
    <w:rsid w:val="00604532"/>
    <w:rsid w:val="00604AA1"/>
    <w:rsid w:val="00605D73"/>
    <w:rsid w:val="00606724"/>
    <w:rsid w:val="00607018"/>
    <w:rsid w:val="0061027F"/>
    <w:rsid w:val="00610D73"/>
    <w:rsid w:val="0061134F"/>
    <w:rsid w:val="0061187E"/>
    <w:rsid w:val="00611E3B"/>
    <w:rsid w:val="006121FC"/>
    <w:rsid w:val="006122A8"/>
    <w:rsid w:val="0061230C"/>
    <w:rsid w:val="006144AF"/>
    <w:rsid w:val="006145E8"/>
    <w:rsid w:val="0061578D"/>
    <w:rsid w:val="00615839"/>
    <w:rsid w:val="006159D1"/>
    <w:rsid w:val="00616ADB"/>
    <w:rsid w:val="0061740D"/>
    <w:rsid w:val="00617847"/>
    <w:rsid w:val="00617C09"/>
    <w:rsid w:val="00620181"/>
    <w:rsid w:val="006203C0"/>
    <w:rsid w:val="0062148A"/>
    <w:rsid w:val="00621628"/>
    <w:rsid w:val="00621AB5"/>
    <w:rsid w:val="00622769"/>
    <w:rsid w:val="00622AFF"/>
    <w:rsid w:val="00622E50"/>
    <w:rsid w:val="006235AB"/>
    <w:rsid w:val="00623683"/>
    <w:rsid w:val="00623D92"/>
    <w:rsid w:val="00624E95"/>
    <w:rsid w:val="00625551"/>
    <w:rsid w:val="006262FF"/>
    <w:rsid w:val="006263A1"/>
    <w:rsid w:val="0062658D"/>
    <w:rsid w:val="00626B4D"/>
    <w:rsid w:val="00626EF5"/>
    <w:rsid w:val="00627084"/>
    <w:rsid w:val="00627838"/>
    <w:rsid w:val="00627A52"/>
    <w:rsid w:val="006308E3"/>
    <w:rsid w:val="00631864"/>
    <w:rsid w:val="00631BC3"/>
    <w:rsid w:val="00632639"/>
    <w:rsid w:val="00632D60"/>
    <w:rsid w:val="0063374D"/>
    <w:rsid w:val="006356A1"/>
    <w:rsid w:val="00635A8A"/>
    <w:rsid w:val="00636579"/>
    <w:rsid w:val="0063657A"/>
    <w:rsid w:val="00636953"/>
    <w:rsid w:val="00637085"/>
    <w:rsid w:val="006370CE"/>
    <w:rsid w:val="00637F05"/>
    <w:rsid w:val="00640460"/>
    <w:rsid w:val="0064060A"/>
    <w:rsid w:val="006409AE"/>
    <w:rsid w:val="00641694"/>
    <w:rsid w:val="00641C8B"/>
    <w:rsid w:val="00642F2D"/>
    <w:rsid w:val="0064311E"/>
    <w:rsid w:val="00643DFF"/>
    <w:rsid w:val="00643E73"/>
    <w:rsid w:val="00644870"/>
    <w:rsid w:val="00644B86"/>
    <w:rsid w:val="00645087"/>
    <w:rsid w:val="0064534A"/>
    <w:rsid w:val="00646166"/>
    <w:rsid w:val="0064683D"/>
    <w:rsid w:val="00646AD0"/>
    <w:rsid w:val="00647317"/>
    <w:rsid w:val="00647539"/>
    <w:rsid w:val="00647A91"/>
    <w:rsid w:val="00650154"/>
    <w:rsid w:val="006508C5"/>
    <w:rsid w:val="00650AFF"/>
    <w:rsid w:val="00651095"/>
    <w:rsid w:val="006511B5"/>
    <w:rsid w:val="006513F2"/>
    <w:rsid w:val="00652349"/>
    <w:rsid w:val="006523D5"/>
    <w:rsid w:val="00652470"/>
    <w:rsid w:val="006530DA"/>
    <w:rsid w:val="00654B7B"/>
    <w:rsid w:val="0065539D"/>
    <w:rsid w:val="00655818"/>
    <w:rsid w:val="00655DE1"/>
    <w:rsid w:val="00655E5D"/>
    <w:rsid w:val="006562E6"/>
    <w:rsid w:val="00656BFC"/>
    <w:rsid w:val="00656DFD"/>
    <w:rsid w:val="00656FD7"/>
    <w:rsid w:val="00656FD9"/>
    <w:rsid w:val="006576CE"/>
    <w:rsid w:val="00657FBA"/>
    <w:rsid w:val="006622C9"/>
    <w:rsid w:val="00663203"/>
    <w:rsid w:val="00663220"/>
    <w:rsid w:val="0066327F"/>
    <w:rsid w:val="006635F1"/>
    <w:rsid w:val="0066410F"/>
    <w:rsid w:val="006641AF"/>
    <w:rsid w:val="00664998"/>
    <w:rsid w:val="00664C26"/>
    <w:rsid w:val="00664C37"/>
    <w:rsid w:val="00665802"/>
    <w:rsid w:val="00665DEB"/>
    <w:rsid w:val="00665E30"/>
    <w:rsid w:val="00666106"/>
    <w:rsid w:val="00666C39"/>
    <w:rsid w:val="00667A4B"/>
    <w:rsid w:val="00670987"/>
    <w:rsid w:val="00670ACB"/>
    <w:rsid w:val="00671190"/>
    <w:rsid w:val="006716A2"/>
    <w:rsid w:val="0067176F"/>
    <w:rsid w:val="00671A3F"/>
    <w:rsid w:val="006720F0"/>
    <w:rsid w:val="00672918"/>
    <w:rsid w:val="00672A6F"/>
    <w:rsid w:val="0067335E"/>
    <w:rsid w:val="0067394F"/>
    <w:rsid w:val="00673F46"/>
    <w:rsid w:val="00674A91"/>
    <w:rsid w:val="00674F17"/>
    <w:rsid w:val="00675FAE"/>
    <w:rsid w:val="006778DF"/>
    <w:rsid w:val="00677BD3"/>
    <w:rsid w:val="006807EF"/>
    <w:rsid w:val="00680C9D"/>
    <w:rsid w:val="006810DF"/>
    <w:rsid w:val="0068134C"/>
    <w:rsid w:val="00681407"/>
    <w:rsid w:val="006818FD"/>
    <w:rsid w:val="00681DF3"/>
    <w:rsid w:val="00682C98"/>
    <w:rsid w:val="00683C1B"/>
    <w:rsid w:val="006842C3"/>
    <w:rsid w:val="00684829"/>
    <w:rsid w:val="00685218"/>
    <w:rsid w:val="00686142"/>
    <w:rsid w:val="00686573"/>
    <w:rsid w:val="006872CE"/>
    <w:rsid w:val="00687FDD"/>
    <w:rsid w:val="0069015E"/>
    <w:rsid w:val="0069096E"/>
    <w:rsid w:val="00691709"/>
    <w:rsid w:val="00692AD5"/>
    <w:rsid w:val="006931DF"/>
    <w:rsid w:val="006933AA"/>
    <w:rsid w:val="006936F8"/>
    <w:rsid w:val="0069393C"/>
    <w:rsid w:val="00693F24"/>
    <w:rsid w:val="00694A83"/>
    <w:rsid w:val="00694BF3"/>
    <w:rsid w:val="00694FFD"/>
    <w:rsid w:val="006956E6"/>
    <w:rsid w:val="00695FF9"/>
    <w:rsid w:val="00696F55"/>
    <w:rsid w:val="00697721"/>
    <w:rsid w:val="00697754"/>
    <w:rsid w:val="006A09DF"/>
    <w:rsid w:val="006A0B64"/>
    <w:rsid w:val="006A0D2C"/>
    <w:rsid w:val="006A11CB"/>
    <w:rsid w:val="006A1C6C"/>
    <w:rsid w:val="006A1DF3"/>
    <w:rsid w:val="006A20A8"/>
    <w:rsid w:val="006A22A5"/>
    <w:rsid w:val="006A242B"/>
    <w:rsid w:val="006A260F"/>
    <w:rsid w:val="006A30F5"/>
    <w:rsid w:val="006A3C70"/>
    <w:rsid w:val="006A3FF8"/>
    <w:rsid w:val="006A50D7"/>
    <w:rsid w:val="006A538A"/>
    <w:rsid w:val="006A6C81"/>
    <w:rsid w:val="006A736C"/>
    <w:rsid w:val="006A7BB0"/>
    <w:rsid w:val="006B1255"/>
    <w:rsid w:val="006B3007"/>
    <w:rsid w:val="006B3B7F"/>
    <w:rsid w:val="006B4328"/>
    <w:rsid w:val="006B4612"/>
    <w:rsid w:val="006B483E"/>
    <w:rsid w:val="006B4898"/>
    <w:rsid w:val="006B5041"/>
    <w:rsid w:val="006B5720"/>
    <w:rsid w:val="006B5C3C"/>
    <w:rsid w:val="006B6027"/>
    <w:rsid w:val="006B6119"/>
    <w:rsid w:val="006B656A"/>
    <w:rsid w:val="006B773E"/>
    <w:rsid w:val="006B7F1F"/>
    <w:rsid w:val="006C069D"/>
    <w:rsid w:val="006C06BB"/>
    <w:rsid w:val="006C098D"/>
    <w:rsid w:val="006C0BB6"/>
    <w:rsid w:val="006C1A99"/>
    <w:rsid w:val="006C2BF6"/>
    <w:rsid w:val="006C2CA0"/>
    <w:rsid w:val="006C2D85"/>
    <w:rsid w:val="006C33AA"/>
    <w:rsid w:val="006C3563"/>
    <w:rsid w:val="006C3813"/>
    <w:rsid w:val="006C3862"/>
    <w:rsid w:val="006C3B01"/>
    <w:rsid w:val="006C3D0F"/>
    <w:rsid w:val="006C420E"/>
    <w:rsid w:val="006C4893"/>
    <w:rsid w:val="006C4D46"/>
    <w:rsid w:val="006C5312"/>
    <w:rsid w:val="006C6D52"/>
    <w:rsid w:val="006C7D8E"/>
    <w:rsid w:val="006D10F8"/>
    <w:rsid w:val="006D14E7"/>
    <w:rsid w:val="006D150B"/>
    <w:rsid w:val="006D18B7"/>
    <w:rsid w:val="006D1A62"/>
    <w:rsid w:val="006D292A"/>
    <w:rsid w:val="006D29F5"/>
    <w:rsid w:val="006D37BB"/>
    <w:rsid w:val="006D43AB"/>
    <w:rsid w:val="006D443F"/>
    <w:rsid w:val="006D52CB"/>
    <w:rsid w:val="006D67EE"/>
    <w:rsid w:val="006D714F"/>
    <w:rsid w:val="006D71A1"/>
    <w:rsid w:val="006D7F2D"/>
    <w:rsid w:val="006D7F93"/>
    <w:rsid w:val="006E0298"/>
    <w:rsid w:val="006E15CD"/>
    <w:rsid w:val="006E1754"/>
    <w:rsid w:val="006E1767"/>
    <w:rsid w:val="006E1BE1"/>
    <w:rsid w:val="006E1E53"/>
    <w:rsid w:val="006E25B1"/>
    <w:rsid w:val="006E284A"/>
    <w:rsid w:val="006E2BA8"/>
    <w:rsid w:val="006E30B7"/>
    <w:rsid w:val="006E36A7"/>
    <w:rsid w:val="006E36FB"/>
    <w:rsid w:val="006E3923"/>
    <w:rsid w:val="006E45E5"/>
    <w:rsid w:val="006E4977"/>
    <w:rsid w:val="006E4EDC"/>
    <w:rsid w:val="006E50AB"/>
    <w:rsid w:val="006E5AC1"/>
    <w:rsid w:val="006E5EAB"/>
    <w:rsid w:val="006E5EC6"/>
    <w:rsid w:val="006E66EE"/>
    <w:rsid w:val="006E757B"/>
    <w:rsid w:val="006E77B3"/>
    <w:rsid w:val="006F08F4"/>
    <w:rsid w:val="006F1804"/>
    <w:rsid w:val="006F1F90"/>
    <w:rsid w:val="006F2453"/>
    <w:rsid w:val="006F2E8D"/>
    <w:rsid w:val="006F31EC"/>
    <w:rsid w:val="006F3B36"/>
    <w:rsid w:val="006F3D82"/>
    <w:rsid w:val="006F454C"/>
    <w:rsid w:val="006F49D8"/>
    <w:rsid w:val="006F4ED1"/>
    <w:rsid w:val="006F57A3"/>
    <w:rsid w:val="006F5A64"/>
    <w:rsid w:val="006F5E90"/>
    <w:rsid w:val="006F646B"/>
    <w:rsid w:val="006F69EC"/>
    <w:rsid w:val="006F705E"/>
    <w:rsid w:val="006F7597"/>
    <w:rsid w:val="006F7F39"/>
    <w:rsid w:val="00700997"/>
    <w:rsid w:val="007010EB"/>
    <w:rsid w:val="0070139F"/>
    <w:rsid w:val="00701AFE"/>
    <w:rsid w:val="00701C5B"/>
    <w:rsid w:val="0070223D"/>
    <w:rsid w:val="0070260F"/>
    <w:rsid w:val="00702B67"/>
    <w:rsid w:val="00702C36"/>
    <w:rsid w:val="00702E9A"/>
    <w:rsid w:val="007036D4"/>
    <w:rsid w:val="00704603"/>
    <w:rsid w:val="00705B67"/>
    <w:rsid w:val="00705DE6"/>
    <w:rsid w:val="00706119"/>
    <w:rsid w:val="00706C7B"/>
    <w:rsid w:val="00707ADB"/>
    <w:rsid w:val="00707EB4"/>
    <w:rsid w:val="00710566"/>
    <w:rsid w:val="00710933"/>
    <w:rsid w:val="00710E5A"/>
    <w:rsid w:val="00710F4D"/>
    <w:rsid w:val="00711521"/>
    <w:rsid w:val="00711A3A"/>
    <w:rsid w:val="00711C7A"/>
    <w:rsid w:val="00711DB8"/>
    <w:rsid w:val="007135FD"/>
    <w:rsid w:val="00714590"/>
    <w:rsid w:val="007147C3"/>
    <w:rsid w:val="0071540A"/>
    <w:rsid w:val="00716AA3"/>
    <w:rsid w:val="00716FE1"/>
    <w:rsid w:val="007177CC"/>
    <w:rsid w:val="00717F73"/>
    <w:rsid w:val="00720143"/>
    <w:rsid w:val="007201A9"/>
    <w:rsid w:val="00720751"/>
    <w:rsid w:val="00720BDD"/>
    <w:rsid w:val="00720CB5"/>
    <w:rsid w:val="00720E00"/>
    <w:rsid w:val="00720E47"/>
    <w:rsid w:val="007214AD"/>
    <w:rsid w:val="007219A3"/>
    <w:rsid w:val="007219A6"/>
    <w:rsid w:val="00721DE0"/>
    <w:rsid w:val="00721E46"/>
    <w:rsid w:val="00722130"/>
    <w:rsid w:val="0072278A"/>
    <w:rsid w:val="00722CA2"/>
    <w:rsid w:val="00722CE1"/>
    <w:rsid w:val="007241BB"/>
    <w:rsid w:val="00724A2F"/>
    <w:rsid w:val="00725001"/>
    <w:rsid w:val="00725E63"/>
    <w:rsid w:val="007267B8"/>
    <w:rsid w:val="00726B61"/>
    <w:rsid w:val="007276E6"/>
    <w:rsid w:val="0073018B"/>
    <w:rsid w:val="0073055A"/>
    <w:rsid w:val="007314DA"/>
    <w:rsid w:val="0073176A"/>
    <w:rsid w:val="00731D2F"/>
    <w:rsid w:val="0073220A"/>
    <w:rsid w:val="00732F5E"/>
    <w:rsid w:val="007332CA"/>
    <w:rsid w:val="007336B7"/>
    <w:rsid w:val="00733CC2"/>
    <w:rsid w:val="00733F5A"/>
    <w:rsid w:val="00734235"/>
    <w:rsid w:val="00734ACE"/>
    <w:rsid w:val="00734D59"/>
    <w:rsid w:val="007352D8"/>
    <w:rsid w:val="00735CBF"/>
    <w:rsid w:val="00736281"/>
    <w:rsid w:val="007368C6"/>
    <w:rsid w:val="007368FB"/>
    <w:rsid w:val="00736BD8"/>
    <w:rsid w:val="00736CC4"/>
    <w:rsid w:val="007379C2"/>
    <w:rsid w:val="007379C4"/>
    <w:rsid w:val="00740D42"/>
    <w:rsid w:val="00741112"/>
    <w:rsid w:val="00741887"/>
    <w:rsid w:val="00741F76"/>
    <w:rsid w:val="00742196"/>
    <w:rsid w:val="00742974"/>
    <w:rsid w:val="00742CA6"/>
    <w:rsid w:val="007431DC"/>
    <w:rsid w:val="007434B9"/>
    <w:rsid w:val="00743846"/>
    <w:rsid w:val="00743966"/>
    <w:rsid w:val="00743B89"/>
    <w:rsid w:val="00744423"/>
    <w:rsid w:val="0074457E"/>
    <w:rsid w:val="00744E8D"/>
    <w:rsid w:val="00745422"/>
    <w:rsid w:val="0074566F"/>
    <w:rsid w:val="00746595"/>
    <w:rsid w:val="00746D08"/>
    <w:rsid w:val="00746E8E"/>
    <w:rsid w:val="0074711F"/>
    <w:rsid w:val="00747705"/>
    <w:rsid w:val="0074799E"/>
    <w:rsid w:val="00747DBC"/>
    <w:rsid w:val="00750C86"/>
    <w:rsid w:val="00751111"/>
    <w:rsid w:val="007511CE"/>
    <w:rsid w:val="00751E3B"/>
    <w:rsid w:val="00752361"/>
    <w:rsid w:val="007525CC"/>
    <w:rsid w:val="00752702"/>
    <w:rsid w:val="0075291C"/>
    <w:rsid w:val="0075301F"/>
    <w:rsid w:val="0075362B"/>
    <w:rsid w:val="007551C6"/>
    <w:rsid w:val="00755CA9"/>
    <w:rsid w:val="00756225"/>
    <w:rsid w:val="00756549"/>
    <w:rsid w:val="00756B64"/>
    <w:rsid w:val="00756CC6"/>
    <w:rsid w:val="00756FDD"/>
    <w:rsid w:val="0075794B"/>
    <w:rsid w:val="00757D41"/>
    <w:rsid w:val="0076060F"/>
    <w:rsid w:val="00760761"/>
    <w:rsid w:val="0076084D"/>
    <w:rsid w:val="00760F0D"/>
    <w:rsid w:val="00761CF1"/>
    <w:rsid w:val="00762842"/>
    <w:rsid w:val="00762A25"/>
    <w:rsid w:val="00762C7F"/>
    <w:rsid w:val="00762F9F"/>
    <w:rsid w:val="0076325C"/>
    <w:rsid w:val="00763D08"/>
    <w:rsid w:val="00763DCB"/>
    <w:rsid w:val="0076469B"/>
    <w:rsid w:val="00764ADF"/>
    <w:rsid w:val="00765074"/>
    <w:rsid w:val="00765A63"/>
    <w:rsid w:val="00765CCC"/>
    <w:rsid w:val="00765E44"/>
    <w:rsid w:val="00766737"/>
    <w:rsid w:val="00766DA3"/>
    <w:rsid w:val="00767507"/>
    <w:rsid w:val="00767BF9"/>
    <w:rsid w:val="00770C3B"/>
    <w:rsid w:val="00770DFE"/>
    <w:rsid w:val="00771B30"/>
    <w:rsid w:val="00771F9B"/>
    <w:rsid w:val="00772248"/>
    <w:rsid w:val="0077260A"/>
    <w:rsid w:val="00772D3F"/>
    <w:rsid w:val="00772D64"/>
    <w:rsid w:val="007742FA"/>
    <w:rsid w:val="0077490F"/>
    <w:rsid w:val="0077502F"/>
    <w:rsid w:val="00775F70"/>
    <w:rsid w:val="00777B93"/>
    <w:rsid w:val="007800DA"/>
    <w:rsid w:val="007808B1"/>
    <w:rsid w:val="00781095"/>
    <w:rsid w:val="00781CCB"/>
    <w:rsid w:val="00781FA8"/>
    <w:rsid w:val="007822BA"/>
    <w:rsid w:val="00782EC7"/>
    <w:rsid w:val="0078334B"/>
    <w:rsid w:val="00783A40"/>
    <w:rsid w:val="007846AF"/>
    <w:rsid w:val="00784C39"/>
    <w:rsid w:val="00785A21"/>
    <w:rsid w:val="00785FBD"/>
    <w:rsid w:val="00786515"/>
    <w:rsid w:val="0078660B"/>
    <w:rsid w:val="007874B0"/>
    <w:rsid w:val="007876AF"/>
    <w:rsid w:val="00787AC1"/>
    <w:rsid w:val="00787F9E"/>
    <w:rsid w:val="007910A5"/>
    <w:rsid w:val="00791CBB"/>
    <w:rsid w:val="00792046"/>
    <w:rsid w:val="00792302"/>
    <w:rsid w:val="007927D6"/>
    <w:rsid w:val="00792AEC"/>
    <w:rsid w:val="00792B27"/>
    <w:rsid w:val="007933F3"/>
    <w:rsid w:val="0079343F"/>
    <w:rsid w:val="00793587"/>
    <w:rsid w:val="007941C7"/>
    <w:rsid w:val="0079515A"/>
    <w:rsid w:val="007953DE"/>
    <w:rsid w:val="007957A3"/>
    <w:rsid w:val="0079588F"/>
    <w:rsid w:val="00795AD0"/>
    <w:rsid w:val="00795D31"/>
    <w:rsid w:val="00795EA6"/>
    <w:rsid w:val="00796AEA"/>
    <w:rsid w:val="00797013"/>
    <w:rsid w:val="0079718C"/>
    <w:rsid w:val="00797A00"/>
    <w:rsid w:val="007A0EAE"/>
    <w:rsid w:val="007A17C0"/>
    <w:rsid w:val="007A1AA8"/>
    <w:rsid w:val="007A28EA"/>
    <w:rsid w:val="007A2D0F"/>
    <w:rsid w:val="007A31A4"/>
    <w:rsid w:val="007A4779"/>
    <w:rsid w:val="007A496E"/>
    <w:rsid w:val="007A5016"/>
    <w:rsid w:val="007A66AA"/>
    <w:rsid w:val="007A6B2B"/>
    <w:rsid w:val="007A6B6C"/>
    <w:rsid w:val="007A7262"/>
    <w:rsid w:val="007A7ACE"/>
    <w:rsid w:val="007A7FA7"/>
    <w:rsid w:val="007B0B46"/>
    <w:rsid w:val="007B0BF1"/>
    <w:rsid w:val="007B14F1"/>
    <w:rsid w:val="007B1F92"/>
    <w:rsid w:val="007B1FAC"/>
    <w:rsid w:val="007B1FAD"/>
    <w:rsid w:val="007B20FF"/>
    <w:rsid w:val="007B2321"/>
    <w:rsid w:val="007B2CC5"/>
    <w:rsid w:val="007B2F60"/>
    <w:rsid w:val="007B516F"/>
    <w:rsid w:val="007B5B51"/>
    <w:rsid w:val="007B62BF"/>
    <w:rsid w:val="007B694F"/>
    <w:rsid w:val="007B745D"/>
    <w:rsid w:val="007B7664"/>
    <w:rsid w:val="007B79EF"/>
    <w:rsid w:val="007B7CCC"/>
    <w:rsid w:val="007B7CE2"/>
    <w:rsid w:val="007B7F9C"/>
    <w:rsid w:val="007C0AA1"/>
    <w:rsid w:val="007C20C2"/>
    <w:rsid w:val="007C2432"/>
    <w:rsid w:val="007C27DF"/>
    <w:rsid w:val="007C2A61"/>
    <w:rsid w:val="007C361A"/>
    <w:rsid w:val="007C3C43"/>
    <w:rsid w:val="007C3E72"/>
    <w:rsid w:val="007C3F58"/>
    <w:rsid w:val="007C440F"/>
    <w:rsid w:val="007C4577"/>
    <w:rsid w:val="007C541C"/>
    <w:rsid w:val="007C55E0"/>
    <w:rsid w:val="007C5697"/>
    <w:rsid w:val="007C5B4B"/>
    <w:rsid w:val="007C5C4F"/>
    <w:rsid w:val="007C608B"/>
    <w:rsid w:val="007C6335"/>
    <w:rsid w:val="007C671A"/>
    <w:rsid w:val="007C6D8E"/>
    <w:rsid w:val="007C6E8A"/>
    <w:rsid w:val="007C6F8E"/>
    <w:rsid w:val="007C72CB"/>
    <w:rsid w:val="007C7787"/>
    <w:rsid w:val="007C785C"/>
    <w:rsid w:val="007C79A6"/>
    <w:rsid w:val="007C7F63"/>
    <w:rsid w:val="007C7FF9"/>
    <w:rsid w:val="007D0295"/>
    <w:rsid w:val="007D053C"/>
    <w:rsid w:val="007D0EBF"/>
    <w:rsid w:val="007D0F0E"/>
    <w:rsid w:val="007D129C"/>
    <w:rsid w:val="007D276A"/>
    <w:rsid w:val="007D380E"/>
    <w:rsid w:val="007D3AC7"/>
    <w:rsid w:val="007D4517"/>
    <w:rsid w:val="007D4FF3"/>
    <w:rsid w:val="007D50AD"/>
    <w:rsid w:val="007D5254"/>
    <w:rsid w:val="007D536B"/>
    <w:rsid w:val="007D6579"/>
    <w:rsid w:val="007D6E20"/>
    <w:rsid w:val="007D7557"/>
    <w:rsid w:val="007D77FD"/>
    <w:rsid w:val="007D79ED"/>
    <w:rsid w:val="007E17F4"/>
    <w:rsid w:val="007E1F10"/>
    <w:rsid w:val="007E24C5"/>
    <w:rsid w:val="007E3E65"/>
    <w:rsid w:val="007E46E8"/>
    <w:rsid w:val="007E4B91"/>
    <w:rsid w:val="007E4BDB"/>
    <w:rsid w:val="007E5796"/>
    <w:rsid w:val="007E621F"/>
    <w:rsid w:val="007E6444"/>
    <w:rsid w:val="007E676C"/>
    <w:rsid w:val="007E6FA4"/>
    <w:rsid w:val="007E7C24"/>
    <w:rsid w:val="007F0004"/>
    <w:rsid w:val="007F066A"/>
    <w:rsid w:val="007F097E"/>
    <w:rsid w:val="007F107C"/>
    <w:rsid w:val="007F2749"/>
    <w:rsid w:val="007F275D"/>
    <w:rsid w:val="007F330E"/>
    <w:rsid w:val="007F34D4"/>
    <w:rsid w:val="007F355F"/>
    <w:rsid w:val="007F35EC"/>
    <w:rsid w:val="007F496A"/>
    <w:rsid w:val="007F5CE9"/>
    <w:rsid w:val="007F67E1"/>
    <w:rsid w:val="007F6A45"/>
    <w:rsid w:val="007F6A50"/>
    <w:rsid w:val="007F6F21"/>
    <w:rsid w:val="007F7655"/>
    <w:rsid w:val="0080033E"/>
    <w:rsid w:val="0080072A"/>
    <w:rsid w:val="008009D0"/>
    <w:rsid w:val="00800AA6"/>
    <w:rsid w:val="008012A6"/>
    <w:rsid w:val="00802352"/>
    <w:rsid w:val="008023E1"/>
    <w:rsid w:val="008029E0"/>
    <w:rsid w:val="0080335D"/>
    <w:rsid w:val="0080381C"/>
    <w:rsid w:val="00803C64"/>
    <w:rsid w:val="008044BE"/>
    <w:rsid w:val="008048D4"/>
    <w:rsid w:val="008049CB"/>
    <w:rsid w:val="008049D5"/>
    <w:rsid w:val="0080507A"/>
    <w:rsid w:val="00805E7E"/>
    <w:rsid w:val="0080624F"/>
    <w:rsid w:val="00806805"/>
    <w:rsid w:val="00806922"/>
    <w:rsid w:val="00806953"/>
    <w:rsid w:val="00806B2A"/>
    <w:rsid w:val="00806B77"/>
    <w:rsid w:val="0080742F"/>
    <w:rsid w:val="00810012"/>
    <w:rsid w:val="008137A7"/>
    <w:rsid w:val="0081411A"/>
    <w:rsid w:val="00814305"/>
    <w:rsid w:val="00815F70"/>
    <w:rsid w:val="00816013"/>
    <w:rsid w:val="008167E6"/>
    <w:rsid w:val="00816A4E"/>
    <w:rsid w:val="0081747E"/>
    <w:rsid w:val="0081769E"/>
    <w:rsid w:val="00817A97"/>
    <w:rsid w:val="00817FA3"/>
    <w:rsid w:val="00820138"/>
    <w:rsid w:val="008208E5"/>
    <w:rsid w:val="0082095E"/>
    <w:rsid w:val="00821402"/>
    <w:rsid w:val="008233CE"/>
    <w:rsid w:val="00823635"/>
    <w:rsid w:val="008237A2"/>
    <w:rsid w:val="00824D82"/>
    <w:rsid w:val="00825A65"/>
    <w:rsid w:val="00825CAA"/>
    <w:rsid w:val="00827148"/>
    <w:rsid w:val="0082728A"/>
    <w:rsid w:val="0082745B"/>
    <w:rsid w:val="00827D6A"/>
    <w:rsid w:val="00830495"/>
    <w:rsid w:val="0083080E"/>
    <w:rsid w:val="00830FAC"/>
    <w:rsid w:val="00831695"/>
    <w:rsid w:val="0083201D"/>
    <w:rsid w:val="00832403"/>
    <w:rsid w:val="00832546"/>
    <w:rsid w:val="00833083"/>
    <w:rsid w:val="00833DB2"/>
    <w:rsid w:val="00836130"/>
    <w:rsid w:val="00836316"/>
    <w:rsid w:val="00837442"/>
    <w:rsid w:val="008374EB"/>
    <w:rsid w:val="00837E15"/>
    <w:rsid w:val="008400F6"/>
    <w:rsid w:val="00842FBE"/>
    <w:rsid w:val="0084310B"/>
    <w:rsid w:val="00844B7E"/>
    <w:rsid w:val="00845035"/>
    <w:rsid w:val="00845221"/>
    <w:rsid w:val="008455D8"/>
    <w:rsid w:val="0084597C"/>
    <w:rsid w:val="008462BD"/>
    <w:rsid w:val="0084663B"/>
    <w:rsid w:val="00846B66"/>
    <w:rsid w:val="00846C7F"/>
    <w:rsid w:val="008470ED"/>
    <w:rsid w:val="00847D1D"/>
    <w:rsid w:val="008500CB"/>
    <w:rsid w:val="00850155"/>
    <w:rsid w:val="00851A9A"/>
    <w:rsid w:val="00852604"/>
    <w:rsid w:val="00852DC6"/>
    <w:rsid w:val="00854212"/>
    <w:rsid w:val="00854A29"/>
    <w:rsid w:val="00854DE5"/>
    <w:rsid w:val="00854EBF"/>
    <w:rsid w:val="00855433"/>
    <w:rsid w:val="008558A5"/>
    <w:rsid w:val="00860414"/>
    <w:rsid w:val="00860490"/>
    <w:rsid w:val="008606E5"/>
    <w:rsid w:val="00862F26"/>
    <w:rsid w:val="008632DB"/>
    <w:rsid w:val="008634FC"/>
    <w:rsid w:val="008635AF"/>
    <w:rsid w:val="008638F1"/>
    <w:rsid w:val="008643DE"/>
    <w:rsid w:val="00864FF9"/>
    <w:rsid w:val="00865653"/>
    <w:rsid w:val="00865735"/>
    <w:rsid w:val="00865F1B"/>
    <w:rsid w:val="00865FEB"/>
    <w:rsid w:val="00866A88"/>
    <w:rsid w:val="0086702A"/>
    <w:rsid w:val="008673E0"/>
    <w:rsid w:val="00867D97"/>
    <w:rsid w:val="008703FE"/>
    <w:rsid w:val="008706EE"/>
    <w:rsid w:val="008708A7"/>
    <w:rsid w:val="00871000"/>
    <w:rsid w:val="0087221D"/>
    <w:rsid w:val="00872AD4"/>
    <w:rsid w:val="00872E7E"/>
    <w:rsid w:val="00873049"/>
    <w:rsid w:val="008742DD"/>
    <w:rsid w:val="008750C2"/>
    <w:rsid w:val="00876168"/>
    <w:rsid w:val="00876B2A"/>
    <w:rsid w:val="0087761B"/>
    <w:rsid w:val="00877AF4"/>
    <w:rsid w:val="00877D2D"/>
    <w:rsid w:val="00882323"/>
    <w:rsid w:val="00882CED"/>
    <w:rsid w:val="00884E7C"/>
    <w:rsid w:val="0088562B"/>
    <w:rsid w:val="008856DB"/>
    <w:rsid w:val="008857EF"/>
    <w:rsid w:val="00885BA3"/>
    <w:rsid w:val="00885D8F"/>
    <w:rsid w:val="008861E0"/>
    <w:rsid w:val="00886762"/>
    <w:rsid w:val="00886CCF"/>
    <w:rsid w:val="00886E72"/>
    <w:rsid w:val="0088758A"/>
    <w:rsid w:val="00887D59"/>
    <w:rsid w:val="008906EC"/>
    <w:rsid w:val="0089088B"/>
    <w:rsid w:val="00890F9F"/>
    <w:rsid w:val="008910B1"/>
    <w:rsid w:val="0089216A"/>
    <w:rsid w:val="008922EE"/>
    <w:rsid w:val="00892561"/>
    <w:rsid w:val="00892A88"/>
    <w:rsid w:val="008937F2"/>
    <w:rsid w:val="008941B1"/>
    <w:rsid w:val="008941FD"/>
    <w:rsid w:val="0089472A"/>
    <w:rsid w:val="008947EA"/>
    <w:rsid w:val="00895C54"/>
    <w:rsid w:val="0089606C"/>
    <w:rsid w:val="00896323"/>
    <w:rsid w:val="008963EB"/>
    <w:rsid w:val="00896590"/>
    <w:rsid w:val="0089665B"/>
    <w:rsid w:val="00896B83"/>
    <w:rsid w:val="00896C23"/>
    <w:rsid w:val="008975DD"/>
    <w:rsid w:val="008976DB"/>
    <w:rsid w:val="00897FEF"/>
    <w:rsid w:val="008A0267"/>
    <w:rsid w:val="008A125F"/>
    <w:rsid w:val="008A12C9"/>
    <w:rsid w:val="008A1555"/>
    <w:rsid w:val="008A209D"/>
    <w:rsid w:val="008A29D2"/>
    <w:rsid w:val="008A4368"/>
    <w:rsid w:val="008A464D"/>
    <w:rsid w:val="008A4668"/>
    <w:rsid w:val="008A5BE5"/>
    <w:rsid w:val="008A6085"/>
    <w:rsid w:val="008A60BE"/>
    <w:rsid w:val="008A66C1"/>
    <w:rsid w:val="008A756A"/>
    <w:rsid w:val="008B07EB"/>
    <w:rsid w:val="008B0EC5"/>
    <w:rsid w:val="008B17C8"/>
    <w:rsid w:val="008B2400"/>
    <w:rsid w:val="008B3635"/>
    <w:rsid w:val="008B3678"/>
    <w:rsid w:val="008B3A3C"/>
    <w:rsid w:val="008B51D8"/>
    <w:rsid w:val="008B5674"/>
    <w:rsid w:val="008B6568"/>
    <w:rsid w:val="008B6D1A"/>
    <w:rsid w:val="008B7023"/>
    <w:rsid w:val="008B713C"/>
    <w:rsid w:val="008B7890"/>
    <w:rsid w:val="008B7C67"/>
    <w:rsid w:val="008C0784"/>
    <w:rsid w:val="008C0BF8"/>
    <w:rsid w:val="008C0DAE"/>
    <w:rsid w:val="008C1B85"/>
    <w:rsid w:val="008C22D6"/>
    <w:rsid w:val="008C26CE"/>
    <w:rsid w:val="008C2827"/>
    <w:rsid w:val="008C31B1"/>
    <w:rsid w:val="008C37BB"/>
    <w:rsid w:val="008C3AC2"/>
    <w:rsid w:val="008C4AEC"/>
    <w:rsid w:val="008C50AB"/>
    <w:rsid w:val="008C52E6"/>
    <w:rsid w:val="008C57D7"/>
    <w:rsid w:val="008C597D"/>
    <w:rsid w:val="008C626E"/>
    <w:rsid w:val="008C6291"/>
    <w:rsid w:val="008C671C"/>
    <w:rsid w:val="008C6BD1"/>
    <w:rsid w:val="008C729D"/>
    <w:rsid w:val="008C78E2"/>
    <w:rsid w:val="008C7AA2"/>
    <w:rsid w:val="008C7DEF"/>
    <w:rsid w:val="008C7E0E"/>
    <w:rsid w:val="008D0FAE"/>
    <w:rsid w:val="008D1D42"/>
    <w:rsid w:val="008D1D87"/>
    <w:rsid w:val="008D2120"/>
    <w:rsid w:val="008D231A"/>
    <w:rsid w:val="008D266F"/>
    <w:rsid w:val="008D275B"/>
    <w:rsid w:val="008D497B"/>
    <w:rsid w:val="008D497C"/>
    <w:rsid w:val="008D555A"/>
    <w:rsid w:val="008D5D70"/>
    <w:rsid w:val="008D6298"/>
    <w:rsid w:val="008D6DFA"/>
    <w:rsid w:val="008D71A2"/>
    <w:rsid w:val="008D7350"/>
    <w:rsid w:val="008E1388"/>
    <w:rsid w:val="008E1D39"/>
    <w:rsid w:val="008E1DAC"/>
    <w:rsid w:val="008E233E"/>
    <w:rsid w:val="008E236F"/>
    <w:rsid w:val="008E23BD"/>
    <w:rsid w:val="008E28E3"/>
    <w:rsid w:val="008E3055"/>
    <w:rsid w:val="008E3210"/>
    <w:rsid w:val="008E392A"/>
    <w:rsid w:val="008E4176"/>
    <w:rsid w:val="008E4489"/>
    <w:rsid w:val="008E4FE5"/>
    <w:rsid w:val="008E5728"/>
    <w:rsid w:val="008E6291"/>
    <w:rsid w:val="008E75E0"/>
    <w:rsid w:val="008F0C29"/>
    <w:rsid w:val="008F0EC9"/>
    <w:rsid w:val="008F1870"/>
    <w:rsid w:val="008F2754"/>
    <w:rsid w:val="008F30A8"/>
    <w:rsid w:val="008F38BC"/>
    <w:rsid w:val="008F3F8D"/>
    <w:rsid w:val="008F4222"/>
    <w:rsid w:val="008F4406"/>
    <w:rsid w:val="008F4BC0"/>
    <w:rsid w:val="008F4EB9"/>
    <w:rsid w:val="008F4FEC"/>
    <w:rsid w:val="008F5538"/>
    <w:rsid w:val="008F5A86"/>
    <w:rsid w:val="008F6BA0"/>
    <w:rsid w:val="008F6CED"/>
    <w:rsid w:val="008F7027"/>
    <w:rsid w:val="008F770B"/>
    <w:rsid w:val="008F7C1D"/>
    <w:rsid w:val="009007F0"/>
    <w:rsid w:val="0090102C"/>
    <w:rsid w:val="00901433"/>
    <w:rsid w:val="0090224A"/>
    <w:rsid w:val="009023F8"/>
    <w:rsid w:val="00902655"/>
    <w:rsid w:val="00903798"/>
    <w:rsid w:val="00903CF7"/>
    <w:rsid w:val="00903DFE"/>
    <w:rsid w:val="009040F1"/>
    <w:rsid w:val="00904C10"/>
    <w:rsid w:val="00904EE1"/>
    <w:rsid w:val="009079DE"/>
    <w:rsid w:val="00907BA0"/>
    <w:rsid w:val="009130C6"/>
    <w:rsid w:val="0091355F"/>
    <w:rsid w:val="00914169"/>
    <w:rsid w:val="009142DA"/>
    <w:rsid w:val="00914F85"/>
    <w:rsid w:val="009150AC"/>
    <w:rsid w:val="009158CE"/>
    <w:rsid w:val="00915B45"/>
    <w:rsid w:val="00916130"/>
    <w:rsid w:val="009170D0"/>
    <w:rsid w:val="009174F5"/>
    <w:rsid w:val="00921137"/>
    <w:rsid w:val="0092128E"/>
    <w:rsid w:val="00921A86"/>
    <w:rsid w:val="00921DEE"/>
    <w:rsid w:val="00921F51"/>
    <w:rsid w:val="009226B3"/>
    <w:rsid w:val="00923B82"/>
    <w:rsid w:val="00923CFC"/>
    <w:rsid w:val="0092425A"/>
    <w:rsid w:val="009249EA"/>
    <w:rsid w:val="00925711"/>
    <w:rsid w:val="00925C18"/>
    <w:rsid w:val="0092603B"/>
    <w:rsid w:val="009260F8"/>
    <w:rsid w:val="009265AF"/>
    <w:rsid w:val="00927BAC"/>
    <w:rsid w:val="0093032D"/>
    <w:rsid w:val="00930CB7"/>
    <w:rsid w:val="009312C6"/>
    <w:rsid w:val="009313A1"/>
    <w:rsid w:val="00931CA4"/>
    <w:rsid w:val="00931F56"/>
    <w:rsid w:val="00932649"/>
    <w:rsid w:val="0093285E"/>
    <w:rsid w:val="0093286F"/>
    <w:rsid w:val="00933BE3"/>
    <w:rsid w:val="009348D7"/>
    <w:rsid w:val="00935912"/>
    <w:rsid w:val="009366BF"/>
    <w:rsid w:val="00936838"/>
    <w:rsid w:val="00936A8A"/>
    <w:rsid w:val="00937482"/>
    <w:rsid w:val="009411B9"/>
    <w:rsid w:val="0094122F"/>
    <w:rsid w:val="0094129C"/>
    <w:rsid w:val="00941B71"/>
    <w:rsid w:val="00941C8B"/>
    <w:rsid w:val="0094264B"/>
    <w:rsid w:val="009427E5"/>
    <w:rsid w:val="009432DD"/>
    <w:rsid w:val="009434F1"/>
    <w:rsid w:val="009439A2"/>
    <w:rsid w:val="009445BB"/>
    <w:rsid w:val="009456D4"/>
    <w:rsid w:val="009461DC"/>
    <w:rsid w:val="0094686C"/>
    <w:rsid w:val="009473FE"/>
    <w:rsid w:val="00947B90"/>
    <w:rsid w:val="00947EBC"/>
    <w:rsid w:val="00950063"/>
    <w:rsid w:val="00950379"/>
    <w:rsid w:val="00950551"/>
    <w:rsid w:val="00950A77"/>
    <w:rsid w:val="00951B39"/>
    <w:rsid w:val="00952C2B"/>
    <w:rsid w:val="0095387D"/>
    <w:rsid w:val="00953B1D"/>
    <w:rsid w:val="009544BE"/>
    <w:rsid w:val="0095469E"/>
    <w:rsid w:val="009548CA"/>
    <w:rsid w:val="0095515C"/>
    <w:rsid w:val="00955C70"/>
    <w:rsid w:val="009566C7"/>
    <w:rsid w:val="00957784"/>
    <w:rsid w:val="00957999"/>
    <w:rsid w:val="00957AAC"/>
    <w:rsid w:val="00957E9B"/>
    <w:rsid w:val="00957FF7"/>
    <w:rsid w:val="009603AE"/>
    <w:rsid w:val="00961E59"/>
    <w:rsid w:val="00961FCA"/>
    <w:rsid w:val="0096274F"/>
    <w:rsid w:val="009627E1"/>
    <w:rsid w:val="0096283B"/>
    <w:rsid w:val="009628C5"/>
    <w:rsid w:val="00962F22"/>
    <w:rsid w:val="0096308D"/>
    <w:rsid w:val="00963461"/>
    <w:rsid w:val="009644DE"/>
    <w:rsid w:val="009645C6"/>
    <w:rsid w:val="009645D8"/>
    <w:rsid w:val="00964802"/>
    <w:rsid w:val="00964BFE"/>
    <w:rsid w:val="00965C63"/>
    <w:rsid w:val="0096610A"/>
    <w:rsid w:val="00966645"/>
    <w:rsid w:val="0096754D"/>
    <w:rsid w:val="009675DA"/>
    <w:rsid w:val="009702B3"/>
    <w:rsid w:val="009704BB"/>
    <w:rsid w:val="00970A2A"/>
    <w:rsid w:val="00970ADE"/>
    <w:rsid w:val="00970E76"/>
    <w:rsid w:val="00971B5C"/>
    <w:rsid w:val="0097223A"/>
    <w:rsid w:val="0097287C"/>
    <w:rsid w:val="0097366B"/>
    <w:rsid w:val="0097378B"/>
    <w:rsid w:val="009746ED"/>
    <w:rsid w:val="00974B1E"/>
    <w:rsid w:val="00975799"/>
    <w:rsid w:val="00976376"/>
    <w:rsid w:val="009764A0"/>
    <w:rsid w:val="0097664A"/>
    <w:rsid w:val="00976669"/>
    <w:rsid w:val="00977579"/>
    <w:rsid w:val="00977875"/>
    <w:rsid w:val="00977C30"/>
    <w:rsid w:val="00977D01"/>
    <w:rsid w:val="00977DEB"/>
    <w:rsid w:val="0098002B"/>
    <w:rsid w:val="00980E62"/>
    <w:rsid w:val="009818B5"/>
    <w:rsid w:val="00982BDE"/>
    <w:rsid w:val="00982EBB"/>
    <w:rsid w:val="00982F44"/>
    <w:rsid w:val="00983493"/>
    <w:rsid w:val="00983903"/>
    <w:rsid w:val="00984E55"/>
    <w:rsid w:val="0098505F"/>
    <w:rsid w:val="00985485"/>
    <w:rsid w:val="00985554"/>
    <w:rsid w:val="009857EB"/>
    <w:rsid w:val="00985EFE"/>
    <w:rsid w:val="00985F9B"/>
    <w:rsid w:val="00986319"/>
    <w:rsid w:val="009867A3"/>
    <w:rsid w:val="00986AAA"/>
    <w:rsid w:val="0098752F"/>
    <w:rsid w:val="00987DC9"/>
    <w:rsid w:val="00987F1A"/>
    <w:rsid w:val="00987FDE"/>
    <w:rsid w:val="00990577"/>
    <w:rsid w:val="00990B19"/>
    <w:rsid w:val="00990B6B"/>
    <w:rsid w:val="009925C9"/>
    <w:rsid w:val="009928DB"/>
    <w:rsid w:val="00992A29"/>
    <w:rsid w:val="0099375D"/>
    <w:rsid w:val="009941F6"/>
    <w:rsid w:val="00994832"/>
    <w:rsid w:val="0099496D"/>
    <w:rsid w:val="00994AB3"/>
    <w:rsid w:val="009951FC"/>
    <w:rsid w:val="00995402"/>
    <w:rsid w:val="00995604"/>
    <w:rsid w:val="009958CF"/>
    <w:rsid w:val="009961EC"/>
    <w:rsid w:val="0099625A"/>
    <w:rsid w:val="00996D1D"/>
    <w:rsid w:val="009972B9"/>
    <w:rsid w:val="00997475"/>
    <w:rsid w:val="009979A6"/>
    <w:rsid w:val="00997F99"/>
    <w:rsid w:val="009A01B9"/>
    <w:rsid w:val="009A0233"/>
    <w:rsid w:val="009A0920"/>
    <w:rsid w:val="009A0BA4"/>
    <w:rsid w:val="009A1054"/>
    <w:rsid w:val="009A17EA"/>
    <w:rsid w:val="009A1821"/>
    <w:rsid w:val="009A2ADB"/>
    <w:rsid w:val="009A2C42"/>
    <w:rsid w:val="009A3D7C"/>
    <w:rsid w:val="009A3F33"/>
    <w:rsid w:val="009A3FE1"/>
    <w:rsid w:val="009A4923"/>
    <w:rsid w:val="009A4DDF"/>
    <w:rsid w:val="009A4EC6"/>
    <w:rsid w:val="009A54AB"/>
    <w:rsid w:val="009A60AD"/>
    <w:rsid w:val="009A6958"/>
    <w:rsid w:val="009A6EDA"/>
    <w:rsid w:val="009A6F73"/>
    <w:rsid w:val="009A72B7"/>
    <w:rsid w:val="009A75DD"/>
    <w:rsid w:val="009A7FA3"/>
    <w:rsid w:val="009B0433"/>
    <w:rsid w:val="009B0A5A"/>
    <w:rsid w:val="009B286D"/>
    <w:rsid w:val="009B2C2A"/>
    <w:rsid w:val="009B352A"/>
    <w:rsid w:val="009B3917"/>
    <w:rsid w:val="009B3A05"/>
    <w:rsid w:val="009B3F8F"/>
    <w:rsid w:val="009B49A9"/>
    <w:rsid w:val="009B5047"/>
    <w:rsid w:val="009B578F"/>
    <w:rsid w:val="009B6333"/>
    <w:rsid w:val="009B657F"/>
    <w:rsid w:val="009B793A"/>
    <w:rsid w:val="009B7B18"/>
    <w:rsid w:val="009C1004"/>
    <w:rsid w:val="009C279E"/>
    <w:rsid w:val="009C3F0D"/>
    <w:rsid w:val="009C4015"/>
    <w:rsid w:val="009C4048"/>
    <w:rsid w:val="009C43FF"/>
    <w:rsid w:val="009C4AD0"/>
    <w:rsid w:val="009C51B3"/>
    <w:rsid w:val="009C63C8"/>
    <w:rsid w:val="009C67AC"/>
    <w:rsid w:val="009C6C69"/>
    <w:rsid w:val="009C7B98"/>
    <w:rsid w:val="009C7DB9"/>
    <w:rsid w:val="009C7E15"/>
    <w:rsid w:val="009D0308"/>
    <w:rsid w:val="009D03C3"/>
    <w:rsid w:val="009D0414"/>
    <w:rsid w:val="009D079B"/>
    <w:rsid w:val="009D0A37"/>
    <w:rsid w:val="009D2493"/>
    <w:rsid w:val="009D338F"/>
    <w:rsid w:val="009D44D1"/>
    <w:rsid w:val="009D4DD5"/>
    <w:rsid w:val="009D506C"/>
    <w:rsid w:val="009D6FA9"/>
    <w:rsid w:val="009E0024"/>
    <w:rsid w:val="009E037D"/>
    <w:rsid w:val="009E1C60"/>
    <w:rsid w:val="009E2590"/>
    <w:rsid w:val="009E2A56"/>
    <w:rsid w:val="009E31DC"/>
    <w:rsid w:val="009E364A"/>
    <w:rsid w:val="009E4360"/>
    <w:rsid w:val="009E5184"/>
    <w:rsid w:val="009E547B"/>
    <w:rsid w:val="009E5F69"/>
    <w:rsid w:val="009E6070"/>
    <w:rsid w:val="009E6A4B"/>
    <w:rsid w:val="009E6D16"/>
    <w:rsid w:val="009E71E1"/>
    <w:rsid w:val="009F0967"/>
    <w:rsid w:val="009F0A2E"/>
    <w:rsid w:val="009F2EB3"/>
    <w:rsid w:val="009F2FDF"/>
    <w:rsid w:val="009F4BBA"/>
    <w:rsid w:val="009F4D49"/>
    <w:rsid w:val="009F4D6C"/>
    <w:rsid w:val="009F6027"/>
    <w:rsid w:val="009F6B6B"/>
    <w:rsid w:val="00A0011C"/>
    <w:rsid w:val="00A00988"/>
    <w:rsid w:val="00A00CE7"/>
    <w:rsid w:val="00A00E35"/>
    <w:rsid w:val="00A01528"/>
    <w:rsid w:val="00A01BBC"/>
    <w:rsid w:val="00A021F7"/>
    <w:rsid w:val="00A0243C"/>
    <w:rsid w:val="00A0248E"/>
    <w:rsid w:val="00A02837"/>
    <w:rsid w:val="00A02C10"/>
    <w:rsid w:val="00A04B65"/>
    <w:rsid w:val="00A04FAB"/>
    <w:rsid w:val="00A0503F"/>
    <w:rsid w:val="00A05089"/>
    <w:rsid w:val="00A05141"/>
    <w:rsid w:val="00A055B2"/>
    <w:rsid w:val="00A05E90"/>
    <w:rsid w:val="00A0631C"/>
    <w:rsid w:val="00A0635C"/>
    <w:rsid w:val="00A0637F"/>
    <w:rsid w:val="00A06509"/>
    <w:rsid w:val="00A06848"/>
    <w:rsid w:val="00A069B4"/>
    <w:rsid w:val="00A07A4E"/>
    <w:rsid w:val="00A07D41"/>
    <w:rsid w:val="00A07FBD"/>
    <w:rsid w:val="00A1040F"/>
    <w:rsid w:val="00A114E3"/>
    <w:rsid w:val="00A114F1"/>
    <w:rsid w:val="00A11D0D"/>
    <w:rsid w:val="00A124EC"/>
    <w:rsid w:val="00A12694"/>
    <w:rsid w:val="00A128B0"/>
    <w:rsid w:val="00A12ED5"/>
    <w:rsid w:val="00A13083"/>
    <w:rsid w:val="00A136F6"/>
    <w:rsid w:val="00A13A77"/>
    <w:rsid w:val="00A13F04"/>
    <w:rsid w:val="00A14F11"/>
    <w:rsid w:val="00A15543"/>
    <w:rsid w:val="00A16C3E"/>
    <w:rsid w:val="00A17558"/>
    <w:rsid w:val="00A2000D"/>
    <w:rsid w:val="00A20926"/>
    <w:rsid w:val="00A21C0B"/>
    <w:rsid w:val="00A21CDB"/>
    <w:rsid w:val="00A21D9F"/>
    <w:rsid w:val="00A223A5"/>
    <w:rsid w:val="00A230C4"/>
    <w:rsid w:val="00A231CC"/>
    <w:rsid w:val="00A244EE"/>
    <w:rsid w:val="00A24799"/>
    <w:rsid w:val="00A24E00"/>
    <w:rsid w:val="00A252B8"/>
    <w:rsid w:val="00A25C70"/>
    <w:rsid w:val="00A26556"/>
    <w:rsid w:val="00A275FA"/>
    <w:rsid w:val="00A30415"/>
    <w:rsid w:val="00A30FAE"/>
    <w:rsid w:val="00A3188D"/>
    <w:rsid w:val="00A3257A"/>
    <w:rsid w:val="00A328CA"/>
    <w:rsid w:val="00A32C54"/>
    <w:rsid w:val="00A32D66"/>
    <w:rsid w:val="00A32F32"/>
    <w:rsid w:val="00A33D95"/>
    <w:rsid w:val="00A34B8F"/>
    <w:rsid w:val="00A35133"/>
    <w:rsid w:val="00A353B0"/>
    <w:rsid w:val="00A35738"/>
    <w:rsid w:val="00A3574B"/>
    <w:rsid w:val="00A366AA"/>
    <w:rsid w:val="00A37078"/>
    <w:rsid w:val="00A37B2B"/>
    <w:rsid w:val="00A40098"/>
    <w:rsid w:val="00A42716"/>
    <w:rsid w:val="00A42A30"/>
    <w:rsid w:val="00A42CEC"/>
    <w:rsid w:val="00A42E1E"/>
    <w:rsid w:val="00A4416D"/>
    <w:rsid w:val="00A4448F"/>
    <w:rsid w:val="00A4455F"/>
    <w:rsid w:val="00A44580"/>
    <w:rsid w:val="00A44841"/>
    <w:rsid w:val="00A44F21"/>
    <w:rsid w:val="00A45399"/>
    <w:rsid w:val="00A45C55"/>
    <w:rsid w:val="00A45FB0"/>
    <w:rsid w:val="00A4632A"/>
    <w:rsid w:val="00A46611"/>
    <w:rsid w:val="00A46810"/>
    <w:rsid w:val="00A46E8F"/>
    <w:rsid w:val="00A4714A"/>
    <w:rsid w:val="00A474A1"/>
    <w:rsid w:val="00A50081"/>
    <w:rsid w:val="00A503A0"/>
    <w:rsid w:val="00A50CD3"/>
    <w:rsid w:val="00A5201D"/>
    <w:rsid w:val="00A52525"/>
    <w:rsid w:val="00A52C3C"/>
    <w:rsid w:val="00A5391C"/>
    <w:rsid w:val="00A543B5"/>
    <w:rsid w:val="00A54912"/>
    <w:rsid w:val="00A55A71"/>
    <w:rsid w:val="00A5696A"/>
    <w:rsid w:val="00A57157"/>
    <w:rsid w:val="00A57B80"/>
    <w:rsid w:val="00A60CD0"/>
    <w:rsid w:val="00A60EED"/>
    <w:rsid w:val="00A610C5"/>
    <w:rsid w:val="00A61885"/>
    <w:rsid w:val="00A62724"/>
    <w:rsid w:val="00A62CEB"/>
    <w:rsid w:val="00A63CDA"/>
    <w:rsid w:val="00A63EB2"/>
    <w:rsid w:val="00A641E3"/>
    <w:rsid w:val="00A652E5"/>
    <w:rsid w:val="00A658AD"/>
    <w:rsid w:val="00A659EF"/>
    <w:rsid w:val="00A65DB0"/>
    <w:rsid w:val="00A66483"/>
    <w:rsid w:val="00A66721"/>
    <w:rsid w:val="00A70CAB"/>
    <w:rsid w:val="00A71199"/>
    <w:rsid w:val="00A71C01"/>
    <w:rsid w:val="00A72324"/>
    <w:rsid w:val="00A7254A"/>
    <w:rsid w:val="00A726ED"/>
    <w:rsid w:val="00A738B1"/>
    <w:rsid w:val="00A7435B"/>
    <w:rsid w:val="00A749FD"/>
    <w:rsid w:val="00A74B13"/>
    <w:rsid w:val="00A74B5C"/>
    <w:rsid w:val="00A755AD"/>
    <w:rsid w:val="00A766F2"/>
    <w:rsid w:val="00A770BB"/>
    <w:rsid w:val="00A778D7"/>
    <w:rsid w:val="00A80710"/>
    <w:rsid w:val="00A809C0"/>
    <w:rsid w:val="00A80F86"/>
    <w:rsid w:val="00A812E7"/>
    <w:rsid w:val="00A82378"/>
    <w:rsid w:val="00A83C4D"/>
    <w:rsid w:val="00A8422D"/>
    <w:rsid w:val="00A84644"/>
    <w:rsid w:val="00A846BB"/>
    <w:rsid w:val="00A84B77"/>
    <w:rsid w:val="00A854BF"/>
    <w:rsid w:val="00A859CD"/>
    <w:rsid w:val="00A8739B"/>
    <w:rsid w:val="00A87B27"/>
    <w:rsid w:val="00A90409"/>
    <w:rsid w:val="00A9045D"/>
    <w:rsid w:val="00A904AD"/>
    <w:rsid w:val="00A90972"/>
    <w:rsid w:val="00A90F1E"/>
    <w:rsid w:val="00A90FE2"/>
    <w:rsid w:val="00A91038"/>
    <w:rsid w:val="00A91BAD"/>
    <w:rsid w:val="00A91D2D"/>
    <w:rsid w:val="00A9290F"/>
    <w:rsid w:val="00A93B61"/>
    <w:rsid w:val="00A93F15"/>
    <w:rsid w:val="00A94905"/>
    <w:rsid w:val="00A94E7A"/>
    <w:rsid w:val="00A94EBE"/>
    <w:rsid w:val="00A95A66"/>
    <w:rsid w:val="00A95BA1"/>
    <w:rsid w:val="00A95E4B"/>
    <w:rsid w:val="00A9616C"/>
    <w:rsid w:val="00A96DF1"/>
    <w:rsid w:val="00A9748A"/>
    <w:rsid w:val="00A977AC"/>
    <w:rsid w:val="00AA0282"/>
    <w:rsid w:val="00AA0FBC"/>
    <w:rsid w:val="00AA17F8"/>
    <w:rsid w:val="00AA1D3E"/>
    <w:rsid w:val="00AA1F6B"/>
    <w:rsid w:val="00AA2D5A"/>
    <w:rsid w:val="00AA39C8"/>
    <w:rsid w:val="00AA5D08"/>
    <w:rsid w:val="00AA6922"/>
    <w:rsid w:val="00AA78B5"/>
    <w:rsid w:val="00AB05BD"/>
    <w:rsid w:val="00AB0724"/>
    <w:rsid w:val="00AB19C8"/>
    <w:rsid w:val="00AB1B6F"/>
    <w:rsid w:val="00AB22E6"/>
    <w:rsid w:val="00AB351B"/>
    <w:rsid w:val="00AB39DA"/>
    <w:rsid w:val="00AB3DAF"/>
    <w:rsid w:val="00AB50D0"/>
    <w:rsid w:val="00AB536C"/>
    <w:rsid w:val="00AB5D62"/>
    <w:rsid w:val="00AB6A3B"/>
    <w:rsid w:val="00AB7587"/>
    <w:rsid w:val="00AC1508"/>
    <w:rsid w:val="00AC165D"/>
    <w:rsid w:val="00AC23A8"/>
    <w:rsid w:val="00AC2440"/>
    <w:rsid w:val="00AC2F54"/>
    <w:rsid w:val="00AC3035"/>
    <w:rsid w:val="00AC3401"/>
    <w:rsid w:val="00AC36A0"/>
    <w:rsid w:val="00AC3B3D"/>
    <w:rsid w:val="00AC45DA"/>
    <w:rsid w:val="00AC53B7"/>
    <w:rsid w:val="00AC5CC0"/>
    <w:rsid w:val="00AC5CE9"/>
    <w:rsid w:val="00AC5D93"/>
    <w:rsid w:val="00AC6554"/>
    <w:rsid w:val="00AC65C3"/>
    <w:rsid w:val="00AC6BAB"/>
    <w:rsid w:val="00AC7190"/>
    <w:rsid w:val="00AC76A0"/>
    <w:rsid w:val="00AC7BB3"/>
    <w:rsid w:val="00AD12F8"/>
    <w:rsid w:val="00AD13EA"/>
    <w:rsid w:val="00AD1BF6"/>
    <w:rsid w:val="00AD269E"/>
    <w:rsid w:val="00AD5329"/>
    <w:rsid w:val="00AD632C"/>
    <w:rsid w:val="00AD6477"/>
    <w:rsid w:val="00AD6B94"/>
    <w:rsid w:val="00AD6D99"/>
    <w:rsid w:val="00AD6F66"/>
    <w:rsid w:val="00AE004A"/>
    <w:rsid w:val="00AE086E"/>
    <w:rsid w:val="00AE16E8"/>
    <w:rsid w:val="00AE1F65"/>
    <w:rsid w:val="00AE2DE0"/>
    <w:rsid w:val="00AE329C"/>
    <w:rsid w:val="00AE3E59"/>
    <w:rsid w:val="00AE3F8C"/>
    <w:rsid w:val="00AE46BC"/>
    <w:rsid w:val="00AE4838"/>
    <w:rsid w:val="00AE5179"/>
    <w:rsid w:val="00AE71FB"/>
    <w:rsid w:val="00AE73B8"/>
    <w:rsid w:val="00AE7455"/>
    <w:rsid w:val="00AE7CA1"/>
    <w:rsid w:val="00AF190F"/>
    <w:rsid w:val="00AF2927"/>
    <w:rsid w:val="00AF2C5B"/>
    <w:rsid w:val="00AF316C"/>
    <w:rsid w:val="00AF3BE2"/>
    <w:rsid w:val="00AF41DA"/>
    <w:rsid w:val="00AF47BC"/>
    <w:rsid w:val="00AF52A9"/>
    <w:rsid w:val="00AF59AE"/>
    <w:rsid w:val="00AF625A"/>
    <w:rsid w:val="00B00AD6"/>
    <w:rsid w:val="00B019F6"/>
    <w:rsid w:val="00B01C4B"/>
    <w:rsid w:val="00B02525"/>
    <w:rsid w:val="00B02FD2"/>
    <w:rsid w:val="00B030E2"/>
    <w:rsid w:val="00B032A5"/>
    <w:rsid w:val="00B03341"/>
    <w:rsid w:val="00B03C17"/>
    <w:rsid w:val="00B03F8F"/>
    <w:rsid w:val="00B04B6B"/>
    <w:rsid w:val="00B04BAF"/>
    <w:rsid w:val="00B04F1E"/>
    <w:rsid w:val="00B0506C"/>
    <w:rsid w:val="00B05994"/>
    <w:rsid w:val="00B062F6"/>
    <w:rsid w:val="00B0652F"/>
    <w:rsid w:val="00B067F5"/>
    <w:rsid w:val="00B07556"/>
    <w:rsid w:val="00B076BD"/>
    <w:rsid w:val="00B104B0"/>
    <w:rsid w:val="00B106EB"/>
    <w:rsid w:val="00B10B2B"/>
    <w:rsid w:val="00B120CB"/>
    <w:rsid w:val="00B1277A"/>
    <w:rsid w:val="00B12B7F"/>
    <w:rsid w:val="00B12C4F"/>
    <w:rsid w:val="00B1399D"/>
    <w:rsid w:val="00B13CA3"/>
    <w:rsid w:val="00B13F31"/>
    <w:rsid w:val="00B14402"/>
    <w:rsid w:val="00B16A34"/>
    <w:rsid w:val="00B16AAD"/>
    <w:rsid w:val="00B1736C"/>
    <w:rsid w:val="00B1778B"/>
    <w:rsid w:val="00B178F1"/>
    <w:rsid w:val="00B17BD2"/>
    <w:rsid w:val="00B20536"/>
    <w:rsid w:val="00B20A46"/>
    <w:rsid w:val="00B22473"/>
    <w:rsid w:val="00B22EBE"/>
    <w:rsid w:val="00B238F8"/>
    <w:rsid w:val="00B23EB4"/>
    <w:rsid w:val="00B241D3"/>
    <w:rsid w:val="00B254DE"/>
    <w:rsid w:val="00B2578A"/>
    <w:rsid w:val="00B25813"/>
    <w:rsid w:val="00B265CF"/>
    <w:rsid w:val="00B27053"/>
    <w:rsid w:val="00B272C7"/>
    <w:rsid w:val="00B27711"/>
    <w:rsid w:val="00B30327"/>
    <w:rsid w:val="00B304BA"/>
    <w:rsid w:val="00B31932"/>
    <w:rsid w:val="00B31DAC"/>
    <w:rsid w:val="00B325BE"/>
    <w:rsid w:val="00B33018"/>
    <w:rsid w:val="00B34257"/>
    <w:rsid w:val="00B34925"/>
    <w:rsid w:val="00B34A76"/>
    <w:rsid w:val="00B34ADB"/>
    <w:rsid w:val="00B34B9B"/>
    <w:rsid w:val="00B3544D"/>
    <w:rsid w:val="00B35799"/>
    <w:rsid w:val="00B35A03"/>
    <w:rsid w:val="00B360F8"/>
    <w:rsid w:val="00B3683C"/>
    <w:rsid w:val="00B371B9"/>
    <w:rsid w:val="00B4024C"/>
    <w:rsid w:val="00B40E65"/>
    <w:rsid w:val="00B4343C"/>
    <w:rsid w:val="00B43AF2"/>
    <w:rsid w:val="00B44181"/>
    <w:rsid w:val="00B461F3"/>
    <w:rsid w:val="00B4714D"/>
    <w:rsid w:val="00B47A93"/>
    <w:rsid w:val="00B47D65"/>
    <w:rsid w:val="00B5024A"/>
    <w:rsid w:val="00B50397"/>
    <w:rsid w:val="00B50762"/>
    <w:rsid w:val="00B510B0"/>
    <w:rsid w:val="00B517CC"/>
    <w:rsid w:val="00B51DAE"/>
    <w:rsid w:val="00B52561"/>
    <w:rsid w:val="00B5290D"/>
    <w:rsid w:val="00B530FD"/>
    <w:rsid w:val="00B5330C"/>
    <w:rsid w:val="00B53423"/>
    <w:rsid w:val="00B53927"/>
    <w:rsid w:val="00B540F7"/>
    <w:rsid w:val="00B55108"/>
    <w:rsid w:val="00B560A8"/>
    <w:rsid w:val="00B5643A"/>
    <w:rsid w:val="00B56515"/>
    <w:rsid w:val="00B606AA"/>
    <w:rsid w:val="00B616B9"/>
    <w:rsid w:val="00B618F6"/>
    <w:rsid w:val="00B61DC7"/>
    <w:rsid w:val="00B62106"/>
    <w:rsid w:val="00B6323C"/>
    <w:rsid w:val="00B63F18"/>
    <w:rsid w:val="00B6497C"/>
    <w:rsid w:val="00B64BD1"/>
    <w:rsid w:val="00B65517"/>
    <w:rsid w:val="00B65D15"/>
    <w:rsid w:val="00B65E18"/>
    <w:rsid w:val="00B6641D"/>
    <w:rsid w:val="00B6685A"/>
    <w:rsid w:val="00B66F0C"/>
    <w:rsid w:val="00B678B1"/>
    <w:rsid w:val="00B71039"/>
    <w:rsid w:val="00B71860"/>
    <w:rsid w:val="00B71892"/>
    <w:rsid w:val="00B71936"/>
    <w:rsid w:val="00B73933"/>
    <w:rsid w:val="00B75B5D"/>
    <w:rsid w:val="00B75C1C"/>
    <w:rsid w:val="00B75FBB"/>
    <w:rsid w:val="00B763D7"/>
    <w:rsid w:val="00B7753A"/>
    <w:rsid w:val="00B77904"/>
    <w:rsid w:val="00B80144"/>
    <w:rsid w:val="00B80705"/>
    <w:rsid w:val="00B80C80"/>
    <w:rsid w:val="00B80E32"/>
    <w:rsid w:val="00B80F19"/>
    <w:rsid w:val="00B81004"/>
    <w:rsid w:val="00B81D66"/>
    <w:rsid w:val="00B825FC"/>
    <w:rsid w:val="00B83011"/>
    <w:rsid w:val="00B8301C"/>
    <w:rsid w:val="00B840DC"/>
    <w:rsid w:val="00B84667"/>
    <w:rsid w:val="00B84980"/>
    <w:rsid w:val="00B853B4"/>
    <w:rsid w:val="00B877AF"/>
    <w:rsid w:val="00B877B3"/>
    <w:rsid w:val="00B878EA"/>
    <w:rsid w:val="00B900BD"/>
    <w:rsid w:val="00B90146"/>
    <w:rsid w:val="00B901F8"/>
    <w:rsid w:val="00B90998"/>
    <w:rsid w:val="00B9172E"/>
    <w:rsid w:val="00B920BE"/>
    <w:rsid w:val="00B92639"/>
    <w:rsid w:val="00B92F3E"/>
    <w:rsid w:val="00B9431B"/>
    <w:rsid w:val="00B95175"/>
    <w:rsid w:val="00B957D6"/>
    <w:rsid w:val="00B95BA7"/>
    <w:rsid w:val="00B95E3A"/>
    <w:rsid w:val="00B960DB"/>
    <w:rsid w:val="00B96586"/>
    <w:rsid w:val="00B96744"/>
    <w:rsid w:val="00B97492"/>
    <w:rsid w:val="00B97864"/>
    <w:rsid w:val="00B9786A"/>
    <w:rsid w:val="00B9790D"/>
    <w:rsid w:val="00B97B23"/>
    <w:rsid w:val="00B97C77"/>
    <w:rsid w:val="00BA0C41"/>
    <w:rsid w:val="00BA0FA6"/>
    <w:rsid w:val="00BA13CD"/>
    <w:rsid w:val="00BA1440"/>
    <w:rsid w:val="00BA2B8A"/>
    <w:rsid w:val="00BA3053"/>
    <w:rsid w:val="00BA3295"/>
    <w:rsid w:val="00BA3B53"/>
    <w:rsid w:val="00BA40BB"/>
    <w:rsid w:val="00BA505D"/>
    <w:rsid w:val="00BA52FA"/>
    <w:rsid w:val="00BA5573"/>
    <w:rsid w:val="00BA754A"/>
    <w:rsid w:val="00BA7790"/>
    <w:rsid w:val="00BA7A07"/>
    <w:rsid w:val="00BB0126"/>
    <w:rsid w:val="00BB0523"/>
    <w:rsid w:val="00BB1E8D"/>
    <w:rsid w:val="00BB1F86"/>
    <w:rsid w:val="00BB2257"/>
    <w:rsid w:val="00BB2E0D"/>
    <w:rsid w:val="00BB331E"/>
    <w:rsid w:val="00BB38DF"/>
    <w:rsid w:val="00BB3A53"/>
    <w:rsid w:val="00BB3F38"/>
    <w:rsid w:val="00BB43F1"/>
    <w:rsid w:val="00BB4441"/>
    <w:rsid w:val="00BB4634"/>
    <w:rsid w:val="00BB490D"/>
    <w:rsid w:val="00BB4EB8"/>
    <w:rsid w:val="00BB4EC4"/>
    <w:rsid w:val="00BB527B"/>
    <w:rsid w:val="00BB5486"/>
    <w:rsid w:val="00BB551F"/>
    <w:rsid w:val="00BB61C8"/>
    <w:rsid w:val="00BB6BA3"/>
    <w:rsid w:val="00BB6EA6"/>
    <w:rsid w:val="00BB739E"/>
    <w:rsid w:val="00BB7FB9"/>
    <w:rsid w:val="00BC006C"/>
    <w:rsid w:val="00BC097D"/>
    <w:rsid w:val="00BC0B4E"/>
    <w:rsid w:val="00BC0BDE"/>
    <w:rsid w:val="00BC154D"/>
    <w:rsid w:val="00BC1FB9"/>
    <w:rsid w:val="00BC210E"/>
    <w:rsid w:val="00BC2BDB"/>
    <w:rsid w:val="00BC3107"/>
    <w:rsid w:val="00BC45AD"/>
    <w:rsid w:val="00BC4744"/>
    <w:rsid w:val="00BC549D"/>
    <w:rsid w:val="00BC567F"/>
    <w:rsid w:val="00BC570E"/>
    <w:rsid w:val="00BC66CE"/>
    <w:rsid w:val="00BC6ADD"/>
    <w:rsid w:val="00BC6E15"/>
    <w:rsid w:val="00BC71F8"/>
    <w:rsid w:val="00BC796E"/>
    <w:rsid w:val="00BC7DF5"/>
    <w:rsid w:val="00BC7E41"/>
    <w:rsid w:val="00BC7FED"/>
    <w:rsid w:val="00BD061B"/>
    <w:rsid w:val="00BD07D4"/>
    <w:rsid w:val="00BD0F61"/>
    <w:rsid w:val="00BD23DF"/>
    <w:rsid w:val="00BD2CBE"/>
    <w:rsid w:val="00BD4CCA"/>
    <w:rsid w:val="00BD5F94"/>
    <w:rsid w:val="00BD5FA9"/>
    <w:rsid w:val="00BD6406"/>
    <w:rsid w:val="00BD7538"/>
    <w:rsid w:val="00BD76F4"/>
    <w:rsid w:val="00BD7C59"/>
    <w:rsid w:val="00BD7EAC"/>
    <w:rsid w:val="00BE0648"/>
    <w:rsid w:val="00BE1C2C"/>
    <w:rsid w:val="00BE226A"/>
    <w:rsid w:val="00BE2BA6"/>
    <w:rsid w:val="00BE2FF6"/>
    <w:rsid w:val="00BE32BD"/>
    <w:rsid w:val="00BE3671"/>
    <w:rsid w:val="00BE56F4"/>
    <w:rsid w:val="00BE5A66"/>
    <w:rsid w:val="00BE5AF8"/>
    <w:rsid w:val="00BE5CFA"/>
    <w:rsid w:val="00BE60EB"/>
    <w:rsid w:val="00BE6123"/>
    <w:rsid w:val="00BE6202"/>
    <w:rsid w:val="00BE6F4C"/>
    <w:rsid w:val="00BE7A5E"/>
    <w:rsid w:val="00BF0756"/>
    <w:rsid w:val="00BF1352"/>
    <w:rsid w:val="00BF18D0"/>
    <w:rsid w:val="00BF28F4"/>
    <w:rsid w:val="00BF3340"/>
    <w:rsid w:val="00BF359E"/>
    <w:rsid w:val="00BF3C66"/>
    <w:rsid w:val="00BF3FB4"/>
    <w:rsid w:val="00BF63BF"/>
    <w:rsid w:val="00BF72E6"/>
    <w:rsid w:val="00BF74F9"/>
    <w:rsid w:val="00BF765A"/>
    <w:rsid w:val="00C00BEC"/>
    <w:rsid w:val="00C00FF7"/>
    <w:rsid w:val="00C01F12"/>
    <w:rsid w:val="00C01F75"/>
    <w:rsid w:val="00C03733"/>
    <w:rsid w:val="00C03753"/>
    <w:rsid w:val="00C03869"/>
    <w:rsid w:val="00C04A1F"/>
    <w:rsid w:val="00C05032"/>
    <w:rsid w:val="00C06738"/>
    <w:rsid w:val="00C101FB"/>
    <w:rsid w:val="00C1036A"/>
    <w:rsid w:val="00C1054F"/>
    <w:rsid w:val="00C1079D"/>
    <w:rsid w:val="00C10DAC"/>
    <w:rsid w:val="00C10DE1"/>
    <w:rsid w:val="00C10F67"/>
    <w:rsid w:val="00C11712"/>
    <w:rsid w:val="00C11B1C"/>
    <w:rsid w:val="00C11C72"/>
    <w:rsid w:val="00C11F21"/>
    <w:rsid w:val="00C1230B"/>
    <w:rsid w:val="00C12322"/>
    <w:rsid w:val="00C12391"/>
    <w:rsid w:val="00C12F25"/>
    <w:rsid w:val="00C1339D"/>
    <w:rsid w:val="00C1371A"/>
    <w:rsid w:val="00C13A12"/>
    <w:rsid w:val="00C14007"/>
    <w:rsid w:val="00C151D3"/>
    <w:rsid w:val="00C1550F"/>
    <w:rsid w:val="00C15CF2"/>
    <w:rsid w:val="00C15FEB"/>
    <w:rsid w:val="00C16358"/>
    <w:rsid w:val="00C16550"/>
    <w:rsid w:val="00C174D3"/>
    <w:rsid w:val="00C179F5"/>
    <w:rsid w:val="00C17C0F"/>
    <w:rsid w:val="00C2024C"/>
    <w:rsid w:val="00C20E42"/>
    <w:rsid w:val="00C2121B"/>
    <w:rsid w:val="00C21605"/>
    <w:rsid w:val="00C223B7"/>
    <w:rsid w:val="00C23A66"/>
    <w:rsid w:val="00C23B11"/>
    <w:rsid w:val="00C23CAC"/>
    <w:rsid w:val="00C23FE5"/>
    <w:rsid w:val="00C2448C"/>
    <w:rsid w:val="00C248E1"/>
    <w:rsid w:val="00C24904"/>
    <w:rsid w:val="00C252FE"/>
    <w:rsid w:val="00C25DC2"/>
    <w:rsid w:val="00C26206"/>
    <w:rsid w:val="00C2754F"/>
    <w:rsid w:val="00C27556"/>
    <w:rsid w:val="00C27D76"/>
    <w:rsid w:val="00C30D91"/>
    <w:rsid w:val="00C31C89"/>
    <w:rsid w:val="00C3278E"/>
    <w:rsid w:val="00C32FFE"/>
    <w:rsid w:val="00C33E2C"/>
    <w:rsid w:val="00C33E9F"/>
    <w:rsid w:val="00C33FF6"/>
    <w:rsid w:val="00C34119"/>
    <w:rsid w:val="00C342C7"/>
    <w:rsid w:val="00C3473E"/>
    <w:rsid w:val="00C347B3"/>
    <w:rsid w:val="00C35282"/>
    <w:rsid w:val="00C355DD"/>
    <w:rsid w:val="00C35659"/>
    <w:rsid w:val="00C3693D"/>
    <w:rsid w:val="00C37173"/>
    <w:rsid w:val="00C3766B"/>
    <w:rsid w:val="00C37CDE"/>
    <w:rsid w:val="00C37D9E"/>
    <w:rsid w:val="00C40331"/>
    <w:rsid w:val="00C409FD"/>
    <w:rsid w:val="00C41DCA"/>
    <w:rsid w:val="00C427A9"/>
    <w:rsid w:val="00C42B40"/>
    <w:rsid w:val="00C4379F"/>
    <w:rsid w:val="00C444F6"/>
    <w:rsid w:val="00C4478A"/>
    <w:rsid w:val="00C4485B"/>
    <w:rsid w:val="00C452CB"/>
    <w:rsid w:val="00C456AC"/>
    <w:rsid w:val="00C456C5"/>
    <w:rsid w:val="00C45BF3"/>
    <w:rsid w:val="00C466C6"/>
    <w:rsid w:val="00C47726"/>
    <w:rsid w:val="00C47C39"/>
    <w:rsid w:val="00C50570"/>
    <w:rsid w:val="00C50D7F"/>
    <w:rsid w:val="00C51471"/>
    <w:rsid w:val="00C51BD2"/>
    <w:rsid w:val="00C528CD"/>
    <w:rsid w:val="00C52F66"/>
    <w:rsid w:val="00C538F3"/>
    <w:rsid w:val="00C54366"/>
    <w:rsid w:val="00C547CA"/>
    <w:rsid w:val="00C549CE"/>
    <w:rsid w:val="00C55DD1"/>
    <w:rsid w:val="00C56D72"/>
    <w:rsid w:val="00C57214"/>
    <w:rsid w:val="00C60709"/>
    <w:rsid w:val="00C614A2"/>
    <w:rsid w:val="00C61B18"/>
    <w:rsid w:val="00C61B67"/>
    <w:rsid w:val="00C620A4"/>
    <w:rsid w:val="00C62287"/>
    <w:rsid w:val="00C626E5"/>
    <w:rsid w:val="00C627E0"/>
    <w:rsid w:val="00C633E3"/>
    <w:rsid w:val="00C63443"/>
    <w:rsid w:val="00C634FE"/>
    <w:rsid w:val="00C63803"/>
    <w:rsid w:val="00C63E68"/>
    <w:rsid w:val="00C64240"/>
    <w:rsid w:val="00C64D3A"/>
    <w:rsid w:val="00C65C59"/>
    <w:rsid w:val="00C65CCB"/>
    <w:rsid w:val="00C65DFC"/>
    <w:rsid w:val="00C66763"/>
    <w:rsid w:val="00C66822"/>
    <w:rsid w:val="00C6718D"/>
    <w:rsid w:val="00C677F5"/>
    <w:rsid w:val="00C70450"/>
    <w:rsid w:val="00C70C4D"/>
    <w:rsid w:val="00C712FD"/>
    <w:rsid w:val="00C71423"/>
    <w:rsid w:val="00C71566"/>
    <w:rsid w:val="00C72FD9"/>
    <w:rsid w:val="00C73057"/>
    <w:rsid w:val="00C732ED"/>
    <w:rsid w:val="00C73370"/>
    <w:rsid w:val="00C7357C"/>
    <w:rsid w:val="00C73A49"/>
    <w:rsid w:val="00C7464F"/>
    <w:rsid w:val="00C748E3"/>
    <w:rsid w:val="00C74BED"/>
    <w:rsid w:val="00C74C61"/>
    <w:rsid w:val="00C7554E"/>
    <w:rsid w:val="00C75683"/>
    <w:rsid w:val="00C7651D"/>
    <w:rsid w:val="00C767F8"/>
    <w:rsid w:val="00C76CA8"/>
    <w:rsid w:val="00C76E8D"/>
    <w:rsid w:val="00C771B0"/>
    <w:rsid w:val="00C772AE"/>
    <w:rsid w:val="00C800B3"/>
    <w:rsid w:val="00C80165"/>
    <w:rsid w:val="00C80C46"/>
    <w:rsid w:val="00C80F9E"/>
    <w:rsid w:val="00C813AC"/>
    <w:rsid w:val="00C81593"/>
    <w:rsid w:val="00C81709"/>
    <w:rsid w:val="00C81730"/>
    <w:rsid w:val="00C81A8D"/>
    <w:rsid w:val="00C823E3"/>
    <w:rsid w:val="00C825B3"/>
    <w:rsid w:val="00C82A18"/>
    <w:rsid w:val="00C82DF4"/>
    <w:rsid w:val="00C8329C"/>
    <w:rsid w:val="00C83C65"/>
    <w:rsid w:val="00C8453A"/>
    <w:rsid w:val="00C84716"/>
    <w:rsid w:val="00C85355"/>
    <w:rsid w:val="00C8558C"/>
    <w:rsid w:val="00C85936"/>
    <w:rsid w:val="00C8603F"/>
    <w:rsid w:val="00C869FA"/>
    <w:rsid w:val="00C9134C"/>
    <w:rsid w:val="00C9184E"/>
    <w:rsid w:val="00C91926"/>
    <w:rsid w:val="00C92125"/>
    <w:rsid w:val="00C9310F"/>
    <w:rsid w:val="00C93141"/>
    <w:rsid w:val="00C93A94"/>
    <w:rsid w:val="00C93D32"/>
    <w:rsid w:val="00C95324"/>
    <w:rsid w:val="00C95519"/>
    <w:rsid w:val="00C9570A"/>
    <w:rsid w:val="00C95E23"/>
    <w:rsid w:val="00C96715"/>
    <w:rsid w:val="00C969E9"/>
    <w:rsid w:val="00C96FC2"/>
    <w:rsid w:val="00C97882"/>
    <w:rsid w:val="00C97A31"/>
    <w:rsid w:val="00CA059D"/>
    <w:rsid w:val="00CA0CB0"/>
    <w:rsid w:val="00CA0DC5"/>
    <w:rsid w:val="00CA0EC8"/>
    <w:rsid w:val="00CA382E"/>
    <w:rsid w:val="00CA3BAE"/>
    <w:rsid w:val="00CA49E1"/>
    <w:rsid w:val="00CA4CF2"/>
    <w:rsid w:val="00CA5043"/>
    <w:rsid w:val="00CA6A8E"/>
    <w:rsid w:val="00CA6FE6"/>
    <w:rsid w:val="00CA745D"/>
    <w:rsid w:val="00CB054B"/>
    <w:rsid w:val="00CB0C30"/>
    <w:rsid w:val="00CB0D8F"/>
    <w:rsid w:val="00CB1571"/>
    <w:rsid w:val="00CB1A9F"/>
    <w:rsid w:val="00CB1DE9"/>
    <w:rsid w:val="00CB26DA"/>
    <w:rsid w:val="00CB3AF4"/>
    <w:rsid w:val="00CB4160"/>
    <w:rsid w:val="00CB42C0"/>
    <w:rsid w:val="00CB4B70"/>
    <w:rsid w:val="00CB5217"/>
    <w:rsid w:val="00CB56B7"/>
    <w:rsid w:val="00CB5DF7"/>
    <w:rsid w:val="00CB5F5D"/>
    <w:rsid w:val="00CB6122"/>
    <w:rsid w:val="00CB6DD8"/>
    <w:rsid w:val="00CB76B9"/>
    <w:rsid w:val="00CB7E58"/>
    <w:rsid w:val="00CC008A"/>
    <w:rsid w:val="00CC1C10"/>
    <w:rsid w:val="00CC1D26"/>
    <w:rsid w:val="00CC22AD"/>
    <w:rsid w:val="00CC2CF3"/>
    <w:rsid w:val="00CC2D3A"/>
    <w:rsid w:val="00CC3001"/>
    <w:rsid w:val="00CC3032"/>
    <w:rsid w:val="00CC47DD"/>
    <w:rsid w:val="00CC66C1"/>
    <w:rsid w:val="00CC73A7"/>
    <w:rsid w:val="00CC7972"/>
    <w:rsid w:val="00CC79A2"/>
    <w:rsid w:val="00CC7B22"/>
    <w:rsid w:val="00CC7D01"/>
    <w:rsid w:val="00CC7E01"/>
    <w:rsid w:val="00CD0029"/>
    <w:rsid w:val="00CD0974"/>
    <w:rsid w:val="00CD0B23"/>
    <w:rsid w:val="00CD0E2B"/>
    <w:rsid w:val="00CD0ECA"/>
    <w:rsid w:val="00CD1280"/>
    <w:rsid w:val="00CD1B16"/>
    <w:rsid w:val="00CD2698"/>
    <w:rsid w:val="00CD2767"/>
    <w:rsid w:val="00CD3850"/>
    <w:rsid w:val="00CD5136"/>
    <w:rsid w:val="00CD5D68"/>
    <w:rsid w:val="00CD5F97"/>
    <w:rsid w:val="00CD6579"/>
    <w:rsid w:val="00CD6666"/>
    <w:rsid w:val="00CD6B62"/>
    <w:rsid w:val="00CD6BBB"/>
    <w:rsid w:val="00CD73B5"/>
    <w:rsid w:val="00CD7D7A"/>
    <w:rsid w:val="00CE0291"/>
    <w:rsid w:val="00CE0BE2"/>
    <w:rsid w:val="00CE151A"/>
    <w:rsid w:val="00CE1533"/>
    <w:rsid w:val="00CE1ECF"/>
    <w:rsid w:val="00CE1F19"/>
    <w:rsid w:val="00CE23A4"/>
    <w:rsid w:val="00CE3421"/>
    <w:rsid w:val="00CE3659"/>
    <w:rsid w:val="00CE3B93"/>
    <w:rsid w:val="00CE452F"/>
    <w:rsid w:val="00CE4BB8"/>
    <w:rsid w:val="00CE5171"/>
    <w:rsid w:val="00CE543D"/>
    <w:rsid w:val="00CE54FD"/>
    <w:rsid w:val="00CE6269"/>
    <w:rsid w:val="00CE640A"/>
    <w:rsid w:val="00CE7277"/>
    <w:rsid w:val="00CE7543"/>
    <w:rsid w:val="00CF0032"/>
    <w:rsid w:val="00CF00F1"/>
    <w:rsid w:val="00CF0141"/>
    <w:rsid w:val="00CF14F3"/>
    <w:rsid w:val="00CF1A95"/>
    <w:rsid w:val="00CF2511"/>
    <w:rsid w:val="00CF2692"/>
    <w:rsid w:val="00CF31A5"/>
    <w:rsid w:val="00CF3CB2"/>
    <w:rsid w:val="00CF425A"/>
    <w:rsid w:val="00CF43F4"/>
    <w:rsid w:val="00CF6749"/>
    <w:rsid w:val="00CF73A2"/>
    <w:rsid w:val="00CF7D8A"/>
    <w:rsid w:val="00CF7D94"/>
    <w:rsid w:val="00CF7EA2"/>
    <w:rsid w:val="00CF7F79"/>
    <w:rsid w:val="00D00C88"/>
    <w:rsid w:val="00D02686"/>
    <w:rsid w:val="00D027D9"/>
    <w:rsid w:val="00D034FE"/>
    <w:rsid w:val="00D0498A"/>
    <w:rsid w:val="00D05257"/>
    <w:rsid w:val="00D0561D"/>
    <w:rsid w:val="00D05AC6"/>
    <w:rsid w:val="00D06351"/>
    <w:rsid w:val="00D06C0D"/>
    <w:rsid w:val="00D0755B"/>
    <w:rsid w:val="00D07573"/>
    <w:rsid w:val="00D10113"/>
    <w:rsid w:val="00D1054C"/>
    <w:rsid w:val="00D122ED"/>
    <w:rsid w:val="00D1286E"/>
    <w:rsid w:val="00D12A92"/>
    <w:rsid w:val="00D12AA5"/>
    <w:rsid w:val="00D136B6"/>
    <w:rsid w:val="00D13BDC"/>
    <w:rsid w:val="00D13D60"/>
    <w:rsid w:val="00D1406E"/>
    <w:rsid w:val="00D14759"/>
    <w:rsid w:val="00D14762"/>
    <w:rsid w:val="00D1550E"/>
    <w:rsid w:val="00D1563C"/>
    <w:rsid w:val="00D158D0"/>
    <w:rsid w:val="00D15C89"/>
    <w:rsid w:val="00D16B8F"/>
    <w:rsid w:val="00D17429"/>
    <w:rsid w:val="00D20001"/>
    <w:rsid w:val="00D202BD"/>
    <w:rsid w:val="00D20342"/>
    <w:rsid w:val="00D21440"/>
    <w:rsid w:val="00D22CFF"/>
    <w:rsid w:val="00D23CA0"/>
    <w:rsid w:val="00D24372"/>
    <w:rsid w:val="00D244F0"/>
    <w:rsid w:val="00D25BAA"/>
    <w:rsid w:val="00D26296"/>
    <w:rsid w:val="00D26897"/>
    <w:rsid w:val="00D26C86"/>
    <w:rsid w:val="00D2725E"/>
    <w:rsid w:val="00D27CDB"/>
    <w:rsid w:val="00D27D7E"/>
    <w:rsid w:val="00D30678"/>
    <w:rsid w:val="00D30B00"/>
    <w:rsid w:val="00D315F4"/>
    <w:rsid w:val="00D316A3"/>
    <w:rsid w:val="00D31705"/>
    <w:rsid w:val="00D31AA0"/>
    <w:rsid w:val="00D33490"/>
    <w:rsid w:val="00D33916"/>
    <w:rsid w:val="00D33DFA"/>
    <w:rsid w:val="00D356DE"/>
    <w:rsid w:val="00D36410"/>
    <w:rsid w:val="00D36518"/>
    <w:rsid w:val="00D3683E"/>
    <w:rsid w:val="00D369CB"/>
    <w:rsid w:val="00D374CA"/>
    <w:rsid w:val="00D407F3"/>
    <w:rsid w:val="00D408A3"/>
    <w:rsid w:val="00D40FB7"/>
    <w:rsid w:val="00D41086"/>
    <w:rsid w:val="00D41636"/>
    <w:rsid w:val="00D42061"/>
    <w:rsid w:val="00D420F1"/>
    <w:rsid w:val="00D429D7"/>
    <w:rsid w:val="00D42F55"/>
    <w:rsid w:val="00D42FCA"/>
    <w:rsid w:val="00D435E4"/>
    <w:rsid w:val="00D4372B"/>
    <w:rsid w:val="00D43D58"/>
    <w:rsid w:val="00D441D8"/>
    <w:rsid w:val="00D44582"/>
    <w:rsid w:val="00D44FB3"/>
    <w:rsid w:val="00D46080"/>
    <w:rsid w:val="00D4622E"/>
    <w:rsid w:val="00D4731E"/>
    <w:rsid w:val="00D501AE"/>
    <w:rsid w:val="00D50AEC"/>
    <w:rsid w:val="00D50BAB"/>
    <w:rsid w:val="00D5224A"/>
    <w:rsid w:val="00D524B0"/>
    <w:rsid w:val="00D52CC7"/>
    <w:rsid w:val="00D52D40"/>
    <w:rsid w:val="00D5385E"/>
    <w:rsid w:val="00D53CC7"/>
    <w:rsid w:val="00D54928"/>
    <w:rsid w:val="00D556FE"/>
    <w:rsid w:val="00D5576D"/>
    <w:rsid w:val="00D56385"/>
    <w:rsid w:val="00D56E50"/>
    <w:rsid w:val="00D571DB"/>
    <w:rsid w:val="00D61240"/>
    <w:rsid w:val="00D617A6"/>
    <w:rsid w:val="00D625E7"/>
    <w:rsid w:val="00D62762"/>
    <w:rsid w:val="00D631A3"/>
    <w:rsid w:val="00D63323"/>
    <w:rsid w:val="00D63848"/>
    <w:rsid w:val="00D63B5B"/>
    <w:rsid w:val="00D64451"/>
    <w:rsid w:val="00D644A3"/>
    <w:rsid w:val="00D6461B"/>
    <w:rsid w:val="00D65C1A"/>
    <w:rsid w:val="00D65C61"/>
    <w:rsid w:val="00D65EF7"/>
    <w:rsid w:val="00D66088"/>
    <w:rsid w:val="00D676F4"/>
    <w:rsid w:val="00D679CC"/>
    <w:rsid w:val="00D703C1"/>
    <w:rsid w:val="00D70FAD"/>
    <w:rsid w:val="00D716E2"/>
    <w:rsid w:val="00D7266D"/>
    <w:rsid w:val="00D72EC9"/>
    <w:rsid w:val="00D7335C"/>
    <w:rsid w:val="00D73C43"/>
    <w:rsid w:val="00D742DB"/>
    <w:rsid w:val="00D77325"/>
    <w:rsid w:val="00D809FF"/>
    <w:rsid w:val="00D821A2"/>
    <w:rsid w:val="00D8261B"/>
    <w:rsid w:val="00D8272B"/>
    <w:rsid w:val="00D830A0"/>
    <w:rsid w:val="00D83B96"/>
    <w:rsid w:val="00D842D0"/>
    <w:rsid w:val="00D848A7"/>
    <w:rsid w:val="00D85511"/>
    <w:rsid w:val="00D86726"/>
    <w:rsid w:val="00D875B3"/>
    <w:rsid w:val="00D901A3"/>
    <w:rsid w:val="00D9102F"/>
    <w:rsid w:val="00D915A4"/>
    <w:rsid w:val="00D92FE1"/>
    <w:rsid w:val="00D9316E"/>
    <w:rsid w:val="00D932BC"/>
    <w:rsid w:val="00D93BF5"/>
    <w:rsid w:val="00D9450C"/>
    <w:rsid w:val="00D94C7A"/>
    <w:rsid w:val="00D952F9"/>
    <w:rsid w:val="00D95A34"/>
    <w:rsid w:val="00D95D96"/>
    <w:rsid w:val="00D96951"/>
    <w:rsid w:val="00D974DC"/>
    <w:rsid w:val="00D97FB7"/>
    <w:rsid w:val="00DA0113"/>
    <w:rsid w:val="00DA063D"/>
    <w:rsid w:val="00DA1180"/>
    <w:rsid w:val="00DA1377"/>
    <w:rsid w:val="00DA1B5C"/>
    <w:rsid w:val="00DA1E9E"/>
    <w:rsid w:val="00DA24C0"/>
    <w:rsid w:val="00DA25F0"/>
    <w:rsid w:val="00DA2E4A"/>
    <w:rsid w:val="00DA3D47"/>
    <w:rsid w:val="00DA4BDA"/>
    <w:rsid w:val="00DA4CAC"/>
    <w:rsid w:val="00DA4EE4"/>
    <w:rsid w:val="00DA530D"/>
    <w:rsid w:val="00DA5BDE"/>
    <w:rsid w:val="00DA6275"/>
    <w:rsid w:val="00DA68D2"/>
    <w:rsid w:val="00DA7FB0"/>
    <w:rsid w:val="00DB13D7"/>
    <w:rsid w:val="00DB14FC"/>
    <w:rsid w:val="00DB192F"/>
    <w:rsid w:val="00DB30B8"/>
    <w:rsid w:val="00DB33F0"/>
    <w:rsid w:val="00DB399F"/>
    <w:rsid w:val="00DB3A58"/>
    <w:rsid w:val="00DB3A7F"/>
    <w:rsid w:val="00DB4B0D"/>
    <w:rsid w:val="00DB64E6"/>
    <w:rsid w:val="00DB6E8F"/>
    <w:rsid w:val="00DB6F52"/>
    <w:rsid w:val="00DC07BF"/>
    <w:rsid w:val="00DC0AD3"/>
    <w:rsid w:val="00DC1083"/>
    <w:rsid w:val="00DC1272"/>
    <w:rsid w:val="00DC18DB"/>
    <w:rsid w:val="00DC1B1B"/>
    <w:rsid w:val="00DC249D"/>
    <w:rsid w:val="00DC24E5"/>
    <w:rsid w:val="00DC24FD"/>
    <w:rsid w:val="00DC28AF"/>
    <w:rsid w:val="00DC3716"/>
    <w:rsid w:val="00DC3E3A"/>
    <w:rsid w:val="00DC5198"/>
    <w:rsid w:val="00DC5AB1"/>
    <w:rsid w:val="00DC5F39"/>
    <w:rsid w:val="00DC62C7"/>
    <w:rsid w:val="00DC68EB"/>
    <w:rsid w:val="00DC7960"/>
    <w:rsid w:val="00DD0914"/>
    <w:rsid w:val="00DD0D93"/>
    <w:rsid w:val="00DD2245"/>
    <w:rsid w:val="00DD26C8"/>
    <w:rsid w:val="00DD2918"/>
    <w:rsid w:val="00DD3012"/>
    <w:rsid w:val="00DD3139"/>
    <w:rsid w:val="00DD31C8"/>
    <w:rsid w:val="00DD4FBE"/>
    <w:rsid w:val="00DD555F"/>
    <w:rsid w:val="00DD5A67"/>
    <w:rsid w:val="00DD5E5E"/>
    <w:rsid w:val="00DD5ED0"/>
    <w:rsid w:val="00DD6782"/>
    <w:rsid w:val="00DD7573"/>
    <w:rsid w:val="00DD7EF8"/>
    <w:rsid w:val="00DE026E"/>
    <w:rsid w:val="00DE0475"/>
    <w:rsid w:val="00DE05AF"/>
    <w:rsid w:val="00DE0731"/>
    <w:rsid w:val="00DE0870"/>
    <w:rsid w:val="00DE1E75"/>
    <w:rsid w:val="00DE2C5A"/>
    <w:rsid w:val="00DE4A5C"/>
    <w:rsid w:val="00DE520E"/>
    <w:rsid w:val="00DE625D"/>
    <w:rsid w:val="00DE6E8F"/>
    <w:rsid w:val="00DE77E9"/>
    <w:rsid w:val="00DF112A"/>
    <w:rsid w:val="00DF1167"/>
    <w:rsid w:val="00DF248A"/>
    <w:rsid w:val="00DF2A17"/>
    <w:rsid w:val="00DF3230"/>
    <w:rsid w:val="00DF37C8"/>
    <w:rsid w:val="00DF3871"/>
    <w:rsid w:val="00DF39D1"/>
    <w:rsid w:val="00DF3C7A"/>
    <w:rsid w:val="00DF412D"/>
    <w:rsid w:val="00DF4CAE"/>
    <w:rsid w:val="00DF5AB2"/>
    <w:rsid w:val="00DF65EC"/>
    <w:rsid w:val="00DF69EE"/>
    <w:rsid w:val="00DF6B7D"/>
    <w:rsid w:val="00DF73F3"/>
    <w:rsid w:val="00DF76BA"/>
    <w:rsid w:val="00DF7E4E"/>
    <w:rsid w:val="00E007D4"/>
    <w:rsid w:val="00E007F1"/>
    <w:rsid w:val="00E016DC"/>
    <w:rsid w:val="00E01A54"/>
    <w:rsid w:val="00E0212C"/>
    <w:rsid w:val="00E022ED"/>
    <w:rsid w:val="00E024DB"/>
    <w:rsid w:val="00E03430"/>
    <w:rsid w:val="00E03497"/>
    <w:rsid w:val="00E03B77"/>
    <w:rsid w:val="00E048E7"/>
    <w:rsid w:val="00E050AB"/>
    <w:rsid w:val="00E05DAC"/>
    <w:rsid w:val="00E05E4E"/>
    <w:rsid w:val="00E06B09"/>
    <w:rsid w:val="00E0774C"/>
    <w:rsid w:val="00E07AB7"/>
    <w:rsid w:val="00E10508"/>
    <w:rsid w:val="00E11103"/>
    <w:rsid w:val="00E112E4"/>
    <w:rsid w:val="00E11F47"/>
    <w:rsid w:val="00E12B81"/>
    <w:rsid w:val="00E13163"/>
    <w:rsid w:val="00E13BE2"/>
    <w:rsid w:val="00E13F7B"/>
    <w:rsid w:val="00E143D4"/>
    <w:rsid w:val="00E1463E"/>
    <w:rsid w:val="00E14991"/>
    <w:rsid w:val="00E14F73"/>
    <w:rsid w:val="00E1577A"/>
    <w:rsid w:val="00E15F21"/>
    <w:rsid w:val="00E168B3"/>
    <w:rsid w:val="00E17666"/>
    <w:rsid w:val="00E17AF9"/>
    <w:rsid w:val="00E20C6A"/>
    <w:rsid w:val="00E20E4C"/>
    <w:rsid w:val="00E21489"/>
    <w:rsid w:val="00E214F0"/>
    <w:rsid w:val="00E2167E"/>
    <w:rsid w:val="00E21890"/>
    <w:rsid w:val="00E2196D"/>
    <w:rsid w:val="00E21E89"/>
    <w:rsid w:val="00E22ADF"/>
    <w:rsid w:val="00E22C8F"/>
    <w:rsid w:val="00E23072"/>
    <w:rsid w:val="00E23ACD"/>
    <w:rsid w:val="00E24A2C"/>
    <w:rsid w:val="00E24D18"/>
    <w:rsid w:val="00E25040"/>
    <w:rsid w:val="00E2549B"/>
    <w:rsid w:val="00E26C3D"/>
    <w:rsid w:val="00E26E59"/>
    <w:rsid w:val="00E27241"/>
    <w:rsid w:val="00E27C1A"/>
    <w:rsid w:val="00E27FE8"/>
    <w:rsid w:val="00E30B0D"/>
    <w:rsid w:val="00E31A80"/>
    <w:rsid w:val="00E31AF5"/>
    <w:rsid w:val="00E31DA0"/>
    <w:rsid w:val="00E32394"/>
    <w:rsid w:val="00E33795"/>
    <w:rsid w:val="00E33B48"/>
    <w:rsid w:val="00E345C9"/>
    <w:rsid w:val="00E35F62"/>
    <w:rsid w:val="00E35FC5"/>
    <w:rsid w:val="00E36269"/>
    <w:rsid w:val="00E3642D"/>
    <w:rsid w:val="00E37370"/>
    <w:rsid w:val="00E373B3"/>
    <w:rsid w:val="00E37632"/>
    <w:rsid w:val="00E416E8"/>
    <w:rsid w:val="00E41BDA"/>
    <w:rsid w:val="00E42698"/>
    <w:rsid w:val="00E436FC"/>
    <w:rsid w:val="00E43CE9"/>
    <w:rsid w:val="00E43F39"/>
    <w:rsid w:val="00E45472"/>
    <w:rsid w:val="00E4566E"/>
    <w:rsid w:val="00E45F4F"/>
    <w:rsid w:val="00E46E51"/>
    <w:rsid w:val="00E472E5"/>
    <w:rsid w:val="00E4762E"/>
    <w:rsid w:val="00E47D0A"/>
    <w:rsid w:val="00E50DF7"/>
    <w:rsid w:val="00E51243"/>
    <w:rsid w:val="00E51263"/>
    <w:rsid w:val="00E51F16"/>
    <w:rsid w:val="00E521A6"/>
    <w:rsid w:val="00E52BBC"/>
    <w:rsid w:val="00E52D47"/>
    <w:rsid w:val="00E5383C"/>
    <w:rsid w:val="00E54E09"/>
    <w:rsid w:val="00E55638"/>
    <w:rsid w:val="00E55B6B"/>
    <w:rsid w:val="00E57167"/>
    <w:rsid w:val="00E57602"/>
    <w:rsid w:val="00E60B41"/>
    <w:rsid w:val="00E6138D"/>
    <w:rsid w:val="00E61880"/>
    <w:rsid w:val="00E61A30"/>
    <w:rsid w:val="00E63402"/>
    <w:rsid w:val="00E63915"/>
    <w:rsid w:val="00E639FB"/>
    <w:rsid w:val="00E63BED"/>
    <w:rsid w:val="00E64896"/>
    <w:rsid w:val="00E660C9"/>
    <w:rsid w:val="00E66581"/>
    <w:rsid w:val="00E66908"/>
    <w:rsid w:val="00E673E1"/>
    <w:rsid w:val="00E67972"/>
    <w:rsid w:val="00E70499"/>
    <w:rsid w:val="00E704C4"/>
    <w:rsid w:val="00E70719"/>
    <w:rsid w:val="00E70914"/>
    <w:rsid w:val="00E713F5"/>
    <w:rsid w:val="00E719C1"/>
    <w:rsid w:val="00E71A82"/>
    <w:rsid w:val="00E72E67"/>
    <w:rsid w:val="00E7314C"/>
    <w:rsid w:val="00E73377"/>
    <w:rsid w:val="00E7358D"/>
    <w:rsid w:val="00E74541"/>
    <w:rsid w:val="00E7495B"/>
    <w:rsid w:val="00E749B6"/>
    <w:rsid w:val="00E74A01"/>
    <w:rsid w:val="00E753E2"/>
    <w:rsid w:val="00E75895"/>
    <w:rsid w:val="00E76A62"/>
    <w:rsid w:val="00E7710B"/>
    <w:rsid w:val="00E7739B"/>
    <w:rsid w:val="00E80201"/>
    <w:rsid w:val="00E80EA6"/>
    <w:rsid w:val="00E81206"/>
    <w:rsid w:val="00E81649"/>
    <w:rsid w:val="00E816F3"/>
    <w:rsid w:val="00E81CC0"/>
    <w:rsid w:val="00E82B13"/>
    <w:rsid w:val="00E8402D"/>
    <w:rsid w:val="00E84BDF"/>
    <w:rsid w:val="00E84C1B"/>
    <w:rsid w:val="00E85E95"/>
    <w:rsid w:val="00E86927"/>
    <w:rsid w:val="00E86D38"/>
    <w:rsid w:val="00E876D3"/>
    <w:rsid w:val="00E87970"/>
    <w:rsid w:val="00E87E45"/>
    <w:rsid w:val="00E87EAF"/>
    <w:rsid w:val="00E901AC"/>
    <w:rsid w:val="00E90B62"/>
    <w:rsid w:val="00E90CEA"/>
    <w:rsid w:val="00E9186A"/>
    <w:rsid w:val="00E919AB"/>
    <w:rsid w:val="00E9291F"/>
    <w:rsid w:val="00E9367A"/>
    <w:rsid w:val="00E93C2B"/>
    <w:rsid w:val="00E944F1"/>
    <w:rsid w:val="00E94B0C"/>
    <w:rsid w:val="00E9599D"/>
    <w:rsid w:val="00E95A50"/>
    <w:rsid w:val="00E96567"/>
    <w:rsid w:val="00E969A7"/>
    <w:rsid w:val="00E96A44"/>
    <w:rsid w:val="00E97339"/>
    <w:rsid w:val="00EA01F5"/>
    <w:rsid w:val="00EA0324"/>
    <w:rsid w:val="00EA1152"/>
    <w:rsid w:val="00EA1173"/>
    <w:rsid w:val="00EA1829"/>
    <w:rsid w:val="00EA1A5B"/>
    <w:rsid w:val="00EA1C32"/>
    <w:rsid w:val="00EA25B8"/>
    <w:rsid w:val="00EA3916"/>
    <w:rsid w:val="00EA3966"/>
    <w:rsid w:val="00EA3B34"/>
    <w:rsid w:val="00EA3C14"/>
    <w:rsid w:val="00EA44CA"/>
    <w:rsid w:val="00EA6074"/>
    <w:rsid w:val="00EA790F"/>
    <w:rsid w:val="00EA7A36"/>
    <w:rsid w:val="00EA7C47"/>
    <w:rsid w:val="00EB0D83"/>
    <w:rsid w:val="00EB1CCE"/>
    <w:rsid w:val="00EB1E2E"/>
    <w:rsid w:val="00EB289E"/>
    <w:rsid w:val="00EB2A50"/>
    <w:rsid w:val="00EB323E"/>
    <w:rsid w:val="00EB35F9"/>
    <w:rsid w:val="00EB3693"/>
    <w:rsid w:val="00EB3A37"/>
    <w:rsid w:val="00EB3CFE"/>
    <w:rsid w:val="00EB50B3"/>
    <w:rsid w:val="00EB5A35"/>
    <w:rsid w:val="00EB619F"/>
    <w:rsid w:val="00EB6340"/>
    <w:rsid w:val="00EB64C1"/>
    <w:rsid w:val="00EB7C5C"/>
    <w:rsid w:val="00EC04F2"/>
    <w:rsid w:val="00EC0F40"/>
    <w:rsid w:val="00EC218C"/>
    <w:rsid w:val="00EC2415"/>
    <w:rsid w:val="00EC2AB1"/>
    <w:rsid w:val="00EC2D36"/>
    <w:rsid w:val="00EC3A04"/>
    <w:rsid w:val="00EC3DAB"/>
    <w:rsid w:val="00EC3DCE"/>
    <w:rsid w:val="00EC3EB2"/>
    <w:rsid w:val="00EC3FA4"/>
    <w:rsid w:val="00EC4B6E"/>
    <w:rsid w:val="00EC53C8"/>
    <w:rsid w:val="00EC5404"/>
    <w:rsid w:val="00EC6BED"/>
    <w:rsid w:val="00EC6DB9"/>
    <w:rsid w:val="00EC6EFB"/>
    <w:rsid w:val="00EC71F1"/>
    <w:rsid w:val="00ED07FB"/>
    <w:rsid w:val="00ED08F7"/>
    <w:rsid w:val="00ED1761"/>
    <w:rsid w:val="00ED1946"/>
    <w:rsid w:val="00ED1C26"/>
    <w:rsid w:val="00ED1C96"/>
    <w:rsid w:val="00ED1E9C"/>
    <w:rsid w:val="00ED2874"/>
    <w:rsid w:val="00ED29C7"/>
    <w:rsid w:val="00ED2B36"/>
    <w:rsid w:val="00ED37E6"/>
    <w:rsid w:val="00ED4146"/>
    <w:rsid w:val="00ED5222"/>
    <w:rsid w:val="00ED5961"/>
    <w:rsid w:val="00ED631C"/>
    <w:rsid w:val="00ED6F48"/>
    <w:rsid w:val="00ED758E"/>
    <w:rsid w:val="00EE0266"/>
    <w:rsid w:val="00EE0747"/>
    <w:rsid w:val="00EE11F6"/>
    <w:rsid w:val="00EE172E"/>
    <w:rsid w:val="00EE1BD9"/>
    <w:rsid w:val="00EE1E6C"/>
    <w:rsid w:val="00EE1F38"/>
    <w:rsid w:val="00EE216B"/>
    <w:rsid w:val="00EE26D9"/>
    <w:rsid w:val="00EE2A03"/>
    <w:rsid w:val="00EE2BA8"/>
    <w:rsid w:val="00EE3098"/>
    <w:rsid w:val="00EE3466"/>
    <w:rsid w:val="00EE3D1D"/>
    <w:rsid w:val="00EE3DA3"/>
    <w:rsid w:val="00EE3EBF"/>
    <w:rsid w:val="00EE3FE7"/>
    <w:rsid w:val="00EE42A9"/>
    <w:rsid w:val="00EE43CE"/>
    <w:rsid w:val="00EE464B"/>
    <w:rsid w:val="00EE480A"/>
    <w:rsid w:val="00EE4EA1"/>
    <w:rsid w:val="00EE62D9"/>
    <w:rsid w:val="00EF03EB"/>
    <w:rsid w:val="00EF08DB"/>
    <w:rsid w:val="00EF0F65"/>
    <w:rsid w:val="00EF10FF"/>
    <w:rsid w:val="00EF11D3"/>
    <w:rsid w:val="00EF218E"/>
    <w:rsid w:val="00EF340A"/>
    <w:rsid w:val="00EF4C12"/>
    <w:rsid w:val="00EF52BD"/>
    <w:rsid w:val="00EF5D9B"/>
    <w:rsid w:val="00EF69EC"/>
    <w:rsid w:val="00EF6E6E"/>
    <w:rsid w:val="00EF7CC3"/>
    <w:rsid w:val="00EF7CE9"/>
    <w:rsid w:val="00EF7F66"/>
    <w:rsid w:val="00F015E1"/>
    <w:rsid w:val="00F019B0"/>
    <w:rsid w:val="00F02542"/>
    <w:rsid w:val="00F02CFD"/>
    <w:rsid w:val="00F03982"/>
    <w:rsid w:val="00F039AD"/>
    <w:rsid w:val="00F03A95"/>
    <w:rsid w:val="00F03DBE"/>
    <w:rsid w:val="00F0447D"/>
    <w:rsid w:val="00F04589"/>
    <w:rsid w:val="00F048E0"/>
    <w:rsid w:val="00F05311"/>
    <w:rsid w:val="00F053D5"/>
    <w:rsid w:val="00F05513"/>
    <w:rsid w:val="00F059C5"/>
    <w:rsid w:val="00F065BF"/>
    <w:rsid w:val="00F06733"/>
    <w:rsid w:val="00F06826"/>
    <w:rsid w:val="00F10989"/>
    <w:rsid w:val="00F10F9F"/>
    <w:rsid w:val="00F11B0D"/>
    <w:rsid w:val="00F120F3"/>
    <w:rsid w:val="00F12435"/>
    <w:rsid w:val="00F1284E"/>
    <w:rsid w:val="00F12DC1"/>
    <w:rsid w:val="00F13112"/>
    <w:rsid w:val="00F13145"/>
    <w:rsid w:val="00F13300"/>
    <w:rsid w:val="00F1332E"/>
    <w:rsid w:val="00F13523"/>
    <w:rsid w:val="00F138B2"/>
    <w:rsid w:val="00F14335"/>
    <w:rsid w:val="00F14F06"/>
    <w:rsid w:val="00F15412"/>
    <w:rsid w:val="00F159C6"/>
    <w:rsid w:val="00F15DBF"/>
    <w:rsid w:val="00F16A94"/>
    <w:rsid w:val="00F17013"/>
    <w:rsid w:val="00F173EB"/>
    <w:rsid w:val="00F17595"/>
    <w:rsid w:val="00F20170"/>
    <w:rsid w:val="00F2096F"/>
    <w:rsid w:val="00F20F44"/>
    <w:rsid w:val="00F218DF"/>
    <w:rsid w:val="00F21A33"/>
    <w:rsid w:val="00F22577"/>
    <w:rsid w:val="00F2293D"/>
    <w:rsid w:val="00F22D00"/>
    <w:rsid w:val="00F23316"/>
    <w:rsid w:val="00F23700"/>
    <w:rsid w:val="00F23AB2"/>
    <w:rsid w:val="00F24121"/>
    <w:rsid w:val="00F25718"/>
    <w:rsid w:val="00F25885"/>
    <w:rsid w:val="00F265DA"/>
    <w:rsid w:val="00F266AB"/>
    <w:rsid w:val="00F271BD"/>
    <w:rsid w:val="00F27410"/>
    <w:rsid w:val="00F2776B"/>
    <w:rsid w:val="00F27E27"/>
    <w:rsid w:val="00F31A0D"/>
    <w:rsid w:val="00F324FD"/>
    <w:rsid w:val="00F33218"/>
    <w:rsid w:val="00F349EC"/>
    <w:rsid w:val="00F3507D"/>
    <w:rsid w:val="00F35498"/>
    <w:rsid w:val="00F35E9E"/>
    <w:rsid w:val="00F35FD8"/>
    <w:rsid w:val="00F36914"/>
    <w:rsid w:val="00F36BBA"/>
    <w:rsid w:val="00F37792"/>
    <w:rsid w:val="00F37905"/>
    <w:rsid w:val="00F37947"/>
    <w:rsid w:val="00F40C39"/>
    <w:rsid w:val="00F4129D"/>
    <w:rsid w:val="00F414C5"/>
    <w:rsid w:val="00F41F40"/>
    <w:rsid w:val="00F420E5"/>
    <w:rsid w:val="00F42A4E"/>
    <w:rsid w:val="00F43DA5"/>
    <w:rsid w:val="00F43E5E"/>
    <w:rsid w:val="00F448D2"/>
    <w:rsid w:val="00F44BB6"/>
    <w:rsid w:val="00F45073"/>
    <w:rsid w:val="00F46513"/>
    <w:rsid w:val="00F46662"/>
    <w:rsid w:val="00F47044"/>
    <w:rsid w:val="00F4720D"/>
    <w:rsid w:val="00F47376"/>
    <w:rsid w:val="00F474E9"/>
    <w:rsid w:val="00F479DD"/>
    <w:rsid w:val="00F5024E"/>
    <w:rsid w:val="00F50E6F"/>
    <w:rsid w:val="00F519DC"/>
    <w:rsid w:val="00F52232"/>
    <w:rsid w:val="00F527B4"/>
    <w:rsid w:val="00F52A7D"/>
    <w:rsid w:val="00F52C56"/>
    <w:rsid w:val="00F53DB2"/>
    <w:rsid w:val="00F53E5C"/>
    <w:rsid w:val="00F54A53"/>
    <w:rsid w:val="00F5518C"/>
    <w:rsid w:val="00F55F24"/>
    <w:rsid w:val="00F56196"/>
    <w:rsid w:val="00F56606"/>
    <w:rsid w:val="00F568F1"/>
    <w:rsid w:val="00F572A9"/>
    <w:rsid w:val="00F57615"/>
    <w:rsid w:val="00F57650"/>
    <w:rsid w:val="00F5791F"/>
    <w:rsid w:val="00F6022E"/>
    <w:rsid w:val="00F6038A"/>
    <w:rsid w:val="00F6056B"/>
    <w:rsid w:val="00F6074F"/>
    <w:rsid w:val="00F60783"/>
    <w:rsid w:val="00F60ABD"/>
    <w:rsid w:val="00F60F1B"/>
    <w:rsid w:val="00F61A5D"/>
    <w:rsid w:val="00F61E0E"/>
    <w:rsid w:val="00F62374"/>
    <w:rsid w:val="00F62D78"/>
    <w:rsid w:val="00F63413"/>
    <w:rsid w:val="00F63C4D"/>
    <w:rsid w:val="00F63FC3"/>
    <w:rsid w:val="00F643AE"/>
    <w:rsid w:val="00F644F3"/>
    <w:rsid w:val="00F645A5"/>
    <w:rsid w:val="00F6461F"/>
    <w:rsid w:val="00F64E86"/>
    <w:rsid w:val="00F6564B"/>
    <w:rsid w:val="00F6564D"/>
    <w:rsid w:val="00F66367"/>
    <w:rsid w:val="00F66F37"/>
    <w:rsid w:val="00F670C0"/>
    <w:rsid w:val="00F70252"/>
    <w:rsid w:val="00F709BA"/>
    <w:rsid w:val="00F70D8C"/>
    <w:rsid w:val="00F71183"/>
    <w:rsid w:val="00F71B86"/>
    <w:rsid w:val="00F72F2A"/>
    <w:rsid w:val="00F73A12"/>
    <w:rsid w:val="00F73F99"/>
    <w:rsid w:val="00F74DE1"/>
    <w:rsid w:val="00F74DEB"/>
    <w:rsid w:val="00F75405"/>
    <w:rsid w:val="00F7548A"/>
    <w:rsid w:val="00F75B48"/>
    <w:rsid w:val="00F76012"/>
    <w:rsid w:val="00F76A13"/>
    <w:rsid w:val="00F76AD3"/>
    <w:rsid w:val="00F76D7C"/>
    <w:rsid w:val="00F7766C"/>
    <w:rsid w:val="00F77900"/>
    <w:rsid w:val="00F7795E"/>
    <w:rsid w:val="00F80532"/>
    <w:rsid w:val="00F80ED3"/>
    <w:rsid w:val="00F819D1"/>
    <w:rsid w:val="00F81C3E"/>
    <w:rsid w:val="00F835D4"/>
    <w:rsid w:val="00F83EB2"/>
    <w:rsid w:val="00F84DFF"/>
    <w:rsid w:val="00F866B4"/>
    <w:rsid w:val="00F86B22"/>
    <w:rsid w:val="00F87247"/>
    <w:rsid w:val="00F87AF6"/>
    <w:rsid w:val="00F9072C"/>
    <w:rsid w:val="00F907A1"/>
    <w:rsid w:val="00F90B14"/>
    <w:rsid w:val="00F92138"/>
    <w:rsid w:val="00F935D9"/>
    <w:rsid w:val="00F935DA"/>
    <w:rsid w:val="00F93A6A"/>
    <w:rsid w:val="00F9439F"/>
    <w:rsid w:val="00F94805"/>
    <w:rsid w:val="00F960B0"/>
    <w:rsid w:val="00F96D5B"/>
    <w:rsid w:val="00F97278"/>
    <w:rsid w:val="00F975D7"/>
    <w:rsid w:val="00F97984"/>
    <w:rsid w:val="00FA1458"/>
    <w:rsid w:val="00FA1A3E"/>
    <w:rsid w:val="00FA1B66"/>
    <w:rsid w:val="00FA1BCE"/>
    <w:rsid w:val="00FA21D2"/>
    <w:rsid w:val="00FA22B7"/>
    <w:rsid w:val="00FA2C2F"/>
    <w:rsid w:val="00FA2E13"/>
    <w:rsid w:val="00FA3669"/>
    <w:rsid w:val="00FA3746"/>
    <w:rsid w:val="00FA37B7"/>
    <w:rsid w:val="00FA3C37"/>
    <w:rsid w:val="00FA3C6C"/>
    <w:rsid w:val="00FA4999"/>
    <w:rsid w:val="00FA49A7"/>
    <w:rsid w:val="00FA4AA0"/>
    <w:rsid w:val="00FA587B"/>
    <w:rsid w:val="00FA6579"/>
    <w:rsid w:val="00FA6892"/>
    <w:rsid w:val="00FA7DF2"/>
    <w:rsid w:val="00FB0199"/>
    <w:rsid w:val="00FB0708"/>
    <w:rsid w:val="00FB1624"/>
    <w:rsid w:val="00FB1B9F"/>
    <w:rsid w:val="00FB1E2C"/>
    <w:rsid w:val="00FB20E0"/>
    <w:rsid w:val="00FB2890"/>
    <w:rsid w:val="00FB2BA0"/>
    <w:rsid w:val="00FB3624"/>
    <w:rsid w:val="00FB36D8"/>
    <w:rsid w:val="00FB36FE"/>
    <w:rsid w:val="00FB3B0C"/>
    <w:rsid w:val="00FB44AB"/>
    <w:rsid w:val="00FB4B5C"/>
    <w:rsid w:val="00FB5B54"/>
    <w:rsid w:val="00FB5E4B"/>
    <w:rsid w:val="00FB6227"/>
    <w:rsid w:val="00FB63CF"/>
    <w:rsid w:val="00FC17B1"/>
    <w:rsid w:val="00FC21BC"/>
    <w:rsid w:val="00FC2469"/>
    <w:rsid w:val="00FC343C"/>
    <w:rsid w:val="00FC3F5A"/>
    <w:rsid w:val="00FC42A3"/>
    <w:rsid w:val="00FC70D5"/>
    <w:rsid w:val="00FC7B8B"/>
    <w:rsid w:val="00FD0237"/>
    <w:rsid w:val="00FD0577"/>
    <w:rsid w:val="00FD0DDD"/>
    <w:rsid w:val="00FD0FE8"/>
    <w:rsid w:val="00FD14EA"/>
    <w:rsid w:val="00FD169E"/>
    <w:rsid w:val="00FD2D65"/>
    <w:rsid w:val="00FD3038"/>
    <w:rsid w:val="00FD3587"/>
    <w:rsid w:val="00FD415E"/>
    <w:rsid w:val="00FD44EA"/>
    <w:rsid w:val="00FD4775"/>
    <w:rsid w:val="00FD477B"/>
    <w:rsid w:val="00FD4872"/>
    <w:rsid w:val="00FD496D"/>
    <w:rsid w:val="00FD4D32"/>
    <w:rsid w:val="00FD5128"/>
    <w:rsid w:val="00FD54DA"/>
    <w:rsid w:val="00FD57D0"/>
    <w:rsid w:val="00FD5974"/>
    <w:rsid w:val="00FD5D0B"/>
    <w:rsid w:val="00FD63F3"/>
    <w:rsid w:val="00FD675A"/>
    <w:rsid w:val="00FD71F9"/>
    <w:rsid w:val="00FD78B1"/>
    <w:rsid w:val="00FD7C18"/>
    <w:rsid w:val="00FD7E9C"/>
    <w:rsid w:val="00FE0B8F"/>
    <w:rsid w:val="00FE0DB1"/>
    <w:rsid w:val="00FE1270"/>
    <w:rsid w:val="00FE3263"/>
    <w:rsid w:val="00FE406D"/>
    <w:rsid w:val="00FE465D"/>
    <w:rsid w:val="00FE48DE"/>
    <w:rsid w:val="00FE625F"/>
    <w:rsid w:val="00FE6566"/>
    <w:rsid w:val="00FE7163"/>
    <w:rsid w:val="00FE72BE"/>
    <w:rsid w:val="00FE7A44"/>
    <w:rsid w:val="00FE7DB4"/>
    <w:rsid w:val="00FF004B"/>
    <w:rsid w:val="00FF052D"/>
    <w:rsid w:val="00FF0A4D"/>
    <w:rsid w:val="00FF2133"/>
    <w:rsid w:val="00FF25A4"/>
    <w:rsid w:val="00FF2625"/>
    <w:rsid w:val="00FF2960"/>
    <w:rsid w:val="00FF2DE3"/>
    <w:rsid w:val="00FF40F5"/>
    <w:rsid w:val="00FF43D8"/>
    <w:rsid w:val="00FF4EEB"/>
    <w:rsid w:val="00FF5B6A"/>
    <w:rsid w:val="00FF5F39"/>
    <w:rsid w:val="00FF5FEF"/>
    <w:rsid w:val="00FF6162"/>
    <w:rsid w:val="00FF6AD6"/>
    <w:rsid w:val="00FF6ADB"/>
    <w:rsid w:val="00FF6F4B"/>
    <w:rsid w:val="00FF7F16"/>
    <w:rsid w:val="01123ED2"/>
    <w:rsid w:val="012A14E9"/>
    <w:rsid w:val="013107BF"/>
    <w:rsid w:val="01690244"/>
    <w:rsid w:val="016E29C1"/>
    <w:rsid w:val="018240C0"/>
    <w:rsid w:val="0183478D"/>
    <w:rsid w:val="018B0273"/>
    <w:rsid w:val="019B33D0"/>
    <w:rsid w:val="01C42F00"/>
    <w:rsid w:val="01CC4080"/>
    <w:rsid w:val="01E00C7C"/>
    <w:rsid w:val="023E3E77"/>
    <w:rsid w:val="024D7AF3"/>
    <w:rsid w:val="025935D1"/>
    <w:rsid w:val="026D6697"/>
    <w:rsid w:val="027A0654"/>
    <w:rsid w:val="02906C8B"/>
    <w:rsid w:val="02AD675B"/>
    <w:rsid w:val="02BC2F14"/>
    <w:rsid w:val="02C05989"/>
    <w:rsid w:val="02D95BA7"/>
    <w:rsid w:val="02F57CF6"/>
    <w:rsid w:val="032154FE"/>
    <w:rsid w:val="033639BE"/>
    <w:rsid w:val="03916A3B"/>
    <w:rsid w:val="03A123DD"/>
    <w:rsid w:val="03C97150"/>
    <w:rsid w:val="03F37E24"/>
    <w:rsid w:val="03FA3F23"/>
    <w:rsid w:val="04202EBD"/>
    <w:rsid w:val="044066A2"/>
    <w:rsid w:val="04502C5D"/>
    <w:rsid w:val="046250DD"/>
    <w:rsid w:val="048A7AA9"/>
    <w:rsid w:val="049149A5"/>
    <w:rsid w:val="04AD5501"/>
    <w:rsid w:val="04B2516D"/>
    <w:rsid w:val="04C3001C"/>
    <w:rsid w:val="04D517D7"/>
    <w:rsid w:val="05041506"/>
    <w:rsid w:val="052B3431"/>
    <w:rsid w:val="054D03BD"/>
    <w:rsid w:val="05503B57"/>
    <w:rsid w:val="05621AD4"/>
    <w:rsid w:val="056B4766"/>
    <w:rsid w:val="056C4787"/>
    <w:rsid w:val="056F77CE"/>
    <w:rsid w:val="057F67A5"/>
    <w:rsid w:val="058B74C7"/>
    <w:rsid w:val="05BD768E"/>
    <w:rsid w:val="05ED2BB2"/>
    <w:rsid w:val="062865C5"/>
    <w:rsid w:val="064B4615"/>
    <w:rsid w:val="065F650B"/>
    <w:rsid w:val="06664432"/>
    <w:rsid w:val="06687090"/>
    <w:rsid w:val="06A47204"/>
    <w:rsid w:val="06BB29D9"/>
    <w:rsid w:val="06DD3FBB"/>
    <w:rsid w:val="06F22EDD"/>
    <w:rsid w:val="06F91332"/>
    <w:rsid w:val="072141D6"/>
    <w:rsid w:val="072C57D6"/>
    <w:rsid w:val="075B3FB3"/>
    <w:rsid w:val="0763430A"/>
    <w:rsid w:val="07912EDB"/>
    <w:rsid w:val="07927ADD"/>
    <w:rsid w:val="07BA2744"/>
    <w:rsid w:val="07E05AF4"/>
    <w:rsid w:val="07FC607E"/>
    <w:rsid w:val="08046B06"/>
    <w:rsid w:val="081A6359"/>
    <w:rsid w:val="0840726C"/>
    <w:rsid w:val="08712E04"/>
    <w:rsid w:val="08A13BFF"/>
    <w:rsid w:val="08B726B3"/>
    <w:rsid w:val="08BA4F12"/>
    <w:rsid w:val="08C17CC7"/>
    <w:rsid w:val="08C22F55"/>
    <w:rsid w:val="08EE7E72"/>
    <w:rsid w:val="08F825D0"/>
    <w:rsid w:val="09032F7E"/>
    <w:rsid w:val="09155045"/>
    <w:rsid w:val="091B4B1B"/>
    <w:rsid w:val="092F0E4B"/>
    <w:rsid w:val="094364CC"/>
    <w:rsid w:val="095148CB"/>
    <w:rsid w:val="09643CDA"/>
    <w:rsid w:val="09876015"/>
    <w:rsid w:val="098960E7"/>
    <w:rsid w:val="098D6DAA"/>
    <w:rsid w:val="09921D0D"/>
    <w:rsid w:val="09A8153A"/>
    <w:rsid w:val="09AC1FC5"/>
    <w:rsid w:val="0A0D696C"/>
    <w:rsid w:val="0A246B63"/>
    <w:rsid w:val="0A5C4C4D"/>
    <w:rsid w:val="0A6F3F94"/>
    <w:rsid w:val="0A887CD2"/>
    <w:rsid w:val="0ACD10A4"/>
    <w:rsid w:val="0ADE0119"/>
    <w:rsid w:val="0AF73939"/>
    <w:rsid w:val="0B312300"/>
    <w:rsid w:val="0B397821"/>
    <w:rsid w:val="0B7A7BC9"/>
    <w:rsid w:val="0B844A88"/>
    <w:rsid w:val="0B9135A0"/>
    <w:rsid w:val="0B9B55B2"/>
    <w:rsid w:val="0BAD6257"/>
    <w:rsid w:val="0BCC623E"/>
    <w:rsid w:val="0C0C17F6"/>
    <w:rsid w:val="0C231E32"/>
    <w:rsid w:val="0C27226B"/>
    <w:rsid w:val="0C2A4AD0"/>
    <w:rsid w:val="0C3E6E69"/>
    <w:rsid w:val="0C453563"/>
    <w:rsid w:val="0C4F63C6"/>
    <w:rsid w:val="0C5508A8"/>
    <w:rsid w:val="0CA10C5F"/>
    <w:rsid w:val="0CA9128C"/>
    <w:rsid w:val="0CB07F73"/>
    <w:rsid w:val="0CB7739C"/>
    <w:rsid w:val="0CBB603B"/>
    <w:rsid w:val="0CD1755C"/>
    <w:rsid w:val="0CD82B34"/>
    <w:rsid w:val="0CF325B6"/>
    <w:rsid w:val="0D5C30CD"/>
    <w:rsid w:val="0D8439D0"/>
    <w:rsid w:val="0DCE573B"/>
    <w:rsid w:val="0DE01751"/>
    <w:rsid w:val="0DF03F91"/>
    <w:rsid w:val="0E103308"/>
    <w:rsid w:val="0E551FD8"/>
    <w:rsid w:val="0E7D6B68"/>
    <w:rsid w:val="0E86304D"/>
    <w:rsid w:val="0E9277C9"/>
    <w:rsid w:val="0ECC6A72"/>
    <w:rsid w:val="0EEC1DA7"/>
    <w:rsid w:val="0EF05723"/>
    <w:rsid w:val="0F14333E"/>
    <w:rsid w:val="0F3E7BA1"/>
    <w:rsid w:val="0F615F3A"/>
    <w:rsid w:val="0F670596"/>
    <w:rsid w:val="0F8055F6"/>
    <w:rsid w:val="0FB120CE"/>
    <w:rsid w:val="0FB2721C"/>
    <w:rsid w:val="0FC41B83"/>
    <w:rsid w:val="0FFA6BDE"/>
    <w:rsid w:val="1044717E"/>
    <w:rsid w:val="10544EC5"/>
    <w:rsid w:val="108833AA"/>
    <w:rsid w:val="108C1021"/>
    <w:rsid w:val="10AC1733"/>
    <w:rsid w:val="10BA741E"/>
    <w:rsid w:val="10BD34DC"/>
    <w:rsid w:val="10BF78E2"/>
    <w:rsid w:val="10C20088"/>
    <w:rsid w:val="10D26820"/>
    <w:rsid w:val="10E9062B"/>
    <w:rsid w:val="110A79D6"/>
    <w:rsid w:val="113A7B3E"/>
    <w:rsid w:val="11550BAD"/>
    <w:rsid w:val="11744D15"/>
    <w:rsid w:val="11864204"/>
    <w:rsid w:val="119401C7"/>
    <w:rsid w:val="11DF2189"/>
    <w:rsid w:val="12045231"/>
    <w:rsid w:val="1217675C"/>
    <w:rsid w:val="122F7F15"/>
    <w:rsid w:val="12535FDD"/>
    <w:rsid w:val="12553AFD"/>
    <w:rsid w:val="12A54560"/>
    <w:rsid w:val="12AA6750"/>
    <w:rsid w:val="12E90E13"/>
    <w:rsid w:val="12F05E8B"/>
    <w:rsid w:val="12F16617"/>
    <w:rsid w:val="130419F7"/>
    <w:rsid w:val="1335613B"/>
    <w:rsid w:val="13440CDE"/>
    <w:rsid w:val="13BE2DAF"/>
    <w:rsid w:val="13C73200"/>
    <w:rsid w:val="13E454E3"/>
    <w:rsid w:val="13F04ADB"/>
    <w:rsid w:val="13F65056"/>
    <w:rsid w:val="140A208B"/>
    <w:rsid w:val="140F5039"/>
    <w:rsid w:val="141E4F5C"/>
    <w:rsid w:val="14291F4D"/>
    <w:rsid w:val="1470419E"/>
    <w:rsid w:val="148904E4"/>
    <w:rsid w:val="14977A01"/>
    <w:rsid w:val="14A91E8D"/>
    <w:rsid w:val="14B649DD"/>
    <w:rsid w:val="14BA287A"/>
    <w:rsid w:val="14BC5BB1"/>
    <w:rsid w:val="14D94B73"/>
    <w:rsid w:val="14E21DAC"/>
    <w:rsid w:val="15335CFD"/>
    <w:rsid w:val="15544929"/>
    <w:rsid w:val="155813BF"/>
    <w:rsid w:val="15600A3E"/>
    <w:rsid w:val="15671A78"/>
    <w:rsid w:val="15847CF1"/>
    <w:rsid w:val="15893617"/>
    <w:rsid w:val="159969D2"/>
    <w:rsid w:val="15BC6FE6"/>
    <w:rsid w:val="15E20529"/>
    <w:rsid w:val="15E233F2"/>
    <w:rsid w:val="15F0693A"/>
    <w:rsid w:val="161A36F7"/>
    <w:rsid w:val="16380334"/>
    <w:rsid w:val="165D1E8D"/>
    <w:rsid w:val="16680C0C"/>
    <w:rsid w:val="16EC2018"/>
    <w:rsid w:val="16F46B10"/>
    <w:rsid w:val="17057003"/>
    <w:rsid w:val="17084A89"/>
    <w:rsid w:val="172038D9"/>
    <w:rsid w:val="173334CF"/>
    <w:rsid w:val="173C57FB"/>
    <w:rsid w:val="17F147AD"/>
    <w:rsid w:val="17FC3486"/>
    <w:rsid w:val="18043EBB"/>
    <w:rsid w:val="181545AD"/>
    <w:rsid w:val="182B0F2A"/>
    <w:rsid w:val="18462ABC"/>
    <w:rsid w:val="18547857"/>
    <w:rsid w:val="188511C5"/>
    <w:rsid w:val="18B71AE3"/>
    <w:rsid w:val="18D65660"/>
    <w:rsid w:val="18D832E7"/>
    <w:rsid w:val="18FC6087"/>
    <w:rsid w:val="18FF3E55"/>
    <w:rsid w:val="190704DF"/>
    <w:rsid w:val="190E297C"/>
    <w:rsid w:val="19444F0B"/>
    <w:rsid w:val="19544864"/>
    <w:rsid w:val="19781BAA"/>
    <w:rsid w:val="19900828"/>
    <w:rsid w:val="19BD7E32"/>
    <w:rsid w:val="19DC445A"/>
    <w:rsid w:val="1A3142AF"/>
    <w:rsid w:val="1A492CFF"/>
    <w:rsid w:val="1A5D7044"/>
    <w:rsid w:val="1AA228FC"/>
    <w:rsid w:val="1AB66F48"/>
    <w:rsid w:val="1ABD6A35"/>
    <w:rsid w:val="1AD33716"/>
    <w:rsid w:val="1B027F77"/>
    <w:rsid w:val="1B2E2E4A"/>
    <w:rsid w:val="1B3860E0"/>
    <w:rsid w:val="1B541FCC"/>
    <w:rsid w:val="1B9156F4"/>
    <w:rsid w:val="1BB56B7C"/>
    <w:rsid w:val="1BFC64E0"/>
    <w:rsid w:val="1C1D0EB2"/>
    <w:rsid w:val="1C594D55"/>
    <w:rsid w:val="1C6B311E"/>
    <w:rsid w:val="1CAF1D2D"/>
    <w:rsid w:val="1D3E28BC"/>
    <w:rsid w:val="1D5604DE"/>
    <w:rsid w:val="1D621D6B"/>
    <w:rsid w:val="1D9347B8"/>
    <w:rsid w:val="1D9627DB"/>
    <w:rsid w:val="1DC5213D"/>
    <w:rsid w:val="1DD226FB"/>
    <w:rsid w:val="1DE320D6"/>
    <w:rsid w:val="1DE72F87"/>
    <w:rsid w:val="1E0641D5"/>
    <w:rsid w:val="1E0D147A"/>
    <w:rsid w:val="1E6C1953"/>
    <w:rsid w:val="1E796C1B"/>
    <w:rsid w:val="1E7F3155"/>
    <w:rsid w:val="1E9E065D"/>
    <w:rsid w:val="1EB56C87"/>
    <w:rsid w:val="1EC75142"/>
    <w:rsid w:val="1EC8700A"/>
    <w:rsid w:val="1ECC1976"/>
    <w:rsid w:val="1EDD4113"/>
    <w:rsid w:val="1EE74AB6"/>
    <w:rsid w:val="1EEF7751"/>
    <w:rsid w:val="1EFB0958"/>
    <w:rsid w:val="1EFD309B"/>
    <w:rsid w:val="1F1D7F8B"/>
    <w:rsid w:val="1F425E6B"/>
    <w:rsid w:val="1FA1123B"/>
    <w:rsid w:val="1FA4667E"/>
    <w:rsid w:val="1FC12EB0"/>
    <w:rsid w:val="1FD808DC"/>
    <w:rsid w:val="200B4014"/>
    <w:rsid w:val="200C6D88"/>
    <w:rsid w:val="2016031C"/>
    <w:rsid w:val="203035AD"/>
    <w:rsid w:val="203C440F"/>
    <w:rsid w:val="204F1138"/>
    <w:rsid w:val="2051453E"/>
    <w:rsid w:val="20520343"/>
    <w:rsid w:val="20A764B5"/>
    <w:rsid w:val="20E00AA7"/>
    <w:rsid w:val="20EC2B31"/>
    <w:rsid w:val="212C6529"/>
    <w:rsid w:val="21346716"/>
    <w:rsid w:val="21390EFA"/>
    <w:rsid w:val="21394DBA"/>
    <w:rsid w:val="21AD2747"/>
    <w:rsid w:val="21C02DB4"/>
    <w:rsid w:val="21D003B8"/>
    <w:rsid w:val="21DF4B6F"/>
    <w:rsid w:val="21E37F62"/>
    <w:rsid w:val="21E87AF4"/>
    <w:rsid w:val="21F21A9D"/>
    <w:rsid w:val="21FB267A"/>
    <w:rsid w:val="22142A0D"/>
    <w:rsid w:val="222F38DD"/>
    <w:rsid w:val="22331A5F"/>
    <w:rsid w:val="22451A4C"/>
    <w:rsid w:val="22584A89"/>
    <w:rsid w:val="226233B5"/>
    <w:rsid w:val="226A0915"/>
    <w:rsid w:val="22817463"/>
    <w:rsid w:val="22AE2632"/>
    <w:rsid w:val="22AE644A"/>
    <w:rsid w:val="22F63667"/>
    <w:rsid w:val="23084502"/>
    <w:rsid w:val="230F3E4E"/>
    <w:rsid w:val="231936EB"/>
    <w:rsid w:val="233E7BAB"/>
    <w:rsid w:val="235A7734"/>
    <w:rsid w:val="236D296A"/>
    <w:rsid w:val="23725561"/>
    <w:rsid w:val="23894CF9"/>
    <w:rsid w:val="239604B8"/>
    <w:rsid w:val="23A67BCC"/>
    <w:rsid w:val="23AC0856"/>
    <w:rsid w:val="23B21BBB"/>
    <w:rsid w:val="23F82255"/>
    <w:rsid w:val="240F1ED1"/>
    <w:rsid w:val="24322686"/>
    <w:rsid w:val="24327FAA"/>
    <w:rsid w:val="24480E0E"/>
    <w:rsid w:val="24553A1F"/>
    <w:rsid w:val="24A62497"/>
    <w:rsid w:val="24AC1308"/>
    <w:rsid w:val="24AD1B65"/>
    <w:rsid w:val="24B946E7"/>
    <w:rsid w:val="24BD4F65"/>
    <w:rsid w:val="24C00584"/>
    <w:rsid w:val="24D117FD"/>
    <w:rsid w:val="25344808"/>
    <w:rsid w:val="254B7492"/>
    <w:rsid w:val="255B51FF"/>
    <w:rsid w:val="259477C2"/>
    <w:rsid w:val="25B73FB5"/>
    <w:rsid w:val="25B92FF5"/>
    <w:rsid w:val="25BE052F"/>
    <w:rsid w:val="25F54EC1"/>
    <w:rsid w:val="25FE7860"/>
    <w:rsid w:val="2601020C"/>
    <w:rsid w:val="26745309"/>
    <w:rsid w:val="26DE41A5"/>
    <w:rsid w:val="26F63A0E"/>
    <w:rsid w:val="27085536"/>
    <w:rsid w:val="273E44C1"/>
    <w:rsid w:val="27615B74"/>
    <w:rsid w:val="27747CB1"/>
    <w:rsid w:val="27A471CF"/>
    <w:rsid w:val="27CE29EC"/>
    <w:rsid w:val="27ED3661"/>
    <w:rsid w:val="280033F4"/>
    <w:rsid w:val="28144F15"/>
    <w:rsid w:val="28215A47"/>
    <w:rsid w:val="28385CC4"/>
    <w:rsid w:val="28567BFE"/>
    <w:rsid w:val="286204B8"/>
    <w:rsid w:val="28895CB2"/>
    <w:rsid w:val="28C1655A"/>
    <w:rsid w:val="28C700CD"/>
    <w:rsid w:val="28DB5C5D"/>
    <w:rsid w:val="291934C2"/>
    <w:rsid w:val="29670C7A"/>
    <w:rsid w:val="296A34CA"/>
    <w:rsid w:val="29763CFA"/>
    <w:rsid w:val="297F2C82"/>
    <w:rsid w:val="29895B53"/>
    <w:rsid w:val="299E35F4"/>
    <w:rsid w:val="29C86AB2"/>
    <w:rsid w:val="29D30C17"/>
    <w:rsid w:val="2A034D4F"/>
    <w:rsid w:val="2A05115B"/>
    <w:rsid w:val="2A0E56E6"/>
    <w:rsid w:val="2A0F58A8"/>
    <w:rsid w:val="2A1519C7"/>
    <w:rsid w:val="2A182872"/>
    <w:rsid w:val="2A1C6835"/>
    <w:rsid w:val="2A28275B"/>
    <w:rsid w:val="2A3048BA"/>
    <w:rsid w:val="2A770726"/>
    <w:rsid w:val="2A7826F8"/>
    <w:rsid w:val="2A98292B"/>
    <w:rsid w:val="2AAE4295"/>
    <w:rsid w:val="2AC16504"/>
    <w:rsid w:val="2ACF5F9E"/>
    <w:rsid w:val="2AEC03E6"/>
    <w:rsid w:val="2AEE0488"/>
    <w:rsid w:val="2AF8126E"/>
    <w:rsid w:val="2B046E10"/>
    <w:rsid w:val="2B1126C2"/>
    <w:rsid w:val="2B5B0544"/>
    <w:rsid w:val="2B936483"/>
    <w:rsid w:val="2BAA6773"/>
    <w:rsid w:val="2BD541E1"/>
    <w:rsid w:val="2BDB426D"/>
    <w:rsid w:val="2BED5E0E"/>
    <w:rsid w:val="2BEE4DAD"/>
    <w:rsid w:val="2BF11E40"/>
    <w:rsid w:val="2C0C1FCD"/>
    <w:rsid w:val="2C1F0B32"/>
    <w:rsid w:val="2C4A53A9"/>
    <w:rsid w:val="2C63168F"/>
    <w:rsid w:val="2CA437EB"/>
    <w:rsid w:val="2CB21665"/>
    <w:rsid w:val="2CB5381E"/>
    <w:rsid w:val="2CDC73EF"/>
    <w:rsid w:val="2CF03546"/>
    <w:rsid w:val="2D016B2B"/>
    <w:rsid w:val="2D11308E"/>
    <w:rsid w:val="2D144C26"/>
    <w:rsid w:val="2D740488"/>
    <w:rsid w:val="2D873D50"/>
    <w:rsid w:val="2D8C5F28"/>
    <w:rsid w:val="2D92703C"/>
    <w:rsid w:val="2D930AF4"/>
    <w:rsid w:val="2D934B74"/>
    <w:rsid w:val="2DAC2AAE"/>
    <w:rsid w:val="2DB27B14"/>
    <w:rsid w:val="2DFE09F0"/>
    <w:rsid w:val="2E40755D"/>
    <w:rsid w:val="2E786DB2"/>
    <w:rsid w:val="2EA27DCF"/>
    <w:rsid w:val="2ED20AF2"/>
    <w:rsid w:val="2ED758C0"/>
    <w:rsid w:val="2F322662"/>
    <w:rsid w:val="2F4B2FFC"/>
    <w:rsid w:val="2F67606A"/>
    <w:rsid w:val="2F7E2E23"/>
    <w:rsid w:val="2F84211F"/>
    <w:rsid w:val="2F900D9E"/>
    <w:rsid w:val="2FA65D66"/>
    <w:rsid w:val="2FAC5189"/>
    <w:rsid w:val="2FE2695F"/>
    <w:rsid w:val="2FEF4885"/>
    <w:rsid w:val="2FFD1341"/>
    <w:rsid w:val="30093A3E"/>
    <w:rsid w:val="30145D32"/>
    <w:rsid w:val="30333045"/>
    <w:rsid w:val="303F200F"/>
    <w:rsid w:val="305578AF"/>
    <w:rsid w:val="30A53FF2"/>
    <w:rsid w:val="310C40BA"/>
    <w:rsid w:val="311608F5"/>
    <w:rsid w:val="312A73FC"/>
    <w:rsid w:val="31400ACC"/>
    <w:rsid w:val="316271D5"/>
    <w:rsid w:val="316A07E3"/>
    <w:rsid w:val="3172400A"/>
    <w:rsid w:val="31A15B29"/>
    <w:rsid w:val="31B66AC7"/>
    <w:rsid w:val="31BB28D3"/>
    <w:rsid w:val="31F84238"/>
    <w:rsid w:val="32104314"/>
    <w:rsid w:val="32107A6B"/>
    <w:rsid w:val="3219574C"/>
    <w:rsid w:val="321C4872"/>
    <w:rsid w:val="321D48E2"/>
    <w:rsid w:val="32334FCA"/>
    <w:rsid w:val="32467604"/>
    <w:rsid w:val="325A13E3"/>
    <w:rsid w:val="328632B9"/>
    <w:rsid w:val="329260A3"/>
    <w:rsid w:val="3299552A"/>
    <w:rsid w:val="329E024F"/>
    <w:rsid w:val="32B16C4F"/>
    <w:rsid w:val="32CB4EC8"/>
    <w:rsid w:val="32DE06A2"/>
    <w:rsid w:val="32E93BF1"/>
    <w:rsid w:val="32FD4A4B"/>
    <w:rsid w:val="33152CF5"/>
    <w:rsid w:val="33320A26"/>
    <w:rsid w:val="334D44C1"/>
    <w:rsid w:val="33995543"/>
    <w:rsid w:val="33C11E53"/>
    <w:rsid w:val="33D72932"/>
    <w:rsid w:val="33D733F0"/>
    <w:rsid w:val="33D84D03"/>
    <w:rsid w:val="340D2C3D"/>
    <w:rsid w:val="341A5B9C"/>
    <w:rsid w:val="343F1A53"/>
    <w:rsid w:val="344C7DC6"/>
    <w:rsid w:val="34563F4C"/>
    <w:rsid w:val="348460B9"/>
    <w:rsid w:val="34882BBB"/>
    <w:rsid w:val="349D1271"/>
    <w:rsid w:val="34A82773"/>
    <w:rsid w:val="34AE2D37"/>
    <w:rsid w:val="34B06353"/>
    <w:rsid w:val="34D312CD"/>
    <w:rsid w:val="34E06CC4"/>
    <w:rsid w:val="34E12259"/>
    <w:rsid w:val="34E60843"/>
    <w:rsid w:val="34F01FAF"/>
    <w:rsid w:val="35490C7E"/>
    <w:rsid w:val="354A18CD"/>
    <w:rsid w:val="354B7707"/>
    <w:rsid w:val="357E6504"/>
    <w:rsid w:val="35C4356B"/>
    <w:rsid w:val="35C52EC9"/>
    <w:rsid w:val="35C87154"/>
    <w:rsid w:val="3633351B"/>
    <w:rsid w:val="363A5D7B"/>
    <w:rsid w:val="36434ACE"/>
    <w:rsid w:val="36593F29"/>
    <w:rsid w:val="366B4E9B"/>
    <w:rsid w:val="36923E7F"/>
    <w:rsid w:val="36D0466A"/>
    <w:rsid w:val="36ED5FEF"/>
    <w:rsid w:val="374977F2"/>
    <w:rsid w:val="374B0A19"/>
    <w:rsid w:val="37652951"/>
    <w:rsid w:val="37AB30DD"/>
    <w:rsid w:val="37CE4F5A"/>
    <w:rsid w:val="38482B99"/>
    <w:rsid w:val="38503E71"/>
    <w:rsid w:val="385C3CE4"/>
    <w:rsid w:val="38696552"/>
    <w:rsid w:val="38723E1A"/>
    <w:rsid w:val="388A5805"/>
    <w:rsid w:val="388D5265"/>
    <w:rsid w:val="38962182"/>
    <w:rsid w:val="389857FB"/>
    <w:rsid w:val="38AC6892"/>
    <w:rsid w:val="38BF6D1D"/>
    <w:rsid w:val="38CC32D9"/>
    <w:rsid w:val="38F47424"/>
    <w:rsid w:val="38FC38CF"/>
    <w:rsid w:val="394A0326"/>
    <w:rsid w:val="39564254"/>
    <w:rsid w:val="39634714"/>
    <w:rsid w:val="39A4337B"/>
    <w:rsid w:val="39AD798E"/>
    <w:rsid w:val="39B64912"/>
    <w:rsid w:val="39D92845"/>
    <w:rsid w:val="39E96FA6"/>
    <w:rsid w:val="3A194C9E"/>
    <w:rsid w:val="3A1E7EB8"/>
    <w:rsid w:val="3A60099F"/>
    <w:rsid w:val="3A642847"/>
    <w:rsid w:val="3A673570"/>
    <w:rsid w:val="3A965944"/>
    <w:rsid w:val="3ACA033E"/>
    <w:rsid w:val="3AD43890"/>
    <w:rsid w:val="3B4D5F99"/>
    <w:rsid w:val="3B961383"/>
    <w:rsid w:val="3C000307"/>
    <w:rsid w:val="3C4363D1"/>
    <w:rsid w:val="3C7F2CFC"/>
    <w:rsid w:val="3C987B68"/>
    <w:rsid w:val="3CBF268A"/>
    <w:rsid w:val="3CD67275"/>
    <w:rsid w:val="3CDA012D"/>
    <w:rsid w:val="3D09389B"/>
    <w:rsid w:val="3D1B571F"/>
    <w:rsid w:val="3D4900F0"/>
    <w:rsid w:val="3D4A2A19"/>
    <w:rsid w:val="3D683A49"/>
    <w:rsid w:val="3DB61A24"/>
    <w:rsid w:val="3DED7AFA"/>
    <w:rsid w:val="3DFC5F3C"/>
    <w:rsid w:val="3E023240"/>
    <w:rsid w:val="3E085D4B"/>
    <w:rsid w:val="3E29403D"/>
    <w:rsid w:val="3E4825D5"/>
    <w:rsid w:val="3E4D5284"/>
    <w:rsid w:val="3E4F1BBA"/>
    <w:rsid w:val="3E5B7FD0"/>
    <w:rsid w:val="3E8A19D5"/>
    <w:rsid w:val="3E9809DC"/>
    <w:rsid w:val="3E9C5943"/>
    <w:rsid w:val="3EAD7E56"/>
    <w:rsid w:val="3EB048A3"/>
    <w:rsid w:val="3EB5006B"/>
    <w:rsid w:val="3EBE175A"/>
    <w:rsid w:val="3EBE1EA2"/>
    <w:rsid w:val="3EC9518A"/>
    <w:rsid w:val="3ED83C62"/>
    <w:rsid w:val="3EE963E1"/>
    <w:rsid w:val="3F0B0845"/>
    <w:rsid w:val="3F255DE3"/>
    <w:rsid w:val="3F320C00"/>
    <w:rsid w:val="3F4322EE"/>
    <w:rsid w:val="3F460013"/>
    <w:rsid w:val="3F4F1767"/>
    <w:rsid w:val="3F7D5BE2"/>
    <w:rsid w:val="3F81411E"/>
    <w:rsid w:val="3FBA5B1D"/>
    <w:rsid w:val="3FCB5756"/>
    <w:rsid w:val="3FD96857"/>
    <w:rsid w:val="3FE1308F"/>
    <w:rsid w:val="3FE976B0"/>
    <w:rsid w:val="4015739E"/>
    <w:rsid w:val="40346DAF"/>
    <w:rsid w:val="406D4500"/>
    <w:rsid w:val="40BB2B2E"/>
    <w:rsid w:val="41097CFB"/>
    <w:rsid w:val="412B63BE"/>
    <w:rsid w:val="41387EC6"/>
    <w:rsid w:val="41474B85"/>
    <w:rsid w:val="41577745"/>
    <w:rsid w:val="418C3512"/>
    <w:rsid w:val="41FA2189"/>
    <w:rsid w:val="41FB5D78"/>
    <w:rsid w:val="42104252"/>
    <w:rsid w:val="421B425E"/>
    <w:rsid w:val="42362C77"/>
    <w:rsid w:val="426C2445"/>
    <w:rsid w:val="42A05AE5"/>
    <w:rsid w:val="42E3569B"/>
    <w:rsid w:val="42FC6452"/>
    <w:rsid w:val="42FD1F84"/>
    <w:rsid w:val="43064E93"/>
    <w:rsid w:val="430E7DE9"/>
    <w:rsid w:val="430F32BB"/>
    <w:rsid w:val="433E406E"/>
    <w:rsid w:val="437423E7"/>
    <w:rsid w:val="438E420D"/>
    <w:rsid w:val="43923D5B"/>
    <w:rsid w:val="44380FCE"/>
    <w:rsid w:val="4465626C"/>
    <w:rsid w:val="449D440F"/>
    <w:rsid w:val="449F0EA6"/>
    <w:rsid w:val="44A77DAD"/>
    <w:rsid w:val="44D7127C"/>
    <w:rsid w:val="44F260D9"/>
    <w:rsid w:val="45266F2C"/>
    <w:rsid w:val="45647DBD"/>
    <w:rsid w:val="45671D18"/>
    <w:rsid w:val="456C6F3F"/>
    <w:rsid w:val="458E77B3"/>
    <w:rsid w:val="45915DBF"/>
    <w:rsid w:val="45960E9A"/>
    <w:rsid w:val="45A309FF"/>
    <w:rsid w:val="45C10A39"/>
    <w:rsid w:val="45E24AA8"/>
    <w:rsid w:val="45F46935"/>
    <w:rsid w:val="46410EAF"/>
    <w:rsid w:val="468B27CA"/>
    <w:rsid w:val="469324D8"/>
    <w:rsid w:val="46934F48"/>
    <w:rsid w:val="46C65AD2"/>
    <w:rsid w:val="46FB2D11"/>
    <w:rsid w:val="470052DB"/>
    <w:rsid w:val="47085595"/>
    <w:rsid w:val="473216EF"/>
    <w:rsid w:val="47AB1213"/>
    <w:rsid w:val="47B65D35"/>
    <w:rsid w:val="47CE4D2F"/>
    <w:rsid w:val="47F630AE"/>
    <w:rsid w:val="482441F1"/>
    <w:rsid w:val="48362C79"/>
    <w:rsid w:val="48692604"/>
    <w:rsid w:val="48840210"/>
    <w:rsid w:val="489A1AFA"/>
    <w:rsid w:val="48C93236"/>
    <w:rsid w:val="48CF482A"/>
    <w:rsid w:val="48E46B70"/>
    <w:rsid w:val="48E511D0"/>
    <w:rsid w:val="48F61329"/>
    <w:rsid w:val="49332097"/>
    <w:rsid w:val="49605A25"/>
    <w:rsid w:val="4971093A"/>
    <w:rsid w:val="49822F14"/>
    <w:rsid w:val="49C60988"/>
    <w:rsid w:val="49D0266A"/>
    <w:rsid w:val="49E46C41"/>
    <w:rsid w:val="4A0D2DF3"/>
    <w:rsid w:val="4A285DA1"/>
    <w:rsid w:val="4A2D1936"/>
    <w:rsid w:val="4A417534"/>
    <w:rsid w:val="4A592AFE"/>
    <w:rsid w:val="4A840DA7"/>
    <w:rsid w:val="4AAA3731"/>
    <w:rsid w:val="4AAD0C23"/>
    <w:rsid w:val="4AC73A31"/>
    <w:rsid w:val="4AF92624"/>
    <w:rsid w:val="4B412855"/>
    <w:rsid w:val="4B4F1E1E"/>
    <w:rsid w:val="4BA56EF6"/>
    <w:rsid w:val="4BB01C47"/>
    <w:rsid w:val="4BB91E26"/>
    <w:rsid w:val="4BD91D57"/>
    <w:rsid w:val="4BE25D08"/>
    <w:rsid w:val="4BED75C8"/>
    <w:rsid w:val="4C1A552D"/>
    <w:rsid w:val="4C3A1AAB"/>
    <w:rsid w:val="4C451949"/>
    <w:rsid w:val="4C686E0D"/>
    <w:rsid w:val="4C7D59AF"/>
    <w:rsid w:val="4C8D01ED"/>
    <w:rsid w:val="4CA5560C"/>
    <w:rsid w:val="4CA87BD7"/>
    <w:rsid w:val="4CA96CFE"/>
    <w:rsid w:val="4CBC5F08"/>
    <w:rsid w:val="4CFA41F4"/>
    <w:rsid w:val="4D0A7C38"/>
    <w:rsid w:val="4D156B85"/>
    <w:rsid w:val="4D1A149F"/>
    <w:rsid w:val="4D1D3216"/>
    <w:rsid w:val="4D202B8F"/>
    <w:rsid w:val="4D2E56F9"/>
    <w:rsid w:val="4D745E82"/>
    <w:rsid w:val="4DA2455A"/>
    <w:rsid w:val="4DB111A4"/>
    <w:rsid w:val="4DDA74C9"/>
    <w:rsid w:val="4DEB18A4"/>
    <w:rsid w:val="4DF73123"/>
    <w:rsid w:val="4DFC7169"/>
    <w:rsid w:val="4E2664B6"/>
    <w:rsid w:val="4E2D7959"/>
    <w:rsid w:val="4E3170FC"/>
    <w:rsid w:val="4ECB0A61"/>
    <w:rsid w:val="4ED52820"/>
    <w:rsid w:val="4EE2439E"/>
    <w:rsid w:val="4EF10061"/>
    <w:rsid w:val="4EF25D25"/>
    <w:rsid w:val="4F067176"/>
    <w:rsid w:val="4F402A53"/>
    <w:rsid w:val="4F4475F2"/>
    <w:rsid w:val="4F7607F9"/>
    <w:rsid w:val="4FAB4B39"/>
    <w:rsid w:val="4FB32138"/>
    <w:rsid w:val="4FB33735"/>
    <w:rsid w:val="4FC10A9B"/>
    <w:rsid w:val="4FEA136D"/>
    <w:rsid w:val="4FFF7EFB"/>
    <w:rsid w:val="502A2410"/>
    <w:rsid w:val="504A575A"/>
    <w:rsid w:val="504D5B51"/>
    <w:rsid w:val="505F7AB4"/>
    <w:rsid w:val="506C33B1"/>
    <w:rsid w:val="507E3035"/>
    <w:rsid w:val="50A42C3F"/>
    <w:rsid w:val="50B77E8A"/>
    <w:rsid w:val="50D67778"/>
    <w:rsid w:val="50E91690"/>
    <w:rsid w:val="50F90F73"/>
    <w:rsid w:val="50FC195A"/>
    <w:rsid w:val="5106655B"/>
    <w:rsid w:val="51247A3B"/>
    <w:rsid w:val="51372726"/>
    <w:rsid w:val="51427331"/>
    <w:rsid w:val="5162652B"/>
    <w:rsid w:val="517C3845"/>
    <w:rsid w:val="519F2CE4"/>
    <w:rsid w:val="51D947B4"/>
    <w:rsid w:val="51F92F64"/>
    <w:rsid w:val="5206232F"/>
    <w:rsid w:val="522E4F46"/>
    <w:rsid w:val="523D13FE"/>
    <w:rsid w:val="52412720"/>
    <w:rsid w:val="524E3CBA"/>
    <w:rsid w:val="52523DD7"/>
    <w:rsid w:val="525D26F5"/>
    <w:rsid w:val="528D1317"/>
    <w:rsid w:val="52971492"/>
    <w:rsid w:val="5299696A"/>
    <w:rsid w:val="52A87F7F"/>
    <w:rsid w:val="52D548C9"/>
    <w:rsid w:val="52FE1BFB"/>
    <w:rsid w:val="53051601"/>
    <w:rsid w:val="53291638"/>
    <w:rsid w:val="532B7465"/>
    <w:rsid w:val="532D5E3F"/>
    <w:rsid w:val="53561F0D"/>
    <w:rsid w:val="538527D3"/>
    <w:rsid w:val="539B2BEF"/>
    <w:rsid w:val="53CE067E"/>
    <w:rsid w:val="53E92127"/>
    <w:rsid w:val="53EA24EC"/>
    <w:rsid w:val="542846A4"/>
    <w:rsid w:val="54302AA5"/>
    <w:rsid w:val="544F3F42"/>
    <w:rsid w:val="5453375D"/>
    <w:rsid w:val="545E7D6A"/>
    <w:rsid w:val="546023C2"/>
    <w:rsid w:val="54685FE1"/>
    <w:rsid w:val="546F5D89"/>
    <w:rsid w:val="54782338"/>
    <w:rsid w:val="54AF541B"/>
    <w:rsid w:val="54B53363"/>
    <w:rsid w:val="54F205FD"/>
    <w:rsid w:val="551408DA"/>
    <w:rsid w:val="55413386"/>
    <w:rsid w:val="556E3D93"/>
    <w:rsid w:val="557F0BA2"/>
    <w:rsid w:val="560450C4"/>
    <w:rsid w:val="560F728E"/>
    <w:rsid w:val="56233EA3"/>
    <w:rsid w:val="56266347"/>
    <w:rsid w:val="56356762"/>
    <w:rsid w:val="564A5D3F"/>
    <w:rsid w:val="56BC2920"/>
    <w:rsid w:val="56BE0D76"/>
    <w:rsid w:val="56D27808"/>
    <w:rsid w:val="56DA55E9"/>
    <w:rsid w:val="56F25119"/>
    <w:rsid w:val="56F612FD"/>
    <w:rsid w:val="571B1870"/>
    <w:rsid w:val="57812B89"/>
    <w:rsid w:val="579C5EA7"/>
    <w:rsid w:val="57E40A41"/>
    <w:rsid w:val="57F163E4"/>
    <w:rsid w:val="588E5FC6"/>
    <w:rsid w:val="589056FC"/>
    <w:rsid w:val="59024ED8"/>
    <w:rsid w:val="591F26DD"/>
    <w:rsid w:val="593C3B6B"/>
    <w:rsid w:val="59547523"/>
    <w:rsid w:val="59574064"/>
    <w:rsid w:val="5986070E"/>
    <w:rsid w:val="598B47C5"/>
    <w:rsid w:val="598D02EA"/>
    <w:rsid w:val="59A55005"/>
    <w:rsid w:val="59B64D1B"/>
    <w:rsid w:val="59CD3118"/>
    <w:rsid w:val="59DF233D"/>
    <w:rsid w:val="59E47C98"/>
    <w:rsid w:val="59ED4486"/>
    <w:rsid w:val="59F071BD"/>
    <w:rsid w:val="59F34443"/>
    <w:rsid w:val="5A097F57"/>
    <w:rsid w:val="5A751152"/>
    <w:rsid w:val="5A8E0DDD"/>
    <w:rsid w:val="5A995183"/>
    <w:rsid w:val="5AA00F51"/>
    <w:rsid w:val="5AD242A9"/>
    <w:rsid w:val="5B204AE4"/>
    <w:rsid w:val="5B2E7FE9"/>
    <w:rsid w:val="5B304D18"/>
    <w:rsid w:val="5B415C54"/>
    <w:rsid w:val="5B4709C1"/>
    <w:rsid w:val="5B4854C8"/>
    <w:rsid w:val="5B4E0D2D"/>
    <w:rsid w:val="5B727EC0"/>
    <w:rsid w:val="5B8D02DB"/>
    <w:rsid w:val="5BA74E1D"/>
    <w:rsid w:val="5BAE4FB9"/>
    <w:rsid w:val="5BB62EC3"/>
    <w:rsid w:val="5BC20AB8"/>
    <w:rsid w:val="5BC56B90"/>
    <w:rsid w:val="5BCD4291"/>
    <w:rsid w:val="5BD37027"/>
    <w:rsid w:val="5C0255A4"/>
    <w:rsid w:val="5C07330B"/>
    <w:rsid w:val="5C0D4A9D"/>
    <w:rsid w:val="5C116800"/>
    <w:rsid w:val="5C2663A5"/>
    <w:rsid w:val="5C3D3BD3"/>
    <w:rsid w:val="5C4062B6"/>
    <w:rsid w:val="5C4733CB"/>
    <w:rsid w:val="5C591F6E"/>
    <w:rsid w:val="5C833006"/>
    <w:rsid w:val="5C8F7306"/>
    <w:rsid w:val="5CB258D2"/>
    <w:rsid w:val="5CB47EC4"/>
    <w:rsid w:val="5CBA18A5"/>
    <w:rsid w:val="5D020856"/>
    <w:rsid w:val="5D0837BA"/>
    <w:rsid w:val="5D253427"/>
    <w:rsid w:val="5D2A0AD1"/>
    <w:rsid w:val="5D2E09B9"/>
    <w:rsid w:val="5D682BEB"/>
    <w:rsid w:val="5D6F1C82"/>
    <w:rsid w:val="5DD35C7C"/>
    <w:rsid w:val="5DFD4E28"/>
    <w:rsid w:val="5DFF7F82"/>
    <w:rsid w:val="5E20362A"/>
    <w:rsid w:val="5E2614EF"/>
    <w:rsid w:val="5E2A7DF5"/>
    <w:rsid w:val="5E3008C2"/>
    <w:rsid w:val="5E3F7F9A"/>
    <w:rsid w:val="5E483AEB"/>
    <w:rsid w:val="5E4C7FF6"/>
    <w:rsid w:val="5E6003F3"/>
    <w:rsid w:val="5E6A14E6"/>
    <w:rsid w:val="5EBD5346"/>
    <w:rsid w:val="5EBE54D2"/>
    <w:rsid w:val="5ECB6E10"/>
    <w:rsid w:val="5ED45594"/>
    <w:rsid w:val="5EF83ED2"/>
    <w:rsid w:val="5F22347D"/>
    <w:rsid w:val="5F250524"/>
    <w:rsid w:val="5F30068A"/>
    <w:rsid w:val="5F33373A"/>
    <w:rsid w:val="5F546F7C"/>
    <w:rsid w:val="5F590528"/>
    <w:rsid w:val="5F80612F"/>
    <w:rsid w:val="5FA53DAD"/>
    <w:rsid w:val="5FB1723A"/>
    <w:rsid w:val="60140EBC"/>
    <w:rsid w:val="601A3015"/>
    <w:rsid w:val="60367135"/>
    <w:rsid w:val="60424648"/>
    <w:rsid w:val="606314D1"/>
    <w:rsid w:val="60806B1B"/>
    <w:rsid w:val="60EC0184"/>
    <w:rsid w:val="610372FD"/>
    <w:rsid w:val="610B64C2"/>
    <w:rsid w:val="61423ADE"/>
    <w:rsid w:val="61B01B59"/>
    <w:rsid w:val="61B37BA3"/>
    <w:rsid w:val="61DC0654"/>
    <w:rsid w:val="62195008"/>
    <w:rsid w:val="621E5E1E"/>
    <w:rsid w:val="62B60421"/>
    <w:rsid w:val="62CE5217"/>
    <w:rsid w:val="6323689C"/>
    <w:rsid w:val="63686805"/>
    <w:rsid w:val="63811C2C"/>
    <w:rsid w:val="63AC6A34"/>
    <w:rsid w:val="63CD47B9"/>
    <w:rsid w:val="63E17621"/>
    <w:rsid w:val="64250CFB"/>
    <w:rsid w:val="643208F1"/>
    <w:rsid w:val="64642195"/>
    <w:rsid w:val="64B444F0"/>
    <w:rsid w:val="64B47912"/>
    <w:rsid w:val="64B96962"/>
    <w:rsid w:val="64E958B7"/>
    <w:rsid w:val="64ED1AE5"/>
    <w:rsid w:val="65310AC8"/>
    <w:rsid w:val="653E505D"/>
    <w:rsid w:val="655141DE"/>
    <w:rsid w:val="65630D72"/>
    <w:rsid w:val="656527E5"/>
    <w:rsid w:val="6572614E"/>
    <w:rsid w:val="657F6263"/>
    <w:rsid w:val="65A55242"/>
    <w:rsid w:val="65AE146F"/>
    <w:rsid w:val="65B86D83"/>
    <w:rsid w:val="66006C85"/>
    <w:rsid w:val="660B5194"/>
    <w:rsid w:val="66224478"/>
    <w:rsid w:val="662E6A7C"/>
    <w:rsid w:val="663273F5"/>
    <w:rsid w:val="663A0CD7"/>
    <w:rsid w:val="66422640"/>
    <w:rsid w:val="667B0CF5"/>
    <w:rsid w:val="66865D31"/>
    <w:rsid w:val="66B6115C"/>
    <w:rsid w:val="66E426BA"/>
    <w:rsid w:val="672B45C0"/>
    <w:rsid w:val="67544872"/>
    <w:rsid w:val="67832499"/>
    <w:rsid w:val="67983A17"/>
    <w:rsid w:val="67CD28F9"/>
    <w:rsid w:val="68070B11"/>
    <w:rsid w:val="68206191"/>
    <w:rsid w:val="68304E5F"/>
    <w:rsid w:val="68391A57"/>
    <w:rsid w:val="683F4AAB"/>
    <w:rsid w:val="685F4AFB"/>
    <w:rsid w:val="687E1907"/>
    <w:rsid w:val="68F2371A"/>
    <w:rsid w:val="68F6589C"/>
    <w:rsid w:val="690B5149"/>
    <w:rsid w:val="692404A0"/>
    <w:rsid w:val="693C4B4C"/>
    <w:rsid w:val="698671F2"/>
    <w:rsid w:val="69C24865"/>
    <w:rsid w:val="69F72B67"/>
    <w:rsid w:val="6A021DEC"/>
    <w:rsid w:val="6A096B39"/>
    <w:rsid w:val="6A1D3D03"/>
    <w:rsid w:val="6A4A44FD"/>
    <w:rsid w:val="6A791176"/>
    <w:rsid w:val="6A950B67"/>
    <w:rsid w:val="6AAF0A78"/>
    <w:rsid w:val="6ACD6601"/>
    <w:rsid w:val="6AD134FA"/>
    <w:rsid w:val="6ADD7DE9"/>
    <w:rsid w:val="6AEF3AB9"/>
    <w:rsid w:val="6AF035AF"/>
    <w:rsid w:val="6B061A8F"/>
    <w:rsid w:val="6B114426"/>
    <w:rsid w:val="6B247DF2"/>
    <w:rsid w:val="6B2754B8"/>
    <w:rsid w:val="6B2F16FA"/>
    <w:rsid w:val="6B3C5C39"/>
    <w:rsid w:val="6B630C48"/>
    <w:rsid w:val="6B647401"/>
    <w:rsid w:val="6B685D7E"/>
    <w:rsid w:val="6BC47FFD"/>
    <w:rsid w:val="6BED23E3"/>
    <w:rsid w:val="6BFB596C"/>
    <w:rsid w:val="6C641612"/>
    <w:rsid w:val="6C7B17F1"/>
    <w:rsid w:val="6C834891"/>
    <w:rsid w:val="6C8A2BB8"/>
    <w:rsid w:val="6C9C00D3"/>
    <w:rsid w:val="6CAF7DEB"/>
    <w:rsid w:val="6CB3000F"/>
    <w:rsid w:val="6CD641B8"/>
    <w:rsid w:val="6D0A69AD"/>
    <w:rsid w:val="6D2C67F1"/>
    <w:rsid w:val="6D420723"/>
    <w:rsid w:val="6D422450"/>
    <w:rsid w:val="6D477393"/>
    <w:rsid w:val="6D657181"/>
    <w:rsid w:val="6D791B08"/>
    <w:rsid w:val="6D82097E"/>
    <w:rsid w:val="6DC75685"/>
    <w:rsid w:val="6DCD2646"/>
    <w:rsid w:val="6DCF0D04"/>
    <w:rsid w:val="6DF02B61"/>
    <w:rsid w:val="6E0E66E8"/>
    <w:rsid w:val="6E121F9C"/>
    <w:rsid w:val="6E3C7DBA"/>
    <w:rsid w:val="6E6E50E9"/>
    <w:rsid w:val="6E92722F"/>
    <w:rsid w:val="6E99452B"/>
    <w:rsid w:val="6EA13DEF"/>
    <w:rsid w:val="6EB15B20"/>
    <w:rsid w:val="6ED623E6"/>
    <w:rsid w:val="6ED70942"/>
    <w:rsid w:val="6EFF5A5F"/>
    <w:rsid w:val="6F1077E0"/>
    <w:rsid w:val="6F225C72"/>
    <w:rsid w:val="6F6626AC"/>
    <w:rsid w:val="6F72552F"/>
    <w:rsid w:val="6FB9661D"/>
    <w:rsid w:val="6FDE62E1"/>
    <w:rsid w:val="6FE436B1"/>
    <w:rsid w:val="6FE73DCC"/>
    <w:rsid w:val="703C56EA"/>
    <w:rsid w:val="704558A9"/>
    <w:rsid w:val="704A619B"/>
    <w:rsid w:val="706E23E0"/>
    <w:rsid w:val="708E4642"/>
    <w:rsid w:val="70CF7575"/>
    <w:rsid w:val="70D25D36"/>
    <w:rsid w:val="70EE7C36"/>
    <w:rsid w:val="70F037B1"/>
    <w:rsid w:val="7102354E"/>
    <w:rsid w:val="71041A50"/>
    <w:rsid w:val="710A302F"/>
    <w:rsid w:val="714236F4"/>
    <w:rsid w:val="71472609"/>
    <w:rsid w:val="716F67EE"/>
    <w:rsid w:val="71A42E3E"/>
    <w:rsid w:val="71B87A27"/>
    <w:rsid w:val="71C01FBB"/>
    <w:rsid w:val="71C727E7"/>
    <w:rsid w:val="71CC5B7A"/>
    <w:rsid w:val="71E97C71"/>
    <w:rsid w:val="71FF167D"/>
    <w:rsid w:val="72070956"/>
    <w:rsid w:val="72312F45"/>
    <w:rsid w:val="723F41BA"/>
    <w:rsid w:val="72486B34"/>
    <w:rsid w:val="7260213E"/>
    <w:rsid w:val="7285099C"/>
    <w:rsid w:val="729B4F42"/>
    <w:rsid w:val="72A0792B"/>
    <w:rsid w:val="72A651E9"/>
    <w:rsid w:val="72A83812"/>
    <w:rsid w:val="72B62120"/>
    <w:rsid w:val="72D74B92"/>
    <w:rsid w:val="72E95495"/>
    <w:rsid w:val="72F43DCC"/>
    <w:rsid w:val="73100B1E"/>
    <w:rsid w:val="732133B0"/>
    <w:rsid w:val="732F283A"/>
    <w:rsid w:val="73386B32"/>
    <w:rsid w:val="734A4A25"/>
    <w:rsid w:val="734B279D"/>
    <w:rsid w:val="737720FD"/>
    <w:rsid w:val="73877B32"/>
    <w:rsid w:val="73B5150D"/>
    <w:rsid w:val="73BD1550"/>
    <w:rsid w:val="73DD4F7D"/>
    <w:rsid w:val="73E04338"/>
    <w:rsid w:val="7427390C"/>
    <w:rsid w:val="743379B4"/>
    <w:rsid w:val="747203EC"/>
    <w:rsid w:val="747779F6"/>
    <w:rsid w:val="74B00E90"/>
    <w:rsid w:val="74C95FE3"/>
    <w:rsid w:val="74CF63B1"/>
    <w:rsid w:val="74F064E8"/>
    <w:rsid w:val="74F1470C"/>
    <w:rsid w:val="75242113"/>
    <w:rsid w:val="75415990"/>
    <w:rsid w:val="755B6E89"/>
    <w:rsid w:val="75644592"/>
    <w:rsid w:val="759203BE"/>
    <w:rsid w:val="759C6979"/>
    <w:rsid w:val="75EC31F0"/>
    <w:rsid w:val="75F31F9A"/>
    <w:rsid w:val="75FA302D"/>
    <w:rsid w:val="76132EB2"/>
    <w:rsid w:val="76161EB7"/>
    <w:rsid w:val="76981A5D"/>
    <w:rsid w:val="769C2D75"/>
    <w:rsid w:val="76AA71B4"/>
    <w:rsid w:val="76B2618F"/>
    <w:rsid w:val="76CE23B2"/>
    <w:rsid w:val="76EC237B"/>
    <w:rsid w:val="76F455AF"/>
    <w:rsid w:val="770D5887"/>
    <w:rsid w:val="77150E6F"/>
    <w:rsid w:val="773D68EC"/>
    <w:rsid w:val="77441C14"/>
    <w:rsid w:val="7744395E"/>
    <w:rsid w:val="77583C37"/>
    <w:rsid w:val="77664F07"/>
    <w:rsid w:val="778B0FC6"/>
    <w:rsid w:val="778B1DFE"/>
    <w:rsid w:val="77D94E66"/>
    <w:rsid w:val="78190AF0"/>
    <w:rsid w:val="7822343E"/>
    <w:rsid w:val="7830759A"/>
    <w:rsid w:val="784F7FED"/>
    <w:rsid w:val="788456C9"/>
    <w:rsid w:val="788544B6"/>
    <w:rsid w:val="78A5059F"/>
    <w:rsid w:val="78CF718A"/>
    <w:rsid w:val="78EC7D1B"/>
    <w:rsid w:val="793853DD"/>
    <w:rsid w:val="79686E1C"/>
    <w:rsid w:val="79781741"/>
    <w:rsid w:val="79932ACB"/>
    <w:rsid w:val="79A26493"/>
    <w:rsid w:val="79D62E4A"/>
    <w:rsid w:val="79F07059"/>
    <w:rsid w:val="7A1253EE"/>
    <w:rsid w:val="7A2355F7"/>
    <w:rsid w:val="7A346325"/>
    <w:rsid w:val="7A381EBE"/>
    <w:rsid w:val="7A3A558F"/>
    <w:rsid w:val="7A481351"/>
    <w:rsid w:val="7A615F73"/>
    <w:rsid w:val="7A627149"/>
    <w:rsid w:val="7A6A6F4A"/>
    <w:rsid w:val="7A6C0CE0"/>
    <w:rsid w:val="7A832FA2"/>
    <w:rsid w:val="7ADB213D"/>
    <w:rsid w:val="7AED154A"/>
    <w:rsid w:val="7B090E1C"/>
    <w:rsid w:val="7B1455B4"/>
    <w:rsid w:val="7B294FE8"/>
    <w:rsid w:val="7B4476D6"/>
    <w:rsid w:val="7B9005BD"/>
    <w:rsid w:val="7BB5241B"/>
    <w:rsid w:val="7BC00530"/>
    <w:rsid w:val="7BC13054"/>
    <w:rsid w:val="7BD163F9"/>
    <w:rsid w:val="7BFA6370"/>
    <w:rsid w:val="7C017EAE"/>
    <w:rsid w:val="7C0A17A3"/>
    <w:rsid w:val="7C1E0DAC"/>
    <w:rsid w:val="7C2A1AFA"/>
    <w:rsid w:val="7C5E36FC"/>
    <w:rsid w:val="7C7A4820"/>
    <w:rsid w:val="7C837787"/>
    <w:rsid w:val="7C840172"/>
    <w:rsid w:val="7C887C33"/>
    <w:rsid w:val="7C8D5500"/>
    <w:rsid w:val="7C933C34"/>
    <w:rsid w:val="7C986CAC"/>
    <w:rsid w:val="7C9978D3"/>
    <w:rsid w:val="7CD22CCC"/>
    <w:rsid w:val="7CD4115F"/>
    <w:rsid w:val="7D0E406C"/>
    <w:rsid w:val="7D2F2E6C"/>
    <w:rsid w:val="7D3C19FF"/>
    <w:rsid w:val="7D3E4DFD"/>
    <w:rsid w:val="7D6409C6"/>
    <w:rsid w:val="7D681BF5"/>
    <w:rsid w:val="7DE24EAE"/>
    <w:rsid w:val="7DEA66B6"/>
    <w:rsid w:val="7DEC1A2E"/>
    <w:rsid w:val="7EA300CA"/>
    <w:rsid w:val="7EAB0FF3"/>
    <w:rsid w:val="7EE254C7"/>
    <w:rsid w:val="7EFA0A59"/>
    <w:rsid w:val="7F191A64"/>
    <w:rsid w:val="7F6F14FD"/>
    <w:rsid w:val="7F78599A"/>
    <w:rsid w:val="7FA77682"/>
    <w:rsid w:val="7FA8197E"/>
    <w:rsid w:val="7FB83B4D"/>
    <w:rsid w:val="7FC26A69"/>
    <w:rsid w:val="7FDA41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99" w:semiHidden="0" w:name="Date"/>
    <w:lsdException w:qFormat="1" w:uiPriority="99" w:semiHidden="0" w:name="Body Text First Indent"/>
    <w:lsdException w:qFormat="1" w:uiPriority="99" w:semiHidden="0" w:name="Body Text First Indent 2"/>
    <w:lsdException w:uiPriority="0" w:name="Note Heading"/>
    <w:lsdException w:uiPriority="0" w:name="Body Text 2"/>
    <w:lsdException w:qFormat="1" w:unhideWhenUsed="0" w:uiPriority="0" w:semiHidden="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iPriority="0" w:name="HTML Keyboard"/>
    <w:lsdException w:uiPriority="0" w:name="HTML Preformatted"/>
    <w:lsdException w:qFormat="1" w:uiPriority="0" w:name="HTML Sample"/>
    <w:lsdException w:qFormat="1" w:uiPriority="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2"/>
    <w:qFormat/>
    <w:uiPriority w:val="0"/>
    <w:pPr>
      <w:keepNext/>
      <w:keepLines/>
      <w:jc w:val="center"/>
      <w:outlineLvl w:val="0"/>
    </w:pPr>
    <w:rPr>
      <w:b/>
      <w:kern w:val="44"/>
      <w:sz w:val="32"/>
    </w:rPr>
  </w:style>
  <w:style w:type="paragraph" w:styleId="5">
    <w:name w:val="heading 2"/>
    <w:basedOn w:val="1"/>
    <w:next w:val="1"/>
    <w:qFormat/>
    <w:uiPriority w:val="0"/>
    <w:pPr>
      <w:keepNext/>
      <w:keepLines/>
      <w:tabs>
        <w:tab w:val="left" w:pos="567"/>
      </w:tabs>
      <w:spacing w:line="360" w:lineRule="auto"/>
      <w:ind w:left="567" w:hanging="567"/>
      <w:outlineLvl w:val="1"/>
    </w:pPr>
    <w:rPr>
      <w:rFonts w:ascii="Arial" w:hAnsi="Arial"/>
      <w:bCs/>
      <w:color w:val="000000"/>
      <w:sz w:val="28"/>
      <w:szCs w:val="32"/>
      <w:lang w:val="pt-BR"/>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6"/>
    <w:basedOn w:val="1"/>
    <w:next w:val="1"/>
    <w:link w:val="45"/>
    <w:qFormat/>
    <w:uiPriority w:val="0"/>
    <w:pPr>
      <w:keepNext/>
      <w:keepLines/>
      <w:spacing w:before="240" w:after="64" w:line="320" w:lineRule="auto"/>
      <w:outlineLvl w:val="5"/>
    </w:pPr>
    <w:rPr>
      <w:rFonts w:ascii="Arial" w:hAnsi="Arial" w:eastAsia="黑体"/>
      <w:b/>
      <w:bCs/>
      <w:sz w:val="24"/>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qFormat/>
    <w:uiPriority w:val="99"/>
    <w:pPr>
      <w:spacing w:line="200" w:lineRule="exact"/>
      <w:ind w:firstLine="301"/>
    </w:pPr>
    <w:rPr>
      <w:rFonts w:ascii="宋体" w:hAnsi="Courier New"/>
      <w:spacing w:val="-4"/>
      <w:kern w:val="0"/>
      <w:sz w:val="18"/>
      <w:szCs w:val="18"/>
    </w:rPr>
  </w:style>
  <w:style w:type="paragraph" w:styleId="8">
    <w:name w:val="Normal Indent"/>
    <w:basedOn w:val="1"/>
    <w:link w:val="43"/>
    <w:qFormat/>
    <w:uiPriority w:val="0"/>
    <w:pPr>
      <w:ind w:firstLine="420"/>
    </w:pPr>
    <w:rPr>
      <w:szCs w:val="20"/>
    </w:rPr>
  </w:style>
  <w:style w:type="paragraph" w:styleId="9">
    <w:name w:val="annotation text"/>
    <w:basedOn w:val="1"/>
    <w:link w:val="40"/>
    <w:qFormat/>
    <w:uiPriority w:val="0"/>
    <w:pPr>
      <w:jc w:val="left"/>
    </w:pPr>
  </w:style>
  <w:style w:type="paragraph" w:styleId="10">
    <w:name w:val="Body Text 3"/>
    <w:basedOn w:val="1"/>
    <w:qFormat/>
    <w:uiPriority w:val="0"/>
    <w:pPr>
      <w:spacing w:line="240" w:lineRule="exact"/>
    </w:pPr>
    <w:rPr>
      <w:rFonts w:ascii="宋体" w:hAnsi="宋体"/>
      <w:color w:val="000000"/>
      <w:szCs w:val="21"/>
    </w:rPr>
  </w:style>
  <w:style w:type="paragraph" w:styleId="11">
    <w:name w:val="Body Text"/>
    <w:basedOn w:val="1"/>
    <w:qFormat/>
    <w:uiPriority w:val="0"/>
    <w:pPr>
      <w:adjustRightInd w:val="0"/>
      <w:spacing w:after="60" w:line="360" w:lineRule="atLeast"/>
      <w:ind w:left="72" w:leftChars="30" w:right="30" w:rightChars="30"/>
      <w:jc w:val="center"/>
      <w:textAlignment w:val="baseline"/>
    </w:pPr>
    <w:rPr>
      <w:szCs w:val="22"/>
    </w:rPr>
  </w:style>
  <w:style w:type="paragraph" w:styleId="12">
    <w:name w:val="Plain Text"/>
    <w:basedOn w:val="1"/>
    <w:next w:val="13"/>
    <w:link w:val="41"/>
    <w:qFormat/>
    <w:uiPriority w:val="0"/>
    <w:rPr>
      <w:rFonts w:ascii="宋体" w:hAnsi="Courier New"/>
      <w:szCs w:val="20"/>
    </w:rPr>
  </w:style>
  <w:style w:type="paragraph" w:styleId="13">
    <w:name w:val="Date"/>
    <w:basedOn w:val="1"/>
    <w:next w:val="1"/>
    <w:qFormat/>
    <w:uiPriority w:val="99"/>
    <w:pPr>
      <w:ind w:left="100" w:leftChars="2500"/>
    </w:pPr>
  </w:style>
  <w:style w:type="paragraph" w:styleId="14">
    <w:name w:val="Balloon Text"/>
    <w:basedOn w:val="1"/>
    <w:semiHidden/>
    <w:qFormat/>
    <w:uiPriority w:val="0"/>
    <w:rPr>
      <w:sz w:val="18"/>
      <w:szCs w:val="18"/>
    </w:rPr>
  </w:style>
  <w:style w:type="paragraph" w:styleId="15">
    <w:name w:val="footer"/>
    <w:basedOn w:val="1"/>
    <w:link w:val="52"/>
    <w:qFormat/>
    <w:uiPriority w:val="99"/>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style>
  <w:style w:type="paragraph" w:styleId="18">
    <w:name w:val="Normal (Web)"/>
    <w:basedOn w:val="1"/>
    <w:qFormat/>
    <w:uiPriority w:val="0"/>
    <w:pPr>
      <w:widowControl/>
      <w:spacing w:before="100" w:beforeAutospacing="1" w:after="100" w:afterAutospacing="1"/>
      <w:jc w:val="left"/>
    </w:pPr>
    <w:rPr>
      <w:rFonts w:ascii="Arial Unicode MS" w:hAnsi="Arial Unicode MS" w:cs="Arial Unicode MS"/>
      <w:kern w:val="0"/>
      <w:sz w:val="24"/>
    </w:rPr>
  </w:style>
  <w:style w:type="paragraph" w:styleId="19">
    <w:name w:val="annotation subject"/>
    <w:basedOn w:val="9"/>
    <w:next w:val="9"/>
    <w:semiHidden/>
    <w:qFormat/>
    <w:uiPriority w:val="0"/>
    <w:rPr>
      <w:b/>
      <w:bCs/>
    </w:rPr>
  </w:style>
  <w:style w:type="paragraph" w:styleId="20">
    <w:name w:val="Body Text First Indent"/>
    <w:basedOn w:val="11"/>
    <w:unhideWhenUsed/>
    <w:qFormat/>
    <w:uiPriority w:val="99"/>
    <w:pPr>
      <w:ind w:firstLine="420" w:firstLineChars="100"/>
    </w:p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rFonts w:ascii="Times New Roman" w:hAnsi="Times New Roman" w:eastAsia="宋体" w:cs="Times New Roman"/>
      <w:b/>
      <w:bCs/>
    </w:rPr>
  </w:style>
  <w:style w:type="character" w:styleId="25">
    <w:name w:val="page number"/>
    <w:basedOn w:val="23"/>
    <w:qFormat/>
    <w:uiPriority w:val="0"/>
  </w:style>
  <w:style w:type="character" w:styleId="26">
    <w:name w:val="FollowedHyperlink"/>
    <w:basedOn w:val="23"/>
    <w:qFormat/>
    <w:uiPriority w:val="0"/>
    <w:rPr>
      <w:color w:val="333333"/>
      <w:u w:val="none"/>
    </w:rPr>
  </w:style>
  <w:style w:type="character" w:styleId="27">
    <w:name w:val="Emphasis"/>
    <w:basedOn w:val="23"/>
    <w:qFormat/>
    <w:uiPriority w:val="0"/>
  </w:style>
  <w:style w:type="character" w:styleId="28">
    <w:name w:val="HTML Definition"/>
    <w:basedOn w:val="23"/>
    <w:qFormat/>
    <w:uiPriority w:val="0"/>
  </w:style>
  <w:style w:type="character" w:styleId="29">
    <w:name w:val="HTML Typewriter"/>
    <w:basedOn w:val="23"/>
    <w:semiHidden/>
    <w:unhideWhenUsed/>
    <w:qFormat/>
    <w:uiPriority w:val="0"/>
    <w:rPr>
      <w:rFonts w:hint="default" w:ascii="monospace" w:hAnsi="monospace" w:eastAsia="monospace" w:cs="monospace"/>
      <w:sz w:val="20"/>
    </w:rPr>
  </w:style>
  <w:style w:type="character" w:styleId="30">
    <w:name w:val="HTML Acronym"/>
    <w:basedOn w:val="23"/>
    <w:qFormat/>
    <w:uiPriority w:val="0"/>
  </w:style>
  <w:style w:type="character" w:styleId="31">
    <w:name w:val="HTML Variable"/>
    <w:basedOn w:val="23"/>
    <w:qFormat/>
    <w:uiPriority w:val="0"/>
  </w:style>
  <w:style w:type="character" w:styleId="32">
    <w:name w:val="Hyperlink"/>
    <w:basedOn w:val="23"/>
    <w:qFormat/>
    <w:uiPriority w:val="0"/>
    <w:rPr>
      <w:color w:val="333333"/>
      <w:u w:val="none"/>
    </w:rPr>
  </w:style>
  <w:style w:type="character" w:styleId="33">
    <w:name w:val="HTML Code"/>
    <w:basedOn w:val="23"/>
    <w:qFormat/>
    <w:uiPriority w:val="0"/>
    <w:rPr>
      <w:rFonts w:ascii="Courier New" w:hAnsi="Courier New"/>
      <w:color w:val="505050"/>
      <w:sz w:val="24"/>
      <w:szCs w:val="24"/>
    </w:rPr>
  </w:style>
  <w:style w:type="character" w:styleId="34">
    <w:name w:val="annotation reference"/>
    <w:basedOn w:val="23"/>
    <w:semiHidden/>
    <w:qFormat/>
    <w:uiPriority w:val="0"/>
    <w:rPr>
      <w:sz w:val="21"/>
      <w:szCs w:val="21"/>
    </w:rPr>
  </w:style>
  <w:style w:type="character" w:styleId="35">
    <w:name w:val="HTML Cite"/>
    <w:basedOn w:val="23"/>
    <w:qFormat/>
    <w:uiPriority w:val="0"/>
  </w:style>
  <w:style w:type="character" w:styleId="36">
    <w:name w:val="HTML Keyboard"/>
    <w:basedOn w:val="23"/>
    <w:semiHidden/>
    <w:unhideWhenUsed/>
    <w:qFormat/>
    <w:uiPriority w:val="0"/>
    <w:rPr>
      <w:rFonts w:ascii="monospace" w:hAnsi="monospace" w:eastAsia="monospace" w:cs="monospace"/>
      <w:sz w:val="20"/>
    </w:rPr>
  </w:style>
  <w:style w:type="character" w:styleId="37">
    <w:name w:val="HTML Sample"/>
    <w:basedOn w:val="23"/>
    <w:semiHidden/>
    <w:unhideWhenUsed/>
    <w:qFormat/>
    <w:uiPriority w:val="0"/>
    <w:rPr>
      <w:rFonts w:hint="default" w:ascii="monospace" w:hAnsi="monospace" w:eastAsia="monospace" w:cs="monospace"/>
    </w:rPr>
  </w:style>
  <w:style w:type="paragraph" w:customStyle="1" w:styleId="38">
    <w:name w:val="首行缩进"/>
    <w:basedOn w:val="1"/>
    <w:qFormat/>
    <w:uiPriority w:val="0"/>
    <w:pPr>
      <w:ind w:firstLine="480" w:firstLineChars="200"/>
    </w:pPr>
  </w:style>
  <w:style w:type="character" w:customStyle="1" w:styleId="39">
    <w:name w:val="Char Char1"/>
    <w:qFormat/>
    <w:uiPriority w:val="0"/>
    <w:rPr>
      <w:rFonts w:eastAsia="宋体"/>
      <w:kern w:val="2"/>
      <w:sz w:val="21"/>
      <w:szCs w:val="24"/>
      <w:lang w:val="en-US" w:eastAsia="zh-CN" w:bidi="ar-SA"/>
    </w:rPr>
  </w:style>
  <w:style w:type="character" w:customStyle="1" w:styleId="40">
    <w:name w:val="批注文字 字符"/>
    <w:link w:val="9"/>
    <w:qFormat/>
    <w:uiPriority w:val="0"/>
    <w:rPr>
      <w:rFonts w:eastAsia="宋体"/>
      <w:kern w:val="2"/>
      <w:sz w:val="21"/>
      <w:szCs w:val="24"/>
      <w:lang w:val="en-US" w:eastAsia="zh-CN" w:bidi="ar-SA"/>
    </w:rPr>
  </w:style>
  <w:style w:type="character" w:customStyle="1" w:styleId="41">
    <w:name w:val="纯文本 字符"/>
    <w:basedOn w:val="23"/>
    <w:link w:val="12"/>
    <w:qFormat/>
    <w:uiPriority w:val="0"/>
    <w:rPr>
      <w:rFonts w:ascii="宋体" w:hAnsi="Courier New" w:eastAsia="宋体"/>
      <w:kern w:val="2"/>
      <w:sz w:val="21"/>
      <w:lang w:val="en-US" w:eastAsia="zh-CN" w:bidi="ar-SA"/>
    </w:rPr>
  </w:style>
  <w:style w:type="character" w:customStyle="1" w:styleId="42">
    <w:name w:val="标题 1 字符"/>
    <w:link w:val="4"/>
    <w:qFormat/>
    <w:uiPriority w:val="0"/>
    <w:rPr>
      <w:rFonts w:ascii="Times New Roman" w:hAnsi="Times New Roman" w:eastAsia="宋体"/>
      <w:b/>
      <w:kern w:val="44"/>
      <w:sz w:val="32"/>
    </w:rPr>
  </w:style>
  <w:style w:type="character" w:customStyle="1" w:styleId="43">
    <w:name w:val="正文缩进 字符"/>
    <w:link w:val="8"/>
    <w:qFormat/>
    <w:locked/>
    <w:uiPriority w:val="0"/>
    <w:rPr>
      <w:rFonts w:eastAsia="宋体"/>
      <w:kern w:val="2"/>
      <w:sz w:val="21"/>
      <w:lang w:val="en-US" w:eastAsia="zh-CN" w:bidi="ar-SA"/>
    </w:rPr>
  </w:style>
  <w:style w:type="character" w:customStyle="1" w:styleId="44">
    <w:name w:val="普通文字 Char Char5"/>
    <w:qFormat/>
    <w:uiPriority w:val="0"/>
    <w:rPr>
      <w:rFonts w:ascii="宋体" w:hAnsi="Courier New" w:eastAsia="宋体"/>
      <w:szCs w:val="21"/>
      <w:lang w:bidi="ar-SA"/>
    </w:rPr>
  </w:style>
  <w:style w:type="character" w:customStyle="1" w:styleId="45">
    <w:name w:val="标题 6 字符"/>
    <w:basedOn w:val="23"/>
    <w:link w:val="7"/>
    <w:qFormat/>
    <w:uiPriority w:val="0"/>
    <w:rPr>
      <w:rFonts w:ascii="Arial" w:hAnsi="Arial" w:eastAsia="黑体"/>
      <w:b/>
      <w:bCs/>
      <w:kern w:val="2"/>
      <w:sz w:val="24"/>
      <w:szCs w:val="24"/>
      <w:lang w:val="en-US" w:eastAsia="zh-CN" w:bidi="ar-SA"/>
    </w:rPr>
  </w:style>
  <w:style w:type="paragraph" w:customStyle="1" w:styleId="46">
    <w:name w:val="1"/>
    <w:basedOn w:val="1"/>
    <w:next w:val="12"/>
    <w:qFormat/>
    <w:uiPriority w:val="0"/>
    <w:rPr>
      <w:rFonts w:ascii="宋体" w:hAnsi="Courier New"/>
      <w:szCs w:val="20"/>
    </w:rPr>
  </w:style>
  <w:style w:type="paragraph" w:styleId="47">
    <w:name w:val="List Paragraph"/>
    <w:basedOn w:val="1"/>
    <w:qFormat/>
    <w:uiPriority w:val="34"/>
    <w:pPr>
      <w:ind w:firstLine="420"/>
    </w:pPr>
  </w:style>
  <w:style w:type="table" w:customStyle="1" w:styleId="48">
    <w:name w:val="网格型1"/>
    <w:basedOn w:val="2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9">
    <w:name w:val="网格型2"/>
    <w:basedOn w:val="2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0">
    <w:name w:val="网格型3"/>
    <w:basedOn w:val="2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1">
    <w:name w:val="p0"/>
    <w:basedOn w:val="1"/>
    <w:qFormat/>
    <w:uiPriority w:val="0"/>
    <w:pPr>
      <w:widowControl/>
    </w:pPr>
    <w:rPr>
      <w:kern w:val="0"/>
      <w:szCs w:val="21"/>
    </w:rPr>
  </w:style>
  <w:style w:type="character" w:customStyle="1" w:styleId="52">
    <w:name w:val="页脚 字符"/>
    <w:basedOn w:val="23"/>
    <w:link w:val="15"/>
    <w:qFormat/>
    <w:uiPriority w:val="99"/>
    <w:rPr>
      <w:kern w:val="2"/>
      <w:sz w:val="18"/>
      <w:szCs w:val="18"/>
    </w:rPr>
  </w:style>
  <w:style w:type="character" w:styleId="53">
    <w:name w:val="Placeholder Text"/>
    <w:basedOn w:val="23"/>
    <w:semiHidden/>
    <w:qFormat/>
    <w:uiPriority w:val="99"/>
    <w:rPr>
      <w:color w:val="808080"/>
    </w:rPr>
  </w:style>
  <w:style w:type="paragraph" w:customStyle="1" w:styleId="54">
    <w:name w:val="列出段落1"/>
    <w:basedOn w:val="1"/>
    <w:qFormat/>
    <w:uiPriority w:val="99"/>
    <w:pPr>
      <w:ind w:firstLine="420" w:firstLineChars="200"/>
    </w:pPr>
    <w:rPr>
      <w:szCs w:val="22"/>
    </w:rPr>
  </w:style>
  <w:style w:type="paragraph" w:customStyle="1" w:styleId="55">
    <w:name w:val="_Style 3"/>
    <w:basedOn w:val="1"/>
    <w:next w:val="47"/>
    <w:qFormat/>
    <w:uiPriority w:val="99"/>
    <w:pPr>
      <w:ind w:firstLine="420" w:firstLineChars="200"/>
    </w:pPr>
  </w:style>
  <w:style w:type="paragraph" w:customStyle="1" w:styleId="56">
    <w:name w:val="_Style 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7">
    <w:name w:val="List Paragraph1"/>
    <w:basedOn w:val="1"/>
    <w:qFormat/>
    <w:uiPriority w:val="99"/>
    <w:pPr>
      <w:ind w:firstLine="420" w:firstLineChars="200"/>
    </w:pPr>
  </w:style>
  <w:style w:type="paragraph" w:customStyle="1" w:styleId="58">
    <w:name w:val="List Paragraph11"/>
    <w:basedOn w:val="1"/>
    <w:qFormat/>
    <w:uiPriority w:val="99"/>
    <w:pPr>
      <w:ind w:firstLine="420" w:firstLineChars="200"/>
    </w:pPr>
    <w:rPr>
      <w:szCs w:val="22"/>
    </w:rPr>
  </w:style>
  <w:style w:type="paragraph" w:customStyle="1" w:styleId="59">
    <w:name w:val="一级条标题"/>
    <w:next w:val="1"/>
    <w:qFormat/>
    <w:uiPriority w:val="99"/>
    <w:pPr>
      <w:numPr>
        <w:ilvl w:val="1"/>
        <w:numId w:val="1"/>
      </w:numPr>
      <w:spacing w:beforeLines="50" w:afterLines="50"/>
      <w:outlineLvl w:val="2"/>
    </w:pPr>
    <w:rPr>
      <w:rFonts w:ascii="黑体" w:hAnsi="Times New Roman" w:eastAsia="黑体" w:cs="Times New Roman"/>
      <w:sz w:val="21"/>
      <w:szCs w:val="21"/>
      <w:lang w:val="en-US" w:eastAsia="zh-CN" w:bidi="ar-SA"/>
    </w:rPr>
  </w:style>
  <w:style w:type="paragraph" w:customStyle="1" w:styleId="60">
    <w:name w:val="中等深浅网格 21"/>
    <w:basedOn w:val="1"/>
    <w:qFormat/>
    <w:uiPriority w:val="99"/>
    <w:rPr>
      <w:szCs w:val="32"/>
    </w:rPr>
  </w:style>
  <w:style w:type="paragraph" w:customStyle="1" w:styleId="61">
    <w:name w:val="Default"/>
    <w:qFormat/>
    <w:uiPriority w:val="0"/>
    <w:pPr>
      <w:widowControl w:val="0"/>
      <w:autoSpaceDE w:val="0"/>
      <w:autoSpaceDN w:val="0"/>
      <w:adjustRightInd w:val="0"/>
    </w:pPr>
    <w:rPr>
      <w:rFonts w:ascii="宋体" w:eastAsia="宋体" w:cs="宋体" w:hAnsiTheme="minorHAnsi"/>
      <w:color w:val="000000"/>
      <w:sz w:val="24"/>
      <w:szCs w:val="24"/>
      <w:lang w:val="en-US" w:eastAsia="zh-CN" w:bidi="ar-SA"/>
    </w:rPr>
  </w:style>
  <w:style w:type="paragraph" w:customStyle="1" w:styleId="62">
    <w:name w:val="Table Paragraph"/>
    <w:basedOn w:val="1"/>
    <w:qFormat/>
    <w:uiPriority w:val="1"/>
    <w:rPr>
      <w:rFonts w:ascii="宋体" w:hAnsi="宋体" w:cs="宋体"/>
      <w:lang w:val="zh-CN" w:bidi="zh-CN"/>
    </w:rPr>
  </w:style>
  <w:style w:type="character" w:customStyle="1" w:styleId="63">
    <w:name w:val="font31"/>
    <w:basedOn w:val="23"/>
    <w:qFormat/>
    <w:uiPriority w:val="0"/>
    <w:rPr>
      <w:rFonts w:ascii="楷体" w:hAnsi="楷体" w:eastAsia="楷体" w:cs="楷体"/>
      <w:color w:val="000000"/>
      <w:sz w:val="21"/>
      <w:szCs w:val="21"/>
      <w:u w:val="none"/>
    </w:rPr>
  </w:style>
  <w:style w:type="character" w:customStyle="1" w:styleId="64">
    <w:name w:val="font11"/>
    <w:basedOn w:val="23"/>
    <w:qFormat/>
    <w:uiPriority w:val="0"/>
    <w:rPr>
      <w:rFonts w:hint="eastAsia" w:ascii="等线" w:hAnsi="等线" w:eastAsia="等线" w:cs="等线"/>
      <w:color w:val="000000"/>
      <w:sz w:val="24"/>
      <w:szCs w:val="24"/>
      <w:u w:val="none"/>
    </w:rPr>
  </w:style>
  <w:style w:type="character" w:customStyle="1" w:styleId="65">
    <w:name w:val="font41"/>
    <w:basedOn w:val="23"/>
    <w:qFormat/>
    <w:uiPriority w:val="0"/>
    <w:rPr>
      <w:rFonts w:hint="eastAsia" w:ascii="等线" w:hAnsi="等线" w:eastAsia="等线" w:cs="等线"/>
      <w:b/>
      <w:bCs/>
      <w:color w:val="000000"/>
      <w:sz w:val="24"/>
      <w:szCs w:val="24"/>
      <w:u w:val="none"/>
    </w:rPr>
  </w:style>
  <w:style w:type="character" w:customStyle="1" w:styleId="66">
    <w:name w:val="font61"/>
    <w:basedOn w:val="23"/>
    <w:qFormat/>
    <w:uiPriority w:val="0"/>
    <w:rPr>
      <w:rFonts w:hint="eastAsia" w:ascii="楷体" w:hAnsi="楷体" w:eastAsia="楷体" w:cs="楷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53"/>
    <customShpInfo spid="_x0000_s2054"/>
    <customShpInfo spid="_x0000_s2057"/>
    <customShpInfo spid="_x0000_s2055"/>
    <customShpInfo spid="_x0000_s2056"/>
    <customShpInfo spid="_x0000_s2049"/>
    <customShpInfo spid="_x0000_s2052"/>
    <customShpInfo spid="_x0000_s2051"/>
    <customShpInfo spid="_x0000_s1026"/>
    <customShpInfo spid="_x0000_s1028"/>
    <customShpInfo spid="_x0000_s103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0211CAA-74D5-4B97-A3B4-B9669871DECB}">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80</Pages>
  <Words>8148</Words>
  <Characters>46444</Characters>
  <Lines>387</Lines>
  <Paragraphs>108</Paragraphs>
  <TotalTime>2</TotalTime>
  <ScaleCrop>false</ScaleCrop>
  <LinksUpToDate>false</LinksUpToDate>
  <CharactersWithSpaces>54484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2019-05-28T12:30:00Z</dcterms:created>
  <dc:creator>微软用户</dc:creator>
  <cp:lastModifiedBy>林</cp:lastModifiedBy>
  <cp:lastPrinted>2021-03-23T02:15:00Z</cp:lastPrinted>
  <dcterms:modified xsi:type="dcterms:W3CDTF">2021-05-10T06:54:07Z</dcterms:modified>
  <dc:title>医疗设备采购</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34180FD6AE004CA8BFC8121F2F7D4FFE</vt:lpwstr>
  </property>
</Properties>
</file>