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400" w:lineRule="exact"/>
        <w:jc w:val="center"/>
        <w:textAlignment w:val="auto"/>
        <w:rPr>
          <w:rFonts w:ascii="仿宋_GB2312" w:hAnsi="宋体" w:eastAsia="仿宋_GB2312"/>
          <w:color w:val="auto"/>
          <w:sz w:val="32"/>
          <w:szCs w:val="32"/>
          <w:highlight w:val="none"/>
        </w:rPr>
      </w:pPr>
    </w:p>
    <w:p>
      <w:pPr>
        <w:widowControl w:val="0"/>
        <w:spacing w:line="400" w:lineRule="exact"/>
        <w:jc w:val="center"/>
        <w:textAlignment w:val="auto"/>
        <w:rPr>
          <w:rFonts w:ascii="仿宋_GB2312" w:hAnsi="宋体" w:eastAsia="仿宋_GB2312"/>
          <w:color w:val="auto"/>
          <w:sz w:val="32"/>
          <w:szCs w:val="32"/>
          <w:highlight w:val="none"/>
        </w:rPr>
      </w:pPr>
    </w:p>
    <w:p>
      <w:pPr>
        <w:spacing w:before="156"/>
        <w:jc w:val="center"/>
        <w:rPr>
          <w:rStyle w:val="10"/>
          <w:rFonts w:ascii="仿宋_GB2312" w:hAnsi="宋体" w:eastAsia="仿宋_GB2312"/>
          <w:color w:val="auto"/>
          <w:sz w:val="32"/>
          <w:szCs w:val="32"/>
          <w:highlight w:val="none"/>
        </w:rPr>
      </w:pPr>
    </w:p>
    <w:p>
      <w:pPr>
        <w:spacing w:before="156"/>
        <w:jc w:val="center"/>
        <w:rPr>
          <w:rStyle w:val="10"/>
          <w:rFonts w:ascii="方正小标宋简体" w:hAnsi="方正小标宋简体" w:eastAsia="方正小标宋简体"/>
          <w:color w:val="auto"/>
          <w:sz w:val="72"/>
          <w:szCs w:val="72"/>
          <w:highlight w:val="none"/>
        </w:rPr>
      </w:pPr>
      <w:r>
        <w:rPr>
          <w:rStyle w:val="10"/>
          <w:rFonts w:ascii="方正小标宋简体" w:hAnsi="方正小标宋简体" w:eastAsia="方正小标宋简体"/>
          <w:color w:val="auto"/>
          <w:sz w:val="72"/>
          <w:szCs w:val="72"/>
          <w:highlight w:val="none"/>
        </w:rPr>
        <w:t>竞争性磋商文件</w:t>
      </w:r>
    </w:p>
    <w:p>
      <w:pPr>
        <w:spacing w:before="156"/>
        <w:jc w:val="center"/>
        <w:rPr>
          <w:rStyle w:val="10"/>
          <w:rFonts w:ascii="仿宋_GB2312" w:hAnsi="宋体" w:eastAsia="仿宋_GB2312"/>
          <w:color w:val="auto"/>
          <w:sz w:val="72"/>
          <w:szCs w:val="72"/>
          <w:highlight w:val="none"/>
        </w:rPr>
      </w:pPr>
    </w:p>
    <w:p>
      <w:pPr>
        <w:snapToGrid w:val="0"/>
        <w:spacing w:before="156" w:line="360" w:lineRule="auto"/>
        <w:rPr>
          <w:rStyle w:val="10"/>
          <w:rFonts w:ascii="仿宋_GB2312" w:hAnsi="宋体" w:eastAsia="仿宋_GB2312"/>
          <w:color w:val="auto"/>
          <w:sz w:val="30"/>
          <w:szCs w:val="72"/>
          <w:highlight w:val="none"/>
        </w:rPr>
      </w:pPr>
    </w:p>
    <w:p>
      <w:pPr>
        <w:pStyle w:val="26"/>
        <w:snapToGrid w:val="0"/>
        <w:spacing w:before="120" w:after="120" w:line="360" w:lineRule="auto"/>
        <w:ind w:firstLine="1593" w:firstLineChars="496"/>
        <w:rPr>
          <w:rStyle w:val="10"/>
          <w:rFonts w:ascii="仿宋_GB2312" w:hAnsi="仿宋_GB2312" w:eastAsia="仿宋_GB2312" w:cs="仿宋_GB2312"/>
          <w:b/>
          <w:bCs/>
          <w:color w:val="auto"/>
          <w:sz w:val="32"/>
          <w:szCs w:val="32"/>
          <w:highlight w:val="none"/>
        </w:rPr>
      </w:pPr>
    </w:p>
    <w:p>
      <w:pPr>
        <w:pStyle w:val="26"/>
        <w:snapToGrid w:val="0"/>
        <w:spacing w:before="120" w:after="120" w:line="360" w:lineRule="auto"/>
        <w:ind w:firstLine="1593" w:firstLineChars="496"/>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项目编号：</w:t>
      </w:r>
      <w:r>
        <w:rPr>
          <w:rStyle w:val="10"/>
          <w:rFonts w:hint="eastAsia" w:ascii="仿宋_GB2312" w:hAnsi="仿宋_GB2312" w:eastAsia="仿宋_GB2312" w:cs="仿宋_GB2312"/>
          <w:b/>
          <w:bCs/>
          <w:color w:val="auto"/>
          <w:sz w:val="32"/>
          <w:szCs w:val="32"/>
          <w:highlight w:val="none"/>
        </w:rPr>
        <w:t>GXZC2019-C3-27497-BEEG</w:t>
      </w:r>
    </w:p>
    <w:p>
      <w:pPr>
        <w:snapToGrid w:val="0"/>
        <w:spacing w:before="156" w:line="360" w:lineRule="auto"/>
        <w:ind w:firstLine="1606" w:firstLineChars="5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项目名称：2019年企业投资项目后评价服务采购</w:t>
      </w:r>
    </w:p>
    <w:p>
      <w:pPr>
        <w:snapToGrid w:val="0"/>
        <w:spacing w:before="156" w:line="360" w:lineRule="auto"/>
        <w:ind w:firstLine="1606" w:firstLineChars="5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b/>
          <w:color w:val="auto"/>
          <w:sz w:val="32"/>
          <w:szCs w:val="32"/>
          <w:highlight w:val="none"/>
        </w:rPr>
        <w:t>采 购 人：广西壮族自治区国有资产监督管理委员会</w:t>
      </w:r>
    </w:p>
    <w:p>
      <w:pPr>
        <w:snapToGrid w:val="0"/>
        <w:spacing w:before="156" w:line="360" w:lineRule="auto"/>
        <w:ind w:firstLine="1606" w:firstLineChars="500"/>
        <w:rPr>
          <w:rStyle w:val="10"/>
          <w:rFonts w:ascii="仿宋_GB2312" w:hAnsi="仿宋_GB2312" w:eastAsia="仿宋_GB2312" w:cs="仿宋_GB2312"/>
          <w:b/>
          <w:bCs/>
          <w:color w:val="auto"/>
          <w:sz w:val="32"/>
          <w:szCs w:val="32"/>
          <w:highlight w:val="none"/>
        </w:rPr>
      </w:pPr>
    </w:p>
    <w:p>
      <w:pPr>
        <w:snapToGrid w:val="0"/>
        <w:spacing w:before="156" w:line="360" w:lineRule="auto"/>
        <w:ind w:firstLine="1606" w:firstLineChars="5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 xml:space="preserve">   </w:t>
      </w:r>
    </w:p>
    <w:p>
      <w:pPr>
        <w:snapToGrid w:val="0"/>
        <w:spacing w:before="156" w:line="360" w:lineRule="auto"/>
        <w:ind w:firstLine="1606" w:firstLineChars="500"/>
        <w:rPr>
          <w:rStyle w:val="10"/>
          <w:rFonts w:ascii="仿宋_GB2312" w:hAnsi="仿宋_GB2312" w:eastAsia="仿宋_GB2312"/>
          <w:b/>
          <w:color w:val="auto"/>
          <w:sz w:val="32"/>
          <w:szCs w:val="32"/>
          <w:highlight w:val="none"/>
        </w:rPr>
      </w:pPr>
    </w:p>
    <w:p>
      <w:pPr>
        <w:snapToGrid w:val="0"/>
        <w:spacing w:before="156" w:line="360" w:lineRule="auto"/>
        <w:ind w:firstLine="1606" w:firstLineChars="500"/>
        <w:rPr>
          <w:rStyle w:val="10"/>
          <w:rFonts w:ascii="仿宋_GB2312" w:hAnsi="仿宋_GB2312" w:eastAsia="仿宋_GB2312"/>
          <w:b/>
          <w:color w:val="auto"/>
          <w:sz w:val="32"/>
          <w:szCs w:val="32"/>
          <w:highlight w:val="none"/>
        </w:rPr>
      </w:pPr>
    </w:p>
    <w:p>
      <w:pPr>
        <w:snapToGrid w:val="0"/>
        <w:spacing w:before="156" w:line="360" w:lineRule="auto"/>
        <w:ind w:firstLine="1606" w:firstLineChars="500"/>
        <w:rPr>
          <w:rStyle w:val="10"/>
          <w:rFonts w:ascii="仿宋_GB2312" w:hAnsi="仿宋_GB2312" w:eastAsia="仿宋_GB2312"/>
          <w:b/>
          <w:color w:val="auto"/>
          <w:sz w:val="32"/>
          <w:szCs w:val="32"/>
          <w:highlight w:val="none"/>
        </w:rPr>
      </w:pPr>
    </w:p>
    <w:p>
      <w:pPr>
        <w:snapToGrid w:val="0"/>
        <w:spacing w:before="156" w:line="360" w:lineRule="auto"/>
        <w:ind w:firstLine="1606" w:firstLineChars="5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 xml:space="preserve">采购代理机构：北部湾产权交易所集团股份有限公司 </w:t>
      </w:r>
    </w:p>
    <w:p>
      <w:pPr>
        <w:snapToGrid w:val="0"/>
        <w:spacing w:before="156" w:line="360" w:lineRule="auto"/>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 xml:space="preserve">                           2019年</w:t>
      </w:r>
      <w:r>
        <w:rPr>
          <w:rStyle w:val="10"/>
          <w:rFonts w:hint="eastAsia" w:ascii="仿宋_GB2312" w:hAnsi="仿宋_GB2312" w:eastAsia="仿宋_GB2312"/>
          <w:b/>
          <w:color w:val="auto"/>
          <w:sz w:val="32"/>
          <w:szCs w:val="32"/>
          <w:highlight w:val="none"/>
          <w:lang w:val="en-US" w:eastAsia="zh-CN"/>
        </w:rPr>
        <w:t>10</w:t>
      </w:r>
      <w:r>
        <w:rPr>
          <w:rStyle w:val="10"/>
          <w:rFonts w:ascii="仿宋_GB2312" w:hAnsi="仿宋_GB2312" w:eastAsia="仿宋_GB2312"/>
          <w:b/>
          <w:color w:val="auto"/>
          <w:sz w:val="32"/>
          <w:szCs w:val="32"/>
          <w:highlight w:val="none"/>
        </w:rPr>
        <w:t xml:space="preserve">月 </w:t>
      </w:r>
    </w:p>
    <w:p>
      <w:pPr>
        <w:snapToGrid w:val="0"/>
        <w:spacing w:before="156" w:line="360" w:lineRule="auto"/>
        <w:rPr>
          <w:rStyle w:val="10"/>
          <w:rFonts w:ascii="仿宋_GB2312" w:hAnsi="宋体" w:eastAsia="仿宋_GB2312"/>
          <w:color w:val="auto"/>
          <w:sz w:val="30"/>
          <w:szCs w:val="72"/>
          <w:highlight w:val="none"/>
        </w:rPr>
      </w:pPr>
    </w:p>
    <w:p>
      <w:pPr>
        <w:pStyle w:val="26"/>
        <w:tabs>
          <w:tab w:val="left" w:pos="5295"/>
        </w:tabs>
        <w:spacing w:before="120" w:after="120" w:line="360" w:lineRule="auto"/>
        <w:jc w:val="left"/>
        <w:rPr>
          <w:rStyle w:val="10"/>
          <w:rFonts w:ascii="仿宋_GB2312" w:hAnsi="宋体" w:eastAsia="仿宋_GB2312"/>
          <w:color w:val="auto"/>
          <w:highlight w:val="none"/>
        </w:rPr>
        <w:sectPr>
          <w:headerReference r:id="rId3" w:type="default"/>
          <w:footerReference r:id="rId4" w:type="default"/>
          <w:pgSz w:w="11906" w:h="16838"/>
          <w:pgMar w:top="1247" w:right="1247" w:bottom="1247" w:left="1247" w:header="851" w:footer="992" w:gutter="0"/>
          <w:pgNumType w:start="0"/>
          <w:cols w:space="720" w:num="1"/>
          <w:titlePg/>
          <w:docGrid w:type="lines" w:linePitch="312" w:charSpace="0"/>
        </w:sectPr>
      </w:pPr>
    </w:p>
    <w:p>
      <w:pPr>
        <w:pStyle w:val="26"/>
        <w:tabs>
          <w:tab w:val="left" w:pos="5295"/>
        </w:tabs>
        <w:spacing w:before="120" w:after="120" w:line="360" w:lineRule="auto"/>
        <w:jc w:val="left"/>
        <w:rPr>
          <w:rStyle w:val="10"/>
          <w:rFonts w:ascii="仿宋_GB2312" w:hAnsi="宋体" w:eastAsia="仿宋_GB2312"/>
          <w:color w:val="auto"/>
          <w:highlight w:val="none"/>
        </w:rPr>
      </w:pPr>
      <w:r>
        <w:rPr>
          <w:rStyle w:val="10"/>
          <w:rFonts w:ascii="仿宋_GB2312" w:hAnsi="宋体" w:eastAsia="仿宋_GB2312"/>
          <w:color w:val="auto"/>
          <w:highlight w:val="none"/>
        </w:rPr>
        <w:tab/>
      </w: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目 录</w:t>
      </w:r>
    </w:p>
    <w:p>
      <w:pPr>
        <w:spacing w:line="400" w:lineRule="exact"/>
        <w:jc w:val="center"/>
        <w:rPr>
          <w:rStyle w:val="10"/>
          <w:rFonts w:ascii="仿宋_GB2312" w:hAnsi="仿宋_GB2312" w:eastAsia="仿宋_GB2312"/>
          <w:b/>
          <w:color w:val="auto"/>
          <w:sz w:val="32"/>
          <w:szCs w:val="32"/>
          <w:highlight w:val="none"/>
        </w:rPr>
      </w:pPr>
    </w:p>
    <w:p>
      <w:pPr>
        <w:spacing w:line="960" w:lineRule="exact"/>
        <w:ind w:left="839"/>
        <w:rPr>
          <w:rStyle w:val="10"/>
          <w:rFonts w:hint="eastAsia" w:ascii="仿宋_GB2312" w:hAnsi="仿宋_GB2312" w:eastAsia="仿宋_GB2312"/>
          <w:b/>
          <w:color w:val="auto"/>
          <w:sz w:val="32"/>
          <w:szCs w:val="32"/>
          <w:highlight w:val="none"/>
          <w:lang w:eastAsia="zh-CN"/>
        </w:rPr>
      </w:pPr>
      <w:r>
        <w:rPr>
          <w:rStyle w:val="10"/>
          <w:rFonts w:ascii="仿宋_GB2312" w:hAnsi="仿宋_GB2312" w:eastAsia="仿宋_GB2312"/>
          <w:b/>
          <w:color w:val="auto"/>
          <w:sz w:val="32"/>
          <w:szCs w:val="32"/>
          <w:highlight w:val="none"/>
        </w:rPr>
        <w:t>第一章 竞争性磋商公告………………………</w:t>
      </w:r>
      <w:r>
        <w:rPr>
          <w:rStyle w:val="10"/>
          <w:rFonts w:hint="eastAsia" w:ascii="仿宋_GB2312" w:hAnsi="仿宋_GB2312" w:eastAsia="仿宋_GB2312"/>
          <w:b/>
          <w:color w:val="auto"/>
          <w:sz w:val="32"/>
          <w:szCs w:val="32"/>
          <w:highlight w:val="none"/>
          <w:lang w:val="en-US" w:eastAsia="zh-CN"/>
        </w:rPr>
        <w:t>2</w:t>
      </w:r>
    </w:p>
    <w:p>
      <w:pPr>
        <w:spacing w:line="960" w:lineRule="exact"/>
        <w:ind w:left="839"/>
        <w:rPr>
          <w:rStyle w:val="10"/>
          <w:rFonts w:hint="eastAsia" w:ascii="仿宋_GB2312" w:hAnsi="仿宋_GB2312" w:eastAsia="仿宋_GB2312"/>
          <w:b/>
          <w:color w:val="auto"/>
          <w:sz w:val="32"/>
          <w:szCs w:val="32"/>
          <w:highlight w:val="none"/>
          <w:lang w:eastAsia="zh-CN"/>
        </w:rPr>
      </w:pPr>
      <w:r>
        <w:rPr>
          <w:rStyle w:val="10"/>
          <w:rFonts w:ascii="仿宋_GB2312" w:hAnsi="仿宋_GB2312" w:eastAsia="仿宋_GB2312"/>
          <w:b/>
          <w:color w:val="auto"/>
          <w:sz w:val="32"/>
          <w:szCs w:val="32"/>
          <w:highlight w:val="none"/>
        </w:rPr>
        <w:t>第二章 磋商供应商须知………………………</w:t>
      </w:r>
      <w:r>
        <w:rPr>
          <w:rStyle w:val="10"/>
          <w:rFonts w:hint="eastAsia" w:ascii="仿宋_GB2312" w:hAnsi="仿宋_GB2312" w:eastAsia="仿宋_GB2312"/>
          <w:b/>
          <w:color w:val="auto"/>
          <w:sz w:val="32"/>
          <w:szCs w:val="32"/>
          <w:highlight w:val="none"/>
          <w:lang w:val="en-US" w:eastAsia="zh-CN"/>
        </w:rPr>
        <w:t>6</w:t>
      </w:r>
    </w:p>
    <w:p>
      <w:pPr>
        <w:spacing w:line="960" w:lineRule="exact"/>
        <w:ind w:left="839"/>
        <w:rPr>
          <w:rStyle w:val="10"/>
          <w:rFonts w:hint="eastAsia" w:ascii="仿宋_GB2312" w:hAnsi="仿宋_GB2312" w:eastAsia="仿宋_GB2312"/>
          <w:b/>
          <w:color w:val="auto"/>
          <w:sz w:val="32"/>
          <w:szCs w:val="32"/>
          <w:highlight w:val="none"/>
          <w:lang w:eastAsia="zh-CN"/>
        </w:rPr>
      </w:pPr>
      <w:r>
        <w:rPr>
          <w:rStyle w:val="10"/>
          <w:rFonts w:ascii="仿宋_GB2312" w:hAnsi="仿宋_GB2312" w:eastAsia="仿宋_GB2312"/>
          <w:b/>
          <w:color w:val="auto"/>
          <w:sz w:val="32"/>
          <w:szCs w:val="32"/>
          <w:highlight w:val="none"/>
        </w:rPr>
        <w:t>第三章 采购需求………………………………2</w:t>
      </w:r>
      <w:r>
        <w:rPr>
          <w:rStyle w:val="10"/>
          <w:rFonts w:hint="eastAsia" w:ascii="仿宋_GB2312" w:hAnsi="仿宋_GB2312" w:eastAsia="仿宋_GB2312"/>
          <w:b/>
          <w:color w:val="auto"/>
          <w:sz w:val="32"/>
          <w:szCs w:val="32"/>
          <w:highlight w:val="none"/>
          <w:lang w:val="en-US" w:eastAsia="zh-CN"/>
        </w:rPr>
        <w:t>2</w:t>
      </w:r>
    </w:p>
    <w:p>
      <w:pPr>
        <w:spacing w:line="960" w:lineRule="exact"/>
        <w:ind w:left="839"/>
        <w:rPr>
          <w:rStyle w:val="10"/>
          <w:rFonts w:hint="eastAsia" w:ascii="仿宋_GB2312" w:hAnsi="仿宋_GB2312" w:eastAsia="仿宋_GB2312"/>
          <w:b/>
          <w:color w:val="auto"/>
          <w:sz w:val="32"/>
          <w:szCs w:val="32"/>
          <w:highlight w:val="none"/>
          <w:lang w:eastAsia="zh-CN"/>
        </w:rPr>
      </w:pPr>
      <w:r>
        <w:rPr>
          <w:rStyle w:val="10"/>
          <w:rFonts w:ascii="仿宋_GB2312" w:hAnsi="仿宋_GB2312" w:eastAsia="仿宋_GB2312"/>
          <w:b/>
          <w:color w:val="auto"/>
          <w:sz w:val="32"/>
          <w:szCs w:val="32"/>
          <w:highlight w:val="none"/>
        </w:rPr>
        <w:t>第四章 竞争性磋商响应文件格式……………4</w:t>
      </w:r>
      <w:r>
        <w:rPr>
          <w:rStyle w:val="10"/>
          <w:rFonts w:hint="eastAsia" w:ascii="仿宋_GB2312" w:hAnsi="仿宋_GB2312" w:eastAsia="仿宋_GB2312"/>
          <w:b/>
          <w:color w:val="auto"/>
          <w:sz w:val="32"/>
          <w:szCs w:val="32"/>
          <w:highlight w:val="none"/>
          <w:lang w:val="en-US" w:eastAsia="zh-CN"/>
        </w:rPr>
        <w:t>4</w:t>
      </w:r>
    </w:p>
    <w:p>
      <w:pPr>
        <w:spacing w:line="960" w:lineRule="exact"/>
        <w:ind w:left="839"/>
        <w:rPr>
          <w:rStyle w:val="10"/>
          <w:rFonts w:hint="eastAsia" w:ascii="仿宋_GB2312" w:hAnsi="仿宋_GB2312" w:eastAsia="仿宋_GB2312"/>
          <w:b/>
          <w:color w:val="auto"/>
          <w:sz w:val="32"/>
          <w:szCs w:val="32"/>
          <w:highlight w:val="none"/>
          <w:lang w:eastAsia="zh-CN"/>
        </w:rPr>
      </w:pPr>
      <w:r>
        <w:rPr>
          <w:rStyle w:val="10"/>
          <w:rFonts w:ascii="仿宋_GB2312" w:hAnsi="仿宋_GB2312" w:eastAsia="仿宋_GB2312"/>
          <w:b/>
          <w:color w:val="auto"/>
          <w:sz w:val="32"/>
          <w:szCs w:val="32"/>
          <w:highlight w:val="none"/>
        </w:rPr>
        <w:t>第五章 合同主要条款…………………………5</w:t>
      </w:r>
      <w:r>
        <w:rPr>
          <w:rStyle w:val="10"/>
          <w:rFonts w:hint="eastAsia" w:ascii="仿宋_GB2312" w:hAnsi="仿宋_GB2312" w:eastAsia="仿宋_GB2312"/>
          <w:b/>
          <w:color w:val="auto"/>
          <w:sz w:val="32"/>
          <w:szCs w:val="32"/>
          <w:highlight w:val="none"/>
          <w:lang w:val="en-US" w:eastAsia="zh-CN"/>
        </w:rPr>
        <w:t>3</w:t>
      </w:r>
    </w:p>
    <w:p>
      <w:pPr>
        <w:spacing w:line="960" w:lineRule="exact"/>
        <w:ind w:left="839"/>
        <w:rPr>
          <w:rStyle w:val="10"/>
          <w:rFonts w:hint="default" w:ascii="仿宋_GB2312" w:hAnsi="仿宋_GB2312" w:eastAsia="仿宋_GB2312"/>
          <w:b/>
          <w:color w:val="auto"/>
          <w:sz w:val="32"/>
          <w:szCs w:val="32"/>
          <w:highlight w:val="none"/>
          <w:lang w:val="en-US" w:eastAsia="zh-CN"/>
        </w:rPr>
      </w:pPr>
      <w:r>
        <w:rPr>
          <w:rStyle w:val="10"/>
          <w:rFonts w:ascii="仿宋_GB2312" w:hAnsi="仿宋_GB2312" w:eastAsia="仿宋_GB2312"/>
          <w:b/>
          <w:color w:val="auto"/>
          <w:sz w:val="32"/>
          <w:szCs w:val="32"/>
          <w:highlight w:val="none"/>
        </w:rPr>
        <w:t>第六章 评审标准………………………………</w:t>
      </w:r>
      <w:r>
        <w:rPr>
          <w:rStyle w:val="10"/>
          <w:rFonts w:hint="eastAsia" w:ascii="仿宋_GB2312" w:hAnsi="仿宋_GB2312" w:eastAsia="仿宋_GB2312"/>
          <w:b/>
          <w:color w:val="auto"/>
          <w:sz w:val="32"/>
          <w:szCs w:val="32"/>
          <w:highlight w:val="none"/>
          <w:lang w:val="en-US" w:eastAsia="zh-CN"/>
        </w:rPr>
        <w:t>59</w:t>
      </w:r>
    </w:p>
    <w:p>
      <w:pPr>
        <w:spacing w:line="400" w:lineRule="exact"/>
        <w:jc w:val="center"/>
        <w:rPr>
          <w:rStyle w:val="10"/>
          <w:rFonts w:ascii="仿宋_GB2312" w:hAnsi="仿宋_GB2312"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700" w:lineRule="exact"/>
        <w:ind w:left="839"/>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黑体" w:hAnsi="宋体" w:eastAsia="黑体"/>
          <w:b/>
          <w:color w:val="auto"/>
          <w:sz w:val="32"/>
          <w:szCs w:val="32"/>
          <w:highlight w:val="none"/>
        </w:rPr>
      </w:pPr>
    </w:p>
    <w:p>
      <w:pPr>
        <w:spacing w:line="400" w:lineRule="exact"/>
        <w:jc w:val="center"/>
        <w:rPr>
          <w:rStyle w:val="10"/>
          <w:rFonts w:ascii="黑体" w:hAnsi="宋体" w:eastAsia="黑体"/>
          <w:bCs/>
          <w:color w:val="auto"/>
          <w:sz w:val="32"/>
          <w:szCs w:val="32"/>
          <w:highlight w:val="none"/>
        </w:rPr>
      </w:pPr>
    </w:p>
    <w:p>
      <w:pPr>
        <w:spacing w:line="600" w:lineRule="exact"/>
        <w:jc w:val="center"/>
        <w:rPr>
          <w:rStyle w:val="10"/>
          <w:rFonts w:ascii="黑体" w:hAnsi="宋体" w:eastAsia="黑体"/>
          <w:b/>
          <w:color w:val="auto"/>
          <w:sz w:val="48"/>
          <w:szCs w:val="48"/>
          <w:highlight w:val="none"/>
        </w:rPr>
      </w:pPr>
      <w:r>
        <w:rPr>
          <w:rStyle w:val="10"/>
          <w:rFonts w:ascii="方正小标宋简体" w:hAnsi="方正小标宋简体" w:eastAsia="方正小标宋简体" w:cs="方正小标宋简体"/>
          <w:bCs/>
          <w:color w:val="auto"/>
          <w:sz w:val="48"/>
          <w:szCs w:val="48"/>
          <w:highlight w:val="none"/>
        </w:rPr>
        <w:t>第一章  竞争性磋商公告</w:t>
      </w:r>
    </w:p>
    <w:p>
      <w:pPr>
        <w:spacing w:line="400" w:lineRule="exact"/>
        <w:jc w:val="center"/>
        <w:rPr>
          <w:rStyle w:val="10"/>
          <w:rFonts w:ascii="黑体" w:hAnsi="宋体" w:eastAsia="黑体"/>
          <w:b/>
          <w:color w:val="auto"/>
          <w:sz w:val="32"/>
          <w:szCs w:val="32"/>
          <w:highlight w:val="none"/>
        </w:rPr>
      </w:pPr>
    </w:p>
    <w:p>
      <w:pPr>
        <w:spacing w:line="520" w:lineRule="exact"/>
        <w:jc w:val="center"/>
        <w:rPr>
          <w:rStyle w:val="10"/>
          <w:rFonts w:ascii="仿宋_GB2312" w:hAnsi="宋体" w:eastAsia="仿宋_GB2312"/>
          <w:b/>
          <w:color w:val="auto"/>
          <w:sz w:val="32"/>
          <w:szCs w:val="32"/>
          <w:highlight w:val="none"/>
        </w:rPr>
      </w:pPr>
      <w:r>
        <w:rPr>
          <w:rStyle w:val="10"/>
          <w:rFonts w:ascii="仿宋_GB2312" w:hAnsi="宋体" w:eastAsia="仿宋_GB2312"/>
          <w:b/>
          <w:color w:val="auto"/>
          <w:sz w:val="32"/>
          <w:szCs w:val="32"/>
          <w:highlight w:val="none"/>
        </w:rPr>
        <w:t>竞争性磋商公告</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我公司受广西壮族自治区国有资产监督管理委员会委托，根据《中华人民共和国政府采购法》等有关规定，按广西壮族自治区财政厅政府采购监督管理处的政府采购计划（编号：</w:t>
      </w:r>
      <w:r>
        <w:rPr>
          <w:rStyle w:val="10"/>
          <w:rFonts w:hint="eastAsia" w:ascii="仿宋_GB2312" w:hAnsi="仿宋_GB2312" w:eastAsia="仿宋_GB2312"/>
          <w:color w:val="auto"/>
          <w:sz w:val="32"/>
          <w:szCs w:val="32"/>
          <w:highlight w:val="none"/>
          <w:lang w:val="en-US" w:eastAsia="zh-CN"/>
        </w:rPr>
        <w:t>201909270043</w:t>
      </w:r>
      <w:r>
        <w:rPr>
          <w:rStyle w:val="10"/>
          <w:rFonts w:ascii="仿宋_GB2312" w:hAnsi="仿宋_GB2312" w:eastAsia="仿宋_GB2312"/>
          <w:color w:val="auto"/>
          <w:sz w:val="32"/>
          <w:szCs w:val="32"/>
          <w:highlight w:val="none"/>
        </w:rPr>
        <w:t>），现对2019年企业投资项目后评价服务采购项目进行竞争性磋商，欢迎符合条件的供应商前来参加磋商活动。</w:t>
      </w:r>
    </w:p>
    <w:p>
      <w:pPr>
        <w:spacing w:line="520" w:lineRule="exact"/>
        <w:ind w:firstLine="640" w:firstLineChars="200"/>
        <w:rPr>
          <w:rStyle w:val="10"/>
          <w:rFonts w:ascii="仿宋_GB2312" w:hAnsi="仿宋_GB2312" w:eastAsia="仿宋_GB2312"/>
          <w:color w:val="auto"/>
          <w:sz w:val="32"/>
          <w:szCs w:val="32"/>
          <w:highlight w:val="none"/>
        </w:rPr>
      </w:pPr>
    </w:p>
    <w:p>
      <w:pPr>
        <w:snapToGrid w:val="0"/>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一、采购项目名称：</w:t>
      </w:r>
      <w:r>
        <w:rPr>
          <w:rStyle w:val="10"/>
          <w:rFonts w:ascii="仿宋_GB2312" w:hAnsi="仿宋_GB2312" w:eastAsia="仿宋_GB2312" w:cs="仿宋_GB2312"/>
          <w:b/>
          <w:bCs/>
          <w:color w:val="auto"/>
          <w:sz w:val="32"/>
          <w:szCs w:val="32"/>
          <w:highlight w:val="none"/>
          <w:u w:val="none"/>
        </w:rPr>
        <w:t>2019年企业投资项目后评价服务采购</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cs="仿宋_GB2312"/>
          <w:b/>
          <w:bCs/>
          <w:color w:val="auto"/>
          <w:sz w:val="32"/>
          <w:szCs w:val="32"/>
          <w:highlight w:val="none"/>
        </w:rPr>
        <w:t>二、采购项目编号：</w:t>
      </w:r>
      <w:r>
        <w:rPr>
          <w:rStyle w:val="10"/>
          <w:rFonts w:hint="eastAsia" w:ascii="仿宋_GB2312" w:hAnsi="仿宋_GB2312" w:eastAsia="仿宋_GB2312" w:cs="仿宋_GB2312"/>
          <w:b/>
          <w:bCs/>
          <w:color w:val="auto"/>
          <w:sz w:val="32"/>
          <w:szCs w:val="32"/>
          <w:highlight w:val="none"/>
        </w:rPr>
        <w:t>GXZC2019-C3-27497-BEEG</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三、采购项目的名称、数量、简要规格描述或项目基本概况介绍：</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本项目：对广西建工集团在建PPP项目（事中评价）、玉柴集团参股子公司茂名市新泽源商贸有限公司投资茂名市中晟实业有限公司项目、农投集团龙胜南山水电站项目进行投资后评价。</w:t>
      </w:r>
      <w:r>
        <w:rPr>
          <w:rStyle w:val="10"/>
          <w:rFonts w:ascii="仿宋_GB2312" w:hAnsi="仿宋_GB2312" w:eastAsia="仿宋_GB2312" w:cs="仿宋_GB2312"/>
          <w:bCs/>
          <w:color w:val="auto"/>
          <w:sz w:val="32"/>
          <w:szCs w:val="32"/>
          <w:highlight w:val="none"/>
        </w:rPr>
        <w:t>如需进一步了解详细内容，详见竞争性磋商文件。</w:t>
      </w:r>
    </w:p>
    <w:p>
      <w:pPr>
        <w:snapToGrid w:val="0"/>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四、采购项目预算金额（人民币）：</w:t>
      </w:r>
      <w:r>
        <w:rPr>
          <w:rStyle w:val="10"/>
          <w:rFonts w:ascii="仿宋_GB2312" w:hAnsi="仿宋_GB2312" w:eastAsia="仿宋_GB2312"/>
          <w:color w:val="auto"/>
          <w:sz w:val="32"/>
          <w:szCs w:val="32"/>
          <w:highlight w:val="none"/>
        </w:rPr>
        <w:t>98万元，采购资金来源：财政资金，比例100%。</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五、</w:t>
      </w:r>
      <w:r>
        <w:rPr>
          <w:rStyle w:val="10"/>
          <w:rFonts w:ascii="仿宋_GB2312" w:hAnsi="仿宋_GB2312" w:eastAsia="仿宋_GB2312" w:cs="仿宋_GB2312"/>
          <w:b/>
          <w:bCs/>
          <w:color w:val="auto"/>
          <w:sz w:val="32"/>
          <w:szCs w:val="32"/>
          <w:highlight w:val="none"/>
        </w:rPr>
        <w:t>本项目需要落实的政府采购政策:</w:t>
      </w:r>
      <w:r>
        <w:rPr>
          <w:rStyle w:val="10"/>
          <w:rFonts w:ascii="仿宋_GB2312" w:hAnsi="仿宋_GB2312" w:eastAsia="仿宋_GB2312"/>
          <w:color w:val="auto"/>
          <w:sz w:val="32"/>
          <w:szCs w:val="32"/>
          <w:highlight w:val="none"/>
        </w:rPr>
        <w:t xml:space="preserve"> </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1、落实强制采购节能产品、鼓励节能政策：对国家公布的节能产品政府采购清单中属于强制采购的产品，予以强制采购。属于非强制采购的产品，在技术、服务等指标同等条件下，予以优先采购。</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2、鼓励环保政策：在性能、技术、服务等指标同等条件下，优先采购国家公布的属于环境标志产品政府采购清单中产品。</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3、扶持中小企业政策：评审时小型和微型企业服务产品的价格给予6%的扣除。监狱企业和残疾人福利性单位视同小型和微型企业，其服务产品在评审时给予相同的价格扣除。</w:t>
      </w:r>
    </w:p>
    <w:p>
      <w:pPr>
        <w:snapToGrid w:val="0"/>
        <w:spacing w:line="520" w:lineRule="exact"/>
        <w:ind w:firstLine="630" w:firstLineChars="196"/>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b/>
          <w:color w:val="auto"/>
          <w:sz w:val="32"/>
          <w:szCs w:val="32"/>
          <w:highlight w:val="none"/>
        </w:rPr>
        <w:t>六</w:t>
      </w:r>
      <w:r>
        <w:rPr>
          <w:rStyle w:val="10"/>
          <w:rFonts w:ascii="仿宋_GB2312" w:hAnsi="仿宋_GB2312" w:eastAsia="仿宋_GB2312"/>
          <w:color w:val="auto"/>
          <w:sz w:val="32"/>
          <w:szCs w:val="32"/>
          <w:highlight w:val="none"/>
        </w:rPr>
        <w:t>、</w:t>
      </w:r>
      <w:r>
        <w:rPr>
          <w:rStyle w:val="10"/>
          <w:rFonts w:ascii="仿宋_GB2312" w:hAnsi="仿宋_GB2312" w:eastAsia="仿宋_GB2312" w:cs="仿宋_GB2312"/>
          <w:b/>
          <w:bCs/>
          <w:color w:val="auto"/>
          <w:sz w:val="32"/>
          <w:szCs w:val="32"/>
          <w:highlight w:val="none"/>
        </w:rPr>
        <w:t>磋商供应商资格要求：</w:t>
      </w:r>
    </w:p>
    <w:p>
      <w:pPr>
        <w:snapToGrid w:val="0"/>
        <w:spacing w:line="520" w:lineRule="exact"/>
        <w:ind w:firstLine="627" w:firstLineChars="196"/>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1、具备《中华人民共和国政府采购法》第二十二条规定的条件；</w:t>
      </w:r>
    </w:p>
    <w:p>
      <w:pPr>
        <w:snapToGrid w:val="0"/>
        <w:spacing w:line="520" w:lineRule="exact"/>
        <w:ind w:firstLine="627" w:firstLineChars="196"/>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2、国内注册（指按国家有关规定要求注册的）具有独立法人资的供应商；</w:t>
      </w:r>
    </w:p>
    <w:p>
      <w:pPr>
        <w:snapToGrid w:val="0"/>
        <w:spacing w:line="520" w:lineRule="exact"/>
        <w:ind w:firstLine="627" w:firstLineChars="196"/>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3、本项目不接受联合体磋商</w:t>
      </w:r>
      <w:r>
        <w:rPr>
          <w:rStyle w:val="10"/>
          <w:rFonts w:ascii="仿宋_GB2312" w:hAnsi="仿宋_GB2312" w:eastAsia="仿宋_GB2312"/>
          <w:b/>
          <w:color w:val="auto"/>
          <w:sz w:val="32"/>
          <w:szCs w:val="32"/>
          <w:highlight w:val="none"/>
        </w:rPr>
        <w:t>。</w:t>
      </w:r>
    </w:p>
    <w:p>
      <w:pPr>
        <w:snapToGrid w:val="0"/>
        <w:spacing w:line="520" w:lineRule="exact"/>
        <w:ind w:firstLine="627" w:firstLineChars="196"/>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或中国政府采购网（www.ccgp.gov.cn）查询相关供应商主体信用记录，在响应文件中将查询结果截图加盖单位公章如实报告磋商小组。</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b/>
          <w:color w:val="auto"/>
          <w:sz w:val="32"/>
          <w:szCs w:val="32"/>
          <w:highlight w:val="none"/>
        </w:rPr>
        <w:t>七、</w:t>
      </w:r>
      <w:r>
        <w:rPr>
          <w:rStyle w:val="10"/>
          <w:rFonts w:ascii="仿宋_GB2312" w:hAnsi="仿宋_GB2312" w:eastAsia="仿宋_GB2312" w:cs="仿宋_GB2312"/>
          <w:b/>
          <w:bCs/>
          <w:color w:val="auto"/>
          <w:sz w:val="32"/>
          <w:szCs w:val="32"/>
          <w:highlight w:val="none"/>
        </w:rPr>
        <w:t>竞争性磋商文件的获取：</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1、发售时间：公告发布之日起至2019年</w:t>
      </w:r>
      <w:r>
        <w:rPr>
          <w:rStyle w:val="10"/>
          <w:rFonts w:hint="eastAsia" w:ascii="仿宋_GB2312" w:hAnsi="仿宋_GB2312" w:eastAsia="仿宋_GB2312"/>
          <w:color w:val="auto"/>
          <w:sz w:val="32"/>
          <w:szCs w:val="32"/>
          <w:highlight w:val="none"/>
          <w:lang w:val="en-US" w:eastAsia="zh-CN"/>
        </w:rPr>
        <w:t>10</w:t>
      </w:r>
      <w:r>
        <w:rPr>
          <w:rStyle w:val="10"/>
          <w:rFonts w:ascii="仿宋_GB2312" w:hAnsi="仿宋_GB2312" w:eastAsia="仿宋_GB2312"/>
          <w:color w:val="auto"/>
          <w:sz w:val="32"/>
          <w:szCs w:val="32"/>
          <w:highlight w:val="none"/>
        </w:rPr>
        <w:t>月</w:t>
      </w:r>
      <w:r>
        <w:rPr>
          <w:rStyle w:val="10"/>
          <w:rFonts w:hint="eastAsia" w:ascii="仿宋_GB2312" w:hAnsi="仿宋_GB2312" w:eastAsia="仿宋_GB2312"/>
          <w:color w:val="auto"/>
          <w:sz w:val="32"/>
          <w:szCs w:val="32"/>
          <w:highlight w:val="none"/>
          <w:lang w:val="en-US" w:eastAsia="zh-CN"/>
        </w:rPr>
        <w:t>23</w:t>
      </w:r>
      <w:r>
        <w:rPr>
          <w:rStyle w:val="10"/>
          <w:rFonts w:ascii="仿宋_GB2312" w:hAnsi="仿宋_GB2312" w:eastAsia="仿宋_GB2312"/>
          <w:color w:val="auto"/>
          <w:sz w:val="32"/>
          <w:szCs w:val="32"/>
          <w:highlight w:val="none"/>
        </w:rPr>
        <w:t>日，08:30至12：00，14：30至17：30，双休日和法定节假日不办理业务。</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2、发售地点：北部湾产权交易所集团股份有限公司（南宁市良庆区五象新区凯旋路15号5号楼</w:t>
      </w:r>
      <w:r>
        <w:rPr>
          <w:rStyle w:val="10"/>
          <w:rFonts w:hint="eastAsia" w:ascii="仿宋_GB2312" w:hAnsi="仿宋_GB2312" w:eastAsia="仿宋_GB2312"/>
          <w:color w:val="auto"/>
          <w:sz w:val="32"/>
          <w:szCs w:val="32"/>
          <w:highlight w:val="none"/>
          <w:lang w:val="en-US" w:eastAsia="zh-CN"/>
        </w:rPr>
        <w:t>612室</w:t>
      </w:r>
      <w:r>
        <w:rPr>
          <w:rStyle w:val="10"/>
          <w:rFonts w:ascii="仿宋_GB2312" w:hAnsi="仿宋_GB2312" w:eastAsia="仿宋_GB2312"/>
          <w:color w:val="auto"/>
          <w:sz w:val="32"/>
          <w:szCs w:val="32"/>
          <w:highlight w:val="none"/>
        </w:rPr>
        <w:t>）。</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售价：300元/份，售后不退。如需邮寄另加邮费50元（邮购文件的，必须于发售截止时间前将工本费及邮费汇到北部湾产权交易所指定银行账号）。依据《国家税务总局关于增值税发票开具有关问题的公告》国家税务总局公告2017年第16号的规定，供应商在索取发票时，请提供纳税人增值税专用发票开票信息。</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获取磋商文件的方式：由法定代表人或委托代理人携带以下资料报名：有效的三证合一营业执照副本复印件（或有效的营业执照副本、税务登记证、组织机构代码证副本复印件）、授权委托书原件（非法定代表购买时）、法定代表人及委托代理人身份证复印件到现场购买。（注：以上所有复印件资料均须加盖单位公章）</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八、磋商保证金(人民币)：</w:t>
      </w:r>
      <w:r>
        <w:rPr>
          <w:rStyle w:val="10"/>
          <w:rFonts w:ascii="仿宋_GB2312" w:hAnsi="仿宋_GB2312" w:eastAsia="仿宋_GB2312"/>
          <w:color w:val="auto"/>
          <w:sz w:val="32"/>
          <w:szCs w:val="32"/>
          <w:highlight w:val="none"/>
        </w:rPr>
        <w:t>19000元。</w:t>
      </w:r>
    </w:p>
    <w:p>
      <w:pPr>
        <w:spacing w:line="520" w:lineRule="exact"/>
        <w:ind w:firstLine="640" w:firstLineChars="200"/>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s="仿宋_GB2312"/>
          <w:bCs/>
          <w:color w:val="auto"/>
          <w:sz w:val="32"/>
          <w:szCs w:val="32"/>
          <w:highlight w:val="none"/>
        </w:rPr>
        <w:t>磋商供应商应于</w:t>
      </w:r>
      <w:r>
        <w:rPr>
          <w:rStyle w:val="10"/>
          <w:rFonts w:ascii="仿宋_GB2312" w:hAnsi="仿宋_GB2312" w:eastAsia="仿宋_GB2312"/>
          <w:b/>
          <w:color w:val="auto"/>
          <w:sz w:val="32"/>
          <w:szCs w:val="32"/>
          <w:highlight w:val="none"/>
          <w:u w:val="single"/>
        </w:rPr>
        <w:t>2019年10月</w:t>
      </w:r>
      <w:r>
        <w:rPr>
          <w:rStyle w:val="10"/>
          <w:rFonts w:hint="eastAsia" w:ascii="仿宋_GB2312" w:hAnsi="仿宋_GB2312" w:eastAsia="仿宋_GB2312"/>
          <w:b/>
          <w:color w:val="auto"/>
          <w:sz w:val="32"/>
          <w:szCs w:val="32"/>
          <w:highlight w:val="none"/>
          <w:u w:val="single"/>
          <w:lang w:val="en-US" w:eastAsia="zh-CN"/>
        </w:rPr>
        <w:t>28</w:t>
      </w:r>
      <w:r>
        <w:rPr>
          <w:rStyle w:val="10"/>
          <w:rFonts w:ascii="仿宋_GB2312" w:hAnsi="仿宋_GB2312" w:eastAsia="仿宋_GB2312"/>
          <w:b/>
          <w:color w:val="auto"/>
          <w:sz w:val="32"/>
          <w:szCs w:val="32"/>
          <w:highlight w:val="none"/>
          <w:u w:val="single"/>
        </w:rPr>
        <w:t>日9时30分</w:t>
      </w:r>
      <w:r>
        <w:rPr>
          <w:rStyle w:val="10"/>
          <w:rFonts w:ascii="仿宋_GB2312" w:hAnsi="仿宋_GB2312" w:eastAsia="仿宋_GB2312" w:cs="仿宋_GB2312"/>
          <w:bCs/>
          <w:color w:val="auto"/>
          <w:sz w:val="32"/>
          <w:szCs w:val="32"/>
          <w:highlight w:val="none"/>
        </w:rPr>
        <w:t>前将磋商保证金以电汇、转帐、汇票等非现金形式交至以下账户。</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【开户名称：北部湾产权交易所集团股份有限公司；开户银行：兴业银行南宁琅西支行；银行账号：5520 8010 0100 0218 41 】。</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九、响应文件递交截止时间和地点：</w:t>
      </w:r>
    </w:p>
    <w:p>
      <w:pPr>
        <w:spacing w:line="520" w:lineRule="exact"/>
        <w:ind w:firstLine="640" w:firstLineChars="200"/>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s="仿宋_GB2312"/>
          <w:bCs/>
          <w:color w:val="auto"/>
          <w:sz w:val="32"/>
          <w:szCs w:val="32"/>
          <w:highlight w:val="none"/>
        </w:rPr>
        <w:t>磋商供应商应于</w:t>
      </w:r>
      <w:r>
        <w:rPr>
          <w:rStyle w:val="10"/>
          <w:rFonts w:ascii="仿宋_GB2312" w:hAnsi="仿宋_GB2312" w:eastAsia="仿宋_GB2312"/>
          <w:b/>
          <w:color w:val="auto"/>
          <w:sz w:val="32"/>
          <w:szCs w:val="32"/>
          <w:highlight w:val="none"/>
          <w:u w:val="single"/>
        </w:rPr>
        <w:t>2019年10月</w:t>
      </w:r>
      <w:r>
        <w:rPr>
          <w:rStyle w:val="10"/>
          <w:rFonts w:hint="eastAsia" w:ascii="仿宋_GB2312" w:hAnsi="仿宋_GB2312" w:eastAsia="仿宋_GB2312"/>
          <w:b/>
          <w:color w:val="auto"/>
          <w:sz w:val="32"/>
          <w:szCs w:val="32"/>
          <w:highlight w:val="none"/>
          <w:u w:val="single"/>
          <w:lang w:val="en-US" w:eastAsia="zh-CN"/>
        </w:rPr>
        <w:t>28</w:t>
      </w:r>
      <w:r>
        <w:rPr>
          <w:rStyle w:val="10"/>
          <w:rFonts w:ascii="仿宋_GB2312" w:hAnsi="仿宋_GB2312" w:eastAsia="仿宋_GB2312"/>
          <w:b/>
          <w:color w:val="auto"/>
          <w:sz w:val="32"/>
          <w:szCs w:val="32"/>
          <w:highlight w:val="none"/>
          <w:u w:val="single"/>
        </w:rPr>
        <w:t>日9时30分</w:t>
      </w:r>
      <w:r>
        <w:rPr>
          <w:rStyle w:val="10"/>
          <w:rFonts w:ascii="仿宋_GB2312" w:hAnsi="仿宋_GB2312" w:eastAsia="仿宋_GB2312" w:cs="仿宋_GB2312"/>
          <w:bCs/>
          <w:color w:val="auto"/>
          <w:sz w:val="32"/>
          <w:szCs w:val="32"/>
          <w:highlight w:val="none"/>
        </w:rPr>
        <w:t>前，将响应文件密封提交到北部湾产权交易所集团股份有限公司开标室（南宁市良庆区五象新区凯旋路15号5号楼</w:t>
      </w:r>
      <w:r>
        <w:rPr>
          <w:rStyle w:val="10"/>
          <w:rFonts w:hint="eastAsia" w:ascii="仿宋_GB2312" w:hAnsi="仿宋_GB2312" w:eastAsia="仿宋_GB2312" w:cs="仿宋_GB2312"/>
          <w:bCs/>
          <w:color w:val="auto"/>
          <w:sz w:val="32"/>
          <w:szCs w:val="32"/>
          <w:highlight w:val="none"/>
          <w:lang w:val="en-US" w:eastAsia="zh-CN"/>
        </w:rPr>
        <w:t>8楼</w:t>
      </w:r>
      <w:r>
        <w:rPr>
          <w:rStyle w:val="10"/>
          <w:rFonts w:ascii="仿宋_GB2312" w:hAnsi="仿宋_GB2312" w:eastAsia="仿宋_GB2312" w:cs="仿宋_GB2312"/>
          <w:bCs/>
          <w:color w:val="auto"/>
          <w:sz w:val="32"/>
          <w:szCs w:val="32"/>
          <w:highlight w:val="none"/>
        </w:rPr>
        <w:t>），逾期送达的将予以拒收。</w:t>
      </w:r>
    </w:p>
    <w:p>
      <w:pPr>
        <w:spacing w:line="520" w:lineRule="exact"/>
        <w:ind w:firstLine="643" w:firstLineChars="200"/>
        <w:rPr>
          <w:rStyle w:val="10"/>
          <w:rFonts w:ascii="仿宋_GB2312" w:hAnsi="仿宋_GB2312" w:eastAsia="仿宋_GB2312" w:cs="仿宋_GB2312"/>
          <w:b/>
          <w:bCs/>
          <w:color w:val="auto"/>
          <w:sz w:val="32"/>
          <w:szCs w:val="32"/>
          <w:highlight w:val="none"/>
        </w:rPr>
      </w:pP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十、磋商时间及地点：</w:t>
      </w:r>
      <w:r>
        <w:rPr>
          <w:rStyle w:val="10"/>
          <w:rFonts w:ascii="仿宋_GB2312" w:hAnsi="仿宋_GB2312" w:eastAsia="仿宋_GB2312"/>
          <w:b/>
          <w:color w:val="auto"/>
          <w:sz w:val="32"/>
          <w:szCs w:val="32"/>
          <w:highlight w:val="none"/>
          <w:u w:val="single"/>
        </w:rPr>
        <w:t>2019年10月</w:t>
      </w:r>
      <w:r>
        <w:rPr>
          <w:rStyle w:val="10"/>
          <w:rFonts w:hint="eastAsia" w:ascii="仿宋_GB2312" w:hAnsi="仿宋_GB2312" w:eastAsia="仿宋_GB2312"/>
          <w:b/>
          <w:color w:val="auto"/>
          <w:sz w:val="32"/>
          <w:szCs w:val="32"/>
          <w:highlight w:val="none"/>
          <w:u w:val="single"/>
          <w:lang w:val="en-US" w:eastAsia="zh-CN"/>
        </w:rPr>
        <w:t>28</w:t>
      </w:r>
      <w:r>
        <w:rPr>
          <w:rStyle w:val="10"/>
          <w:rFonts w:ascii="仿宋_GB2312" w:hAnsi="仿宋_GB2312" w:eastAsia="仿宋_GB2312"/>
          <w:b/>
          <w:color w:val="auto"/>
          <w:sz w:val="32"/>
          <w:szCs w:val="32"/>
          <w:highlight w:val="none"/>
          <w:u w:val="single"/>
        </w:rPr>
        <w:t>日9时30分</w:t>
      </w:r>
      <w:r>
        <w:rPr>
          <w:rStyle w:val="10"/>
          <w:rFonts w:ascii="仿宋_GB2312" w:hAnsi="仿宋_GB2312" w:eastAsia="仿宋_GB2312"/>
          <w:color w:val="auto"/>
          <w:sz w:val="32"/>
          <w:szCs w:val="32"/>
          <w:highlight w:val="none"/>
        </w:rPr>
        <w:t>截止后为磋商小组与磋商供应商磋商时间，具体时间由本公司另行通知。地点：南宁市良庆区五象新区凯旋路15号5号楼</w:t>
      </w:r>
      <w:r>
        <w:rPr>
          <w:rStyle w:val="10"/>
          <w:rFonts w:hint="eastAsia" w:ascii="仿宋_GB2312" w:hAnsi="仿宋_GB2312" w:eastAsia="仿宋_GB2312"/>
          <w:color w:val="auto"/>
          <w:sz w:val="32"/>
          <w:szCs w:val="32"/>
          <w:highlight w:val="none"/>
          <w:lang w:val="en-US" w:eastAsia="zh-CN"/>
        </w:rPr>
        <w:t>8楼</w:t>
      </w:r>
      <w:r>
        <w:rPr>
          <w:rStyle w:val="10"/>
          <w:rFonts w:ascii="仿宋_GB2312" w:hAnsi="仿宋_GB2312" w:eastAsia="仿宋_GB2312"/>
          <w:color w:val="auto"/>
          <w:sz w:val="32"/>
          <w:szCs w:val="32"/>
          <w:highlight w:val="none"/>
        </w:rPr>
        <w:t>，</w:t>
      </w:r>
      <w:r>
        <w:rPr>
          <w:rStyle w:val="10"/>
          <w:rFonts w:ascii="仿宋_GB2312" w:hAnsi="仿宋_GB2312" w:eastAsia="仿宋_GB2312" w:cs="仿宋_GB2312"/>
          <w:bCs/>
          <w:color w:val="auto"/>
          <w:sz w:val="32"/>
          <w:szCs w:val="32"/>
          <w:highlight w:val="none"/>
        </w:rPr>
        <w:t>北部湾产权交易所集团股份有限公司</w:t>
      </w:r>
      <w:r>
        <w:rPr>
          <w:rStyle w:val="10"/>
          <w:rFonts w:ascii="仿宋_GB2312" w:hAnsi="仿宋_GB2312" w:eastAsia="仿宋_GB2312"/>
          <w:color w:val="auto"/>
          <w:sz w:val="32"/>
          <w:szCs w:val="32"/>
          <w:highlight w:val="none"/>
        </w:rPr>
        <w:t>评审室，参加磋商的法定代表人或委托代理人必须持有效证件[法定代表人凭身份证或委托代理人凭法人授权委托书原件和身份证]依时到达指定地点等候当面磋商。</w:t>
      </w:r>
    </w:p>
    <w:p>
      <w:pPr>
        <w:numPr>
          <w:ilvl w:val="0"/>
          <w:numId w:val="3"/>
        </w:num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联系事项：</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1、采购人名称：</w:t>
      </w:r>
      <w:r>
        <w:rPr>
          <w:rStyle w:val="10"/>
          <w:rFonts w:ascii="仿宋_GB2312" w:hAnsi="仿宋_GB2312" w:eastAsia="仿宋_GB2312"/>
          <w:color w:val="auto"/>
          <w:sz w:val="32"/>
          <w:szCs w:val="32"/>
          <w:highlight w:val="none"/>
          <w:u w:val="single"/>
        </w:rPr>
        <w:t>广西壮族自治区国有资产监督管理委员会</w:t>
      </w:r>
    </w:p>
    <w:p>
      <w:pPr>
        <w:snapToGrid w:val="0"/>
        <w:spacing w:line="520" w:lineRule="exact"/>
        <w:ind w:firstLine="960" w:firstLineChars="300"/>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地址：</w:t>
      </w:r>
      <w:r>
        <w:rPr>
          <w:rStyle w:val="10"/>
          <w:rFonts w:ascii="仿宋_GB2312" w:hAnsi="仿宋_GB2312" w:eastAsia="仿宋_GB2312"/>
          <w:color w:val="auto"/>
          <w:sz w:val="32"/>
          <w:szCs w:val="32"/>
          <w:highlight w:val="none"/>
          <w:u w:val="single"/>
        </w:rPr>
        <w:t xml:space="preserve">广西南宁市桃源路3号 </w:t>
      </w:r>
    </w:p>
    <w:p>
      <w:pPr>
        <w:snapToGrid w:val="0"/>
        <w:spacing w:line="520" w:lineRule="exact"/>
        <w:ind w:firstLine="960" w:firstLineChars="3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联系人及电话：</w:t>
      </w:r>
      <w:r>
        <w:rPr>
          <w:rStyle w:val="10"/>
          <w:rFonts w:ascii="仿宋_GB2312" w:hAnsi="仿宋_GB2312" w:eastAsia="仿宋_GB2312"/>
          <w:color w:val="auto"/>
          <w:sz w:val="32"/>
          <w:szCs w:val="32"/>
          <w:highlight w:val="none"/>
          <w:u w:val="single"/>
        </w:rPr>
        <w:t xml:space="preserve"> </w:t>
      </w:r>
      <w:r>
        <w:rPr>
          <w:rStyle w:val="10"/>
          <w:rFonts w:hint="eastAsia" w:ascii="仿宋_GB2312" w:hAnsi="仿宋_GB2312" w:eastAsia="仿宋_GB2312"/>
          <w:color w:val="auto"/>
          <w:sz w:val="32"/>
          <w:szCs w:val="32"/>
          <w:highlight w:val="none"/>
          <w:u w:val="single"/>
          <w:lang w:val="en-US" w:eastAsia="zh-CN"/>
        </w:rPr>
        <w:t>蒙玲</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w:t>
      </w:r>
      <w:r>
        <w:rPr>
          <w:rStyle w:val="10"/>
          <w:rFonts w:ascii="仿宋_GB2312" w:hAnsi="仿宋_GB2312" w:eastAsia="仿宋_GB2312"/>
          <w:color w:val="auto"/>
          <w:sz w:val="32"/>
          <w:szCs w:val="32"/>
          <w:highlight w:val="none"/>
          <w:u w:val="single"/>
        </w:rPr>
        <w:t xml:space="preserve"> 0771-</w:t>
      </w:r>
      <w:r>
        <w:rPr>
          <w:rStyle w:val="10"/>
          <w:rFonts w:hint="eastAsia" w:ascii="仿宋_GB2312" w:hAnsi="仿宋_GB2312" w:eastAsia="仿宋_GB2312"/>
          <w:color w:val="auto"/>
          <w:sz w:val="32"/>
          <w:szCs w:val="32"/>
          <w:highlight w:val="none"/>
          <w:u w:val="single"/>
          <w:lang w:val="en-US" w:eastAsia="zh-CN"/>
        </w:rPr>
        <w:t>5891159</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w:t>
      </w:r>
    </w:p>
    <w:p>
      <w:pPr>
        <w:snapToGrid w:val="0"/>
        <w:spacing w:line="520" w:lineRule="exact"/>
        <w:ind w:firstLine="640" w:firstLineChars="200"/>
        <w:rPr>
          <w:rStyle w:val="10"/>
          <w:rFonts w:ascii="仿宋_GB2312" w:hAnsi="仿宋_GB2312" w:eastAsia="仿宋_GB2312"/>
          <w:color w:val="auto"/>
          <w:sz w:val="32"/>
          <w:szCs w:val="32"/>
          <w:highlight w:val="none"/>
        </w:rPr>
      </w:pP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2、采购代理机构：北部湾产权交易所集团股份有限公司</w:t>
      </w:r>
    </w:p>
    <w:p>
      <w:pPr>
        <w:snapToGrid w:val="0"/>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地 址：南宁市良庆区五象新区凯旋路15号南宁绿地中心5号楼              </w:t>
      </w:r>
    </w:p>
    <w:p>
      <w:pPr>
        <w:snapToGrid w:val="0"/>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项目联系人及电话：贾经理，0771-5585031</w:t>
      </w:r>
    </w:p>
    <w:p>
      <w:pPr>
        <w:numPr>
          <w:ilvl w:val="0"/>
          <w:numId w:val="4"/>
        </w:num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监督部门:广西区财政厅政府采购监督管理处，电话：0771-5339851。</w:t>
      </w:r>
    </w:p>
    <w:p>
      <w:pPr>
        <w:snapToGrid w:val="0"/>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十二、网上查询地址：</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中国政府采购网（www.ccgp.gov.cn）、广西壮族自治区政府采购网（www.gxzfcg.gov.cn）、北部湾产权交易所集团股份有限公司官网（www.bbwcq.com）</w:t>
      </w:r>
    </w:p>
    <w:p>
      <w:pPr>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w:t>
      </w:r>
    </w:p>
    <w:p>
      <w:pPr>
        <w:spacing w:line="520" w:lineRule="exact"/>
        <w:jc w:val="center"/>
        <w:rPr>
          <w:rStyle w:val="10"/>
          <w:rFonts w:ascii="仿宋_GB2312" w:hAnsi="仿宋_GB2312" w:eastAsia="仿宋_GB2312"/>
          <w:color w:val="auto"/>
          <w:sz w:val="32"/>
          <w:szCs w:val="32"/>
          <w:highlight w:val="none"/>
        </w:rPr>
      </w:pPr>
    </w:p>
    <w:p>
      <w:pPr>
        <w:spacing w:line="52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color w:val="auto"/>
          <w:sz w:val="32"/>
          <w:szCs w:val="32"/>
          <w:highlight w:val="none"/>
        </w:rPr>
        <w:t xml:space="preserve">                        北部湾产权交易所集团股份有限公司</w:t>
      </w:r>
      <w:r>
        <w:rPr>
          <w:rStyle w:val="10"/>
          <w:rFonts w:ascii="仿宋_GB2312" w:hAnsi="仿宋_GB2312" w:eastAsia="仿宋_GB2312"/>
          <w:b/>
          <w:color w:val="auto"/>
          <w:sz w:val="32"/>
          <w:szCs w:val="32"/>
          <w:highlight w:val="none"/>
        </w:rPr>
        <w:t xml:space="preserve">       </w:t>
      </w:r>
    </w:p>
    <w:p>
      <w:pPr>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 xml:space="preserve">                                </w:t>
      </w:r>
      <w:r>
        <w:rPr>
          <w:rStyle w:val="10"/>
          <w:rFonts w:ascii="仿宋_GB2312" w:hAnsi="仿宋_GB2312" w:eastAsia="仿宋_GB2312"/>
          <w:color w:val="auto"/>
          <w:sz w:val="32"/>
          <w:szCs w:val="32"/>
          <w:highlight w:val="none"/>
        </w:rPr>
        <w:t>2019年10月</w:t>
      </w:r>
      <w:r>
        <w:rPr>
          <w:rStyle w:val="10"/>
          <w:rFonts w:hint="eastAsia" w:ascii="仿宋_GB2312" w:hAnsi="仿宋_GB2312" w:eastAsia="仿宋_GB2312"/>
          <w:color w:val="auto"/>
          <w:sz w:val="32"/>
          <w:szCs w:val="32"/>
          <w:highlight w:val="none"/>
          <w:lang w:val="en-US" w:eastAsia="zh-CN"/>
        </w:rPr>
        <w:t>16</w:t>
      </w:r>
      <w:r>
        <w:rPr>
          <w:rStyle w:val="10"/>
          <w:rFonts w:ascii="仿宋_GB2312" w:hAnsi="仿宋_GB2312" w:eastAsia="仿宋_GB2312"/>
          <w:color w:val="auto"/>
          <w:sz w:val="32"/>
          <w:szCs w:val="32"/>
          <w:highlight w:val="none"/>
        </w:rPr>
        <w:t>日</w:t>
      </w:r>
    </w:p>
    <w:p>
      <w:pPr>
        <w:spacing w:line="520" w:lineRule="exact"/>
        <w:jc w:val="center"/>
        <w:rPr>
          <w:rStyle w:val="10"/>
          <w:rFonts w:ascii="黑体" w:hAnsi="宋体" w:eastAsia="黑体"/>
          <w:b/>
          <w:color w:val="auto"/>
          <w:sz w:val="32"/>
          <w:szCs w:val="32"/>
          <w:highlight w:val="none"/>
        </w:rPr>
      </w:pPr>
    </w:p>
    <w:p>
      <w:pPr>
        <w:spacing w:line="520" w:lineRule="exact"/>
        <w:jc w:val="center"/>
        <w:rPr>
          <w:rStyle w:val="10"/>
          <w:rFonts w:ascii="仿宋_GB2312" w:hAnsi="宋体" w:eastAsia="仿宋_GB2312"/>
          <w:b/>
          <w:color w:val="auto"/>
          <w:sz w:val="32"/>
          <w:szCs w:val="32"/>
          <w:highlight w:val="none"/>
        </w:rPr>
      </w:pPr>
    </w:p>
    <w:p>
      <w:pPr>
        <w:spacing w:line="52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600" w:lineRule="exact"/>
        <w:jc w:val="center"/>
        <w:rPr>
          <w:rStyle w:val="10"/>
          <w:rFonts w:ascii="方正小标宋简体" w:hAnsi="方正小标宋简体" w:eastAsia="方正小标宋简体" w:cs="方正小标宋简体"/>
          <w:bCs/>
          <w:color w:val="auto"/>
          <w:sz w:val="44"/>
          <w:szCs w:val="44"/>
          <w:highlight w:val="none"/>
        </w:rPr>
      </w:pPr>
      <w:r>
        <w:rPr>
          <w:rStyle w:val="10"/>
          <w:rFonts w:ascii="方正小标宋简体" w:hAnsi="方正小标宋简体" w:eastAsia="方正小标宋简体" w:cs="方正小标宋简体"/>
          <w:bCs/>
          <w:color w:val="auto"/>
          <w:sz w:val="44"/>
          <w:szCs w:val="44"/>
          <w:highlight w:val="none"/>
        </w:rPr>
        <w:t>第二章  磋商供应商须知</w:t>
      </w:r>
    </w:p>
    <w:p>
      <w:pPr>
        <w:spacing w:line="400" w:lineRule="exact"/>
        <w:jc w:val="center"/>
        <w:rPr>
          <w:rStyle w:val="10"/>
          <w:rFonts w:ascii="仿宋_GB2312" w:hAnsi="宋体" w:eastAsia="仿宋_GB2312"/>
          <w:b/>
          <w:color w:val="auto"/>
          <w:sz w:val="32"/>
          <w:szCs w:val="32"/>
          <w:highlight w:val="none"/>
        </w:rPr>
      </w:pPr>
    </w:p>
    <w:p>
      <w:pPr>
        <w:spacing w:line="400" w:lineRule="exact"/>
        <w:jc w:val="center"/>
        <w:rPr>
          <w:rStyle w:val="10"/>
          <w:rFonts w:ascii="仿宋_GB2312" w:hAnsi="宋体" w:eastAsia="仿宋_GB2312"/>
          <w:b/>
          <w:color w:val="auto"/>
          <w:sz w:val="32"/>
          <w:szCs w:val="32"/>
          <w:highlight w:val="none"/>
        </w:rPr>
      </w:pPr>
    </w:p>
    <w:p>
      <w:pPr>
        <w:spacing w:line="52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磋商供应商须知前附表</w:t>
      </w:r>
    </w:p>
    <w:tbl>
      <w:tblPr>
        <w:tblStyle w:val="7"/>
        <w:tblpPr w:leftFromText="180" w:rightFromText="180" w:vertAnchor="text" w:horzAnchor="page" w:tblpX="1140" w:tblpY="383"/>
        <w:tblOverlap w:val="never"/>
        <w:tblW w:w="97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5"/>
        <w:gridCol w:w="1101"/>
        <w:gridCol w:w="8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625" w:type="dxa"/>
            <w:tcBorders>
              <w:top w:val="single" w:color="000000" w:sz="4" w:space="0"/>
              <w:left w:val="single" w:color="000000" w:sz="4" w:space="0"/>
              <w:bottom w:val="single" w:color="000000" w:sz="4" w:space="0"/>
              <w:right w:val="single" w:color="000000" w:sz="4" w:space="0"/>
            </w:tcBorders>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序号</w:t>
            </w:r>
          </w:p>
        </w:tc>
        <w:tc>
          <w:tcPr>
            <w:tcW w:w="1101" w:type="dxa"/>
            <w:tcBorders>
              <w:top w:val="single" w:color="000000" w:sz="4" w:space="0"/>
              <w:left w:val="single" w:color="000000" w:sz="4" w:space="0"/>
              <w:bottom w:val="single" w:color="000000" w:sz="4" w:space="0"/>
              <w:right w:val="single" w:color="000000" w:sz="4" w:space="0"/>
            </w:tcBorders>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条款号</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1.1</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项目名称：2019年企业投资项目后评价服务采购</w:t>
            </w:r>
          </w:p>
          <w:p>
            <w:pPr>
              <w:pStyle w:val="54"/>
              <w:spacing w:line="520" w:lineRule="exact"/>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项目编号：</w:t>
            </w:r>
            <w:r>
              <w:rPr>
                <w:rStyle w:val="10"/>
                <w:rFonts w:hint="eastAsia" w:ascii="仿宋_GB2312" w:hAnsi="仿宋_GB2312" w:eastAsia="仿宋_GB2312"/>
                <w:color w:val="auto"/>
                <w:sz w:val="32"/>
                <w:szCs w:val="32"/>
                <w:highlight w:val="none"/>
              </w:rPr>
              <w:t>GXZC2019-C3-27497-BEEG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6"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ind w:left="-36" w:firstLine="36"/>
              <w:rPr>
                <w:rStyle w:val="10"/>
                <w:rFonts w:ascii="仿宋_GB2312" w:hAnsi="仿宋_GB2312" w:eastAsia="仿宋_GB2312"/>
                <w:color w:val="auto"/>
                <w:sz w:val="32"/>
                <w:szCs w:val="32"/>
                <w:highlight w:val="none"/>
              </w:rPr>
            </w:pPr>
            <w:r>
              <w:rPr>
                <w:rStyle w:val="10"/>
                <w:rFonts w:hint="eastAsia" w:ascii="仿宋_GB2312" w:hAnsi="仿宋_GB2312" w:eastAsia="仿宋_GB2312"/>
                <w:color w:val="auto"/>
                <w:sz w:val="32"/>
                <w:szCs w:val="32"/>
                <w:highlight w:val="none"/>
              </w:rPr>
              <w:t>磋商供应商资格要求</w:t>
            </w:r>
            <w:r>
              <w:rPr>
                <w:rStyle w:val="10"/>
                <w:rFonts w:ascii="仿宋_GB2312" w:hAnsi="仿宋_GB2312" w:eastAsia="仿宋_GB2312"/>
                <w:color w:val="auto"/>
                <w:sz w:val="32"/>
                <w:szCs w:val="32"/>
                <w:highlight w:val="none"/>
              </w:rPr>
              <w:t>：</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3.1具备《中华人民共和国政府采购法》第二十二条规定的条件；</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3.2国内注册（指按国家有关规定要求注册的）具有独立法人资格的供应商；</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3.3本项目不接受联合体磋商。</w:t>
            </w:r>
          </w:p>
          <w:p>
            <w:pPr>
              <w:pStyle w:val="54"/>
              <w:spacing w:line="520" w:lineRule="exact"/>
              <w:ind w:left="-36" w:firstLine="36"/>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3.4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或中国政府采购网（www.ccgp.gov.cn）查询相关供应商主体信用记录，在响应文件中将查询结果截图加盖单位公章如实报告磋商判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6"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7.4</w:t>
            </w:r>
          </w:p>
        </w:tc>
        <w:tc>
          <w:tcPr>
            <w:tcW w:w="8051" w:type="dxa"/>
            <w:tcBorders>
              <w:top w:val="single" w:color="000000" w:sz="4" w:space="0"/>
              <w:left w:val="single" w:color="000000" w:sz="4" w:space="0"/>
              <w:bottom w:val="single" w:color="000000" w:sz="4" w:space="0"/>
              <w:right w:val="single" w:color="000000" w:sz="4" w:space="0"/>
            </w:tcBorders>
            <w:vAlign w:val="center"/>
          </w:tcPr>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报价：磋商供应商可就《采购需求》中所有的服务内容作完整唯一报价。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8.2</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26"/>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响应文件：正本一份  副本四份，竞争性磋商响应文件电子光盘1份(光盘封面请注明项目名称、项目编号及磋商人名称)。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9.1</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b/>
                <w:color w:val="auto"/>
                <w:sz w:val="32"/>
                <w:szCs w:val="32"/>
                <w:highlight w:val="none"/>
              </w:rPr>
              <w:t>响应文件递交截止时间：</w:t>
            </w:r>
            <w:r>
              <w:rPr>
                <w:rStyle w:val="10"/>
                <w:rFonts w:ascii="仿宋_GB2312" w:hAnsi="仿宋_GB2312" w:eastAsia="仿宋_GB2312" w:cs="仿宋_GB2312"/>
                <w:bCs/>
                <w:color w:val="auto"/>
                <w:sz w:val="32"/>
                <w:szCs w:val="32"/>
                <w:highlight w:val="none"/>
              </w:rPr>
              <w:t>详见本项目竞争性磋商公告</w:t>
            </w:r>
          </w:p>
          <w:p>
            <w:pPr>
              <w:pStyle w:val="26"/>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地址：</w:t>
            </w:r>
            <w:r>
              <w:rPr>
                <w:rStyle w:val="10"/>
                <w:rFonts w:ascii="仿宋_GB2312" w:hAnsi="仿宋_GB2312" w:eastAsia="仿宋_GB2312" w:cs="仿宋_GB2312"/>
                <w:bCs/>
                <w:color w:val="auto"/>
                <w:sz w:val="32"/>
                <w:szCs w:val="32"/>
                <w:highlight w:val="none"/>
              </w:rPr>
              <w:t>详见本项目竞争性磋商公告</w:t>
            </w:r>
            <w:r>
              <w:rPr>
                <w:rStyle w:val="10"/>
                <w:rFonts w:ascii="仿宋_GB2312" w:hAnsi="仿宋_GB2312" w:eastAsia="仿宋_GB2312"/>
                <w:color w:val="auto"/>
                <w:sz w:val="32"/>
                <w:szCs w:val="3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5"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6</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26"/>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9.2</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响应文件有效期：响应文件递交截止日期后六十日。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7</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11.0</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26"/>
              <w:spacing w:line="520" w:lineRule="exact"/>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olor w:val="auto"/>
                <w:sz w:val="32"/>
                <w:szCs w:val="32"/>
                <w:highlight w:val="none"/>
              </w:rPr>
              <w:t>保证金（人民币）：</w:t>
            </w:r>
            <w:r>
              <w:rPr>
                <w:rStyle w:val="10"/>
                <w:rFonts w:ascii="仿宋_GB2312" w:hAnsi="仿宋_GB2312" w:eastAsia="仿宋_GB2312" w:cs="仿宋_GB2312"/>
                <w:bCs/>
                <w:color w:val="auto"/>
                <w:sz w:val="32"/>
                <w:szCs w:val="32"/>
                <w:highlight w:val="none"/>
              </w:rPr>
              <w:t>详见本项目竞争性磋商公告。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8</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12.1</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磋商时间：详见本项目竞争性磋商公告</w:t>
            </w:r>
          </w:p>
          <w:p>
            <w:pPr>
              <w:pStyle w:val="54"/>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s="仿宋_GB2312"/>
                <w:b/>
                <w:bCs/>
                <w:color w:val="auto"/>
                <w:sz w:val="32"/>
                <w:szCs w:val="32"/>
                <w:highlight w:val="none"/>
              </w:rPr>
              <w:t>磋商地点：截标时另行通知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9</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12.6</w:t>
            </w:r>
          </w:p>
        </w:tc>
        <w:tc>
          <w:tcPr>
            <w:tcW w:w="805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评审方法：</w:t>
            </w:r>
            <w:r>
              <w:rPr>
                <w:rStyle w:val="10"/>
                <w:rFonts w:ascii="仿宋_GB2312" w:hAnsi="仿宋_GB2312" w:eastAsia="仿宋_GB2312" w:cs="仿宋_GB2312"/>
                <w:bCs/>
                <w:color w:val="auto"/>
                <w:sz w:val="32"/>
                <w:szCs w:val="32"/>
                <w:highlight w:val="none"/>
              </w:rPr>
              <w:t>百分制综合评分法</w:t>
            </w:r>
            <w:r>
              <w:rPr>
                <w:rStyle w:val="10"/>
                <w:rFonts w:ascii="仿宋_GB2312" w:hAnsi="仿宋_GB2312" w:eastAsia="仿宋_GB2312"/>
                <w:color w:val="auto"/>
                <w:sz w:val="32"/>
                <w:szCs w:val="32"/>
                <w:highlight w:val="none"/>
              </w:rPr>
              <w:t>（详细见第六章）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10</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54"/>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17.2.1</w:t>
            </w:r>
          </w:p>
        </w:tc>
        <w:tc>
          <w:tcPr>
            <w:tcW w:w="8051" w:type="dxa"/>
            <w:tcBorders>
              <w:top w:val="single" w:color="000000" w:sz="4" w:space="0"/>
              <w:left w:val="single" w:color="000000" w:sz="4" w:space="0"/>
              <w:bottom w:val="single" w:color="000000" w:sz="4" w:space="0"/>
              <w:right w:val="single" w:color="000000" w:sz="4" w:space="0"/>
            </w:tcBorders>
            <w:vAlign w:val="center"/>
          </w:tcPr>
          <w:p>
            <w:pPr>
              <w:snapToGrid w:val="0"/>
              <w:spacing w:line="410" w:lineRule="exact"/>
              <w:textAlignment w:val="bottom"/>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按国家发展计划委员会《招标代理服务费管理暂行办法》（计价格[2002]1980号）服务招标类收费标准向采购业主收取,评委评审费向采购业主收取。</w:t>
            </w:r>
          </w:p>
          <w:p>
            <w:pPr>
              <w:snapToGrid w:val="0"/>
              <w:spacing w:line="410" w:lineRule="exact"/>
              <w:textAlignment w:val="bottom"/>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本项目代理服务费服务类型：服务招标</w:t>
            </w:r>
          </w:p>
          <w:p>
            <w:pPr>
              <w:pStyle w:val="26"/>
              <w:snapToGrid w:val="0"/>
              <w:spacing w:line="410" w:lineRule="exact"/>
              <w:ind w:firstLine="627" w:firstLineChars="196"/>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代理服务费收费标准：</w:t>
            </w:r>
          </w:p>
          <w:tbl>
            <w:tblPr>
              <w:tblStyle w:val="7"/>
              <w:tblW w:w="7348"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62"/>
              <w:gridCol w:w="1486"/>
              <w:gridCol w:w="1490"/>
              <w:gridCol w:w="1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8" w:hRule="atLeast"/>
              </w:trPr>
              <w:tc>
                <w:tcPr>
                  <w:tcW w:w="2862" w:type="dxa"/>
                  <w:tcBorders>
                    <w:top w:val="single" w:color="000000" w:sz="4" w:space="0"/>
                    <w:left w:val="single" w:color="000000" w:sz="4" w:space="0"/>
                    <w:bottom w:val="single" w:color="000000" w:sz="4" w:space="0"/>
                    <w:right w:val="single" w:color="000000" w:sz="4" w:space="0"/>
                  </w:tcBorders>
                </w:tcPr>
                <w:p>
                  <w:pPr>
                    <w:pStyle w:val="26"/>
                    <w:spacing w:line="370" w:lineRule="exact"/>
                    <w:ind w:left="1277" w:leftChars="608" w:firstLine="630" w:firstLineChars="300"/>
                    <w:rPr>
                      <w:rStyle w:val="10"/>
                      <w:rFonts w:ascii="仿宋_GB2312" w:hAnsi="仿宋_GB2312" w:eastAsia="仿宋_GB2312"/>
                      <w:color w:val="auto"/>
                      <w:sz w:val="32"/>
                      <w:szCs w:val="32"/>
                      <w:highlight w:val="none"/>
                    </w:rPr>
                  </w:pPr>
                  <w:r>
                    <w:rPr>
                      <w:rStyle w:val="10"/>
                      <w:color w:val="auto"/>
                      <w:highlight w:val="none"/>
                    </w:rPr>
                    <mc:AlternateContent>
                      <mc:Choice Requires="wps">
                        <w:drawing>
                          <wp:anchor distT="0" distB="0" distL="114300" distR="114300" simplePos="0" relativeHeight="25165619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自选图形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 name="A3" fmla="val 0"/>
                                      </a:gdLst>
                                      <a:ahLst/>
                                      <a:cxnLst/>
                                      <a:pathLst/>
                                    </a:custGeom>
                                    <a:noFill/>
                                    <a:ln>
                                      <a:noFill/>
                                    </a:ln>
                                  </wps:spPr>
                                  <wps:bodyPr upright="1"/>
                                </wps:wsp>
                              </a:graphicData>
                            </a:graphic>
                          </wp:anchor>
                        </w:drawing>
                      </mc:Choice>
                      <mc:Fallback>
                        <w:pict>
                          <v:shape id="自选图形 18" o:spid="_x0000_s1026" o:spt="100" style="position:absolute;left:0pt;margin-left:0pt;margin-top:0pt;height:50pt;width:50pt;visibility:hidden;z-index:251656192;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Q0UcxMQBAAChAwAADgAAAGRycy9lMm9Eb2MueG1srVNLbhQxEN0j5Q6W&#10;9xn3TESEWtMTIUVhE0GkgQM4/nRb+CfbM92zY4c4AzuW3AFuEwluQdnT3flJLBAby64qv6r3nr2+&#10;GIxGexGicrbBy0WFkbDMcWXbBn94f3X6CqOYqOVUOysafBARX2xOXqx7X4uV65zmIiAAsbHufYO7&#10;lHxNSGSdMDQunBcWktIFQxMcQ0t4oD2gG01WVXVOehe4D46JGCF6eUziTcGXUrD0TsooEtINhtlS&#10;WUNZb/NKNmtat4H6TrFxDPoPUxiqLDSdoS5pomgX1DMoo1hw0cm0YM4QJ6VionAANsvqCZttR70o&#10;XECc6GeZ4v+DZW/3NwEpDt5hZKkBi359/v7705e7rz/vfnxDS/CvU5yL7G5Wq/exhktbfxMy3+iv&#10;HfsYkXVboUHtsYo8KsuHOF4YZDD5IlBHQ/HhMPsghoQYBM/PXlYVuMUgNe6hM6H1dJntYnojXAGi&#10;++uYjjZy2BUT+EjlNZCSRoOje6rR5PacXf01e/YsCxO0Uw/aTW3ZYKetp2kMQ+nDIa27UlqXKbXN&#10;I84BKMyRIthRo6zWreMH8GXng2q7R6LCOyhSjG82P7SH54J0/7M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mP3XpzwAAAAUBAAAPAAAAAAAAAAEAIAAAACIAAABkcnMvZG93bnJldi54bWxQSwEC&#10;FAAUAAAACACHTuJAQ0UcxMQBAAChAwAADgAAAAAAAAABACAAAAAeAQAAZHJzL2Uyb0RvYy54bWxQ&#10;SwUGAAAAAAYABgBZAQAAVAUAAAAA&#10;">
                            <v:fill on="f" focussize="0,0"/>
                            <v:stroke on="f"/>
                            <v:imagedata o:title=""/>
                            <o:lock v:ext="edit" selection="t" aspectratio="f"/>
                          </v:shape>
                        </w:pict>
                      </mc:Fallback>
                    </mc:AlternateContent>
                  </w:r>
                  <w:r>
                    <w:rPr>
                      <w:rStyle w:val="10"/>
                      <w:color w:val="auto"/>
                      <w:highlight w:val="none"/>
                    </w:rPr>
                    <mc:AlternateContent>
                      <mc:Choice Requires="wps">
                        <w:drawing>
                          <wp:anchor distT="0" distB="0" distL="114300" distR="114300" simplePos="0" relativeHeight="251657216" behindDoc="0" locked="0" layoutInCell="1" allowOverlap="1">
                            <wp:simplePos x="0" y="0"/>
                            <wp:positionH relativeFrom="column">
                              <wp:posOffset>-64135</wp:posOffset>
                            </wp:positionH>
                            <wp:positionV relativeFrom="paragraph">
                              <wp:posOffset>-3175</wp:posOffset>
                            </wp:positionV>
                            <wp:extent cx="1801495" cy="993140"/>
                            <wp:effectExtent l="2540" t="4445" r="5715" b="12065"/>
                            <wp:wrapNone/>
                            <wp:docPr id="2" name="直线 14"/>
                            <wp:cNvGraphicFramePr/>
                            <a:graphic xmlns:a="http://schemas.openxmlformats.org/drawingml/2006/main">
                              <a:graphicData uri="http://schemas.microsoft.com/office/word/2010/wordprocessingShape">
                                <wps:wsp>
                                  <wps:cNvCnPr/>
                                  <wps:spPr>
                                    <a:xfrm>
                                      <a:off x="0" y="0"/>
                                      <a:ext cx="1801495" cy="9931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5.05pt;margin-top:-0.25pt;height:78.2pt;width:141.85pt;z-index:251657216;mso-width-relative:page;mso-height-relative:page;" filled="f" stroked="t" coordsize="21600,21600" o:gfxdata="UEsDBAoAAAAAAIdO4kAAAAAAAAAAAAAAAAAEAAAAZHJzL1BLAwQUAAAACACHTuJAzXeNWNcAAAAJ&#10;AQAADwAAAGRycy9kb3ducmV2LnhtbE2PPU/DQAyGdyT+w8lILFV7l1QpEHLpAGRjoYBY3cQkETlf&#10;mrt+wK/HTGWz9T56/bhYn9ygDjSF3rOFZGFAEde+6bm18PZazW9BhYjc4OCZLHxTgHV5eVFg3vgj&#10;v9BhE1slJRxytNDFOOZah7ojh2HhR2LJPv3kMMo6tbqZ8CjlbtCpMSvtsGe50OFIDx3VX5u9sxCq&#10;d9pVP7N6Zj6Wrad09/j8hNZeXyXmHlSkUzzD8Kcv6lCK09bvuQlqsDBPTCKoDBkoydOb5QrUVsAs&#10;uwNdFvr/B+UvUEsDBBQAAAAIAIdO4kCf9nlW1AEAAJMDAAAOAAAAZHJzL2Uyb0RvYy54bWytU0uO&#10;EzEQ3SNxB8t70t0hgyatdGYxYdggiAQcoGK7uy35J5cnnZyFa7Biw3HmGpSdkOGzGY3Iwim7yq/e&#10;e65e3RysYXsVUXvX8WZWc6ac8FK7oeNfPt+9uuYMEzgJxjvV8aNCfrN++WI1hVbN/eiNVJERiMN2&#10;Ch0fUwptVaEYlQWc+aAcJXsfLSTaxqGSESZCt6aa1/WbavJRhuiFQqTTzSnJ1wW/75VIH/seVWKm&#10;48QtlTWWdZfXar2CdogQRi3ONOAZLCxoR00vUBtIwO6j/gfKahE9+j7NhLeV73stVNFAapr6LzWf&#10;RgiqaCFzMFxswv8HKz7st5Fp2fE5Zw4sPdHD128P33+wZpHNmQK2VHPrtvG8w7CNWemhjzb/kwZ2&#10;KIYeL4aqQ2KCDpvrulksrzgTlFsuXzeL4nj1eDtETO+UtywHHTfaZcHQwv49JupIpb9K8rFxbCKk&#10;q3nGBJqX3kCi0AZSgG4od9EbLe+0MfkGxmF3ayLbQ56A8su6CPePstxkAzie6krqNBujAvnWSZaO&#10;gbxxNMQ8U7BKcmYUzXyOCBDaBNo8pZJaG0cMsrUnM3O08/JIL3Efoh5GcqIpLHOGXr7wPU9pHq3f&#10;9wXp8Vta/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Nd41Y1wAAAAkBAAAPAAAAAAAAAAEAIAAA&#10;ACIAAABkcnMvZG93bnJldi54bWxQSwECFAAUAAAACACHTuJAn/Z5VtQBAACTAwAADgAAAAAAAAAB&#10;ACAAAAAmAQAAZHJzL2Uyb0RvYy54bWxQSwUGAAAAAAYABgBZAQAAbAUAAAAA&#10;">
                            <v:fill on="f" focussize="0,0"/>
                            <v:stroke color="#000000" joinstyle="round"/>
                            <v:imagedata o:title=""/>
                            <o:lock v:ext="edit" aspectratio="f"/>
                          </v:line>
                        </w:pict>
                      </mc:Fallback>
                    </mc:AlternateContent>
                  </w:r>
                  <w:r>
                    <w:rPr>
                      <w:rStyle w:val="10"/>
                      <w:rFonts w:ascii="仿宋_GB2312" w:hAnsi="仿宋_GB2312" w:eastAsia="仿宋_GB2312"/>
                      <w:color w:val="auto"/>
                      <w:sz w:val="32"/>
                      <w:szCs w:val="32"/>
                      <w:highlight w:val="none"/>
                    </w:rPr>
                    <w:t xml:space="preserve">  服务类型</w:t>
                  </w:r>
                </w:p>
                <w:p>
                  <w:pPr>
                    <w:pStyle w:val="26"/>
                    <w:spacing w:line="370" w:lineRule="exact"/>
                    <w:ind w:firstLine="210" w:firstLineChars="100"/>
                    <w:rPr>
                      <w:rStyle w:val="10"/>
                      <w:rFonts w:ascii="仿宋_GB2312" w:hAnsi="仿宋_GB2312" w:eastAsia="仿宋_GB2312"/>
                      <w:color w:val="auto"/>
                      <w:sz w:val="32"/>
                      <w:szCs w:val="32"/>
                      <w:highlight w:val="none"/>
                    </w:rPr>
                  </w:pPr>
                  <w:r>
                    <w:rPr>
                      <w:rStyle w:val="10"/>
                      <w:color w:val="auto"/>
                      <w:highlight w:val="none"/>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137160</wp:posOffset>
                            </wp:positionV>
                            <wp:extent cx="1800225" cy="495300"/>
                            <wp:effectExtent l="1270" t="4445" r="8255" b="14605"/>
                            <wp:wrapNone/>
                            <wp:docPr id="3" name="直线 15"/>
                            <wp:cNvGraphicFramePr/>
                            <a:graphic xmlns:a="http://schemas.openxmlformats.org/drawingml/2006/main">
                              <a:graphicData uri="http://schemas.microsoft.com/office/word/2010/wordprocessingShape">
                                <wps:wsp>
                                  <wps:cNvCnPr/>
                                  <wps:spPr>
                                    <a:xfrm>
                                      <a:off x="0" y="0"/>
                                      <a:ext cx="1800225"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3.9pt;margin-top:10.8pt;height:39pt;width:141.75pt;z-index:251658240;mso-width-relative:page;mso-height-relative:page;" filled="f" stroked="t" coordsize="21600,21600" o:gfxdata="UEsDBAoAAAAAAIdO4kAAAAAAAAAAAAAAAAAEAAAAZHJzL1BLAwQUAAAACACHTuJAcKMvkdcAAAAI&#10;AQAADwAAAGRycy9kb3ducmV2LnhtbE2PzU7DMBCE70i8g7VIXKrWThBJG7LpAciNCwXUqxsvSUS8&#10;TmP3B54ecyrH0YxmvinXZzuII02+d4yQLBQI4saZnluE97d6vgThg2ajB8eE8E0e1tX1VakL4078&#10;SsdNaEUsYV9ohC6EsZDSNx1Z7RduJI7ep5usDlFOrTSTPsVyO8hUqUxa3XNc6PRIjx01X5uDRfD1&#10;B+3rn1kzU9u71lG6f3p51oi3N4l6ABHoHC5h+MOP6FBFpp07sPFiQJjnkTwgpEkGIvppfp+D2CGs&#10;VhnIqpT/D1S/UEsDBBQAAAAIAIdO4kD87t020wEAAJMDAAAOAAAAZHJzL2Uyb0RvYy54bWytU0uO&#10;EzEQ3SNxB8t70p0MQTOtdGYxYdggiAQcoOJPtyX/5PKkk7NwDVZsOM5cg7ITMnw2CNELt+0qv3rv&#10;uby6PTjL9iqhCb7n81nLmfIiSOOHnn/6eP/imjPM4CXY4FXPjwr57fr5s9UUO7UIY7BSJUYgHrsp&#10;9nzMOXZNg2JUDnAWovIU1CE5yLRMQyMTTITubLNo21fNFJKMKQiFSLubU5CvK77WSuT3WqPKzPac&#10;uOU6pjruytisV9ANCeJoxJkG/AMLB8ZT0QvUBjKwh2T+gHJGpIBB55kIrglaG6GqBlIzb39T82GE&#10;qKoWMgfjxSb8f7Di3X6bmJE9v+LMg6Mrevz85fHrNzZfFnOmiB3l3PltOq8wblNRetDJlT9pYIdq&#10;6PFiqDpkJmhzft22i8WSM0GxlzfLq7Y63jydjgnzGxUcK5OeW+OLYOhg/xYzVaTUHyll23o29fxm&#10;WTGB+kVbyATvIilAP9SzGKyR98bacgLTsLuzie2hdED9ii7C/SWtFNkAjqe8Gjr1xqhAvvaS5WMk&#10;bzw1MS8UnJKcWUU9X2YECF0GY/8mk0pbTwyKtSczy2wX5JFu4iEmM4zkxLyyLBG6+cr33KWltX5e&#10;V6Snt7T+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CjL5HXAAAACAEAAA8AAAAAAAAAAQAgAAAA&#10;IgAAAGRycy9kb3ducmV2LnhtbFBLAQIUABQAAAAIAIdO4kD87t020wEAAJMDAAAOAAAAAAAAAAEA&#10;IAAAACYBAABkcnMvZTJvRG9jLnhtbFBLBQYAAAAABgAGAFkBAABrBQAAAAA=&#10;">
                            <v:fill on="f" focussize="0,0"/>
                            <v:stroke color="#000000" joinstyle="round"/>
                            <v:imagedata o:title=""/>
                            <o:lock v:ext="edit" aspectratio="f"/>
                          </v:line>
                        </w:pict>
                      </mc:Fallback>
                    </mc:AlternateContent>
                  </w:r>
                  <w:r>
                    <w:rPr>
                      <w:rStyle w:val="10"/>
                      <w:rFonts w:ascii="仿宋_GB2312" w:hAnsi="仿宋_GB2312" w:eastAsia="仿宋_GB2312"/>
                      <w:color w:val="auto"/>
                      <w:sz w:val="32"/>
                      <w:szCs w:val="32"/>
                      <w:highlight w:val="none"/>
                    </w:rPr>
                    <w:t xml:space="preserve">费率        </w:t>
                  </w:r>
                </w:p>
                <w:p>
                  <w:pPr>
                    <w:pStyle w:val="26"/>
                    <w:spacing w:line="370" w:lineRule="exact"/>
                    <w:rPr>
                      <w:rStyle w:val="10"/>
                      <w:rFonts w:ascii="仿宋_GB2312" w:hAnsi="仿宋_GB2312" w:eastAsia="仿宋_GB2312"/>
                      <w:color w:val="auto"/>
                      <w:sz w:val="32"/>
                      <w:szCs w:val="32"/>
                      <w:highlight w:val="none"/>
                    </w:rPr>
                  </w:pPr>
                </w:p>
                <w:p>
                  <w:pPr>
                    <w:pStyle w:val="26"/>
                    <w:spacing w:line="37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中标金额（万元）</w:t>
                  </w:r>
                </w:p>
              </w:tc>
              <w:tc>
                <w:tcPr>
                  <w:tcW w:w="1486" w:type="dxa"/>
                  <w:tcBorders>
                    <w:top w:val="single" w:color="000000" w:sz="4" w:space="0"/>
                    <w:left w:val="single" w:color="000000" w:sz="4" w:space="0"/>
                    <w:bottom w:val="single" w:color="000000" w:sz="4" w:space="0"/>
                    <w:right w:val="single" w:color="000000" w:sz="4" w:space="0"/>
                  </w:tcBorders>
                  <w:vAlign w:val="center"/>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货物招标</w:t>
                  </w:r>
                </w:p>
              </w:tc>
              <w:tc>
                <w:tcPr>
                  <w:tcW w:w="1490" w:type="dxa"/>
                  <w:tcBorders>
                    <w:top w:val="single" w:color="000000" w:sz="4" w:space="0"/>
                    <w:left w:val="single" w:color="000000" w:sz="4" w:space="0"/>
                    <w:bottom w:val="single" w:color="000000" w:sz="4" w:space="0"/>
                    <w:right w:val="single" w:color="000000" w:sz="4" w:space="0"/>
                  </w:tcBorders>
                  <w:vAlign w:val="center"/>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服务招标</w:t>
                  </w:r>
                </w:p>
              </w:tc>
              <w:tc>
                <w:tcPr>
                  <w:tcW w:w="1510" w:type="dxa"/>
                  <w:tcBorders>
                    <w:top w:val="single" w:color="000000" w:sz="4" w:space="0"/>
                    <w:left w:val="single" w:color="000000" w:sz="4" w:space="0"/>
                    <w:bottom w:val="single" w:color="000000" w:sz="4" w:space="0"/>
                    <w:right w:val="single" w:color="000000" w:sz="4" w:space="0"/>
                  </w:tcBorders>
                  <w:vAlign w:val="center"/>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pStyle w:val="26"/>
                    <w:spacing w:line="370" w:lineRule="exact"/>
                    <w:ind w:firstLine="960" w:firstLineChars="3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100以下</w:t>
                  </w:r>
                </w:p>
              </w:tc>
              <w:tc>
                <w:tcPr>
                  <w:tcW w:w="1486"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1.5%</w:t>
                  </w:r>
                </w:p>
              </w:tc>
              <w:tc>
                <w:tcPr>
                  <w:tcW w:w="1490"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1.5%</w:t>
                  </w:r>
                </w:p>
              </w:tc>
              <w:tc>
                <w:tcPr>
                  <w:tcW w:w="1510"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pStyle w:val="26"/>
                    <w:spacing w:line="370" w:lineRule="exact"/>
                    <w:ind w:firstLine="960" w:firstLineChars="3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100-500</w:t>
                  </w:r>
                </w:p>
              </w:tc>
              <w:tc>
                <w:tcPr>
                  <w:tcW w:w="1486"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1.1%</w:t>
                  </w:r>
                </w:p>
              </w:tc>
              <w:tc>
                <w:tcPr>
                  <w:tcW w:w="1490"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0.8%</w:t>
                  </w:r>
                </w:p>
              </w:tc>
              <w:tc>
                <w:tcPr>
                  <w:tcW w:w="1510"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pStyle w:val="26"/>
                    <w:spacing w:line="370" w:lineRule="exact"/>
                    <w:ind w:firstLine="800" w:firstLineChars="25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500-1000</w:t>
                  </w:r>
                </w:p>
              </w:tc>
              <w:tc>
                <w:tcPr>
                  <w:tcW w:w="1486"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0.8%</w:t>
                  </w:r>
                </w:p>
              </w:tc>
              <w:tc>
                <w:tcPr>
                  <w:tcW w:w="1490"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0.45%</w:t>
                  </w:r>
                </w:p>
              </w:tc>
              <w:tc>
                <w:tcPr>
                  <w:tcW w:w="1510"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62" w:type="dxa"/>
                  <w:tcBorders>
                    <w:top w:val="single" w:color="000000" w:sz="4" w:space="0"/>
                    <w:left w:val="single" w:color="000000" w:sz="4" w:space="0"/>
                    <w:bottom w:val="single" w:color="000000" w:sz="4" w:space="0"/>
                    <w:right w:val="single" w:color="000000" w:sz="4" w:space="0"/>
                  </w:tcBorders>
                </w:tcPr>
                <w:p>
                  <w:pPr>
                    <w:pStyle w:val="26"/>
                    <w:spacing w:line="370" w:lineRule="exact"/>
                    <w:ind w:firstLine="800" w:firstLineChars="25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w:t>
                  </w:r>
                </w:p>
              </w:tc>
              <w:tc>
                <w:tcPr>
                  <w:tcW w:w="1486"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w:t>
                  </w:r>
                </w:p>
              </w:tc>
              <w:tc>
                <w:tcPr>
                  <w:tcW w:w="1490"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w:t>
                  </w:r>
                </w:p>
              </w:tc>
              <w:tc>
                <w:tcPr>
                  <w:tcW w:w="1510"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w:t>
                  </w:r>
                </w:p>
              </w:tc>
            </w:tr>
          </w:tbl>
          <w:p>
            <w:pPr>
              <w:pStyle w:val="54"/>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注：招标代理服务费按差额定率累进法计算。</w:t>
            </w:r>
          </w:p>
        </w:tc>
      </w:tr>
    </w:tbl>
    <w:p>
      <w:pPr>
        <w:spacing w:line="520" w:lineRule="exact"/>
        <w:jc w:val="center"/>
        <w:rPr>
          <w:rStyle w:val="10"/>
          <w:rFonts w:ascii="仿宋_GB2312" w:hAnsi="仿宋_GB2312" w:eastAsia="仿宋_GB2312"/>
          <w:b/>
          <w:color w:val="auto"/>
          <w:sz w:val="32"/>
          <w:szCs w:val="32"/>
          <w:highlight w:val="none"/>
        </w:rPr>
      </w:pPr>
    </w:p>
    <w:p>
      <w:pPr>
        <w:spacing w:line="520" w:lineRule="exact"/>
        <w:jc w:val="center"/>
        <w:rPr>
          <w:rStyle w:val="10"/>
          <w:rFonts w:ascii="仿宋_GB2312" w:hAnsi="仿宋_GB2312" w:eastAsia="仿宋_GB2312"/>
          <w:b/>
          <w:color w:val="auto"/>
          <w:sz w:val="32"/>
          <w:szCs w:val="32"/>
          <w:highlight w:val="none"/>
        </w:rPr>
      </w:pPr>
    </w:p>
    <w:p>
      <w:pPr>
        <w:spacing w:line="520" w:lineRule="exact"/>
        <w:jc w:val="center"/>
        <w:rPr>
          <w:rStyle w:val="10"/>
          <w:rFonts w:ascii="仿宋_GB2312" w:hAnsi="仿宋_GB2312" w:eastAsia="仿宋_GB2312"/>
          <w:b/>
          <w:color w:val="auto"/>
          <w:sz w:val="32"/>
          <w:szCs w:val="32"/>
          <w:highlight w:val="none"/>
        </w:rPr>
      </w:pPr>
    </w:p>
    <w:p>
      <w:pPr>
        <w:spacing w:line="520" w:lineRule="exact"/>
        <w:jc w:val="center"/>
        <w:rPr>
          <w:rStyle w:val="10"/>
          <w:rFonts w:ascii="仿宋_GB2312" w:hAnsi="仿宋_GB2312" w:eastAsia="仿宋_GB2312"/>
          <w:b/>
          <w:color w:val="auto"/>
          <w:sz w:val="32"/>
          <w:szCs w:val="32"/>
          <w:highlight w:val="none"/>
        </w:rPr>
      </w:pPr>
    </w:p>
    <w:p>
      <w:pPr>
        <w:spacing w:line="520" w:lineRule="exact"/>
        <w:jc w:val="center"/>
        <w:rPr>
          <w:rStyle w:val="10"/>
          <w:rFonts w:ascii="仿宋_GB2312" w:hAnsi="仿宋_GB2312" w:eastAsia="仿宋_GB2312"/>
          <w:b/>
          <w:color w:val="auto"/>
          <w:sz w:val="32"/>
          <w:szCs w:val="32"/>
          <w:highlight w:val="none"/>
        </w:rPr>
      </w:pPr>
    </w:p>
    <w:p>
      <w:pPr>
        <w:spacing w:line="520" w:lineRule="exact"/>
        <w:jc w:val="center"/>
        <w:rPr>
          <w:rStyle w:val="10"/>
          <w:rFonts w:ascii="仿宋_GB2312" w:hAnsi="仿宋_GB2312" w:eastAsia="仿宋_GB2312"/>
          <w:b/>
          <w:color w:val="auto"/>
          <w:sz w:val="32"/>
          <w:szCs w:val="32"/>
          <w:highlight w:val="none"/>
        </w:rPr>
      </w:pPr>
    </w:p>
    <w:p>
      <w:pPr>
        <w:spacing w:line="52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磋商供应商须知</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一、总　则</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 适用范围</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1.1项目名称：2019年企业投资项目后评价服务采购</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项目编号：</w:t>
      </w:r>
      <w:r>
        <w:rPr>
          <w:rStyle w:val="10"/>
          <w:rFonts w:hint="eastAsia" w:ascii="仿宋_GB2312" w:hAnsi="仿宋_GB2312" w:eastAsia="仿宋_GB2312"/>
          <w:color w:val="auto"/>
          <w:sz w:val="32"/>
          <w:szCs w:val="32"/>
          <w:highlight w:val="none"/>
        </w:rPr>
        <w:t>GXZC2019-C3-27497-BEEG</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本文件仅适用于本文件中所叙述的服务类政府采购项目。</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 定义</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2.1“采购人”是指：广西壮族自治区国有资产监督管理委员会</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2.2“采购代理机构”是指：北部湾产权交易所集团股份有限公司(以下简称“本公司”)。</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2.3“磋商供应商”是指响应本文件要求，参加磋商的法人或者其他组织和自然人。如果该供应商在本次磋商中成交,即成为“成交供应商”。</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2.4“货物”是指各种形态和种类的物品，包括原材料、燃料、设备、产品等。</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2.5“服务”是指除货物和工程以外的其他政府采购对象。</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2.6“竞争性磋商响应文件”是指：供应商根据本文件要求，编制包含报价、技术和服务等所有内容的文件。</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 xml:space="preserve">3. </w:t>
      </w:r>
      <w:r>
        <w:rPr>
          <w:rStyle w:val="10"/>
          <w:rFonts w:hint="eastAsia" w:ascii="仿宋_GB2312" w:hAnsi="仿宋_GB2312" w:eastAsia="仿宋_GB2312"/>
          <w:b/>
          <w:color w:val="auto"/>
          <w:sz w:val="32"/>
          <w:szCs w:val="32"/>
          <w:highlight w:val="none"/>
        </w:rPr>
        <w:t>磋商供应商资格要求</w:t>
      </w:r>
    </w:p>
    <w:p>
      <w:pPr>
        <w:snapToGrid w:val="0"/>
        <w:spacing w:line="520" w:lineRule="exact"/>
        <w:ind w:firstLine="627" w:firstLineChars="196"/>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3.1具备《中华人民共和国政府采购法》第二十二条规定的条件；</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3.2国内注册（指按国家有关规定要求注册的）具有独立法人资格的供应商；</w:t>
      </w:r>
    </w:p>
    <w:p>
      <w:pPr>
        <w:snapToGrid w:val="0"/>
        <w:spacing w:line="520" w:lineRule="exact"/>
        <w:ind w:firstLine="627" w:firstLineChars="196"/>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3.3本项目不接受联合体磋商。</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3.4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或中国政府采购网（www.ccgp.gov.cn）查询相关供应商主体信用记录，在响应文件中将查询结果截图加盖单位公章如实报告磋商判小组。</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4. 磋商费用、竞争性磋商公告、竞争性磋商文件的澄清和修改</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4.1磋商费用：磋商供应商应自行承担所有与编写和提交竞争性磋商响应文件有关的费用，不论磋商结果如何，采购人和本公司在任何情况下无义务和责任承担此类费用。</w:t>
      </w:r>
    </w:p>
    <w:p>
      <w:pPr>
        <w:pStyle w:val="26"/>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4.2</w:t>
      </w:r>
      <w:r>
        <w:rPr>
          <w:rStyle w:val="10"/>
          <w:rFonts w:ascii="仿宋_GB2312" w:hAnsi="仿宋_GB2312" w:eastAsia="仿宋_GB2312"/>
          <w:b/>
          <w:color w:val="auto"/>
          <w:sz w:val="32"/>
          <w:szCs w:val="32"/>
          <w:highlight w:val="none"/>
        </w:rPr>
        <w:t>竞争性磋商公告</w:t>
      </w:r>
      <w:r>
        <w:rPr>
          <w:rStyle w:val="10"/>
          <w:rFonts w:ascii="仿宋_GB2312" w:hAnsi="仿宋_GB2312" w:eastAsia="仿宋_GB2312"/>
          <w:color w:val="auto"/>
          <w:sz w:val="32"/>
          <w:szCs w:val="32"/>
          <w:highlight w:val="none"/>
        </w:rPr>
        <w:t>：见2019年10月</w:t>
      </w:r>
      <w:r>
        <w:rPr>
          <w:rStyle w:val="10"/>
          <w:rFonts w:hint="eastAsia" w:ascii="仿宋_GB2312" w:hAnsi="仿宋_GB2312" w:eastAsia="仿宋_GB2312"/>
          <w:color w:val="auto"/>
          <w:sz w:val="32"/>
          <w:szCs w:val="32"/>
          <w:highlight w:val="none"/>
          <w:lang w:val="en-US" w:eastAsia="zh-CN"/>
        </w:rPr>
        <w:t>16</w:t>
      </w:r>
      <w:r>
        <w:rPr>
          <w:rStyle w:val="10"/>
          <w:rFonts w:ascii="仿宋_GB2312" w:hAnsi="仿宋_GB2312" w:eastAsia="仿宋_GB2312"/>
          <w:color w:val="auto"/>
          <w:sz w:val="32"/>
          <w:szCs w:val="32"/>
          <w:highlight w:val="none"/>
        </w:rPr>
        <w:t>日中国政府采购网</w:t>
      </w:r>
      <w:r>
        <w:rPr>
          <w:rStyle w:val="10"/>
          <w:rFonts w:ascii="仿宋_GB2312" w:hAnsi="仿宋_GB2312" w:eastAsia="仿宋_GB2312"/>
          <w:color w:val="auto"/>
          <w:sz w:val="32"/>
          <w:szCs w:val="32"/>
          <w:highlight w:val="none"/>
          <w:u w:val="single"/>
        </w:rPr>
        <w:t>(www.ccgp.gov.cn)</w:t>
      </w:r>
      <w:r>
        <w:rPr>
          <w:rStyle w:val="10"/>
          <w:rFonts w:ascii="仿宋_GB2312" w:hAnsi="仿宋_GB2312" w:eastAsia="仿宋_GB2312"/>
          <w:color w:val="auto"/>
          <w:sz w:val="32"/>
          <w:szCs w:val="32"/>
          <w:highlight w:val="none"/>
        </w:rPr>
        <w:t>、广西壮族自治区政府采购网</w:t>
      </w:r>
      <w:r>
        <w:rPr>
          <w:rStyle w:val="10"/>
          <w:rFonts w:ascii="仿宋_GB2312" w:hAnsi="仿宋_GB2312" w:eastAsia="仿宋_GB2312"/>
          <w:color w:val="auto"/>
          <w:sz w:val="32"/>
          <w:szCs w:val="32"/>
          <w:highlight w:val="none"/>
          <w:u w:val="single"/>
        </w:rPr>
        <w:t>（zfcg.gxzf.gov.cn）</w:t>
      </w:r>
      <w:r>
        <w:rPr>
          <w:rStyle w:val="10"/>
          <w:rFonts w:ascii="仿宋_GB2312" w:hAnsi="仿宋_GB2312" w:eastAsia="仿宋_GB2312"/>
          <w:color w:val="auto"/>
          <w:sz w:val="32"/>
          <w:szCs w:val="32"/>
          <w:highlight w:val="none"/>
        </w:rPr>
        <w:t>、北部湾产权交易所集团股份有限公司官网</w:t>
      </w:r>
      <w:r>
        <w:rPr>
          <w:rStyle w:val="10"/>
          <w:rFonts w:ascii="仿宋_GB2312" w:hAnsi="仿宋_GB2312" w:eastAsia="仿宋_GB2312"/>
          <w:color w:val="auto"/>
          <w:sz w:val="32"/>
          <w:szCs w:val="32"/>
          <w:highlight w:val="none"/>
          <w:u w:val="single"/>
        </w:rPr>
        <w:t>（www.bbwcq.com）</w:t>
      </w:r>
      <w:r>
        <w:rPr>
          <w:rStyle w:val="10"/>
          <w:rFonts w:ascii="仿宋_GB2312" w:hAnsi="仿宋_GB2312" w:eastAsia="仿宋_GB2312"/>
          <w:color w:val="auto"/>
          <w:sz w:val="32"/>
          <w:szCs w:val="32"/>
          <w:highlight w:val="none"/>
        </w:rPr>
        <w:t>。</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cs="仿宋_GB2312"/>
          <w:b/>
          <w:bCs/>
          <w:color w:val="auto"/>
          <w:sz w:val="32"/>
          <w:szCs w:val="32"/>
          <w:highlight w:val="none"/>
        </w:rPr>
        <w:t>4.3竞争性磋</w:t>
      </w:r>
      <w:r>
        <w:rPr>
          <w:rStyle w:val="10"/>
          <w:rFonts w:ascii="仿宋_GB2312" w:hAnsi="仿宋_GB2312" w:eastAsia="仿宋_GB2312"/>
          <w:color w:val="auto"/>
          <w:sz w:val="32"/>
          <w:szCs w:val="32"/>
          <w:highlight w:val="none"/>
        </w:rPr>
        <w:t>商文件的澄清和修改：</w:t>
      </w:r>
    </w:p>
    <w:p>
      <w:pPr>
        <w:pStyle w:val="26"/>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4.3.1</w:t>
      </w:r>
      <w:r>
        <w:rPr>
          <w:rStyle w:val="10"/>
          <w:rFonts w:ascii="仿宋_GB2312" w:hAnsi="仿宋_GB2312" w:eastAsia="仿宋_GB2312" w:cs="仿宋_GB2312"/>
          <w:bCs/>
          <w:color w:val="auto"/>
          <w:sz w:val="32"/>
          <w:szCs w:val="32"/>
          <w:highlight w:val="none"/>
        </w:rPr>
        <w:t>磋商供应商应认真审核《采购需求》中的服务要求，如发现表中服务要求有误或要求不合理的，磋商供应商必须在规定的时间前要求澄清，否则，由此产生的后果由磋商供应商负责。</w:t>
      </w:r>
    </w:p>
    <w:p>
      <w:pPr>
        <w:pStyle w:val="26"/>
        <w:spacing w:line="520" w:lineRule="exact"/>
        <w:ind w:firstLine="420"/>
        <w:rPr>
          <w:rStyle w:val="10"/>
          <w:rFonts w:ascii="仿宋_GB2312" w:hAnsi="仿宋_GB2312" w:eastAsia="仿宋_GB2312"/>
          <w:b/>
          <w:color w:val="auto"/>
          <w:sz w:val="32"/>
          <w:szCs w:val="32"/>
          <w:highlight w:val="none"/>
        </w:rPr>
      </w:pPr>
      <w:r>
        <w:rPr>
          <w:rStyle w:val="10"/>
          <w:rFonts w:ascii="仿宋_GB2312" w:hAnsi="仿宋_GB2312" w:eastAsia="仿宋_GB2312"/>
          <w:color w:val="auto"/>
          <w:sz w:val="32"/>
          <w:szCs w:val="32"/>
          <w:highlight w:val="none"/>
        </w:rPr>
        <w:t>4.3.2任何要求澄清</w:t>
      </w:r>
      <w:r>
        <w:rPr>
          <w:rStyle w:val="10"/>
          <w:rFonts w:ascii="仿宋_GB2312" w:hAnsi="仿宋_GB2312" w:eastAsia="仿宋_GB2312"/>
          <w:b/>
          <w:color w:val="auto"/>
          <w:sz w:val="32"/>
          <w:szCs w:val="32"/>
          <w:highlight w:val="none"/>
        </w:rPr>
        <w:t>竞争性</w:t>
      </w:r>
      <w:r>
        <w:rPr>
          <w:rStyle w:val="10"/>
          <w:rFonts w:ascii="仿宋_GB2312" w:hAnsi="仿宋_GB2312" w:eastAsia="仿宋_GB2312"/>
          <w:color w:val="auto"/>
          <w:sz w:val="32"/>
          <w:szCs w:val="32"/>
          <w:highlight w:val="none"/>
        </w:rPr>
        <w:t>磋商文件的磋商供应商，均应在响应文件递交截止日期五日前的正常工作时间以传真等书面形式通知本公司，同时认定其他澄清方式为无效。本公司将以书面形式予以答复。</w:t>
      </w:r>
    </w:p>
    <w:p>
      <w:pPr>
        <w:spacing w:line="520" w:lineRule="exact"/>
        <w:ind w:firstLine="42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4.3.3本公司对已发出的磋商文件进行必要澄清或者修改的，在</w:t>
      </w:r>
      <w:r>
        <w:rPr>
          <w:rStyle w:val="10"/>
          <w:rFonts w:ascii="仿宋_GB2312" w:hAnsi="仿宋_GB2312" w:eastAsia="仿宋_GB2312"/>
          <w:b/>
          <w:color w:val="auto"/>
          <w:sz w:val="32"/>
          <w:szCs w:val="32"/>
          <w:highlight w:val="none"/>
        </w:rPr>
        <w:t>竞争性</w:t>
      </w:r>
      <w:r>
        <w:rPr>
          <w:rStyle w:val="10"/>
          <w:rFonts w:ascii="仿宋_GB2312" w:hAnsi="仿宋_GB2312" w:eastAsia="仿宋_GB2312"/>
          <w:color w:val="auto"/>
          <w:sz w:val="32"/>
          <w:szCs w:val="32"/>
          <w:highlight w:val="none"/>
        </w:rPr>
        <w:t>磋商文件要求提交竞争性磋商响应文件截止时间五个工作日前（不足五个工作日顺延），在中国政府采购网</w:t>
      </w:r>
      <w:r>
        <w:rPr>
          <w:rStyle w:val="10"/>
          <w:rFonts w:ascii="仿宋_GB2312" w:hAnsi="仿宋_GB2312" w:eastAsia="仿宋_GB2312"/>
          <w:color w:val="auto"/>
          <w:sz w:val="32"/>
          <w:szCs w:val="32"/>
          <w:highlight w:val="none"/>
          <w:u w:val="single"/>
        </w:rPr>
        <w:t>(www.ccgp.gov.cn)</w:t>
      </w:r>
      <w:r>
        <w:rPr>
          <w:rStyle w:val="10"/>
          <w:rFonts w:ascii="仿宋_GB2312" w:hAnsi="仿宋_GB2312" w:eastAsia="仿宋_GB2312"/>
          <w:color w:val="auto"/>
          <w:sz w:val="32"/>
          <w:szCs w:val="32"/>
          <w:highlight w:val="none"/>
        </w:rPr>
        <w:t>、广西壮族自治区政府采购网</w:t>
      </w:r>
      <w:r>
        <w:rPr>
          <w:rStyle w:val="10"/>
          <w:rFonts w:ascii="仿宋_GB2312" w:hAnsi="仿宋_GB2312" w:eastAsia="仿宋_GB2312"/>
          <w:color w:val="auto"/>
          <w:sz w:val="32"/>
          <w:szCs w:val="32"/>
          <w:highlight w:val="none"/>
          <w:u w:val="single"/>
        </w:rPr>
        <w:t>（zfcg.gxzf.gov.cn）</w:t>
      </w:r>
      <w:r>
        <w:rPr>
          <w:rStyle w:val="10"/>
          <w:rFonts w:ascii="仿宋_GB2312" w:hAnsi="仿宋_GB2312" w:eastAsia="仿宋_GB2312"/>
          <w:color w:val="auto"/>
          <w:sz w:val="32"/>
          <w:szCs w:val="32"/>
          <w:highlight w:val="none"/>
        </w:rPr>
        <w:t>及本公司网站</w:t>
      </w:r>
      <w:r>
        <w:rPr>
          <w:rStyle w:val="10"/>
          <w:rFonts w:ascii="仿宋_GB2312" w:hAnsi="仿宋_GB2312" w:eastAsia="仿宋_GB2312"/>
          <w:color w:val="auto"/>
          <w:sz w:val="32"/>
          <w:szCs w:val="32"/>
          <w:highlight w:val="none"/>
          <w:u w:val="single"/>
        </w:rPr>
        <w:t>（www.bbwcq.com）</w:t>
      </w:r>
      <w:r>
        <w:rPr>
          <w:rStyle w:val="10"/>
          <w:rFonts w:ascii="仿宋_GB2312" w:hAnsi="仿宋_GB2312" w:eastAsia="仿宋_GB2312"/>
          <w:color w:val="auto"/>
          <w:sz w:val="32"/>
          <w:szCs w:val="32"/>
          <w:highlight w:val="none"/>
        </w:rPr>
        <w:t>上发布更正公告，并以书面形式通知所有</w:t>
      </w:r>
      <w:r>
        <w:rPr>
          <w:rStyle w:val="10"/>
          <w:rFonts w:ascii="仿宋_GB2312" w:hAnsi="仿宋_GB2312" w:eastAsia="仿宋_GB2312"/>
          <w:b/>
          <w:color w:val="auto"/>
          <w:sz w:val="32"/>
          <w:szCs w:val="32"/>
          <w:highlight w:val="none"/>
        </w:rPr>
        <w:t>竞争性</w:t>
      </w:r>
      <w:r>
        <w:rPr>
          <w:rStyle w:val="10"/>
          <w:rFonts w:ascii="仿宋_GB2312" w:hAnsi="仿宋_GB2312" w:eastAsia="仿宋_GB2312"/>
          <w:color w:val="auto"/>
          <w:sz w:val="32"/>
          <w:szCs w:val="32"/>
          <w:highlight w:val="none"/>
        </w:rPr>
        <w:t>磋商文件收受人。该澄清或者修改的内容为</w:t>
      </w:r>
      <w:r>
        <w:rPr>
          <w:rStyle w:val="10"/>
          <w:rFonts w:ascii="仿宋_GB2312" w:hAnsi="仿宋_GB2312" w:eastAsia="仿宋_GB2312"/>
          <w:b/>
          <w:color w:val="auto"/>
          <w:sz w:val="32"/>
          <w:szCs w:val="32"/>
          <w:highlight w:val="none"/>
        </w:rPr>
        <w:t>竞争性</w:t>
      </w:r>
      <w:r>
        <w:rPr>
          <w:rStyle w:val="10"/>
          <w:rFonts w:ascii="仿宋_GB2312" w:hAnsi="仿宋_GB2312" w:eastAsia="仿宋_GB2312"/>
          <w:color w:val="auto"/>
          <w:sz w:val="32"/>
          <w:szCs w:val="32"/>
          <w:highlight w:val="none"/>
        </w:rPr>
        <w:t>磋商文件的组成部分。</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4.3.4本公司可视具体情况，延长响应文件递交截止时间和开标时间。本公司至少在</w:t>
      </w:r>
      <w:r>
        <w:rPr>
          <w:rStyle w:val="10"/>
          <w:rFonts w:ascii="仿宋_GB2312" w:hAnsi="仿宋_GB2312" w:eastAsia="仿宋_GB2312"/>
          <w:b/>
          <w:color w:val="auto"/>
          <w:sz w:val="32"/>
          <w:szCs w:val="32"/>
          <w:highlight w:val="none"/>
        </w:rPr>
        <w:t>竞争性</w:t>
      </w:r>
      <w:r>
        <w:rPr>
          <w:rStyle w:val="10"/>
          <w:rFonts w:ascii="仿宋_GB2312" w:hAnsi="仿宋_GB2312" w:eastAsia="仿宋_GB2312"/>
          <w:color w:val="auto"/>
          <w:sz w:val="32"/>
          <w:szCs w:val="32"/>
          <w:highlight w:val="none"/>
        </w:rPr>
        <w:t>磋商文件要求提交竞争性磋商响应文件的截止时间一日前，将变更时间书面通知所有</w:t>
      </w:r>
      <w:r>
        <w:rPr>
          <w:rStyle w:val="10"/>
          <w:rFonts w:ascii="仿宋_GB2312" w:hAnsi="仿宋_GB2312" w:eastAsia="仿宋_GB2312"/>
          <w:b/>
          <w:color w:val="auto"/>
          <w:sz w:val="32"/>
          <w:szCs w:val="32"/>
          <w:highlight w:val="none"/>
        </w:rPr>
        <w:t>竞争性</w:t>
      </w:r>
      <w:r>
        <w:rPr>
          <w:rStyle w:val="10"/>
          <w:rFonts w:ascii="仿宋_GB2312" w:hAnsi="仿宋_GB2312" w:eastAsia="仿宋_GB2312"/>
          <w:color w:val="auto"/>
          <w:sz w:val="32"/>
          <w:szCs w:val="32"/>
          <w:highlight w:val="none"/>
        </w:rPr>
        <w:t>磋商文件收受人，并在中国政府采购网</w:t>
      </w:r>
      <w:r>
        <w:rPr>
          <w:rStyle w:val="10"/>
          <w:rFonts w:ascii="仿宋_GB2312" w:hAnsi="仿宋_GB2312" w:eastAsia="仿宋_GB2312"/>
          <w:color w:val="auto"/>
          <w:sz w:val="32"/>
          <w:szCs w:val="32"/>
          <w:highlight w:val="none"/>
          <w:u w:val="single"/>
        </w:rPr>
        <w:t>(www.ccgp.gov.cn)</w:t>
      </w:r>
      <w:r>
        <w:rPr>
          <w:rStyle w:val="10"/>
          <w:rFonts w:ascii="仿宋_GB2312" w:hAnsi="仿宋_GB2312" w:eastAsia="仿宋_GB2312"/>
          <w:color w:val="auto"/>
          <w:sz w:val="32"/>
          <w:szCs w:val="32"/>
          <w:highlight w:val="none"/>
        </w:rPr>
        <w:t>、广西壮族自治区政府采购网</w:t>
      </w:r>
      <w:r>
        <w:rPr>
          <w:rStyle w:val="10"/>
          <w:rFonts w:ascii="仿宋_GB2312" w:hAnsi="仿宋_GB2312" w:eastAsia="仿宋_GB2312"/>
          <w:color w:val="auto"/>
          <w:sz w:val="32"/>
          <w:szCs w:val="32"/>
          <w:highlight w:val="none"/>
          <w:u w:val="single"/>
        </w:rPr>
        <w:t>（zfcg.gxzf.gov.cn）</w:t>
      </w:r>
      <w:r>
        <w:rPr>
          <w:rStyle w:val="10"/>
          <w:rFonts w:ascii="仿宋_GB2312" w:hAnsi="仿宋_GB2312" w:eastAsia="仿宋_GB2312"/>
          <w:color w:val="auto"/>
          <w:sz w:val="32"/>
          <w:szCs w:val="32"/>
          <w:highlight w:val="none"/>
        </w:rPr>
        <w:t>及本公司网站</w:t>
      </w:r>
      <w:r>
        <w:rPr>
          <w:rStyle w:val="10"/>
          <w:rFonts w:ascii="仿宋_GB2312" w:hAnsi="仿宋_GB2312" w:eastAsia="仿宋_GB2312"/>
          <w:color w:val="auto"/>
          <w:sz w:val="32"/>
          <w:szCs w:val="32"/>
          <w:highlight w:val="none"/>
          <w:u w:val="single"/>
        </w:rPr>
        <w:t>（www.bbwcq.com）</w:t>
      </w:r>
      <w:r>
        <w:rPr>
          <w:rStyle w:val="10"/>
          <w:rFonts w:ascii="仿宋_GB2312" w:hAnsi="仿宋_GB2312" w:eastAsia="仿宋_GB2312"/>
          <w:color w:val="auto"/>
          <w:sz w:val="32"/>
          <w:szCs w:val="32"/>
          <w:highlight w:val="none"/>
        </w:rPr>
        <w:t>上发布变更公告。</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二、竞争性磋商响应文件的编制</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5.竞争性磋商响应文件编制基本要求</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5.1磋商供应商对竞争性磋商响应文件的编制应按要求装订和封装。</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5.2磋商供应商提交的竞争性磋商响应文件以及磋商供应商与本公司和采购人就有关磋商的所有来往函电均应使用中文。磋商供应商提交的支持文件和印刷的文献可以使用别的语言，但其相应内容必须附有中文翻译文本，在解释竞争性磋商响应文件时以翻译文本为主。</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5.3磋商供应商应认真阅读、并充分理解本文件的全部内容（包括所有的澄清、更改、补充、答疑等内容），承诺并履行本文件中各项条款规定及要求。</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5.4竞争性磋商响应文件必须按本文件的全部内容，包括所有的澄清、更改、补充、答疑等内容及附件进行编制。</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5.5如因磋商供应商只填写和提供了本文件要求的部分内容和附件，而给磋商小组评审造成困难，其可能导致的结果和责任由磋商供应商自行承担。</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5.6竞争性磋商响应文件的组成：竞争性磋商响应文件应分为价格文件和商务技术文件两个部分组成（要求装订成一本）。</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5.6.1价格文件</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（1）报价表；（附件二）</w:t>
      </w:r>
      <w:r>
        <w:rPr>
          <w:rStyle w:val="10"/>
          <w:rFonts w:ascii="仿宋_GB2312" w:hAnsi="仿宋_GB2312" w:eastAsia="仿宋_GB2312"/>
          <w:b/>
          <w:color w:val="auto"/>
          <w:sz w:val="32"/>
          <w:szCs w:val="32"/>
          <w:highlight w:val="none"/>
        </w:rPr>
        <w:t>[必须提供]</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5.6.2 商务技术文件</w:t>
      </w:r>
      <w:r>
        <w:rPr>
          <w:rStyle w:val="10"/>
          <w:rFonts w:ascii="仿宋_GB2312" w:hAnsi="仿宋_GB2312" w:eastAsia="仿宋_GB2312"/>
          <w:color w:val="auto"/>
          <w:sz w:val="32"/>
          <w:szCs w:val="32"/>
          <w:highlight w:val="none"/>
        </w:rPr>
        <w:t xml:space="preserve">（应该有的必须提供,如未提供,磋商小组有权拒绝其竞争性磋商响应文件） </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（1）磋商书；（附件一）</w:t>
      </w:r>
      <w:r>
        <w:rPr>
          <w:rStyle w:val="10"/>
          <w:rFonts w:ascii="仿宋_GB2312" w:hAnsi="仿宋_GB2312" w:eastAsia="仿宋_GB2312"/>
          <w:b/>
          <w:color w:val="auto"/>
          <w:sz w:val="32"/>
          <w:szCs w:val="32"/>
          <w:highlight w:val="none"/>
        </w:rPr>
        <w:t>[必须提供]</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（2）商务、服务（技术）响应、偏离情况说明表（附件三）；</w:t>
      </w:r>
      <w:r>
        <w:rPr>
          <w:rStyle w:val="10"/>
          <w:rFonts w:ascii="仿宋_GB2312" w:hAnsi="仿宋_GB2312" w:eastAsia="仿宋_GB2312"/>
          <w:b/>
          <w:color w:val="auto"/>
          <w:sz w:val="32"/>
          <w:szCs w:val="32"/>
          <w:highlight w:val="none"/>
        </w:rPr>
        <w:t>[必须提供]</w:t>
      </w:r>
    </w:p>
    <w:p>
      <w:pPr>
        <w:snapToGrid w:val="0"/>
        <w:spacing w:line="520" w:lineRule="exact"/>
        <w:ind w:firstLine="627" w:firstLineChars="196"/>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（3）法定代表人授权委托书原件和委托代理人身份证复印件[</w:t>
      </w:r>
      <w:r>
        <w:rPr>
          <w:rStyle w:val="10"/>
          <w:rFonts w:ascii="仿宋_GB2312" w:hAnsi="仿宋_GB2312" w:eastAsia="仿宋_GB2312"/>
          <w:b/>
          <w:color w:val="auto"/>
          <w:sz w:val="32"/>
          <w:szCs w:val="32"/>
          <w:highlight w:val="none"/>
        </w:rPr>
        <w:t>委托代理时</w:t>
      </w:r>
      <w:r>
        <w:rPr>
          <w:rStyle w:val="10"/>
          <w:rFonts w:ascii="仿宋_GB2312" w:hAnsi="仿宋_GB2312" w:eastAsia="仿宋_GB2312" w:cs="仿宋_GB2312"/>
          <w:b/>
          <w:bCs/>
          <w:color w:val="auto"/>
          <w:sz w:val="32"/>
          <w:szCs w:val="32"/>
          <w:highlight w:val="none"/>
        </w:rPr>
        <w:t>必须提供</w:t>
      </w:r>
      <w:r>
        <w:rPr>
          <w:rStyle w:val="10"/>
          <w:rFonts w:ascii="仿宋_GB2312" w:hAnsi="仿宋_GB2312" w:eastAsia="仿宋_GB2312"/>
          <w:color w:val="auto"/>
          <w:sz w:val="32"/>
          <w:szCs w:val="32"/>
          <w:highlight w:val="none"/>
        </w:rPr>
        <w:t>]；[附件四]</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（4）法定代表人身份证复印件</w:t>
      </w:r>
      <w:r>
        <w:rPr>
          <w:rStyle w:val="10"/>
          <w:rFonts w:ascii="仿宋_GB2312" w:hAnsi="仿宋_GB2312" w:eastAsia="仿宋_GB2312"/>
          <w:b/>
          <w:color w:val="auto"/>
          <w:sz w:val="32"/>
          <w:szCs w:val="32"/>
          <w:highlight w:val="none"/>
        </w:rPr>
        <w:t>；[法定代表人参加磋商时，必须提供]</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（5）有效的营业执照等证明文件复印件；</w:t>
      </w:r>
    </w:p>
    <w:p>
      <w:pPr>
        <w:spacing w:line="520" w:lineRule="exact"/>
        <w:ind w:firstLine="640" w:firstLineChars="200"/>
        <w:rPr>
          <w:rStyle w:val="10"/>
          <w:rFonts w:ascii="仿宋_GB2312" w:hAnsi="仿宋_GB2312" w:eastAsia="仿宋_GB2312"/>
          <w:b/>
          <w:color w:val="auto"/>
          <w:sz w:val="32"/>
          <w:szCs w:val="32"/>
          <w:highlight w:val="none"/>
        </w:rPr>
      </w:pPr>
      <w:r>
        <w:rPr>
          <w:rStyle w:val="10"/>
          <w:rFonts w:ascii="仿宋_GB2312" w:hAnsi="仿宋_GB2312" w:eastAsia="仿宋_GB2312"/>
          <w:color w:val="auto"/>
          <w:sz w:val="32"/>
          <w:szCs w:val="32"/>
          <w:highlight w:val="none"/>
        </w:rPr>
        <w:t>①磋商供应商有效的“营业执照”等证明文件复印件</w:t>
      </w:r>
      <w:r>
        <w:rPr>
          <w:rStyle w:val="10"/>
          <w:rFonts w:ascii="仿宋_GB2312" w:hAnsi="仿宋_GB2312" w:eastAsia="仿宋_GB2312"/>
          <w:b/>
          <w:color w:val="auto"/>
          <w:sz w:val="32"/>
          <w:szCs w:val="32"/>
          <w:highlight w:val="none"/>
        </w:rPr>
        <w:t xml:space="preserve"> [必须提供，原件备查]；</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s="仿宋_GB2312"/>
          <w:bCs/>
          <w:color w:val="auto"/>
          <w:sz w:val="32"/>
          <w:szCs w:val="32"/>
          <w:highlight w:val="none"/>
        </w:rPr>
        <w:t>②对于有经营资质要求的，</w:t>
      </w:r>
      <w:r>
        <w:rPr>
          <w:rStyle w:val="10"/>
          <w:rFonts w:ascii="仿宋_GB2312" w:hAnsi="仿宋_GB2312" w:eastAsia="仿宋_GB2312"/>
          <w:color w:val="auto"/>
          <w:sz w:val="32"/>
          <w:szCs w:val="32"/>
          <w:highlight w:val="none"/>
        </w:rPr>
        <w:t>磋商供应商</w:t>
      </w:r>
      <w:r>
        <w:rPr>
          <w:rStyle w:val="10"/>
          <w:rFonts w:ascii="仿宋_GB2312" w:hAnsi="仿宋_GB2312" w:eastAsia="仿宋_GB2312" w:cs="仿宋_GB2312"/>
          <w:bCs/>
          <w:color w:val="auto"/>
          <w:sz w:val="32"/>
          <w:szCs w:val="32"/>
          <w:highlight w:val="none"/>
        </w:rPr>
        <w:t>必须提供有效的经营资质证书副本内页复印件，要求清晰反映该</w:t>
      </w:r>
      <w:r>
        <w:rPr>
          <w:rStyle w:val="10"/>
          <w:rFonts w:ascii="仿宋_GB2312" w:hAnsi="仿宋_GB2312" w:eastAsia="仿宋_GB2312"/>
          <w:color w:val="auto"/>
          <w:sz w:val="32"/>
          <w:szCs w:val="32"/>
          <w:highlight w:val="none"/>
        </w:rPr>
        <w:t>磋商供应商</w:t>
      </w:r>
      <w:r>
        <w:rPr>
          <w:rStyle w:val="10"/>
          <w:rFonts w:ascii="仿宋_GB2312" w:hAnsi="仿宋_GB2312" w:eastAsia="仿宋_GB2312" w:cs="仿宋_GB2312"/>
          <w:bCs/>
          <w:color w:val="auto"/>
          <w:sz w:val="32"/>
          <w:szCs w:val="32"/>
          <w:highlight w:val="none"/>
        </w:rPr>
        <w:t>本年度经营资质，同时要加盖单位公章。</w:t>
      </w:r>
      <w:r>
        <w:rPr>
          <w:rStyle w:val="10"/>
          <w:rFonts w:ascii="仿宋_GB2312" w:hAnsi="仿宋_GB2312" w:eastAsia="仿宋_GB2312"/>
          <w:b/>
          <w:color w:val="auto"/>
          <w:sz w:val="32"/>
          <w:szCs w:val="32"/>
          <w:highlight w:val="none"/>
        </w:rPr>
        <w:t>[必须提供，原件备查]；</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（6）财务状况报告</w:t>
      </w:r>
      <w:r>
        <w:rPr>
          <w:rStyle w:val="10"/>
          <w:rFonts w:ascii="仿宋_GB2312" w:hAnsi="仿宋_GB2312" w:eastAsia="仿宋_GB2312"/>
          <w:b/>
          <w:color w:val="auto"/>
          <w:sz w:val="32"/>
          <w:szCs w:val="32"/>
          <w:highlight w:val="none"/>
        </w:rPr>
        <w:t>[格式自拟</w:t>
      </w:r>
      <w:r>
        <w:rPr>
          <w:rStyle w:val="10"/>
          <w:rFonts w:ascii="仿宋_GB2312" w:hAnsi="仿宋_GB2312" w:eastAsia="仿宋_GB2312"/>
          <w:color w:val="auto"/>
          <w:sz w:val="32"/>
          <w:szCs w:val="32"/>
          <w:highlight w:val="none"/>
        </w:rPr>
        <w:t>，必须提供]；</w:t>
      </w:r>
    </w:p>
    <w:p>
      <w:pPr>
        <w:snapToGrid w:val="0"/>
        <w:spacing w:line="520" w:lineRule="exact"/>
        <w:ind w:firstLine="627" w:firstLineChars="196"/>
        <w:jc w:val="left"/>
        <w:rPr>
          <w:rStyle w:val="10"/>
          <w:rFonts w:ascii="仿宋_GB2312" w:hAnsi="仿宋_GB2312" w:eastAsia="仿宋_GB2312"/>
          <w:b/>
          <w:color w:val="auto"/>
          <w:sz w:val="32"/>
          <w:szCs w:val="32"/>
          <w:highlight w:val="none"/>
        </w:rPr>
      </w:pPr>
      <w:r>
        <w:rPr>
          <w:rStyle w:val="10"/>
          <w:rFonts w:ascii="仿宋_GB2312" w:hAnsi="仿宋_GB2312" w:eastAsia="仿宋_GB2312"/>
          <w:color w:val="auto"/>
          <w:sz w:val="32"/>
          <w:szCs w:val="32"/>
          <w:highlight w:val="none"/>
        </w:rPr>
        <w:t>（7）响应文件递交截止之日前半年内磋商供应商连续三个月依法纳税的依法缴纳税费或依法免缴税费的证明</w:t>
      </w:r>
      <w:r>
        <w:rPr>
          <w:rStyle w:val="10"/>
          <w:rFonts w:ascii="仿宋_GB2312" w:hAnsi="仿宋_GB2312" w:eastAsia="仿宋_GB2312"/>
          <w:b/>
          <w:color w:val="auto"/>
          <w:sz w:val="32"/>
          <w:szCs w:val="32"/>
          <w:highlight w:val="none"/>
        </w:rPr>
        <w:t>[复印件，原件备查，格式自拟，必须提供]；</w:t>
      </w:r>
      <w:r>
        <w:rPr>
          <w:rStyle w:val="10"/>
          <w:rFonts w:ascii="仿宋_GB2312" w:hAnsi="仿宋_GB2312" w:eastAsia="仿宋_GB2312"/>
          <w:color w:val="auto"/>
          <w:sz w:val="32"/>
          <w:szCs w:val="32"/>
          <w:highlight w:val="none"/>
        </w:rPr>
        <w:t>无纳税记录的，应提供由磋商供应商所在地主管国税、地税部门出具的《依法纳税或依法免税证明》[格式自拟，复印件，原件备查]。</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s="仿宋_GB2312"/>
          <w:bCs/>
          <w:color w:val="auto"/>
          <w:sz w:val="32"/>
          <w:szCs w:val="32"/>
          <w:highlight w:val="none"/>
        </w:rPr>
        <w:t>（8）</w:t>
      </w:r>
      <w:r>
        <w:rPr>
          <w:rStyle w:val="10"/>
          <w:rFonts w:ascii="仿宋_GB2312" w:hAnsi="仿宋_GB2312" w:eastAsia="仿宋_GB2312"/>
          <w:color w:val="auto"/>
          <w:sz w:val="32"/>
          <w:szCs w:val="32"/>
          <w:highlight w:val="none"/>
        </w:rPr>
        <w:t>响应文件递交截止之日前半年内磋商供应商连续三个月的依法缴纳社保费的缴费凭证（</w:t>
      </w:r>
      <w:r>
        <w:rPr>
          <w:rStyle w:val="10"/>
          <w:rFonts w:ascii="仿宋_GB2312" w:hAnsi="仿宋_GB2312" w:eastAsia="仿宋_GB2312"/>
          <w:b/>
          <w:color w:val="auto"/>
          <w:sz w:val="32"/>
          <w:szCs w:val="32"/>
          <w:highlight w:val="none"/>
        </w:rPr>
        <w:t>复印件，原件备查，格式自拟）[必须提供]；</w:t>
      </w:r>
      <w:r>
        <w:rPr>
          <w:rStyle w:val="10"/>
          <w:rFonts w:ascii="仿宋_GB2312" w:hAnsi="仿宋_GB2312" w:eastAsia="仿宋_GB2312"/>
          <w:color w:val="auto"/>
          <w:sz w:val="32"/>
          <w:szCs w:val="32"/>
          <w:highlight w:val="none"/>
        </w:rPr>
        <w:t>无缴费记录的，应提供由磋商供应商所在地社保部门出具的《依法缴纳或依法免缴社保费证明》[格式自拟，复印件，原件备查]。</w:t>
      </w:r>
    </w:p>
    <w:p>
      <w:pPr>
        <w:spacing w:line="520" w:lineRule="exact"/>
        <w:ind w:firstLine="640" w:firstLineChars="200"/>
        <w:rPr>
          <w:rStyle w:val="10"/>
          <w:rFonts w:ascii="仿宋_GB2312" w:hAnsi="仿宋_GB2312" w:eastAsia="仿宋_GB2312"/>
          <w:b/>
          <w:color w:val="auto"/>
          <w:sz w:val="32"/>
          <w:szCs w:val="32"/>
          <w:highlight w:val="none"/>
        </w:rPr>
      </w:pPr>
      <w:r>
        <w:rPr>
          <w:rStyle w:val="10"/>
          <w:rFonts w:ascii="仿宋_GB2312" w:hAnsi="仿宋_GB2312" w:eastAsia="仿宋_GB2312" w:cs="仿宋_GB2312"/>
          <w:bCs/>
          <w:color w:val="auto"/>
          <w:kern w:val="0"/>
          <w:sz w:val="32"/>
          <w:szCs w:val="32"/>
          <w:highlight w:val="none"/>
        </w:rPr>
        <w:t>（9）</w:t>
      </w:r>
      <w:r>
        <w:rPr>
          <w:rStyle w:val="10"/>
          <w:rFonts w:ascii="仿宋_GB2312" w:hAnsi="仿宋_GB2312" w:eastAsia="仿宋_GB2312"/>
          <w:color w:val="auto"/>
          <w:sz w:val="32"/>
          <w:szCs w:val="32"/>
          <w:highlight w:val="none"/>
        </w:rPr>
        <w:t>具备履行合同所必需的设备和专业技术能力的证明材料</w:t>
      </w:r>
      <w:r>
        <w:rPr>
          <w:rStyle w:val="10"/>
          <w:rFonts w:ascii="仿宋_GB2312" w:hAnsi="仿宋_GB2312" w:eastAsia="仿宋_GB2312"/>
          <w:b/>
          <w:color w:val="auto"/>
          <w:kern w:val="0"/>
          <w:sz w:val="32"/>
          <w:szCs w:val="32"/>
          <w:highlight w:val="none"/>
        </w:rPr>
        <w:t>；</w:t>
      </w:r>
      <w:r>
        <w:rPr>
          <w:rStyle w:val="10"/>
          <w:rFonts w:ascii="仿宋_GB2312" w:hAnsi="仿宋_GB2312" w:eastAsia="仿宋_GB2312"/>
          <w:b/>
          <w:color w:val="auto"/>
          <w:sz w:val="32"/>
          <w:szCs w:val="32"/>
          <w:highlight w:val="none"/>
        </w:rPr>
        <w:t>[格式自拟，必须提供]</w:t>
      </w:r>
    </w:p>
    <w:p>
      <w:pPr>
        <w:spacing w:line="520" w:lineRule="exact"/>
        <w:ind w:firstLine="640" w:firstLineChars="200"/>
        <w:rPr>
          <w:rStyle w:val="10"/>
          <w:rFonts w:ascii="仿宋_GB2312" w:hAnsi="仿宋_GB2312" w:eastAsia="仿宋_GB2312"/>
          <w:color w:val="auto"/>
          <w:kern w:val="0"/>
          <w:sz w:val="32"/>
          <w:szCs w:val="32"/>
          <w:highlight w:val="none"/>
        </w:rPr>
      </w:pPr>
      <w:r>
        <w:rPr>
          <w:rStyle w:val="10"/>
          <w:rFonts w:ascii="仿宋_GB2312" w:hAnsi="仿宋_GB2312" w:eastAsia="仿宋_GB2312"/>
          <w:color w:val="auto"/>
          <w:sz w:val="32"/>
          <w:szCs w:val="32"/>
          <w:highlight w:val="none"/>
        </w:rPr>
        <w:t>（10）</w:t>
      </w:r>
      <w:r>
        <w:rPr>
          <w:rStyle w:val="10"/>
          <w:rFonts w:ascii="仿宋_GB2312" w:hAnsi="仿宋_GB2312" w:eastAsia="仿宋_GB2312"/>
          <w:color w:val="auto"/>
          <w:kern w:val="0"/>
          <w:sz w:val="32"/>
          <w:szCs w:val="32"/>
          <w:highlight w:val="none"/>
        </w:rPr>
        <w:t>参加政府采购活动前三年内在经营活动中没有重大违法记录和不良信用记录的书面声明；【格式自拟，必须提供】（供应商可在“信用中国”网站（www.creditchina.gov.cn）、中国政府采购网（www.ccgp.gov.cn）查询相关供应商主体信用记录，同时须将查询结果截图加盖单位公章与上述书面声明一并提交）</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（11）具备法律、行政法规规定的其他条件的证明材料</w:t>
      </w:r>
      <w:r>
        <w:rPr>
          <w:rStyle w:val="10"/>
          <w:rFonts w:ascii="仿宋_GB2312" w:hAnsi="仿宋_GB2312" w:eastAsia="仿宋_GB2312"/>
          <w:b/>
          <w:color w:val="auto"/>
          <w:sz w:val="32"/>
          <w:szCs w:val="32"/>
          <w:highlight w:val="none"/>
        </w:rPr>
        <w:t>[如有规定,则必须提供]。</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（12）服务方案(含服务承诺)[附件六]（内容可以是提供的切实可行服务实施方案及服务优惠承诺）</w:t>
      </w:r>
      <w:r>
        <w:rPr>
          <w:rStyle w:val="10"/>
          <w:rFonts w:ascii="仿宋_GB2312" w:hAnsi="仿宋_GB2312" w:eastAsia="仿宋_GB2312"/>
          <w:b/>
          <w:color w:val="auto"/>
          <w:sz w:val="32"/>
          <w:szCs w:val="32"/>
          <w:highlight w:val="none"/>
        </w:rPr>
        <w:t>[格式自拟，必须提供]</w:t>
      </w:r>
      <w:r>
        <w:rPr>
          <w:rStyle w:val="10"/>
          <w:rFonts w:ascii="仿宋_GB2312" w:hAnsi="仿宋_GB2312" w:eastAsia="仿宋_GB2312"/>
          <w:color w:val="auto"/>
          <w:sz w:val="32"/>
          <w:szCs w:val="32"/>
          <w:highlight w:val="none"/>
        </w:rPr>
        <w:t>；</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（13）质量保证措施；</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（14）磋商供应商认为需要提供的有关资料。</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6. 计量单位</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6.1除技术要求中另有规定外，本文件所要求使用的计量单位均应采用国家法定计量单位。</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三、报价要求</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7.1对于本文件中未列明，而磋商供应商认为必需的费用也需列入总报价。在合同实施时，采购人将不予支付成交供应商没有列入的项目费用，并认为此项目的费用已包括在总报价中。</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7.2成交供应商负责本项目所需服务及售后服务等全部工作。</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7.3磋商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竞争性磋商响应文件的解释发生异议的，以中文文本为准。除上述原因以外，如果因磋商供应商原因引起的报价失误，并在磋商时被接受，其后果由磋商供应商自负。</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7.4报价：磋商供应商可就《采购需求》中所有的服务内容作完整唯一报价。</w:t>
      </w:r>
    </w:p>
    <w:p>
      <w:pPr>
        <w:numPr>
          <w:ilvl w:val="0"/>
          <w:numId w:val="5"/>
        </w:num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竞争性磋商响应文件的份数、封装和递交</w:t>
      </w:r>
    </w:p>
    <w:p>
      <w:pPr>
        <w:numPr>
          <w:ilvl w:val="0"/>
          <w:numId w:val="6"/>
        </w:num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竞争性磋商响应文件的份数和封装</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8.1磋商供应商应将竞争性磋商响应文件中“价格文件”和“商务技术文件”装订成一本（两文件相隔之间用封面标识，封面写明“价格文件”、“商务技术文件”字样）。</w:t>
      </w:r>
    </w:p>
    <w:p>
      <w:pPr>
        <w:pStyle w:val="26"/>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磋商供应商将竞争性磋商响应文件按正、副本分别装订成册，在每个正、副本封面上标明“正本”或“副本”，以及项目名称、项目编号、</w:t>
      </w:r>
      <w:r>
        <w:rPr>
          <w:rStyle w:val="10"/>
          <w:rFonts w:ascii="仿宋_GB2312" w:hAnsi="仿宋_GB2312" w:eastAsia="仿宋_GB2312" w:cs="仿宋_GB2312"/>
          <w:bCs/>
          <w:color w:val="auto"/>
          <w:sz w:val="32"/>
          <w:szCs w:val="32"/>
          <w:highlight w:val="none"/>
        </w:rPr>
        <w:t>所竞分标号</w:t>
      </w:r>
      <w:r>
        <w:rPr>
          <w:rStyle w:val="10"/>
          <w:rFonts w:ascii="仿宋_GB2312" w:hAnsi="仿宋_GB2312" w:eastAsia="仿宋_GB2312"/>
          <w:color w:val="auto"/>
          <w:sz w:val="32"/>
          <w:szCs w:val="32"/>
          <w:highlight w:val="none"/>
        </w:rPr>
        <w:t xml:space="preserve">、磋商供应商名称等内容。 </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8.2磋商供应商应将竞争性磋商响应文件正、副本（正本一份，副本四份）并附竞争性磋商响应文件电子光盘1份(光盘封面请注明项目名称、项目编号及磋商人名称)装入到一个竞争性磋商响应文件袋内，封装并加以密封（要求竞争性磋商响应文件袋无明显缝隙露出袋内文件）；</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文件袋外层封面上应写明：</w:t>
      </w:r>
    </w:p>
    <w:p>
      <w:pPr>
        <w:pStyle w:val="26"/>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（1）项目名称：</w:t>
      </w:r>
    </w:p>
    <w:p>
      <w:pPr>
        <w:pStyle w:val="26"/>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（2）项目编号：</w:t>
      </w:r>
    </w:p>
    <w:p>
      <w:pPr>
        <w:pStyle w:val="26"/>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（3）所竞分标号： </w:t>
      </w:r>
    </w:p>
    <w:p>
      <w:pPr>
        <w:pStyle w:val="26"/>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（4）磋商供应商名称：</w:t>
      </w:r>
    </w:p>
    <w:p>
      <w:pPr>
        <w:pStyle w:val="26"/>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（5）（截标时才能启封）</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9. 竞争性磋商响应文件的递交</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9.1所有竞争性磋商响应文件应于竞争性磋商文件中规定的时间前递交到</w:t>
      </w:r>
      <w:r>
        <w:rPr>
          <w:rStyle w:val="10"/>
          <w:rFonts w:ascii="仿宋_GB2312" w:hAnsi="仿宋_GB2312" w:eastAsia="仿宋_GB2312"/>
          <w:color w:val="auto"/>
          <w:sz w:val="32"/>
          <w:szCs w:val="32"/>
          <w:highlight w:val="none"/>
          <w:u w:val="single"/>
        </w:rPr>
        <w:t>本公司</w:t>
      </w:r>
      <w:r>
        <w:rPr>
          <w:rStyle w:val="10"/>
          <w:rFonts w:ascii="仿宋_GB2312" w:hAnsi="仿宋_GB2312" w:eastAsia="仿宋_GB2312"/>
          <w:color w:val="auto"/>
          <w:sz w:val="32"/>
          <w:szCs w:val="32"/>
          <w:highlight w:val="none"/>
        </w:rPr>
        <w:t>开标室。</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9.2竞争性磋商响应文件从响应文件递交截止日期后</w:t>
      </w:r>
      <w:r>
        <w:rPr>
          <w:rStyle w:val="10"/>
          <w:rFonts w:ascii="仿宋_GB2312" w:hAnsi="仿宋_GB2312" w:eastAsia="仿宋_GB2312"/>
          <w:color w:val="auto"/>
          <w:sz w:val="32"/>
          <w:szCs w:val="32"/>
          <w:highlight w:val="none"/>
          <w:u w:val="single"/>
        </w:rPr>
        <w:t>六十日</w:t>
      </w:r>
      <w:r>
        <w:rPr>
          <w:rStyle w:val="10"/>
          <w:rFonts w:ascii="仿宋_GB2312" w:hAnsi="仿宋_GB2312" w:eastAsia="仿宋_GB2312"/>
          <w:color w:val="auto"/>
          <w:sz w:val="32"/>
          <w:szCs w:val="32"/>
          <w:highlight w:val="none"/>
        </w:rPr>
        <w:t>内有效。</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10.迟交的竞争性磋商响应文件</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10.1在本文件要求竞争性磋商响应文件递交截止时间后送达的竞争性磋商响应文件为无效文件，本公司将拒收。</w:t>
      </w:r>
    </w:p>
    <w:p>
      <w:pPr>
        <w:spacing w:line="520" w:lineRule="exact"/>
        <w:ind w:firstLine="640" w:firstLineChars="200"/>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olor w:val="auto"/>
          <w:sz w:val="32"/>
          <w:szCs w:val="32"/>
          <w:highlight w:val="none"/>
        </w:rPr>
        <w:t>11.0保证金应用人民币：</w:t>
      </w:r>
      <w:r>
        <w:rPr>
          <w:rStyle w:val="10"/>
          <w:rFonts w:ascii="仿宋_GB2312" w:hAnsi="仿宋_GB2312" w:eastAsia="仿宋_GB2312" w:cs="仿宋_GB2312"/>
          <w:bCs/>
          <w:color w:val="auto"/>
          <w:sz w:val="32"/>
          <w:szCs w:val="32"/>
          <w:highlight w:val="none"/>
        </w:rPr>
        <w:t>具体金额详见磋商供应商须知前附表。</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11.1 保证金交纳方式：</w:t>
      </w:r>
      <w:r>
        <w:rPr>
          <w:rStyle w:val="10"/>
          <w:rFonts w:ascii="仿宋_GB2312" w:hAnsi="仿宋_GB2312" w:eastAsia="仿宋_GB2312"/>
          <w:color w:val="auto"/>
          <w:kern w:val="0"/>
          <w:sz w:val="32"/>
          <w:szCs w:val="32"/>
          <w:highlight w:val="none"/>
        </w:rPr>
        <w:t>支票、汇票、本票等非现金形式交纳。</w:t>
      </w:r>
    </w:p>
    <w:p>
      <w:pPr>
        <w:pStyle w:val="26"/>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11.2办理保证金手续时，请务必在银行相关票据（非现金）或凭证的用途或空白栏上注明项目名称及项目编号，以免耽误竞争性磋商。</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11.3磋商供应商在项目开标当天将保证金交纳凭证复印件壹份交到本公司项目负责人处以便退款。</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11.4未成交磋商供应商的保证金，将在成交通知书发出后五个工作日内予以退还，不计利息。</w:t>
      </w:r>
    </w:p>
    <w:p>
      <w:pPr>
        <w:spacing w:line="520" w:lineRule="exact"/>
        <w:ind w:firstLine="480" w:firstLineChars="15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成交人的保证金在合同签订后五个工作日内退还（合同签订后送达本公司），不计利息。</w:t>
      </w:r>
    </w:p>
    <w:p>
      <w:pPr>
        <w:snapToGrid w:val="0"/>
        <w:spacing w:line="520" w:lineRule="exact"/>
        <w:ind w:firstLine="627" w:firstLineChars="196"/>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11.5对应交未交保证金的竞争性磋商响应文件，将会在评审中按照无效竞争性磋商响应文件处理。</w:t>
      </w:r>
    </w:p>
    <w:p>
      <w:pPr>
        <w:snapToGrid w:val="0"/>
        <w:spacing w:line="520" w:lineRule="exact"/>
        <w:ind w:firstLine="627" w:firstLineChars="196"/>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（说明：评审时，磋商小组将以本公司财务室编制的《竞争性磋商文件报名登记名单及保证金收缴情况表》作为评审依据）。</w:t>
      </w:r>
    </w:p>
    <w:p>
      <w:pPr>
        <w:tabs>
          <w:tab w:val="left" w:pos="975"/>
        </w:tabs>
        <w:snapToGrid w:val="0"/>
        <w:spacing w:line="520" w:lineRule="exact"/>
        <w:ind w:firstLine="630" w:firstLineChars="196"/>
        <w:jc w:val="left"/>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注：</w:t>
      </w:r>
      <w:r>
        <w:rPr>
          <w:rStyle w:val="10"/>
          <w:rFonts w:ascii="仿宋_GB2312" w:hAnsi="仿宋_GB2312" w:eastAsia="仿宋_GB2312"/>
          <w:color w:val="auto"/>
          <w:kern w:val="0"/>
          <w:sz w:val="32"/>
          <w:szCs w:val="32"/>
          <w:highlight w:val="none"/>
        </w:rPr>
        <w:t>在采购过程中符合竞争要求的供应商或者报价未超过采购预算的供应商不足3家的</w:t>
      </w:r>
      <w:r>
        <w:rPr>
          <w:rStyle w:val="10"/>
          <w:rFonts w:ascii="仿宋_GB2312" w:hAnsi="仿宋_GB2312" w:eastAsia="仿宋_GB2312" w:cs="仿宋_GB2312"/>
          <w:b/>
          <w:bCs/>
          <w:color w:val="auto"/>
          <w:sz w:val="32"/>
          <w:szCs w:val="32"/>
          <w:highlight w:val="none"/>
        </w:rPr>
        <w:t>，本公司将按政府采购管理的有关规定处理。</w:t>
      </w:r>
    </w:p>
    <w:p>
      <w:pPr>
        <w:snapToGrid w:val="0"/>
        <w:spacing w:line="520" w:lineRule="exact"/>
        <w:ind w:firstLine="630" w:firstLineChars="196"/>
        <w:jc w:val="left"/>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11.6磋商供应商有下列情形之一的，保证金将不予退还：</w:t>
      </w:r>
    </w:p>
    <w:p>
      <w:pPr>
        <w:pStyle w:val="26"/>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（1）磋商供应商在提交竞争性磋商响应文件截止时间后撤回竞争性磋商响应文件的；</w:t>
      </w:r>
    </w:p>
    <w:p>
      <w:pPr>
        <w:pStyle w:val="26"/>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（2）磋商供应商在竞争性磋商响应文件中提供虚假材料的；</w:t>
      </w:r>
    </w:p>
    <w:p>
      <w:pPr>
        <w:pStyle w:val="26"/>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（3）除因不可抗力或竞争性磋商文件认可的情形以外，成交供应商不与采购人签订合同的；</w:t>
      </w:r>
    </w:p>
    <w:p>
      <w:pPr>
        <w:pStyle w:val="26"/>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（4）磋商供应商与采购人、其他供应商或者采购代理机构恶意串通的。</w:t>
      </w:r>
    </w:p>
    <w:p>
      <w:pPr>
        <w:spacing w:line="520" w:lineRule="exact"/>
        <w:ind w:firstLine="640" w:firstLineChars="200"/>
        <w:rPr>
          <w:rStyle w:val="10"/>
          <w:rFonts w:ascii="仿宋_GB2312" w:hAnsi="仿宋_GB2312" w:eastAsia="仿宋_GB2312"/>
          <w:b/>
          <w:color w:val="auto"/>
          <w:sz w:val="32"/>
          <w:szCs w:val="32"/>
          <w:highlight w:val="none"/>
        </w:rPr>
      </w:pPr>
      <w:r>
        <w:rPr>
          <w:rStyle w:val="10"/>
          <w:rFonts w:ascii="仿宋_GB2312" w:hAnsi="仿宋_GB2312" w:eastAsia="仿宋_GB2312" w:cs="仿宋_GB2312"/>
          <w:bCs/>
          <w:color w:val="auto"/>
          <w:sz w:val="32"/>
          <w:szCs w:val="32"/>
          <w:highlight w:val="none"/>
        </w:rPr>
        <w:t>注：</w:t>
      </w:r>
      <w:r>
        <w:rPr>
          <w:rStyle w:val="10"/>
          <w:rFonts w:ascii="仿宋_GB2312" w:hAnsi="仿宋_GB2312" w:eastAsia="仿宋_GB2312"/>
          <w:color w:val="auto"/>
          <w:kern w:val="0"/>
          <w:sz w:val="32"/>
          <w:szCs w:val="32"/>
          <w:highlight w:val="none"/>
        </w:rPr>
        <w:t>磋商供应商</w:t>
      </w:r>
      <w:r>
        <w:rPr>
          <w:rStyle w:val="10"/>
          <w:rFonts w:ascii="仿宋_GB2312" w:hAnsi="仿宋_GB2312" w:eastAsia="仿宋_GB2312"/>
          <w:b/>
          <w:color w:val="auto"/>
          <w:sz w:val="32"/>
          <w:szCs w:val="32"/>
          <w:highlight w:val="none"/>
        </w:rPr>
        <w:t>已经被推荐为成交候选人后撤回</w:t>
      </w:r>
      <w:r>
        <w:rPr>
          <w:rStyle w:val="10"/>
          <w:rFonts w:ascii="仿宋_GB2312" w:hAnsi="仿宋_GB2312" w:eastAsia="仿宋_GB2312"/>
          <w:color w:val="auto"/>
          <w:sz w:val="32"/>
          <w:szCs w:val="32"/>
          <w:highlight w:val="none"/>
        </w:rPr>
        <w:t>竞争性磋商</w:t>
      </w:r>
      <w:r>
        <w:rPr>
          <w:rStyle w:val="10"/>
          <w:rFonts w:ascii="仿宋_GB2312" w:hAnsi="仿宋_GB2312" w:eastAsia="仿宋_GB2312"/>
          <w:color w:val="auto"/>
          <w:kern w:val="0"/>
          <w:sz w:val="32"/>
          <w:szCs w:val="32"/>
          <w:highlight w:val="none"/>
        </w:rPr>
        <w:t>响应文件</w:t>
      </w:r>
      <w:r>
        <w:rPr>
          <w:rStyle w:val="10"/>
          <w:rFonts w:ascii="仿宋_GB2312" w:hAnsi="仿宋_GB2312" w:eastAsia="仿宋_GB2312"/>
          <w:b/>
          <w:color w:val="auto"/>
          <w:sz w:val="32"/>
          <w:szCs w:val="32"/>
          <w:highlight w:val="none"/>
        </w:rPr>
        <w:t>或</w:t>
      </w:r>
      <w:r>
        <w:rPr>
          <w:rStyle w:val="10"/>
          <w:rFonts w:ascii="仿宋_GB2312" w:hAnsi="仿宋_GB2312" w:eastAsia="仿宋_GB2312"/>
          <w:color w:val="auto"/>
          <w:kern w:val="0"/>
          <w:sz w:val="32"/>
          <w:szCs w:val="32"/>
          <w:highlight w:val="none"/>
        </w:rPr>
        <w:t>拒绝签订政府采购合同的</w:t>
      </w:r>
      <w:r>
        <w:rPr>
          <w:rStyle w:val="10"/>
          <w:rFonts w:ascii="仿宋_GB2312" w:hAnsi="仿宋_GB2312" w:eastAsia="仿宋_GB2312"/>
          <w:b/>
          <w:color w:val="auto"/>
          <w:sz w:val="32"/>
          <w:szCs w:val="32"/>
          <w:highlight w:val="none"/>
        </w:rPr>
        <w:t>，其保证金将不予退还，给采购人造成其损失的，还应当赔偿损失，并作为不良行为记录在案。</w:t>
      </w:r>
    </w:p>
    <w:p>
      <w:pPr>
        <w:pStyle w:val="26"/>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五、磋商程序及评审方法</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（一）在磋商正式开始前由磋商小组对竞争性磋商文件进行确认，认可竞争性磋商文件的内容符合法律法规的规定、不存在歧视性或排他性内容。</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二）提供相同品牌产品的不同磋商供应商参加同一合同项下磋商活动的，以其中通过资格审查、符合性审查且报价最低的参加评审，报价相同的，由采购人自主选择确定一个参加评审的磋商供应商，其他磋商响应无效。</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非单一产品采购项目中，多家磋商供应商提供的响应文件中载明的核心产品品牌相同的，视为提供相同品牌产品。</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（三）竞争性磋商响应文件无效的情形：</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1.未实质性响应竞争性磋商文件的竞争性磋商响应文件按无效处理。</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2.有下列情形之一的视为供应商相互串通参与磋商活动，竞争性磋商响应文件将被视为无效：</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（1）不同供应商的竞争性磋商响应文件由同一单位或者个人编制；或不同供应商报名的IP地址一致的；</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（2）不同供应商委托同一单位或者个人办理磋商活动事宜；</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（3）不同的供应商的竞争性磋商响应文件载明的项目管理员为同一个人；</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（4）不同供应商的竞争性磋商响应文件异常一致或报价呈规律性差异；</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（5）不同供应商的竞争性磋商响应文件相互混装；</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（6）不同供应商的保证金从同一单位或者个人账户转出。 </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3.有下列情形之一的视为关联供应商参加同一合同项下政府采购活动，竞争性磋商响应文件将被视为无效：</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（1）单位负责人为同一人或者存在直接控股、管理关系的不同供应商，参加同一合同项下政府采购活动；</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（2）生产厂商授权给供应商后又参加同一合同项下的政府采购活动；生产厂商对同一品牌同一型号的货物委托多个代理商参加磋商活动。</w:t>
      </w:r>
    </w:p>
    <w:p>
      <w:pPr>
        <w:tabs>
          <w:tab w:val="left" w:pos="540"/>
        </w:tabs>
        <w:spacing w:line="520" w:lineRule="exact"/>
        <w:ind w:firstLine="320" w:firstLineChars="1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4.被拒绝的响应文件为无效。</w:t>
      </w:r>
    </w:p>
    <w:p>
      <w:pPr>
        <w:pStyle w:val="26"/>
        <w:spacing w:line="520" w:lineRule="exact"/>
        <w:ind w:firstLine="320" w:firstLineChars="100"/>
        <w:rPr>
          <w:rStyle w:val="10"/>
          <w:rFonts w:ascii="仿宋_GB2312" w:hAnsi="仿宋_GB2312" w:eastAsia="仿宋_GB2312"/>
          <w:color w:val="auto"/>
          <w:kern w:val="0"/>
          <w:sz w:val="32"/>
          <w:szCs w:val="32"/>
          <w:highlight w:val="none"/>
        </w:rPr>
      </w:pPr>
      <w:r>
        <w:rPr>
          <w:rStyle w:val="10"/>
          <w:rFonts w:ascii="仿宋_GB2312" w:hAnsi="仿宋_GB2312" w:eastAsia="仿宋_GB2312"/>
          <w:color w:val="auto"/>
          <w:sz w:val="32"/>
          <w:szCs w:val="32"/>
          <w:highlight w:val="none"/>
        </w:rPr>
        <w:t>5.磋商供应商竞争性磋商响应文件无效的，磋商小组应当告知有关供应商。</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12.1第一轮磋商</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磋商时间及地点: 详见本须知前附表第8项规定。</w:t>
      </w:r>
    </w:p>
    <w:p>
      <w:pPr>
        <w:tabs>
          <w:tab w:val="left" w:pos="540"/>
        </w:tabs>
        <w:spacing w:line="520" w:lineRule="exact"/>
        <w:ind w:firstLine="640" w:firstLineChars="200"/>
        <w:jc w:val="left"/>
        <w:rPr>
          <w:rStyle w:val="10"/>
          <w:rFonts w:ascii="仿宋_GB2312" w:hAnsi="仿宋_GB2312" w:eastAsia="仿宋_GB2312"/>
          <w:color w:val="auto"/>
          <w:kern w:val="0"/>
          <w:sz w:val="32"/>
          <w:szCs w:val="32"/>
          <w:highlight w:val="none"/>
        </w:rPr>
      </w:pPr>
      <w:r>
        <w:rPr>
          <w:rStyle w:val="10"/>
          <w:rFonts w:ascii="仿宋_GB2312" w:hAnsi="仿宋_GB2312" w:eastAsia="仿宋_GB2312"/>
          <w:color w:val="auto"/>
          <w:sz w:val="32"/>
          <w:szCs w:val="32"/>
          <w:highlight w:val="none"/>
        </w:rPr>
        <w:t>磋商小组对竞争性磋商响应文件进行资格性审查，依据</w:t>
      </w:r>
      <w:r>
        <w:rPr>
          <w:rStyle w:val="10"/>
          <w:rFonts w:ascii="仿宋_GB2312" w:hAnsi="仿宋_GB2312" w:eastAsia="仿宋_GB2312"/>
          <w:b/>
          <w:color w:val="auto"/>
          <w:sz w:val="32"/>
          <w:szCs w:val="32"/>
          <w:highlight w:val="none"/>
        </w:rPr>
        <w:t>竞争性磋商</w:t>
      </w:r>
      <w:r>
        <w:rPr>
          <w:rStyle w:val="10"/>
          <w:rFonts w:ascii="仿宋_GB2312" w:hAnsi="仿宋_GB2312" w:eastAsia="仿宋_GB2312"/>
          <w:color w:val="auto"/>
          <w:sz w:val="32"/>
          <w:szCs w:val="32"/>
          <w:highlight w:val="none"/>
        </w:rPr>
        <w:t>文件对已通过资格性审核的各竞争性磋商响应文件进行书面评审，审查竞争性磋商响应文件是否实质上响应了</w:t>
      </w:r>
      <w:r>
        <w:rPr>
          <w:rStyle w:val="10"/>
          <w:rFonts w:ascii="仿宋_GB2312" w:hAnsi="仿宋_GB2312" w:eastAsia="仿宋_GB2312"/>
          <w:b/>
          <w:color w:val="auto"/>
          <w:sz w:val="32"/>
          <w:szCs w:val="32"/>
          <w:highlight w:val="none"/>
        </w:rPr>
        <w:t>竞争性磋商</w:t>
      </w:r>
      <w:r>
        <w:rPr>
          <w:rStyle w:val="10"/>
          <w:rFonts w:ascii="仿宋_GB2312" w:hAnsi="仿宋_GB2312" w:eastAsia="仿宋_GB2312"/>
          <w:color w:val="auto"/>
          <w:sz w:val="32"/>
          <w:szCs w:val="32"/>
          <w:highlight w:val="none"/>
        </w:rPr>
        <w:t>文件的要求，在评审后由磋商小组组长主持，归纳各专家审核意见，形成磋商要点。磋商小组依据磋商要点，与单一</w:t>
      </w:r>
      <w:r>
        <w:rPr>
          <w:rStyle w:val="10"/>
          <w:rFonts w:ascii="仿宋_GB2312" w:hAnsi="仿宋_GB2312" w:eastAsia="仿宋_GB2312" w:cs="仿宋_GB2312"/>
          <w:b/>
          <w:bCs/>
          <w:color w:val="auto"/>
          <w:sz w:val="32"/>
          <w:szCs w:val="32"/>
          <w:highlight w:val="none"/>
        </w:rPr>
        <w:t>磋商供应商分别</w:t>
      </w:r>
      <w:r>
        <w:rPr>
          <w:rStyle w:val="10"/>
          <w:rFonts w:ascii="仿宋_GB2312" w:hAnsi="仿宋_GB2312" w:eastAsia="仿宋_GB2312"/>
          <w:color w:val="auto"/>
          <w:sz w:val="32"/>
          <w:szCs w:val="32"/>
          <w:highlight w:val="none"/>
        </w:rPr>
        <w:t>进行磋商，</w:t>
      </w:r>
      <w:r>
        <w:rPr>
          <w:rStyle w:val="10"/>
          <w:rFonts w:ascii="仿宋_GB2312" w:hAnsi="仿宋_GB2312" w:eastAsia="仿宋_GB2312"/>
          <w:color w:val="auto"/>
          <w:kern w:val="0"/>
          <w:sz w:val="32"/>
          <w:szCs w:val="32"/>
          <w:highlight w:val="none"/>
        </w:rPr>
        <w:t>给予所有参加磋商的磋商供应商平等的磋商机会。</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磋商评审在严格保密的情况下进行，磋商的任何一方不得透露与磋商有关的其他供应商的技术服务资料、价格和其他信息。本公司对磋商过程和重要磋商内容进行记录，磋商双方在记录上签字确认。</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磋商后，磋商供应商根据磋商小组统一整理的书面磋商记录要求做出书面承诺，并由其法定代表人(负责人)或授权代表签字或者加盖公章</w:t>
      </w:r>
      <w:r>
        <w:rPr>
          <w:rStyle w:val="10"/>
          <w:rFonts w:ascii="仿宋_GB2312" w:hAnsi="仿宋_GB2312" w:eastAsia="仿宋_GB2312"/>
          <w:color w:val="auto"/>
          <w:kern w:val="0"/>
          <w:sz w:val="32"/>
          <w:szCs w:val="32"/>
          <w:highlight w:val="none"/>
        </w:rPr>
        <w:t>后按时密封递交</w:t>
      </w:r>
      <w:r>
        <w:rPr>
          <w:rStyle w:val="10"/>
          <w:rFonts w:ascii="仿宋_GB2312" w:hAnsi="仿宋_GB2312" w:eastAsia="仿宋_GB2312"/>
          <w:color w:val="auto"/>
          <w:sz w:val="32"/>
          <w:szCs w:val="32"/>
          <w:highlight w:val="none"/>
        </w:rPr>
        <w:t>。</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当磋商小组一致确定磋商供应商的竞争性磋商响应文件能够详细列明采购标的的技术、服务要求且符合竞争性磋商文件要求，无需再磋商的，磋商小组按竞争性磋商文件设定的12.4、12.6程序和综合评分法确定成交候选供应商。第一轮磋商后</w:t>
      </w:r>
      <w:r>
        <w:rPr>
          <w:rStyle w:val="10"/>
          <w:rFonts w:ascii="仿宋_GB2312" w:hAnsi="仿宋_GB2312" w:eastAsia="仿宋_GB2312"/>
          <w:b/>
          <w:color w:val="auto"/>
          <w:sz w:val="32"/>
          <w:szCs w:val="32"/>
          <w:highlight w:val="none"/>
        </w:rPr>
        <w:t>竞争性磋商</w:t>
      </w:r>
      <w:r>
        <w:rPr>
          <w:rStyle w:val="10"/>
          <w:rFonts w:ascii="仿宋_GB2312" w:hAnsi="仿宋_GB2312" w:eastAsia="仿宋_GB2312"/>
          <w:color w:val="auto"/>
          <w:sz w:val="32"/>
          <w:szCs w:val="32"/>
          <w:highlight w:val="none"/>
        </w:rPr>
        <w:t>文件有实质性变动或仍需磋商的，磋商小组对竞争性磋商文件变动或提出磋商意见后进行第二轮磋商。</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12.2</w:t>
      </w:r>
      <w:r>
        <w:rPr>
          <w:rStyle w:val="10"/>
          <w:rFonts w:ascii="仿宋_GB2312" w:hAnsi="仿宋_GB2312" w:eastAsia="仿宋_GB2312"/>
          <w:b/>
          <w:color w:val="auto"/>
          <w:sz w:val="32"/>
          <w:szCs w:val="32"/>
          <w:highlight w:val="none"/>
        </w:rPr>
        <w:t>竞争性磋商</w:t>
      </w:r>
      <w:r>
        <w:rPr>
          <w:rStyle w:val="10"/>
          <w:rFonts w:ascii="仿宋_GB2312" w:hAnsi="仿宋_GB2312" w:eastAsia="仿宋_GB2312"/>
          <w:color w:val="auto"/>
          <w:sz w:val="32"/>
          <w:szCs w:val="32"/>
          <w:highlight w:val="none"/>
        </w:rPr>
        <w:t>文件变动</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⑴第一轮磋商结束后，各磋商供应商退场等候，由磋商小组组长主持，根据</w:t>
      </w:r>
      <w:r>
        <w:rPr>
          <w:rStyle w:val="10"/>
          <w:rFonts w:ascii="仿宋_GB2312" w:hAnsi="仿宋_GB2312" w:eastAsia="仿宋_GB2312"/>
          <w:b/>
          <w:color w:val="auto"/>
          <w:sz w:val="32"/>
          <w:szCs w:val="32"/>
          <w:highlight w:val="none"/>
        </w:rPr>
        <w:t>竞争性磋商</w:t>
      </w:r>
      <w:r>
        <w:rPr>
          <w:rStyle w:val="10"/>
          <w:rFonts w:ascii="仿宋_GB2312" w:hAnsi="仿宋_GB2312" w:eastAsia="仿宋_GB2312"/>
          <w:color w:val="auto"/>
          <w:sz w:val="32"/>
          <w:szCs w:val="32"/>
          <w:highlight w:val="none"/>
        </w:rPr>
        <w:t>文件和磋商情况结合第一轮磋商整体情况，可以对</w:t>
      </w:r>
      <w:r>
        <w:rPr>
          <w:rStyle w:val="10"/>
          <w:rFonts w:ascii="仿宋_GB2312" w:hAnsi="仿宋_GB2312" w:eastAsia="仿宋_GB2312"/>
          <w:b/>
          <w:color w:val="auto"/>
          <w:sz w:val="32"/>
          <w:szCs w:val="32"/>
          <w:highlight w:val="none"/>
        </w:rPr>
        <w:t>竞争性磋商</w:t>
      </w:r>
      <w:r>
        <w:rPr>
          <w:rStyle w:val="10"/>
          <w:rFonts w:ascii="仿宋_GB2312" w:hAnsi="仿宋_GB2312" w:eastAsia="仿宋_GB2312"/>
          <w:color w:val="auto"/>
          <w:sz w:val="32"/>
          <w:szCs w:val="32"/>
          <w:highlight w:val="none"/>
        </w:rPr>
        <w:t>文件采购需求中已事先明确的可能实质性变动采购需求中的技术、服务要求以及协议草案条款进行统一变动，但不得变动</w:t>
      </w:r>
      <w:r>
        <w:rPr>
          <w:rStyle w:val="10"/>
          <w:rFonts w:ascii="仿宋_GB2312" w:hAnsi="仿宋_GB2312" w:eastAsia="仿宋_GB2312"/>
          <w:b/>
          <w:color w:val="auto"/>
          <w:sz w:val="32"/>
          <w:szCs w:val="32"/>
          <w:highlight w:val="none"/>
        </w:rPr>
        <w:t>竞争性磋商</w:t>
      </w:r>
      <w:r>
        <w:rPr>
          <w:rStyle w:val="10"/>
          <w:rFonts w:ascii="仿宋_GB2312" w:hAnsi="仿宋_GB2312" w:eastAsia="仿宋_GB2312"/>
          <w:color w:val="auto"/>
          <w:sz w:val="32"/>
          <w:szCs w:val="32"/>
          <w:highlight w:val="none"/>
        </w:rPr>
        <w:t>文件中的其他内容。实质性变动的内容，须经采购人代表确认。</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对</w:t>
      </w:r>
      <w:r>
        <w:rPr>
          <w:rStyle w:val="10"/>
          <w:rFonts w:ascii="仿宋_GB2312" w:hAnsi="仿宋_GB2312" w:eastAsia="仿宋_GB2312"/>
          <w:b/>
          <w:color w:val="auto"/>
          <w:sz w:val="32"/>
          <w:szCs w:val="32"/>
          <w:highlight w:val="none"/>
        </w:rPr>
        <w:t>竞争性磋商</w:t>
      </w:r>
      <w:r>
        <w:rPr>
          <w:rStyle w:val="10"/>
          <w:rFonts w:ascii="仿宋_GB2312" w:hAnsi="仿宋_GB2312" w:eastAsia="仿宋_GB2312"/>
          <w:color w:val="auto"/>
          <w:sz w:val="32"/>
          <w:szCs w:val="32"/>
          <w:highlight w:val="none"/>
        </w:rPr>
        <w:t>文件作出的实质性变动是</w:t>
      </w:r>
      <w:r>
        <w:rPr>
          <w:rStyle w:val="10"/>
          <w:rFonts w:ascii="仿宋_GB2312" w:hAnsi="仿宋_GB2312" w:eastAsia="仿宋_GB2312"/>
          <w:b/>
          <w:color w:val="auto"/>
          <w:sz w:val="32"/>
          <w:szCs w:val="32"/>
          <w:highlight w:val="none"/>
        </w:rPr>
        <w:t>竞争性磋商</w:t>
      </w:r>
      <w:r>
        <w:rPr>
          <w:rStyle w:val="10"/>
          <w:rFonts w:ascii="仿宋_GB2312" w:hAnsi="仿宋_GB2312" w:eastAsia="仿宋_GB2312"/>
          <w:color w:val="auto"/>
          <w:sz w:val="32"/>
          <w:szCs w:val="32"/>
          <w:highlight w:val="none"/>
        </w:rPr>
        <w:t>文件的有效组成部分，磋商小组应当及时以书面形式同时通知所有参加磋商的磋商供应商，并要求磋商供应商做出书面响应。</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⑵磋商供应商应当按照</w:t>
      </w:r>
      <w:r>
        <w:rPr>
          <w:rStyle w:val="10"/>
          <w:rFonts w:ascii="仿宋_GB2312" w:hAnsi="仿宋_GB2312" w:eastAsia="仿宋_GB2312"/>
          <w:b/>
          <w:color w:val="auto"/>
          <w:sz w:val="32"/>
          <w:szCs w:val="32"/>
          <w:highlight w:val="none"/>
        </w:rPr>
        <w:t>竞争性磋商</w:t>
      </w:r>
      <w:r>
        <w:rPr>
          <w:rStyle w:val="10"/>
          <w:rFonts w:ascii="仿宋_GB2312" w:hAnsi="仿宋_GB2312" w:eastAsia="仿宋_GB2312"/>
          <w:color w:val="auto"/>
          <w:sz w:val="32"/>
          <w:szCs w:val="32"/>
          <w:highlight w:val="none"/>
        </w:rPr>
        <w:t>文件的变动情况和磋商小组的要求重新提交竞争性磋商响应文件，并由其法定代表人(负责人)或授权代表签字或者加盖公章</w:t>
      </w:r>
      <w:r>
        <w:rPr>
          <w:rStyle w:val="10"/>
          <w:rFonts w:ascii="仿宋_GB2312" w:hAnsi="仿宋_GB2312" w:eastAsia="仿宋_GB2312"/>
          <w:color w:val="auto"/>
          <w:kern w:val="0"/>
          <w:sz w:val="32"/>
          <w:szCs w:val="32"/>
          <w:highlight w:val="none"/>
        </w:rPr>
        <w:t>后密封递交</w:t>
      </w:r>
      <w:r>
        <w:rPr>
          <w:rStyle w:val="10"/>
          <w:rFonts w:ascii="仿宋_GB2312" w:hAnsi="仿宋_GB2312" w:eastAsia="仿宋_GB2312"/>
          <w:color w:val="auto"/>
          <w:sz w:val="32"/>
          <w:szCs w:val="32"/>
          <w:highlight w:val="none"/>
        </w:rPr>
        <w:t>。由授权代表（委托代理人）签字的，应当附法定代表人(负责人)授权书。磋商供应商为自然人的，应当由本人签字并附身份证明。逾时不交的，视同放弃磋商。重新提交的响应文件与竞争性磋商响应文件同具法律效力。</w:t>
      </w:r>
    </w:p>
    <w:p>
      <w:pPr>
        <w:spacing w:line="520" w:lineRule="exact"/>
        <w:ind w:firstLine="640" w:firstLineChars="200"/>
        <w:jc w:val="left"/>
        <w:rPr>
          <w:rStyle w:val="10"/>
          <w:rFonts w:ascii="仿宋_GB2312" w:hAnsi="仿宋_GB2312" w:eastAsia="仿宋_GB2312"/>
          <w:color w:val="auto"/>
          <w:kern w:val="0"/>
          <w:sz w:val="32"/>
          <w:szCs w:val="32"/>
          <w:highlight w:val="none"/>
        </w:rPr>
      </w:pPr>
      <w:r>
        <w:rPr>
          <w:rStyle w:val="10"/>
          <w:rFonts w:ascii="仿宋_GB2312" w:hAnsi="仿宋_GB2312" w:eastAsia="仿宋_GB2312"/>
          <w:color w:val="auto"/>
          <w:kern w:val="0"/>
          <w:sz w:val="32"/>
          <w:szCs w:val="32"/>
          <w:highlight w:val="none"/>
        </w:rPr>
        <w:t>12.3第二轮磋商</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kern w:val="0"/>
          <w:sz w:val="32"/>
          <w:szCs w:val="32"/>
          <w:highlight w:val="none"/>
        </w:rPr>
        <w:t>磋商小组集中就</w:t>
      </w:r>
      <w:r>
        <w:rPr>
          <w:rStyle w:val="10"/>
          <w:rFonts w:ascii="仿宋_GB2312" w:hAnsi="仿宋_GB2312" w:eastAsia="仿宋_GB2312"/>
          <w:color w:val="auto"/>
          <w:sz w:val="32"/>
          <w:szCs w:val="32"/>
          <w:highlight w:val="none"/>
        </w:rPr>
        <w:t>重新提交的响应文件或</w:t>
      </w:r>
      <w:r>
        <w:rPr>
          <w:rStyle w:val="10"/>
          <w:rFonts w:ascii="仿宋_GB2312" w:hAnsi="仿宋_GB2312" w:eastAsia="仿宋_GB2312"/>
          <w:color w:val="auto"/>
          <w:kern w:val="0"/>
          <w:sz w:val="32"/>
          <w:szCs w:val="32"/>
          <w:highlight w:val="none"/>
        </w:rPr>
        <w:t>磋商小组</w:t>
      </w:r>
      <w:r>
        <w:rPr>
          <w:rStyle w:val="10"/>
          <w:rFonts w:ascii="仿宋_GB2312" w:hAnsi="仿宋_GB2312" w:eastAsia="仿宋_GB2312"/>
          <w:color w:val="auto"/>
          <w:sz w:val="32"/>
          <w:szCs w:val="32"/>
          <w:highlight w:val="none"/>
        </w:rPr>
        <w:t>提出的磋商意见</w:t>
      </w:r>
      <w:r>
        <w:rPr>
          <w:rStyle w:val="10"/>
          <w:rFonts w:ascii="仿宋_GB2312" w:hAnsi="仿宋_GB2312" w:eastAsia="仿宋_GB2312"/>
          <w:color w:val="auto"/>
          <w:kern w:val="0"/>
          <w:sz w:val="32"/>
          <w:szCs w:val="32"/>
          <w:highlight w:val="none"/>
        </w:rPr>
        <w:t>与单一响应供应商分别进行磋商。</w:t>
      </w:r>
      <w:r>
        <w:rPr>
          <w:rStyle w:val="10"/>
          <w:rFonts w:ascii="仿宋_GB2312" w:hAnsi="仿宋_GB2312" w:eastAsia="仿宋_GB2312"/>
          <w:color w:val="auto"/>
          <w:sz w:val="32"/>
          <w:szCs w:val="32"/>
          <w:highlight w:val="none"/>
        </w:rPr>
        <w:t>本公司对磋商过程和重要磋商内容进行记录，磋商双方在记录上签字确认。</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磋商后，供应商根据磋商小组统一整理的书面磋商记录要求做出书面承诺，并由其法定代表人或授权代表签字或者加盖公章</w:t>
      </w:r>
      <w:r>
        <w:rPr>
          <w:rStyle w:val="10"/>
          <w:rFonts w:ascii="仿宋_GB2312" w:hAnsi="仿宋_GB2312" w:eastAsia="仿宋_GB2312"/>
          <w:color w:val="auto"/>
          <w:kern w:val="0"/>
          <w:sz w:val="32"/>
          <w:szCs w:val="32"/>
          <w:highlight w:val="none"/>
        </w:rPr>
        <w:t>后按时密封递交</w:t>
      </w:r>
      <w:r>
        <w:rPr>
          <w:rStyle w:val="10"/>
          <w:rFonts w:ascii="仿宋_GB2312" w:hAnsi="仿宋_GB2312" w:eastAsia="仿宋_GB2312"/>
          <w:color w:val="auto"/>
          <w:sz w:val="32"/>
          <w:szCs w:val="32"/>
          <w:highlight w:val="none"/>
        </w:rPr>
        <w:t>。</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当磋商小组一致确定供应商的竞争性磋商响应文件符合竞争性磋商文件要求，无需再磋商的，磋商小组按竞争性磋商文件设定的12.4、12.6程序和评审方法确定成交候选人。第二轮磋商后</w:t>
      </w:r>
      <w:r>
        <w:rPr>
          <w:rStyle w:val="10"/>
          <w:rFonts w:ascii="仿宋_GB2312" w:hAnsi="仿宋_GB2312" w:eastAsia="仿宋_GB2312"/>
          <w:b/>
          <w:color w:val="auto"/>
          <w:sz w:val="32"/>
          <w:szCs w:val="32"/>
          <w:highlight w:val="none"/>
        </w:rPr>
        <w:t>竞争性</w:t>
      </w:r>
      <w:r>
        <w:rPr>
          <w:rStyle w:val="10"/>
          <w:rFonts w:ascii="仿宋_GB2312" w:hAnsi="仿宋_GB2312" w:eastAsia="仿宋_GB2312"/>
          <w:color w:val="auto"/>
          <w:sz w:val="32"/>
          <w:szCs w:val="32"/>
          <w:highlight w:val="none"/>
        </w:rPr>
        <w:t>磋商文件仍有实质性变动的或仍需磋商的，磋商小组对竞争性磋商文件变动或提出磋商意见后进行第三轮磋商。以此类推。</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12.4最后报价</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kern w:val="0"/>
          <w:sz w:val="32"/>
          <w:szCs w:val="32"/>
          <w:highlight w:val="none"/>
        </w:rPr>
        <w:t>磋商结束后，磋商小组要求所有继续参加磋商的供应商在规定时间内提交最后报价。继续参加磋商的供应商</w:t>
      </w:r>
      <w:r>
        <w:rPr>
          <w:rStyle w:val="10"/>
          <w:rFonts w:ascii="仿宋_GB2312" w:hAnsi="仿宋_GB2312" w:eastAsia="仿宋_GB2312"/>
          <w:color w:val="auto"/>
          <w:sz w:val="32"/>
          <w:szCs w:val="32"/>
          <w:highlight w:val="none"/>
        </w:rPr>
        <w:t>作最后报价，由其法定代表人或授权代表签字或者加盖公章</w:t>
      </w:r>
      <w:r>
        <w:rPr>
          <w:rStyle w:val="10"/>
          <w:rFonts w:ascii="仿宋_GB2312" w:hAnsi="仿宋_GB2312" w:eastAsia="仿宋_GB2312"/>
          <w:color w:val="auto"/>
          <w:kern w:val="0"/>
          <w:sz w:val="32"/>
          <w:szCs w:val="32"/>
          <w:highlight w:val="none"/>
        </w:rPr>
        <w:t>后密封递交</w:t>
      </w:r>
      <w:r>
        <w:rPr>
          <w:rStyle w:val="10"/>
          <w:rFonts w:ascii="仿宋_GB2312" w:hAnsi="仿宋_GB2312" w:eastAsia="仿宋_GB2312"/>
          <w:color w:val="auto"/>
          <w:sz w:val="32"/>
          <w:szCs w:val="32"/>
          <w:highlight w:val="none"/>
        </w:rPr>
        <w:t>磋商小组，磋商小组</w:t>
      </w:r>
      <w:r>
        <w:rPr>
          <w:rStyle w:val="10"/>
          <w:rFonts w:ascii="仿宋_GB2312" w:hAnsi="仿宋_GB2312" w:eastAsia="仿宋_GB2312"/>
          <w:color w:val="auto"/>
          <w:kern w:val="0"/>
          <w:sz w:val="32"/>
          <w:szCs w:val="32"/>
          <w:highlight w:val="none"/>
        </w:rPr>
        <w:t>从质量和服务均能满足</w:t>
      </w:r>
      <w:r>
        <w:rPr>
          <w:rStyle w:val="10"/>
          <w:rFonts w:ascii="仿宋_GB2312" w:hAnsi="仿宋_GB2312" w:eastAsia="仿宋_GB2312"/>
          <w:b/>
          <w:color w:val="auto"/>
          <w:sz w:val="32"/>
          <w:szCs w:val="32"/>
          <w:highlight w:val="none"/>
        </w:rPr>
        <w:t>竞争性</w:t>
      </w:r>
      <w:r>
        <w:rPr>
          <w:rStyle w:val="10"/>
          <w:rFonts w:ascii="仿宋_GB2312" w:hAnsi="仿宋_GB2312" w:eastAsia="仿宋_GB2312"/>
          <w:color w:val="auto"/>
          <w:kern w:val="0"/>
          <w:sz w:val="32"/>
          <w:szCs w:val="32"/>
          <w:highlight w:val="none"/>
        </w:rPr>
        <w:t>磋商文件实质性响应要求的供应商中，按照评审标准的得分由高到低的顺序提出3名以上</w:t>
      </w:r>
      <w:r>
        <w:rPr>
          <w:rStyle w:val="10"/>
          <w:rFonts w:ascii="仿宋_GB2312" w:hAnsi="仿宋_GB2312" w:eastAsia="仿宋_GB2312"/>
          <w:color w:val="auto"/>
          <w:sz w:val="32"/>
          <w:szCs w:val="32"/>
          <w:highlight w:val="none"/>
        </w:rPr>
        <w:t>成交候选人，最后得分相同时，由磋商小组根据最后报价由低到高的原则推荐成交候选人，并编写评审报告。最后报价是供应商竞争性磋商响应文件的有效组成部分。</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12.5磋商供应商的报价均超过了政府采购预算，采购人不能支付的，磋商活动终止。</w:t>
      </w:r>
    </w:p>
    <w:p>
      <w:pPr>
        <w:tabs>
          <w:tab w:val="left" w:pos="540"/>
        </w:tabs>
        <w:spacing w:line="520" w:lineRule="exact"/>
        <w:ind w:firstLine="640"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12.6本采购项目的评审依据为竞争性磋商文件和竞争性磋商响应文件，采用的评审方法为</w:t>
      </w:r>
      <w:r>
        <w:rPr>
          <w:rStyle w:val="10"/>
          <w:rFonts w:ascii="仿宋_GB2312" w:hAnsi="仿宋_GB2312" w:eastAsia="仿宋_GB2312"/>
          <w:b/>
          <w:color w:val="auto"/>
          <w:sz w:val="32"/>
          <w:szCs w:val="32"/>
          <w:highlight w:val="none"/>
        </w:rPr>
        <w:t>百分制综合评分法</w:t>
      </w:r>
      <w:r>
        <w:rPr>
          <w:rStyle w:val="10"/>
          <w:rFonts w:ascii="仿宋_GB2312" w:hAnsi="仿宋_GB2312" w:eastAsia="仿宋_GB2312"/>
          <w:color w:val="auto"/>
          <w:sz w:val="32"/>
          <w:szCs w:val="32"/>
          <w:highlight w:val="none"/>
        </w:rPr>
        <w:t>。</w:t>
      </w:r>
    </w:p>
    <w:p>
      <w:pPr>
        <w:spacing w:line="520" w:lineRule="exact"/>
        <w:ind w:left="420" w:leftChars="200" w:firstLine="321" w:firstLineChars="100"/>
        <w:rPr>
          <w:rStyle w:val="10"/>
          <w:rFonts w:ascii="仿宋_GB2312" w:hAnsi="仿宋_GB2312" w:eastAsia="仿宋_GB2312"/>
          <w:color w:val="auto"/>
          <w:kern w:val="0"/>
          <w:sz w:val="32"/>
          <w:szCs w:val="32"/>
          <w:highlight w:val="none"/>
        </w:rPr>
      </w:pPr>
      <w:r>
        <w:rPr>
          <w:rStyle w:val="10"/>
          <w:rFonts w:ascii="仿宋_GB2312" w:hAnsi="仿宋_GB2312" w:eastAsia="仿宋_GB2312"/>
          <w:b/>
          <w:color w:val="auto"/>
          <w:sz w:val="32"/>
          <w:szCs w:val="32"/>
          <w:highlight w:val="none"/>
        </w:rPr>
        <w:t>六、确定成交供应商办法</w:t>
      </w:r>
    </w:p>
    <w:p>
      <w:pPr>
        <w:spacing w:line="520" w:lineRule="exact"/>
        <w:ind w:left="420" w:leftChars="200" w:firstLine="320" w:firstLineChars="100"/>
        <w:rPr>
          <w:rStyle w:val="10"/>
          <w:rFonts w:ascii="仿宋_GB2312" w:hAnsi="仿宋_GB2312" w:eastAsia="仿宋_GB2312"/>
          <w:color w:val="auto"/>
          <w:kern w:val="0"/>
          <w:sz w:val="32"/>
          <w:szCs w:val="32"/>
          <w:highlight w:val="none"/>
        </w:rPr>
      </w:pPr>
      <w:r>
        <w:rPr>
          <w:rStyle w:val="10"/>
          <w:rFonts w:ascii="仿宋_GB2312" w:hAnsi="仿宋_GB2312" w:eastAsia="仿宋_GB2312"/>
          <w:color w:val="auto"/>
          <w:kern w:val="0"/>
          <w:sz w:val="32"/>
          <w:szCs w:val="32"/>
          <w:highlight w:val="none"/>
        </w:rPr>
        <w:t>13.1 根据以下原则确定成交供应商：</w:t>
      </w:r>
    </w:p>
    <w:p>
      <w:pPr>
        <w:spacing w:line="520" w:lineRule="exact"/>
        <w:ind w:firstLine="800" w:firstLineChars="250"/>
        <w:jc w:val="left"/>
        <w:rPr>
          <w:rStyle w:val="10"/>
          <w:rFonts w:ascii="仿宋_GB2312" w:hAnsi="仿宋_GB2312" w:eastAsia="仿宋_GB2312"/>
          <w:color w:val="auto"/>
          <w:kern w:val="0"/>
          <w:sz w:val="32"/>
          <w:szCs w:val="32"/>
          <w:highlight w:val="none"/>
        </w:rPr>
      </w:pPr>
      <w:r>
        <w:rPr>
          <w:rStyle w:val="10"/>
          <w:rFonts w:ascii="仿宋_GB2312" w:hAnsi="仿宋_GB2312" w:eastAsia="仿宋_GB2312"/>
          <w:color w:val="auto"/>
          <w:kern w:val="0"/>
          <w:sz w:val="32"/>
          <w:szCs w:val="32"/>
          <w:highlight w:val="none"/>
        </w:rPr>
        <w:t>13.2</w:t>
      </w:r>
      <w:r>
        <w:rPr>
          <w:rStyle w:val="10"/>
          <w:rFonts w:ascii="仿宋_GB2312" w:hAnsi="仿宋_GB2312" w:eastAsia="仿宋_GB2312" w:cs="仿宋_GB2312"/>
          <w:bCs/>
          <w:color w:val="auto"/>
          <w:kern w:val="0"/>
          <w:sz w:val="32"/>
          <w:szCs w:val="32"/>
          <w:highlight w:val="none"/>
        </w:rPr>
        <w:t>根据得分由高到低排列次序（得分相同时，以磋商报价由低到高顺序排列；得分相同且磋商报价相同的，按技术指标优劣顺序排列）并推荐排名第一、第二、第三成交候选人为成交供应商；每名成交供应商的具体服务项目由采购人根据供应商服务内容和实际情况确定(每名成交供应商只能负责一个项目的后评价工作，后评价工作费用按中标报价对应的单个项目报价金额执行)。</w:t>
      </w:r>
    </w:p>
    <w:p>
      <w:pPr>
        <w:spacing w:line="520" w:lineRule="exact"/>
        <w:ind w:firstLine="803" w:firstLineChars="250"/>
        <w:jc w:val="left"/>
        <w:rPr>
          <w:rStyle w:val="10"/>
          <w:rFonts w:ascii="仿宋_GB2312" w:hAnsi="仿宋_GB2312" w:eastAsia="仿宋_GB2312"/>
          <w:b/>
          <w:color w:val="auto"/>
          <w:sz w:val="32"/>
          <w:szCs w:val="32"/>
          <w:highlight w:val="none"/>
        </w:rPr>
      </w:pPr>
      <w:r>
        <w:rPr>
          <w:rStyle w:val="10"/>
          <w:rFonts w:ascii="仿宋_GB2312" w:hAnsi="仿宋_GB2312" w:eastAsia="仿宋_GB2312" w:cs="仿宋_GB2312"/>
          <w:b/>
          <w:bCs/>
          <w:color w:val="auto"/>
          <w:kern w:val="0"/>
          <w:sz w:val="32"/>
          <w:szCs w:val="32"/>
          <w:highlight w:val="none"/>
        </w:rPr>
        <w:t>七、</w:t>
      </w:r>
      <w:r>
        <w:rPr>
          <w:rStyle w:val="10"/>
          <w:rFonts w:ascii="仿宋_GB2312" w:hAnsi="仿宋_GB2312" w:eastAsia="仿宋_GB2312"/>
          <w:b/>
          <w:color w:val="auto"/>
          <w:sz w:val="32"/>
          <w:szCs w:val="32"/>
          <w:highlight w:val="none"/>
        </w:rPr>
        <w:t>成交结果公告</w:t>
      </w:r>
    </w:p>
    <w:p>
      <w:pPr>
        <w:pStyle w:val="26"/>
        <w:spacing w:line="520" w:lineRule="exact"/>
        <w:ind w:firstLine="739" w:firstLineChars="231"/>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14.1本公司在评审结束后二个工作日内将磋商评审报告送采购人确认，</w:t>
      </w:r>
      <w:r>
        <w:rPr>
          <w:rStyle w:val="10"/>
          <w:rFonts w:ascii="仿宋_GB2312" w:hAnsi="仿宋_GB2312" w:eastAsia="仿宋_GB2312"/>
          <w:color w:val="auto"/>
          <w:kern w:val="0"/>
          <w:sz w:val="32"/>
          <w:szCs w:val="32"/>
          <w:highlight w:val="none"/>
        </w:rPr>
        <w:t>采购人</w:t>
      </w:r>
      <w:r>
        <w:rPr>
          <w:rStyle w:val="10"/>
          <w:rFonts w:ascii="仿宋_GB2312" w:hAnsi="仿宋_GB2312" w:eastAsia="仿宋_GB2312"/>
          <w:color w:val="auto"/>
          <w:sz w:val="32"/>
          <w:szCs w:val="32"/>
          <w:highlight w:val="none"/>
        </w:rPr>
        <w:t>确认后，</w:t>
      </w:r>
      <w:r>
        <w:rPr>
          <w:rStyle w:val="10"/>
          <w:rFonts w:ascii="仿宋_GB2312" w:hAnsi="仿宋_GB2312" w:eastAsia="仿宋_GB2312"/>
          <w:b/>
          <w:color w:val="auto"/>
          <w:sz w:val="32"/>
          <w:szCs w:val="32"/>
          <w:highlight w:val="none"/>
        </w:rPr>
        <w:t>成交结果公告</w:t>
      </w:r>
      <w:r>
        <w:rPr>
          <w:rStyle w:val="10"/>
          <w:rFonts w:ascii="仿宋_GB2312" w:hAnsi="仿宋_GB2312" w:eastAsia="仿宋_GB2312"/>
          <w:color w:val="auto"/>
          <w:sz w:val="32"/>
          <w:szCs w:val="32"/>
          <w:highlight w:val="none"/>
        </w:rPr>
        <w:t>将在中国政府采购网</w:t>
      </w:r>
      <w:r>
        <w:rPr>
          <w:rStyle w:val="10"/>
          <w:rFonts w:ascii="仿宋_GB2312" w:hAnsi="仿宋_GB2312" w:eastAsia="仿宋_GB2312"/>
          <w:color w:val="auto"/>
          <w:sz w:val="32"/>
          <w:szCs w:val="32"/>
          <w:highlight w:val="none"/>
          <w:u w:val="single"/>
        </w:rPr>
        <w:t>(www.ccgp.gov.cn)</w:t>
      </w:r>
      <w:r>
        <w:rPr>
          <w:rStyle w:val="10"/>
          <w:rFonts w:ascii="仿宋_GB2312" w:hAnsi="仿宋_GB2312" w:eastAsia="仿宋_GB2312"/>
          <w:color w:val="auto"/>
          <w:sz w:val="32"/>
          <w:szCs w:val="32"/>
          <w:highlight w:val="none"/>
        </w:rPr>
        <w:t>、广西壮族自治区政府采购网</w:t>
      </w:r>
      <w:r>
        <w:rPr>
          <w:rStyle w:val="10"/>
          <w:rFonts w:ascii="仿宋_GB2312" w:hAnsi="仿宋_GB2312" w:eastAsia="仿宋_GB2312"/>
          <w:color w:val="auto"/>
          <w:sz w:val="32"/>
          <w:szCs w:val="32"/>
          <w:highlight w:val="none"/>
          <w:u w:val="single"/>
        </w:rPr>
        <w:t>（www.gxzfcg.gov.cn）</w:t>
      </w:r>
      <w:r>
        <w:rPr>
          <w:rStyle w:val="10"/>
          <w:rFonts w:ascii="仿宋_GB2312" w:hAnsi="仿宋_GB2312" w:eastAsia="仿宋_GB2312"/>
          <w:color w:val="auto"/>
          <w:sz w:val="32"/>
          <w:szCs w:val="32"/>
          <w:highlight w:val="none"/>
        </w:rPr>
        <w:t>及本公司网站</w:t>
      </w:r>
      <w:r>
        <w:rPr>
          <w:rStyle w:val="10"/>
          <w:rFonts w:ascii="仿宋_GB2312" w:hAnsi="仿宋_GB2312" w:eastAsia="仿宋_GB2312"/>
          <w:color w:val="auto"/>
          <w:sz w:val="32"/>
          <w:szCs w:val="32"/>
          <w:highlight w:val="none"/>
          <w:u w:val="single"/>
        </w:rPr>
        <w:t>（www.gxgp.gov.cn）</w:t>
      </w:r>
      <w:r>
        <w:rPr>
          <w:rStyle w:val="10"/>
          <w:rFonts w:ascii="仿宋_GB2312" w:hAnsi="仿宋_GB2312" w:eastAsia="仿宋_GB2312"/>
          <w:color w:val="auto"/>
          <w:sz w:val="32"/>
          <w:szCs w:val="32"/>
          <w:highlight w:val="none"/>
        </w:rPr>
        <w:t>上发布，</w:t>
      </w:r>
      <w:r>
        <w:rPr>
          <w:rStyle w:val="10"/>
          <w:rFonts w:ascii="仿宋_GB2312" w:hAnsi="仿宋_GB2312" w:eastAsia="仿宋_GB2312"/>
          <w:color w:val="auto"/>
          <w:kern w:val="0"/>
          <w:sz w:val="32"/>
          <w:szCs w:val="32"/>
          <w:highlight w:val="none"/>
        </w:rPr>
        <w:t>同时向成交供应商发出成交通知书</w:t>
      </w:r>
      <w:r>
        <w:rPr>
          <w:rStyle w:val="10"/>
          <w:rFonts w:ascii="仿宋_GB2312" w:hAnsi="仿宋_GB2312" w:eastAsia="仿宋_GB2312"/>
          <w:color w:val="auto"/>
          <w:sz w:val="32"/>
          <w:szCs w:val="32"/>
          <w:highlight w:val="none"/>
        </w:rPr>
        <w:t>。</w:t>
      </w:r>
    </w:p>
    <w:p>
      <w:pPr>
        <w:pStyle w:val="26"/>
        <w:spacing w:line="520" w:lineRule="exact"/>
        <w:ind w:firstLine="739" w:firstLineChars="231"/>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olor w:val="auto"/>
          <w:sz w:val="32"/>
          <w:szCs w:val="32"/>
          <w:highlight w:val="none"/>
        </w:rPr>
        <w:t>14.2磋商供应商</w:t>
      </w:r>
      <w:r>
        <w:rPr>
          <w:rStyle w:val="10"/>
          <w:rFonts w:ascii="仿宋_GB2312" w:hAnsi="仿宋_GB2312" w:eastAsia="仿宋_GB2312"/>
          <w:color w:val="auto"/>
          <w:kern w:val="0"/>
          <w:sz w:val="32"/>
          <w:szCs w:val="32"/>
          <w:highlight w:val="none"/>
        </w:rPr>
        <w:t>认为成交结果使自己的权益受到损害的</w:t>
      </w:r>
      <w:r>
        <w:rPr>
          <w:rStyle w:val="10"/>
          <w:rFonts w:ascii="仿宋_GB2312" w:hAnsi="仿宋_GB2312" w:eastAsia="仿宋_GB2312"/>
          <w:color w:val="auto"/>
          <w:sz w:val="32"/>
          <w:szCs w:val="32"/>
          <w:highlight w:val="none"/>
        </w:rPr>
        <w:t>，</w:t>
      </w:r>
      <w:r>
        <w:rPr>
          <w:rStyle w:val="10"/>
          <w:rFonts w:ascii="仿宋_GB2312" w:hAnsi="仿宋_GB2312" w:eastAsia="仿宋_GB2312"/>
          <w:color w:val="auto"/>
          <w:kern w:val="0"/>
          <w:sz w:val="32"/>
          <w:szCs w:val="32"/>
          <w:highlight w:val="none"/>
        </w:rPr>
        <w:t>可以在成交结果公告</w:t>
      </w:r>
      <w:r>
        <w:rPr>
          <w:rStyle w:val="10"/>
          <w:rFonts w:ascii="仿宋_GB2312" w:hAnsi="仿宋_GB2312" w:eastAsia="仿宋_GB2312"/>
          <w:b/>
          <w:color w:val="auto"/>
          <w:kern w:val="0"/>
          <w:sz w:val="32"/>
          <w:szCs w:val="32"/>
          <w:highlight w:val="none"/>
        </w:rPr>
        <w:t>期限届满</w:t>
      </w:r>
      <w:r>
        <w:rPr>
          <w:rStyle w:val="10"/>
          <w:rFonts w:ascii="仿宋_GB2312" w:hAnsi="仿宋_GB2312" w:eastAsia="仿宋_GB2312"/>
          <w:color w:val="auto"/>
          <w:kern w:val="0"/>
          <w:sz w:val="32"/>
          <w:szCs w:val="32"/>
          <w:highlight w:val="none"/>
        </w:rPr>
        <w:t>之日起</w:t>
      </w:r>
      <w:r>
        <w:rPr>
          <w:rStyle w:val="10"/>
          <w:rFonts w:ascii="仿宋_GB2312" w:hAnsi="仿宋_GB2312" w:eastAsia="仿宋_GB2312" w:cs="仿宋_GB2312"/>
          <w:bCs/>
          <w:color w:val="auto"/>
          <w:sz w:val="32"/>
          <w:szCs w:val="32"/>
          <w:highlight w:val="none"/>
        </w:rPr>
        <w:t>七个工作日内以书面形式向本公司提出质疑。本公司将在收到</w:t>
      </w:r>
      <w:r>
        <w:rPr>
          <w:rStyle w:val="10"/>
          <w:rFonts w:ascii="仿宋_GB2312" w:hAnsi="仿宋_GB2312" w:eastAsia="仿宋_GB2312"/>
          <w:color w:val="auto"/>
          <w:sz w:val="32"/>
          <w:szCs w:val="32"/>
          <w:highlight w:val="none"/>
        </w:rPr>
        <w:t>磋商供应商</w:t>
      </w:r>
      <w:r>
        <w:rPr>
          <w:rStyle w:val="10"/>
          <w:rFonts w:ascii="仿宋_GB2312" w:hAnsi="仿宋_GB2312" w:eastAsia="仿宋_GB2312" w:cs="仿宋_GB2312"/>
          <w:bCs/>
          <w:color w:val="auto"/>
          <w:sz w:val="32"/>
          <w:szCs w:val="32"/>
          <w:highlight w:val="none"/>
        </w:rPr>
        <w:t>的书面质疑后七个工作日内做出答复，但答复的内容不得涉及商业秘密。</w:t>
      </w:r>
    </w:p>
    <w:p>
      <w:pPr>
        <w:pStyle w:val="26"/>
        <w:spacing w:line="520" w:lineRule="exact"/>
        <w:ind w:firstLine="739" w:firstLineChars="231"/>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olor w:val="auto"/>
          <w:sz w:val="32"/>
          <w:szCs w:val="32"/>
          <w:highlight w:val="none"/>
        </w:rPr>
        <w:t>14.3</w:t>
      </w:r>
      <w:r>
        <w:rPr>
          <w:rStyle w:val="10"/>
          <w:rFonts w:ascii="仿宋_GB2312" w:hAnsi="仿宋_GB2312" w:eastAsia="仿宋_GB2312" w:cs="仿宋_GB2312"/>
          <w:bCs/>
          <w:color w:val="auto"/>
          <w:sz w:val="32"/>
          <w:szCs w:val="32"/>
          <w:highlight w:val="none"/>
        </w:rPr>
        <w:t>质疑</w:t>
      </w:r>
      <w:r>
        <w:rPr>
          <w:rStyle w:val="10"/>
          <w:rFonts w:ascii="仿宋_GB2312" w:hAnsi="仿宋_GB2312" w:eastAsia="仿宋_GB2312"/>
          <w:color w:val="auto"/>
          <w:sz w:val="32"/>
          <w:szCs w:val="32"/>
          <w:highlight w:val="none"/>
        </w:rPr>
        <w:t>磋商供应商</w:t>
      </w:r>
      <w:r>
        <w:rPr>
          <w:rStyle w:val="10"/>
          <w:rFonts w:ascii="仿宋_GB2312" w:hAnsi="仿宋_GB2312" w:eastAsia="仿宋_GB2312" w:cs="仿宋_GB2312"/>
          <w:bCs/>
          <w:color w:val="auto"/>
          <w:sz w:val="32"/>
          <w:szCs w:val="32"/>
          <w:highlight w:val="none"/>
        </w:rPr>
        <w:t>必须首先经过质疑程序，在对本公司的答复不满意或者本公司未在规定的时间内做出答复的，可以在答复期满后十五个工作日内书面向本级政府采购监督管理部门投诉。</w:t>
      </w:r>
    </w:p>
    <w:p>
      <w:pPr>
        <w:pStyle w:val="26"/>
        <w:spacing w:line="520" w:lineRule="exact"/>
        <w:ind w:left="15" w:leftChars="7" w:firstLine="579" w:firstLineChars="181"/>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s="仿宋_GB2312"/>
          <w:bCs/>
          <w:color w:val="auto"/>
          <w:sz w:val="32"/>
          <w:szCs w:val="32"/>
          <w:highlight w:val="none"/>
        </w:rPr>
        <w:t>质疑联系部门及电话：北部湾产权交易所集团股份有限公司  0771-5585031</w:t>
      </w:r>
    </w:p>
    <w:p>
      <w:pPr>
        <w:pStyle w:val="26"/>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投诉联系部门及电话：广西壮族自治区财政厅政府采购监督管理处  0771-5339851</w:t>
      </w:r>
    </w:p>
    <w:p>
      <w:pPr>
        <w:pStyle w:val="26"/>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八、签订合同</w:t>
      </w:r>
    </w:p>
    <w:p>
      <w:pPr>
        <w:spacing w:line="520" w:lineRule="exact"/>
        <w:ind w:firstLine="720" w:firstLineChars="225"/>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15.1成交供应商自成交通知书发出之日起10日内与采购人签订合同。</w:t>
      </w:r>
    </w:p>
    <w:p>
      <w:pPr>
        <w:spacing w:line="520" w:lineRule="exact"/>
        <w:ind w:firstLine="720" w:firstLineChars="225"/>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15.2</w:t>
      </w:r>
      <w:r>
        <w:rPr>
          <w:rStyle w:val="10"/>
          <w:rFonts w:ascii="仿宋_GB2312" w:hAnsi="仿宋_GB2312" w:eastAsia="仿宋_GB2312"/>
          <w:color w:val="auto"/>
          <w:kern w:val="0"/>
          <w:sz w:val="32"/>
          <w:szCs w:val="32"/>
          <w:highlight w:val="none"/>
        </w:rPr>
        <w:t>成交供应商拒绝签订政府采购合同的</w:t>
      </w:r>
      <w:r>
        <w:rPr>
          <w:rStyle w:val="10"/>
          <w:rFonts w:ascii="仿宋_GB2312" w:hAnsi="仿宋_GB2312" w:eastAsia="仿宋_GB2312"/>
          <w:color w:val="auto"/>
          <w:sz w:val="32"/>
          <w:szCs w:val="32"/>
          <w:highlight w:val="none"/>
        </w:rPr>
        <w:t>，采购人可以根据磋商评审报告确定成交供应商之后排名第一的成交候选人</w:t>
      </w:r>
      <w:r>
        <w:rPr>
          <w:rStyle w:val="10"/>
          <w:rFonts w:ascii="仿宋_GB2312" w:hAnsi="仿宋_GB2312" w:eastAsia="仿宋_GB2312"/>
          <w:color w:val="auto"/>
          <w:kern w:val="0"/>
          <w:sz w:val="32"/>
          <w:szCs w:val="32"/>
          <w:highlight w:val="none"/>
        </w:rPr>
        <w:t>作为</w:t>
      </w:r>
      <w:r>
        <w:rPr>
          <w:rStyle w:val="10"/>
          <w:rFonts w:ascii="仿宋_GB2312" w:hAnsi="仿宋_GB2312" w:eastAsia="仿宋_GB2312"/>
          <w:color w:val="auto"/>
          <w:sz w:val="32"/>
          <w:szCs w:val="32"/>
          <w:highlight w:val="none"/>
        </w:rPr>
        <w:t>成交供应商</w:t>
      </w:r>
      <w:r>
        <w:rPr>
          <w:rStyle w:val="10"/>
          <w:rFonts w:ascii="仿宋_GB2312" w:hAnsi="仿宋_GB2312" w:eastAsia="仿宋_GB2312"/>
          <w:color w:val="auto"/>
          <w:kern w:val="0"/>
          <w:sz w:val="32"/>
          <w:szCs w:val="32"/>
          <w:highlight w:val="none"/>
        </w:rPr>
        <w:t>并签订政府采购合同，也可以重新开展采购活动。拒绝签订政府采购合同的成交供应商不得参加对该项目重新开展的采购活动。</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15.3</w:t>
      </w:r>
      <w:r>
        <w:rPr>
          <w:rStyle w:val="10"/>
          <w:rFonts w:ascii="仿宋_GB2312" w:hAnsi="仿宋_GB2312" w:eastAsia="仿宋_GB2312"/>
          <w:color w:val="auto"/>
          <w:kern w:val="0"/>
          <w:sz w:val="32"/>
          <w:szCs w:val="32"/>
          <w:highlight w:val="none"/>
        </w:rPr>
        <w:t>成交供应商拒绝签订政府采购合同的</w:t>
      </w:r>
      <w:r>
        <w:rPr>
          <w:rStyle w:val="10"/>
          <w:rFonts w:ascii="仿宋_GB2312" w:hAnsi="仿宋_GB2312" w:eastAsia="仿宋_GB2312"/>
          <w:b/>
          <w:color w:val="auto"/>
          <w:sz w:val="32"/>
          <w:szCs w:val="32"/>
          <w:highlight w:val="none"/>
        </w:rPr>
        <w:t>，其保证金将不予退还，给采购人造成其损失的，还应当赔偿损失，并作为不良行为记录在案。</w:t>
      </w:r>
    </w:p>
    <w:p>
      <w:pPr>
        <w:numPr>
          <w:ilvl w:val="0"/>
          <w:numId w:val="7"/>
        </w:numPr>
        <w:spacing w:line="520" w:lineRule="exact"/>
        <w:ind w:left="420" w:leftChars="200" w:firstLine="161" w:firstLineChars="5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适用法律</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16.采购当事人的一切活动均适用于《中华人民共和国政府采购法》及相关规定。最终磋商结束后，磋商小组不得再与磋商供应商进行任何形式的商谈。</w:t>
      </w:r>
    </w:p>
    <w:p>
      <w:pPr>
        <w:spacing w:line="520" w:lineRule="exact"/>
        <w:ind w:left="420" w:leftChars="200" w:firstLine="161" w:firstLineChars="5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十、其他事项</w:t>
      </w:r>
    </w:p>
    <w:p>
      <w:pPr>
        <w:pStyle w:val="26"/>
        <w:spacing w:line="520" w:lineRule="exact"/>
        <w:ind w:firstLine="643" w:firstLineChars="200"/>
        <w:rPr>
          <w:rStyle w:val="10"/>
          <w:rFonts w:ascii="仿宋_GB2312" w:hAnsi="仿宋_GB2312" w:eastAsia="仿宋_GB2312"/>
          <w:color w:val="auto"/>
          <w:spacing w:val="-4"/>
          <w:sz w:val="32"/>
          <w:szCs w:val="32"/>
          <w:highlight w:val="none"/>
        </w:rPr>
      </w:pPr>
      <w:r>
        <w:rPr>
          <w:rStyle w:val="10"/>
          <w:rFonts w:ascii="仿宋_GB2312" w:hAnsi="仿宋_GB2312" w:eastAsia="仿宋_GB2312"/>
          <w:b/>
          <w:color w:val="auto"/>
          <w:sz w:val="32"/>
          <w:szCs w:val="32"/>
          <w:highlight w:val="none"/>
        </w:rPr>
        <w:t>17.1</w:t>
      </w:r>
      <w:r>
        <w:rPr>
          <w:rStyle w:val="10"/>
          <w:rFonts w:ascii="仿宋_GB2312" w:hAnsi="仿宋_GB2312" w:eastAsia="仿宋_GB2312"/>
          <w:color w:val="auto"/>
          <w:spacing w:val="-4"/>
          <w:sz w:val="32"/>
          <w:szCs w:val="32"/>
          <w:highlight w:val="none"/>
        </w:rPr>
        <w:t>本</w:t>
      </w:r>
      <w:r>
        <w:rPr>
          <w:rStyle w:val="10"/>
          <w:rFonts w:ascii="仿宋_GB2312" w:hAnsi="仿宋_GB2312" w:eastAsia="仿宋_GB2312"/>
          <w:b/>
          <w:color w:val="auto"/>
          <w:sz w:val="32"/>
          <w:szCs w:val="32"/>
          <w:highlight w:val="none"/>
        </w:rPr>
        <w:t>竞争性磋商</w:t>
      </w:r>
      <w:r>
        <w:rPr>
          <w:rStyle w:val="10"/>
          <w:rFonts w:ascii="仿宋_GB2312" w:hAnsi="仿宋_GB2312" w:eastAsia="仿宋_GB2312"/>
          <w:color w:val="auto"/>
          <w:spacing w:val="-4"/>
          <w:sz w:val="32"/>
          <w:szCs w:val="32"/>
          <w:highlight w:val="none"/>
        </w:rPr>
        <w:t>文件解释权属本公司。</w:t>
      </w:r>
    </w:p>
    <w:p>
      <w:pPr>
        <w:pStyle w:val="26"/>
        <w:spacing w:line="520" w:lineRule="exact"/>
        <w:ind w:firstLine="636" w:firstLineChars="198"/>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17.2.有关事宜</w:t>
      </w:r>
    </w:p>
    <w:p>
      <w:pPr>
        <w:pStyle w:val="26"/>
        <w:spacing w:line="520" w:lineRule="exact"/>
        <w:ind w:firstLine="633" w:firstLineChars="198"/>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17.2.1招标代理服务费：按国家发展计划委员会《招标代理服务费管理暂行办法》（计价格[2002]1980号）服务招标类收费标准向采购业主收取,评委评审费向采购业主收取。</w:t>
      </w:r>
    </w:p>
    <w:p>
      <w:pPr>
        <w:snapToGrid w:val="0"/>
        <w:spacing w:line="410" w:lineRule="exact"/>
        <w:ind w:firstLine="640" w:firstLineChars="200"/>
        <w:textAlignment w:val="bottom"/>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本项目代理服务费服务类型：服务招标</w:t>
      </w:r>
    </w:p>
    <w:p>
      <w:pPr>
        <w:pStyle w:val="26"/>
        <w:snapToGrid w:val="0"/>
        <w:spacing w:line="410" w:lineRule="exact"/>
        <w:ind w:firstLine="627" w:firstLineChars="196"/>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代理服务费收费标准：</w:t>
      </w:r>
    </w:p>
    <w:tbl>
      <w:tblPr>
        <w:tblStyle w:val="7"/>
        <w:tblW w:w="9197"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19"/>
        <w:gridCol w:w="2014"/>
        <w:gridCol w:w="1661"/>
        <w:gridCol w:w="1703"/>
      </w:tblGrid>
      <w:tr>
        <w:tblPrEx>
          <w:tblLayout w:type="fixed"/>
          <w:tblCellMar>
            <w:top w:w="0" w:type="dxa"/>
            <w:left w:w="0" w:type="dxa"/>
            <w:bottom w:w="0" w:type="dxa"/>
            <w:right w:w="0" w:type="dxa"/>
          </w:tblCellMar>
        </w:tblPrEx>
        <w:trPr>
          <w:trHeight w:val="1378" w:hRule="atLeast"/>
        </w:trPr>
        <w:tc>
          <w:tcPr>
            <w:tcW w:w="3819" w:type="dxa"/>
            <w:tcBorders>
              <w:top w:val="single" w:color="000000" w:sz="4" w:space="0"/>
              <w:left w:val="single" w:color="000000" w:sz="4" w:space="0"/>
              <w:bottom w:val="single" w:color="000000" w:sz="4" w:space="0"/>
              <w:right w:val="single" w:color="000000" w:sz="4" w:space="0"/>
            </w:tcBorders>
          </w:tcPr>
          <w:p>
            <w:pPr>
              <w:pStyle w:val="26"/>
              <w:spacing w:line="370" w:lineRule="exact"/>
              <w:ind w:left="1277" w:leftChars="608" w:firstLine="630" w:firstLineChars="300"/>
              <w:rPr>
                <w:rStyle w:val="10"/>
                <w:rFonts w:ascii="仿宋_GB2312" w:hAnsi="仿宋_GB2312" w:eastAsia="仿宋_GB2312"/>
                <w:color w:val="auto"/>
                <w:sz w:val="32"/>
                <w:szCs w:val="32"/>
                <w:highlight w:val="none"/>
              </w:rPr>
            </w:pPr>
            <w:r>
              <w:rPr>
                <w:rStyle w:val="10"/>
                <w:color w:val="auto"/>
                <w:highlight w:val="none"/>
              </w:rPr>
              <mc:AlternateContent>
                <mc:Choice Requires="wps">
                  <w:drawing>
                    <wp:anchor distT="0" distB="0" distL="114300" distR="114300" simplePos="0" relativeHeight="251658240" behindDoc="0" locked="0" layoutInCell="1" allowOverlap="1">
                      <wp:simplePos x="0" y="0"/>
                      <wp:positionH relativeFrom="column">
                        <wp:posOffset>440690</wp:posOffset>
                      </wp:positionH>
                      <wp:positionV relativeFrom="paragraph">
                        <wp:posOffset>3810</wp:posOffset>
                      </wp:positionV>
                      <wp:extent cx="1901825" cy="864235"/>
                      <wp:effectExtent l="1905" t="4445" r="20320" b="7620"/>
                      <wp:wrapNone/>
                      <wp:docPr id="4" name="直线 16"/>
                      <wp:cNvGraphicFramePr/>
                      <a:graphic xmlns:a="http://schemas.openxmlformats.org/drawingml/2006/main">
                        <a:graphicData uri="http://schemas.microsoft.com/office/word/2010/wordprocessingShape">
                          <wps:wsp>
                            <wps:cNvCnPr/>
                            <wps:spPr>
                              <a:xfrm>
                                <a:off x="0" y="0"/>
                                <a:ext cx="1901825" cy="8642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34.7pt;margin-top:0.3pt;height:68.05pt;width:149.75pt;z-index:251658240;mso-width-relative:page;mso-height-relative:page;" filled="f" stroked="t" coordsize="21600,21600" o:gfxdata="UEsDBAoAAAAAAIdO4kAAAAAAAAAAAAAAAAAEAAAAZHJzL1BLAwQUAAAACACHTuJAojzi1NYAAAAH&#10;AQAADwAAAGRycy9kb3ducmV2LnhtbE2Oy07DMBBF90j8gzVIbKrWaYPSNsTpAsiODQXEdhoPSUQ8&#10;TmP3AV/PsCqr0dU9unOKzdn16khj6DwbmM8SUMS1tx03Bt5eq+kKVIjIFnvPZOCbAmzK66sCc+tP&#10;/ELHbWyUjHDI0UAb45BrHeqWHIaZH4il+/SjwyhxbLQd8STjrteLJMm0w47lQ4sDPbRUf20PzkCo&#10;3mlf/UzqSfKRNp4W+8fnJzTm9mae3IOKdI4XGP70RR1Kcdr5A9ugegPZ+k5IuaCkTbPVGtROsDRb&#10;gi4L/d+//AVQSwMEFAAAAAgAh07iQCdALezSAQAAkwMAAA4AAABkcnMvZTJvRG9jLnhtbK1TS44T&#10;MRDdI3EHy3vS6TCJMq10ZjFh2CCIxHCAiu3utuSfXJ50chauwYoNx5lrUHZCBpjNCNELd9n1/Fzv&#10;uby6OVjD9iqi9q7l9WTKmXLCS+36ln+5v3uz5AwTOAnGO9Xyo0J+s379ajWGRs384I1UkRGJw2YM&#10;LR9SCk1VoRiUBZz4oBwlOx8tJJrGvpIRRmK3pppNp4tq9FGG6IVCpNXNKcnXhb/rlEifug5VYqbl&#10;VFsqYyzjLo/VegVNHyEMWpzLgH+owoJ2dOiFagMJ2EPUz6isFtGj79JEeFv5rtNCFQ2kpp7+pebz&#10;AEEVLWQOhotN+P9oxcf9NjItW37FmQNLV/T49dvj9x+sXmRzxoANYW7dNp5nGLYxKz100eY/aWCH&#10;YujxYqg6JCZosb6e1svZnDNBueXiavZ2nkmrp90hYnqvvGU5aLnRLguGBvYfMJ2gvyB52Tg2tvx6&#10;XjiB+qUzkIjeBlKAri970Rst77QxeQfGfndrIttD7oDynUv4A5YP2QAOJ1xJZRg0gwL5zkmWjoG8&#10;cdTEPJdgleTMKOr5HBVkAm1egiT1xpEJ2dqTmTnaeXmkm3gIUfcDOVGXKnOGbr5Ydu7S3Fq/zwvT&#10;01ta/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iPOLU1gAAAAcBAAAPAAAAAAAAAAEAIAAAACIA&#10;AABkcnMvZG93bnJldi54bWxQSwECFAAUAAAACACHTuJAJ0At7NIBAACTAwAADgAAAAAAAAABACAA&#10;AAAlAQAAZHJzL2Uyb0RvYy54bWxQSwUGAAAAAAYABgBZAQAAaQUAAAAA&#10;">
                      <v:fill on="f" focussize="0,0"/>
                      <v:stroke color="#000000" joinstyle="round"/>
                      <v:imagedata o:title=""/>
                      <o:lock v:ext="edit" aspectratio="f"/>
                    </v:line>
                  </w:pict>
                </mc:Fallback>
              </mc:AlternateContent>
            </w:r>
            <w:r>
              <w:rPr>
                <w:rStyle w:val="10"/>
                <w:rFonts w:ascii="仿宋_GB2312" w:hAnsi="仿宋_GB2312" w:eastAsia="仿宋_GB2312"/>
                <w:color w:val="auto"/>
                <w:sz w:val="32"/>
                <w:szCs w:val="32"/>
                <w:highlight w:val="none"/>
              </w:rPr>
              <w:t>服务类型</w:t>
            </w:r>
          </w:p>
          <w:p>
            <w:pPr>
              <w:pStyle w:val="26"/>
              <w:spacing w:line="370" w:lineRule="exact"/>
              <w:ind w:firstLine="420" w:firstLineChars="200"/>
              <w:rPr>
                <w:rStyle w:val="10"/>
                <w:rFonts w:ascii="仿宋_GB2312" w:hAnsi="仿宋_GB2312" w:eastAsia="仿宋_GB2312"/>
                <w:color w:val="auto"/>
                <w:sz w:val="32"/>
                <w:szCs w:val="32"/>
                <w:highlight w:val="none"/>
              </w:rPr>
            </w:pPr>
            <w:r>
              <w:rPr>
                <w:rStyle w:val="10"/>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137160</wp:posOffset>
                      </wp:positionV>
                      <wp:extent cx="2317115" cy="569595"/>
                      <wp:effectExtent l="1270" t="4445" r="5715" b="16510"/>
                      <wp:wrapNone/>
                      <wp:docPr id="5" name="直线 17"/>
                      <wp:cNvGraphicFramePr/>
                      <a:graphic xmlns:a="http://schemas.openxmlformats.org/drawingml/2006/main">
                        <a:graphicData uri="http://schemas.microsoft.com/office/word/2010/wordprocessingShape">
                          <wps:wsp>
                            <wps:cNvCnPr/>
                            <wps:spPr>
                              <a:xfrm>
                                <a:off x="0" y="0"/>
                                <a:ext cx="2317115" cy="5695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3.9pt;margin-top:10.8pt;height:44.85pt;width:182.45pt;z-index:251659264;mso-width-relative:page;mso-height-relative:page;" filled="f" stroked="t" coordsize="21600,21600" o:gfxdata="UEsDBAoAAAAAAIdO4kAAAAAAAAAAAAAAAAAEAAAAZHJzL1BLAwQUAAAACACHTuJAljH9I9cAAAAJ&#10;AQAADwAAAGRycy9kb3ducmV2LnhtbE2PzU7DMBCE70i8g7VIXKrWdiLaKsTpAciNCwXEdRtvk4h4&#10;ncbuDzw95gTH0Yxmvik3FzeIE02h92xALxQI4sbbnlsDb6/1fA0iRGSLg2cy8EUBNtX1VYmF9Wd+&#10;odM2tiKVcCjQQBfjWEgZmo4choUfiZO395PDmOTUSjvhOZW7QWZKLaXDntNChyM9dNR8bo/OQKjf&#10;6VB/z5qZ+shbT9nh8fkJjbm90eoeRKRL/AvDL35Chyox7fyRbRCDgfkqkUcDmV6CSH5+t9Igdimo&#10;dQ6yKuX/B9UPUEsDBBQAAAAIAIdO4kC/I4Xw0QEAAJMDAAAOAAAAZHJzL2Uyb0RvYy54bWytU0tu&#10;2zAQ3RfoHQjua1kulNSC5SzippuiNdD2AGOSkgjwBw5j2WfpNbrqpsfJNTqkXaefTRBUC2rIeXyc&#10;9zhc3RysYXsVUXvX8Xo250w54aV2Q8e/fL579YYzTOAkGO9Ux48K+c365YvVFFq18KM3UkVGJA7b&#10;KXR8TCm0VYViVBZw5oNylOx9tJBoGodKRpiI3ZpqMZ9fVZOPMkQvFCKtbk5Jvi78fa9E+tj3qBIz&#10;HafaUhljGXd5rNYraIcIYdTiXAY8owoL2tGhF6oNJGD3Uf9DZbWIHn2fZsLbyve9FqpoIDX1/C81&#10;n0YIqmghczBcbML/Rys+7LeRadnxhjMHlq7o4eu3h+8/WH2dzZkCtoS5ddt4nmHYxqz00Eeb/6SB&#10;HYqhx4uh6pCYoMXF6/q6rolZUK65WjbLJpNWj7tDxPROecty0HGjXRYMLezfYzpBf0HysnFs6viy&#10;WWROoH7pDSQKbSAF6IayF73R8k4bk3dgHHa3JrI95A4o37mEP2D5kA3geMKVVIZBOyqQb51k6RjI&#10;G0dNzHMJVknOjKKez1FBJtDmKUhSbxyZkK09mZmjnZdHuon7EPUwkhN1qTJn6OaLZecuza31+7ww&#10;Pb6l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WMf0j1wAAAAkBAAAPAAAAAAAAAAEAIAAAACIA&#10;AABkcnMvZG93bnJldi54bWxQSwECFAAUAAAACACHTuJAvyOF8NEBAACTAwAADgAAAAAAAAABACAA&#10;AAAmAQAAZHJzL2Uyb0RvYy54bWxQSwUGAAAAAAYABgBZAQAAaQUAAAAA&#10;">
                      <v:fill on="f" focussize="0,0"/>
                      <v:stroke color="#000000" joinstyle="round"/>
                      <v:imagedata o:title=""/>
                      <o:lock v:ext="edit" aspectratio="f"/>
                    </v:line>
                  </w:pict>
                </mc:Fallback>
              </mc:AlternateContent>
            </w:r>
            <w:r>
              <w:rPr>
                <w:rStyle w:val="10"/>
                <w:rFonts w:ascii="仿宋_GB2312" w:hAnsi="仿宋_GB2312" w:eastAsia="仿宋_GB2312"/>
                <w:color w:val="auto"/>
                <w:sz w:val="32"/>
                <w:szCs w:val="32"/>
                <w:highlight w:val="none"/>
              </w:rPr>
              <w:t xml:space="preserve">费率        </w:t>
            </w:r>
          </w:p>
          <w:p>
            <w:pPr>
              <w:pStyle w:val="26"/>
              <w:spacing w:line="370" w:lineRule="exact"/>
              <w:rPr>
                <w:rStyle w:val="10"/>
                <w:rFonts w:ascii="仿宋_GB2312" w:hAnsi="仿宋_GB2312" w:eastAsia="仿宋_GB2312"/>
                <w:color w:val="auto"/>
                <w:sz w:val="32"/>
                <w:szCs w:val="32"/>
                <w:highlight w:val="none"/>
              </w:rPr>
            </w:pPr>
          </w:p>
          <w:p>
            <w:pPr>
              <w:pStyle w:val="26"/>
              <w:spacing w:line="37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中标金额（万元）</w:t>
            </w:r>
          </w:p>
        </w:tc>
        <w:tc>
          <w:tcPr>
            <w:tcW w:w="2014" w:type="dxa"/>
            <w:tcBorders>
              <w:top w:val="single" w:color="000000" w:sz="4" w:space="0"/>
              <w:left w:val="single" w:color="000000" w:sz="4" w:space="0"/>
              <w:bottom w:val="single" w:color="000000" w:sz="4" w:space="0"/>
              <w:right w:val="single" w:color="000000" w:sz="4" w:space="0"/>
            </w:tcBorders>
            <w:vAlign w:val="center"/>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货物招标</w:t>
            </w:r>
          </w:p>
        </w:tc>
        <w:tc>
          <w:tcPr>
            <w:tcW w:w="1661" w:type="dxa"/>
            <w:tcBorders>
              <w:top w:val="single" w:color="000000" w:sz="4" w:space="0"/>
              <w:left w:val="single" w:color="000000" w:sz="4" w:space="0"/>
              <w:bottom w:val="single" w:color="000000" w:sz="4" w:space="0"/>
              <w:right w:val="single" w:color="000000" w:sz="4" w:space="0"/>
            </w:tcBorders>
            <w:vAlign w:val="center"/>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服务招标</w:t>
            </w:r>
          </w:p>
        </w:tc>
        <w:tc>
          <w:tcPr>
            <w:tcW w:w="1703" w:type="dxa"/>
            <w:tcBorders>
              <w:top w:val="single" w:color="000000" w:sz="4" w:space="0"/>
              <w:left w:val="single" w:color="000000" w:sz="4" w:space="0"/>
              <w:bottom w:val="single" w:color="000000" w:sz="4" w:space="0"/>
              <w:right w:val="single" w:color="000000" w:sz="4" w:space="0"/>
            </w:tcBorders>
            <w:vAlign w:val="center"/>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819" w:type="dxa"/>
            <w:tcBorders>
              <w:top w:val="single" w:color="000000" w:sz="4" w:space="0"/>
              <w:left w:val="single" w:color="000000" w:sz="4" w:space="0"/>
              <w:bottom w:val="single" w:color="000000" w:sz="4" w:space="0"/>
              <w:right w:val="single" w:color="000000" w:sz="4" w:space="0"/>
            </w:tcBorders>
          </w:tcPr>
          <w:p>
            <w:pPr>
              <w:pStyle w:val="26"/>
              <w:spacing w:line="370" w:lineRule="exact"/>
              <w:ind w:firstLine="960" w:firstLineChars="3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100以下</w:t>
            </w:r>
          </w:p>
        </w:tc>
        <w:tc>
          <w:tcPr>
            <w:tcW w:w="2014"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1.5%</w:t>
            </w:r>
          </w:p>
        </w:tc>
        <w:tc>
          <w:tcPr>
            <w:tcW w:w="1661"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1.5%</w:t>
            </w:r>
          </w:p>
        </w:tc>
        <w:tc>
          <w:tcPr>
            <w:tcW w:w="1703"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819" w:type="dxa"/>
            <w:tcBorders>
              <w:top w:val="single" w:color="000000" w:sz="4" w:space="0"/>
              <w:left w:val="single" w:color="000000" w:sz="4" w:space="0"/>
              <w:bottom w:val="single" w:color="000000" w:sz="4" w:space="0"/>
              <w:right w:val="single" w:color="000000" w:sz="4" w:space="0"/>
            </w:tcBorders>
          </w:tcPr>
          <w:p>
            <w:pPr>
              <w:pStyle w:val="26"/>
              <w:spacing w:line="370" w:lineRule="exact"/>
              <w:ind w:firstLine="960" w:firstLineChars="3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100-500</w:t>
            </w:r>
          </w:p>
        </w:tc>
        <w:tc>
          <w:tcPr>
            <w:tcW w:w="2014"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1.1%</w:t>
            </w:r>
          </w:p>
        </w:tc>
        <w:tc>
          <w:tcPr>
            <w:tcW w:w="1661"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0.8%</w:t>
            </w:r>
          </w:p>
        </w:tc>
        <w:tc>
          <w:tcPr>
            <w:tcW w:w="1703"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819" w:type="dxa"/>
            <w:tcBorders>
              <w:top w:val="single" w:color="000000" w:sz="4" w:space="0"/>
              <w:left w:val="single" w:color="000000" w:sz="4" w:space="0"/>
              <w:bottom w:val="single" w:color="000000" w:sz="4" w:space="0"/>
              <w:right w:val="single" w:color="000000" w:sz="4" w:space="0"/>
            </w:tcBorders>
          </w:tcPr>
          <w:p>
            <w:pPr>
              <w:pStyle w:val="26"/>
              <w:spacing w:line="370" w:lineRule="exact"/>
              <w:ind w:firstLine="800" w:firstLineChars="25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500-1000</w:t>
            </w:r>
          </w:p>
        </w:tc>
        <w:tc>
          <w:tcPr>
            <w:tcW w:w="2014"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0.8%</w:t>
            </w:r>
          </w:p>
        </w:tc>
        <w:tc>
          <w:tcPr>
            <w:tcW w:w="1661"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0.45%</w:t>
            </w:r>
          </w:p>
        </w:tc>
        <w:tc>
          <w:tcPr>
            <w:tcW w:w="1703"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3819" w:type="dxa"/>
            <w:tcBorders>
              <w:top w:val="single" w:color="000000" w:sz="4" w:space="0"/>
              <w:left w:val="single" w:color="000000" w:sz="4" w:space="0"/>
              <w:bottom w:val="single" w:color="000000" w:sz="4" w:space="0"/>
              <w:right w:val="single" w:color="000000" w:sz="4" w:space="0"/>
            </w:tcBorders>
          </w:tcPr>
          <w:p>
            <w:pPr>
              <w:pStyle w:val="26"/>
              <w:spacing w:line="370" w:lineRule="exact"/>
              <w:ind w:firstLine="800" w:firstLineChars="25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w:t>
            </w:r>
          </w:p>
        </w:tc>
        <w:tc>
          <w:tcPr>
            <w:tcW w:w="2014"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w:t>
            </w:r>
          </w:p>
        </w:tc>
        <w:tc>
          <w:tcPr>
            <w:tcW w:w="1661"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pStyle w:val="26"/>
              <w:spacing w:line="37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w:t>
            </w:r>
          </w:p>
        </w:tc>
      </w:tr>
    </w:tbl>
    <w:p>
      <w:pPr>
        <w:pStyle w:val="26"/>
        <w:spacing w:line="520" w:lineRule="exact"/>
        <w:ind w:firstLine="633" w:firstLineChars="198"/>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注：招标代理服务费按差额定率累进法计算。</w:t>
      </w:r>
    </w:p>
    <w:p>
      <w:pPr>
        <w:pStyle w:val="26"/>
        <w:spacing w:line="520" w:lineRule="exact"/>
        <w:ind w:firstLine="633" w:firstLineChars="198"/>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17.2.2所有与本</w:t>
      </w:r>
      <w:r>
        <w:rPr>
          <w:rStyle w:val="10"/>
          <w:rFonts w:ascii="仿宋_GB2312" w:hAnsi="仿宋_GB2312" w:eastAsia="仿宋_GB2312"/>
          <w:b/>
          <w:color w:val="auto"/>
          <w:sz w:val="32"/>
          <w:szCs w:val="32"/>
          <w:highlight w:val="none"/>
        </w:rPr>
        <w:t>竞争性磋商</w:t>
      </w:r>
      <w:r>
        <w:rPr>
          <w:rStyle w:val="10"/>
          <w:rFonts w:ascii="仿宋_GB2312" w:hAnsi="仿宋_GB2312" w:eastAsia="仿宋_GB2312"/>
          <w:color w:val="auto"/>
          <w:sz w:val="32"/>
          <w:szCs w:val="32"/>
          <w:highlight w:val="none"/>
        </w:rPr>
        <w:t>文件有关的函件请按下列通讯地址联系：北部湾产权交易所集团股份有限公司</w:t>
      </w:r>
    </w:p>
    <w:p>
      <w:pPr>
        <w:pStyle w:val="26"/>
        <w:tabs>
          <w:tab w:val="left" w:pos="1990"/>
        </w:tabs>
        <w:spacing w:line="520" w:lineRule="exact"/>
        <w:ind w:firstLine="824"/>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邮政编码：530011</w:t>
      </w:r>
    </w:p>
    <w:p>
      <w:pPr>
        <w:pStyle w:val="26"/>
        <w:tabs>
          <w:tab w:val="left" w:pos="1990"/>
        </w:tabs>
        <w:spacing w:line="520" w:lineRule="exact"/>
        <w:ind w:firstLine="824"/>
        <w:rPr>
          <w:rStyle w:val="10"/>
          <w:rFonts w:ascii="仿宋_GB2312" w:hAnsi="仿宋_GB2312" w:eastAsia="仿宋_GB2312"/>
          <w:color w:val="auto"/>
          <w:spacing w:val="-4"/>
          <w:sz w:val="32"/>
          <w:szCs w:val="32"/>
          <w:highlight w:val="none"/>
        </w:rPr>
      </w:pPr>
      <w:r>
        <w:rPr>
          <w:rStyle w:val="10"/>
          <w:rFonts w:ascii="仿宋_GB2312" w:hAnsi="仿宋_GB2312" w:eastAsia="仿宋_GB2312"/>
          <w:color w:val="auto"/>
          <w:sz w:val="32"/>
          <w:szCs w:val="32"/>
          <w:highlight w:val="none"/>
        </w:rPr>
        <w:t>通讯地址：南宁市良庆区五象新区凯旋路15号5号楼</w:t>
      </w:r>
    </w:p>
    <w:p>
      <w:pPr>
        <w:pStyle w:val="26"/>
        <w:spacing w:line="520" w:lineRule="exact"/>
        <w:ind w:firstLine="824"/>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电    话：0771-5585031</w:t>
      </w:r>
    </w:p>
    <w:p>
      <w:pPr>
        <w:pStyle w:val="26"/>
        <w:tabs>
          <w:tab w:val="left" w:pos="1990"/>
        </w:tabs>
        <w:spacing w:line="520" w:lineRule="exact"/>
        <w:ind w:firstLine="824"/>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传    真：0771-5585031</w:t>
      </w:r>
    </w:p>
    <w:p>
      <w:pPr>
        <w:spacing w:line="520" w:lineRule="exact"/>
        <w:jc w:val="center"/>
        <w:rPr>
          <w:rStyle w:val="10"/>
          <w:rFonts w:ascii="仿宋" w:hAnsi="仿宋" w:eastAsia="仿宋"/>
          <w:b/>
          <w:color w:val="auto"/>
          <w:sz w:val="32"/>
          <w:szCs w:val="32"/>
          <w:highlight w:val="none"/>
        </w:rPr>
      </w:pPr>
    </w:p>
    <w:p>
      <w:pPr>
        <w:spacing w:line="520" w:lineRule="exact"/>
        <w:jc w:val="center"/>
        <w:rPr>
          <w:rStyle w:val="10"/>
          <w:rFonts w:ascii="仿宋" w:hAnsi="仿宋" w:eastAsia="仿宋"/>
          <w:b/>
          <w:color w:val="auto"/>
          <w:sz w:val="32"/>
          <w:szCs w:val="32"/>
          <w:highlight w:val="none"/>
        </w:rPr>
      </w:pPr>
    </w:p>
    <w:p>
      <w:pPr>
        <w:spacing w:line="520" w:lineRule="exact"/>
        <w:jc w:val="center"/>
        <w:rPr>
          <w:rStyle w:val="10"/>
          <w:rFonts w:ascii="仿宋" w:hAnsi="仿宋" w:eastAsia="仿宋"/>
          <w:b/>
          <w:color w:val="auto"/>
          <w:sz w:val="32"/>
          <w:szCs w:val="32"/>
          <w:highlight w:val="none"/>
        </w:rPr>
      </w:pPr>
    </w:p>
    <w:p>
      <w:pPr>
        <w:spacing w:line="520" w:lineRule="exact"/>
        <w:rPr>
          <w:rStyle w:val="10"/>
          <w:rFonts w:ascii="仿宋" w:hAnsi="仿宋" w:eastAsia="仿宋"/>
          <w:b/>
          <w:color w:val="auto"/>
          <w:sz w:val="32"/>
          <w:szCs w:val="32"/>
          <w:highlight w:val="none"/>
        </w:rPr>
      </w:pPr>
    </w:p>
    <w:p>
      <w:pPr>
        <w:spacing w:line="520" w:lineRule="exact"/>
        <w:rPr>
          <w:rStyle w:val="10"/>
          <w:rFonts w:ascii="仿宋" w:hAnsi="仿宋" w:eastAsia="仿宋"/>
          <w:b/>
          <w:color w:val="auto"/>
          <w:sz w:val="32"/>
          <w:szCs w:val="32"/>
          <w:highlight w:val="none"/>
        </w:rPr>
      </w:pPr>
    </w:p>
    <w:p>
      <w:pPr>
        <w:spacing w:line="520" w:lineRule="exact"/>
        <w:rPr>
          <w:rStyle w:val="10"/>
          <w:rFonts w:ascii="仿宋" w:hAnsi="仿宋" w:eastAsia="仿宋"/>
          <w:b/>
          <w:color w:val="auto"/>
          <w:sz w:val="32"/>
          <w:szCs w:val="32"/>
          <w:highlight w:val="none"/>
        </w:rPr>
      </w:pPr>
    </w:p>
    <w:p>
      <w:pPr>
        <w:spacing w:line="520" w:lineRule="exact"/>
        <w:rPr>
          <w:rStyle w:val="10"/>
          <w:rFonts w:ascii="仿宋" w:hAnsi="仿宋" w:eastAsia="仿宋"/>
          <w:b/>
          <w:color w:val="auto"/>
          <w:sz w:val="32"/>
          <w:szCs w:val="32"/>
          <w:highlight w:val="none"/>
        </w:rPr>
      </w:pPr>
    </w:p>
    <w:p>
      <w:pPr>
        <w:spacing w:line="520" w:lineRule="exact"/>
        <w:rPr>
          <w:rStyle w:val="10"/>
          <w:rFonts w:ascii="仿宋" w:hAnsi="仿宋" w:eastAsia="仿宋"/>
          <w:b/>
          <w:color w:val="auto"/>
          <w:sz w:val="32"/>
          <w:szCs w:val="32"/>
          <w:highlight w:val="none"/>
        </w:rPr>
      </w:pPr>
    </w:p>
    <w:p>
      <w:pPr>
        <w:spacing w:line="520" w:lineRule="exact"/>
        <w:rPr>
          <w:rStyle w:val="10"/>
          <w:rFonts w:ascii="仿宋" w:hAnsi="仿宋" w:eastAsia="仿宋"/>
          <w:b/>
          <w:color w:val="auto"/>
          <w:sz w:val="32"/>
          <w:szCs w:val="32"/>
          <w:highlight w:val="none"/>
        </w:rPr>
      </w:pPr>
    </w:p>
    <w:p>
      <w:pPr>
        <w:spacing w:line="520" w:lineRule="exact"/>
        <w:rPr>
          <w:rStyle w:val="10"/>
          <w:rFonts w:ascii="仿宋" w:hAnsi="仿宋" w:eastAsia="仿宋"/>
          <w:b/>
          <w:color w:val="auto"/>
          <w:sz w:val="32"/>
          <w:szCs w:val="32"/>
          <w:highlight w:val="none"/>
        </w:rPr>
      </w:pPr>
    </w:p>
    <w:p>
      <w:pPr>
        <w:spacing w:line="520" w:lineRule="exact"/>
        <w:rPr>
          <w:rStyle w:val="10"/>
          <w:rFonts w:ascii="仿宋" w:hAnsi="仿宋" w:eastAsia="仿宋"/>
          <w:b/>
          <w:color w:val="auto"/>
          <w:sz w:val="32"/>
          <w:szCs w:val="32"/>
          <w:highlight w:val="none"/>
        </w:rPr>
      </w:pPr>
    </w:p>
    <w:p>
      <w:pPr>
        <w:spacing w:line="520" w:lineRule="exact"/>
        <w:rPr>
          <w:rStyle w:val="10"/>
          <w:rFonts w:ascii="仿宋" w:hAnsi="仿宋" w:eastAsia="仿宋"/>
          <w:b/>
          <w:color w:val="auto"/>
          <w:sz w:val="32"/>
          <w:szCs w:val="32"/>
          <w:highlight w:val="none"/>
        </w:rPr>
      </w:pPr>
    </w:p>
    <w:p>
      <w:pPr>
        <w:spacing w:line="520" w:lineRule="exact"/>
        <w:rPr>
          <w:rStyle w:val="10"/>
          <w:rFonts w:ascii="仿宋" w:hAnsi="仿宋" w:eastAsia="仿宋"/>
          <w:b/>
          <w:color w:val="auto"/>
          <w:sz w:val="32"/>
          <w:szCs w:val="32"/>
          <w:highlight w:val="none"/>
        </w:rPr>
      </w:pPr>
    </w:p>
    <w:p>
      <w:pPr>
        <w:spacing w:line="520" w:lineRule="exact"/>
        <w:rPr>
          <w:rStyle w:val="10"/>
          <w:rFonts w:ascii="仿宋" w:hAnsi="仿宋" w:eastAsia="仿宋"/>
          <w:b/>
          <w:color w:val="auto"/>
          <w:sz w:val="32"/>
          <w:szCs w:val="32"/>
          <w:highlight w:val="none"/>
        </w:rPr>
      </w:pPr>
    </w:p>
    <w:p>
      <w:pPr>
        <w:spacing w:line="520" w:lineRule="exact"/>
        <w:rPr>
          <w:rStyle w:val="10"/>
          <w:rFonts w:ascii="仿宋" w:hAnsi="仿宋" w:eastAsia="仿宋"/>
          <w:b/>
          <w:color w:val="auto"/>
          <w:sz w:val="32"/>
          <w:szCs w:val="32"/>
          <w:highlight w:val="none"/>
        </w:rPr>
      </w:pPr>
    </w:p>
    <w:p>
      <w:pPr>
        <w:spacing w:line="520" w:lineRule="exact"/>
        <w:rPr>
          <w:rStyle w:val="10"/>
          <w:rFonts w:ascii="仿宋" w:hAnsi="仿宋" w:eastAsia="仿宋"/>
          <w:b/>
          <w:color w:val="auto"/>
          <w:sz w:val="32"/>
          <w:szCs w:val="32"/>
          <w:highlight w:val="none"/>
        </w:rPr>
      </w:pPr>
    </w:p>
    <w:p>
      <w:pPr>
        <w:spacing w:line="520" w:lineRule="exact"/>
        <w:rPr>
          <w:rStyle w:val="10"/>
          <w:rFonts w:ascii="仿宋" w:hAnsi="仿宋" w:eastAsia="仿宋"/>
          <w:b/>
          <w:color w:val="auto"/>
          <w:sz w:val="32"/>
          <w:szCs w:val="32"/>
          <w:highlight w:val="none"/>
        </w:rPr>
      </w:pPr>
    </w:p>
    <w:p>
      <w:pPr>
        <w:spacing w:line="520" w:lineRule="exact"/>
        <w:jc w:val="center"/>
        <w:rPr>
          <w:rStyle w:val="10"/>
          <w:rFonts w:ascii="仿宋" w:hAnsi="仿宋" w:eastAsia="仿宋"/>
          <w:b/>
          <w:color w:val="auto"/>
          <w:sz w:val="32"/>
          <w:szCs w:val="32"/>
          <w:highlight w:val="none"/>
        </w:rPr>
      </w:pPr>
    </w:p>
    <w:p>
      <w:pPr>
        <w:spacing w:line="520" w:lineRule="exact"/>
        <w:jc w:val="center"/>
        <w:rPr>
          <w:rStyle w:val="10"/>
          <w:rFonts w:ascii="仿宋" w:hAnsi="仿宋" w:eastAsia="仿宋"/>
          <w:b/>
          <w:color w:val="auto"/>
          <w:sz w:val="32"/>
          <w:szCs w:val="32"/>
          <w:highlight w:val="none"/>
        </w:rPr>
      </w:pPr>
      <w:r>
        <w:rPr>
          <w:rStyle w:val="10"/>
          <w:rFonts w:ascii="方正小标宋简体" w:hAnsi="方正小标宋简体" w:eastAsia="方正小标宋简体" w:cs="方正小标宋简体"/>
          <w:bCs/>
          <w:color w:val="auto"/>
          <w:sz w:val="44"/>
          <w:szCs w:val="44"/>
          <w:highlight w:val="none"/>
        </w:rPr>
        <w:t>第三章  采购需求</w:t>
      </w:r>
    </w:p>
    <w:p>
      <w:pPr>
        <w:spacing w:line="520" w:lineRule="exact"/>
        <w:jc w:val="center"/>
        <w:rPr>
          <w:rStyle w:val="10"/>
          <w:rFonts w:ascii="仿宋_GB2312" w:hAnsi="仿宋_GB2312" w:eastAsia="仿宋_GB2312"/>
          <w:b/>
          <w:color w:val="auto"/>
          <w:sz w:val="32"/>
          <w:szCs w:val="32"/>
          <w:highlight w:val="none"/>
        </w:rPr>
      </w:pPr>
    </w:p>
    <w:p>
      <w:pPr>
        <w:spacing w:line="52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采购项目技术规格、参数及要求</w:t>
      </w:r>
    </w:p>
    <w:p>
      <w:pPr>
        <w:tabs>
          <w:tab w:val="left" w:pos="180"/>
          <w:tab w:val="left" w:pos="1620"/>
        </w:tabs>
        <w:spacing w:line="520" w:lineRule="exact"/>
        <w:ind w:firstLine="640" w:firstLineChars="200"/>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一、项目名称：</w:t>
      </w:r>
      <w:r>
        <w:rPr>
          <w:rStyle w:val="10"/>
          <w:rFonts w:ascii="仿宋_GB2312" w:hAnsi="仿宋_GB2312" w:eastAsia="仿宋_GB2312"/>
          <w:color w:val="auto"/>
          <w:sz w:val="32"/>
          <w:szCs w:val="32"/>
          <w:highlight w:val="none"/>
          <w:u w:val="single"/>
        </w:rPr>
        <w:t>2019年企业投资项目后评价服务采购</w:t>
      </w:r>
    </w:p>
    <w:p>
      <w:pPr>
        <w:tabs>
          <w:tab w:val="left" w:pos="180"/>
          <w:tab w:val="left" w:pos="1620"/>
        </w:tabs>
        <w:spacing w:line="520" w:lineRule="exact"/>
        <w:ind w:firstLine="640" w:firstLineChars="200"/>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 xml:space="preserve">二、项目编号: </w:t>
      </w:r>
      <w:r>
        <w:rPr>
          <w:rStyle w:val="10"/>
          <w:rFonts w:hint="eastAsia" w:ascii="仿宋_GB2312" w:hAnsi="仿宋_GB2312" w:eastAsia="仿宋_GB2312"/>
          <w:color w:val="auto"/>
          <w:sz w:val="32"/>
          <w:szCs w:val="32"/>
          <w:highlight w:val="none"/>
        </w:rPr>
        <w:t>GXZC2019-C3-27497-BEEG</w:t>
      </w:r>
    </w:p>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三、项目类别：服务</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本项目（采购预算）：98万元</w:t>
      </w:r>
    </w:p>
    <w:tbl>
      <w:tblPr>
        <w:tblStyle w:val="7"/>
        <w:tblW w:w="984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26"/>
        <w:gridCol w:w="7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项目名称</w:t>
            </w:r>
          </w:p>
        </w:tc>
        <w:tc>
          <w:tcPr>
            <w:tcW w:w="7920" w:type="dxa"/>
            <w:tcBorders>
              <w:top w:val="single" w:color="000000" w:sz="4" w:space="0"/>
              <w:left w:val="nil"/>
              <w:bottom w:val="single" w:color="000000" w:sz="4" w:space="0"/>
              <w:right w:val="single" w:color="000000" w:sz="4" w:space="0"/>
            </w:tcBorders>
            <w:vAlign w:val="center"/>
          </w:tcPr>
          <w:p>
            <w:pPr>
              <w:spacing w:line="52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服务要求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jc w:val="center"/>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企业投资项目后评价</w:t>
            </w:r>
          </w:p>
          <w:p>
            <w:pPr>
              <w:spacing w:line="520" w:lineRule="exact"/>
              <w:jc w:val="center"/>
              <w:rPr>
                <w:rStyle w:val="10"/>
                <w:rFonts w:ascii="仿宋_GB2312" w:hAnsi="仿宋_GB2312" w:eastAsia="仿宋_GB2312"/>
                <w:color w:val="auto"/>
                <w:sz w:val="32"/>
                <w:szCs w:val="32"/>
                <w:highlight w:val="none"/>
              </w:rPr>
            </w:pPr>
          </w:p>
        </w:tc>
        <w:tc>
          <w:tcPr>
            <w:tcW w:w="7920" w:type="dxa"/>
            <w:tcBorders>
              <w:top w:val="single" w:color="000000" w:sz="4" w:space="0"/>
              <w:left w:val="nil"/>
              <w:bottom w:val="single" w:color="000000" w:sz="4" w:space="0"/>
              <w:right w:val="single" w:color="000000" w:sz="4" w:space="0"/>
            </w:tcBorders>
            <w:vAlign w:val="center"/>
          </w:tcPr>
          <w:p>
            <w:pPr>
              <w:spacing w:line="520" w:lineRule="exact"/>
              <w:ind w:firstLine="640"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Cs/>
                <w:color w:val="auto"/>
                <w:sz w:val="32"/>
                <w:szCs w:val="32"/>
                <w:highlight w:val="none"/>
              </w:rPr>
              <w:t>一、</w:t>
            </w:r>
            <w:r>
              <w:rPr>
                <w:rStyle w:val="10"/>
                <w:rFonts w:ascii="仿宋_GB2312" w:hAnsi="仿宋_GB2312" w:eastAsia="仿宋_GB2312" w:cs="仿宋_GB2312"/>
                <w:b/>
                <w:bCs/>
                <w:color w:val="auto"/>
                <w:sz w:val="32"/>
                <w:szCs w:val="32"/>
                <w:highlight w:val="none"/>
              </w:rPr>
              <w:t>项目概况：</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（一）广西建工集团在建PPP项目简介</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广西建工集团在建或运营期的ppp项目5个，总投资163695.48万元，主要涉及的工业基地、市民中心、污水处理厂，项目运作模式皆采用PPP模式中的BOT（建设-运营-移交）运作方式，合作期限均在20-30年。</w:t>
            </w:r>
          </w:p>
          <w:p>
            <w:pPr>
              <w:numPr>
                <w:ilvl w:val="0"/>
                <w:numId w:val="8"/>
              </w:num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b/>
                <w:color w:val="auto"/>
                <w:sz w:val="32"/>
                <w:szCs w:val="32"/>
                <w:highlight w:val="none"/>
              </w:rPr>
              <w:t>中泰崇左产业园国际果品加工基地PPP项目</w:t>
            </w:r>
            <w:r>
              <w:rPr>
                <w:rStyle w:val="10"/>
                <w:rFonts w:ascii="仿宋_GB2312" w:hAnsi="仿宋_GB2312" w:eastAsia="仿宋_GB2312" w:cs="仿宋_GB2312"/>
                <w:b/>
                <w:bCs/>
                <w:color w:val="auto"/>
                <w:sz w:val="32"/>
                <w:szCs w:val="32"/>
                <w:highlight w:val="none"/>
              </w:rPr>
              <w:t>概况。</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（1）项目名称：</w:t>
            </w:r>
            <w:r>
              <w:rPr>
                <w:rStyle w:val="10"/>
                <w:rFonts w:ascii="仿宋_GB2312" w:hAnsi="仿宋_GB2312" w:eastAsia="仿宋_GB2312"/>
                <w:color w:val="auto"/>
                <w:sz w:val="32"/>
                <w:szCs w:val="32"/>
                <w:highlight w:val="none"/>
              </w:rPr>
              <w:t>中泰崇左产业园国际果品加工基地PPP项目；</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（2）建设地点、内容及规模：</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一期工程位于崇左市工业大道南侧，中泰崇左产业园内。项目净用地面积165476.13㎡，总建筑面积193405.6㎡，包括11栋创新工厂，1栋研发中心，10个标准厂房，6个仓库，1个职工食堂，4栋宿舍以及与主体工程相配套的辅助工程、公用工程、贮运工程、绿化工程、场地平整等。</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本项目二期工程位于崇左市工业大道南侧，中泰崇左产业园内。二期工程净用地面积 147943.72㎡，包括新建 5栋创新工场16个标准厂房，2个仓储中心，4栋配套用房以及与主体工程相配套的辅助工程、公用工程、工程、绿化工程、场地平整等。总建筑面积共115891.59㎡。</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（3）合作期限：</w:t>
            </w:r>
            <w:r>
              <w:rPr>
                <w:rStyle w:val="10"/>
                <w:rFonts w:ascii="仿宋_GB2312" w:hAnsi="仿宋_GB2312" w:eastAsia="仿宋_GB2312"/>
                <w:color w:val="auto"/>
                <w:sz w:val="32"/>
                <w:szCs w:val="32"/>
                <w:highlight w:val="none"/>
              </w:rPr>
              <w:t>2018年至2042年，共25年，其中建设期2年、运营期23年。</w:t>
            </w:r>
          </w:p>
          <w:p>
            <w:pPr>
              <w:spacing w:line="520" w:lineRule="exact"/>
              <w:ind w:firstLine="643"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（4）股权结构：</w:t>
            </w:r>
            <w:r>
              <w:rPr>
                <w:rStyle w:val="10"/>
                <w:rFonts w:ascii="仿宋_GB2312" w:hAnsi="仿宋_GB2312" w:eastAsia="仿宋_GB2312"/>
                <w:color w:val="auto"/>
                <w:sz w:val="32"/>
                <w:szCs w:val="32"/>
                <w:highlight w:val="none"/>
              </w:rPr>
              <w:t>广西崇左市中泰金品建设投资有限公司，注册资本金5000万元，广西建工金控投资有限公司出资4400万元，持股比例88%；广西崇左市城市工业投资发展集团有限公司出资500万元，持股比例10%；广西建工集团第一建筑工程有限责任公司出资100万元，持股比例2%。</w:t>
            </w:r>
          </w:p>
          <w:p>
            <w:pPr>
              <w:spacing w:line="520" w:lineRule="exact"/>
              <w:ind w:firstLine="643"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（5）投资结构：</w:t>
            </w:r>
            <w:r>
              <w:rPr>
                <w:rStyle w:val="10"/>
                <w:rFonts w:ascii="仿宋_GB2312" w:hAnsi="仿宋_GB2312" w:eastAsia="仿宋_GB2312"/>
                <w:color w:val="auto"/>
                <w:sz w:val="32"/>
                <w:szCs w:val="32"/>
                <w:highlight w:val="none"/>
              </w:rPr>
              <w:t>项目总投资89354.99万元，其中工程费用70888.04万元，工程建设其他费用10685.62万元，预备费4078.68万元，建设期利息3702.64万元。</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（6）资金来源融资贷款：</w:t>
            </w:r>
            <w:r>
              <w:rPr>
                <w:rStyle w:val="10"/>
                <w:rFonts w:ascii="仿宋_GB2312" w:hAnsi="仿宋_GB2312" w:eastAsia="仿宋_GB2312"/>
                <w:color w:val="auto"/>
                <w:sz w:val="32"/>
                <w:szCs w:val="32"/>
                <w:highlight w:val="none"/>
              </w:rPr>
              <w:t>项目资本金18115万元，贷款71400万元。</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 xml:space="preserve">（7）项目运作模式: </w:t>
            </w:r>
            <w:r>
              <w:rPr>
                <w:rStyle w:val="10"/>
                <w:rFonts w:ascii="仿宋_GB2312" w:hAnsi="仿宋_GB2312" w:eastAsia="仿宋_GB2312"/>
                <w:color w:val="auto"/>
                <w:sz w:val="32"/>
                <w:szCs w:val="32"/>
                <w:highlight w:val="none"/>
              </w:rPr>
              <w:t>本项目拟采用BOOT（建设-拥有-运营-移交）运作方式，项目总体规划、控制性详细规划、项目建议书、可行性研究报告已由中泰产业园管委会编制，各期工程的初步设计拟由政府方编制，经设计交底后，由项目公司负责组织项目融资、建造、运营。项目公司以出让方式获取本项目建设用地合作期内的土地使用权，用地权属形成的资产所有权在合作期内归项目公司拥有，期满后将资产所有权无偿移交给崇左市政府或其指定部门。</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（8）回报机制：</w:t>
            </w:r>
            <w:r>
              <w:rPr>
                <w:rStyle w:val="10"/>
                <w:rFonts w:ascii="仿宋_GB2312" w:hAnsi="仿宋_GB2312" w:eastAsia="仿宋_GB2312"/>
                <w:color w:val="auto"/>
                <w:sz w:val="32"/>
                <w:szCs w:val="32"/>
                <w:highlight w:val="none"/>
              </w:rPr>
              <w:t>项目公司回报分为项目运营收入、可行性缺口补助和绩效考核奖励三个部分：①项目运营收入包括资产租赁收入、物业管理收入、企业孵化收入、科技研发收入、广告经营收入；②可行性缺口补助是指使用者付费不足以满足社会资本方或项目公司成本回收和合理回报，而由政府以财政补贴、股本投入、优惠贷款或其他优惠政策形式，给予项目公司的经济补助，具体按 PPP 项目合同约定执行；③绩效考核奖励以崇左市政府或者实施机构会同相关主管部门制定的本项目绩效考核管理办法为准执行。</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（9）项目参建单位</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建设单位：广西崇左市金品建设投资有限公司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勘察单位：广西建工集团基础有限公司 </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设计单位：广西建工集团第一建筑工程责任公司综合设计研究院</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监理单位：广西新厦工程咨询有限公司 （一期）</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监理单位：广西刚正建筑工程监理有限公司（二期）</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施工单位：广西建工集团第一建筑工程有限责任公司</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（10）项目进度情况</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（11）项目开工时间：</w:t>
            </w:r>
            <w:r>
              <w:rPr>
                <w:rStyle w:val="10"/>
                <w:rFonts w:ascii="仿宋_GB2312" w:hAnsi="仿宋_GB2312" w:eastAsia="仿宋_GB2312"/>
                <w:color w:val="auto"/>
                <w:sz w:val="32"/>
                <w:szCs w:val="32"/>
                <w:highlight w:val="none"/>
              </w:rPr>
              <w:t xml:space="preserve"> 2016年11月。</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（12）当前形象进度：</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①项目一期工程形象进度：2#创新工厂完成2单元屋面砂浆找平、卫生间陶粒回填；1单元卫生间防水涂料施工。1#宿舍完成屋面层屋面混凝土浇筑。4#宿舍完成屋面层屋面混凝土浇筑，无尘模板拆除。研发中心10-14轴基础回填80%。2#宿舍完成地梁模板安装。3#宿舍装修收尾完成85%。</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②项目二期工程形象进度：2#仓库完成6-10轴一层柱混凝土浇筑，1-5轴梁底模板开设。配电房完成主体拆模（架子未拆），楼梯帽模板安装。C3路路面砼浇筑。7、8、9号厂房路缘石施工。7、8号厂房散水硬化。</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（13）施工产值进度</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①截止2019年6月30日，中泰崇左产业园国际果品加工基地PPP项目(一期)今年已完成10#厂房、1#、2#、4#职工宿舍1#创新工程2#创新工程的施工产值3198.28万元。开工至今累计施工产值23487万元，其中，1#-9#厂房完成9093万元，2#-5#仓库完成2375万元，1#-4#创新工场完成3914万元;1#-4宿舍完成2008万元，研发中心完成300万元，总平道路工程5507万元及其他项目完成290万元。</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②截止2019年6月30日，中泰崇左产业园国际果品加工基地PPP项目（二期）今年已完成1#、2#仓库7#厂房总平给排水的施工产值1604.98万元。开工至今累计完成施工产值8496万元，其中：1#-9#厂房完成4551万元，1#-2#仓库完成1000万元，总坪道路工程完成2100万元，横八路道路工程完成652万元，横八路排水工程完成193万元。</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2、横县市民中心建设工程PPP项目</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（1）项目名称：</w:t>
            </w:r>
            <w:r>
              <w:rPr>
                <w:rStyle w:val="10"/>
                <w:rFonts w:ascii="仿宋_GB2312" w:hAnsi="仿宋_GB2312" w:eastAsia="仿宋_GB2312"/>
                <w:color w:val="auto"/>
                <w:sz w:val="32"/>
                <w:szCs w:val="32"/>
                <w:highlight w:val="none"/>
              </w:rPr>
              <w:t>横县市民中心建设工程PPP项目</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（2）建设地点、内容及规模：</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①建设地点：横县茉莉花大道南侧</w:t>
            </w:r>
            <w:r>
              <w:rPr>
                <w:rStyle w:val="10"/>
                <w:rFonts w:ascii="仿宋_GB2312" w:hAnsi="仿宋_GB2312" w:eastAsia="仿宋_GB2312"/>
                <w:color w:val="auto"/>
                <w:sz w:val="32"/>
                <w:szCs w:val="32"/>
                <w:highlight w:val="none"/>
                <w:lang w:val="zh-CN"/>
              </w:rPr>
              <w:t>，规划用地北侧</w:t>
            </w:r>
            <w:r>
              <w:rPr>
                <w:rStyle w:val="10"/>
                <w:rFonts w:ascii="仿宋_GB2312" w:hAnsi="仿宋_GB2312" w:eastAsia="仿宋_GB2312"/>
                <w:color w:val="auto"/>
                <w:sz w:val="32"/>
                <w:szCs w:val="32"/>
                <w:highlight w:val="none"/>
              </w:rPr>
              <w:t>；</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②建设内容及规模：本项目包含四栋公共建筑为科技馆（现为县行政审批局）、工人文化宫（现为县行政审批局）、群众艺术馆（现为融媒体中心）、青少年活动中心（现为妇女儿童活动中心）四个场馆和地下室一、二层、位于中央的市民广场(含商业配套）。</w:t>
            </w:r>
          </w:p>
          <w:p>
            <w:pPr>
              <w:spacing w:line="520" w:lineRule="exact"/>
              <w:ind w:firstLine="640" w:firstLineChars="200"/>
              <w:rPr>
                <w:rStyle w:val="10"/>
                <w:rFonts w:ascii="仿宋_GB2312" w:hAnsi="仿宋_GB2312" w:eastAsia="仿宋_GB2312"/>
                <w:color w:val="auto"/>
                <w:sz w:val="32"/>
                <w:szCs w:val="32"/>
                <w:highlight w:val="none"/>
                <w:lang w:val="zh-CN"/>
              </w:rPr>
            </w:pPr>
            <w:r>
              <w:rPr>
                <w:rStyle w:val="10"/>
                <w:rFonts w:ascii="仿宋_GB2312" w:hAnsi="仿宋_GB2312" w:eastAsia="仿宋_GB2312"/>
                <w:color w:val="auto"/>
                <w:sz w:val="32"/>
                <w:szCs w:val="32"/>
                <w:highlight w:val="none"/>
                <w:lang w:val="zh-CN"/>
              </w:rPr>
              <w:t>本项目净用地面积为28278.37平方米，约合42.4亩，总建筑面积为63902平方米，其中：群众艺术馆占地面积为1390.59㎡，建筑面积为5066.14㎡；工人文化馆占地面积为1679.60㎡，建筑面积为5672.00㎡；科技馆占地面积为1403.00㎡，建筑面积为5283.70㎡；青少年活动中心占地面积为1155.29㎡，建筑面积为4260.88㎡。地下室及地下通道建筑面积为43619.28平方米。本项目建设的各栋建筑高度分别为：群众艺术馆17.4米，科技馆20.1米，工人文化馆18.6米，青少年活动中心19.8米。本项目的绿地面积为8483.511平方米，道路及场地硬化面积为14166.379平方米。本项目建筑密度为19.91%，容积率为1.26，绿地率为30%，地下停车位5</w:t>
            </w:r>
            <w:r>
              <w:rPr>
                <w:rStyle w:val="10"/>
                <w:rFonts w:ascii="仿宋_GB2312" w:hAnsi="仿宋_GB2312" w:eastAsia="仿宋_GB2312"/>
                <w:color w:val="auto"/>
                <w:sz w:val="32"/>
                <w:szCs w:val="32"/>
                <w:highlight w:val="none"/>
              </w:rPr>
              <w:t>92</w:t>
            </w:r>
            <w:r>
              <w:rPr>
                <w:rStyle w:val="10"/>
                <w:rFonts w:ascii="仿宋_GB2312" w:hAnsi="仿宋_GB2312" w:eastAsia="仿宋_GB2312"/>
                <w:color w:val="auto"/>
                <w:sz w:val="32"/>
                <w:szCs w:val="32"/>
                <w:highlight w:val="none"/>
                <w:lang w:val="zh-CN"/>
              </w:rPr>
              <w:t>个。</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（3）合作期限：</w:t>
            </w:r>
            <w:r>
              <w:rPr>
                <w:rStyle w:val="10"/>
                <w:rFonts w:ascii="仿宋_GB2312" w:hAnsi="仿宋_GB2312" w:eastAsia="仿宋_GB2312"/>
                <w:color w:val="auto"/>
                <w:sz w:val="32"/>
                <w:szCs w:val="32"/>
                <w:highlight w:val="none"/>
              </w:rPr>
              <w:t>2017年至2036年，共20年，其中建设期2年、运营期18年。</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（4）股权结构：</w:t>
            </w:r>
            <w:r>
              <w:rPr>
                <w:rStyle w:val="10"/>
                <w:rFonts w:ascii="仿宋_GB2312" w:hAnsi="仿宋_GB2312" w:eastAsia="仿宋_GB2312"/>
                <w:color w:val="auto"/>
                <w:sz w:val="32"/>
                <w:szCs w:val="32"/>
                <w:highlight w:val="none"/>
              </w:rPr>
              <w:t>广西横县祥泰投资发展有限责任公司，注册资本金6283万元，其中广西建工金控投资有限公司出资3167万元，占比50.4%，广西建工集团联合建设有限公司出资314万元，占比5%，广西横县国泰投资发展有限责任公司出资2802万元，占比44.6%。</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（5）投资结构：</w:t>
            </w:r>
            <w:r>
              <w:rPr>
                <w:rStyle w:val="10"/>
                <w:rFonts w:ascii="仿宋_GB2312" w:hAnsi="仿宋_GB2312" w:eastAsia="仿宋_GB2312"/>
                <w:color w:val="auto"/>
                <w:sz w:val="32"/>
                <w:szCs w:val="32"/>
                <w:highlight w:val="none"/>
              </w:rPr>
              <w:t>项目总投资22272.33万元，工程费用17955.50万元，建设工程其他费用1908.80万元，预备费1589.14万元，建设期利息818.89万元。</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（6）资金来源：</w:t>
            </w:r>
            <w:r>
              <w:rPr>
                <w:rStyle w:val="10"/>
                <w:rFonts w:ascii="仿宋_GB2312" w:hAnsi="仿宋_GB2312" w:eastAsia="仿宋_GB2312"/>
                <w:color w:val="auto"/>
                <w:sz w:val="32"/>
                <w:szCs w:val="32"/>
                <w:highlight w:val="none"/>
              </w:rPr>
              <w:t>项目资本金6283万元，银行贷款15950万元（根据项目实际情况提款）。</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（7）项目运作模式：</w:t>
            </w:r>
            <w:r>
              <w:rPr>
                <w:rStyle w:val="10"/>
                <w:rFonts w:ascii="仿宋_GB2312" w:hAnsi="仿宋_GB2312" w:eastAsia="仿宋_GB2312"/>
                <w:color w:val="auto"/>
                <w:sz w:val="32"/>
                <w:szCs w:val="32"/>
                <w:highlight w:val="none"/>
              </w:rPr>
              <w:t>本项目采用BOT（建造-运营-移交）的运作方式，具体方式为：</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①由政府方出资代表与社会投资人共同出资组建项目公司，双方的股比分别为44.6%与55.4%。其中，前期费用由政府方代为垫付，待未来项目公司成立后将该笔前期费用作为资本金注入项目公司；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②项目公司负责本项目的融资、建设与运营管理，政府在运营期开始后依据绩效考核标准进行付费。合作期满，本项目设施等项目资产使用权和经营权无偿移交至政府指定机构，或在同等条件下优先委托项目公司继续运营。</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（8）回报机制:</w:t>
            </w:r>
            <w:r>
              <w:rPr>
                <w:rStyle w:val="10"/>
                <w:rFonts w:ascii="仿宋_GB2312" w:hAnsi="仿宋_GB2312" w:eastAsia="仿宋_GB2312"/>
                <w:color w:val="auto"/>
                <w:sz w:val="32"/>
                <w:szCs w:val="32"/>
                <w:highlight w:val="none"/>
              </w:rPr>
              <w:t>本项目属于可行性缺口补助模式项目，在项目可行性缺口补助期间，政府承担部分直接付费责任，保证项目运营过程中的还款能力和最低资本收益率。政府直接付费的数据包括：社会资本方承担的年均建设成本（折算成各年度现值）、年度运营成本和合理利润，再减去每年使用者付费的数额。</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（9）项目参建单位</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项目实施机构：横县住房和城乡建设局</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政府出资方代表：广西横县国泰投资发展有限责任公司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设计单位：广西天艺建筑设计有限责任公司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勘察单位：广西华南岩土工程有限公司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监理单位：广西广厦工程建设咨询管理集团有限公司 </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施工单位：广西建工集团联合建设有限公司</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（10）项目进度情况</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（11）项目开工时间：</w:t>
            </w:r>
            <w:r>
              <w:rPr>
                <w:rStyle w:val="10"/>
                <w:rFonts w:ascii="仿宋_GB2312" w:hAnsi="仿宋_GB2312" w:eastAsia="仿宋_GB2312"/>
                <w:color w:val="auto"/>
                <w:sz w:val="32"/>
                <w:szCs w:val="32"/>
                <w:highlight w:val="none"/>
              </w:rPr>
              <w:t>2017年10月19日。</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（12）当前形象进度</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①总平完成70%，广场中段、西边基本完成，广场东边正在平整施工。</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②地下室装饰已按图纸施工完成。</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③地下室安装：地下室的水、电、消防等各专业的设备已经安装完成，消防调试正在调试。</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④地上四栋单体装饰：应横县县政府的要求，青少年文化宫、科技馆和工人文化宫内装饰因二次装修需要按现状办理移交。“融媒体”由科技馆改至群众艺术馆，经赶工装修基本完成施工。</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⑤地上四个单体安装：所有安装工作基本完成。消防控制系统正在调试，电梯尚未调试，科技馆和工人文化宫的吊顶工程和中央空调工程因内装要求的改变还未施工。</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⑥四栋单体2018年11月1日已完成现状验收，完成办理现状移交确认签章。政府已于1月15日举行竣工仪式。但现场的竣工验收因总平没有完工尚未进行。</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（13）施工产值进度</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截止2019年6月30日，累计完成施工产值20166万元，其中完成地下室工程13657万元，地上工人文化宫825万元，科技馆867万元，青少年活动中心679万元，群众艺术馆653万元，室外道路及园林1075万元，融媒体装修工程480万元，空调及配电采购1930万元。</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3、灵山县11个镇级污水处理厂PPP项目</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（1）项目概况</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①项目名称：</w:t>
            </w:r>
            <w:r>
              <w:rPr>
                <w:rStyle w:val="10"/>
                <w:rFonts w:ascii="仿宋_GB2312" w:hAnsi="仿宋_GB2312" w:eastAsia="仿宋_GB2312"/>
                <w:color w:val="auto"/>
                <w:sz w:val="32"/>
                <w:szCs w:val="32"/>
                <w:highlight w:val="none"/>
              </w:rPr>
              <w:t>灵山县11个镇级污水处理厂PPP项目；</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②建设地点、内容及规模：</w:t>
            </w:r>
            <w:r>
              <w:rPr>
                <w:rStyle w:val="10"/>
                <w:rFonts w:ascii="仿宋_GB2312" w:hAnsi="仿宋_GB2312" w:eastAsia="仿宋_GB2312"/>
                <w:color w:val="auto"/>
                <w:sz w:val="32"/>
                <w:szCs w:val="32"/>
                <w:highlight w:val="none"/>
              </w:rPr>
              <w:t>钦州市灵山县；包含项目在灵山县文利镇、旧州镇、平山镇、沙坪镇、丰塘镇、那隆镇、伯劳镇、平南镇、三隆镇、烟墩镇、太平镇11个乡镇建设不同规模污水处理厂及厂外配套敷设污水管道、改造现状渠道，并对以上范围内的污水处理设施负责“接、投、建、管、运”一体化运营。处理规模合计16000 m</w:t>
            </w:r>
            <w:r>
              <w:rPr>
                <w:rStyle w:val="10"/>
                <w:rFonts w:ascii="仿宋_GB2312" w:hAnsi="仿宋_GB2312" w:eastAsia="仿宋_GB2312"/>
                <w:color w:val="auto"/>
                <w:sz w:val="32"/>
                <w:szCs w:val="32"/>
                <w:highlight w:val="none"/>
                <w:vertAlign w:val="superscript"/>
              </w:rPr>
              <w:t>3</w:t>
            </w:r>
            <w:r>
              <w:rPr>
                <w:rStyle w:val="10"/>
                <w:rFonts w:ascii="仿宋_GB2312" w:hAnsi="仿宋_GB2312" w:eastAsia="仿宋_GB2312"/>
                <w:color w:val="auto"/>
                <w:sz w:val="32"/>
                <w:szCs w:val="32"/>
                <w:highlight w:val="none"/>
              </w:rPr>
              <w:t>/d。</w:t>
            </w:r>
          </w:p>
          <w:p>
            <w:pPr>
              <w:spacing w:line="520" w:lineRule="exact"/>
              <w:ind w:firstLine="643"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③合作期限：</w:t>
            </w:r>
            <w:r>
              <w:rPr>
                <w:rStyle w:val="10"/>
                <w:rFonts w:ascii="仿宋_GB2312" w:hAnsi="仿宋_GB2312" w:eastAsia="仿宋_GB2312"/>
                <w:color w:val="auto"/>
                <w:sz w:val="32"/>
                <w:szCs w:val="32"/>
                <w:highlight w:val="none"/>
              </w:rPr>
              <w:t>合作期限30年，从2017年-2047年。其中建设期1个月，运营期为29年（不含建设期）</w:t>
            </w:r>
          </w:p>
          <w:p>
            <w:pPr>
              <w:spacing w:line="520" w:lineRule="exact"/>
              <w:ind w:firstLine="643" w:firstLineChars="200"/>
              <w:jc w:val="left"/>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④股权结构：</w:t>
            </w:r>
            <w:r>
              <w:rPr>
                <w:rStyle w:val="10"/>
                <w:rFonts w:ascii="仿宋_GB2312" w:hAnsi="仿宋_GB2312" w:eastAsia="仿宋_GB2312"/>
                <w:color w:val="auto"/>
                <w:sz w:val="32"/>
                <w:szCs w:val="32"/>
                <w:highlight w:val="none"/>
              </w:rPr>
              <w:t>灵山县建工科净源水务有限公司，注册资本金1500万元，其中，政府出资代表灵山县开发投资有限公司以货币资金出资150万元，占项目公司10%的股权，社会资本方广西建工科净源生态环保产业投资有限公司以货币资金出资1350万元，占项目公司90%的股权。</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⑤投资结构</w:t>
            </w:r>
            <w:r>
              <w:rPr>
                <w:rStyle w:val="10"/>
                <w:rFonts w:ascii="仿宋_GB2312" w:hAnsi="仿宋_GB2312" w:eastAsia="仿宋_GB2312"/>
                <w:color w:val="auto"/>
                <w:sz w:val="32"/>
                <w:szCs w:val="32"/>
                <w:highlight w:val="none"/>
              </w:rPr>
              <w:t>：本项目总投资33666.54万元，其中工程费用27926.33万元、工程建设其他费用3225.46万元、预备费2352.25万元、建设期利息132.9万元、流动资金29.6万元。</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⑥资金来源</w:t>
            </w:r>
            <w:r>
              <w:rPr>
                <w:rStyle w:val="10"/>
                <w:rFonts w:ascii="仿宋_GB2312" w:hAnsi="仿宋_GB2312" w:eastAsia="仿宋_GB2312"/>
                <w:color w:val="auto"/>
                <w:sz w:val="32"/>
                <w:szCs w:val="32"/>
                <w:highlight w:val="none"/>
              </w:rPr>
              <w:t>：本项目资本金6740万元，占总投的20%，项目贷款债权融资利率5.39%，贷款额度为14000万元，占总投的50%。</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⑦项目运作模式</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采用PPP模式中的BOT（建设-运营-移交）运作方式。具体为：由政府出资代表和中标社会资本共同设立的项目公司（本合同乙方）承担项目投融资、建设、运营和维护职责。在合作期限内，项目公司应遵从国家和项目所在地有关法律、法规、规章及相关的标准和规范，依据本合同约定，全面履行各项义务；政府方按约定向项目公司支付可行性缺口补助。合作期满后项目公司将项目资产及相关权益等无偿移交给甲方或政府指定单位。</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⑧回报机制</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回报机制采用政府付费的付费方式，支付给项目公司运营补贴，在项目运营期内，灵山县住房和城乡建设局对项目进行运营绩效考评，由灵山县财政局将审核的运营补贴费用拨付至灵山县住房和城乡建设局，灵山县住房和城乡建设局按照绩效考评结果支付项目公司运营补贴费用，运营补贴自项目投入运营之日起29年内每季度按效支付，绩效考评每季度进行一次，运营期第1年起每季度最后一月为绩效考核月，由灵山县住房和城乡建设局根据设定的考评指标和标准对项目公司的季度运营情况进行考评，本季度的运营补贴根据考评结果在下一季度第一个月15日前支付，每季度支付一次，如果由于项目公司原有造成考评工作不能完成，考评结果无法出具，灵山县住房和城乡建设局不支付上一季度的项目运营补贴，待考评结果出来后，灵山县住房和城乡建设局再支付上一季度的项目运营补贴。</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⑨项目参建单位</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项目实施机构：灵山县住建局</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政府出资方代表：灵山县开发投资有限公司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设计单位：广西桥通工程设计有限公司南宁分公司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土建监理方：</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旧州镇：广西正峰工程项目管理咨询有限公司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烟墩、沙坪镇：广西桂春工程项目管理咨询有限公司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丰塘、平山、平南镇：广西共创建设项目管理有限责任公司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那隆、三隆镇：广西南宁建科工程监理有限责任公司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文利、伯劳镇：广西建括工程项目管理有限公司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太平镇：广西正峰工程项目管理咨询有限公司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设备监理方：南宁鑫之诺建设监理有限责任公司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施工单位：</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一标段：广西建工集团第四建筑工程有限责任公司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二标段：广西建工集团联合建设有限公司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11个镇设备标：广西建工集团第四建筑工程有限责任公司</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（2）项目进度情况</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①</w:t>
            </w:r>
            <w:r>
              <w:rPr>
                <w:rStyle w:val="10"/>
                <w:rFonts w:ascii="仿宋_GB2312" w:hAnsi="仿宋_GB2312" w:eastAsia="仿宋_GB2312"/>
                <w:b/>
                <w:color w:val="auto"/>
                <w:sz w:val="32"/>
                <w:szCs w:val="32"/>
                <w:highlight w:val="none"/>
              </w:rPr>
              <w:t>项目开工时间：</w:t>
            </w:r>
            <w:r>
              <w:rPr>
                <w:rStyle w:val="10"/>
                <w:rFonts w:ascii="仿宋_GB2312" w:hAnsi="仿宋_GB2312" w:eastAsia="仿宋_GB2312"/>
                <w:color w:val="auto"/>
                <w:sz w:val="32"/>
                <w:szCs w:val="32"/>
                <w:highlight w:val="none"/>
              </w:rPr>
              <w:t>2017年09月15日正式开工。</w:t>
            </w:r>
          </w:p>
          <w:p>
            <w:pPr>
              <w:spacing w:line="520" w:lineRule="exact"/>
              <w:ind w:firstLine="640" w:firstLineChars="200"/>
              <w:rPr>
                <w:rStyle w:val="10"/>
                <w:rFonts w:ascii="仿宋_GB2312" w:hAnsi="仿宋_GB2312" w:eastAsia="仿宋_GB2312"/>
                <w:b/>
                <w:color w:val="auto"/>
                <w:sz w:val="32"/>
                <w:szCs w:val="32"/>
                <w:highlight w:val="none"/>
              </w:rPr>
            </w:pPr>
            <w:r>
              <w:rPr>
                <w:rStyle w:val="10"/>
                <w:rFonts w:ascii="仿宋_GB2312" w:hAnsi="仿宋_GB2312" w:eastAsia="仿宋_GB2312"/>
                <w:color w:val="auto"/>
                <w:sz w:val="32"/>
                <w:szCs w:val="32"/>
                <w:highlight w:val="none"/>
              </w:rPr>
              <w:t>②</w:t>
            </w:r>
            <w:r>
              <w:rPr>
                <w:rStyle w:val="10"/>
                <w:rFonts w:ascii="仿宋_GB2312" w:hAnsi="仿宋_GB2312" w:eastAsia="仿宋_GB2312"/>
                <w:b/>
                <w:color w:val="auto"/>
                <w:sz w:val="32"/>
                <w:szCs w:val="32"/>
                <w:highlight w:val="none"/>
              </w:rPr>
              <w:t>当前形象进度</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文利镇、伯劳镇、那隆镇、三隆镇、太平镇、烟墩镇、沙坪镇、平南镇、丰塘镇、平山镇、旧州镇厂区已竣工完成，原设计配套管网61公里，完成59公里，剩余2公里，调概新增管网20公里，完成11.4公里，剩余8.6公里。</w:t>
            </w:r>
          </w:p>
          <w:p>
            <w:pPr>
              <w:spacing w:line="520" w:lineRule="exact"/>
              <w:ind w:firstLine="640" w:firstLineChars="200"/>
              <w:rPr>
                <w:rStyle w:val="10"/>
                <w:rFonts w:ascii="仿宋_GB2312" w:hAnsi="仿宋_GB2312" w:eastAsia="仿宋_GB2312"/>
                <w:b/>
                <w:color w:val="auto"/>
                <w:sz w:val="32"/>
                <w:szCs w:val="32"/>
                <w:highlight w:val="none"/>
              </w:rPr>
            </w:pPr>
            <w:r>
              <w:rPr>
                <w:rStyle w:val="10"/>
                <w:rFonts w:ascii="仿宋_GB2312" w:hAnsi="仿宋_GB2312" w:eastAsia="仿宋_GB2312"/>
                <w:color w:val="auto"/>
                <w:sz w:val="32"/>
                <w:szCs w:val="32"/>
                <w:highlight w:val="none"/>
              </w:rPr>
              <w:t>③</w:t>
            </w:r>
            <w:r>
              <w:rPr>
                <w:rStyle w:val="10"/>
                <w:rFonts w:ascii="仿宋_GB2312" w:hAnsi="仿宋_GB2312" w:eastAsia="仿宋_GB2312"/>
                <w:b/>
                <w:color w:val="auto"/>
                <w:sz w:val="32"/>
                <w:szCs w:val="32"/>
                <w:highlight w:val="none"/>
              </w:rPr>
              <w:t>施工产值进度</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灵山11个镇级污水处理厂项目今年已完成施工产值1088.81万元。累计完成产值30489.07万元。</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4、浦北县安石镇、石埇镇等5个乡镇污水处理厂及配套管网工程PPP项目</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（1）项目概况</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①项目名称：</w:t>
            </w:r>
            <w:r>
              <w:rPr>
                <w:rStyle w:val="10"/>
                <w:rFonts w:ascii="仿宋_GB2312" w:hAnsi="仿宋_GB2312" w:eastAsia="仿宋_GB2312"/>
                <w:color w:val="auto"/>
                <w:sz w:val="32"/>
                <w:szCs w:val="32"/>
                <w:highlight w:val="none"/>
              </w:rPr>
              <w:t>浦北县安石镇、石埇镇等5个乡镇污水处理厂及配套管网工程PPP项目</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②建设地点、内容及规模：</w:t>
            </w:r>
            <w:r>
              <w:rPr>
                <w:rStyle w:val="10"/>
                <w:rFonts w:ascii="仿宋_GB2312" w:hAnsi="仿宋_GB2312" w:eastAsia="仿宋_GB2312"/>
                <w:color w:val="auto"/>
                <w:sz w:val="32"/>
                <w:szCs w:val="32"/>
                <w:highlight w:val="none"/>
              </w:rPr>
              <w:t>钦州市浦北县；包含项目在安石镇、白石水镇、大成镇、乐民镇、石埇镇5个乡镇建设不同规模污水处理厂及厂外配套敷设污水管道、改造现状渠道，并对以上范围内的污水处理设施负责“接、投、建、管、运”一体化运营。处理规模合计4500 m</w:t>
            </w:r>
            <w:r>
              <w:rPr>
                <w:rStyle w:val="10"/>
                <w:rFonts w:ascii="仿宋_GB2312" w:hAnsi="仿宋_GB2312" w:eastAsia="仿宋_GB2312"/>
                <w:color w:val="auto"/>
                <w:sz w:val="32"/>
                <w:szCs w:val="32"/>
                <w:highlight w:val="none"/>
                <w:vertAlign w:val="superscript"/>
              </w:rPr>
              <w:t>3</w:t>
            </w:r>
            <w:r>
              <w:rPr>
                <w:rStyle w:val="10"/>
                <w:rFonts w:ascii="仿宋_GB2312" w:hAnsi="仿宋_GB2312" w:eastAsia="仿宋_GB2312"/>
                <w:color w:val="auto"/>
                <w:sz w:val="32"/>
                <w:szCs w:val="32"/>
                <w:highlight w:val="none"/>
              </w:rPr>
              <w:t>/d。</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③合作期限</w:t>
            </w:r>
            <w:r>
              <w:rPr>
                <w:rStyle w:val="10"/>
                <w:rFonts w:ascii="仿宋_GB2312" w:hAnsi="仿宋_GB2312" w:eastAsia="仿宋_GB2312"/>
                <w:color w:val="auto"/>
                <w:sz w:val="32"/>
                <w:szCs w:val="32"/>
                <w:highlight w:val="none"/>
              </w:rPr>
              <w:t>：合作期限25年，从2017年至2042年。其中建设期5个月，运营期为25年（不含建设期）</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④股权结构</w:t>
            </w:r>
            <w:r>
              <w:rPr>
                <w:rStyle w:val="10"/>
                <w:rFonts w:ascii="仿宋_GB2312" w:hAnsi="仿宋_GB2312" w:eastAsia="仿宋_GB2312"/>
                <w:color w:val="auto"/>
                <w:sz w:val="32"/>
                <w:szCs w:val="32"/>
                <w:highlight w:val="none"/>
              </w:rPr>
              <w:t>：浦北县建科环保科技有限公司，注册资本金2000万元，其中，政府出资代表浦北县开发投资集团有限公司以货币资金出资980万元，占项目公司49%的股权，社会资本方广西建工科净源生态环保产业投资有限公司以货币资金出资1020万元，占项目公司51%的股权。</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⑤投资结构</w:t>
            </w:r>
            <w:r>
              <w:rPr>
                <w:rStyle w:val="10"/>
                <w:rFonts w:ascii="仿宋_GB2312" w:hAnsi="仿宋_GB2312" w:eastAsia="仿宋_GB2312"/>
                <w:color w:val="auto"/>
                <w:sz w:val="32"/>
                <w:szCs w:val="32"/>
                <w:highlight w:val="none"/>
              </w:rPr>
              <w:t>：本项目总投资9811万元（不含建设期利息），其中建安工程费用7778万元、工程建设其他费用1223万元、预备费782万元、流动资金28万元。</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⑥资金来源：</w:t>
            </w:r>
            <w:r>
              <w:rPr>
                <w:rStyle w:val="10"/>
                <w:rFonts w:ascii="仿宋_GB2312" w:hAnsi="仿宋_GB2312" w:eastAsia="仿宋_GB2312"/>
                <w:color w:val="auto"/>
                <w:sz w:val="32"/>
                <w:szCs w:val="32"/>
                <w:highlight w:val="none"/>
              </w:rPr>
              <w:t>项目资本金2000万元（约占总投的20%），贷款还未办理。</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⑦项目运作模式</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采用PPP模式中的BOT（建设-运营-移交）运作方式。具体为：由政府出资代表和中标社会资本共同设立的项目公司（本合同乙方）承担项目投融资、建设、运营和维护职责。在合作期限内，项目公司应遵从国家和项目所在地有关法律、法规、规章及相关的标准和规范，依据本合同约定，全面履行各项义务；政府方按约定向项目公司支付可行性缺口补助。合作期满后项目公司将项目资产及相关权益等无偿移交给甲方或政府指定单位。</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⑧回报机制</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采取政府付费的付费机制，在项目运营期内，由浦北县财政局将审核的运营补贴费用拨付至浦北县住房和城乡建设局，浦北县住房和城乡建设局或其授权机构对项目进行可用性和运营绩效考评，自项目投入运营之日起，按协议约定时间向项目公司支付运营补贴费用。</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自运营期第1年至第14年，计算期为14年，政府每年直接付费数据包括：社会资本方承担的年均建设成本加年合理利润率、年度运营成本（成本单价*处理量）和年合理利润；自第15年至第24年，计算期10年，政府当年付费数额包括年度运营成本和年合理利润。</w:t>
            </w:r>
          </w:p>
          <w:p>
            <w:pPr>
              <w:tabs>
                <w:tab w:val="left" w:pos="312"/>
              </w:tabs>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⑨项目参建单位：</w:t>
            </w:r>
          </w:p>
          <w:p>
            <w:pPr>
              <w:tabs>
                <w:tab w:val="left" w:pos="312"/>
              </w:tabs>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项目实施机构：浦北县住建局</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政府出资方代表：浦北县开发投资集团有限公司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设计单位：广西桥通工程设计有限公司、华蓝设计（集团）有限公司、广西富盟工程设计有限公司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监理单位：南宁鑫之诺建设监理有限责任公司、广西天柱工程建设监理有限公司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施工单位：广西建工集团联合建设有限公司</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（2）项目进度情况</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①项目开工时间：</w:t>
            </w:r>
            <w:r>
              <w:rPr>
                <w:rStyle w:val="10"/>
                <w:rFonts w:ascii="仿宋_GB2312" w:hAnsi="仿宋_GB2312" w:eastAsia="仿宋_GB2312"/>
                <w:color w:val="auto"/>
                <w:sz w:val="32"/>
                <w:szCs w:val="32"/>
                <w:highlight w:val="none"/>
              </w:rPr>
              <w:t>2017年09月30日正式开工。</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②当前形象进度</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已竣工验收。其中该PPP项目的各子项目竣工验收时间分别为：2018年5月4日（石埇镇）、2018年5月11日（大成镇、白石水镇）、2018年6月11日（安石镇、乐民镇）。目前该项目正在开展竣工审计结算工作。</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③施工产值进度</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浦北县安石镇、石埇镇等5个乡镇污水处理厂及配套管网工程PPP项目累计已完成施工产值8110.07万元。其中安石镇污水处理厂及配套管网工程累计完成产值1796.85万元，石埇镇污水处理厂及配套管网工程累计完成产值1107.45万元，大成镇污水处理厂及配套管网工程累计完成产值1588.38万元，白石水镇污水处理厂及配套管网工程累计完成产值1258.93万元，安石镇污水处理厂及配套管网工程累计完成产值2358.46万元。</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5、天等县向都镇、龙茗镇、进结镇和县工业园区污水处理打捆PPP项目</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（1）项目概况</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①项目名称：</w:t>
            </w:r>
            <w:r>
              <w:rPr>
                <w:rStyle w:val="10"/>
                <w:rFonts w:ascii="仿宋_GB2312" w:hAnsi="仿宋_GB2312" w:eastAsia="仿宋_GB2312"/>
                <w:color w:val="auto"/>
                <w:sz w:val="32"/>
                <w:szCs w:val="32"/>
                <w:highlight w:val="none"/>
              </w:rPr>
              <w:t>天等县向都镇、龙茗镇、进结镇和县工业园区污水处理打捆PPP项目</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②建设地点、内容及规模：</w:t>
            </w:r>
            <w:r>
              <w:rPr>
                <w:rStyle w:val="10"/>
                <w:rFonts w:ascii="仿宋_GB2312" w:hAnsi="仿宋_GB2312" w:eastAsia="仿宋_GB2312"/>
                <w:color w:val="auto"/>
                <w:sz w:val="32"/>
                <w:szCs w:val="32"/>
                <w:highlight w:val="none"/>
              </w:rPr>
              <w:t>崇左市天等县；包含项目在天等县向都镇、龙茗镇、进结镇和县工业园区等3个乡镇和一个工业园区建设相同规模污水处理厂及厂外配套敷设污水管道、改造现状渠道，并对以上范围内的污水处理设施负责“接、投、建、管、运”一体化运营。处理规模合计4000 m</w:t>
            </w:r>
            <w:r>
              <w:rPr>
                <w:rStyle w:val="10"/>
                <w:rFonts w:ascii="仿宋_GB2312" w:hAnsi="仿宋_GB2312" w:eastAsia="仿宋_GB2312"/>
                <w:color w:val="auto"/>
                <w:sz w:val="32"/>
                <w:szCs w:val="32"/>
                <w:highlight w:val="none"/>
                <w:vertAlign w:val="superscript"/>
              </w:rPr>
              <w:t>3</w:t>
            </w:r>
            <w:r>
              <w:rPr>
                <w:rStyle w:val="10"/>
                <w:rFonts w:ascii="仿宋_GB2312" w:hAnsi="仿宋_GB2312" w:eastAsia="仿宋_GB2312"/>
                <w:color w:val="auto"/>
                <w:sz w:val="32"/>
                <w:szCs w:val="32"/>
                <w:highlight w:val="none"/>
              </w:rPr>
              <w:t>/d。</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③合作期限：</w:t>
            </w:r>
            <w:r>
              <w:rPr>
                <w:rStyle w:val="10"/>
                <w:rFonts w:ascii="仿宋_GB2312" w:hAnsi="仿宋_GB2312" w:eastAsia="仿宋_GB2312"/>
                <w:color w:val="auto"/>
                <w:sz w:val="32"/>
                <w:szCs w:val="32"/>
                <w:highlight w:val="none"/>
              </w:rPr>
              <w:t>项目合作期限26年，从2017年-2043年，其中建设期1年，包括勘察、设计、建设、验收、试运行等内容；特许经营期25年，从各项目正式商业运营之日起计算。</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④股权结构</w:t>
            </w:r>
            <w:r>
              <w:rPr>
                <w:rStyle w:val="10"/>
                <w:rFonts w:ascii="仿宋_GB2312" w:hAnsi="仿宋_GB2312" w:eastAsia="仿宋_GB2312"/>
                <w:color w:val="auto"/>
                <w:sz w:val="32"/>
                <w:szCs w:val="32"/>
                <w:highlight w:val="none"/>
              </w:rPr>
              <w:t>：天等县建工科净源水务有限公司，注册资本金1000万元，广西建工科净源生态环保产业投资有限公司出资1000万元，占比100%。</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⑤投资结构</w:t>
            </w:r>
            <w:r>
              <w:rPr>
                <w:rStyle w:val="10"/>
                <w:rFonts w:ascii="仿宋_GB2312" w:hAnsi="仿宋_GB2312" w:eastAsia="仿宋_GB2312"/>
                <w:color w:val="auto"/>
                <w:sz w:val="32"/>
                <w:szCs w:val="32"/>
                <w:highlight w:val="none"/>
              </w:rPr>
              <w:t>：本项目总投资8590.62万元（不含建设期利息），其中建安工程费用4640.05万元、设备费2181.37万元、工程建设其他费用1095.82万元、预备费633.38万元、流动资金40万元。</w:t>
            </w:r>
          </w:p>
          <w:p>
            <w:pPr>
              <w:tabs>
                <w:tab w:val="left" w:pos="312"/>
              </w:tabs>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⑥资金来源</w:t>
            </w:r>
            <w:r>
              <w:rPr>
                <w:rStyle w:val="10"/>
                <w:rFonts w:ascii="仿宋_GB2312" w:hAnsi="仿宋_GB2312" w:eastAsia="仿宋_GB2312"/>
                <w:color w:val="auto"/>
                <w:sz w:val="32"/>
                <w:szCs w:val="32"/>
                <w:highlight w:val="none"/>
              </w:rPr>
              <w:t>：本项目资本金1000万元，其余通过银行贷款。</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⑦项目运作模式</w:t>
            </w:r>
            <w:r>
              <w:rPr>
                <w:rStyle w:val="10"/>
                <w:rFonts w:ascii="仿宋_GB2312" w:hAnsi="仿宋_GB2312" w:eastAsia="仿宋_GB2312"/>
                <w:color w:val="auto"/>
                <w:sz w:val="32"/>
                <w:szCs w:val="32"/>
                <w:highlight w:val="none"/>
              </w:rPr>
              <w:t>：本项目采用PPP模式中的BOT（建设-运营-移交）运作方式。具体为：由政府出资代表和中标社会资本共同设立的项目公司（本合同乙方）承担项目投融资、建设、运营和维护职责。在合作期限内，项目公司应遵从国家和项目所在地有关法律、法规、规章及相关的标准和规范，依据本合同约定，全面履行各项义务；政府方按约定向项目公司支付可行性缺口补助。合作期满后项目公司将项目资产及相关权益等无偿移交给甲方或政府指定单位。</w:t>
            </w:r>
          </w:p>
          <w:p>
            <w:pPr>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⑧回报机制</w:t>
            </w:r>
            <w:r>
              <w:rPr>
                <w:rStyle w:val="10"/>
                <w:rFonts w:ascii="仿宋_GB2312" w:hAnsi="仿宋_GB2312" w:eastAsia="仿宋_GB2312"/>
                <w:color w:val="auto"/>
                <w:sz w:val="32"/>
                <w:szCs w:val="32"/>
                <w:highlight w:val="none"/>
              </w:rPr>
              <w:t>：</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采用政府付费模式，政府根据绩效考核支付补贴。本项目建设完工后由项目公司负责污水处理厂和管网的维护和运营管理等服务，在项目运营期内，由天等县财政局将审核的运营补贴费用拨付至天等县住房和城乡建设局，天等县住房和城乡建设局或其授权机构对项目进行可以用性和运营绩效考评，自项目投入运营之日起，按合同约定时间向项目公司支付运营补贴费用。</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⑨项目参建单位</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项目实施机构：天等县住建局</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政府出资方代表：天等县住房和城乡建设局</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设计单位：一是工业园区污水处理厂部分，由广西富盟工程设计有限公司进行设计；二是向都、龙茗、进结镇污水处理厂部分，由广西华蓝设计有限公司进行设计。</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监理单位：南宁鑫之诺建设监理有限责任公司</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施工单位：广西建工集团联合建设有限公司</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（2）项目进度情况</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①项目开工时间</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天等县向都镇、龙茗镇、进结镇和县工业园区污水处理打捆PPP项目经建设单位及监理单位审批，向都镇、龙茗镇、进结镇开工时间：2017年9月6日，工业园区开工时间：2017年12月19日。</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②当前形象进度</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天等县向都镇、龙茗镇、进结镇污水处理厂项目于2018年11月20日竣工。县工业园区污水处理厂项目于2019年3月8日竣工。</w:t>
            </w:r>
          </w:p>
          <w:p>
            <w:pPr>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③施工产值进度</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天等县向都镇、龙茗镇、进结镇和县工业园区污水处理打捆PPP项目目前完成施工产值7091万元。</w:t>
            </w:r>
          </w:p>
          <w:p>
            <w:pPr>
              <w:pStyle w:val="56"/>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开展后评价目的：国有企业投资PPP项目如何防范投融资风险及如何落实权益保障机制。</w:t>
            </w:r>
          </w:p>
          <w:p>
            <w:pPr>
              <w:pStyle w:val="56"/>
              <w:snapToGrid w:val="0"/>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cs="仿宋_GB2312"/>
                <w:b/>
                <w:bCs/>
                <w:color w:val="auto"/>
                <w:sz w:val="32"/>
                <w:szCs w:val="32"/>
                <w:highlight w:val="none"/>
              </w:rPr>
              <w:t>（二）玉柴集团参股子公司茂名市新泽源商贸有限公司投资茂名市中晟实业有限公司项目</w:t>
            </w:r>
          </w:p>
          <w:p>
            <w:pPr>
              <w:pStyle w:val="56"/>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中晟实业有限公司（以下简称中晟实业）成立于2012年9月，注册资金2亿元。项目占地规模738亩（49万m²），整体分为三个板块进行建设，分别为“滨海茂名·粤西农批（交易中心）”、“滨海茂名·物流加工园”、“滨海茂名·城市田园（商旅中心）”。项目是广东省重点建设项目、茂名市“十二五”规划的重大民生工程和现代农业服务业示范基地、茂名市重点建设项目、电白区新农村建设项目，并于2017年纳入广东省重点农业龙头企业。</w:t>
            </w:r>
          </w:p>
          <w:p>
            <w:pPr>
              <w:spacing w:line="520" w:lineRule="exact"/>
              <w:ind w:firstLine="640" w:firstLineChars="200"/>
              <w:contextualSpacing/>
              <w:rPr>
                <w:rStyle w:val="10"/>
                <w:rFonts w:ascii="仿宋_GB2312" w:hAnsi="仿宋_GB2312" w:eastAsia="仿宋_GB2312"/>
                <w:color w:val="auto"/>
                <w:kern w:val="0"/>
                <w:sz w:val="32"/>
                <w:szCs w:val="32"/>
                <w:highlight w:val="none"/>
              </w:rPr>
            </w:pPr>
            <w:r>
              <w:rPr>
                <w:rStyle w:val="10"/>
                <w:rFonts w:ascii="仿宋_GB2312" w:hAnsi="仿宋_GB2312" w:eastAsia="仿宋_GB2312"/>
                <w:color w:val="auto"/>
                <w:kern w:val="0"/>
                <w:sz w:val="32"/>
                <w:szCs w:val="32"/>
                <w:highlight w:val="none"/>
              </w:rPr>
              <w:t>2016年7月25日，茂名市新泽源商贸有限公司（以下简称新泽源，为广西玉柴机器集团有限公司持股35%并表范围内的二级子公司）以12,000万元价格收购茂名市中晟实业有限公司（简称中晟实业）60%股权。</w:t>
            </w:r>
          </w:p>
          <w:p>
            <w:pPr>
              <w:spacing w:line="520" w:lineRule="exact"/>
              <w:ind w:firstLine="640" w:firstLineChars="200"/>
              <w:contextualSpacing/>
              <w:rPr>
                <w:rStyle w:val="10"/>
                <w:rFonts w:ascii="仿宋_GB2312" w:hAnsi="仿宋_GB2312" w:eastAsia="仿宋_GB2312"/>
                <w:color w:val="auto"/>
                <w:kern w:val="0"/>
                <w:sz w:val="32"/>
                <w:szCs w:val="32"/>
                <w:highlight w:val="none"/>
              </w:rPr>
            </w:pPr>
            <w:r>
              <w:rPr>
                <w:rStyle w:val="10"/>
                <w:rFonts w:ascii="仿宋_GB2312" w:hAnsi="仿宋_GB2312" w:eastAsia="仿宋_GB2312"/>
                <w:color w:val="auto"/>
                <w:kern w:val="0"/>
                <w:sz w:val="32"/>
                <w:szCs w:val="32"/>
                <w:highlight w:val="none"/>
              </w:rPr>
              <w:t>2018年，中晟实业含税销售收入89,116万元，息税折旧及摊销前利润3,624万元，资产负债率86.86%。</w:t>
            </w:r>
          </w:p>
          <w:p>
            <w:pPr>
              <w:pStyle w:val="55"/>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项目目前存在问题是，项目建设投入资金大，融资成本高，侵蚀利润。现阶段融资授信进度缓慢，给公司的业务开展及推进造成了一定程度的影响。中晟实业目前正在进行一期项目的工程收尾工作，同时努力盘活资产，在现有相对齐全的业态基础上进行招商优化，延伸面对消费终端的服务业态，扩大市场竞争力。</w:t>
            </w:r>
          </w:p>
          <w:p>
            <w:pPr>
              <w:pStyle w:val="56"/>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开展后评价目的：评价开展非主业投资的决策程序、投资方向、风险防控、投后管理、投入及收益等情况。</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（三）农投集团南山水利枢纽工程项目简介</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农投集团三级控股子公司广西桂水电力股份有限公司南山发电分公司南山水利枢纽工程，位于广西壮族自治区桂林市龙胜各族自治县平等乡和伟江乡境内，距龙胜县城75Km，距桂林市176Km。南山水利枢纽工程总投资为11.35亿元，总装机容量为72MW，其中南山一级水电站装机容量为2×30MW；南山二级水电站装机容量为3×4MW，设计多年平均发电量2.63亿千瓦时。由高山蓄水、引水、抽水系统、一级水电站、二级水电站组成。高山蓄、引、抽水系统由南山水库、眉山水库、玉河溪水库、长滩坪抽水拦河坝及13座小围堰拦截山沟的引水坝组成。</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南山水利枢纽工程总投资11.35亿元，其中集团内部借款8.0395亿元，企业自筹约0.86亿元，目前广西桂水电力股份有限公司所持股份为94%。投资分为以下三个阶段：</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1、2002年8月至2006年2月完成南山二级水电站桥岔、熊坝塘、半冲、二级站厂房及设备等工程建设；于2006年2月26日完成3台机组全部投入运行。 </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2、2003年4月至2011年5月完成南山一级水电站水库群及各引水坝建设工程（除长滩坪抽水站外），于2011年5月26日投产。</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长滩坪抽水站于2013年5月23日项目恢复开工建设，2013年11月18日因施工方项目经理部营地遭到伟江乡下游群众约500人阻挠施工，多次协调政府，工程仍然无法复工，长滩坪抽水站项目被迫停工，停工至今已投资6956.52万元。</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2018年南山电站总发电量为0.98亿千瓦时，利润为-4141万元。</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开展后评价目的：评价项目执行情况，研究项目解决方案，为项目下一步推进作决策参考。</w:t>
            </w:r>
          </w:p>
          <w:p>
            <w:pPr>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二、后评价内容</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通过竞争磋商的方式选定三家有后评价业务的中介机构全程参与我委对企业投资项目后评价工作的统筹管理工作。其中具体服务内容涉及三部分：</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（一）提供项目投资后评价服务，分别评价以下3个项目（具体由采购人根据中标供应商实际情况指定）：</w:t>
            </w:r>
          </w:p>
          <w:p>
            <w:pPr>
              <w:pStyle w:val="56"/>
              <w:snapToGrid w:val="0"/>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1.广西建工集团在建PPP项目；</w:t>
            </w:r>
          </w:p>
          <w:p>
            <w:pPr>
              <w:pStyle w:val="56"/>
              <w:snapToGrid w:val="0"/>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2.玉柴集团参股子公司茂名市新泽源商贸有限公司投资茂名市中晟实业有限公司项目；</w:t>
            </w:r>
          </w:p>
          <w:p>
            <w:pPr>
              <w:snapToGrid w:val="0"/>
              <w:spacing w:line="520" w:lineRule="exact"/>
              <w:ind w:firstLine="643" w:firstLineChars="200"/>
              <w:jc w:val="left"/>
              <w:rPr>
                <w:rStyle w:val="10"/>
                <w:rFonts w:ascii="仿宋_GB2312" w:hAnsi="仿宋_GB2312" w:eastAsia="仿宋_GB2312" w:cs="仿宋_GB2312"/>
                <w:b/>
                <w:bCs/>
                <w:color w:val="auto"/>
                <w:kern w:val="0"/>
                <w:sz w:val="32"/>
                <w:szCs w:val="32"/>
                <w:highlight w:val="none"/>
              </w:rPr>
            </w:pPr>
            <w:r>
              <w:rPr>
                <w:rStyle w:val="10"/>
                <w:rFonts w:ascii="仿宋_GB2312" w:hAnsi="仿宋_GB2312" w:eastAsia="仿宋_GB2312" w:cs="仿宋_GB2312"/>
                <w:b/>
                <w:bCs/>
                <w:color w:val="auto"/>
                <w:sz w:val="32"/>
                <w:szCs w:val="32"/>
                <w:highlight w:val="none"/>
              </w:rPr>
              <w:t>3.农投集团龙胜南山水电站项目；</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后评价内容主要包括项目决策过程评价、实施过程评价、项目实施效果评价和项目总结。评价与分析投资决策科学性、合理性及合规性，投资的经济性和有效性，投资管理的健全与完善等。重点分析投资行为是否严格遵守“三重一大”决策制度、是否执行有关投资管理规定，评价投资的效果和效益，检查是否存在过度投资、决策与管理不善和舞弊风险的敞口等出资人重点关注的问题。</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具体服务内容包括：</w:t>
            </w:r>
          </w:p>
          <w:p>
            <w:pPr>
              <w:pStyle w:val="44"/>
              <w:snapToGrid w:val="0"/>
              <w:spacing w:line="520" w:lineRule="exact"/>
              <w:ind w:firstLine="64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（1）参加后评价实施思路、底稿模板和时间要求等的培训，确保后评价的实施标准一致；</w:t>
            </w:r>
          </w:p>
          <w:p>
            <w:pPr>
              <w:pStyle w:val="44"/>
              <w:snapToGrid w:val="0"/>
              <w:spacing w:line="520" w:lineRule="exact"/>
              <w:ind w:firstLine="64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（2）制定详细的评价实施计划，明确关键节点和步骤，并在与甲方协商一致的前提下按照计划逐步开展工作； </w:t>
            </w:r>
          </w:p>
          <w:p>
            <w:pPr>
              <w:pStyle w:val="44"/>
              <w:snapToGrid w:val="0"/>
              <w:spacing w:line="520" w:lineRule="exact"/>
              <w:ind w:firstLine="64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（3）对现有评价实施工具及模板进行进一步的优化与完善，在统一标准的基础上保障其实用性与适用性；</w:t>
            </w:r>
          </w:p>
          <w:p>
            <w:pPr>
              <w:pStyle w:val="44"/>
              <w:snapToGrid w:val="0"/>
              <w:spacing w:line="520" w:lineRule="exact"/>
              <w:ind w:firstLine="64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（4）开展现场调研，获取评价公司投资阶段相关数据及文档资料，从投资过程合规性、项目绩效及影响性、项目目标实现程度及发展可持续性等维度开展评价，并得出经验教训和相应的对策建议，具体包括：</w:t>
            </w:r>
          </w:p>
          <w:p>
            <w:pPr>
              <w:pStyle w:val="44"/>
              <w:snapToGrid w:val="0"/>
              <w:spacing w:line="520" w:lineRule="exact"/>
              <w:ind w:firstLine="64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①项目立项决策阶段评价，重点关注但不限于：项目投资决策过程的合规性与有效性，投资决策流程是否健全合理，决策依据是否全面、客观和有效，项目决策与企业战略目标实现之间的勾稽关系；</w:t>
            </w:r>
          </w:p>
          <w:p>
            <w:pPr>
              <w:pStyle w:val="44"/>
              <w:snapToGrid w:val="0"/>
              <w:spacing w:line="520" w:lineRule="exact"/>
              <w:ind w:firstLine="64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②项目准备阶段评价，重点关注但不限于：资金来源的合规性与可靠性，资金计划的准确和有效，资金与预算的管理水平，准备阶段工作的合规性，资产清盘审计的有效性与客观性。</w:t>
            </w:r>
          </w:p>
          <w:p>
            <w:pPr>
              <w:pStyle w:val="44"/>
              <w:snapToGrid w:val="0"/>
              <w:spacing w:line="520" w:lineRule="exact"/>
              <w:ind w:firstLine="64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③项目实施过程评价，重点关注但不限于：时间、成本与进度管理，重点关注合规性，投资行为及金额的变动。</w:t>
            </w:r>
          </w:p>
          <w:p>
            <w:pPr>
              <w:pStyle w:val="44"/>
              <w:snapToGrid w:val="0"/>
              <w:spacing w:line="520" w:lineRule="exact"/>
              <w:ind w:firstLine="64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④项目所涉及担保行为的合规性、股东权责利的对等性、抵押物的真实有效性、担保风险分析。</w:t>
            </w:r>
          </w:p>
          <w:p>
            <w:pPr>
              <w:pStyle w:val="44"/>
              <w:snapToGrid w:val="0"/>
              <w:spacing w:line="520" w:lineRule="exact"/>
              <w:ind w:firstLine="64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⑤项目效果效益评价，重点关注但不限于：整体经营管理水平，效果效益是否达到预期，是否存在重大经营决策失误或舞弊行为。</w:t>
            </w:r>
          </w:p>
          <w:p>
            <w:pPr>
              <w:pStyle w:val="44"/>
              <w:snapToGrid w:val="0"/>
              <w:spacing w:line="520" w:lineRule="exact"/>
              <w:ind w:firstLine="640"/>
              <w:jc w:val="lef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⑥项目总结评价、经验与教训，应明确但不限于：成功的经验、失败的教训和相应的对策建议（经营及管控层面）。</w:t>
            </w:r>
          </w:p>
          <w:p>
            <w:pPr>
              <w:pStyle w:val="44"/>
              <w:snapToGrid w:val="0"/>
              <w:spacing w:line="520" w:lineRule="exact"/>
              <w:ind w:firstLine="64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（5）参与项目沟通会议，汇报项目进度、结果及遇到的重大问题；</w:t>
            </w:r>
          </w:p>
          <w:p>
            <w:pPr>
              <w:pStyle w:val="44"/>
              <w:snapToGrid w:val="0"/>
              <w:spacing w:line="520" w:lineRule="exact"/>
              <w:ind w:firstLine="64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（6）根据项目后评价结果形成3个项目后评价报告，并提交过程底稿。</w:t>
            </w:r>
          </w:p>
          <w:p>
            <w:pPr>
              <w:pStyle w:val="44"/>
              <w:snapToGrid w:val="0"/>
              <w:spacing w:line="520" w:lineRule="exact"/>
              <w:ind w:firstLine="64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（7）配合甲方完成统筹协调的其他事项。</w:t>
            </w:r>
          </w:p>
          <w:p>
            <w:pPr>
              <w:pStyle w:val="44"/>
              <w:snapToGrid w:val="0"/>
              <w:spacing w:line="520" w:lineRule="exact"/>
              <w:ind w:firstLine="64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（二）继续完善后评价指标体系。</w:t>
            </w:r>
          </w:p>
          <w:p>
            <w:pPr>
              <w:pStyle w:val="44"/>
              <w:snapToGrid w:val="0"/>
              <w:spacing w:line="520" w:lineRule="exact"/>
              <w:ind w:firstLine="64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（三）撰写2019年度自治区国资委后评价总结报告：</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2019年度自治区国资委后评价总报告及以上3个评价项目报告。总报告需提炼出3个项目在投资决策及过程实施中的成功经验及失败教训，并为后续从自治区国资委提升监管水平、企业提升投资管理水平两个维度提供建设性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8" w:hRule="atLeast"/>
          <w:jc w:val="center"/>
        </w:trPr>
        <w:tc>
          <w:tcPr>
            <w:tcW w:w="9846"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二、商务要求表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投标人资质要求</w:t>
            </w:r>
          </w:p>
        </w:tc>
        <w:tc>
          <w:tcPr>
            <w:tcW w:w="7920" w:type="dxa"/>
            <w:tcBorders>
              <w:top w:val="single" w:color="000000" w:sz="4" w:space="0"/>
              <w:left w:val="nil"/>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1、具备《中华人民共和国政府采购法》第二十二条规定的条件；</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2、国内注册（指按国家有关规定要求注册的）具有独立法人资格的供应商；</w:t>
            </w:r>
          </w:p>
          <w:p>
            <w:pPr>
              <w:snapToGrid w:val="0"/>
              <w:spacing w:line="520" w:lineRule="exact"/>
              <w:rPr>
                <w:rStyle w:val="10"/>
                <w:rFonts w:ascii="仿宋_GB2312" w:hAnsi="仿宋_GB2312" w:eastAsia="仿宋_GB2312"/>
                <w:b/>
                <w:color w:val="auto"/>
                <w:sz w:val="32"/>
                <w:szCs w:val="32"/>
                <w:highlight w:val="none"/>
              </w:rPr>
            </w:pPr>
            <w:r>
              <w:rPr>
                <w:rStyle w:val="10"/>
                <w:rFonts w:ascii="仿宋_GB2312" w:hAnsi="仿宋_GB2312" w:eastAsia="仿宋_GB2312"/>
                <w:color w:val="auto"/>
                <w:sz w:val="32"/>
                <w:szCs w:val="32"/>
                <w:highlight w:val="none"/>
              </w:rPr>
              <w:t>3、本项目</w:t>
            </w:r>
            <w:r>
              <w:rPr>
                <w:rStyle w:val="10"/>
                <w:rFonts w:hint="eastAsia" w:ascii="仿宋_GB2312" w:hAnsi="仿宋_GB2312" w:eastAsia="仿宋_GB2312"/>
                <w:color w:val="auto"/>
                <w:sz w:val="32"/>
                <w:szCs w:val="32"/>
                <w:highlight w:val="none"/>
                <w:lang w:val="en-US" w:eastAsia="zh-CN"/>
              </w:rPr>
              <w:t>不</w:t>
            </w:r>
            <w:r>
              <w:rPr>
                <w:rStyle w:val="10"/>
                <w:rFonts w:ascii="仿宋_GB2312" w:hAnsi="仿宋_GB2312" w:eastAsia="仿宋_GB2312"/>
                <w:color w:val="auto"/>
                <w:sz w:val="32"/>
                <w:szCs w:val="32"/>
                <w:highlight w:val="none"/>
                <w:u w:val="single"/>
              </w:rPr>
              <w:t>接受</w:t>
            </w:r>
            <w:r>
              <w:rPr>
                <w:rStyle w:val="10"/>
                <w:rFonts w:ascii="仿宋_GB2312" w:hAnsi="仿宋_GB2312" w:eastAsia="仿宋_GB2312"/>
                <w:color w:val="auto"/>
                <w:sz w:val="32"/>
                <w:szCs w:val="32"/>
                <w:highlight w:val="none"/>
              </w:rPr>
              <w:t>联合体磋商；</w:t>
            </w:r>
          </w:p>
          <w:p>
            <w:pPr>
              <w:snapToGrid w:val="0"/>
              <w:spacing w:line="520" w:lineRule="exact"/>
              <w:rPr>
                <w:rStyle w:val="10"/>
                <w:rFonts w:ascii="仿宋_GB2312" w:hAnsi="仿宋_GB2312" w:eastAsia="仿宋_GB2312"/>
                <w:b/>
                <w:color w:val="auto"/>
                <w:sz w:val="32"/>
                <w:szCs w:val="32"/>
                <w:highlight w:val="none"/>
              </w:rPr>
            </w:pPr>
            <w:r>
              <w:rPr>
                <w:rStyle w:val="10"/>
                <w:rFonts w:ascii="仿宋_GB2312" w:hAnsi="仿宋_GB2312" w:eastAsia="仿宋_GB2312"/>
                <w:color w:val="auto"/>
                <w:sz w:val="32"/>
                <w:szCs w:val="32"/>
                <w:highlight w:val="none"/>
              </w:rPr>
              <w:t>4、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或中国政府采购网（www.ccgp.gov.cn）查询相关供应商主体信用记录，在响应文件中将查询结果截图加盖单位公章如实报告磋商判小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 w:hRule="atLeast"/>
          <w:jc w:val="center"/>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服务期限及服务地点</w:t>
            </w:r>
          </w:p>
        </w:tc>
        <w:tc>
          <w:tcPr>
            <w:tcW w:w="7920" w:type="dxa"/>
            <w:tcBorders>
              <w:top w:val="single" w:color="000000" w:sz="4" w:space="0"/>
              <w:left w:val="nil"/>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（1）服务期限：自签订合同之日起至2020年3月。</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（2）提交服务成果时间：2019年12月。</w:t>
            </w:r>
          </w:p>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（3）服务地点：采购人指定地点。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付款条件</w:t>
            </w:r>
          </w:p>
        </w:tc>
        <w:tc>
          <w:tcPr>
            <w:tcW w:w="7920" w:type="dxa"/>
            <w:tcBorders>
              <w:top w:val="single" w:color="000000" w:sz="4" w:space="0"/>
              <w:left w:val="nil"/>
              <w:bottom w:val="single" w:color="000000" w:sz="4" w:space="0"/>
              <w:right w:val="single" w:color="000000" w:sz="4" w:space="0"/>
            </w:tcBorders>
            <w:vAlign w:val="center"/>
          </w:tcPr>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签订合同10个工作日内，甲方按照项目合同总价的50%支付预付款，项目成果完成且经甲方评审验收确认后，在10个工作日内，甲方将项目合同总价的50%拨付乙方。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4" w:hRule="atLeast"/>
          <w:jc w:val="center"/>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成果提交</w:t>
            </w:r>
          </w:p>
        </w:tc>
        <w:tc>
          <w:tcPr>
            <w:tcW w:w="7920" w:type="dxa"/>
            <w:tcBorders>
              <w:top w:val="single" w:color="000000" w:sz="4" w:space="0"/>
              <w:left w:val="nil"/>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本项目成果必须按照甲方在合同签订前提出的要求进行，并提交成果材料如下（需提交的最终成果全部材料应须以书面形式和电子光盘形式提交，其中书面形式提交成果需打印装订成册；1式10份）：</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1.2019年度自治区国资委投资项目后评价总报告（含投资项目后评价指标体系）；</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2.广西建工集团在建PPP项目；</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3.玉柴集团参股子公司茂名市新泽源商贸有限公司投资茂名市中晟实业有限公司项目；</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4.农投集团龙胜南山水电站项目；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 w:hRule="atLeast"/>
          <w:jc w:val="center"/>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其他要求</w:t>
            </w:r>
          </w:p>
        </w:tc>
        <w:tc>
          <w:tcPr>
            <w:tcW w:w="7920" w:type="dxa"/>
            <w:tcBorders>
              <w:top w:val="single" w:color="000000" w:sz="4" w:space="0"/>
              <w:left w:val="nil"/>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1.本项目为总价包干，报价必须含以下部分，包括：</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（1）服务的价格；</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（2）必要的保险费用和各项税金；</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（3）其他[如运输、装卸、安装、调试、培训、技术支持、售后服务、更新升级等费用；</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2.投标人必须提供针对本项目的服务方案和拟投入人员方案。</w:t>
            </w:r>
          </w:p>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3.采购人认为必要时，可派人或邀请专家直接参与后评价工作。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 w:hRule="atLeast"/>
          <w:jc w:val="center"/>
        </w:trPr>
        <w:tc>
          <w:tcPr>
            <w:tcW w:w="1926" w:type="dxa"/>
            <w:tcBorders>
              <w:top w:val="single" w:color="000000" w:sz="4" w:space="0"/>
              <w:left w:val="single" w:color="000000" w:sz="4" w:space="0"/>
              <w:bottom w:val="single" w:color="000000" w:sz="4" w:space="0"/>
              <w:right w:val="single" w:color="000000" w:sz="4" w:space="0"/>
            </w:tcBorders>
            <w:vAlign w:val="center"/>
          </w:tcPr>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项目验收要求</w:t>
            </w:r>
          </w:p>
        </w:tc>
        <w:tc>
          <w:tcPr>
            <w:tcW w:w="7920" w:type="dxa"/>
            <w:tcBorders>
              <w:top w:val="single" w:color="000000" w:sz="4" w:space="0"/>
              <w:left w:val="nil"/>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lang w:val="zh-CN"/>
              </w:rPr>
            </w:pPr>
            <w:r>
              <w:rPr>
                <w:rStyle w:val="10"/>
                <w:rFonts w:ascii="仿宋_GB2312" w:hAnsi="仿宋_GB2312" w:eastAsia="仿宋_GB2312"/>
                <w:color w:val="auto"/>
                <w:sz w:val="32"/>
                <w:szCs w:val="32"/>
                <w:highlight w:val="none"/>
              </w:rPr>
              <w:t>1.</w:t>
            </w:r>
            <w:r>
              <w:rPr>
                <w:rStyle w:val="10"/>
                <w:rFonts w:ascii="仿宋_GB2312" w:hAnsi="仿宋_GB2312" w:eastAsia="仿宋_GB2312"/>
                <w:color w:val="auto"/>
                <w:sz w:val="32"/>
                <w:szCs w:val="32"/>
                <w:highlight w:val="none"/>
                <w:lang w:val="zh-CN"/>
              </w:rPr>
              <w:t>应遵循使用方提供相关咨询服务</w:t>
            </w:r>
            <w:r>
              <w:rPr>
                <w:rStyle w:val="10"/>
                <w:rFonts w:ascii="仿宋_GB2312" w:hAnsi="仿宋_GB2312" w:eastAsia="仿宋_GB2312"/>
                <w:color w:val="auto"/>
                <w:sz w:val="32"/>
                <w:szCs w:val="32"/>
                <w:highlight w:val="none"/>
              </w:rPr>
              <w:t>。</w:t>
            </w:r>
            <w:r>
              <w:rPr>
                <w:rStyle w:val="10"/>
                <w:rFonts w:ascii="仿宋_GB2312" w:hAnsi="仿宋_GB2312" w:eastAsia="仿宋_GB2312"/>
                <w:color w:val="auto"/>
                <w:sz w:val="32"/>
                <w:szCs w:val="32"/>
                <w:highlight w:val="none"/>
                <w:lang w:val="zh-CN"/>
              </w:rPr>
              <w:t>按要求完成成果提交</w:t>
            </w:r>
            <w:r>
              <w:rPr>
                <w:rStyle w:val="10"/>
                <w:rFonts w:ascii="仿宋_GB2312" w:hAnsi="仿宋_GB2312" w:eastAsia="仿宋_GB2312"/>
                <w:color w:val="auto"/>
                <w:sz w:val="32"/>
                <w:szCs w:val="32"/>
                <w:highlight w:val="none"/>
              </w:rPr>
              <w:t>；</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2.乙方在和甲方沟通后，共同制定本项目的工作计划与工作步骤；</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3.乙方应保证交付成果按时完成，尽力将乙方制定的方案与相关知识传递给甲方项目小组；</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4.乙方应正确使用和妥善保管甲方提供的办公设施和资料，项目结束时如数归还甲方；</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5.本项目的验收内容为上述成果提交为准；</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6.如甲方不认可乙方的项目成果，应在报告会后的2周内以书面形式向乙方提出具体的修改意见。否则视为认可乙方的成果。</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7.若甲方验收不合格，经乙方修改后仍不合格，甲方有权拒付剩余费用。</w:t>
            </w:r>
          </w:p>
        </w:tc>
      </w:tr>
    </w:tbl>
    <w:p>
      <w:pPr>
        <w:spacing w:before="156" w:line="520" w:lineRule="exact"/>
        <w:rPr>
          <w:rStyle w:val="10"/>
          <w:rFonts w:ascii="仿宋" w:hAnsi="仿宋" w:eastAsia="仿宋"/>
          <w:color w:val="auto"/>
          <w:sz w:val="32"/>
          <w:szCs w:val="32"/>
          <w:highlight w:val="none"/>
        </w:rPr>
      </w:pPr>
    </w:p>
    <w:p>
      <w:pPr>
        <w:spacing w:line="520" w:lineRule="exact"/>
        <w:ind w:firstLine="2875" w:firstLineChars="895"/>
        <w:rPr>
          <w:rStyle w:val="10"/>
          <w:rFonts w:ascii="仿宋" w:hAnsi="仿宋" w:eastAsia="仿宋"/>
          <w:b/>
          <w:color w:val="auto"/>
          <w:sz w:val="32"/>
          <w:szCs w:val="32"/>
          <w:highlight w:val="none"/>
        </w:rPr>
      </w:pPr>
    </w:p>
    <w:p>
      <w:pPr>
        <w:spacing w:line="520" w:lineRule="exact"/>
        <w:ind w:firstLine="2875" w:firstLineChars="895"/>
        <w:rPr>
          <w:rStyle w:val="10"/>
          <w:rFonts w:ascii="仿宋" w:hAnsi="仿宋" w:eastAsia="仿宋"/>
          <w:b/>
          <w:color w:val="auto"/>
          <w:sz w:val="32"/>
          <w:szCs w:val="32"/>
          <w:highlight w:val="none"/>
        </w:rPr>
      </w:pPr>
    </w:p>
    <w:p>
      <w:pPr>
        <w:spacing w:line="520" w:lineRule="exact"/>
        <w:ind w:firstLine="2875" w:firstLineChars="895"/>
        <w:rPr>
          <w:rStyle w:val="10"/>
          <w:rFonts w:ascii="仿宋" w:hAnsi="仿宋" w:eastAsia="仿宋"/>
          <w:b/>
          <w:color w:val="auto"/>
          <w:sz w:val="32"/>
          <w:szCs w:val="32"/>
          <w:highlight w:val="none"/>
        </w:rPr>
      </w:pPr>
    </w:p>
    <w:p>
      <w:pPr>
        <w:spacing w:line="520" w:lineRule="exact"/>
        <w:ind w:firstLine="2875" w:firstLineChars="895"/>
        <w:rPr>
          <w:rStyle w:val="10"/>
          <w:rFonts w:ascii="仿宋" w:hAnsi="仿宋" w:eastAsia="仿宋"/>
          <w:b/>
          <w:color w:val="auto"/>
          <w:sz w:val="32"/>
          <w:szCs w:val="32"/>
          <w:highlight w:val="none"/>
        </w:rPr>
      </w:pPr>
    </w:p>
    <w:p>
      <w:pPr>
        <w:spacing w:line="520" w:lineRule="exact"/>
        <w:ind w:firstLine="2875" w:firstLineChars="895"/>
        <w:rPr>
          <w:rStyle w:val="10"/>
          <w:rFonts w:ascii="仿宋" w:hAnsi="仿宋" w:eastAsia="仿宋"/>
          <w:b/>
          <w:color w:val="auto"/>
          <w:sz w:val="32"/>
          <w:szCs w:val="32"/>
          <w:highlight w:val="none"/>
        </w:rPr>
      </w:pPr>
    </w:p>
    <w:p>
      <w:pPr>
        <w:spacing w:line="520" w:lineRule="exact"/>
        <w:ind w:firstLine="2875" w:firstLineChars="895"/>
        <w:rPr>
          <w:rStyle w:val="10"/>
          <w:rFonts w:ascii="仿宋" w:hAnsi="仿宋" w:eastAsia="仿宋"/>
          <w:b/>
          <w:color w:val="auto"/>
          <w:sz w:val="32"/>
          <w:szCs w:val="32"/>
          <w:highlight w:val="none"/>
        </w:rPr>
      </w:pPr>
    </w:p>
    <w:p>
      <w:pPr>
        <w:spacing w:line="520" w:lineRule="exact"/>
        <w:ind w:firstLine="440" w:firstLineChars="100"/>
        <w:jc w:val="center"/>
        <w:rPr>
          <w:rStyle w:val="10"/>
          <w:rFonts w:ascii="方正小标宋简体" w:hAnsi="方正小标宋简体" w:eastAsia="方正小标宋简体" w:cs="方正小标宋简体"/>
          <w:bCs/>
          <w:color w:val="auto"/>
          <w:sz w:val="44"/>
          <w:szCs w:val="44"/>
          <w:highlight w:val="none"/>
        </w:rPr>
      </w:pPr>
      <w:r>
        <w:rPr>
          <w:rStyle w:val="10"/>
          <w:rFonts w:ascii="方正小标宋简体" w:hAnsi="方正小标宋简体" w:eastAsia="方正小标宋简体" w:cs="方正小标宋简体"/>
          <w:bCs/>
          <w:color w:val="auto"/>
          <w:sz w:val="44"/>
          <w:szCs w:val="44"/>
          <w:highlight w:val="none"/>
        </w:rPr>
        <w:t>第四章  竞争性磋商响应文件格式</w:t>
      </w:r>
    </w:p>
    <w:p>
      <w:pPr>
        <w:spacing w:line="520" w:lineRule="exact"/>
        <w:jc w:val="center"/>
        <w:rPr>
          <w:rStyle w:val="10"/>
          <w:rFonts w:ascii="仿宋" w:hAnsi="仿宋" w:eastAsia="仿宋"/>
          <w:b/>
          <w:color w:val="auto"/>
          <w:sz w:val="32"/>
          <w:szCs w:val="32"/>
          <w:highlight w:val="none"/>
        </w:rPr>
      </w:pPr>
    </w:p>
    <w:p>
      <w:pPr>
        <w:snapToGrid w:val="0"/>
        <w:spacing w:before="156" w:after="50" w:line="520" w:lineRule="exact"/>
        <w:ind w:firstLine="1732" w:firstLineChars="539"/>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 xml:space="preserve">一、 </w:t>
      </w:r>
      <w:r>
        <w:rPr>
          <w:rStyle w:val="10"/>
          <w:rFonts w:ascii="仿宋_GB2312" w:hAnsi="仿宋_GB2312" w:eastAsia="仿宋_GB2312"/>
          <w:b/>
          <w:color w:val="auto"/>
          <w:sz w:val="32"/>
          <w:szCs w:val="32"/>
          <w:highlight w:val="none"/>
        </w:rPr>
        <w:t>竞争性磋商响应文件</w:t>
      </w:r>
      <w:r>
        <w:rPr>
          <w:rStyle w:val="10"/>
          <w:rFonts w:ascii="仿宋_GB2312" w:hAnsi="仿宋_GB2312" w:eastAsia="仿宋_GB2312" w:cs="仿宋_GB2312"/>
          <w:b/>
          <w:bCs/>
          <w:color w:val="auto"/>
          <w:sz w:val="32"/>
          <w:szCs w:val="32"/>
          <w:highlight w:val="none"/>
        </w:rPr>
        <w:t>外包装封面</w:t>
      </w:r>
    </w:p>
    <w:p>
      <w:pPr>
        <w:snapToGrid w:val="0"/>
        <w:spacing w:before="156" w:after="50" w:line="520" w:lineRule="exact"/>
        <w:ind w:firstLine="2689" w:firstLineChars="837"/>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及</w:t>
      </w:r>
      <w:r>
        <w:rPr>
          <w:rStyle w:val="10"/>
          <w:rFonts w:ascii="仿宋_GB2312" w:hAnsi="仿宋_GB2312" w:eastAsia="仿宋_GB2312"/>
          <w:b/>
          <w:color w:val="auto"/>
          <w:sz w:val="32"/>
          <w:szCs w:val="32"/>
          <w:highlight w:val="none"/>
        </w:rPr>
        <w:t>竞争性磋商响应文件封面</w:t>
      </w:r>
      <w:r>
        <w:rPr>
          <w:rStyle w:val="10"/>
          <w:rFonts w:ascii="仿宋_GB2312" w:hAnsi="仿宋_GB2312" w:eastAsia="仿宋_GB2312" w:cs="仿宋_GB2312"/>
          <w:b/>
          <w:bCs/>
          <w:color w:val="auto"/>
          <w:sz w:val="32"/>
          <w:szCs w:val="32"/>
          <w:highlight w:val="none"/>
        </w:rPr>
        <w:t>格式</w:t>
      </w:r>
    </w:p>
    <w:p>
      <w:pPr>
        <w:snapToGrid w:val="0"/>
        <w:spacing w:before="156" w:after="50" w:line="520" w:lineRule="exact"/>
        <w:rPr>
          <w:rStyle w:val="10"/>
          <w:rFonts w:ascii="仿宋_GB2312" w:hAnsi="仿宋_GB2312" w:eastAsia="仿宋_GB2312"/>
          <w:b/>
          <w:color w:val="auto"/>
          <w:sz w:val="32"/>
          <w:szCs w:val="32"/>
          <w:highlight w:val="none"/>
        </w:rPr>
      </w:pPr>
    </w:p>
    <w:p>
      <w:pPr>
        <w:snapToGrid w:val="0"/>
        <w:spacing w:before="156" w:after="50" w:line="520" w:lineRule="exact"/>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 xml:space="preserve">（一）竞争性磋商响应文件的外包装封面格式： </w:t>
      </w:r>
    </w:p>
    <w:p>
      <w:pPr>
        <w:snapToGrid w:val="0"/>
        <w:spacing w:before="156" w:after="50" w:line="520" w:lineRule="exact"/>
        <w:rPr>
          <w:rStyle w:val="10"/>
          <w:rFonts w:ascii="仿宋_GB2312" w:hAnsi="仿宋_GB2312" w:eastAsia="仿宋_GB2312"/>
          <w:color w:val="auto"/>
          <w:sz w:val="32"/>
          <w:szCs w:val="32"/>
          <w:highlight w:val="none"/>
        </w:rPr>
      </w:pPr>
    </w:p>
    <w:p>
      <w:pPr>
        <w:snapToGrid w:val="0"/>
        <w:spacing w:before="156" w:after="50" w:line="520" w:lineRule="exact"/>
        <w:ind w:firstLine="3518" w:firstLineChars="1095"/>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b/>
          <w:color w:val="auto"/>
          <w:sz w:val="32"/>
          <w:szCs w:val="32"/>
          <w:highlight w:val="none"/>
        </w:rPr>
        <w:t>竞争性磋商响应文件</w:t>
      </w:r>
      <w:r>
        <w:rPr>
          <w:rStyle w:val="10"/>
          <w:rFonts w:ascii="仿宋_GB2312" w:hAnsi="仿宋_GB2312" w:eastAsia="仿宋_GB2312" w:cs="仿宋_GB2312"/>
          <w:b/>
          <w:bCs/>
          <w:color w:val="auto"/>
          <w:sz w:val="32"/>
          <w:szCs w:val="32"/>
          <w:highlight w:val="none"/>
        </w:rPr>
        <w:t xml:space="preserve">   </w:t>
      </w:r>
    </w:p>
    <w:p>
      <w:pPr>
        <w:snapToGrid w:val="0"/>
        <w:spacing w:before="156" w:after="50" w:line="520" w:lineRule="exact"/>
        <w:ind w:firstLine="3518" w:firstLineChars="1095"/>
        <w:rPr>
          <w:rStyle w:val="10"/>
          <w:rFonts w:ascii="仿宋_GB2312" w:hAnsi="仿宋_GB2312" w:eastAsia="仿宋_GB2312"/>
          <w:color w:val="auto"/>
          <w:sz w:val="32"/>
          <w:szCs w:val="32"/>
          <w:highlight w:val="none"/>
        </w:rPr>
      </w:pPr>
      <w:r>
        <w:rPr>
          <w:rStyle w:val="10"/>
          <w:rFonts w:ascii="仿宋_GB2312" w:hAnsi="仿宋_GB2312" w:eastAsia="仿宋_GB2312" w:cs="仿宋_GB2312"/>
          <w:b/>
          <w:bCs/>
          <w:color w:val="auto"/>
          <w:sz w:val="32"/>
          <w:szCs w:val="32"/>
          <w:highlight w:val="none"/>
        </w:rPr>
        <w:t xml:space="preserve">           </w:t>
      </w:r>
    </w:p>
    <w:p>
      <w:pPr>
        <w:snapToGrid w:val="0"/>
        <w:spacing w:before="156" w:after="50" w:line="520" w:lineRule="exact"/>
        <w:ind w:firstLine="960" w:firstLineChars="300"/>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olor w:val="auto"/>
          <w:sz w:val="32"/>
          <w:szCs w:val="32"/>
          <w:highlight w:val="none"/>
        </w:rPr>
        <w:t>项目名称</w:t>
      </w:r>
      <w:r>
        <w:rPr>
          <w:rStyle w:val="10"/>
          <w:rFonts w:ascii="仿宋_GB2312" w:hAnsi="仿宋_GB2312" w:eastAsia="仿宋_GB2312" w:cs="仿宋_GB2312"/>
          <w:bCs/>
          <w:color w:val="auto"/>
          <w:sz w:val="32"/>
          <w:szCs w:val="32"/>
          <w:highlight w:val="none"/>
        </w:rPr>
        <w:t>：</w:t>
      </w:r>
    </w:p>
    <w:p>
      <w:pPr>
        <w:snapToGrid w:val="0"/>
        <w:spacing w:before="156" w:after="50" w:line="520" w:lineRule="exact"/>
        <w:ind w:firstLine="960" w:firstLineChars="300"/>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olor w:val="auto"/>
          <w:sz w:val="32"/>
          <w:szCs w:val="32"/>
          <w:highlight w:val="none"/>
        </w:rPr>
        <w:t>项目编号</w:t>
      </w:r>
      <w:r>
        <w:rPr>
          <w:rStyle w:val="10"/>
          <w:rFonts w:ascii="仿宋_GB2312" w:hAnsi="仿宋_GB2312" w:eastAsia="仿宋_GB2312" w:cs="仿宋_GB2312"/>
          <w:bCs/>
          <w:color w:val="auto"/>
          <w:sz w:val="32"/>
          <w:szCs w:val="32"/>
          <w:highlight w:val="none"/>
        </w:rPr>
        <w:t>：</w:t>
      </w:r>
    </w:p>
    <w:p>
      <w:pPr>
        <w:snapToGrid w:val="0"/>
        <w:spacing w:before="156" w:after="50" w:line="520" w:lineRule="exact"/>
        <w:ind w:firstLine="960" w:firstLineChars="300"/>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s="仿宋_GB2312"/>
          <w:bCs/>
          <w:color w:val="auto"/>
          <w:sz w:val="32"/>
          <w:szCs w:val="32"/>
          <w:highlight w:val="none"/>
        </w:rPr>
        <w:t xml:space="preserve">所竞分标号： </w:t>
      </w:r>
    </w:p>
    <w:p>
      <w:pPr>
        <w:pStyle w:val="14"/>
        <w:snapToGrid w:val="0"/>
        <w:spacing w:before="50" w:after="50" w:line="520" w:lineRule="exact"/>
        <w:ind w:firstLine="960" w:firstLineChars="300"/>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olor w:val="auto"/>
          <w:sz w:val="32"/>
          <w:szCs w:val="32"/>
          <w:highlight w:val="none"/>
        </w:rPr>
        <w:t>磋商供应商名称</w:t>
      </w:r>
      <w:r>
        <w:rPr>
          <w:rStyle w:val="10"/>
          <w:rFonts w:ascii="仿宋_GB2312" w:hAnsi="仿宋_GB2312" w:eastAsia="仿宋_GB2312" w:cs="仿宋_GB2312"/>
          <w:bCs/>
          <w:color w:val="auto"/>
          <w:sz w:val="32"/>
          <w:szCs w:val="32"/>
          <w:highlight w:val="none"/>
        </w:rPr>
        <w:t>：</w:t>
      </w:r>
    </w:p>
    <w:p>
      <w:pPr>
        <w:pStyle w:val="14"/>
        <w:snapToGrid w:val="0"/>
        <w:spacing w:before="50" w:after="50" w:line="520" w:lineRule="exact"/>
        <w:ind w:firstLine="960" w:firstLineChars="300"/>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s="仿宋_GB2312"/>
          <w:bCs/>
          <w:color w:val="auto"/>
          <w:sz w:val="32"/>
          <w:szCs w:val="32"/>
          <w:highlight w:val="none"/>
        </w:rPr>
        <w:t>（截标时才能启封）</w:t>
      </w:r>
    </w:p>
    <w:p>
      <w:pPr>
        <w:pStyle w:val="14"/>
        <w:snapToGrid w:val="0"/>
        <w:spacing w:before="50" w:after="50" w:line="520" w:lineRule="exact"/>
        <w:ind w:firstLine="960" w:firstLineChars="300"/>
        <w:rPr>
          <w:rStyle w:val="10"/>
          <w:rFonts w:ascii="仿宋_GB2312" w:hAnsi="仿宋_GB2312" w:eastAsia="仿宋_GB2312" w:cs="仿宋_GB2312"/>
          <w:bCs/>
          <w:color w:val="auto"/>
          <w:sz w:val="32"/>
          <w:szCs w:val="32"/>
          <w:highlight w:val="none"/>
        </w:rPr>
      </w:pPr>
    </w:p>
    <w:p>
      <w:pPr>
        <w:snapToGrid w:val="0"/>
        <w:spacing w:before="156" w:after="50" w:line="520" w:lineRule="exact"/>
        <w:rPr>
          <w:rStyle w:val="10"/>
          <w:rFonts w:ascii="仿宋_GB2312" w:hAnsi="仿宋_GB2312" w:eastAsia="仿宋_GB2312"/>
          <w:b/>
          <w:color w:val="auto"/>
          <w:sz w:val="32"/>
          <w:szCs w:val="32"/>
          <w:highlight w:val="none"/>
        </w:rPr>
      </w:pPr>
    </w:p>
    <w:p>
      <w:pPr>
        <w:snapToGrid w:val="0"/>
        <w:spacing w:before="156" w:after="50" w:line="520" w:lineRule="exact"/>
        <w:rPr>
          <w:rStyle w:val="10"/>
          <w:rFonts w:ascii="仿宋_GB2312" w:hAnsi="仿宋_GB2312" w:eastAsia="仿宋_GB2312"/>
          <w:b/>
          <w:color w:val="auto"/>
          <w:sz w:val="32"/>
          <w:szCs w:val="32"/>
          <w:highlight w:val="none"/>
        </w:rPr>
      </w:pPr>
    </w:p>
    <w:p>
      <w:pPr>
        <w:snapToGrid w:val="0"/>
        <w:spacing w:before="156" w:after="50" w:line="520" w:lineRule="exact"/>
        <w:rPr>
          <w:rStyle w:val="10"/>
          <w:rFonts w:ascii="仿宋_GB2312" w:hAnsi="仿宋_GB2312" w:eastAsia="仿宋_GB2312"/>
          <w:b/>
          <w:color w:val="auto"/>
          <w:sz w:val="32"/>
          <w:szCs w:val="32"/>
          <w:highlight w:val="none"/>
        </w:rPr>
      </w:pPr>
    </w:p>
    <w:p>
      <w:pPr>
        <w:snapToGrid w:val="0"/>
        <w:spacing w:before="156" w:after="50" w:line="520" w:lineRule="exact"/>
        <w:rPr>
          <w:rStyle w:val="10"/>
          <w:rFonts w:ascii="仿宋_GB2312" w:hAnsi="仿宋_GB2312" w:eastAsia="仿宋_GB2312"/>
          <w:b/>
          <w:color w:val="auto"/>
          <w:sz w:val="32"/>
          <w:szCs w:val="32"/>
          <w:highlight w:val="none"/>
        </w:rPr>
      </w:pPr>
    </w:p>
    <w:p>
      <w:pPr>
        <w:snapToGrid w:val="0"/>
        <w:spacing w:before="156" w:after="50" w:line="520" w:lineRule="exact"/>
        <w:rPr>
          <w:rStyle w:val="10"/>
          <w:rFonts w:ascii="仿宋_GB2312" w:hAnsi="仿宋_GB2312" w:eastAsia="仿宋_GB2312"/>
          <w:b/>
          <w:color w:val="auto"/>
          <w:sz w:val="32"/>
          <w:szCs w:val="32"/>
          <w:highlight w:val="none"/>
        </w:rPr>
      </w:pPr>
    </w:p>
    <w:p>
      <w:pPr>
        <w:snapToGrid w:val="0"/>
        <w:spacing w:before="156" w:after="50" w:line="520" w:lineRule="exact"/>
        <w:rPr>
          <w:rStyle w:val="10"/>
          <w:rFonts w:ascii="仿宋_GB2312" w:hAnsi="仿宋_GB2312" w:eastAsia="仿宋_GB2312"/>
          <w:b/>
          <w:color w:val="auto"/>
          <w:sz w:val="32"/>
          <w:szCs w:val="32"/>
          <w:highlight w:val="none"/>
        </w:rPr>
      </w:pPr>
    </w:p>
    <w:p>
      <w:pPr>
        <w:snapToGrid w:val="0"/>
        <w:spacing w:before="156" w:after="50" w:line="520" w:lineRule="exact"/>
        <w:rPr>
          <w:rStyle w:val="10"/>
          <w:rFonts w:ascii="仿宋_GB2312" w:hAnsi="仿宋_GB2312" w:eastAsia="仿宋_GB2312"/>
          <w:b/>
          <w:color w:val="auto"/>
          <w:sz w:val="32"/>
          <w:szCs w:val="32"/>
          <w:highlight w:val="none"/>
        </w:rPr>
      </w:pPr>
    </w:p>
    <w:p>
      <w:pPr>
        <w:snapToGrid w:val="0"/>
        <w:spacing w:before="156" w:after="50" w:line="520" w:lineRule="exact"/>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 xml:space="preserve">（二）竞争性磋商响应文件封面格式： </w:t>
      </w:r>
    </w:p>
    <w:p>
      <w:pPr>
        <w:snapToGrid w:val="0"/>
        <w:spacing w:before="156" w:after="50" w:line="520" w:lineRule="exact"/>
        <w:ind w:left="9600" w:hanging="9600" w:hangingChars="3000"/>
        <w:rPr>
          <w:rStyle w:val="10"/>
          <w:rFonts w:ascii="仿宋_GB2312" w:hAnsi="仿宋_GB2312" w:eastAsia="仿宋_GB2312"/>
          <w:b/>
          <w:color w:val="auto"/>
          <w:sz w:val="32"/>
          <w:szCs w:val="32"/>
          <w:highlight w:val="none"/>
        </w:rPr>
      </w:pPr>
      <w:r>
        <w:rPr>
          <w:rStyle w:val="10"/>
          <w:rFonts w:ascii="仿宋_GB2312" w:hAnsi="仿宋_GB2312" w:eastAsia="仿宋_GB2312"/>
          <w:color w:val="auto"/>
          <w:sz w:val="32"/>
          <w:szCs w:val="32"/>
          <w:highlight w:val="none"/>
        </w:rPr>
        <w:t xml:space="preserve">                     </w:t>
      </w:r>
      <w:r>
        <w:rPr>
          <w:rStyle w:val="10"/>
          <w:rFonts w:ascii="仿宋_GB2312" w:hAnsi="仿宋_GB2312" w:eastAsia="仿宋_GB2312" w:cs="仿宋_GB2312"/>
          <w:b/>
          <w:bCs/>
          <w:color w:val="auto"/>
          <w:sz w:val="32"/>
          <w:szCs w:val="32"/>
          <w:highlight w:val="none"/>
        </w:rPr>
        <w:t>（正/副本）</w:t>
      </w:r>
    </w:p>
    <w:p>
      <w:pPr>
        <w:snapToGrid w:val="0"/>
        <w:spacing w:before="156" w:after="50" w:line="520" w:lineRule="exact"/>
        <w:jc w:val="center"/>
        <w:rPr>
          <w:rStyle w:val="10"/>
          <w:rFonts w:ascii="仿宋_GB2312" w:hAnsi="仿宋_GB2312" w:eastAsia="仿宋_GB2312"/>
          <w:b/>
          <w:color w:val="auto"/>
          <w:sz w:val="32"/>
          <w:szCs w:val="32"/>
          <w:highlight w:val="none"/>
        </w:rPr>
      </w:pPr>
    </w:p>
    <w:p>
      <w:pPr>
        <w:snapToGrid w:val="0"/>
        <w:spacing w:before="156" w:after="50" w:line="520" w:lineRule="exact"/>
        <w:jc w:val="center"/>
        <w:rPr>
          <w:rStyle w:val="10"/>
          <w:rFonts w:ascii="仿宋_GB2312" w:hAnsi="仿宋_GB2312" w:eastAsia="仿宋_GB2312"/>
          <w:b/>
          <w:color w:val="auto"/>
          <w:sz w:val="32"/>
          <w:szCs w:val="32"/>
          <w:highlight w:val="none"/>
        </w:rPr>
      </w:pPr>
    </w:p>
    <w:p>
      <w:pPr>
        <w:snapToGrid w:val="0"/>
        <w:spacing w:before="156" w:after="50" w:line="520" w:lineRule="exact"/>
        <w:jc w:val="center"/>
        <w:rPr>
          <w:rStyle w:val="10"/>
          <w:rFonts w:ascii="仿宋_GB2312" w:hAnsi="仿宋_GB2312" w:eastAsia="仿宋_GB2312" w:cs="仿宋_GB2312"/>
          <w:bCs/>
          <w:color w:val="auto"/>
          <w:sz w:val="32"/>
          <w:szCs w:val="32"/>
          <w:highlight w:val="none"/>
        </w:rPr>
      </w:pPr>
      <w:r>
        <w:rPr>
          <w:rStyle w:val="10"/>
          <w:rFonts w:ascii="仿宋_GB2312" w:hAnsi="仿宋_GB2312" w:eastAsia="仿宋_GB2312"/>
          <w:b/>
          <w:color w:val="auto"/>
          <w:sz w:val="32"/>
          <w:szCs w:val="32"/>
          <w:highlight w:val="none"/>
        </w:rPr>
        <w:t>竞争性磋商响应文件（封面）</w:t>
      </w:r>
    </w:p>
    <w:p>
      <w:pPr>
        <w:spacing w:line="520" w:lineRule="exact"/>
        <w:ind w:firstLine="640" w:firstLineChars="200"/>
        <w:rPr>
          <w:rStyle w:val="10"/>
          <w:rFonts w:ascii="仿宋_GB2312" w:hAnsi="仿宋_GB2312" w:eastAsia="仿宋_GB2312"/>
          <w:color w:val="auto"/>
          <w:sz w:val="32"/>
          <w:szCs w:val="32"/>
          <w:highlight w:val="none"/>
        </w:rPr>
      </w:pPr>
    </w:p>
    <w:p>
      <w:pPr>
        <w:spacing w:line="520" w:lineRule="exact"/>
        <w:ind w:firstLine="640" w:firstLineChars="200"/>
        <w:rPr>
          <w:rStyle w:val="10"/>
          <w:rFonts w:ascii="仿宋_GB2312" w:hAnsi="仿宋_GB2312" w:eastAsia="仿宋_GB2312"/>
          <w:color w:val="auto"/>
          <w:sz w:val="32"/>
          <w:szCs w:val="32"/>
          <w:highlight w:val="none"/>
        </w:rPr>
      </w:pPr>
    </w:p>
    <w:p>
      <w:pPr>
        <w:spacing w:line="520" w:lineRule="exact"/>
        <w:ind w:firstLine="640" w:firstLineChars="200"/>
        <w:rPr>
          <w:rStyle w:val="10"/>
          <w:rFonts w:ascii="仿宋_GB2312" w:hAnsi="仿宋_GB2312" w:eastAsia="仿宋_GB2312"/>
          <w:color w:val="auto"/>
          <w:sz w:val="32"/>
          <w:szCs w:val="32"/>
          <w:highlight w:val="none"/>
        </w:rPr>
      </w:pPr>
    </w:p>
    <w:p>
      <w:pPr>
        <w:spacing w:line="520" w:lineRule="exact"/>
        <w:ind w:firstLine="640" w:firstLineChars="200"/>
        <w:rPr>
          <w:rStyle w:val="10"/>
          <w:rFonts w:ascii="仿宋_GB2312" w:hAnsi="仿宋_GB2312" w:eastAsia="仿宋_GB2312"/>
          <w:color w:val="auto"/>
          <w:sz w:val="32"/>
          <w:szCs w:val="32"/>
          <w:highlight w:val="none"/>
        </w:rPr>
      </w:pPr>
    </w:p>
    <w:p>
      <w:pPr>
        <w:spacing w:line="520" w:lineRule="exact"/>
        <w:ind w:firstLine="640" w:firstLineChars="200"/>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项目名称：</w:t>
      </w:r>
      <w:r>
        <w:rPr>
          <w:rStyle w:val="10"/>
          <w:rFonts w:ascii="仿宋_GB2312" w:hAnsi="仿宋_GB2312" w:eastAsia="仿宋_GB2312"/>
          <w:color w:val="auto"/>
          <w:sz w:val="32"/>
          <w:szCs w:val="32"/>
          <w:highlight w:val="none"/>
          <w:u w:val="single"/>
        </w:rPr>
        <w:t xml:space="preserve">                       </w:t>
      </w:r>
    </w:p>
    <w:p>
      <w:pPr>
        <w:snapToGrid w:val="0"/>
        <w:spacing w:before="156" w:after="50" w:line="520" w:lineRule="exact"/>
        <w:ind w:firstLine="640" w:firstLineChars="200"/>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项目编号</w:t>
      </w:r>
      <w:r>
        <w:rPr>
          <w:rStyle w:val="10"/>
          <w:rFonts w:ascii="仿宋_GB2312" w:hAnsi="仿宋_GB2312" w:eastAsia="仿宋_GB2312" w:cs="仿宋_GB2312"/>
          <w:bCs/>
          <w:color w:val="auto"/>
          <w:sz w:val="32"/>
          <w:szCs w:val="32"/>
          <w:highlight w:val="none"/>
        </w:rPr>
        <w:t>：</w:t>
      </w:r>
      <w:r>
        <w:rPr>
          <w:rStyle w:val="10"/>
          <w:rFonts w:ascii="仿宋_GB2312" w:hAnsi="仿宋_GB2312" w:eastAsia="仿宋_GB2312"/>
          <w:color w:val="auto"/>
          <w:sz w:val="32"/>
          <w:szCs w:val="32"/>
          <w:highlight w:val="none"/>
          <w:u w:val="single"/>
        </w:rPr>
        <w:t xml:space="preserve">                       </w:t>
      </w:r>
    </w:p>
    <w:p>
      <w:pPr>
        <w:spacing w:line="520" w:lineRule="exact"/>
        <w:ind w:firstLine="640" w:firstLineChars="200"/>
        <w:rPr>
          <w:rStyle w:val="10"/>
          <w:rFonts w:ascii="仿宋_GB2312" w:hAnsi="仿宋_GB2312" w:eastAsia="仿宋_GB2312"/>
          <w:color w:val="auto"/>
          <w:sz w:val="32"/>
          <w:szCs w:val="32"/>
          <w:highlight w:val="none"/>
          <w:u w:val="single"/>
        </w:rPr>
      </w:pPr>
      <w:r>
        <w:rPr>
          <w:rStyle w:val="10"/>
          <w:rFonts w:ascii="仿宋_GB2312" w:hAnsi="仿宋_GB2312" w:eastAsia="仿宋_GB2312" w:cs="仿宋_GB2312"/>
          <w:bCs/>
          <w:color w:val="auto"/>
          <w:sz w:val="32"/>
          <w:szCs w:val="32"/>
          <w:highlight w:val="none"/>
        </w:rPr>
        <w:t>所竞分标号</w:t>
      </w:r>
      <w:r>
        <w:rPr>
          <w:rStyle w:val="10"/>
          <w:rFonts w:ascii="仿宋_GB2312" w:hAnsi="仿宋_GB2312" w:eastAsia="仿宋_GB2312"/>
          <w:color w:val="auto"/>
          <w:sz w:val="32"/>
          <w:szCs w:val="32"/>
          <w:highlight w:val="none"/>
        </w:rPr>
        <w:t>：</w:t>
      </w:r>
      <w:r>
        <w:rPr>
          <w:rStyle w:val="10"/>
          <w:rFonts w:ascii="仿宋_GB2312" w:hAnsi="仿宋_GB2312" w:eastAsia="仿宋_GB2312"/>
          <w:color w:val="auto"/>
          <w:sz w:val="32"/>
          <w:szCs w:val="32"/>
          <w:highlight w:val="none"/>
          <w:u w:val="single"/>
        </w:rPr>
        <w:t xml:space="preserve">                        </w:t>
      </w:r>
    </w:p>
    <w:p>
      <w:pPr>
        <w:snapToGrid w:val="0"/>
        <w:spacing w:before="156" w:after="50" w:line="520" w:lineRule="exact"/>
        <w:ind w:firstLine="640" w:firstLineChars="200"/>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olor w:val="auto"/>
          <w:sz w:val="32"/>
          <w:szCs w:val="32"/>
          <w:highlight w:val="none"/>
        </w:rPr>
        <w:t>磋商供应商名称</w:t>
      </w:r>
      <w:r>
        <w:rPr>
          <w:rStyle w:val="10"/>
          <w:rFonts w:ascii="仿宋_GB2312" w:hAnsi="仿宋_GB2312" w:eastAsia="仿宋_GB2312" w:cs="仿宋_GB2312"/>
          <w:bCs/>
          <w:color w:val="auto"/>
          <w:sz w:val="32"/>
          <w:szCs w:val="32"/>
          <w:highlight w:val="none"/>
        </w:rPr>
        <w:t>：</w:t>
      </w:r>
      <w:r>
        <w:rPr>
          <w:rStyle w:val="10"/>
          <w:rFonts w:ascii="仿宋_GB2312" w:hAnsi="仿宋_GB2312" w:eastAsia="仿宋_GB2312"/>
          <w:color w:val="auto"/>
          <w:sz w:val="32"/>
          <w:szCs w:val="32"/>
          <w:highlight w:val="none"/>
          <w:u w:val="single"/>
        </w:rPr>
        <w:t xml:space="preserve">                        </w:t>
      </w:r>
    </w:p>
    <w:p>
      <w:pPr>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w:t>
      </w:r>
    </w:p>
    <w:p>
      <w:pPr>
        <w:snapToGrid w:val="0"/>
        <w:spacing w:before="156" w:after="50"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w:t>
      </w:r>
    </w:p>
    <w:p>
      <w:pPr>
        <w:snapToGrid w:val="0"/>
        <w:spacing w:before="156" w:after="50" w:line="520" w:lineRule="exact"/>
        <w:jc w:val="center"/>
        <w:rPr>
          <w:rStyle w:val="10"/>
          <w:rFonts w:ascii="仿宋_GB2312" w:hAnsi="仿宋_GB2312" w:eastAsia="仿宋_GB2312"/>
          <w:color w:val="auto"/>
          <w:sz w:val="32"/>
          <w:szCs w:val="32"/>
          <w:highlight w:val="none"/>
        </w:rPr>
      </w:pPr>
    </w:p>
    <w:p>
      <w:pPr>
        <w:snapToGrid w:val="0"/>
        <w:spacing w:before="156" w:after="50"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w:t>
      </w:r>
    </w:p>
    <w:p>
      <w:pPr>
        <w:snapToGrid w:val="0"/>
        <w:spacing w:before="156" w:after="50" w:line="520" w:lineRule="exact"/>
        <w:jc w:val="center"/>
        <w:rPr>
          <w:rStyle w:val="10"/>
          <w:rFonts w:ascii="仿宋_GB2312" w:hAnsi="仿宋_GB2312" w:eastAsia="仿宋_GB2312"/>
          <w:color w:val="auto"/>
          <w:sz w:val="32"/>
          <w:szCs w:val="32"/>
          <w:highlight w:val="none"/>
        </w:rPr>
      </w:pPr>
    </w:p>
    <w:p>
      <w:pPr>
        <w:snapToGrid w:val="0"/>
        <w:spacing w:before="156" w:after="50"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年    月    日</w:t>
      </w:r>
    </w:p>
    <w:p>
      <w:pPr>
        <w:spacing w:line="520" w:lineRule="exact"/>
        <w:rPr>
          <w:rStyle w:val="10"/>
          <w:rFonts w:ascii="仿宋_GB2312" w:hAnsi="仿宋_GB2312" w:eastAsia="仿宋_GB2312"/>
          <w:color w:val="auto"/>
          <w:sz w:val="32"/>
          <w:szCs w:val="32"/>
          <w:highlight w:val="none"/>
        </w:rPr>
      </w:pPr>
    </w:p>
    <w:p>
      <w:pPr>
        <w:spacing w:line="520" w:lineRule="exact"/>
        <w:jc w:val="center"/>
        <w:rPr>
          <w:rStyle w:val="10"/>
          <w:rFonts w:ascii="仿宋_GB2312" w:hAnsi="仿宋_GB2312" w:eastAsia="仿宋_GB2312"/>
          <w:b/>
          <w:color w:val="auto"/>
          <w:sz w:val="32"/>
          <w:szCs w:val="32"/>
          <w:highlight w:val="none"/>
        </w:rPr>
      </w:pPr>
    </w:p>
    <w:p>
      <w:pPr>
        <w:spacing w:line="520" w:lineRule="exact"/>
        <w:jc w:val="center"/>
        <w:rPr>
          <w:rStyle w:val="10"/>
          <w:rFonts w:ascii="仿宋_GB2312" w:hAnsi="仿宋_GB2312" w:eastAsia="仿宋_GB2312"/>
          <w:b/>
          <w:color w:val="auto"/>
          <w:sz w:val="32"/>
          <w:szCs w:val="32"/>
          <w:highlight w:val="none"/>
        </w:rPr>
      </w:pPr>
    </w:p>
    <w:p>
      <w:pPr>
        <w:numPr>
          <w:ilvl w:val="0"/>
          <w:numId w:val="9"/>
        </w:numPr>
        <w:spacing w:line="52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附  件</w:t>
      </w: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附件一 </w:t>
      </w:r>
    </w:p>
    <w:p>
      <w:pPr>
        <w:spacing w:line="52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磋 商 书</w:t>
      </w:r>
    </w:p>
    <w:p>
      <w:pPr>
        <w:spacing w:line="520" w:lineRule="exact"/>
        <w:jc w:val="center"/>
        <w:rPr>
          <w:rStyle w:val="10"/>
          <w:rFonts w:ascii="仿宋_GB2312" w:hAnsi="仿宋_GB2312" w:eastAsia="仿宋_GB2312"/>
          <w:b/>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u w:val="single"/>
        </w:rPr>
        <w:t>北部湾产权交易所集团股份有限公司</w:t>
      </w:r>
      <w:r>
        <w:rPr>
          <w:rStyle w:val="10"/>
          <w:rFonts w:ascii="仿宋_GB2312" w:hAnsi="仿宋_GB2312" w:eastAsia="仿宋_GB2312"/>
          <w:color w:val="auto"/>
          <w:sz w:val="32"/>
          <w:szCs w:val="32"/>
          <w:highlight w:val="none"/>
        </w:rPr>
        <w:t>：</w:t>
      </w:r>
    </w:p>
    <w:p>
      <w:pPr>
        <w:pStyle w:val="26"/>
        <w:spacing w:line="520" w:lineRule="exact"/>
        <w:ind w:firstLine="48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依据贵方</w:t>
      </w:r>
      <w:r>
        <w:rPr>
          <w:rStyle w:val="10"/>
          <w:rFonts w:ascii="仿宋_GB2312" w:hAnsi="仿宋_GB2312" w:eastAsia="仿宋_GB2312"/>
          <w:color w:val="auto"/>
          <w:sz w:val="32"/>
          <w:szCs w:val="32"/>
          <w:highlight w:val="none"/>
          <w:u w:val="single"/>
        </w:rPr>
        <w:t>（项目名称/项目编号）</w:t>
      </w:r>
      <w:r>
        <w:rPr>
          <w:rStyle w:val="10"/>
          <w:rFonts w:ascii="仿宋_GB2312" w:hAnsi="仿宋_GB2312" w:eastAsia="仿宋_GB2312"/>
          <w:color w:val="auto"/>
          <w:sz w:val="32"/>
          <w:szCs w:val="32"/>
          <w:highlight w:val="none"/>
        </w:rPr>
        <w:t>项目政府采购的磋商邀请，我方</w:t>
      </w:r>
      <w:r>
        <w:rPr>
          <w:rStyle w:val="10"/>
          <w:rFonts w:ascii="仿宋_GB2312" w:hAnsi="仿宋_GB2312" w:eastAsia="仿宋_GB2312"/>
          <w:color w:val="auto"/>
          <w:sz w:val="32"/>
          <w:szCs w:val="32"/>
          <w:highlight w:val="none"/>
          <w:u w:val="single"/>
        </w:rPr>
        <w:t>（姓名和职务）</w:t>
      </w:r>
      <w:r>
        <w:rPr>
          <w:rStyle w:val="10"/>
          <w:rFonts w:ascii="仿宋_GB2312" w:hAnsi="仿宋_GB2312" w:eastAsia="仿宋_GB2312"/>
          <w:color w:val="auto"/>
          <w:sz w:val="32"/>
          <w:szCs w:val="32"/>
          <w:highlight w:val="none"/>
        </w:rPr>
        <w:t>经正式授权并代表本单位</w:t>
      </w:r>
      <w:r>
        <w:rPr>
          <w:rStyle w:val="10"/>
          <w:rFonts w:ascii="仿宋_GB2312" w:hAnsi="仿宋_GB2312" w:eastAsia="仿宋_GB2312"/>
          <w:color w:val="auto"/>
          <w:sz w:val="32"/>
          <w:szCs w:val="32"/>
          <w:highlight w:val="none"/>
          <w:u w:val="single"/>
        </w:rPr>
        <w:t>（磋商供应商名称、地址）</w:t>
      </w:r>
      <w:r>
        <w:rPr>
          <w:rStyle w:val="10"/>
          <w:rFonts w:ascii="仿宋_GB2312" w:hAnsi="仿宋_GB2312" w:eastAsia="仿宋_GB2312"/>
          <w:color w:val="auto"/>
          <w:sz w:val="32"/>
          <w:szCs w:val="32"/>
          <w:highlight w:val="none"/>
        </w:rPr>
        <w:t>提交下述竞争性磋商响应文件</w:t>
      </w:r>
      <w:r>
        <w:rPr>
          <w:rStyle w:val="10"/>
          <w:rFonts w:ascii="仿宋_GB2312" w:hAnsi="仿宋_GB2312" w:eastAsia="仿宋_GB2312"/>
          <w:b/>
          <w:color w:val="auto"/>
          <w:sz w:val="32"/>
          <w:szCs w:val="32"/>
          <w:highlight w:val="none"/>
        </w:rPr>
        <w:t>（价格文件、商务技术文件），其中</w:t>
      </w:r>
      <w:r>
        <w:rPr>
          <w:rStyle w:val="10"/>
          <w:rFonts w:ascii="仿宋_GB2312" w:hAnsi="仿宋_GB2312" w:eastAsia="仿宋_GB2312"/>
          <w:color w:val="auto"/>
          <w:sz w:val="32"/>
          <w:szCs w:val="32"/>
          <w:highlight w:val="none"/>
        </w:rPr>
        <w:t>正本一份、副本</w:t>
      </w:r>
      <w:r>
        <w:rPr>
          <w:rStyle w:val="10"/>
          <w:rFonts w:ascii="仿宋_GB2312" w:hAnsi="仿宋_GB2312" w:eastAsia="仿宋_GB2312"/>
          <w:color w:val="auto"/>
          <w:sz w:val="32"/>
          <w:szCs w:val="32"/>
          <w:highlight w:val="none"/>
          <w:u w:val="single"/>
        </w:rPr>
        <w:t>四</w:t>
      </w:r>
      <w:r>
        <w:rPr>
          <w:rStyle w:val="10"/>
          <w:rFonts w:ascii="仿宋_GB2312" w:hAnsi="仿宋_GB2312" w:eastAsia="仿宋_GB2312"/>
          <w:color w:val="auto"/>
          <w:sz w:val="32"/>
          <w:szCs w:val="32"/>
          <w:highlight w:val="none"/>
        </w:rPr>
        <w:t>份，竞争性磋商响应文件电子光盘1份(光盘封面请注明项目名称、项目编号及磋商人名称)。</w:t>
      </w:r>
    </w:p>
    <w:p>
      <w:pPr>
        <w:pStyle w:val="26"/>
        <w:spacing w:line="520" w:lineRule="exact"/>
        <w:ind w:firstLine="48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 报价表；</w:t>
      </w:r>
    </w:p>
    <w:p>
      <w:pPr>
        <w:pStyle w:val="26"/>
        <w:spacing w:line="520" w:lineRule="exact"/>
        <w:ind w:firstLine="48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 商务、服务（技术）响应、偏离情况说明表；</w:t>
      </w:r>
    </w:p>
    <w:p>
      <w:pPr>
        <w:pStyle w:val="26"/>
        <w:spacing w:line="520" w:lineRule="exact"/>
        <w:ind w:firstLine="48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3．服务方案(含服务承诺)；</w:t>
      </w:r>
    </w:p>
    <w:p>
      <w:pPr>
        <w:pStyle w:val="26"/>
        <w:spacing w:line="520" w:lineRule="exact"/>
        <w:ind w:firstLine="48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4. 资格证明文件； </w:t>
      </w:r>
    </w:p>
    <w:p>
      <w:pPr>
        <w:pStyle w:val="26"/>
        <w:spacing w:line="520" w:lineRule="exact"/>
        <w:ind w:firstLine="48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 按竞争性磋商文件磋商供应商须知和采购需求提供的有关文件。</w:t>
      </w:r>
    </w:p>
    <w:p>
      <w:pPr>
        <w:pStyle w:val="26"/>
        <w:spacing w:line="520" w:lineRule="exact"/>
        <w:ind w:firstLine="480" w:firstLineChars="15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在此，授权代表宣布同意如下：</w:t>
      </w:r>
    </w:p>
    <w:p>
      <w:pPr>
        <w:pStyle w:val="26"/>
        <w:spacing w:line="520" w:lineRule="exact"/>
        <w:ind w:firstLine="889" w:firstLineChars="278"/>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 将按竞争性磋商文件的约定履行合同责任和义务；</w:t>
      </w:r>
    </w:p>
    <w:p>
      <w:pPr>
        <w:pStyle w:val="26"/>
        <w:spacing w:line="520" w:lineRule="exact"/>
        <w:ind w:firstLine="960" w:firstLineChars="3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 已详细审查全部竞争性磋商文件，包括</w:t>
      </w:r>
      <w:r>
        <w:rPr>
          <w:rStyle w:val="10"/>
          <w:rFonts w:ascii="仿宋_GB2312" w:hAnsi="仿宋_GB2312" w:eastAsia="仿宋_GB2312"/>
          <w:color w:val="auto"/>
          <w:sz w:val="32"/>
          <w:szCs w:val="32"/>
          <w:highlight w:val="none"/>
          <w:u w:val="single"/>
        </w:rPr>
        <w:t>（补遗文件）（如果有的话）</w:t>
      </w:r>
      <w:r>
        <w:rPr>
          <w:rStyle w:val="10"/>
          <w:rFonts w:ascii="仿宋_GB2312" w:hAnsi="仿宋_GB2312" w:eastAsia="仿宋_GB2312"/>
          <w:color w:val="auto"/>
          <w:sz w:val="32"/>
          <w:szCs w:val="32"/>
          <w:highlight w:val="none"/>
        </w:rPr>
        <w:t>；</w:t>
      </w:r>
    </w:p>
    <w:p>
      <w:pPr>
        <w:pStyle w:val="26"/>
        <w:spacing w:line="520" w:lineRule="exact"/>
        <w:ind w:left="973" w:leftChars="279" w:hanging="387" w:hangingChars="121"/>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 同意提供按照贵方可能要求的与其磋商有关的一切数据或资料；</w:t>
      </w:r>
    </w:p>
    <w:p>
      <w:pPr>
        <w:pStyle w:val="26"/>
        <w:spacing w:line="520" w:lineRule="exact"/>
        <w:ind w:firstLine="889" w:firstLineChars="278"/>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4. 与本磋商有关的一切正式往来信函请寄：</w:t>
      </w:r>
      <w:r>
        <w:rPr>
          <w:rStyle w:val="10"/>
          <w:rFonts w:ascii="仿宋_GB2312" w:hAnsi="仿宋_GB2312" w:eastAsia="仿宋_GB2312"/>
          <w:color w:val="auto"/>
          <w:sz w:val="32"/>
          <w:szCs w:val="32"/>
          <w:highlight w:val="none"/>
          <w:u w:val="single"/>
        </w:rPr>
        <w:t xml:space="preserve">                       </w:t>
      </w:r>
    </w:p>
    <w:p>
      <w:pPr>
        <w:pStyle w:val="26"/>
        <w:spacing w:line="520" w:lineRule="exact"/>
        <w:ind w:firstLine="840"/>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开户银行：</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 xml:space="preserve">  帐号/行号：</w:t>
      </w:r>
      <w:r>
        <w:rPr>
          <w:rStyle w:val="10"/>
          <w:rFonts w:ascii="仿宋_GB2312" w:hAnsi="仿宋_GB2312" w:eastAsia="仿宋_GB2312"/>
          <w:color w:val="auto"/>
          <w:sz w:val="32"/>
          <w:szCs w:val="32"/>
          <w:highlight w:val="none"/>
          <w:u w:val="single"/>
        </w:rPr>
        <w:t xml:space="preserve">          </w:t>
      </w:r>
    </w:p>
    <w:p>
      <w:pPr>
        <w:pStyle w:val="26"/>
        <w:spacing w:line="520" w:lineRule="exact"/>
        <w:ind w:firstLine="84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电话/传真：</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 xml:space="preserve"> 电子函件：</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 xml:space="preserve">              </w:t>
      </w:r>
    </w:p>
    <w:p>
      <w:pPr>
        <w:pStyle w:val="26"/>
        <w:spacing w:line="520" w:lineRule="exact"/>
        <w:ind w:firstLine="840"/>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日期：</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年</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月</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日</w:t>
      </w:r>
    </w:p>
    <w:p>
      <w:pPr>
        <w:pStyle w:val="26"/>
        <w:spacing w:line="520" w:lineRule="exact"/>
        <w:ind w:firstLine="840"/>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法定代表人或委托代理人（被授权人）签字：</w:t>
      </w:r>
      <w:r>
        <w:rPr>
          <w:rStyle w:val="10"/>
          <w:rFonts w:ascii="仿宋_GB2312" w:hAnsi="仿宋_GB2312" w:eastAsia="仿宋_GB2312"/>
          <w:color w:val="auto"/>
          <w:sz w:val="32"/>
          <w:szCs w:val="32"/>
          <w:highlight w:val="none"/>
          <w:u w:val="single"/>
        </w:rPr>
        <w:t xml:space="preserve">                       </w:t>
      </w:r>
    </w:p>
    <w:p>
      <w:pPr>
        <w:pStyle w:val="26"/>
        <w:spacing w:line="520" w:lineRule="exact"/>
        <w:ind w:firstLine="84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磋商供应商名称（盖章）：</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 xml:space="preserve">                           </w:t>
      </w:r>
    </w:p>
    <w:p>
      <w:pPr>
        <w:pStyle w:val="26"/>
        <w:spacing w:line="520" w:lineRule="exact"/>
        <w:ind w:firstLine="84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w:t>
      </w: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附件二             </w:t>
      </w:r>
    </w:p>
    <w:p>
      <w:pPr>
        <w:spacing w:line="520" w:lineRule="exact"/>
        <w:jc w:val="center"/>
        <w:rPr>
          <w:rStyle w:val="10"/>
          <w:rFonts w:ascii="仿宋_GB2312" w:hAnsi="仿宋_GB2312" w:eastAsia="仿宋_GB2312"/>
          <w:b/>
          <w:color w:val="auto"/>
          <w:sz w:val="32"/>
          <w:szCs w:val="32"/>
          <w:highlight w:val="none"/>
        </w:rPr>
      </w:pPr>
    </w:p>
    <w:p>
      <w:pPr>
        <w:spacing w:line="52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报  价  表</w:t>
      </w:r>
    </w:p>
    <w:p>
      <w:pPr>
        <w:spacing w:line="520" w:lineRule="exact"/>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项目名称:</w:t>
      </w:r>
      <w:r>
        <w:rPr>
          <w:rStyle w:val="10"/>
          <w:rFonts w:ascii="仿宋_GB2312" w:hAnsi="仿宋_GB2312" w:eastAsia="仿宋_GB2312"/>
          <w:color w:val="auto"/>
          <w:sz w:val="32"/>
          <w:szCs w:val="32"/>
          <w:highlight w:val="none"/>
          <w:u w:val="single"/>
        </w:rPr>
        <w:t xml:space="preserve">                 </w:t>
      </w:r>
    </w:p>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项目编号:</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 xml:space="preserve">    </w:t>
      </w:r>
    </w:p>
    <w:p>
      <w:pPr>
        <w:tabs>
          <w:tab w:val="left" w:pos="8040"/>
        </w:tabs>
        <w:spacing w:line="520" w:lineRule="exact"/>
        <w:ind w:firstLine="42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w:t>
      </w:r>
    </w:p>
    <w:tbl>
      <w:tblPr>
        <w:tblStyle w:val="7"/>
        <w:tblW w:w="9626"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66"/>
        <w:gridCol w:w="3525"/>
        <w:gridCol w:w="1845"/>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序号</w:t>
            </w:r>
          </w:p>
        </w:tc>
        <w:tc>
          <w:tcPr>
            <w:tcW w:w="409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服务项目</w:t>
            </w:r>
          </w:p>
        </w:tc>
        <w:tc>
          <w:tcPr>
            <w:tcW w:w="184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金  额</w:t>
            </w:r>
          </w:p>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（元）</w:t>
            </w:r>
          </w:p>
        </w:tc>
        <w:tc>
          <w:tcPr>
            <w:tcW w:w="315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s="仿宋_GB2312"/>
                <w:bCs/>
                <w:color w:val="auto"/>
                <w:kern w:val="0"/>
                <w:sz w:val="32"/>
                <w:szCs w:val="32"/>
                <w:highlight w:val="none"/>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w:t>
            </w:r>
          </w:p>
        </w:tc>
        <w:tc>
          <w:tcPr>
            <w:tcW w:w="409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3150" w:type="dxa"/>
            <w:tcBorders>
              <w:top w:val="single" w:color="000000" w:sz="4" w:space="0"/>
              <w:left w:val="single" w:color="000000" w:sz="4" w:space="0"/>
              <w:bottom w:val="single" w:color="000000" w:sz="4" w:space="0"/>
              <w:right w:val="single" w:color="000000" w:sz="4" w:space="0"/>
            </w:tcBorders>
          </w:tcPr>
          <w:p>
            <w:pPr>
              <w:snapToGrid w:val="0"/>
              <w:spacing w:line="520" w:lineRule="exact"/>
              <w:jc w:val="center"/>
              <w:rPr>
                <w:rStyle w:val="10"/>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w:t>
            </w:r>
          </w:p>
        </w:tc>
        <w:tc>
          <w:tcPr>
            <w:tcW w:w="409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3150" w:type="dxa"/>
            <w:tcBorders>
              <w:top w:val="single" w:color="000000" w:sz="4" w:space="0"/>
              <w:left w:val="single" w:color="000000" w:sz="4" w:space="0"/>
              <w:bottom w:val="single" w:color="000000" w:sz="4" w:space="0"/>
              <w:right w:val="single" w:color="000000" w:sz="4" w:space="0"/>
            </w:tcBorders>
          </w:tcPr>
          <w:p>
            <w:pPr>
              <w:snapToGrid w:val="0"/>
              <w:spacing w:line="520" w:lineRule="exact"/>
              <w:jc w:val="center"/>
              <w:rPr>
                <w:rStyle w:val="10"/>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w:t>
            </w:r>
          </w:p>
        </w:tc>
        <w:tc>
          <w:tcPr>
            <w:tcW w:w="409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3150" w:type="dxa"/>
            <w:tcBorders>
              <w:top w:val="single" w:color="000000" w:sz="4" w:space="0"/>
              <w:left w:val="single" w:color="000000" w:sz="4" w:space="0"/>
              <w:bottom w:val="single" w:color="000000" w:sz="4" w:space="0"/>
              <w:right w:val="single" w:color="000000" w:sz="4" w:space="0"/>
            </w:tcBorders>
          </w:tcPr>
          <w:p>
            <w:pPr>
              <w:snapToGrid w:val="0"/>
              <w:spacing w:line="520" w:lineRule="exact"/>
              <w:jc w:val="center"/>
              <w:rPr>
                <w:rStyle w:val="10"/>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trPr>
        <w:tc>
          <w:tcPr>
            <w:tcW w:w="110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合 计</w:t>
            </w:r>
          </w:p>
        </w:tc>
        <w:tc>
          <w:tcPr>
            <w:tcW w:w="852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人民币合计金额（大写）：                                     </w:t>
            </w:r>
          </w:p>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小写金额：</w:t>
            </w:r>
          </w:p>
        </w:tc>
      </w:tr>
    </w:tbl>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注：1、所有价格均用人民币表示，单位为元，精确到个数位</w:t>
      </w:r>
    </w:p>
    <w:p>
      <w:pPr>
        <w:numPr>
          <w:ilvl w:val="0"/>
          <w:numId w:val="8"/>
        </w:num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s="仿宋_GB2312"/>
          <w:bCs/>
          <w:color w:val="auto"/>
          <w:sz w:val="32"/>
          <w:szCs w:val="32"/>
          <w:highlight w:val="none"/>
        </w:rPr>
        <w:t>报价指服务费、设备费、管理费、验收费、利润、税金及其它所有成本、费用的总和</w:t>
      </w:r>
      <w:r>
        <w:rPr>
          <w:rStyle w:val="10"/>
          <w:rFonts w:ascii="仿宋_GB2312" w:hAnsi="仿宋_GB2312" w:eastAsia="仿宋_GB2312"/>
          <w:color w:val="auto"/>
          <w:sz w:val="32"/>
          <w:szCs w:val="32"/>
          <w:highlight w:val="none"/>
        </w:rPr>
        <w:t>。</w:t>
      </w:r>
    </w:p>
    <w:p>
      <w:pPr>
        <w:numPr>
          <w:ilvl w:val="0"/>
          <w:numId w:val="8"/>
        </w:num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总共分为3个项目，分别为：广西建工集团在建PPP项目（事中评价）、玉柴集团参股子公司茂名市新泽源商贸有限公司投资茂名市中晟实业有限公司项目、农投集团龙胜南山水电站项目，由各竞标人对每个项目进行分别报价，最终成交供应商的具体服务项目由采购人根据供应商服务内容和实际情况确定。</w:t>
      </w:r>
    </w:p>
    <w:p>
      <w:pPr>
        <w:pStyle w:val="26"/>
        <w:spacing w:line="520" w:lineRule="exact"/>
        <w:rPr>
          <w:rStyle w:val="10"/>
          <w:rFonts w:ascii="仿宋_GB2312" w:hAnsi="仿宋_GB2312" w:eastAsia="仿宋_GB2312"/>
          <w:b/>
          <w:color w:val="auto"/>
          <w:sz w:val="32"/>
          <w:szCs w:val="32"/>
          <w:highlight w:val="none"/>
        </w:rPr>
      </w:pPr>
    </w:p>
    <w:p>
      <w:pPr>
        <w:pStyle w:val="26"/>
        <w:spacing w:line="520" w:lineRule="exact"/>
        <w:ind w:firstLine="640" w:firstLineChars="200"/>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法定代表人或委托代理人（签字）:</w:t>
      </w:r>
      <w:r>
        <w:rPr>
          <w:rStyle w:val="10"/>
          <w:rFonts w:ascii="仿宋_GB2312" w:hAnsi="仿宋_GB2312" w:eastAsia="仿宋_GB2312"/>
          <w:color w:val="auto"/>
          <w:sz w:val="32"/>
          <w:szCs w:val="32"/>
          <w:highlight w:val="none"/>
          <w:u w:val="single"/>
        </w:rPr>
        <w:t xml:space="preserve">              </w:t>
      </w:r>
    </w:p>
    <w:p>
      <w:pPr>
        <w:pStyle w:val="26"/>
        <w:spacing w:line="520" w:lineRule="exact"/>
        <w:ind w:firstLine="640" w:firstLineChars="200"/>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磋商供应商名称（盖章）：</w:t>
      </w:r>
      <w:r>
        <w:rPr>
          <w:rStyle w:val="10"/>
          <w:rFonts w:ascii="仿宋_GB2312" w:hAnsi="仿宋_GB2312" w:eastAsia="仿宋_GB2312"/>
          <w:color w:val="auto"/>
          <w:sz w:val="32"/>
          <w:szCs w:val="32"/>
          <w:highlight w:val="none"/>
          <w:u w:val="single"/>
        </w:rPr>
        <w:t xml:space="preserve">       </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报价时间：</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年</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月</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日</w:t>
      </w:r>
    </w:p>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附件三  </w:t>
      </w:r>
    </w:p>
    <w:p>
      <w:pPr>
        <w:spacing w:line="52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商务、服务（技术）响应、偏离情况说明表</w:t>
      </w:r>
    </w:p>
    <w:p>
      <w:pPr>
        <w:spacing w:line="520" w:lineRule="exact"/>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项目名称:</w:t>
      </w:r>
      <w:r>
        <w:rPr>
          <w:rStyle w:val="10"/>
          <w:rFonts w:ascii="仿宋_GB2312" w:hAnsi="仿宋_GB2312" w:eastAsia="仿宋_GB2312"/>
          <w:color w:val="auto"/>
          <w:sz w:val="32"/>
          <w:szCs w:val="32"/>
          <w:highlight w:val="none"/>
          <w:u w:val="single"/>
        </w:rPr>
        <w:t xml:space="preserve">                 </w:t>
      </w:r>
    </w:p>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项目编号:</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 xml:space="preserve">    </w:t>
      </w:r>
    </w:p>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本项目</w:t>
      </w:r>
    </w:p>
    <w:tbl>
      <w:tblPr>
        <w:tblStyle w:val="7"/>
        <w:tblW w:w="9718" w:type="dxa"/>
        <w:tblInd w:w="5"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833"/>
        <w:gridCol w:w="2746"/>
        <w:gridCol w:w="3162"/>
        <w:gridCol w:w="1604"/>
        <w:gridCol w:w="137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4" w:space="0"/>
              <w:left w:val="single" w:color="000000" w:sz="4" w:space="0"/>
              <w:bottom w:val="single" w:color="000000" w:sz="6" w:space="0"/>
              <w:right w:val="single" w:color="000000" w:sz="6"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序号      </w:t>
            </w:r>
          </w:p>
        </w:tc>
        <w:tc>
          <w:tcPr>
            <w:tcW w:w="2746" w:type="dxa"/>
            <w:tcBorders>
              <w:top w:val="single" w:color="000000" w:sz="4"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竞争性磋商文件要求</w:t>
            </w:r>
          </w:p>
        </w:tc>
        <w:tc>
          <w:tcPr>
            <w:tcW w:w="3162" w:type="dxa"/>
            <w:tcBorders>
              <w:top w:val="single" w:color="000000" w:sz="4"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竞争性磋商响应文件具体响应</w:t>
            </w:r>
          </w:p>
        </w:tc>
        <w:tc>
          <w:tcPr>
            <w:tcW w:w="1604" w:type="dxa"/>
            <w:tcBorders>
              <w:top w:val="single" w:color="000000" w:sz="4"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响应/偏离</w:t>
            </w:r>
          </w:p>
        </w:tc>
        <w:tc>
          <w:tcPr>
            <w:tcW w:w="1373" w:type="dxa"/>
            <w:tcBorders>
              <w:top w:val="single" w:color="000000" w:sz="4" w:space="0"/>
              <w:left w:val="single" w:color="000000" w:sz="6" w:space="0"/>
              <w:bottom w:val="single" w:color="000000" w:sz="6"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9718" w:type="dxa"/>
            <w:gridSpan w:val="5"/>
            <w:tcBorders>
              <w:top w:val="single" w:color="000000" w:sz="6" w:space="0"/>
              <w:left w:val="single" w:color="000000" w:sz="4" w:space="0"/>
              <w:bottom w:val="single" w:color="000000" w:sz="6"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商务部分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20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服务期限及服务地点：</w:t>
            </w: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付款条件</w:t>
            </w: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保证金</w:t>
            </w: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其他要求</w:t>
            </w: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9718" w:type="dxa"/>
            <w:gridSpan w:val="5"/>
            <w:tcBorders>
              <w:top w:val="single" w:color="000000" w:sz="6" w:space="0"/>
              <w:left w:val="single" w:color="000000" w:sz="4" w:space="0"/>
              <w:bottom w:val="single" w:color="000000" w:sz="6"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服务（技术）部分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cantSplit/>
          <w:trHeight w:val="420" w:hRule="atLeast"/>
        </w:trPr>
        <w:tc>
          <w:tcPr>
            <w:tcW w:w="833" w:type="dxa"/>
            <w:tcBorders>
              <w:top w:val="single" w:color="000000" w:sz="6" w:space="0"/>
              <w:left w:val="single" w:color="000000" w:sz="4"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w:t>
            </w:r>
          </w:p>
        </w:tc>
        <w:tc>
          <w:tcPr>
            <w:tcW w:w="2746"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6"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373" w:type="dxa"/>
            <w:tcBorders>
              <w:top w:val="single" w:color="000000" w:sz="6" w:space="0"/>
              <w:left w:val="single" w:color="000000" w:sz="6" w:space="0"/>
              <w:bottom w:val="single" w:color="000000" w:sz="6"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Ex>
        <w:trPr>
          <w:trHeight w:val="190" w:hRule="atLeast"/>
        </w:trPr>
        <w:tc>
          <w:tcPr>
            <w:tcW w:w="833" w:type="dxa"/>
            <w:tcBorders>
              <w:top w:val="single" w:color="000000" w:sz="6" w:space="0"/>
              <w:left w:val="single" w:color="000000" w:sz="4" w:space="0"/>
              <w:bottom w:val="single" w:color="000000" w:sz="4"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w:t>
            </w:r>
          </w:p>
        </w:tc>
        <w:tc>
          <w:tcPr>
            <w:tcW w:w="2746" w:type="dxa"/>
            <w:tcBorders>
              <w:top w:val="single" w:color="000000" w:sz="6" w:space="0"/>
              <w:left w:val="single" w:color="000000" w:sz="6" w:space="0"/>
              <w:bottom w:val="single" w:color="000000" w:sz="4"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3162" w:type="dxa"/>
            <w:tcBorders>
              <w:top w:val="single" w:color="000000" w:sz="6" w:space="0"/>
              <w:left w:val="single" w:color="000000" w:sz="6" w:space="0"/>
              <w:bottom w:val="single" w:color="000000" w:sz="4" w:space="0"/>
              <w:right w:val="single" w:color="000000" w:sz="6"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604" w:type="dxa"/>
            <w:tcBorders>
              <w:top w:val="single" w:color="000000" w:sz="6" w:space="0"/>
              <w:left w:val="single" w:color="000000" w:sz="6"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373" w:type="dxa"/>
            <w:tcBorders>
              <w:top w:val="single" w:color="000000" w:sz="6"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r>
    </w:tbl>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说明：1、应写明竞争性磋商响应文件对商务与服务技术要求的响应和偏离情况</w:t>
      </w:r>
      <w:r>
        <w:rPr>
          <w:rStyle w:val="10"/>
          <w:rFonts w:ascii="仿宋_GB2312" w:hAnsi="仿宋_GB2312" w:eastAsia="仿宋_GB2312" w:cs="仿宋_GB2312"/>
          <w:bCs/>
          <w:color w:val="auto"/>
          <w:sz w:val="32"/>
          <w:szCs w:val="32"/>
          <w:highlight w:val="none"/>
        </w:rPr>
        <w:t>；</w:t>
      </w:r>
    </w:p>
    <w:p>
      <w:pPr>
        <w:spacing w:line="520" w:lineRule="exact"/>
        <w:ind w:firstLine="960" w:firstLineChars="3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2、应对照竞争性磋商文件“第三章  采购需求”，逐条说明所提供服务已对竞争性磋商文件的商务、服务、技术要求做出了实质性的响应，并申明与采购项目要求的响应和偏离。特别对有具体商务、服务、技术要求的，磋商供应商必须提供对应的详细应答。如果仅注明“符合”、“满足”或简单复制竞争性磋商文件要求，将导致磋商被拒绝。</w:t>
      </w: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ind w:firstLine="2240" w:firstLineChars="700"/>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法定代表人或委托代理人签字:</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 xml:space="preserve">  </w:t>
      </w:r>
    </w:p>
    <w:p>
      <w:pPr>
        <w:pStyle w:val="26"/>
        <w:spacing w:line="520" w:lineRule="exact"/>
        <w:ind w:firstLine="2240" w:firstLineChars="700"/>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磋商供应商名称（盖章）：</w:t>
      </w:r>
      <w:r>
        <w:rPr>
          <w:rStyle w:val="10"/>
          <w:rFonts w:ascii="仿宋_GB2312" w:hAnsi="仿宋_GB2312" w:eastAsia="仿宋_GB2312"/>
          <w:color w:val="auto"/>
          <w:sz w:val="32"/>
          <w:szCs w:val="32"/>
          <w:highlight w:val="none"/>
          <w:u w:val="single"/>
        </w:rPr>
        <w:t xml:space="preserve">       </w:t>
      </w:r>
    </w:p>
    <w:p>
      <w:pPr>
        <w:pStyle w:val="26"/>
        <w:spacing w:line="520" w:lineRule="exact"/>
        <w:jc w:val="center"/>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 xml:space="preserve">                  </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年</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月</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日</w:t>
      </w: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s="仿宋_GB2312"/>
          <w:bCs/>
          <w:color w:val="auto"/>
          <w:sz w:val="32"/>
          <w:szCs w:val="32"/>
          <w:highlight w:val="none"/>
        </w:rPr>
        <w:t>附件四</w:t>
      </w:r>
    </w:p>
    <w:p>
      <w:pPr>
        <w:snapToGrid w:val="0"/>
        <w:spacing w:line="52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法定代表人授权委托书</w:t>
      </w:r>
    </w:p>
    <w:p>
      <w:pPr>
        <w:snapToGrid w:val="0"/>
        <w:spacing w:line="520" w:lineRule="exact"/>
        <w:rPr>
          <w:rStyle w:val="10"/>
          <w:rFonts w:ascii="仿宋_GB2312" w:hAnsi="仿宋_GB2312" w:eastAsia="仿宋_GB2312"/>
          <w:b/>
          <w:color w:val="auto"/>
          <w:sz w:val="32"/>
          <w:szCs w:val="32"/>
          <w:highlight w:val="none"/>
        </w:rPr>
      </w:pPr>
    </w:p>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u w:val="single"/>
        </w:rPr>
        <w:t>北部湾产权交易所集团股份有限公司</w:t>
      </w:r>
      <w:r>
        <w:rPr>
          <w:rStyle w:val="10"/>
          <w:rFonts w:ascii="仿宋_GB2312" w:hAnsi="仿宋_GB2312" w:eastAsia="仿宋_GB2312"/>
          <w:color w:val="auto"/>
          <w:sz w:val="32"/>
          <w:szCs w:val="32"/>
          <w:highlight w:val="none"/>
        </w:rPr>
        <w:t>：</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兹授权</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同志为我公司参加贵单位组织的</w:t>
      </w:r>
      <w:r>
        <w:rPr>
          <w:rStyle w:val="10"/>
          <w:rFonts w:ascii="仿宋_GB2312" w:hAnsi="仿宋_GB2312" w:eastAsia="仿宋_GB2312"/>
          <w:color w:val="auto"/>
          <w:sz w:val="32"/>
          <w:szCs w:val="32"/>
          <w:highlight w:val="none"/>
          <w:u w:val="single"/>
        </w:rPr>
        <w:t>（项目名称、项目编号）竞争性磋商</w:t>
      </w:r>
      <w:r>
        <w:rPr>
          <w:rStyle w:val="10"/>
          <w:rFonts w:ascii="仿宋_GB2312" w:hAnsi="仿宋_GB2312" w:eastAsia="仿宋_GB2312"/>
          <w:color w:val="auto"/>
          <w:sz w:val="32"/>
          <w:szCs w:val="32"/>
          <w:highlight w:val="none"/>
        </w:rPr>
        <w:t>采购活动的委托代理人，全权代表我公司处理在该项目活动中的一切事宜。代理期限从</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年</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月</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日起至</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年</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月</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 xml:space="preserve">日止。 </w:t>
      </w: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磋商供应商（盖章）：</w:t>
      </w:r>
      <w:r>
        <w:rPr>
          <w:rStyle w:val="10"/>
          <w:rFonts w:ascii="仿宋_GB2312" w:hAnsi="仿宋_GB2312" w:eastAsia="仿宋_GB2312"/>
          <w:color w:val="auto"/>
          <w:sz w:val="32"/>
          <w:szCs w:val="32"/>
          <w:highlight w:val="none"/>
          <w:u w:val="single"/>
        </w:rPr>
        <w:t xml:space="preserve">               </w:t>
      </w:r>
    </w:p>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法定代表人（签字或盖章）：</w:t>
      </w:r>
      <w:r>
        <w:rPr>
          <w:rStyle w:val="10"/>
          <w:rFonts w:ascii="仿宋_GB2312" w:hAnsi="仿宋_GB2312" w:eastAsia="仿宋_GB2312"/>
          <w:color w:val="auto"/>
          <w:sz w:val="32"/>
          <w:szCs w:val="32"/>
          <w:highlight w:val="none"/>
          <w:u w:val="single"/>
        </w:rPr>
        <w:t xml:space="preserve">       </w:t>
      </w:r>
    </w:p>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签发日期：</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年</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月</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日</w:t>
      </w: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附：委托代理人工作单位</w:t>
      </w:r>
      <w:r>
        <w:rPr>
          <w:rStyle w:val="10"/>
          <w:rFonts w:ascii="仿宋_GB2312" w:hAnsi="仿宋_GB2312" w:eastAsia="仿宋_GB2312"/>
          <w:color w:val="auto"/>
          <w:sz w:val="32"/>
          <w:szCs w:val="32"/>
          <w:highlight w:val="none"/>
          <w:u w:val="single"/>
        </w:rPr>
        <w:t xml:space="preserve">               </w:t>
      </w:r>
    </w:p>
    <w:p>
      <w:pPr>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职务：</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 xml:space="preserve">      性别：</w:t>
      </w:r>
      <w:r>
        <w:rPr>
          <w:rStyle w:val="10"/>
          <w:rFonts w:ascii="仿宋_GB2312" w:hAnsi="仿宋_GB2312" w:eastAsia="仿宋_GB2312"/>
          <w:color w:val="auto"/>
          <w:sz w:val="32"/>
          <w:szCs w:val="32"/>
          <w:highlight w:val="none"/>
          <w:u w:val="single"/>
        </w:rPr>
        <w:t xml:space="preserve">    </w:t>
      </w:r>
    </w:p>
    <w:p>
      <w:pPr>
        <w:snapToGrid w:val="0"/>
        <w:spacing w:line="520" w:lineRule="exact"/>
        <w:ind w:firstLine="640" w:firstLineChars="200"/>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身份证号码：</w:t>
      </w:r>
      <w:r>
        <w:rPr>
          <w:rStyle w:val="10"/>
          <w:rFonts w:ascii="仿宋_GB2312" w:hAnsi="仿宋_GB2312" w:eastAsia="仿宋_GB2312"/>
          <w:color w:val="auto"/>
          <w:sz w:val="32"/>
          <w:szCs w:val="32"/>
          <w:highlight w:val="none"/>
          <w:u w:val="single"/>
        </w:rPr>
        <w:t xml:space="preserve">                              </w:t>
      </w:r>
    </w:p>
    <w:tbl>
      <w:tblPr>
        <w:tblStyle w:val="7"/>
        <w:tblW w:w="8657" w:type="dxa"/>
        <w:tblInd w:w="3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9" w:hRule="atLeast"/>
        </w:trPr>
        <w:tc>
          <w:tcPr>
            <w:tcW w:w="8657" w:type="dxa"/>
            <w:tcBorders>
              <w:top w:val="single" w:color="000000" w:sz="4" w:space="0"/>
              <w:left w:val="single" w:color="000000" w:sz="4" w:space="0"/>
              <w:bottom w:val="single" w:color="000000" w:sz="4" w:space="0"/>
              <w:right w:val="single" w:color="000000" w:sz="4" w:space="0"/>
            </w:tcBorders>
          </w:tcPr>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粘贴委托代理人的正面及反面身份证复印件</w:t>
            </w:r>
          </w:p>
        </w:tc>
      </w:tr>
    </w:tbl>
    <w:p>
      <w:pPr>
        <w:spacing w:line="520" w:lineRule="exact"/>
        <w:ind w:left="480" w:hanging="480"/>
        <w:rPr>
          <w:rStyle w:val="10"/>
          <w:rFonts w:ascii="仿宋_GB2312" w:hAnsi="仿宋_GB2312" w:eastAsia="仿宋_GB2312"/>
          <w:color w:val="auto"/>
          <w:sz w:val="32"/>
          <w:szCs w:val="32"/>
          <w:highlight w:val="none"/>
        </w:rPr>
      </w:pPr>
    </w:p>
    <w:p>
      <w:pPr>
        <w:spacing w:line="520" w:lineRule="exact"/>
        <w:ind w:left="480" w:hanging="480"/>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s="仿宋_GB2312"/>
          <w:bCs/>
          <w:color w:val="auto"/>
          <w:sz w:val="32"/>
          <w:szCs w:val="32"/>
          <w:highlight w:val="none"/>
        </w:rPr>
        <w:t>附件五</w:t>
      </w:r>
    </w:p>
    <w:p>
      <w:pPr>
        <w:pStyle w:val="26"/>
        <w:spacing w:line="520" w:lineRule="exact"/>
        <w:jc w:val="center"/>
        <w:rPr>
          <w:rStyle w:val="10"/>
          <w:rFonts w:ascii="仿宋_GB2312" w:hAnsi="仿宋_GB2312" w:eastAsia="仿宋_GB2312"/>
          <w:b/>
          <w:color w:val="auto"/>
          <w:sz w:val="32"/>
          <w:szCs w:val="32"/>
          <w:highlight w:val="none"/>
        </w:rPr>
      </w:pPr>
    </w:p>
    <w:p>
      <w:pPr>
        <w:pStyle w:val="26"/>
        <w:spacing w:line="52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服务方案(含服务承诺)（格式）</w:t>
      </w:r>
    </w:p>
    <w:p>
      <w:pPr>
        <w:spacing w:line="520" w:lineRule="exact"/>
        <w:rPr>
          <w:rStyle w:val="10"/>
          <w:rFonts w:ascii="仿宋_GB2312" w:hAnsi="仿宋_GB2312" w:eastAsia="仿宋_GB2312"/>
          <w:color w:val="auto"/>
          <w:sz w:val="32"/>
          <w:szCs w:val="32"/>
          <w:highlight w:val="none"/>
        </w:rPr>
      </w:pPr>
    </w:p>
    <w:p>
      <w:pPr>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由供应商按所报价项目或分标的《采购需求》中的要求自行分别填写。</w:t>
      </w: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ind w:firstLine="4800" w:firstLineChars="1500"/>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供应商盖公章：</w:t>
      </w:r>
    </w:p>
    <w:p>
      <w:pPr>
        <w:pStyle w:val="26"/>
        <w:spacing w:line="520" w:lineRule="exact"/>
        <w:jc w:val="center"/>
        <w:rPr>
          <w:rStyle w:val="10"/>
          <w:rFonts w:ascii="仿宋_GB2312" w:hAnsi="仿宋_GB2312" w:eastAsia="仿宋_GB2312"/>
          <w:color w:val="auto"/>
          <w:sz w:val="32"/>
          <w:szCs w:val="32"/>
          <w:highlight w:val="none"/>
        </w:rPr>
      </w:pPr>
    </w:p>
    <w:p>
      <w:pPr>
        <w:pStyle w:val="26"/>
        <w:spacing w:line="520" w:lineRule="exact"/>
        <w:ind w:firstLine="3840" w:firstLineChars="1200"/>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法定代表人或委托代理人签字：</w:t>
      </w:r>
    </w:p>
    <w:p>
      <w:pPr>
        <w:snapToGrid w:val="0"/>
        <w:spacing w:line="520" w:lineRule="exact"/>
        <w:ind w:firstLine="1737" w:firstLineChars="543"/>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br w:type="page"/>
      </w:r>
    </w:p>
    <w:p>
      <w:pPr>
        <w:snapToGrid w:val="0"/>
        <w:spacing w:line="520" w:lineRule="exact"/>
        <w:ind w:firstLine="1744" w:firstLineChars="543"/>
        <w:jc w:val="center"/>
        <w:rPr>
          <w:rStyle w:val="10"/>
          <w:rFonts w:ascii="仿宋_GB2312" w:hAnsi="仿宋_GB2312" w:eastAsia="仿宋_GB2312"/>
          <w:b/>
          <w:color w:val="auto"/>
          <w:kern w:val="0"/>
          <w:sz w:val="32"/>
          <w:szCs w:val="32"/>
          <w:highlight w:val="none"/>
        </w:rPr>
      </w:pPr>
    </w:p>
    <w:p>
      <w:pPr>
        <w:snapToGrid w:val="0"/>
        <w:spacing w:line="520" w:lineRule="exact"/>
        <w:ind w:firstLine="2640" w:firstLineChars="600"/>
        <w:rPr>
          <w:rStyle w:val="10"/>
          <w:rFonts w:ascii="方正小标宋简体" w:hAnsi="方正小标宋简体" w:eastAsia="方正小标宋简体" w:cs="方正小标宋简体"/>
          <w:bCs/>
          <w:color w:val="auto"/>
          <w:kern w:val="0"/>
          <w:sz w:val="44"/>
          <w:szCs w:val="44"/>
          <w:highlight w:val="none"/>
        </w:rPr>
      </w:pPr>
      <w:r>
        <w:rPr>
          <w:rStyle w:val="10"/>
          <w:rFonts w:ascii="方正小标宋简体" w:hAnsi="方正小标宋简体" w:eastAsia="方正小标宋简体" w:cs="方正小标宋简体"/>
          <w:bCs/>
          <w:color w:val="auto"/>
          <w:kern w:val="0"/>
          <w:sz w:val="44"/>
          <w:szCs w:val="44"/>
          <w:highlight w:val="none"/>
        </w:rPr>
        <w:t>第五章  合同主要条款</w:t>
      </w:r>
    </w:p>
    <w:p>
      <w:pPr>
        <w:spacing w:line="520" w:lineRule="exact"/>
        <w:ind w:left="420" w:hanging="420"/>
        <w:jc w:val="center"/>
        <w:rPr>
          <w:rStyle w:val="10"/>
          <w:rFonts w:ascii="仿宋_GB2312" w:hAnsi="仿宋_GB2312" w:eastAsia="仿宋_GB2312"/>
          <w:b/>
          <w:color w:val="auto"/>
          <w:kern w:val="0"/>
          <w:sz w:val="32"/>
          <w:szCs w:val="32"/>
          <w:highlight w:val="none"/>
        </w:rPr>
      </w:pPr>
    </w:p>
    <w:p>
      <w:pPr>
        <w:spacing w:line="520" w:lineRule="exact"/>
        <w:rPr>
          <w:rStyle w:val="10"/>
          <w:rFonts w:ascii="仿宋_GB2312" w:hAnsi="仿宋_GB2312" w:eastAsia="仿宋_GB2312"/>
          <w:b/>
          <w:color w:val="auto"/>
          <w:kern w:val="0"/>
          <w:sz w:val="32"/>
          <w:szCs w:val="32"/>
          <w:highlight w:val="none"/>
        </w:rPr>
      </w:pPr>
    </w:p>
    <w:p>
      <w:pPr>
        <w:pStyle w:val="26"/>
        <w:spacing w:line="520" w:lineRule="exact"/>
        <w:jc w:val="center"/>
        <w:rPr>
          <w:rStyle w:val="10"/>
          <w:rFonts w:ascii="仿宋_GB2312" w:hAnsi="仿宋_GB2312" w:eastAsia="仿宋_GB2312"/>
          <w:b/>
          <w:color w:val="auto"/>
          <w:sz w:val="32"/>
          <w:szCs w:val="32"/>
          <w:highlight w:val="none"/>
        </w:rPr>
      </w:pPr>
    </w:p>
    <w:p>
      <w:pPr>
        <w:pStyle w:val="26"/>
        <w:spacing w:line="52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广西壮族自治区政府采购合同</w:t>
      </w: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p>
    <w:p>
      <w:pPr>
        <w:pStyle w:val="26"/>
        <w:spacing w:line="520" w:lineRule="exact"/>
        <w:ind w:firstLine="1590" w:firstLineChars="495"/>
        <w:rPr>
          <w:rStyle w:val="10"/>
          <w:rFonts w:ascii="仿宋_GB2312" w:hAnsi="仿宋_GB2312" w:eastAsia="仿宋_GB2312"/>
          <w:b/>
          <w:color w:val="auto"/>
          <w:sz w:val="32"/>
          <w:szCs w:val="32"/>
          <w:highlight w:val="none"/>
          <w:u w:val="single"/>
        </w:rPr>
      </w:pPr>
      <w:r>
        <w:rPr>
          <w:rStyle w:val="10"/>
          <w:rFonts w:ascii="仿宋_GB2312" w:hAnsi="仿宋_GB2312" w:eastAsia="仿宋_GB2312"/>
          <w:b/>
          <w:color w:val="auto"/>
          <w:sz w:val="32"/>
          <w:szCs w:val="32"/>
          <w:highlight w:val="none"/>
        </w:rPr>
        <w:t>合同名称：</w:t>
      </w:r>
      <w:r>
        <w:rPr>
          <w:rStyle w:val="10"/>
          <w:rFonts w:ascii="仿宋_GB2312" w:hAnsi="仿宋_GB2312" w:eastAsia="仿宋_GB2312"/>
          <w:b/>
          <w:color w:val="auto"/>
          <w:sz w:val="32"/>
          <w:szCs w:val="32"/>
          <w:highlight w:val="none"/>
          <w:u w:val="single"/>
        </w:rPr>
        <w:t xml:space="preserve">                    </w:t>
      </w:r>
    </w:p>
    <w:p>
      <w:pPr>
        <w:pStyle w:val="26"/>
        <w:spacing w:line="520" w:lineRule="exact"/>
        <w:ind w:firstLine="1590" w:firstLineChars="495"/>
        <w:rPr>
          <w:rStyle w:val="10"/>
          <w:rFonts w:ascii="仿宋_GB2312" w:hAnsi="仿宋_GB2312" w:eastAsia="仿宋_GB2312"/>
          <w:b/>
          <w:color w:val="auto"/>
          <w:sz w:val="32"/>
          <w:szCs w:val="32"/>
          <w:highlight w:val="none"/>
          <w:u w:val="single"/>
        </w:rPr>
      </w:pPr>
      <w:r>
        <w:rPr>
          <w:rStyle w:val="10"/>
          <w:rFonts w:ascii="仿宋_GB2312" w:hAnsi="仿宋_GB2312" w:eastAsia="仿宋_GB2312"/>
          <w:b/>
          <w:color w:val="auto"/>
          <w:sz w:val="32"/>
          <w:szCs w:val="32"/>
          <w:highlight w:val="none"/>
        </w:rPr>
        <w:t>合同编号：</w:t>
      </w:r>
      <w:r>
        <w:rPr>
          <w:rStyle w:val="10"/>
          <w:rFonts w:ascii="仿宋_GB2312" w:hAnsi="仿宋_GB2312" w:eastAsia="仿宋_GB2312"/>
          <w:b/>
          <w:color w:val="auto"/>
          <w:sz w:val="32"/>
          <w:szCs w:val="32"/>
          <w:highlight w:val="none"/>
          <w:u w:val="single"/>
        </w:rPr>
        <w:t xml:space="preserve">                    </w:t>
      </w:r>
    </w:p>
    <w:p>
      <w:pPr>
        <w:pStyle w:val="26"/>
        <w:spacing w:line="520" w:lineRule="exact"/>
        <w:jc w:val="center"/>
        <w:rPr>
          <w:rStyle w:val="10"/>
          <w:rFonts w:ascii="仿宋_GB2312" w:hAnsi="仿宋_GB2312" w:eastAsia="仿宋_GB2312"/>
          <w:color w:val="auto"/>
          <w:sz w:val="32"/>
          <w:szCs w:val="32"/>
          <w:highlight w:val="none"/>
        </w:rPr>
      </w:pPr>
    </w:p>
    <w:p>
      <w:pPr>
        <w:pStyle w:val="26"/>
        <w:spacing w:line="520" w:lineRule="exact"/>
        <w:jc w:val="center"/>
        <w:rPr>
          <w:rStyle w:val="10"/>
          <w:rFonts w:ascii="仿宋_GB2312" w:hAnsi="仿宋_GB2312" w:eastAsia="仿宋_GB2312"/>
          <w:color w:val="auto"/>
          <w:sz w:val="32"/>
          <w:szCs w:val="32"/>
          <w:highlight w:val="none"/>
        </w:rPr>
      </w:pPr>
    </w:p>
    <w:p>
      <w:pPr>
        <w:pStyle w:val="26"/>
        <w:spacing w:line="520" w:lineRule="exact"/>
        <w:jc w:val="center"/>
        <w:rPr>
          <w:rStyle w:val="10"/>
          <w:rFonts w:ascii="仿宋_GB2312" w:hAnsi="仿宋_GB2312" w:eastAsia="仿宋_GB2312"/>
          <w:color w:val="auto"/>
          <w:sz w:val="32"/>
          <w:szCs w:val="32"/>
          <w:highlight w:val="none"/>
        </w:rPr>
      </w:pPr>
    </w:p>
    <w:p>
      <w:pPr>
        <w:pStyle w:val="26"/>
        <w:spacing w:line="520" w:lineRule="exact"/>
        <w:ind w:firstLine="1590" w:firstLineChars="495"/>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采购人（甲方）</w:t>
      </w:r>
      <w:r>
        <w:rPr>
          <w:rStyle w:val="10"/>
          <w:rFonts w:ascii="仿宋_GB2312" w:hAnsi="仿宋_GB2312" w:eastAsia="仿宋_GB2312"/>
          <w:b/>
          <w:color w:val="auto"/>
          <w:sz w:val="32"/>
          <w:szCs w:val="32"/>
          <w:highlight w:val="none"/>
          <w:u w:val="single"/>
        </w:rPr>
        <w:t xml:space="preserve">                    </w:t>
      </w:r>
    </w:p>
    <w:p>
      <w:pPr>
        <w:pStyle w:val="26"/>
        <w:spacing w:line="520" w:lineRule="exact"/>
        <w:ind w:firstLine="1590" w:firstLineChars="495"/>
        <w:rPr>
          <w:rStyle w:val="10"/>
          <w:rFonts w:ascii="仿宋_GB2312" w:hAnsi="仿宋_GB2312" w:eastAsia="仿宋_GB2312"/>
          <w:b/>
          <w:color w:val="auto"/>
          <w:sz w:val="32"/>
          <w:szCs w:val="32"/>
          <w:highlight w:val="none"/>
        </w:rPr>
      </w:pPr>
    </w:p>
    <w:p>
      <w:pPr>
        <w:pStyle w:val="26"/>
        <w:spacing w:line="520" w:lineRule="exact"/>
        <w:ind w:firstLine="1590" w:firstLineChars="495"/>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供 应 商（乙方）</w:t>
      </w:r>
      <w:r>
        <w:rPr>
          <w:rStyle w:val="10"/>
          <w:rFonts w:ascii="仿宋_GB2312" w:hAnsi="仿宋_GB2312" w:eastAsia="仿宋_GB2312"/>
          <w:b/>
          <w:color w:val="auto"/>
          <w:sz w:val="32"/>
          <w:szCs w:val="32"/>
          <w:highlight w:val="none"/>
          <w:u w:val="single"/>
        </w:rPr>
        <w:t xml:space="preserve">                    </w:t>
      </w:r>
    </w:p>
    <w:p>
      <w:pPr>
        <w:pStyle w:val="26"/>
        <w:spacing w:line="520" w:lineRule="exact"/>
        <w:jc w:val="center"/>
        <w:rPr>
          <w:rStyle w:val="10"/>
          <w:rFonts w:ascii="仿宋_GB2312" w:hAnsi="仿宋_GB2312" w:eastAsia="仿宋_GB2312"/>
          <w:color w:val="auto"/>
          <w:sz w:val="32"/>
          <w:szCs w:val="32"/>
          <w:highlight w:val="none"/>
        </w:rPr>
      </w:pPr>
    </w:p>
    <w:p>
      <w:pPr>
        <w:pStyle w:val="26"/>
        <w:spacing w:line="520" w:lineRule="exact"/>
        <w:jc w:val="center"/>
        <w:rPr>
          <w:rStyle w:val="10"/>
          <w:rFonts w:ascii="仿宋_GB2312" w:hAnsi="仿宋_GB2312" w:eastAsia="仿宋_GB2312"/>
          <w:color w:val="auto"/>
          <w:sz w:val="32"/>
          <w:szCs w:val="32"/>
          <w:highlight w:val="none"/>
        </w:rPr>
      </w:pPr>
    </w:p>
    <w:p>
      <w:pPr>
        <w:pStyle w:val="26"/>
        <w:spacing w:line="520" w:lineRule="exact"/>
        <w:jc w:val="center"/>
        <w:rPr>
          <w:rStyle w:val="10"/>
          <w:rFonts w:ascii="仿宋_GB2312" w:hAnsi="仿宋_GB2312" w:eastAsia="仿宋_GB2312"/>
          <w:color w:val="auto"/>
          <w:sz w:val="32"/>
          <w:szCs w:val="32"/>
          <w:highlight w:val="none"/>
        </w:rPr>
      </w:pPr>
    </w:p>
    <w:p>
      <w:pPr>
        <w:pStyle w:val="26"/>
        <w:spacing w:line="520" w:lineRule="exact"/>
        <w:jc w:val="center"/>
        <w:rPr>
          <w:rStyle w:val="10"/>
          <w:rFonts w:ascii="仿宋_GB2312" w:hAnsi="仿宋_GB2312" w:eastAsia="仿宋_GB2312"/>
          <w:color w:val="auto"/>
          <w:sz w:val="32"/>
          <w:szCs w:val="32"/>
          <w:highlight w:val="none"/>
        </w:rPr>
      </w:pPr>
    </w:p>
    <w:p>
      <w:pPr>
        <w:pStyle w:val="26"/>
        <w:spacing w:line="520" w:lineRule="exact"/>
        <w:ind w:firstLine="1590" w:firstLineChars="495"/>
        <w:rPr>
          <w:rStyle w:val="10"/>
          <w:rFonts w:ascii="仿宋_GB2312" w:hAnsi="仿宋_GB2312" w:eastAsia="仿宋_GB2312"/>
          <w:b/>
          <w:color w:val="auto"/>
          <w:sz w:val="32"/>
          <w:szCs w:val="32"/>
          <w:highlight w:val="none"/>
          <w:u w:val="single"/>
        </w:rPr>
      </w:pPr>
      <w:r>
        <w:rPr>
          <w:rStyle w:val="10"/>
          <w:rFonts w:ascii="仿宋_GB2312" w:hAnsi="仿宋_GB2312" w:eastAsia="仿宋_GB2312"/>
          <w:b/>
          <w:color w:val="auto"/>
          <w:sz w:val="32"/>
          <w:szCs w:val="32"/>
          <w:highlight w:val="none"/>
        </w:rPr>
        <w:t>签订合同地点：</w:t>
      </w:r>
      <w:r>
        <w:rPr>
          <w:rStyle w:val="10"/>
          <w:rFonts w:ascii="仿宋_GB2312" w:hAnsi="仿宋_GB2312" w:eastAsia="仿宋_GB2312"/>
          <w:b/>
          <w:color w:val="auto"/>
          <w:sz w:val="32"/>
          <w:szCs w:val="32"/>
          <w:highlight w:val="none"/>
          <w:u w:val="single"/>
        </w:rPr>
        <w:t xml:space="preserve">                    </w:t>
      </w:r>
    </w:p>
    <w:p>
      <w:pPr>
        <w:pStyle w:val="26"/>
        <w:spacing w:line="520" w:lineRule="exact"/>
        <w:ind w:firstLine="1590" w:firstLineChars="495"/>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签订合同时间：</w:t>
      </w:r>
      <w:r>
        <w:rPr>
          <w:rStyle w:val="10"/>
          <w:rFonts w:ascii="仿宋_GB2312" w:hAnsi="仿宋_GB2312" w:eastAsia="仿宋_GB2312"/>
          <w:b/>
          <w:color w:val="auto"/>
          <w:sz w:val="32"/>
          <w:szCs w:val="32"/>
          <w:highlight w:val="none"/>
          <w:u w:val="single"/>
        </w:rPr>
        <w:t xml:space="preserve">                    </w:t>
      </w:r>
    </w:p>
    <w:p>
      <w:pPr>
        <w:pStyle w:val="26"/>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w:t>
      </w:r>
    </w:p>
    <w:p>
      <w:pPr>
        <w:pStyle w:val="26"/>
        <w:spacing w:line="520" w:lineRule="exact"/>
        <w:jc w:val="center"/>
        <w:rPr>
          <w:rStyle w:val="10"/>
          <w:rFonts w:ascii="仿宋_GB2312" w:hAnsi="仿宋_GB2312" w:eastAsia="仿宋_GB2312"/>
          <w:color w:val="auto"/>
          <w:sz w:val="32"/>
          <w:szCs w:val="32"/>
          <w:highlight w:val="none"/>
        </w:rPr>
      </w:pPr>
    </w:p>
    <w:p>
      <w:pPr>
        <w:pStyle w:val="26"/>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合同使用说明：根据《中华人民共和国政府采购法》、《中华人民共和国合同法》等法律、法规规定，按照竞争性磋商文件规定条款和成交供应商竞争性磋商响应文件及其承诺，甲乙双方签订本合同。</w:t>
      </w:r>
    </w:p>
    <w:p>
      <w:pPr>
        <w:spacing w:line="520" w:lineRule="exact"/>
        <w:ind w:left="420" w:hanging="420"/>
        <w:jc w:val="center"/>
        <w:rPr>
          <w:rStyle w:val="10"/>
          <w:rFonts w:ascii="仿宋_GB2312" w:hAnsi="仿宋_GB2312" w:eastAsia="仿宋_GB2312"/>
          <w:b/>
          <w:color w:val="auto"/>
          <w:kern w:val="0"/>
          <w:sz w:val="32"/>
          <w:szCs w:val="32"/>
          <w:highlight w:val="none"/>
        </w:rPr>
      </w:pPr>
    </w:p>
    <w:p>
      <w:pPr>
        <w:spacing w:line="520" w:lineRule="exact"/>
        <w:ind w:left="420" w:hanging="420"/>
        <w:jc w:val="center"/>
        <w:rPr>
          <w:rStyle w:val="10"/>
          <w:rFonts w:ascii="仿宋_GB2312" w:hAnsi="仿宋_GB2312" w:eastAsia="仿宋_GB2312"/>
          <w:b/>
          <w:color w:val="auto"/>
          <w:kern w:val="0"/>
          <w:sz w:val="32"/>
          <w:szCs w:val="32"/>
          <w:highlight w:val="none"/>
        </w:rPr>
      </w:pPr>
      <w:r>
        <w:rPr>
          <w:rStyle w:val="10"/>
          <w:rFonts w:ascii="仿宋_GB2312" w:hAnsi="仿宋_GB2312" w:eastAsia="仿宋_GB2312"/>
          <w:b/>
          <w:color w:val="auto"/>
          <w:kern w:val="0"/>
          <w:sz w:val="32"/>
          <w:szCs w:val="32"/>
          <w:highlight w:val="none"/>
        </w:rPr>
        <w:t>采购合同文本</w:t>
      </w:r>
    </w:p>
    <w:p>
      <w:pPr>
        <w:snapToGrid w:val="0"/>
        <w:spacing w:line="520" w:lineRule="exact"/>
        <w:jc w:val="center"/>
        <w:rPr>
          <w:rStyle w:val="10"/>
          <w:rFonts w:ascii="仿宋_GB2312" w:hAnsi="仿宋_GB2312" w:eastAsia="仿宋_GB2312" w:cs="仿宋_GB2312"/>
          <w:b/>
          <w:bCs/>
          <w:color w:val="auto"/>
          <w:sz w:val="32"/>
          <w:szCs w:val="32"/>
          <w:highlight w:val="none"/>
        </w:rPr>
      </w:pPr>
    </w:p>
    <w:p>
      <w:pPr>
        <w:snapToGrid w:val="0"/>
        <w:spacing w:line="520" w:lineRule="exact"/>
        <w:ind w:right="480"/>
        <w:rPr>
          <w:rStyle w:val="10"/>
          <w:rFonts w:ascii="仿宋_GB2312" w:hAnsi="仿宋_GB2312" w:eastAsia="仿宋_GB2312" w:cs="仿宋_GB2312"/>
          <w:bCs/>
          <w:color w:val="auto"/>
          <w:sz w:val="32"/>
          <w:szCs w:val="32"/>
          <w:highlight w:val="none"/>
          <w:u w:val="single"/>
        </w:rPr>
      </w:pPr>
      <w:r>
        <w:rPr>
          <w:rStyle w:val="10"/>
          <w:rFonts w:ascii="仿宋_GB2312" w:hAnsi="仿宋_GB2312" w:eastAsia="仿宋_GB2312" w:cs="仿宋_GB2312"/>
          <w:bCs/>
          <w:color w:val="auto"/>
          <w:sz w:val="32"/>
          <w:szCs w:val="32"/>
          <w:highlight w:val="none"/>
        </w:rPr>
        <w:t>合同编号：</w:t>
      </w:r>
    </w:p>
    <w:p>
      <w:pPr>
        <w:snapToGrid w:val="0"/>
        <w:spacing w:line="520" w:lineRule="exact"/>
        <w:rPr>
          <w:rStyle w:val="10"/>
          <w:rFonts w:ascii="仿宋_GB2312" w:hAnsi="仿宋_GB2312" w:eastAsia="仿宋_GB2312"/>
          <w:color w:val="auto"/>
          <w:sz w:val="32"/>
          <w:szCs w:val="32"/>
          <w:highlight w:val="none"/>
        </w:rPr>
      </w:pPr>
    </w:p>
    <w:p>
      <w:pPr>
        <w:snapToGrid w:val="0"/>
        <w:spacing w:line="520" w:lineRule="exact"/>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采购人（甲方）</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 xml:space="preserve">    </w:t>
      </w:r>
      <w:r>
        <w:rPr>
          <w:rStyle w:val="10"/>
          <w:rFonts w:ascii="仿宋_GB2312" w:hAnsi="仿宋_GB2312" w:eastAsia="仿宋_GB2312"/>
          <w:color w:val="auto"/>
          <w:spacing w:val="-20"/>
          <w:sz w:val="32"/>
          <w:szCs w:val="32"/>
          <w:highlight w:val="none"/>
        </w:rPr>
        <w:t>采 购 计 划 号</w:t>
      </w:r>
      <w:r>
        <w:rPr>
          <w:rStyle w:val="10"/>
          <w:rFonts w:ascii="仿宋_GB2312" w:hAnsi="仿宋_GB2312" w:eastAsia="仿宋_GB2312"/>
          <w:color w:val="auto"/>
          <w:sz w:val="32"/>
          <w:szCs w:val="32"/>
          <w:highlight w:val="none"/>
          <w:u w:val="single"/>
        </w:rPr>
        <w:t xml:space="preserve">             </w:t>
      </w:r>
    </w:p>
    <w:p>
      <w:pPr>
        <w:snapToGrid w:val="0"/>
        <w:spacing w:line="520" w:lineRule="exact"/>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供 应 商（乙方）</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 xml:space="preserve">  项目名称和</w:t>
      </w:r>
      <w:r>
        <w:rPr>
          <w:rStyle w:val="10"/>
          <w:rFonts w:ascii="仿宋_GB2312" w:hAnsi="仿宋_GB2312" w:eastAsia="仿宋_GB2312"/>
          <w:color w:val="auto"/>
          <w:spacing w:val="-20"/>
          <w:sz w:val="32"/>
          <w:szCs w:val="32"/>
          <w:highlight w:val="none"/>
        </w:rPr>
        <w:t>项目编号</w:t>
      </w:r>
      <w:r>
        <w:rPr>
          <w:rStyle w:val="10"/>
          <w:rFonts w:ascii="仿宋_GB2312" w:hAnsi="仿宋_GB2312" w:eastAsia="仿宋_GB2312"/>
          <w:color w:val="auto"/>
          <w:sz w:val="32"/>
          <w:szCs w:val="32"/>
          <w:highlight w:val="none"/>
          <w:u w:val="single"/>
        </w:rPr>
        <w:t xml:space="preserve">             </w:t>
      </w:r>
    </w:p>
    <w:p>
      <w:pPr>
        <w:snapToGrid w:val="0"/>
        <w:spacing w:line="520" w:lineRule="exact"/>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 xml:space="preserve">签  订  地  点  </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 xml:space="preserve">  签 订 时 间</w:t>
      </w:r>
      <w:r>
        <w:rPr>
          <w:rStyle w:val="10"/>
          <w:rFonts w:ascii="仿宋_GB2312" w:hAnsi="仿宋_GB2312" w:eastAsia="仿宋_GB2312"/>
          <w:color w:val="auto"/>
          <w:sz w:val="32"/>
          <w:szCs w:val="32"/>
          <w:highlight w:val="none"/>
          <w:u w:val="single"/>
        </w:rPr>
        <w:t xml:space="preserve">             </w:t>
      </w:r>
    </w:p>
    <w:p>
      <w:pPr>
        <w:snapToGrid w:val="0"/>
        <w:spacing w:line="520" w:lineRule="exact"/>
        <w:ind w:firstLine="640" w:firstLineChars="200"/>
        <w:rPr>
          <w:rStyle w:val="10"/>
          <w:rFonts w:ascii="仿宋_GB2312" w:hAnsi="仿宋_GB2312" w:eastAsia="仿宋_GB2312"/>
          <w:color w:val="auto"/>
          <w:sz w:val="32"/>
          <w:szCs w:val="32"/>
          <w:highlight w:val="none"/>
        </w:rPr>
      </w:pP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根据《中华人民共和国政府采购法》、《中华人民共和国合同法》等法律、法规规定，按照竞争性磋商文件（以下简称“磋商文件”）规定条款和成交供应商竞争性磋商响应文件（以下简称“响应文件”）及其承诺，甲乙双方签订本合同。</w:t>
      </w:r>
    </w:p>
    <w:p>
      <w:pPr>
        <w:snapToGrid w:val="0"/>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第一条　合同标的</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1、服务一览表</w:t>
      </w:r>
    </w:p>
    <w:tbl>
      <w:tblPr>
        <w:tblStyle w:val="7"/>
        <w:tblW w:w="9675"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
        <w:gridCol w:w="1896"/>
        <w:gridCol w:w="1147"/>
        <w:gridCol w:w="2685"/>
        <w:gridCol w:w="3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20" w:hRule="atLeast"/>
        </w:trPr>
        <w:tc>
          <w:tcPr>
            <w:tcW w:w="932"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序号</w:t>
            </w:r>
          </w:p>
        </w:tc>
        <w:tc>
          <w:tcPr>
            <w:tcW w:w="189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服务内容</w:t>
            </w:r>
          </w:p>
        </w:tc>
        <w:tc>
          <w:tcPr>
            <w:tcW w:w="114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数  量</w:t>
            </w:r>
          </w:p>
        </w:tc>
        <w:tc>
          <w:tcPr>
            <w:tcW w:w="268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单位</w:t>
            </w:r>
          </w:p>
        </w:tc>
        <w:tc>
          <w:tcPr>
            <w:tcW w:w="301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金  额</w:t>
            </w:r>
          </w:p>
          <w:p>
            <w:pPr>
              <w:snapToGrid w:val="0"/>
              <w:spacing w:line="520" w:lineRule="exact"/>
              <w:jc w:val="center"/>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65" w:hRule="atLeast"/>
        </w:trPr>
        <w:tc>
          <w:tcPr>
            <w:tcW w:w="932"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89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268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301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65" w:hRule="atLeast"/>
        </w:trPr>
        <w:tc>
          <w:tcPr>
            <w:tcW w:w="932"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89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268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c>
          <w:tcPr>
            <w:tcW w:w="301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10"/>
                <w:rFonts w:ascii="仿宋_GB2312" w:hAnsi="仿宋_GB2312" w:eastAsia="仿宋_GB2312"/>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65" w:hRule="atLeast"/>
        </w:trPr>
        <w:tc>
          <w:tcPr>
            <w:tcW w:w="9675"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人民币合计金额（大写）：                     小写金额：</w:t>
            </w:r>
          </w:p>
        </w:tc>
      </w:tr>
    </w:tbl>
    <w:p>
      <w:pPr>
        <w:snapToGrid w:val="0"/>
        <w:spacing w:line="520" w:lineRule="exact"/>
        <w:ind w:right="420"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2、合同合计金额包括</w:t>
      </w:r>
      <w:r>
        <w:rPr>
          <w:rStyle w:val="10"/>
          <w:rFonts w:ascii="仿宋_GB2312" w:hAnsi="仿宋_GB2312" w:eastAsia="仿宋_GB2312" w:cs="仿宋_GB2312"/>
          <w:bCs/>
          <w:color w:val="auto"/>
          <w:sz w:val="32"/>
          <w:szCs w:val="32"/>
          <w:highlight w:val="none"/>
        </w:rPr>
        <w:t>服务费、设备费、管理费、验收费、利润、税金及其它所有成本、费用的总和</w:t>
      </w:r>
      <w:r>
        <w:rPr>
          <w:rStyle w:val="10"/>
          <w:rFonts w:ascii="仿宋_GB2312" w:hAnsi="仿宋_GB2312" w:eastAsia="仿宋_GB2312"/>
          <w:color w:val="auto"/>
          <w:sz w:val="32"/>
          <w:szCs w:val="32"/>
          <w:highlight w:val="none"/>
        </w:rPr>
        <w:t>。如磋商文件、响应文件对其另有规定的，从其规定。</w:t>
      </w:r>
    </w:p>
    <w:p>
      <w:pPr>
        <w:snapToGrid w:val="0"/>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第二条　质量保证</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乙方所提供的服务质量必须与磋商文件、响应文件和承诺相一致。</w:t>
      </w:r>
    </w:p>
    <w:p>
      <w:pPr>
        <w:snapToGrid w:val="0"/>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第三条　交付和验收</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1、服务成果交付使用时间：</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2、服务成果交付使用地点：</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w:t>
      </w:r>
      <w:r>
        <w:rPr>
          <w:rStyle w:val="10"/>
          <w:rFonts w:ascii="仿宋_GB2312" w:hAnsi="仿宋_GB2312" w:eastAsia="仿宋_GB2312"/>
          <w:b/>
          <w:color w:val="auto"/>
          <w:sz w:val="32"/>
          <w:szCs w:val="32"/>
          <w:highlight w:val="none"/>
        </w:rPr>
        <w:t>验收方式：</w:t>
      </w:r>
    </w:p>
    <w:p>
      <w:pPr>
        <w:snapToGrid w:val="0"/>
        <w:spacing w:line="520" w:lineRule="exact"/>
        <w:ind w:firstLine="643" w:firstLineChars="200"/>
        <w:rPr>
          <w:rStyle w:val="10"/>
          <w:rFonts w:ascii="仿宋_GB2312" w:hAnsi="仿宋_GB2312" w:eastAsia="仿宋_GB2312"/>
          <w:color w:val="auto"/>
          <w:sz w:val="32"/>
          <w:szCs w:val="32"/>
          <w:highlight w:val="none"/>
          <w:u w:val="single"/>
        </w:rPr>
      </w:pPr>
      <w:r>
        <w:rPr>
          <w:rStyle w:val="10"/>
          <w:rFonts w:ascii="仿宋_GB2312" w:hAnsi="仿宋_GB2312" w:eastAsia="仿宋_GB2312"/>
          <w:b/>
          <w:color w:val="auto"/>
          <w:sz w:val="32"/>
          <w:szCs w:val="32"/>
          <w:highlight w:val="none"/>
        </w:rPr>
        <w:t>第四条  付款方式</w:t>
      </w:r>
    </w:p>
    <w:p>
      <w:pPr>
        <w:snapToGrid w:val="0"/>
        <w:spacing w:line="520" w:lineRule="exact"/>
        <w:ind w:firstLine="640" w:firstLineChars="200"/>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1、资金性质：</w:t>
      </w:r>
      <w:r>
        <w:rPr>
          <w:rStyle w:val="10"/>
          <w:rFonts w:ascii="仿宋_GB2312" w:hAnsi="仿宋_GB2312" w:eastAsia="仿宋_GB2312"/>
          <w:color w:val="auto"/>
          <w:sz w:val="32"/>
          <w:szCs w:val="32"/>
          <w:highlight w:val="none"/>
          <w:u w:val="single"/>
        </w:rPr>
        <w:t xml:space="preserve">   财政资金     。</w:t>
      </w:r>
    </w:p>
    <w:p>
      <w:pPr>
        <w:snapToGrid w:val="0"/>
        <w:spacing w:line="520" w:lineRule="exact"/>
        <w:ind w:right="33"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2、付款方式：签订合同10个工作日内，甲方按照项目合同总价的50%支付预付款，项目成果完成且经甲方评审验收确认后，在10个工作日内，甲方将项目合同总价的50%拨付乙方。 </w:t>
      </w:r>
    </w:p>
    <w:p>
      <w:pPr>
        <w:snapToGrid w:val="0"/>
        <w:spacing w:line="520" w:lineRule="exact"/>
        <w:ind w:left="-61" w:leftChars="-29" w:firstLine="787" w:firstLineChars="245"/>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第五条　</w:t>
      </w:r>
      <w:r>
        <w:rPr>
          <w:rStyle w:val="10"/>
          <w:rFonts w:ascii="仿宋_GB2312" w:hAnsi="仿宋_GB2312" w:eastAsia="仿宋_GB2312"/>
          <w:color w:val="auto"/>
          <w:sz w:val="32"/>
          <w:szCs w:val="32"/>
          <w:highlight w:val="none"/>
        </w:rPr>
        <w:t>履约</w:t>
      </w:r>
      <w:r>
        <w:rPr>
          <w:rStyle w:val="10"/>
          <w:rFonts w:ascii="仿宋_GB2312" w:hAnsi="仿宋_GB2312" w:eastAsia="仿宋_GB2312"/>
          <w:b/>
          <w:color w:val="auto"/>
          <w:sz w:val="32"/>
          <w:szCs w:val="32"/>
          <w:highlight w:val="none"/>
        </w:rPr>
        <w:t>保证金：无</w:t>
      </w:r>
    </w:p>
    <w:p>
      <w:pPr>
        <w:numPr>
          <w:ilvl w:val="0"/>
          <w:numId w:val="10"/>
        </w:numPr>
        <w:snapToGrid w:val="0"/>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税费  本合同执行中相关的一切税费均由乙方负担。</w:t>
      </w:r>
    </w:p>
    <w:p>
      <w:pPr>
        <w:numPr>
          <w:ilvl w:val="0"/>
          <w:numId w:val="10"/>
        </w:num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第七条　违约责任</w:t>
      </w:r>
    </w:p>
    <w:p>
      <w:pPr>
        <w:snapToGrid w:val="0"/>
        <w:spacing w:line="520" w:lineRule="exact"/>
        <w:ind w:firstLine="800" w:firstLineChars="25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1、合同一方违约，违约方向对方支付违约金，违约金额为成交金额的</w:t>
      </w:r>
      <w:r>
        <w:rPr>
          <w:rStyle w:val="10"/>
          <w:rFonts w:ascii="仿宋_GB2312" w:hAnsi="仿宋_GB2312" w:eastAsia="仿宋_GB2312"/>
          <w:color w:val="auto"/>
          <w:sz w:val="32"/>
          <w:szCs w:val="32"/>
          <w:highlight w:val="none"/>
          <w:u w:val="single"/>
        </w:rPr>
        <w:t xml:space="preserve">   </w:t>
      </w:r>
      <w:r>
        <w:rPr>
          <w:rStyle w:val="10"/>
          <w:rFonts w:ascii="仿宋_GB2312" w:hAnsi="仿宋_GB2312" w:eastAsia="仿宋_GB2312"/>
          <w:color w:val="auto"/>
          <w:sz w:val="32"/>
          <w:szCs w:val="32"/>
          <w:highlight w:val="none"/>
        </w:rPr>
        <w:t>。成交供应商违约的，违约金按约定金额支付，采购人违约的，违约金从采购款中扣除。</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2、成交供应商给采购人造成的损失超过违约金额的，成交供应商应给采购人高出违约金的部分予以赔偿。</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3、成交供应商延迟履约、不完全履约或提供的服务不符合磋商文件和响应文件要求的。除支付违约金外，仍需继续履行合同或重新提供符合要求的服务。</w:t>
      </w:r>
    </w:p>
    <w:p>
      <w:pPr>
        <w:pStyle w:val="26"/>
        <w:snapToGrid w:val="0"/>
        <w:spacing w:before="120" w:after="120" w:line="520" w:lineRule="exact"/>
        <w:ind w:firstLine="630" w:firstLineChars="196"/>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第八条 不可抗力事件处理</w:t>
      </w:r>
    </w:p>
    <w:p>
      <w:pPr>
        <w:pStyle w:val="26"/>
        <w:snapToGrid w:val="0"/>
        <w:spacing w:before="120" w:after="120"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 在合同有效期内，任何一方因不可抗力事件导致不能履行合同，则合同履行期可延长，其延长期与不可抗力影响期相同。</w:t>
      </w:r>
    </w:p>
    <w:p>
      <w:pPr>
        <w:pStyle w:val="26"/>
        <w:snapToGrid w:val="0"/>
        <w:spacing w:before="120" w:after="120"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 不可抗力事件发生后，应立即通知对方，并寄送有关权威机构出具的证明。</w:t>
      </w:r>
    </w:p>
    <w:p>
      <w:pPr>
        <w:pStyle w:val="26"/>
        <w:snapToGrid w:val="0"/>
        <w:spacing w:before="120" w:after="120"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 不可抗力事件延续一百二十天以上，双方应通过友好协商，确定是否继续履行合同。</w:t>
      </w:r>
    </w:p>
    <w:p>
      <w:pPr>
        <w:snapToGrid w:val="0"/>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第九条  合同争议解决</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1、因服务质量问题发生争议的，应邀请国家认可的质量检测机构对服务质量进行鉴定。服务符合标准或要求的，鉴定费由甲方承担；服务不符合标准或要求的，鉴定费由乙方承担。</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2、因履行本合同引起的或与本合同有关的争议，甲乙双方应首先通过友好协商解决，如果协商不能解决，可向仲裁委员会申请仲裁或向人民法院提起诉讼。</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3、诉讼期间，本合同继续履行。</w:t>
      </w:r>
    </w:p>
    <w:p>
      <w:pPr>
        <w:pStyle w:val="26"/>
        <w:snapToGrid w:val="0"/>
        <w:spacing w:before="120" w:after="120" w:line="520" w:lineRule="exact"/>
        <w:ind w:firstLine="630" w:firstLineChars="196"/>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第十条  诉讼</w:t>
      </w:r>
    </w:p>
    <w:p>
      <w:pPr>
        <w:pStyle w:val="26"/>
        <w:snapToGrid w:val="0"/>
        <w:spacing w:before="120" w:after="120" w:line="520" w:lineRule="exact"/>
        <w:ind w:left="640" w:hanging="640" w:hanging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双方在执行合同中所发生的一切争议，应通过协商解决。如果协商不能解决，可向仲裁委员会申请仲裁或向人民法院提起诉讼。</w:t>
      </w:r>
    </w:p>
    <w:p>
      <w:pPr>
        <w:pStyle w:val="26"/>
        <w:snapToGrid w:val="0"/>
        <w:spacing w:before="120" w:after="120" w:line="520" w:lineRule="exact"/>
        <w:ind w:left="561" w:leftChars="267"/>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第十一条 合同生效及其它</w:t>
      </w:r>
    </w:p>
    <w:p>
      <w:pPr>
        <w:pStyle w:val="26"/>
        <w:snapToGrid w:val="0"/>
        <w:spacing w:before="120" w:after="120" w:line="520" w:lineRule="exact"/>
        <w:ind w:left="561" w:leftChars="267"/>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1．合同经双方法定代表人或授权代表（委托代理人）签字并加盖单位公章后生效。</w:t>
      </w:r>
    </w:p>
    <w:p>
      <w:pPr>
        <w:pStyle w:val="26"/>
        <w:snapToGrid w:val="0"/>
        <w:spacing w:before="120" w:after="120" w:line="520" w:lineRule="exact"/>
        <w:ind w:left="561" w:leftChars="267"/>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2．合同执行中涉及采购资金和采购内容修改或补充的，须经广西区财政厅政府采购监督管理处审批，并签书面补充协议报广西区财政厅政府采购监督管理处备案，方可作为主合同不可分割的一部分。</w:t>
      </w:r>
    </w:p>
    <w:p>
      <w:pPr>
        <w:pStyle w:val="26"/>
        <w:snapToGrid w:val="0"/>
        <w:spacing w:before="120" w:after="120" w:line="520" w:lineRule="exact"/>
        <w:ind w:left="561" w:leftChars="267"/>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3．本合同未尽事宜，遵照《中华人民共和国合同法》有关条文执行。</w:t>
      </w:r>
    </w:p>
    <w:p>
      <w:pPr>
        <w:snapToGrid w:val="0"/>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第十二条　合同的变更、终止与转让</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1、除《中华人民共和国政府采购法》第五十条规定的情形外，本合同一经签订，甲乙双方不得擅自变更、中止或终止。</w:t>
      </w:r>
    </w:p>
    <w:p>
      <w:pPr>
        <w:pStyle w:val="26"/>
        <w:snapToGrid w:val="0"/>
        <w:spacing w:before="120" w:after="120" w:line="520" w:lineRule="exact"/>
        <w:ind w:firstLine="627" w:firstLineChars="196"/>
        <w:rPr>
          <w:rStyle w:val="10"/>
          <w:rFonts w:ascii="仿宋_GB2312" w:hAnsi="仿宋_GB2312" w:eastAsia="仿宋_GB2312"/>
          <w:b/>
          <w:color w:val="auto"/>
          <w:sz w:val="32"/>
          <w:szCs w:val="32"/>
          <w:highlight w:val="none"/>
        </w:rPr>
      </w:pPr>
      <w:r>
        <w:rPr>
          <w:rStyle w:val="10"/>
          <w:rFonts w:ascii="仿宋_GB2312" w:hAnsi="仿宋_GB2312" w:eastAsia="仿宋_GB2312"/>
          <w:color w:val="auto"/>
          <w:sz w:val="32"/>
          <w:szCs w:val="32"/>
          <w:highlight w:val="none"/>
        </w:rPr>
        <w:t>2、乙方不得擅自转让其应履行的合同义务。</w:t>
      </w:r>
    </w:p>
    <w:p>
      <w:pPr>
        <w:snapToGrid w:val="0"/>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第十三条　签订本合同依据</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1、磋商文件；</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2、乙方提供的响应文件；</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3、磋商书； </w:t>
      </w:r>
    </w:p>
    <w:p>
      <w:pPr>
        <w:snapToGrid w:val="0"/>
        <w:spacing w:line="520" w:lineRule="exact"/>
        <w:ind w:firstLine="640" w:firstLineChars="200"/>
        <w:rPr>
          <w:rStyle w:val="10"/>
          <w:rFonts w:ascii="仿宋_GB2312" w:hAnsi="仿宋_GB2312" w:eastAsia="仿宋_GB2312"/>
          <w:color w:val="auto"/>
          <w:sz w:val="32"/>
          <w:szCs w:val="32"/>
          <w:highlight w:val="none"/>
          <w:u w:val="single"/>
        </w:rPr>
      </w:pPr>
      <w:r>
        <w:rPr>
          <w:rStyle w:val="10"/>
          <w:rFonts w:ascii="仿宋_GB2312" w:hAnsi="仿宋_GB2312" w:eastAsia="仿宋_GB2312"/>
          <w:color w:val="auto"/>
          <w:sz w:val="32"/>
          <w:szCs w:val="32"/>
          <w:highlight w:val="none"/>
        </w:rPr>
        <w:t>4、成交通知书。</w:t>
      </w:r>
    </w:p>
    <w:p>
      <w:pPr>
        <w:snapToGrid w:val="0"/>
        <w:spacing w:line="520" w:lineRule="exact"/>
        <w:ind w:firstLine="643" w:firstLineChars="200"/>
        <w:rPr>
          <w:rStyle w:val="10"/>
          <w:rFonts w:ascii="仿宋_GB2312" w:hAnsi="仿宋_GB2312" w:eastAsia="仿宋_GB2312"/>
          <w:color w:val="auto"/>
          <w:sz w:val="32"/>
          <w:szCs w:val="32"/>
          <w:highlight w:val="none"/>
        </w:rPr>
      </w:pPr>
      <w:r>
        <w:rPr>
          <w:rStyle w:val="10"/>
          <w:rFonts w:ascii="仿宋_GB2312" w:hAnsi="仿宋_GB2312" w:eastAsia="仿宋_GB2312"/>
          <w:b/>
          <w:color w:val="auto"/>
          <w:sz w:val="32"/>
          <w:szCs w:val="32"/>
          <w:highlight w:val="none"/>
        </w:rPr>
        <w:t>第十四条　</w:t>
      </w:r>
      <w:r>
        <w:rPr>
          <w:rStyle w:val="10"/>
          <w:rFonts w:ascii="仿宋_GB2312" w:hAnsi="仿宋_GB2312" w:eastAsia="仿宋_GB2312"/>
          <w:color w:val="auto"/>
          <w:sz w:val="32"/>
          <w:szCs w:val="32"/>
          <w:highlight w:val="none"/>
        </w:rPr>
        <w:t>本合同一式四份，具有同等法律效力，广西区财政厅政府采购监督管理处、北部湾产权交易所集团股份有限公司各一份，甲乙双方各一份（可根据需要另增加）。</w:t>
      </w:r>
    </w:p>
    <w:p>
      <w:pPr>
        <w:snapToGrid w:val="0"/>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本合同甲乙双方签字盖章后生效，自签订之日起七个工作日内，采购人或采购代理机构应当将合同副本报广西区财政厅政府采购监督管理处备案。</w:t>
      </w:r>
    </w:p>
    <w:tbl>
      <w:tblPr>
        <w:tblStyle w:val="7"/>
        <w:tblW w:w="903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6"/>
        <w:gridCol w:w="4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78"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甲方（章）           </w:t>
            </w:r>
          </w:p>
          <w:p>
            <w:pPr>
              <w:snapToGrid w:val="0"/>
              <w:spacing w:line="520" w:lineRule="exact"/>
              <w:rPr>
                <w:rStyle w:val="10"/>
                <w:rFonts w:ascii="仿宋_GB2312" w:hAnsi="仿宋_GB2312" w:eastAsia="仿宋_GB2312"/>
                <w:color w:val="auto"/>
                <w:sz w:val="32"/>
                <w:szCs w:val="32"/>
                <w:highlight w:val="none"/>
              </w:rPr>
            </w:pPr>
          </w:p>
          <w:p>
            <w:pPr>
              <w:snapToGrid w:val="0"/>
              <w:spacing w:line="520" w:lineRule="exact"/>
              <w:ind w:firstLine="1440" w:firstLineChars="450"/>
              <w:jc w:val="righ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年   月   日</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乙方（章）              </w:t>
            </w:r>
          </w:p>
          <w:p>
            <w:pPr>
              <w:snapToGrid w:val="0"/>
              <w:spacing w:line="520" w:lineRule="exact"/>
              <w:rPr>
                <w:rStyle w:val="10"/>
                <w:rFonts w:ascii="仿宋_GB2312" w:hAnsi="仿宋_GB2312" w:eastAsia="仿宋_GB2312"/>
                <w:color w:val="auto"/>
                <w:sz w:val="32"/>
                <w:szCs w:val="32"/>
                <w:highlight w:val="none"/>
              </w:rPr>
            </w:pPr>
          </w:p>
          <w:p>
            <w:pPr>
              <w:snapToGrid w:val="0"/>
              <w:spacing w:line="520" w:lineRule="exact"/>
              <w:jc w:val="righ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43"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单位地址：</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单位地址：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9"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法定代表人：</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1"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委托代理人：</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委托代理人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3"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电话：</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7"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电子邮箱：</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30"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开户银行：</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1"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账号：</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18" w:hRule="atLeast"/>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邮政编码：</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02" w:hRule="atLeast"/>
        </w:trPr>
        <w:tc>
          <w:tcPr>
            <w:tcW w:w="9033" w:type="dxa"/>
            <w:gridSpan w:val="2"/>
            <w:tcBorders>
              <w:top w:val="single" w:color="000000" w:sz="4" w:space="0"/>
              <w:left w:val="single" w:color="000000" w:sz="4" w:space="0"/>
              <w:bottom w:val="single" w:color="000000" w:sz="4" w:space="0"/>
              <w:right w:val="single" w:color="000000" w:sz="4" w:space="0"/>
            </w:tcBorders>
          </w:tcPr>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经办人：</w:t>
            </w:r>
          </w:p>
          <w:p>
            <w:pPr>
              <w:snapToGrid w:val="0"/>
              <w:spacing w:line="520" w:lineRule="exact"/>
              <w:ind w:firstLine="960" w:firstLineChars="300"/>
              <w:jc w:val="righ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年    月    日</w:t>
            </w:r>
          </w:p>
        </w:tc>
      </w:tr>
    </w:tbl>
    <w:p>
      <w:pPr>
        <w:snapToGrid w:val="0"/>
        <w:spacing w:line="520" w:lineRule="exact"/>
        <w:ind w:left="640" w:hanging="640" w:hangingChars="200"/>
        <w:rPr>
          <w:rStyle w:val="10"/>
          <w:rFonts w:ascii="仿宋_GB2312" w:hAnsi="仿宋_GB2312" w:eastAsia="仿宋_GB2312"/>
          <w:color w:val="auto"/>
          <w:sz w:val="32"/>
          <w:szCs w:val="32"/>
          <w:highlight w:val="none"/>
        </w:rPr>
      </w:pPr>
    </w:p>
    <w:p>
      <w:pPr>
        <w:snapToGrid w:val="0"/>
        <w:spacing w:line="520" w:lineRule="exact"/>
        <w:jc w:val="center"/>
        <w:rPr>
          <w:rStyle w:val="10"/>
          <w:rFonts w:ascii="仿宋_GB2312" w:hAnsi="仿宋_GB2312" w:eastAsia="仿宋_GB2312"/>
          <w:b/>
          <w:color w:val="auto"/>
          <w:sz w:val="32"/>
          <w:szCs w:val="32"/>
          <w:highlight w:val="none"/>
        </w:rPr>
      </w:pPr>
    </w:p>
    <w:p>
      <w:pPr>
        <w:snapToGrid w:val="0"/>
        <w:spacing w:line="520" w:lineRule="exact"/>
        <w:jc w:val="center"/>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合 同 附 件</w:t>
      </w:r>
    </w:p>
    <w:tbl>
      <w:tblPr>
        <w:tblStyle w:val="7"/>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65"/>
        <w:gridCol w:w="4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0" w:hRule="atLeast"/>
          <w:jc w:val="center"/>
        </w:trPr>
        <w:tc>
          <w:tcPr>
            <w:tcW w:w="8522" w:type="dxa"/>
            <w:gridSpan w:val="2"/>
            <w:tcBorders>
              <w:top w:val="single" w:color="000000" w:sz="4" w:space="0"/>
              <w:left w:val="single" w:color="000000" w:sz="4" w:space="0"/>
              <w:right w:val="single" w:color="000000" w:sz="4" w:space="0"/>
            </w:tcBorders>
          </w:tcPr>
          <w:p>
            <w:pPr>
              <w:snapToGrid w:val="0"/>
              <w:spacing w:line="520" w:lineRule="exact"/>
              <w:ind w:firstLine="422"/>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1、供应商承诺具体事项：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0" w:hRule="atLeast"/>
          <w:jc w:val="center"/>
        </w:trPr>
        <w:tc>
          <w:tcPr>
            <w:tcW w:w="8522" w:type="dxa"/>
            <w:gridSpan w:val="2"/>
            <w:tcBorders>
              <w:top w:val="single" w:color="000000" w:sz="4" w:space="0"/>
              <w:left w:val="single" w:color="000000" w:sz="4" w:space="0"/>
              <w:right w:val="single" w:color="000000" w:sz="4" w:space="0"/>
            </w:tcBorders>
          </w:tcPr>
          <w:p>
            <w:pPr>
              <w:snapToGrid w:val="0"/>
              <w:spacing w:line="520" w:lineRule="exact"/>
              <w:ind w:firstLine="422"/>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2、质保期责任：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0" w:hRule="atLeast"/>
          <w:jc w:val="center"/>
        </w:trPr>
        <w:tc>
          <w:tcPr>
            <w:tcW w:w="8522" w:type="dxa"/>
            <w:gridSpan w:val="2"/>
            <w:tcBorders>
              <w:top w:val="single" w:color="000000" w:sz="4" w:space="0"/>
              <w:left w:val="single" w:color="000000" w:sz="4" w:space="0"/>
              <w:right w:val="single" w:color="000000" w:sz="4" w:space="0"/>
            </w:tcBorders>
          </w:tcPr>
          <w:p>
            <w:pPr>
              <w:numPr>
                <w:ilvl w:val="0"/>
                <w:numId w:val="11"/>
              </w:numPr>
              <w:snapToGrid w:val="0"/>
              <w:spacing w:line="520" w:lineRule="exact"/>
              <w:ind w:firstLine="422"/>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其他具体事项：</w:t>
            </w:r>
          </w:p>
          <w:p>
            <w:pPr>
              <w:snapToGrid w:val="0"/>
              <w:spacing w:line="520" w:lineRule="exact"/>
              <w:rPr>
                <w:rStyle w:val="10"/>
                <w:rFonts w:ascii="仿宋_GB2312" w:hAnsi="仿宋_GB2312" w:eastAsia="仿宋_GB2312"/>
                <w:color w:val="auto"/>
                <w:sz w:val="32"/>
                <w:szCs w:val="32"/>
                <w:highlight w:val="none"/>
              </w:rPr>
            </w:pPr>
          </w:p>
          <w:p>
            <w:pPr>
              <w:snapToGrid w:val="0"/>
              <w:spacing w:line="520" w:lineRule="exact"/>
              <w:rPr>
                <w:rStyle w:val="10"/>
                <w:rFonts w:ascii="仿宋_GB2312" w:hAnsi="仿宋_GB2312" w:eastAsia="仿宋_GB2312"/>
                <w:color w:val="auto"/>
                <w:sz w:val="32"/>
                <w:szCs w:val="32"/>
                <w:highlight w:val="none"/>
              </w:rPr>
            </w:pPr>
          </w:p>
          <w:p>
            <w:pPr>
              <w:snapToGrid w:val="0"/>
              <w:spacing w:line="520" w:lineRule="exact"/>
              <w:rPr>
                <w:rStyle w:val="10"/>
                <w:rFonts w:ascii="仿宋_GB2312" w:hAnsi="仿宋_GB2312" w:eastAsia="仿宋_GB2312"/>
                <w:color w:val="auto"/>
                <w:sz w:val="32"/>
                <w:szCs w:val="32"/>
                <w:highlight w:val="none"/>
              </w:rPr>
            </w:pPr>
          </w:p>
          <w:p>
            <w:pPr>
              <w:snapToGrid w:val="0"/>
              <w:spacing w:line="520" w:lineRule="exact"/>
              <w:rPr>
                <w:rStyle w:val="10"/>
                <w:rFonts w:ascii="仿宋_GB2312" w:hAnsi="仿宋_GB2312" w:eastAsia="仿宋_GB2312"/>
                <w:color w:val="auto"/>
                <w:sz w:val="32"/>
                <w:szCs w:val="3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77" w:hRule="atLeast"/>
          <w:jc w:val="center"/>
        </w:trPr>
        <w:tc>
          <w:tcPr>
            <w:tcW w:w="4365"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ind w:firstLine="422"/>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甲方（章）</w:t>
            </w:r>
          </w:p>
          <w:p>
            <w:pPr>
              <w:snapToGrid w:val="0"/>
              <w:spacing w:line="520" w:lineRule="exact"/>
              <w:ind w:firstLine="422"/>
              <w:rPr>
                <w:rStyle w:val="10"/>
                <w:rFonts w:ascii="仿宋_GB2312" w:hAnsi="仿宋_GB2312" w:eastAsia="仿宋_GB2312"/>
                <w:color w:val="auto"/>
                <w:sz w:val="32"/>
                <w:szCs w:val="32"/>
                <w:highlight w:val="none"/>
              </w:rPr>
            </w:pPr>
          </w:p>
          <w:p>
            <w:pPr>
              <w:snapToGrid w:val="0"/>
              <w:spacing w:line="520" w:lineRule="exact"/>
              <w:ind w:firstLine="422"/>
              <w:rPr>
                <w:rStyle w:val="10"/>
                <w:rFonts w:ascii="仿宋_GB2312" w:hAnsi="仿宋_GB2312" w:eastAsia="仿宋_GB2312"/>
                <w:color w:val="auto"/>
                <w:sz w:val="32"/>
                <w:szCs w:val="32"/>
                <w:highlight w:val="none"/>
              </w:rPr>
            </w:pPr>
          </w:p>
          <w:p>
            <w:pPr>
              <w:snapToGrid w:val="0"/>
              <w:spacing w:line="520" w:lineRule="exact"/>
              <w:ind w:firstLine="422"/>
              <w:rPr>
                <w:rStyle w:val="10"/>
                <w:rFonts w:ascii="仿宋_GB2312" w:hAnsi="仿宋_GB2312" w:eastAsia="仿宋_GB2312"/>
                <w:color w:val="auto"/>
                <w:sz w:val="32"/>
                <w:szCs w:val="32"/>
                <w:highlight w:val="none"/>
              </w:rPr>
            </w:pPr>
          </w:p>
          <w:p>
            <w:pPr>
              <w:snapToGrid w:val="0"/>
              <w:spacing w:line="520" w:lineRule="exact"/>
              <w:ind w:firstLine="422"/>
              <w:rPr>
                <w:rStyle w:val="10"/>
                <w:rFonts w:ascii="仿宋_GB2312" w:hAnsi="仿宋_GB2312" w:eastAsia="仿宋_GB2312"/>
                <w:color w:val="auto"/>
                <w:sz w:val="32"/>
                <w:szCs w:val="32"/>
                <w:highlight w:val="none"/>
              </w:rPr>
            </w:pPr>
          </w:p>
          <w:p>
            <w:pPr>
              <w:snapToGrid w:val="0"/>
              <w:spacing w:line="520" w:lineRule="exact"/>
              <w:ind w:firstLine="422"/>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年   月   日 </w:t>
            </w:r>
          </w:p>
        </w:tc>
        <w:tc>
          <w:tcPr>
            <w:tcW w:w="415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ind w:firstLine="422"/>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乙方（章）</w:t>
            </w:r>
          </w:p>
          <w:p>
            <w:pPr>
              <w:snapToGrid w:val="0"/>
              <w:spacing w:line="520" w:lineRule="exact"/>
              <w:ind w:firstLine="422"/>
              <w:rPr>
                <w:rStyle w:val="10"/>
                <w:rFonts w:ascii="仿宋_GB2312" w:hAnsi="仿宋_GB2312" w:eastAsia="仿宋_GB2312"/>
                <w:color w:val="auto"/>
                <w:sz w:val="32"/>
                <w:szCs w:val="32"/>
                <w:highlight w:val="none"/>
              </w:rPr>
            </w:pPr>
          </w:p>
          <w:p>
            <w:pPr>
              <w:snapToGrid w:val="0"/>
              <w:spacing w:line="520" w:lineRule="exact"/>
              <w:ind w:firstLine="422"/>
              <w:rPr>
                <w:rStyle w:val="10"/>
                <w:rFonts w:ascii="仿宋_GB2312" w:hAnsi="仿宋_GB2312" w:eastAsia="仿宋_GB2312"/>
                <w:color w:val="auto"/>
                <w:sz w:val="32"/>
                <w:szCs w:val="32"/>
                <w:highlight w:val="none"/>
              </w:rPr>
            </w:pPr>
          </w:p>
          <w:p>
            <w:pPr>
              <w:snapToGrid w:val="0"/>
              <w:spacing w:line="520" w:lineRule="exact"/>
              <w:ind w:firstLine="422"/>
              <w:rPr>
                <w:rStyle w:val="10"/>
                <w:rFonts w:ascii="仿宋_GB2312" w:hAnsi="仿宋_GB2312" w:eastAsia="仿宋_GB2312"/>
                <w:color w:val="auto"/>
                <w:sz w:val="32"/>
                <w:szCs w:val="32"/>
                <w:highlight w:val="none"/>
              </w:rPr>
            </w:pPr>
          </w:p>
          <w:p>
            <w:pPr>
              <w:snapToGrid w:val="0"/>
              <w:spacing w:line="520" w:lineRule="exact"/>
              <w:ind w:firstLine="422"/>
              <w:rPr>
                <w:rStyle w:val="10"/>
                <w:rFonts w:ascii="仿宋_GB2312" w:hAnsi="仿宋_GB2312" w:eastAsia="仿宋_GB2312"/>
                <w:color w:val="auto"/>
                <w:sz w:val="32"/>
                <w:szCs w:val="32"/>
                <w:highlight w:val="none"/>
              </w:rPr>
            </w:pPr>
          </w:p>
          <w:p>
            <w:pPr>
              <w:snapToGrid w:val="0"/>
              <w:spacing w:line="520" w:lineRule="exact"/>
              <w:ind w:firstLine="422"/>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年   月   日</w:t>
            </w:r>
          </w:p>
        </w:tc>
      </w:tr>
    </w:tbl>
    <w:p>
      <w:pPr>
        <w:snapToGrid w:val="0"/>
        <w:spacing w:line="520" w:lineRule="exact"/>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 xml:space="preserve">  注：填不下时可另加附页</w:t>
      </w:r>
    </w:p>
    <w:p>
      <w:pPr>
        <w:snapToGrid w:val="0"/>
        <w:spacing w:line="520" w:lineRule="exact"/>
        <w:jc w:val="center"/>
        <w:rPr>
          <w:rStyle w:val="10"/>
          <w:rFonts w:ascii="仿宋_GB2312" w:hAnsi="仿宋_GB2312" w:eastAsia="仿宋_GB2312"/>
          <w:b/>
          <w:color w:val="auto"/>
          <w:kern w:val="0"/>
          <w:sz w:val="32"/>
          <w:szCs w:val="32"/>
          <w:highlight w:val="none"/>
        </w:rPr>
      </w:pPr>
    </w:p>
    <w:p>
      <w:pPr>
        <w:snapToGrid w:val="0"/>
        <w:spacing w:line="520" w:lineRule="exact"/>
        <w:rPr>
          <w:rStyle w:val="10"/>
          <w:rFonts w:ascii="仿宋_GB2312" w:hAnsi="仿宋_GB2312" w:eastAsia="仿宋_GB2312"/>
          <w:b/>
          <w:color w:val="auto"/>
          <w:kern w:val="0"/>
          <w:sz w:val="32"/>
          <w:szCs w:val="32"/>
          <w:highlight w:val="none"/>
        </w:rPr>
      </w:pPr>
    </w:p>
    <w:p>
      <w:pPr>
        <w:snapToGrid w:val="0"/>
        <w:spacing w:line="520" w:lineRule="exact"/>
        <w:jc w:val="center"/>
        <w:rPr>
          <w:rStyle w:val="10"/>
          <w:rFonts w:ascii="仿宋_GB2312" w:hAnsi="仿宋_GB2312" w:eastAsia="仿宋_GB2312"/>
          <w:b/>
          <w:color w:val="auto"/>
          <w:kern w:val="0"/>
          <w:sz w:val="32"/>
          <w:szCs w:val="32"/>
          <w:highlight w:val="none"/>
        </w:rPr>
      </w:pPr>
      <w:r>
        <w:rPr>
          <w:rStyle w:val="10"/>
          <w:rFonts w:ascii="方正小标宋简体" w:hAnsi="方正小标宋简体" w:eastAsia="方正小标宋简体" w:cs="方正小标宋简体"/>
          <w:bCs/>
          <w:color w:val="auto"/>
          <w:kern w:val="0"/>
          <w:sz w:val="44"/>
          <w:szCs w:val="44"/>
          <w:highlight w:val="none"/>
        </w:rPr>
        <w:t>第六章  评标办法及评审原则</w:t>
      </w:r>
    </w:p>
    <w:p>
      <w:pPr>
        <w:pStyle w:val="26"/>
        <w:spacing w:line="520" w:lineRule="exact"/>
        <w:rPr>
          <w:rStyle w:val="10"/>
          <w:rFonts w:ascii="仿宋_GB2312" w:hAnsi="仿宋_GB2312" w:eastAsia="仿宋_GB2312" w:cs="仿宋_GB2312"/>
          <w:b/>
          <w:bCs/>
          <w:color w:val="auto"/>
          <w:sz w:val="32"/>
          <w:szCs w:val="32"/>
          <w:highlight w:val="none"/>
        </w:rPr>
      </w:pPr>
    </w:p>
    <w:p>
      <w:pPr>
        <w:pStyle w:val="26"/>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一、评审原则</w:t>
      </w:r>
    </w:p>
    <w:p>
      <w:pPr>
        <w:pStyle w:val="26"/>
        <w:spacing w:line="520" w:lineRule="exact"/>
        <w:ind w:firstLine="640" w:firstLineChars="200"/>
        <w:rPr>
          <w:rStyle w:val="10"/>
          <w:rFonts w:ascii="仿宋_GB2312" w:hAnsi="仿宋_GB2312" w:eastAsia="仿宋_GB2312" w:cs="仿宋_GB2312"/>
          <w:bCs/>
          <w:color w:val="auto"/>
          <w:sz w:val="32"/>
          <w:szCs w:val="32"/>
          <w:highlight w:val="none"/>
        </w:rPr>
      </w:pPr>
      <w:r>
        <w:rPr>
          <w:rStyle w:val="10"/>
          <w:rFonts w:hint="eastAsia" w:ascii="仿宋_GB2312" w:hAnsi="仿宋_GB2312" w:eastAsia="仿宋_GB2312" w:cs="仿宋_GB2312"/>
          <w:bCs/>
          <w:color w:val="auto"/>
          <w:sz w:val="32"/>
          <w:szCs w:val="32"/>
          <w:highlight w:val="none"/>
          <w:lang w:eastAsia="zh-CN"/>
        </w:rPr>
        <w:t>（</w:t>
      </w:r>
      <w:r>
        <w:rPr>
          <w:rStyle w:val="10"/>
          <w:rFonts w:ascii="仿宋_GB2312" w:hAnsi="仿宋_GB2312" w:eastAsia="仿宋_GB2312" w:cs="仿宋_GB2312"/>
          <w:bCs/>
          <w:color w:val="auto"/>
          <w:sz w:val="32"/>
          <w:szCs w:val="32"/>
          <w:highlight w:val="none"/>
        </w:rPr>
        <w:t>一</w:t>
      </w:r>
      <w:r>
        <w:rPr>
          <w:rStyle w:val="10"/>
          <w:rFonts w:hint="eastAsia" w:ascii="仿宋_GB2312" w:hAnsi="仿宋_GB2312" w:eastAsia="仿宋_GB2312" w:cs="仿宋_GB2312"/>
          <w:bCs/>
          <w:color w:val="auto"/>
          <w:sz w:val="32"/>
          <w:szCs w:val="32"/>
          <w:highlight w:val="none"/>
          <w:lang w:eastAsia="zh-CN"/>
        </w:rPr>
        <w:t>）</w:t>
      </w:r>
      <w:r>
        <w:rPr>
          <w:rStyle w:val="10"/>
          <w:rFonts w:ascii="仿宋_GB2312" w:hAnsi="仿宋_GB2312" w:eastAsia="仿宋_GB2312" w:cs="仿宋_GB2312"/>
          <w:bCs/>
          <w:color w:val="auto"/>
          <w:sz w:val="32"/>
          <w:szCs w:val="32"/>
          <w:highlight w:val="none"/>
        </w:rPr>
        <w:t>评委构成：本竞争性磋商项目的磋商小组由采购人代表和有关技术、经济等方面的专家组成，成员人数应当为三人以上单数。其中，技术、经济等方面的专家不得少于成员总数的三分之二。</w:t>
      </w:r>
    </w:p>
    <w:p>
      <w:pPr>
        <w:pStyle w:val="26"/>
        <w:spacing w:line="520" w:lineRule="exact"/>
        <w:ind w:firstLine="640" w:firstLineChars="200"/>
        <w:rPr>
          <w:rStyle w:val="10"/>
          <w:rFonts w:ascii="仿宋_GB2312" w:hAnsi="仿宋_GB2312" w:eastAsia="仿宋_GB2312" w:cs="仿宋_GB2312"/>
          <w:bCs/>
          <w:color w:val="auto"/>
          <w:sz w:val="32"/>
          <w:szCs w:val="32"/>
          <w:highlight w:val="none"/>
        </w:rPr>
      </w:pPr>
      <w:r>
        <w:rPr>
          <w:rStyle w:val="10"/>
          <w:rFonts w:hint="eastAsia" w:ascii="仿宋_GB2312" w:hAnsi="仿宋_GB2312" w:eastAsia="仿宋_GB2312" w:cs="仿宋_GB2312"/>
          <w:bCs/>
          <w:color w:val="auto"/>
          <w:sz w:val="32"/>
          <w:szCs w:val="32"/>
          <w:highlight w:val="none"/>
          <w:lang w:eastAsia="zh-CN"/>
        </w:rPr>
        <w:t>（</w:t>
      </w:r>
      <w:r>
        <w:rPr>
          <w:rStyle w:val="10"/>
          <w:rFonts w:ascii="仿宋_GB2312" w:hAnsi="仿宋_GB2312" w:eastAsia="仿宋_GB2312" w:cs="仿宋_GB2312"/>
          <w:bCs/>
          <w:color w:val="auto"/>
          <w:sz w:val="32"/>
          <w:szCs w:val="32"/>
          <w:highlight w:val="none"/>
        </w:rPr>
        <w:t>二</w:t>
      </w:r>
      <w:r>
        <w:rPr>
          <w:rStyle w:val="10"/>
          <w:rFonts w:hint="eastAsia" w:ascii="仿宋_GB2312" w:hAnsi="仿宋_GB2312" w:eastAsia="仿宋_GB2312" w:cs="仿宋_GB2312"/>
          <w:bCs/>
          <w:color w:val="auto"/>
          <w:sz w:val="32"/>
          <w:szCs w:val="32"/>
          <w:highlight w:val="none"/>
          <w:lang w:eastAsia="zh-CN"/>
        </w:rPr>
        <w:t>）</w:t>
      </w:r>
      <w:r>
        <w:rPr>
          <w:rStyle w:val="10"/>
          <w:rFonts w:ascii="仿宋_GB2312" w:hAnsi="仿宋_GB2312" w:eastAsia="仿宋_GB2312" w:cs="仿宋_GB2312"/>
          <w:bCs/>
          <w:color w:val="auto"/>
          <w:sz w:val="32"/>
          <w:szCs w:val="32"/>
          <w:highlight w:val="none"/>
        </w:rPr>
        <w:t>评审依据：评委将以竞争性磋商文件和竞争性磋商响应文件为评审依据，对磋商人的最后报价，评估实施方案、实施组织方案、商务等方面内容按百分制打分。其中价格分20分，服务方案分30分，人员配置分38分，</w:t>
      </w:r>
      <w:r>
        <w:rPr>
          <w:rStyle w:val="10"/>
          <w:rFonts w:ascii="仿宋_GB2312" w:hAnsi="仿宋_GB2312" w:eastAsia="仿宋_GB2312" w:cs="仿宋_GB2312"/>
          <w:b/>
          <w:bCs/>
          <w:color w:val="auto"/>
          <w:spacing w:val="-4"/>
          <w:sz w:val="32"/>
          <w:szCs w:val="32"/>
          <w:highlight w:val="none"/>
        </w:rPr>
        <w:t>业绩及信誉</w:t>
      </w:r>
      <w:r>
        <w:rPr>
          <w:rStyle w:val="10"/>
          <w:rFonts w:ascii="仿宋_GB2312" w:hAnsi="仿宋_GB2312" w:eastAsia="仿宋_GB2312" w:cs="仿宋_GB2312"/>
          <w:bCs/>
          <w:color w:val="auto"/>
          <w:sz w:val="32"/>
          <w:szCs w:val="32"/>
          <w:highlight w:val="none"/>
        </w:rPr>
        <w:t>分12分。</w:t>
      </w:r>
    </w:p>
    <w:p>
      <w:pPr>
        <w:pStyle w:val="26"/>
        <w:spacing w:line="520" w:lineRule="exact"/>
        <w:ind w:firstLine="640" w:firstLineChars="200"/>
        <w:rPr>
          <w:rStyle w:val="10"/>
          <w:rFonts w:ascii="仿宋_GB2312" w:hAnsi="仿宋_GB2312" w:eastAsia="仿宋_GB2312" w:cs="仿宋_GB2312"/>
          <w:bCs/>
          <w:color w:val="auto"/>
          <w:sz w:val="32"/>
          <w:szCs w:val="32"/>
          <w:highlight w:val="none"/>
        </w:rPr>
      </w:pPr>
      <w:r>
        <w:rPr>
          <w:rStyle w:val="10"/>
          <w:rFonts w:hint="eastAsia" w:ascii="仿宋_GB2312" w:hAnsi="仿宋_GB2312" w:eastAsia="仿宋_GB2312" w:cs="仿宋_GB2312"/>
          <w:bCs/>
          <w:color w:val="auto"/>
          <w:sz w:val="32"/>
          <w:szCs w:val="32"/>
          <w:highlight w:val="none"/>
          <w:lang w:eastAsia="zh-CN"/>
        </w:rPr>
        <w:t>（</w:t>
      </w:r>
      <w:r>
        <w:rPr>
          <w:rStyle w:val="10"/>
          <w:rFonts w:ascii="仿宋_GB2312" w:hAnsi="仿宋_GB2312" w:eastAsia="仿宋_GB2312" w:cs="仿宋_GB2312"/>
          <w:bCs/>
          <w:color w:val="auto"/>
          <w:sz w:val="32"/>
          <w:szCs w:val="32"/>
          <w:highlight w:val="none"/>
        </w:rPr>
        <w:t>三</w:t>
      </w:r>
      <w:r>
        <w:rPr>
          <w:rStyle w:val="10"/>
          <w:rFonts w:hint="eastAsia" w:ascii="仿宋_GB2312" w:hAnsi="仿宋_GB2312" w:eastAsia="仿宋_GB2312" w:cs="仿宋_GB2312"/>
          <w:bCs/>
          <w:color w:val="auto"/>
          <w:sz w:val="32"/>
          <w:szCs w:val="32"/>
          <w:highlight w:val="none"/>
          <w:lang w:eastAsia="zh-CN"/>
        </w:rPr>
        <w:t>）</w:t>
      </w:r>
      <w:r>
        <w:rPr>
          <w:rStyle w:val="10"/>
          <w:rFonts w:ascii="仿宋_GB2312" w:hAnsi="仿宋_GB2312" w:eastAsia="仿宋_GB2312" w:cs="仿宋_GB2312"/>
          <w:bCs/>
          <w:color w:val="auto"/>
          <w:sz w:val="32"/>
          <w:szCs w:val="32"/>
          <w:highlight w:val="none"/>
        </w:rPr>
        <w:t>评审方式：以封闭方式进行。</w:t>
      </w:r>
      <w:bookmarkStart w:id="0" w:name="_GoBack"/>
      <w:bookmarkEnd w:id="0"/>
    </w:p>
    <w:p>
      <w:pPr>
        <w:pStyle w:val="26"/>
        <w:spacing w:line="520" w:lineRule="exact"/>
        <w:ind w:firstLine="822" w:firstLineChars="257"/>
        <w:rPr>
          <w:rStyle w:val="10"/>
          <w:rFonts w:ascii="仿宋_GB2312" w:hAnsi="仿宋_GB2312" w:eastAsia="仿宋_GB2312" w:cs="仿宋_GB2312"/>
          <w:bCs/>
          <w:color w:val="auto"/>
          <w:sz w:val="32"/>
          <w:szCs w:val="32"/>
          <w:highlight w:val="none"/>
        </w:rPr>
      </w:pPr>
    </w:p>
    <w:p>
      <w:pPr>
        <w:pStyle w:val="26"/>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二、评审方法</w:t>
      </w:r>
    </w:p>
    <w:p>
      <w:pPr>
        <w:pStyle w:val="26"/>
        <w:spacing w:line="520" w:lineRule="exact"/>
        <w:ind w:firstLine="272" w:firstLineChars="85"/>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s="仿宋_GB2312"/>
          <w:bCs/>
          <w:color w:val="auto"/>
          <w:sz w:val="32"/>
          <w:szCs w:val="32"/>
          <w:highlight w:val="none"/>
        </w:rPr>
        <w:t>（一）对进入详评的，采用百分制综合评分法。</w:t>
      </w:r>
    </w:p>
    <w:p>
      <w:pPr>
        <w:pStyle w:val="26"/>
        <w:spacing w:line="520" w:lineRule="exact"/>
        <w:ind w:firstLine="272" w:firstLineChars="85"/>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s="仿宋_GB2312"/>
          <w:bCs/>
          <w:color w:val="auto"/>
          <w:sz w:val="32"/>
          <w:szCs w:val="32"/>
          <w:highlight w:val="none"/>
        </w:rPr>
        <w:t>（二）计分办法（按四舍五入取至百分位）：</w:t>
      </w:r>
    </w:p>
    <w:p>
      <w:pPr>
        <w:pStyle w:val="26"/>
        <w:spacing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1、价格分……………………………………………20分</w:t>
      </w:r>
    </w:p>
    <w:p>
      <w:pPr>
        <w:pStyle w:val="26"/>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提供产品的企业根据《政府采购促进中小企业发展暂行办法》（财库[2011]181号）的规定为小型和微型企业的,应当按该办法中规定的格式提供《中小企业声明函》。对其报价给予6%的扣除，扣除后的价格为评标价，即评标价=最后报价×（1-6%）；除上述情况外，最后报价=评标价。</w:t>
      </w:r>
    </w:p>
    <w:p>
      <w:pPr>
        <w:pStyle w:val="26"/>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（2）以进入评审的最低的评标价为20分。</w:t>
      </w:r>
    </w:p>
    <w:p>
      <w:pPr>
        <w:pStyle w:val="26"/>
        <w:spacing w:line="520" w:lineRule="exact"/>
        <w:ind w:firstLine="640" w:firstLineChars="200"/>
        <w:rPr>
          <w:rStyle w:val="10"/>
          <w:rFonts w:ascii="仿宋_GB2312" w:hAnsi="仿宋_GB2312" w:eastAsia="仿宋_GB2312"/>
          <w:b/>
          <w:color w:val="auto"/>
          <w:sz w:val="32"/>
          <w:szCs w:val="32"/>
          <w:highlight w:val="none"/>
        </w:rPr>
      </w:pPr>
      <w:r>
        <w:rPr>
          <w:rStyle w:val="10"/>
          <w:rFonts w:ascii="仿宋_GB2312" w:hAnsi="仿宋_GB2312" w:eastAsia="仿宋_GB2312"/>
          <w:color w:val="auto"/>
          <w:sz w:val="32"/>
          <w:szCs w:val="32"/>
          <w:highlight w:val="none"/>
        </w:rPr>
        <w:t xml:space="preserve">（3）某磋商人价格分 = </w:t>
      </w:r>
      <w:r>
        <w:rPr>
          <w:rStyle w:val="10"/>
          <w:rFonts w:ascii="仿宋_GB2312" w:hAnsi="仿宋_GB2312" w:eastAsia="仿宋_GB2312" w:cs="仿宋_GB2312"/>
          <w:bCs/>
          <w:color w:val="auto"/>
          <w:sz w:val="32"/>
          <w:szCs w:val="32"/>
          <w:highlight w:val="none"/>
        </w:rPr>
        <w:t>磋商人</w:t>
      </w:r>
      <w:r>
        <w:rPr>
          <w:rStyle w:val="10"/>
          <w:rFonts w:ascii="仿宋_GB2312" w:hAnsi="仿宋_GB2312" w:eastAsia="仿宋_GB2312"/>
          <w:color w:val="auto"/>
          <w:sz w:val="32"/>
          <w:szCs w:val="32"/>
          <w:highlight w:val="none"/>
        </w:rPr>
        <w:t>最低</w:t>
      </w:r>
      <w:r>
        <w:rPr>
          <w:rStyle w:val="10"/>
          <w:rFonts w:ascii="仿宋_GB2312" w:hAnsi="仿宋_GB2312" w:eastAsia="仿宋_GB2312" w:cs="仿宋_GB2312"/>
          <w:bCs/>
          <w:color w:val="auto"/>
          <w:sz w:val="32"/>
          <w:szCs w:val="32"/>
          <w:highlight w:val="none"/>
        </w:rPr>
        <w:t>评标价（金额）/某磋商人评标价（金额）</w:t>
      </w:r>
      <w:r>
        <w:rPr>
          <w:rStyle w:val="10"/>
          <w:rFonts w:ascii="仿宋_GB2312" w:hAnsi="仿宋_GB2312" w:eastAsia="仿宋_GB2312"/>
          <w:color w:val="auto"/>
          <w:sz w:val="32"/>
          <w:szCs w:val="32"/>
          <w:highlight w:val="none"/>
        </w:rPr>
        <w:t>×20分</w:t>
      </w:r>
    </w:p>
    <w:p>
      <w:pPr>
        <w:pStyle w:val="26"/>
        <w:spacing w:before="120"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2、服务方案分……………………………………………30分</w:t>
      </w:r>
    </w:p>
    <w:p>
      <w:pPr>
        <w:pStyle w:val="26"/>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（1）基本分8分（针对本标提供了服务方案，方案基本满足招标文件要求）</w:t>
      </w:r>
    </w:p>
    <w:p>
      <w:pPr>
        <w:pStyle w:val="26"/>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（2）由评委对服务方案的需求理解、整体设计、可行性和逻辑思路、进度安排、质量管理等方面进行逐级打分。</w:t>
      </w:r>
    </w:p>
    <w:p>
      <w:pPr>
        <w:pStyle w:val="26"/>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一档（0.1～6分）：服务方案完整；服务方案中体现整体项目推进计划；有项目工作流程及管理措施、项目质量保证体系和质量目标；描述项目成果和提出了计划提交时间。</w:t>
      </w:r>
    </w:p>
    <w:p>
      <w:pPr>
        <w:pStyle w:val="26"/>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二档（6.1～15分）：服务方案表达清晰完整，方中体现整体项目推进计划，项目工作流程及管理措施齐全、项目质量保证体系完整、质量目标明确并具有相应管理保障；具有项目交付物的成果描述、计划提交时间、与项目任务的匹配度高。</w:t>
      </w:r>
    </w:p>
    <w:p>
      <w:pPr>
        <w:pStyle w:val="26"/>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三档（15.1～22分）：服务方案对本项目总体管理、后评价标准化体系构建方案（含咨询与信息化方案）有深刻认识，方案表达清晰、完整、严谨、合理、具体、有效；服务方案中体现整体项目推进计划，且计划安排合理、进度控制措施安排得当可落地；项目工作流程及管理措施齐全、项目质量保证体系完整、质量目标明确并具有相应管理保障；具有项目交付物的成果描述、计划提交时间、与项目任务的匹配度高；项目团队中有行业资深专家提供项目技术支持，并能结合项目需求提供相应增值服务且售后服务时间超过半年。</w:t>
      </w:r>
    </w:p>
    <w:p>
      <w:pPr>
        <w:snapToGrid w:val="0"/>
        <w:spacing w:before="120"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由评标委员会在打分前分别确定各投标人的所属档次，由各评委在相应档次内打分。</w:t>
      </w:r>
    </w:p>
    <w:p>
      <w:pPr>
        <w:pStyle w:val="26"/>
        <w:spacing w:before="120"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3、人员配置分……………………………………………38分</w:t>
      </w:r>
    </w:p>
    <w:p>
      <w:pPr>
        <w:pStyle w:val="26"/>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1）项目总负责人具有5年大中型企业管理咨询、项目评审、或后评价服务经验的得2分，每增加一年得1分，最高得5分；公开发表管理类或投资类相关的著作或文章（需为第一作者，著作或者期刊有刊号），每条加2分，最高为6分；项目团队负责人具有管理咨询师CMC认证的，得5分，本项满分16分。</w:t>
      </w:r>
    </w:p>
    <w:p>
      <w:pPr>
        <w:pStyle w:val="26"/>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（2）项目团队成员入选为财政部内部控制标准委员会咨询专家成员的，得2分，本项满分2分。（以财政部官网文件为准，提供财政部官网网址和截图）</w:t>
      </w:r>
    </w:p>
    <w:p>
      <w:pPr>
        <w:pStyle w:val="26"/>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（3）项目质量负责人具有3年</w:t>
      </w:r>
      <w:r>
        <w:rPr>
          <w:rStyle w:val="10"/>
          <w:rFonts w:ascii="仿宋_GB2312" w:hAnsi="仿宋_GB2312" w:eastAsia="仿宋_GB2312" w:cs="仿宋_GB2312"/>
          <w:bCs/>
          <w:color w:val="auto"/>
          <w:sz w:val="32"/>
          <w:szCs w:val="32"/>
          <w:highlight w:val="none"/>
        </w:rPr>
        <w:t>企业管理咨询、</w:t>
      </w:r>
      <w:r>
        <w:rPr>
          <w:rStyle w:val="10"/>
          <w:rFonts w:ascii="仿宋_GB2312" w:hAnsi="仿宋_GB2312" w:eastAsia="仿宋_GB2312"/>
          <w:color w:val="auto"/>
          <w:sz w:val="32"/>
          <w:szCs w:val="32"/>
          <w:highlight w:val="none"/>
        </w:rPr>
        <w:t>项目评审、</w:t>
      </w:r>
      <w:r>
        <w:rPr>
          <w:rStyle w:val="10"/>
          <w:rFonts w:ascii="仿宋_GB2312" w:hAnsi="仿宋_GB2312" w:eastAsia="仿宋_GB2312" w:cs="仿宋_GB2312"/>
          <w:bCs/>
          <w:color w:val="auto"/>
          <w:sz w:val="32"/>
          <w:szCs w:val="32"/>
          <w:highlight w:val="none"/>
        </w:rPr>
        <w:t>或后评价服务经验</w:t>
      </w:r>
      <w:r>
        <w:rPr>
          <w:rStyle w:val="10"/>
          <w:rFonts w:ascii="仿宋_GB2312" w:hAnsi="仿宋_GB2312" w:eastAsia="仿宋_GB2312"/>
          <w:color w:val="auto"/>
          <w:sz w:val="32"/>
          <w:szCs w:val="32"/>
          <w:highlight w:val="none"/>
        </w:rPr>
        <w:t>的得1分，每增加一年得1分，负责过1个大型国有企业类项目的得1分，每增加一个得1分，本项满分6分。</w:t>
      </w:r>
    </w:p>
    <w:p>
      <w:pPr>
        <w:pStyle w:val="26"/>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（4）项目现场负责人具有3年企业管理咨询、项目评审、或后评价服务经验的得1分，每增加一年得1分，负责过1个国有企业类项目的得1分，每增加一个得1分，本项满分6分。</w:t>
      </w:r>
    </w:p>
    <w:p>
      <w:pPr>
        <w:pStyle w:val="26"/>
        <w:spacing w:line="520" w:lineRule="exact"/>
        <w:ind w:firstLine="640" w:firstLineChars="200"/>
        <w:rPr>
          <w:rStyle w:val="10"/>
          <w:rFonts w:ascii="仿宋_GB2312" w:hAnsi="仿宋_GB2312" w:eastAsia="仿宋_GB2312"/>
          <w:color w:val="auto"/>
          <w:sz w:val="32"/>
          <w:szCs w:val="32"/>
          <w:highlight w:val="none"/>
        </w:rPr>
      </w:pPr>
      <w:r>
        <w:rPr>
          <w:rStyle w:val="10"/>
          <w:rFonts w:ascii="仿宋_GB2312" w:hAnsi="仿宋_GB2312" w:eastAsia="仿宋_GB2312"/>
          <w:color w:val="auto"/>
          <w:sz w:val="32"/>
          <w:szCs w:val="32"/>
          <w:highlight w:val="none"/>
        </w:rPr>
        <w:t>（5）每个项目团队成员至少为具有3年或3年以上风险管理、内部控制、项目评审、审计或后评价服务项目经验的，得1分，每增加一个类似成员得1分，本项满分8分。</w:t>
      </w:r>
    </w:p>
    <w:p>
      <w:pPr>
        <w:pStyle w:val="26"/>
        <w:spacing w:before="120" w:line="520" w:lineRule="exact"/>
        <w:ind w:firstLine="643" w:firstLineChars="200"/>
        <w:rPr>
          <w:rStyle w:val="10"/>
          <w:rFonts w:ascii="仿宋_GB2312" w:hAnsi="仿宋_GB2312" w:eastAsia="仿宋_GB2312"/>
          <w:b/>
          <w:color w:val="auto"/>
          <w:sz w:val="32"/>
          <w:szCs w:val="32"/>
          <w:highlight w:val="none"/>
        </w:rPr>
      </w:pPr>
      <w:r>
        <w:rPr>
          <w:rStyle w:val="10"/>
          <w:rFonts w:ascii="仿宋_GB2312" w:hAnsi="仿宋_GB2312" w:eastAsia="仿宋_GB2312"/>
          <w:b/>
          <w:color w:val="auto"/>
          <w:sz w:val="32"/>
          <w:szCs w:val="32"/>
          <w:highlight w:val="none"/>
        </w:rPr>
        <w:t>4、</w:t>
      </w:r>
      <w:r>
        <w:rPr>
          <w:rStyle w:val="10"/>
          <w:rFonts w:ascii="仿宋_GB2312" w:hAnsi="仿宋_GB2312" w:eastAsia="仿宋_GB2312" w:cs="仿宋_GB2312"/>
          <w:b/>
          <w:bCs/>
          <w:color w:val="auto"/>
          <w:spacing w:val="-4"/>
          <w:sz w:val="32"/>
          <w:szCs w:val="32"/>
          <w:highlight w:val="none"/>
        </w:rPr>
        <w:t>业绩及信誉分</w:t>
      </w:r>
      <w:r>
        <w:rPr>
          <w:rStyle w:val="10"/>
          <w:rFonts w:ascii="仿宋_GB2312" w:hAnsi="仿宋_GB2312" w:eastAsia="仿宋_GB2312"/>
          <w:b/>
          <w:color w:val="auto"/>
          <w:sz w:val="32"/>
          <w:szCs w:val="32"/>
          <w:highlight w:val="none"/>
        </w:rPr>
        <w:t>……………………………………………12分</w:t>
      </w:r>
    </w:p>
    <w:p>
      <w:pPr>
        <w:pStyle w:val="26"/>
        <w:spacing w:line="520" w:lineRule="exact"/>
        <w:ind w:firstLine="640" w:firstLineChars="200"/>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s="仿宋_GB2312"/>
          <w:bCs/>
          <w:color w:val="auto"/>
          <w:sz w:val="32"/>
          <w:szCs w:val="32"/>
          <w:highlight w:val="none"/>
        </w:rPr>
        <w:t>（1）2015年以来有企业项目咨询服务、项目评审或后评价服务经验项目的成功案例的（以提供中标通知书或合同复印件为准），每个案例得2分，满分8分。</w:t>
      </w:r>
    </w:p>
    <w:p>
      <w:pPr>
        <w:pStyle w:val="53"/>
        <w:spacing w:line="520" w:lineRule="exact"/>
        <w:ind w:firstLine="640" w:firstLineChars="200"/>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olor w:val="auto"/>
          <w:kern w:val="2"/>
          <w:sz w:val="32"/>
          <w:szCs w:val="32"/>
          <w:highlight w:val="none"/>
        </w:rPr>
        <w:t>（2）</w:t>
      </w:r>
      <w:r>
        <w:rPr>
          <w:rStyle w:val="10"/>
          <w:rFonts w:ascii="仿宋_GB2312" w:hAnsi="仿宋_GB2312" w:eastAsia="仿宋_GB2312" w:cs="仿宋_GB2312"/>
          <w:bCs/>
          <w:color w:val="auto"/>
          <w:sz w:val="32"/>
          <w:szCs w:val="32"/>
          <w:highlight w:val="none"/>
        </w:rPr>
        <w:t>具有ISO14001管理体系认证且在有效期内的，得2分；具有OHSAS18001管理体系认证且在有效期内的，得2分；</w:t>
      </w:r>
    </w:p>
    <w:p>
      <w:pPr>
        <w:pStyle w:val="26"/>
        <w:spacing w:line="520" w:lineRule="exact"/>
        <w:ind w:left="-134" w:leftChars="-64" w:firstLine="803" w:firstLineChars="25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b/>
          <w:color w:val="auto"/>
          <w:sz w:val="32"/>
          <w:szCs w:val="32"/>
          <w:highlight w:val="none"/>
        </w:rPr>
        <w:t>（三）总得分=1+ 2+ 3+ 4。</w:t>
      </w:r>
    </w:p>
    <w:p>
      <w:pPr>
        <w:pStyle w:val="26"/>
        <w:spacing w:line="520" w:lineRule="exact"/>
        <w:ind w:firstLine="546" w:firstLineChars="170"/>
        <w:rPr>
          <w:rStyle w:val="10"/>
          <w:rFonts w:ascii="仿宋_GB2312" w:hAnsi="仿宋_GB2312" w:eastAsia="仿宋_GB2312" w:cs="仿宋_GB2312"/>
          <w:b/>
          <w:bCs/>
          <w:color w:val="auto"/>
          <w:sz w:val="32"/>
          <w:szCs w:val="32"/>
          <w:highlight w:val="none"/>
        </w:rPr>
      </w:pPr>
    </w:p>
    <w:p>
      <w:pPr>
        <w:pStyle w:val="26"/>
        <w:spacing w:line="520" w:lineRule="exact"/>
        <w:ind w:firstLine="643" w:firstLineChars="200"/>
        <w:rPr>
          <w:rStyle w:val="10"/>
          <w:rFonts w:ascii="仿宋_GB2312" w:hAnsi="仿宋_GB2312" w:eastAsia="仿宋_GB2312" w:cs="仿宋_GB2312"/>
          <w:b/>
          <w:bCs/>
          <w:color w:val="auto"/>
          <w:sz w:val="32"/>
          <w:szCs w:val="32"/>
          <w:highlight w:val="none"/>
        </w:rPr>
      </w:pPr>
      <w:r>
        <w:rPr>
          <w:rStyle w:val="10"/>
          <w:rFonts w:ascii="仿宋_GB2312" w:hAnsi="仿宋_GB2312" w:eastAsia="仿宋_GB2312" w:cs="仿宋_GB2312"/>
          <w:b/>
          <w:bCs/>
          <w:color w:val="auto"/>
          <w:sz w:val="32"/>
          <w:szCs w:val="32"/>
          <w:highlight w:val="none"/>
        </w:rPr>
        <w:t>三、成交候选人推荐原则</w:t>
      </w:r>
    </w:p>
    <w:p>
      <w:pPr>
        <w:spacing w:before="120" w:line="520" w:lineRule="exact"/>
        <w:ind w:firstLine="617" w:firstLineChars="193"/>
        <w:rPr>
          <w:rStyle w:val="10"/>
          <w:rFonts w:ascii="仿宋_GB2312" w:hAnsi="仿宋_GB2312" w:eastAsia="仿宋_GB2312" w:cs="仿宋_GB2312"/>
          <w:bCs/>
          <w:color w:val="auto"/>
          <w:kern w:val="0"/>
          <w:sz w:val="32"/>
          <w:szCs w:val="32"/>
          <w:highlight w:val="none"/>
        </w:rPr>
      </w:pPr>
      <w:r>
        <w:rPr>
          <w:rStyle w:val="10"/>
          <w:rFonts w:ascii="仿宋_GB2312" w:hAnsi="仿宋_GB2312" w:eastAsia="仿宋_GB2312" w:cs="仿宋_GB2312"/>
          <w:bCs/>
          <w:color w:val="auto"/>
          <w:kern w:val="0"/>
          <w:sz w:val="32"/>
          <w:szCs w:val="32"/>
          <w:highlight w:val="none"/>
        </w:rPr>
        <w:t>（一）磋商小组将根据得分由高到低排列次序（得分相同时，以磋商报价由低到高顺序排列；得分相同且磋商报价相同的，按技术指标优劣顺序排列）并推荐排名第一、第二、第三成交候选人为成交供应商；每名成交供应商的具体服务项目由采购人根据供应商服务内容和实际情况确定(每名成交供应商只能负责一个项目的后评价工作，后评价工作费用按中标报价对应的单个项目报价金额执行)。</w:t>
      </w:r>
    </w:p>
    <w:p>
      <w:pPr>
        <w:spacing w:before="120" w:line="520" w:lineRule="exact"/>
        <w:ind w:firstLine="640" w:firstLineChars="200"/>
        <w:rPr>
          <w:rStyle w:val="10"/>
          <w:rFonts w:ascii="仿宋_GB2312" w:hAnsi="仿宋_GB2312" w:eastAsia="仿宋_GB2312" w:cs="仿宋_GB2312"/>
          <w:bCs/>
          <w:color w:val="auto"/>
          <w:kern w:val="0"/>
          <w:sz w:val="32"/>
          <w:szCs w:val="32"/>
          <w:highlight w:val="none"/>
        </w:rPr>
      </w:pPr>
      <w:r>
        <w:rPr>
          <w:rStyle w:val="10"/>
          <w:rFonts w:ascii="仿宋_GB2312" w:hAnsi="仿宋_GB2312" w:eastAsia="仿宋_GB2312" w:cs="仿宋_GB2312"/>
          <w:bCs/>
          <w:color w:val="auto"/>
          <w:kern w:val="0"/>
          <w:sz w:val="32"/>
          <w:szCs w:val="32"/>
          <w:highlight w:val="none"/>
        </w:rPr>
        <w:t>排名第一、第二、第三的成交候选人放弃中标、因不可抗力提出不能履行合同，或者采购文件规定应当提交质量保证金而在规定的期限内未能提交的，招标采购单位可以确定排名第四的中标候选人为供应商。排名第四的中标候选人因前款规定的同样原因不签订合同的，招标采购单位可以确定排名第五的中标候选人为供应商，其余以此类推。采购人也可以决定重新采购。</w:t>
      </w:r>
    </w:p>
    <w:p>
      <w:pPr>
        <w:pStyle w:val="53"/>
        <w:spacing w:line="520" w:lineRule="exact"/>
        <w:ind w:left="-134" w:firstLine="600"/>
        <w:rPr>
          <w:rStyle w:val="10"/>
          <w:rFonts w:ascii="仿宋_GB2312" w:hAnsi="仿宋_GB2312" w:eastAsia="仿宋_GB2312" w:cs="仿宋_GB2312"/>
          <w:bCs/>
          <w:color w:val="auto"/>
          <w:sz w:val="32"/>
          <w:szCs w:val="32"/>
          <w:highlight w:val="none"/>
        </w:rPr>
      </w:pPr>
      <w:r>
        <w:rPr>
          <w:rStyle w:val="10"/>
          <w:rFonts w:ascii="仿宋_GB2312" w:hAnsi="仿宋_GB2312" w:eastAsia="仿宋_GB2312" w:cs="仿宋_GB2312"/>
          <w:bCs/>
          <w:color w:val="auto"/>
          <w:sz w:val="32"/>
          <w:szCs w:val="32"/>
          <w:highlight w:val="none"/>
        </w:rPr>
        <w:t>（二）磋商小组认为，某磋商人的有效磋商报价或者某些分项报价明显不合理或者低于成本，有可能影响服务质量和不能诚信履约的，应要求其在规定的期限内提供书面文件予以解释说明，并提交相关证明材料。否则，磋商小组不推荐该磋商人为成交候选人。</w:t>
      </w:r>
    </w:p>
    <w:p>
      <w:pPr>
        <w:pStyle w:val="26"/>
        <w:spacing w:line="520" w:lineRule="exact"/>
        <w:ind w:left="800" w:hanging="800" w:hangingChars="250"/>
        <w:rPr>
          <w:rStyle w:val="10"/>
          <w:rFonts w:ascii="仿宋_GB2312" w:hAnsi="仿宋_GB2312" w:eastAsia="仿宋_GB2312"/>
          <w:color w:val="auto"/>
          <w:sz w:val="32"/>
          <w:szCs w:val="32"/>
          <w:highlight w:val="none"/>
        </w:rPr>
      </w:pPr>
    </w:p>
    <w:sectPr>
      <w:footerReference r:id="rId6" w:type="first"/>
      <w:footerReference r:id="rId5" w:type="default"/>
      <w:pgSz w:w="11906" w:h="16838"/>
      <w:pgMar w:top="1247" w:right="1247" w:bottom="1247" w:left="124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rPr>
        <w:rStyle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24942384"/>
                            <w:docPartObj>
                              <w:docPartGallery w:val="autotext"/>
                            </w:docPartObj>
                          </w:sdtPr>
                          <w:sdtContent>
                            <w:p>
                              <w:pPr>
                                <w:pStyle w:val="4"/>
                                <w:jc w:val="right"/>
                              </w:pPr>
                              <w:r>
                                <w:fldChar w:fldCharType="begin"/>
                              </w:r>
                              <w:r>
                                <w:instrText xml:space="preserve">PAGE   \* MERGEFORMAT</w:instrText>
                              </w:r>
                              <w:r>
                                <w:fldChar w:fldCharType="separate"/>
                              </w:r>
                              <w:r>
                                <w:rPr>
                                  <w:lang w:val="zh-CN"/>
                                </w:rPr>
                                <w:t>60</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sdt>
                    <w:sdtPr>
                      <w:id w:val="1724942384"/>
                      <w:docPartObj>
                        <w:docPartGallery w:val="autotext"/>
                      </w:docPartObj>
                    </w:sdtPr>
                    <w:sdtContent>
                      <w:p>
                        <w:pPr>
                          <w:pStyle w:val="4"/>
                          <w:jc w:val="right"/>
                        </w:pPr>
                        <w:r>
                          <w:fldChar w:fldCharType="begin"/>
                        </w:r>
                        <w:r>
                          <w:instrText xml:space="preserve">PAGE   \* MERGEFORMAT</w:instrText>
                        </w:r>
                        <w:r>
                          <w:fldChar w:fldCharType="separate"/>
                        </w:r>
                        <w:r>
                          <w:rPr>
                            <w:lang w:val="zh-CN"/>
                          </w:rPr>
                          <w:t>60</w:t>
                        </w:r>
                        <w:r>
                          <w:fldChar w:fldCharType="end"/>
                        </w:r>
                      </w:p>
                    </w:sdtContent>
                  </w:sdt>
                  <w:p/>
                </w:txbxContent>
              </v:textbox>
            </v:shape>
          </w:pict>
        </mc:Fallback>
      </mc:AlternateContent>
    </w:r>
  </w:p>
  <w:p>
    <w:pPr>
      <w:pStyle w:val="4"/>
      <w:rPr>
        <w:rStyle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0"/>
      </w:rPr>
    </w:pPr>
    <w:r>
      <w:rPr>
        <w:rStyle w:val="10"/>
        <w:color w:val="FF0000"/>
      </w:rPr>
      <w:t xml:space="preserve">                              </w:t>
    </w:r>
    <w:r>
      <w:rPr>
        <w:rStyle w:val="10"/>
        <w:color w:val="000000"/>
      </w:rPr>
      <w:t xml:space="preserve"> 2019年企业投资项目后评价服务采购（</w:t>
    </w:r>
    <w:r>
      <w:rPr>
        <w:rStyle w:val="10"/>
        <w:rFonts w:hint="eastAsia"/>
        <w:color w:val="000000"/>
      </w:rPr>
      <w:t>GXZC2019-C3-27497-BEEG</w:t>
    </w:r>
    <w:r>
      <w:rPr>
        <w:rStyle w:val="10"/>
        <w:color w:val="00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C9A64"/>
    <w:multiLevelType w:val="singleLevel"/>
    <w:tmpl w:val="8FAC9A64"/>
    <w:lvl w:ilvl="0" w:tentative="0">
      <w:start w:val="9"/>
      <w:numFmt w:val="chineseCounting"/>
      <w:suff w:val="nothing"/>
      <w:lvlText w:val="%1、"/>
      <w:lvlJc w:val="left"/>
      <w:pPr>
        <w:widowControl/>
        <w:spacing w:line="240" w:lineRule="auto"/>
        <w:textAlignment w:val="baseline"/>
      </w:pPr>
    </w:lvl>
  </w:abstractNum>
  <w:abstractNum w:abstractNumId="1">
    <w:nsid w:val="94C15DC5"/>
    <w:multiLevelType w:val="singleLevel"/>
    <w:tmpl w:val="94C15DC5"/>
    <w:lvl w:ilvl="0" w:tentative="0">
      <w:start w:val="3"/>
      <w:numFmt w:val="decimal"/>
      <w:suff w:val="nothing"/>
      <w:lvlText w:val="%1、"/>
      <w:lvlJc w:val="left"/>
      <w:pPr>
        <w:widowControl/>
        <w:spacing w:line="240" w:lineRule="auto"/>
        <w:textAlignment w:val="baseline"/>
      </w:pPr>
    </w:lvl>
  </w:abstractNum>
  <w:abstractNum w:abstractNumId="2">
    <w:nsid w:val="BB0D0FB6"/>
    <w:multiLevelType w:val="singleLevel"/>
    <w:tmpl w:val="BB0D0FB6"/>
    <w:lvl w:ilvl="0" w:tentative="0">
      <w:start w:val="11"/>
      <w:numFmt w:val="chineseCounting"/>
      <w:suff w:val="nothing"/>
      <w:lvlText w:val="%1、"/>
      <w:lvlJc w:val="left"/>
      <w:pPr>
        <w:widowControl/>
        <w:spacing w:line="240" w:lineRule="auto"/>
        <w:textAlignment w:val="baseline"/>
      </w:pPr>
    </w:lvl>
  </w:abstractNum>
  <w:abstractNum w:abstractNumId="3">
    <w:nsid w:val="BB633787"/>
    <w:multiLevelType w:val="singleLevel"/>
    <w:tmpl w:val="BB633787"/>
    <w:lvl w:ilvl="0" w:tentative="0">
      <w:start w:val="4"/>
      <w:numFmt w:val="chineseCounting"/>
      <w:suff w:val="nothing"/>
      <w:lvlText w:val="%1、"/>
      <w:lvlJc w:val="left"/>
      <w:pPr>
        <w:widowControl/>
        <w:spacing w:line="240" w:lineRule="auto"/>
        <w:textAlignment w:val="baseline"/>
      </w:pPr>
    </w:lvl>
  </w:abstractNum>
  <w:abstractNum w:abstractNumId="4">
    <w:nsid w:val="CAEE06FF"/>
    <w:multiLevelType w:val="singleLevel"/>
    <w:tmpl w:val="CAEE06FF"/>
    <w:lvl w:ilvl="0" w:tentative="0">
      <w:start w:val="8"/>
      <w:numFmt w:val="decimal"/>
      <w:suff w:val="space"/>
      <w:lvlText w:val="%1."/>
      <w:lvlJc w:val="left"/>
      <w:pPr>
        <w:widowControl/>
        <w:spacing w:line="240" w:lineRule="auto"/>
        <w:textAlignment w:val="baseline"/>
      </w:pPr>
    </w:lvl>
  </w:abstractNum>
  <w:abstractNum w:abstractNumId="5">
    <w:nsid w:val="DA71C608"/>
    <w:multiLevelType w:val="singleLevel"/>
    <w:tmpl w:val="DA71C608"/>
    <w:lvl w:ilvl="0" w:tentative="0">
      <w:start w:val="6"/>
      <w:numFmt w:val="chineseCounting"/>
      <w:suff w:val="space"/>
      <w:lvlText w:val="第%1条"/>
      <w:lvlJc w:val="left"/>
      <w:pPr>
        <w:widowControl/>
        <w:spacing w:line="240" w:lineRule="auto"/>
        <w:textAlignment w:val="baseline"/>
      </w:pPr>
    </w:lvl>
  </w:abstractNum>
  <w:abstractNum w:abstractNumId="6">
    <w:nsid w:val="E444B4E0"/>
    <w:multiLevelType w:val="singleLevel"/>
    <w:tmpl w:val="E444B4E0"/>
    <w:lvl w:ilvl="0" w:tentative="0">
      <w:start w:val="2"/>
      <w:numFmt w:val="chineseCounting"/>
      <w:suff w:val="nothing"/>
      <w:lvlText w:val="%1、"/>
      <w:lvlJc w:val="left"/>
      <w:pPr>
        <w:widowControl/>
        <w:spacing w:line="240" w:lineRule="auto"/>
        <w:textAlignment w:val="baseline"/>
      </w:pPr>
    </w:lvl>
  </w:abstractNum>
  <w:abstractNum w:abstractNumId="7">
    <w:nsid w:val="F0DDEB57"/>
    <w:multiLevelType w:val="singleLevel"/>
    <w:tmpl w:val="F0DDEB57"/>
    <w:lvl w:ilvl="0" w:tentative="0">
      <w:start w:val="3"/>
      <w:numFmt w:val="decimal"/>
      <w:suff w:val="nothing"/>
      <w:lvlText w:val="%1、"/>
      <w:lvlJc w:val="left"/>
      <w:pPr>
        <w:widowControl/>
        <w:spacing w:line="240" w:lineRule="auto"/>
        <w:textAlignment w:val="baseline"/>
      </w:pPr>
    </w:lvl>
  </w:abstractNum>
  <w:abstractNum w:abstractNumId="8">
    <w:nsid w:val="FFFFFF7E"/>
    <w:multiLevelType w:val="singleLevel"/>
    <w:tmpl w:val="FFFFFF7E"/>
    <w:lvl w:ilvl="0" w:tentative="0">
      <w:start w:val="1"/>
      <w:numFmt w:val="decimal"/>
      <w:pStyle w:val="42"/>
      <w:lvlText w:val="%1."/>
      <w:lvlJc w:val="left"/>
      <w:pPr>
        <w:widowControl/>
        <w:spacing w:line="240" w:lineRule="auto"/>
        <w:ind w:left="1200" w:hanging="360"/>
        <w:textAlignment w:val="baseline"/>
      </w:pPr>
    </w:lvl>
  </w:abstractNum>
  <w:abstractNum w:abstractNumId="9">
    <w:nsid w:val="2735FBA3"/>
    <w:multiLevelType w:val="singleLevel"/>
    <w:tmpl w:val="2735FBA3"/>
    <w:lvl w:ilvl="0" w:tentative="0">
      <w:start w:val="1"/>
      <w:numFmt w:val="decimal"/>
      <w:suff w:val="nothing"/>
      <w:lvlText w:val="%1、"/>
      <w:lvlJc w:val="left"/>
      <w:pPr>
        <w:widowControl/>
        <w:spacing w:line="240" w:lineRule="auto"/>
        <w:textAlignment w:val="baseline"/>
      </w:pPr>
    </w:lvl>
  </w:abstractNum>
  <w:abstractNum w:abstractNumId="10">
    <w:nsid w:val="32714F5E"/>
    <w:multiLevelType w:val="multilevel"/>
    <w:tmpl w:val="32714F5E"/>
    <w:lvl w:ilvl="0" w:tentative="0">
      <w:start w:val="1"/>
      <w:numFmt w:val="chineseCountingThousand"/>
      <w:suff w:val="nothing"/>
      <w:lvlText w:val="第%1章"/>
      <w:lvlJc w:val="left"/>
      <w:pPr>
        <w:widowControl/>
        <w:spacing w:line="240" w:lineRule="auto"/>
        <w:ind w:left="0" w:firstLine="0"/>
        <w:textAlignment w:val="baseline"/>
      </w:pPr>
      <w:rPr>
        <w:rFonts w:ascii="仿宋_GB2312" w:eastAsia="仿宋_GB2312"/>
        <w:sz w:val="44"/>
      </w:rPr>
    </w:lvl>
    <w:lvl w:ilvl="1" w:tentative="0">
      <w:start w:val="1"/>
      <w:numFmt w:val="decimal"/>
      <w:suff w:val="nothing"/>
      <w:lvlText w:val=""/>
      <w:lvlJc w:val="left"/>
      <w:pPr>
        <w:widowControl/>
        <w:spacing w:line="240" w:lineRule="auto"/>
        <w:ind w:left="0" w:firstLine="0"/>
        <w:textAlignment w:val="baseline"/>
      </w:pPr>
    </w:lvl>
    <w:lvl w:ilvl="2" w:tentative="0">
      <w:start w:val="1"/>
      <w:numFmt w:val="decimal"/>
      <w:suff w:val="nothing"/>
      <w:lvlText w:val=""/>
      <w:lvlJc w:val="left"/>
      <w:pPr>
        <w:widowControl/>
        <w:spacing w:line="240" w:lineRule="auto"/>
        <w:ind w:left="0" w:firstLine="0"/>
        <w:textAlignment w:val="baseline"/>
      </w:pPr>
    </w:lvl>
    <w:lvl w:ilvl="3" w:tentative="0">
      <w:start w:val="1"/>
      <w:numFmt w:val="decimal"/>
      <w:suff w:val="nothing"/>
      <w:lvlText w:val=""/>
      <w:lvlJc w:val="left"/>
      <w:pPr>
        <w:widowControl/>
        <w:spacing w:line="240" w:lineRule="auto"/>
        <w:ind w:left="0" w:firstLine="0"/>
        <w:textAlignment w:val="baseline"/>
      </w:pPr>
    </w:lvl>
    <w:lvl w:ilvl="4" w:tentative="0">
      <w:start w:val="1"/>
      <w:numFmt w:val="decimal"/>
      <w:pStyle w:val="13"/>
      <w:suff w:val="nothing"/>
      <w:lvlText w:val=""/>
      <w:lvlJc w:val="left"/>
      <w:pPr>
        <w:widowControl/>
        <w:spacing w:line="240" w:lineRule="auto"/>
        <w:ind w:left="0" w:firstLine="0"/>
        <w:textAlignment w:val="baseline"/>
      </w:pPr>
    </w:lvl>
    <w:lvl w:ilvl="5" w:tentative="0">
      <w:start w:val="1"/>
      <w:numFmt w:val="decimal"/>
      <w:pStyle w:val="15"/>
      <w:suff w:val="nothing"/>
      <w:lvlText w:val=""/>
      <w:lvlJc w:val="left"/>
      <w:pPr>
        <w:widowControl/>
        <w:spacing w:line="240" w:lineRule="auto"/>
        <w:ind w:left="0" w:firstLine="0"/>
        <w:textAlignment w:val="baseline"/>
      </w:pPr>
    </w:lvl>
    <w:lvl w:ilvl="6" w:tentative="0">
      <w:start w:val="1"/>
      <w:numFmt w:val="decimal"/>
      <w:pStyle w:val="16"/>
      <w:suff w:val="nothing"/>
      <w:lvlText w:val=""/>
      <w:lvlJc w:val="left"/>
      <w:pPr>
        <w:widowControl/>
        <w:spacing w:line="240" w:lineRule="auto"/>
        <w:ind w:left="0" w:firstLine="0"/>
        <w:textAlignment w:val="baseline"/>
      </w:pPr>
    </w:lvl>
    <w:lvl w:ilvl="7" w:tentative="0">
      <w:start w:val="1"/>
      <w:numFmt w:val="decimal"/>
      <w:pStyle w:val="17"/>
      <w:suff w:val="nothing"/>
      <w:lvlText w:val=""/>
      <w:lvlJc w:val="left"/>
      <w:pPr>
        <w:widowControl/>
        <w:spacing w:line="240" w:lineRule="auto"/>
        <w:ind w:left="0" w:firstLine="0"/>
        <w:textAlignment w:val="baseline"/>
      </w:pPr>
    </w:lvl>
    <w:lvl w:ilvl="8" w:tentative="0">
      <w:start w:val="1"/>
      <w:numFmt w:val="decimal"/>
      <w:pStyle w:val="18"/>
      <w:suff w:val="nothing"/>
      <w:lvlText w:val=""/>
      <w:lvlJc w:val="left"/>
      <w:pPr>
        <w:widowControl/>
        <w:spacing w:line="240" w:lineRule="auto"/>
        <w:ind w:left="0" w:firstLine="0"/>
        <w:textAlignment w:val="baseline"/>
      </w:pPr>
    </w:lvl>
  </w:abstractNum>
  <w:num w:numId="1">
    <w:abstractNumId w:val="10"/>
  </w:num>
  <w:num w:numId="2">
    <w:abstractNumId w:val="8"/>
  </w:num>
  <w:num w:numId="3">
    <w:abstractNumId w:val="2"/>
  </w:num>
  <w:num w:numId="4">
    <w:abstractNumId w:val="1"/>
  </w:num>
  <w:num w:numId="5">
    <w:abstractNumId w:val="3"/>
  </w:num>
  <w:num w:numId="6">
    <w:abstractNumId w:val="4"/>
  </w:num>
  <w:num w:numId="7">
    <w:abstractNumId w:val="0"/>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CF"/>
    <w:rsid w:val="000515D6"/>
    <w:rsid w:val="00192F2C"/>
    <w:rsid w:val="002B35F8"/>
    <w:rsid w:val="002E78A7"/>
    <w:rsid w:val="003C05AC"/>
    <w:rsid w:val="003C45D5"/>
    <w:rsid w:val="00476879"/>
    <w:rsid w:val="005430D0"/>
    <w:rsid w:val="00657B47"/>
    <w:rsid w:val="006A4AFE"/>
    <w:rsid w:val="006D43D4"/>
    <w:rsid w:val="00781B2A"/>
    <w:rsid w:val="007D4262"/>
    <w:rsid w:val="00A66EAC"/>
    <w:rsid w:val="00AB75CF"/>
    <w:rsid w:val="00E9236A"/>
    <w:rsid w:val="00EA445C"/>
    <w:rsid w:val="00EA7FAA"/>
    <w:rsid w:val="00F64C07"/>
    <w:rsid w:val="2D545537"/>
    <w:rsid w:val="35FB5A71"/>
    <w:rsid w:val="37C546D9"/>
    <w:rsid w:val="43A160EC"/>
    <w:rsid w:val="447001FD"/>
    <w:rsid w:val="47035140"/>
    <w:rsid w:val="4CE429AA"/>
    <w:rsid w:val="53FF7C59"/>
    <w:rsid w:val="59463AD1"/>
    <w:rsid w:val="68B70D02"/>
    <w:rsid w:val="7DE21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sz w:val="20"/>
      <w:szCs w:val="20"/>
    </w:rPr>
  </w:style>
  <w:style w:type="paragraph" w:styleId="3">
    <w:name w:val="Date"/>
    <w:basedOn w:val="1"/>
    <w:next w:val="1"/>
    <w:qFormat/>
    <w:uiPriority w:val="0"/>
    <w:pPr>
      <w:ind w:left="100" w:leftChars="2500"/>
    </w:pPr>
    <w:rPr>
      <w:rFonts w:ascii="宋体" w:hAnsi="Courier New"/>
      <w:szCs w:val="21"/>
    </w:rPr>
  </w:style>
  <w:style w:type="paragraph" w:styleId="4">
    <w:name w:val="footer"/>
    <w:basedOn w:val="1"/>
    <w:link w:val="62"/>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List"/>
    <w:basedOn w:val="1"/>
    <w:qFormat/>
    <w:uiPriority w:val="0"/>
    <w:pPr>
      <w:ind w:left="200" w:hanging="200" w:hangingChars="200"/>
    </w:pPr>
    <w:rPr>
      <w:sz w:val="28"/>
    </w:rPr>
  </w:style>
  <w:style w:type="character" w:styleId="9">
    <w:name w:val="Strong"/>
    <w:basedOn w:val="10"/>
    <w:qFormat/>
    <w:uiPriority w:val="0"/>
    <w:rPr>
      <w:rFonts w:cs="Times New Roman"/>
      <w:b/>
      <w:bCs/>
    </w:rPr>
  </w:style>
  <w:style w:type="character" w:customStyle="1" w:styleId="10">
    <w:name w:val="NormalCharacter"/>
    <w:semiHidden/>
    <w:qFormat/>
    <w:uiPriority w:val="0"/>
  </w:style>
  <w:style w:type="character" w:styleId="11">
    <w:name w:val="Hyperlink"/>
    <w:basedOn w:val="10"/>
    <w:qFormat/>
    <w:uiPriority w:val="0"/>
    <w:rPr>
      <w:color w:val="0000FF"/>
      <w:u w:val="single"/>
    </w:rPr>
  </w:style>
  <w:style w:type="paragraph" w:customStyle="1" w:styleId="12">
    <w:name w:val="Heading1"/>
    <w:basedOn w:val="1"/>
    <w:next w:val="1"/>
    <w:link w:val="20"/>
    <w:qFormat/>
    <w:uiPriority w:val="0"/>
    <w:pPr>
      <w:keepNext/>
      <w:keepLines/>
      <w:spacing w:before="340" w:after="330" w:line="578" w:lineRule="auto"/>
    </w:pPr>
    <w:rPr>
      <w:kern w:val="44"/>
      <w:sz w:val="44"/>
      <w:szCs w:val="44"/>
    </w:rPr>
  </w:style>
  <w:style w:type="paragraph" w:customStyle="1" w:styleId="13">
    <w:name w:val="Heading5"/>
    <w:basedOn w:val="1"/>
    <w:next w:val="14"/>
    <w:qFormat/>
    <w:uiPriority w:val="0"/>
    <w:pPr>
      <w:keepNext/>
      <w:keepLines/>
      <w:numPr>
        <w:ilvl w:val="4"/>
        <w:numId w:val="1"/>
      </w:numPr>
      <w:spacing w:before="280" w:after="290" w:line="376" w:lineRule="auto"/>
    </w:pPr>
    <w:rPr>
      <w:sz w:val="28"/>
    </w:rPr>
  </w:style>
  <w:style w:type="paragraph" w:customStyle="1" w:styleId="14">
    <w:name w:val="NormalIndent"/>
    <w:basedOn w:val="1"/>
    <w:qFormat/>
    <w:uiPriority w:val="0"/>
    <w:pPr>
      <w:ind w:firstLine="420"/>
    </w:pPr>
    <w:rPr>
      <w:szCs w:val="20"/>
    </w:rPr>
  </w:style>
  <w:style w:type="paragraph" w:customStyle="1" w:styleId="15">
    <w:name w:val="Heading6"/>
    <w:basedOn w:val="1"/>
    <w:next w:val="14"/>
    <w:qFormat/>
    <w:uiPriority w:val="0"/>
    <w:pPr>
      <w:keepNext/>
      <w:keepLines/>
      <w:numPr>
        <w:ilvl w:val="5"/>
        <w:numId w:val="1"/>
      </w:numPr>
      <w:spacing w:before="240" w:after="64" w:line="320" w:lineRule="auto"/>
    </w:pPr>
    <w:rPr>
      <w:rFonts w:ascii="Arial" w:hAnsi="Arial" w:eastAsia="黑体"/>
      <w:sz w:val="24"/>
    </w:rPr>
  </w:style>
  <w:style w:type="paragraph" w:customStyle="1" w:styleId="16">
    <w:name w:val="Heading7"/>
    <w:basedOn w:val="1"/>
    <w:next w:val="14"/>
    <w:qFormat/>
    <w:uiPriority w:val="0"/>
    <w:pPr>
      <w:keepNext/>
      <w:keepLines/>
      <w:numPr>
        <w:ilvl w:val="6"/>
        <w:numId w:val="1"/>
      </w:numPr>
      <w:spacing w:before="240" w:after="64" w:line="320" w:lineRule="auto"/>
    </w:pPr>
    <w:rPr>
      <w:sz w:val="24"/>
    </w:rPr>
  </w:style>
  <w:style w:type="paragraph" w:customStyle="1" w:styleId="17">
    <w:name w:val="Heading8"/>
    <w:basedOn w:val="1"/>
    <w:next w:val="14"/>
    <w:uiPriority w:val="0"/>
    <w:pPr>
      <w:keepNext/>
      <w:keepLines/>
      <w:numPr>
        <w:ilvl w:val="7"/>
        <w:numId w:val="1"/>
      </w:numPr>
      <w:spacing w:before="240" w:after="64" w:line="320" w:lineRule="auto"/>
    </w:pPr>
    <w:rPr>
      <w:rFonts w:ascii="Arial" w:hAnsi="Arial" w:eastAsia="黑体"/>
      <w:sz w:val="24"/>
    </w:rPr>
  </w:style>
  <w:style w:type="paragraph" w:customStyle="1" w:styleId="18">
    <w:name w:val="Heading9"/>
    <w:basedOn w:val="1"/>
    <w:next w:val="14"/>
    <w:qFormat/>
    <w:uiPriority w:val="0"/>
    <w:pPr>
      <w:keepNext/>
      <w:keepLines/>
      <w:numPr>
        <w:ilvl w:val="8"/>
        <w:numId w:val="1"/>
      </w:numPr>
      <w:spacing w:before="240" w:after="64" w:line="320" w:lineRule="auto"/>
    </w:pPr>
    <w:rPr>
      <w:rFonts w:ascii="Arial" w:hAnsi="Arial" w:eastAsia="黑体"/>
    </w:rPr>
  </w:style>
  <w:style w:type="table" w:customStyle="1" w:styleId="19">
    <w:name w:val="TableNormal"/>
    <w:semiHidden/>
    <w:qFormat/>
    <w:uiPriority w:val="0"/>
    <w:tblPr>
      <w:tblLayout w:type="fixed"/>
      <w:tblCellMar>
        <w:top w:w="0" w:type="dxa"/>
        <w:left w:w="0" w:type="dxa"/>
        <w:bottom w:w="0" w:type="dxa"/>
        <w:right w:w="0" w:type="dxa"/>
      </w:tblCellMar>
    </w:tblPr>
  </w:style>
  <w:style w:type="character" w:customStyle="1" w:styleId="20">
    <w:name w:val="UserStyle_0"/>
    <w:basedOn w:val="10"/>
    <w:link w:val="12"/>
    <w:qFormat/>
    <w:uiPriority w:val="0"/>
    <w:rPr>
      <w:rFonts w:ascii="宋体" w:hAnsi="Courier New" w:eastAsia="宋体"/>
      <w:kern w:val="2"/>
      <w:sz w:val="21"/>
      <w:lang w:val="en-US" w:eastAsia="zh-CN" w:bidi="ar-SA"/>
    </w:rPr>
  </w:style>
  <w:style w:type="character" w:customStyle="1" w:styleId="21">
    <w:name w:val="UserStyle_1"/>
    <w:basedOn w:val="10"/>
    <w:link w:val="22"/>
    <w:qFormat/>
    <w:uiPriority w:val="0"/>
    <w:rPr>
      <w:kern w:val="2"/>
      <w:sz w:val="21"/>
      <w:szCs w:val="24"/>
    </w:rPr>
  </w:style>
  <w:style w:type="paragraph" w:customStyle="1" w:styleId="22">
    <w:name w:val="AnnotationText"/>
    <w:basedOn w:val="1"/>
    <w:link w:val="21"/>
    <w:qFormat/>
    <w:uiPriority w:val="0"/>
    <w:pPr>
      <w:jc w:val="left"/>
    </w:pPr>
  </w:style>
  <w:style w:type="character" w:customStyle="1" w:styleId="23">
    <w:name w:val="UserStyle_2"/>
    <w:locked/>
    <w:uiPriority w:val="0"/>
    <w:rPr>
      <w:rFonts w:ascii="宋体" w:hAnsi="Courier New" w:eastAsia="宋体"/>
      <w:kern w:val="2"/>
      <w:sz w:val="21"/>
      <w:szCs w:val="21"/>
      <w:lang w:val="en-US" w:eastAsia="zh-CN" w:bidi="ar-SA"/>
    </w:rPr>
  </w:style>
  <w:style w:type="character" w:customStyle="1" w:styleId="24">
    <w:name w:val="UserStyle_3"/>
    <w:basedOn w:val="10"/>
    <w:qFormat/>
    <w:uiPriority w:val="0"/>
    <w:rPr>
      <w:rFonts w:eastAsia="宋体" w:cs="Times New Roman"/>
      <w:b/>
      <w:bCs/>
      <w:kern w:val="44"/>
      <w:sz w:val="44"/>
      <w:szCs w:val="44"/>
      <w:lang w:val="en-US" w:eastAsia="zh-CN" w:bidi="ar-SA"/>
    </w:rPr>
  </w:style>
  <w:style w:type="character" w:customStyle="1" w:styleId="25">
    <w:name w:val="UserStyle_4"/>
    <w:basedOn w:val="10"/>
    <w:link w:val="26"/>
    <w:qFormat/>
    <w:uiPriority w:val="0"/>
    <w:rPr>
      <w:rFonts w:ascii="宋体" w:hAnsi="Courier New" w:eastAsia="宋体"/>
      <w:kern w:val="2"/>
      <w:sz w:val="21"/>
      <w:szCs w:val="21"/>
      <w:lang w:val="en-US" w:eastAsia="zh-CN" w:bidi="ar-SA"/>
    </w:rPr>
  </w:style>
  <w:style w:type="paragraph" w:customStyle="1" w:styleId="26">
    <w:name w:val="PlainText"/>
    <w:basedOn w:val="1"/>
    <w:link w:val="25"/>
    <w:qFormat/>
    <w:uiPriority w:val="0"/>
    <w:rPr>
      <w:rFonts w:ascii="宋体" w:hAnsi="Courier New"/>
      <w:szCs w:val="21"/>
    </w:rPr>
  </w:style>
  <w:style w:type="character" w:customStyle="1" w:styleId="27">
    <w:name w:val="UserStyle_5"/>
    <w:basedOn w:val="24"/>
    <w:link w:val="28"/>
    <w:qFormat/>
    <w:uiPriority w:val="0"/>
    <w:rPr>
      <w:rFonts w:ascii="宋体" w:hAnsi="宋体" w:eastAsia="宋体" w:cs="Times New Roman"/>
      <w:kern w:val="44"/>
      <w:sz w:val="36"/>
      <w:szCs w:val="44"/>
      <w:lang w:val="en-US" w:eastAsia="zh-CN" w:bidi="ar-SA"/>
    </w:rPr>
  </w:style>
  <w:style w:type="paragraph" w:customStyle="1" w:styleId="28">
    <w:name w:val="UserStyle_6"/>
    <w:basedOn w:val="12"/>
    <w:link w:val="27"/>
    <w:qFormat/>
    <w:uiPriority w:val="0"/>
    <w:pPr>
      <w:spacing w:before="0" w:after="0" w:line="240" w:lineRule="auto"/>
      <w:jc w:val="center"/>
    </w:pPr>
    <w:rPr>
      <w:rFonts w:ascii="宋体" w:hAnsi="宋体"/>
      <w:sz w:val="36"/>
    </w:rPr>
  </w:style>
  <w:style w:type="character" w:customStyle="1" w:styleId="29">
    <w:name w:val="PageNumber"/>
    <w:basedOn w:val="10"/>
    <w:qFormat/>
    <w:uiPriority w:val="0"/>
  </w:style>
  <w:style w:type="character" w:customStyle="1" w:styleId="30">
    <w:name w:val="AnnotationReference"/>
    <w:basedOn w:val="10"/>
    <w:qFormat/>
    <w:uiPriority w:val="0"/>
    <w:rPr>
      <w:sz w:val="21"/>
      <w:szCs w:val="21"/>
    </w:rPr>
  </w:style>
  <w:style w:type="character" w:customStyle="1" w:styleId="31">
    <w:name w:val="UserStyle_7"/>
    <w:basedOn w:val="21"/>
    <w:link w:val="32"/>
    <w:qFormat/>
    <w:uiPriority w:val="0"/>
    <w:rPr>
      <w:rFonts w:cs="Times New Roman"/>
      <w:b/>
      <w:bCs/>
      <w:kern w:val="2"/>
      <w:sz w:val="21"/>
      <w:szCs w:val="24"/>
    </w:rPr>
  </w:style>
  <w:style w:type="paragraph" w:customStyle="1" w:styleId="32">
    <w:name w:val="AnnotationSubject"/>
    <w:basedOn w:val="22"/>
    <w:next w:val="22"/>
    <w:link w:val="31"/>
    <w:uiPriority w:val="0"/>
  </w:style>
  <w:style w:type="paragraph" w:customStyle="1" w:styleId="33">
    <w:name w:val="UserStyle_8"/>
    <w:basedOn w:val="1"/>
    <w:qFormat/>
    <w:uiPriority w:val="0"/>
  </w:style>
  <w:style w:type="paragraph" w:customStyle="1" w:styleId="34">
    <w:name w:val="UserStyle_9"/>
    <w:basedOn w:val="35"/>
    <w:qFormat/>
    <w:uiPriority w:val="0"/>
    <w:pPr>
      <w:ind w:firstLine="454"/>
      <w:jc w:val="left"/>
    </w:pPr>
    <w:rPr>
      <w:rFonts w:ascii="Tahoma" w:hAnsi="Tahoma"/>
      <w:kern w:val="0"/>
      <w:sz w:val="24"/>
      <w:szCs w:val="20"/>
    </w:rPr>
  </w:style>
  <w:style w:type="paragraph" w:customStyle="1" w:styleId="35">
    <w:name w:val="NavPane"/>
    <w:basedOn w:val="1"/>
    <w:semiHidden/>
    <w:qFormat/>
    <w:uiPriority w:val="0"/>
    <w:pPr>
      <w:shd w:val="clear" w:color="auto" w:fill="000080"/>
    </w:pPr>
  </w:style>
  <w:style w:type="paragraph" w:customStyle="1" w:styleId="36">
    <w:name w:val="BodyTextIndent3"/>
    <w:basedOn w:val="1"/>
    <w:uiPriority w:val="0"/>
    <w:pPr>
      <w:spacing w:after="120"/>
      <w:ind w:left="420" w:leftChars="200"/>
    </w:pPr>
    <w:rPr>
      <w:sz w:val="16"/>
      <w:szCs w:val="16"/>
    </w:rPr>
  </w:style>
  <w:style w:type="paragraph" w:customStyle="1" w:styleId="37">
    <w:name w:val="Acetate"/>
    <w:basedOn w:val="1"/>
    <w:semiHidden/>
    <w:uiPriority w:val="0"/>
    <w:rPr>
      <w:sz w:val="18"/>
      <w:szCs w:val="18"/>
    </w:rPr>
  </w:style>
  <w:style w:type="paragraph" w:customStyle="1" w:styleId="38">
    <w:name w:val="BodyText"/>
    <w:basedOn w:val="1"/>
    <w:qFormat/>
    <w:uiPriority w:val="0"/>
    <w:pPr>
      <w:spacing w:line="380" w:lineRule="exact"/>
    </w:pPr>
    <w:rPr>
      <w:sz w:val="24"/>
    </w:rPr>
  </w:style>
  <w:style w:type="paragraph" w:customStyle="1" w:styleId="39">
    <w:name w:val="UserStyle_10"/>
    <w:basedOn w:val="1"/>
    <w:qFormat/>
    <w:uiPriority w:val="0"/>
    <w:pPr>
      <w:spacing w:after="160" w:line="240" w:lineRule="exact"/>
      <w:jc w:val="left"/>
    </w:pPr>
    <w:rPr>
      <w:rFonts w:ascii="Verdana" w:hAnsi="Verdana"/>
      <w:kern w:val="0"/>
      <w:sz w:val="20"/>
      <w:szCs w:val="20"/>
      <w:lang w:eastAsia="en-US"/>
    </w:rPr>
  </w:style>
  <w:style w:type="paragraph" w:customStyle="1" w:styleId="40">
    <w:name w:val="UserStyle_11"/>
    <w:basedOn w:val="35"/>
    <w:qFormat/>
    <w:uiPriority w:val="0"/>
    <w:pPr>
      <w:ind w:firstLine="454"/>
      <w:jc w:val="left"/>
    </w:pPr>
  </w:style>
  <w:style w:type="paragraph" w:customStyle="1" w:styleId="41">
    <w:name w:val="BodyText2"/>
    <w:basedOn w:val="1"/>
    <w:qFormat/>
    <w:uiPriority w:val="0"/>
    <w:pPr>
      <w:spacing w:after="120" w:line="480" w:lineRule="auto"/>
    </w:pPr>
  </w:style>
  <w:style w:type="paragraph" w:customStyle="1" w:styleId="42">
    <w:name w:val="ListNumber3"/>
    <w:basedOn w:val="1"/>
    <w:qFormat/>
    <w:uiPriority w:val="0"/>
    <w:pPr>
      <w:numPr>
        <w:ilvl w:val="0"/>
        <w:numId w:val="2"/>
      </w:numPr>
      <w:tabs>
        <w:tab w:val="left" w:pos="1200"/>
      </w:tabs>
    </w:pPr>
  </w:style>
  <w:style w:type="paragraph" w:customStyle="1" w:styleId="43">
    <w:name w:val="ListNumber"/>
    <w:basedOn w:val="1"/>
    <w:qFormat/>
    <w:uiPriority w:val="0"/>
    <w:pPr>
      <w:tabs>
        <w:tab w:val="left" w:pos="454"/>
        <w:tab w:val="left" w:pos="720"/>
        <w:tab w:val="left" w:pos="840"/>
      </w:tabs>
      <w:spacing w:after="50"/>
      <w:ind w:left="454" w:hanging="284"/>
      <w:jc w:val="left"/>
    </w:pPr>
    <w:rPr>
      <w:kern w:val="0"/>
      <w:sz w:val="24"/>
      <w:szCs w:val="20"/>
    </w:rPr>
  </w:style>
  <w:style w:type="paragraph" w:customStyle="1" w:styleId="44">
    <w:name w:val="UserStyle_12"/>
    <w:basedOn w:val="1"/>
    <w:qFormat/>
    <w:uiPriority w:val="0"/>
    <w:pPr>
      <w:ind w:firstLine="200" w:firstLineChars="200"/>
    </w:pPr>
    <w:rPr>
      <w:szCs w:val="22"/>
    </w:rPr>
  </w:style>
  <w:style w:type="paragraph" w:customStyle="1" w:styleId="45">
    <w:name w:val="UserStyle_13"/>
    <w:basedOn w:val="1"/>
    <w:qFormat/>
    <w:uiPriority w:val="0"/>
    <w:pPr>
      <w:tabs>
        <w:tab w:val="left" w:pos="360"/>
      </w:tabs>
      <w:spacing w:line="360" w:lineRule="auto"/>
      <w:ind w:left="482" w:firstLine="200" w:firstLineChars="200"/>
    </w:pPr>
    <w:rPr>
      <w:rFonts w:ascii="宋体"/>
      <w:sz w:val="24"/>
    </w:rPr>
  </w:style>
  <w:style w:type="paragraph" w:customStyle="1" w:styleId="46">
    <w:name w:val="Index1"/>
    <w:basedOn w:val="1"/>
    <w:next w:val="1"/>
    <w:semiHidden/>
    <w:qFormat/>
    <w:uiPriority w:val="0"/>
    <w:pPr>
      <w:spacing w:line="400" w:lineRule="exact"/>
      <w:ind w:firstLine="420" w:firstLineChars="200"/>
    </w:pPr>
    <w:rPr>
      <w:rFonts w:ascii="宋体" w:hAnsi="Courier New"/>
      <w:szCs w:val="20"/>
    </w:rPr>
  </w:style>
  <w:style w:type="paragraph" w:customStyle="1" w:styleId="47">
    <w:name w:val="BodyTextIndent2"/>
    <w:basedOn w:val="1"/>
    <w:uiPriority w:val="0"/>
    <w:pPr>
      <w:ind w:firstLine="630"/>
    </w:pPr>
    <w:rPr>
      <w:sz w:val="32"/>
      <w:szCs w:val="20"/>
    </w:rPr>
  </w:style>
  <w:style w:type="paragraph" w:customStyle="1" w:styleId="48">
    <w:name w:val="BodyTextIndent"/>
    <w:basedOn w:val="1"/>
    <w:qFormat/>
    <w:uiPriority w:val="0"/>
    <w:pPr>
      <w:ind w:firstLine="830" w:firstLineChars="352"/>
    </w:pPr>
    <w:rPr>
      <w:rFonts w:ascii="仿宋_GB2312" w:eastAsia="仿宋_GB2312"/>
      <w:sz w:val="32"/>
      <w:szCs w:val="20"/>
    </w:rPr>
  </w:style>
  <w:style w:type="paragraph" w:customStyle="1" w:styleId="49">
    <w:name w:val="BodyText3"/>
    <w:basedOn w:val="1"/>
    <w:qFormat/>
    <w:uiPriority w:val="0"/>
    <w:pPr>
      <w:spacing w:line="500" w:lineRule="exact"/>
    </w:pPr>
    <w:rPr>
      <w:sz w:val="24"/>
    </w:rPr>
  </w:style>
  <w:style w:type="paragraph" w:customStyle="1" w:styleId="50">
    <w:name w:val="UserStyle_14"/>
    <w:basedOn w:val="1"/>
    <w:uiPriority w:val="0"/>
    <w:pPr>
      <w:snapToGrid w:val="0"/>
      <w:spacing w:after="50"/>
      <w:ind w:firstLine="200" w:firstLineChars="200"/>
    </w:pPr>
    <w:rPr>
      <w:kern w:val="0"/>
      <w:sz w:val="24"/>
      <w:szCs w:val="20"/>
    </w:rPr>
  </w:style>
  <w:style w:type="paragraph" w:customStyle="1" w:styleId="51">
    <w:name w:val="HtmlNormal"/>
    <w:basedOn w:val="1"/>
    <w:uiPriority w:val="0"/>
    <w:pPr>
      <w:spacing w:before="100" w:beforeAutospacing="1" w:after="100" w:afterAutospacing="1"/>
      <w:jc w:val="left"/>
    </w:pPr>
    <w:rPr>
      <w:rFonts w:ascii="宋体" w:hAnsi="宋体"/>
      <w:kern w:val="0"/>
      <w:sz w:val="24"/>
    </w:rPr>
  </w:style>
  <w:style w:type="paragraph" w:customStyle="1" w:styleId="52">
    <w:name w:val="List2"/>
    <w:basedOn w:val="1"/>
    <w:qFormat/>
    <w:uiPriority w:val="0"/>
    <w:pPr>
      <w:ind w:left="100" w:leftChars="200" w:hanging="200" w:hangingChars="200"/>
    </w:pPr>
    <w:rPr>
      <w:sz w:val="28"/>
    </w:rPr>
  </w:style>
  <w:style w:type="paragraph" w:customStyle="1" w:styleId="53">
    <w:name w:val="UserStyle_15"/>
    <w:basedOn w:val="1"/>
    <w:uiPriority w:val="0"/>
    <w:rPr>
      <w:rFonts w:ascii="宋体" w:hAnsi="宋体"/>
      <w:kern w:val="0"/>
      <w:szCs w:val="21"/>
    </w:rPr>
  </w:style>
  <w:style w:type="paragraph" w:customStyle="1" w:styleId="54">
    <w:name w:val="UserStyle_16"/>
    <w:basedOn w:val="1"/>
    <w:next w:val="26"/>
    <w:qFormat/>
    <w:uiPriority w:val="0"/>
    <w:rPr>
      <w:rFonts w:ascii="宋体" w:hAnsi="Courier New"/>
      <w:szCs w:val="20"/>
    </w:rPr>
  </w:style>
  <w:style w:type="paragraph" w:customStyle="1" w:styleId="55">
    <w:name w:val="UserStyle_17"/>
    <w:basedOn w:val="1"/>
    <w:qFormat/>
    <w:uiPriority w:val="0"/>
    <w:rPr>
      <w:kern w:val="0"/>
      <w:szCs w:val="21"/>
    </w:rPr>
  </w:style>
  <w:style w:type="paragraph" w:customStyle="1" w:styleId="56">
    <w:name w:val="UserStyle_18"/>
    <w:qFormat/>
    <w:uiPriority w:val="0"/>
    <w:pPr>
      <w:textAlignment w:val="baseline"/>
    </w:pPr>
    <w:rPr>
      <w:rFonts w:ascii="宋体" w:hAnsi="Calibri" w:eastAsia="宋体" w:cs="Times New Roman"/>
      <w:color w:val="000000"/>
      <w:sz w:val="24"/>
      <w:szCs w:val="24"/>
      <w:lang w:val="en-US" w:eastAsia="zh-CN" w:bidi="ar-SA"/>
    </w:rPr>
  </w:style>
  <w:style w:type="paragraph" w:customStyle="1" w:styleId="57">
    <w:name w:val="UserStyle_19"/>
    <w:basedOn w:val="35"/>
    <w:qFormat/>
    <w:uiPriority w:val="0"/>
    <w:pPr>
      <w:ind w:firstLine="454"/>
      <w:jc w:val="left"/>
    </w:pPr>
  </w:style>
  <w:style w:type="paragraph" w:customStyle="1" w:styleId="58">
    <w:name w:val="UserStyle_20"/>
    <w:basedOn w:val="1"/>
    <w:qFormat/>
    <w:uiPriority w:val="0"/>
    <w:rPr>
      <w:rFonts w:ascii="Tahoma" w:hAnsi="Tahoma"/>
      <w:sz w:val="24"/>
      <w:szCs w:val="20"/>
    </w:rPr>
  </w:style>
  <w:style w:type="paragraph" w:customStyle="1" w:styleId="59">
    <w:name w:val="UserStyle_21"/>
    <w:basedOn w:val="35"/>
    <w:uiPriority w:val="0"/>
    <w:pPr>
      <w:ind w:firstLine="454"/>
      <w:jc w:val="left"/>
    </w:pPr>
    <w:rPr>
      <w:rFonts w:ascii="Tahoma" w:hAnsi="Tahoma"/>
      <w:kern w:val="0"/>
      <w:sz w:val="24"/>
      <w:szCs w:val="20"/>
    </w:rPr>
  </w:style>
  <w:style w:type="paragraph" w:customStyle="1" w:styleId="60">
    <w:name w:val="UserStyle_22"/>
    <w:basedOn w:val="1"/>
    <w:uiPriority w:val="0"/>
    <w:pPr>
      <w:snapToGrid w:val="0"/>
      <w:spacing w:before="50" w:after="50"/>
      <w:jc w:val="center"/>
    </w:pPr>
    <w:rPr>
      <w:rFonts w:ascii="仿宋_GB2312" w:hAnsi="宋体" w:eastAsia="仿宋_GB2312"/>
      <w:color w:val="000000"/>
      <w:sz w:val="32"/>
      <w:szCs w:val="32"/>
    </w:rPr>
  </w:style>
  <w:style w:type="table" w:customStyle="1" w:styleId="61">
    <w:name w:val="TableGrid"/>
    <w:basedOn w:val="19"/>
    <w:uiPriority w:val="0"/>
  </w:style>
  <w:style w:type="character" w:customStyle="1" w:styleId="62">
    <w:name w:val="页脚 Char"/>
    <w:basedOn w:val="8"/>
    <w:link w:val="4"/>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gzw</Company>
  <Pages>1</Pages>
  <Words>4694</Words>
  <Characters>26760</Characters>
  <Lines>223</Lines>
  <Paragraphs>62</Paragraphs>
  <TotalTime>2</TotalTime>
  <ScaleCrop>false</ScaleCrop>
  <LinksUpToDate>false</LinksUpToDate>
  <CharactersWithSpaces>31392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2019-10-12T02:53:00Z</dcterms:created>
  <dc:creator>Lenovo</dc:creator>
  <cp:lastModifiedBy>Lenovo</cp:lastModifiedBy>
  <dcterms:modified xsi:type="dcterms:W3CDTF">2019-10-16T08:06:59Z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