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hd w:val="clear"/>
        <w:ind w:firstLine="105"/>
        <w:jc w:val="center"/>
        <w:rPr>
          <w:rFonts w:hAnsi="宋体"/>
          <w:color w:val="auto"/>
          <w:sz w:val="44"/>
          <w:szCs w:val="44"/>
          <w:highlight w:val="none"/>
        </w:rPr>
      </w:pPr>
      <w:r>
        <w:rPr>
          <w:rFonts w:hint="eastAsia" w:hAnsi="宋体"/>
          <w:color w:val="auto"/>
          <w:sz w:val="44"/>
          <w:szCs w:val="44"/>
          <w:highlight w:val="none"/>
        </w:rPr>
        <w:t xml:space="preserve">  </w:t>
      </w:r>
      <w:r>
        <w:rPr>
          <w:rFonts w:hAnsi="宋体"/>
          <w:color w:val="auto"/>
          <w:sz w:val="44"/>
          <w:szCs w:val="44"/>
          <w:highlight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Ansi="宋体"/>
          <w:color w:val="auto"/>
          <w:sz w:val="44"/>
          <w:szCs w:val="44"/>
          <w:highlight w:val="none"/>
        </w:rPr>
        <w:instrText xml:space="preserve">ADDIN CNKISM.UserStyle</w:instrText>
      </w:r>
      <w:r>
        <w:rPr>
          <w:rFonts w:hAnsi="宋体"/>
          <w:color w:val="auto"/>
          <w:sz w:val="44"/>
          <w:szCs w:val="44"/>
          <w:highlight w:val="none"/>
        </w:rPr>
        <w:fldChar w:fldCharType="end"/>
      </w:r>
    </w:p>
    <w:p>
      <w:pPr>
        <w:pStyle w:val="31"/>
        <w:shd w:val="clear"/>
        <w:ind w:firstLine="105"/>
        <w:jc w:val="center"/>
        <w:rPr>
          <w:rFonts w:hAnsi="宋体"/>
          <w:color w:val="auto"/>
          <w:sz w:val="44"/>
          <w:szCs w:val="44"/>
          <w:highlight w:val="none"/>
        </w:rPr>
      </w:pPr>
      <w:r>
        <w:rPr>
          <w:rFonts w:hint="eastAsia" w:hAnsi="宋体"/>
          <w:color w:val="auto"/>
          <w:sz w:val="44"/>
          <w:szCs w:val="44"/>
          <w:highlight w:val="none"/>
        </w:rPr>
        <w:t>广西建设工程机电设备招标中心有限公司</w:t>
      </w: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jc w:val="center"/>
        <w:rPr>
          <w:rFonts w:ascii="黑体" w:eastAsia="黑体"/>
          <w:b/>
          <w:bCs/>
          <w:color w:val="auto"/>
          <w:sz w:val="48"/>
          <w:szCs w:val="48"/>
          <w:highlight w:val="none"/>
        </w:rPr>
      </w:pPr>
      <w:r>
        <w:rPr>
          <w:rFonts w:hint="eastAsia" w:ascii="黑体" w:eastAsia="黑体"/>
          <w:b/>
          <w:bCs/>
          <w:color w:val="auto"/>
          <w:sz w:val="48"/>
          <w:szCs w:val="48"/>
          <w:highlight w:val="none"/>
        </w:rPr>
        <w:t>公开招标采购文件</w:t>
      </w:r>
    </w:p>
    <w:p>
      <w:pPr>
        <w:pStyle w:val="31"/>
        <w:shd w:val="clear"/>
        <w:ind w:firstLine="105"/>
        <w:rPr>
          <w:color w:val="auto"/>
          <w:highlight w:val="none"/>
        </w:rPr>
      </w:pPr>
    </w:p>
    <w:p>
      <w:pPr>
        <w:pStyle w:val="31"/>
        <w:shd w:val="clear"/>
        <w:ind w:firstLine="105"/>
        <w:rPr>
          <w:color w:val="auto"/>
          <w:highlight w:val="none"/>
        </w:rPr>
      </w:pPr>
    </w:p>
    <w:p>
      <w:pPr>
        <w:pStyle w:val="31"/>
        <w:shd w:val="clear"/>
        <w:ind w:firstLine="105"/>
        <w:rPr>
          <w:color w:val="auto"/>
          <w:highlight w:val="none"/>
        </w:rPr>
      </w:pPr>
    </w:p>
    <w:p>
      <w:pPr>
        <w:pStyle w:val="31"/>
        <w:shd w:val="clear"/>
        <w:spacing w:line="360" w:lineRule="auto"/>
        <w:ind w:firstLine="105"/>
        <w:rPr>
          <w:color w:val="auto"/>
          <w:highlight w:val="none"/>
        </w:rPr>
      </w:pPr>
    </w:p>
    <w:p>
      <w:pPr>
        <w:pStyle w:val="31"/>
        <w:shd w:val="clear"/>
        <w:spacing w:line="360" w:lineRule="auto"/>
        <w:ind w:firstLine="904" w:firstLineChars="300"/>
        <w:rPr>
          <w:rFonts w:hAnsi="宋体"/>
          <w:b/>
          <w:color w:val="auto"/>
          <w:sz w:val="30"/>
          <w:szCs w:val="30"/>
          <w:highlight w:val="none"/>
        </w:rPr>
      </w:pPr>
      <w:r>
        <w:rPr>
          <w:rFonts w:hint="eastAsia" w:hAnsi="宋体"/>
          <w:b/>
          <w:color w:val="auto"/>
          <w:sz w:val="30"/>
          <w:szCs w:val="30"/>
          <w:highlight w:val="none"/>
        </w:rPr>
        <w:t>项目名称：绿色数据中心节能机房</w:t>
      </w:r>
    </w:p>
    <w:p>
      <w:pPr>
        <w:pStyle w:val="31"/>
        <w:shd w:val="clear"/>
        <w:spacing w:line="360" w:lineRule="auto"/>
        <w:ind w:firstLine="904" w:firstLineChars="300"/>
        <w:rPr>
          <w:rFonts w:hAnsi="宋体"/>
          <w:color w:val="auto"/>
          <w:sz w:val="30"/>
          <w:szCs w:val="30"/>
          <w:highlight w:val="none"/>
        </w:rPr>
      </w:pPr>
      <w:r>
        <w:rPr>
          <w:rFonts w:hint="eastAsia" w:hAnsi="宋体"/>
          <w:b/>
          <w:color w:val="auto"/>
          <w:sz w:val="30"/>
          <w:szCs w:val="30"/>
          <w:highlight w:val="none"/>
        </w:rPr>
        <w:t>项目编号：GXZC2019-G1-25933-JGJD（重）</w:t>
      </w: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ind w:firstLine="105"/>
        <w:rPr>
          <w:rFonts w:hAnsi="宋体"/>
          <w:color w:val="auto"/>
          <w:sz w:val="30"/>
          <w:szCs w:val="30"/>
          <w:highlight w:val="none"/>
        </w:rPr>
      </w:pPr>
    </w:p>
    <w:p>
      <w:pPr>
        <w:pStyle w:val="31"/>
        <w:shd w:val="clear"/>
        <w:spacing w:line="360" w:lineRule="auto"/>
        <w:ind w:firstLine="602" w:firstLineChars="200"/>
        <w:rPr>
          <w:rFonts w:hAnsi="宋体"/>
          <w:b/>
          <w:color w:val="auto"/>
          <w:sz w:val="30"/>
          <w:szCs w:val="30"/>
          <w:highlight w:val="none"/>
        </w:rPr>
      </w:pPr>
      <w:r>
        <w:rPr>
          <w:rFonts w:hint="eastAsia" w:hAnsi="宋体"/>
          <w:b/>
          <w:color w:val="auto"/>
          <w:sz w:val="30"/>
          <w:szCs w:val="30"/>
          <w:highlight w:val="none"/>
        </w:rPr>
        <w:t>采 购  单 位：广西壮族自治区人民政府国有资产监督管理委员会</w:t>
      </w:r>
    </w:p>
    <w:p>
      <w:pPr>
        <w:pStyle w:val="31"/>
        <w:shd w:val="clear"/>
        <w:spacing w:line="360" w:lineRule="auto"/>
        <w:ind w:firstLine="602" w:firstLineChars="200"/>
        <w:rPr>
          <w:rFonts w:hAnsi="宋体"/>
          <w:b/>
          <w:color w:val="auto"/>
          <w:sz w:val="30"/>
          <w:szCs w:val="30"/>
          <w:highlight w:val="none"/>
        </w:rPr>
      </w:pPr>
      <w:r>
        <w:rPr>
          <w:rFonts w:hint="eastAsia" w:hAnsi="宋体"/>
          <w:b/>
          <w:color w:val="auto"/>
          <w:sz w:val="30"/>
          <w:szCs w:val="30"/>
          <w:highlight w:val="none"/>
        </w:rPr>
        <w:t>采购代理机构：广西建设工程机电设备招标中心有限公司</w:t>
      </w:r>
    </w:p>
    <w:p>
      <w:pPr>
        <w:pStyle w:val="31"/>
        <w:shd w:val="clear"/>
        <w:spacing w:line="360" w:lineRule="auto"/>
        <w:rPr>
          <w:rFonts w:hAnsi="宋体"/>
          <w:b/>
          <w:color w:val="auto"/>
          <w:sz w:val="30"/>
          <w:szCs w:val="30"/>
          <w:highlight w:val="none"/>
        </w:rPr>
      </w:pPr>
    </w:p>
    <w:p>
      <w:pPr>
        <w:pStyle w:val="31"/>
        <w:shd w:val="clear"/>
        <w:spacing w:line="360" w:lineRule="auto"/>
        <w:ind w:firstLine="3765" w:firstLineChars="1250"/>
        <w:rPr>
          <w:rFonts w:hAnsi="宋体"/>
          <w:b/>
          <w:color w:val="auto"/>
          <w:sz w:val="30"/>
          <w:szCs w:val="30"/>
          <w:highlight w:val="none"/>
        </w:rPr>
      </w:pPr>
      <w:r>
        <w:rPr>
          <w:rFonts w:hint="eastAsia" w:hAnsi="宋体"/>
          <w:b/>
          <w:color w:val="auto"/>
          <w:sz w:val="30"/>
          <w:szCs w:val="30"/>
          <w:highlight w:val="none"/>
        </w:rPr>
        <w:t xml:space="preserve"> 2019年</w:t>
      </w:r>
      <w:r>
        <w:rPr>
          <w:rFonts w:hint="eastAsia" w:hAnsi="宋体"/>
          <w:b/>
          <w:color w:val="auto"/>
          <w:sz w:val="30"/>
          <w:szCs w:val="30"/>
          <w:highlight w:val="none"/>
          <w:lang w:val="en-US" w:eastAsia="zh-CN"/>
        </w:rPr>
        <w:t>10</w:t>
      </w:r>
      <w:r>
        <w:rPr>
          <w:rFonts w:hint="eastAsia" w:hAnsi="宋体"/>
          <w:b/>
          <w:color w:val="auto"/>
          <w:sz w:val="30"/>
          <w:szCs w:val="30"/>
          <w:highlight w:val="none"/>
        </w:rPr>
        <w:t>月</w:t>
      </w:r>
    </w:p>
    <w:p>
      <w:pPr>
        <w:pStyle w:val="31"/>
        <w:shd w:val="clear"/>
        <w:snapToGrid w:val="0"/>
        <w:rPr>
          <w:rFonts w:hAnsi="宋体"/>
          <w:b/>
          <w:color w:val="auto"/>
          <w:sz w:val="30"/>
          <w:szCs w:val="30"/>
          <w:highlight w:val="none"/>
        </w:rPr>
      </w:pPr>
      <w:r>
        <w:rPr>
          <w:rFonts w:hAnsi="宋体"/>
          <w:b/>
          <w:color w:val="auto"/>
          <w:sz w:val="30"/>
          <w:szCs w:val="30"/>
          <w:highlight w:val="none"/>
        </w:rPr>
        <w:br w:type="page"/>
      </w:r>
    </w:p>
    <w:p>
      <w:pPr>
        <w:pStyle w:val="31"/>
        <w:shd w:val="clear"/>
        <w:snapToGrid w:val="0"/>
        <w:rPr>
          <w:rFonts w:hAnsi="宋体"/>
          <w:b/>
          <w:color w:val="auto"/>
          <w:sz w:val="28"/>
          <w:szCs w:val="28"/>
          <w:highlight w:val="none"/>
        </w:rPr>
      </w:pPr>
    </w:p>
    <w:p>
      <w:pPr>
        <w:pStyle w:val="31"/>
        <w:shd w:val="clear"/>
        <w:snapToGrid w:val="0"/>
        <w:jc w:val="center"/>
        <w:rPr>
          <w:rFonts w:hAnsi="宋体"/>
          <w:b/>
          <w:color w:val="auto"/>
          <w:sz w:val="44"/>
          <w:szCs w:val="44"/>
          <w:highlight w:val="none"/>
        </w:rPr>
      </w:pPr>
      <w:r>
        <w:rPr>
          <w:rFonts w:hint="eastAsia" w:hAnsi="宋体"/>
          <w:b/>
          <w:color w:val="auto"/>
          <w:sz w:val="44"/>
          <w:szCs w:val="44"/>
          <w:highlight w:val="none"/>
        </w:rPr>
        <w:t>目录</w:t>
      </w:r>
    </w:p>
    <w:p>
      <w:pPr>
        <w:pStyle w:val="31"/>
        <w:shd w:val="clear"/>
        <w:snapToGrid w:val="0"/>
        <w:jc w:val="center"/>
        <w:rPr>
          <w:rFonts w:hAnsi="宋体"/>
          <w:b/>
          <w:color w:val="auto"/>
          <w:sz w:val="44"/>
          <w:szCs w:val="44"/>
          <w:highlight w:val="none"/>
        </w:rPr>
      </w:pPr>
    </w:p>
    <w:p>
      <w:pPr>
        <w:pStyle w:val="40"/>
        <w:shd w:val="clear"/>
        <w:ind w:firstLine="238" w:firstLineChars="74"/>
        <w:rPr>
          <w:rFonts w:ascii="Calibri" w:hAnsi="Calibri" w:cs="黑体"/>
          <w:b w:val="0"/>
          <w:bCs w:val="0"/>
          <w:caps w:val="0"/>
          <w:color w:val="auto"/>
          <w:sz w:val="21"/>
          <w:szCs w:val="22"/>
          <w:highlight w:val="none"/>
        </w:rPr>
      </w:pPr>
      <w:r>
        <w:rPr>
          <w:color w:val="auto"/>
          <w:sz w:val="32"/>
          <w:highlight w:val="none"/>
        </w:rPr>
        <w:fldChar w:fldCharType="begin"/>
      </w:r>
      <w:r>
        <w:rPr>
          <w:color w:val="auto"/>
          <w:sz w:val="32"/>
          <w:highlight w:val="none"/>
        </w:rPr>
        <w:instrText xml:space="preserve">TOC \o "1-3" \h \z \u</w:instrText>
      </w:r>
      <w:r>
        <w:rPr>
          <w:color w:val="auto"/>
          <w:sz w:val="32"/>
          <w:highlight w:val="none"/>
        </w:rPr>
        <w:fldChar w:fldCharType="separate"/>
      </w:r>
      <w:r>
        <w:rPr>
          <w:color w:val="auto"/>
          <w:highlight w:val="none"/>
        </w:rPr>
        <w:fldChar w:fldCharType="begin"/>
      </w:r>
      <w:r>
        <w:rPr>
          <w:color w:val="auto"/>
          <w:highlight w:val="none"/>
        </w:rPr>
        <w:instrText xml:space="preserve"> HYPERLINK \l "_Toc496718676" </w:instrText>
      </w:r>
      <w:r>
        <w:rPr>
          <w:color w:val="auto"/>
          <w:highlight w:val="none"/>
        </w:rPr>
        <w:fldChar w:fldCharType="separate"/>
      </w:r>
      <w:r>
        <w:rPr>
          <w:rStyle w:val="68"/>
          <w:rFonts w:hint="eastAsia"/>
          <w:color w:val="auto"/>
          <w:highlight w:val="none"/>
        </w:rPr>
        <w:t>第一章 公开招标采购公告</w:t>
      </w:r>
      <w:r>
        <w:rPr>
          <w:color w:val="auto"/>
          <w:highlight w:val="none"/>
        </w:rPr>
        <w:tab/>
      </w:r>
      <w:r>
        <w:rPr>
          <w:color w:val="auto"/>
          <w:highlight w:val="none"/>
        </w:rPr>
        <w:fldChar w:fldCharType="begin"/>
      </w:r>
      <w:r>
        <w:rPr>
          <w:color w:val="auto"/>
          <w:highlight w:val="none"/>
        </w:rPr>
        <w:instrText xml:space="preserve"> PAGEREF _Toc496718676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40"/>
        <w:shd w:val="clear"/>
        <w:ind w:firstLine="241"/>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"_Toc496718677" </w:instrText>
      </w:r>
      <w:r>
        <w:rPr>
          <w:color w:val="auto"/>
          <w:highlight w:val="none"/>
        </w:rPr>
        <w:fldChar w:fldCharType="separate"/>
      </w:r>
      <w:r>
        <w:rPr>
          <w:rStyle w:val="68"/>
          <w:rFonts w:hint="eastAsia"/>
          <w:color w:val="auto"/>
          <w:highlight w:val="none"/>
        </w:rPr>
        <w:t>第二章 采购需求一览表</w:t>
      </w:r>
      <w:r>
        <w:rPr>
          <w:color w:val="auto"/>
          <w:highlight w:val="none"/>
        </w:rPr>
        <w:tab/>
      </w:r>
      <w:r>
        <w:rPr>
          <w:rFonts w:hint="eastAsia"/>
          <w:color w:val="auto"/>
          <w:highlight w:val="none"/>
        </w:rPr>
        <w:t>5</w:t>
      </w:r>
      <w:r>
        <w:rPr>
          <w:rFonts w:hint="eastAsia"/>
          <w:color w:val="auto"/>
          <w:highlight w:val="none"/>
        </w:rPr>
        <w:fldChar w:fldCharType="end"/>
      </w:r>
    </w:p>
    <w:p>
      <w:pPr>
        <w:pStyle w:val="40"/>
        <w:shd w:val="clear"/>
        <w:ind w:firstLine="241"/>
        <w:rPr>
          <w:rFonts w:hint="eastAsia" w:ascii="Calibri" w:hAnsi="Calibri" w:eastAsia="宋体" w:cs="黑体"/>
          <w:b w:val="0"/>
          <w:bCs w:val="0"/>
          <w:caps w:val="0"/>
          <w:color w:val="auto"/>
          <w:sz w:val="21"/>
          <w:szCs w:val="22"/>
          <w:highlight w:val="none"/>
          <w:lang w:eastAsia="zh-CN"/>
        </w:rPr>
      </w:pPr>
      <w:r>
        <w:rPr>
          <w:color w:val="auto"/>
          <w:highlight w:val="none"/>
        </w:rPr>
        <w:fldChar w:fldCharType="begin"/>
      </w:r>
      <w:r>
        <w:rPr>
          <w:color w:val="auto"/>
          <w:highlight w:val="none"/>
        </w:rPr>
        <w:instrText xml:space="preserve"> HYPERLINK \l "_Toc496718678" </w:instrText>
      </w:r>
      <w:r>
        <w:rPr>
          <w:color w:val="auto"/>
          <w:highlight w:val="none"/>
        </w:rPr>
        <w:fldChar w:fldCharType="separate"/>
      </w:r>
      <w:r>
        <w:rPr>
          <w:rStyle w:val="68"/>
          <w:rFonts w:hint="eastAsia"/>
          <w:color w:val="auto"/>
          <w:highlight w:val="none"/>
        </w:rPr>
        <w:t>第三章 投标人须知</w:t>
      </w:r>
      <w:r>
        <w:rPr>
          <w:color w:val="auto"/>
          <w:highlight w:val="none"/>
        </w:rPr>
        <w:tab/>
      </w:r>
      <w:r>
        <w:rPr>
          <w:rFonts w:hint="eastAsia"/>
          <w:color w:val="auto"/>
          <w:highlight w:val="none"/>
        </w:rPr>
        <w:t>1</w:t>
      </w:r>
      <w:r>
        <w:rPr>
          <w:rFonts w:hint="eastAsia"/>
          <w:color w:val="auto"/>
          <w:highlight w:val="none"/>
        </w:rPr>
        <w:fldChar w:fldCharType="end"/>
      </w:r>
      <w:r>
        <w:rPr>
          <w:rFonts w:hint="eastAsia"/>
          <w:color w:val="auto"/>
          <w:highlight w:val="none"/>
          <w:lang w:val="en-US" w:eastAsia="zh-CN"/>
        </w:rPr>
        <w:t>6</w:t>
      </w:r>
    </w:p>
    <w:p>
      <w:pPr>
        <w:pStyle w:val="40"/>
        <w:shd w:val="clear"/>
        <w:ind w:firstLine="241"/>
        <w:rPr>
          <w:rFonts w:hint="eastAsia" w:ascii="Calibri" w:hAnsi="Calibri" w:eastAsia="宋体" w:cs="黑体"/>
          <w:b w:val="0"/>
          <w:bCs w:val="0"/>
          <w:caps w:val="0"/>
          <w:color w:val="auto"/>
          <w:sz w:val="21"/>
          <w:szCs w:val="22"/>
          <w:highlight w:val="none"/>
          <w:lang w:eastAsia="zh-CN"/>
        </w:rPr>
      </w:pPr>
      <w:r>
        <w:rPr>
          <w:color w:val="auto"/>
          <w:highlight w:val="none"/>
        </w:rPr>
        <w:fldChar w:fldCharType="begin"/>
      </w:r>
      <w:r>
        <w:rPr>
          <w:color w:val="auto"/>
          <w:highlight w:val="none"/>
        </w:rPr>
        <w:instrText xml:space="preserve"> HYPERLINK \l "_Toc496718679" </w:instrText>
      </w:r>
      <w:r>
        <w:rPr>
          <w:color w:val="auto"/>
          <w:highlight w:val="none"/>
        </w:rPr>
        <w:fldChar w:fldCharType="separate"/>
      </w:r>
      <w:r>
        <w:rPr>
          <w:rStyle w:val="68"/>
          <w:rFonts w:hint="eastAsia"/>
          <w:color w:val="auto"/>
          <w:highlight w:val="none"/>
        </w:rPr>
        <w:t>第四章 评标办法及评分标准</w:t>
      </w:r>
      <w:r>
        <w:rPr>
          <w:color w:val="auto"/>
          <w:highlight w:val="none"/>
        </w:rPr>
        <w:tab/>
      </w:r>
      <w:r>
        <w:rPr>
          <w:rFonts w:hint="eastAsia"/>
          <w:color w:val="auto"/>
          <w:highlight w:val="none"/>
        </w:rPr>
        <w:t>2</w:t>
      </w:r>
      <w:r>
        <w:rPr>
          <w:rFonts w:hint="eastAsia"/>
          <w:color w:val="auto"/>
          <w:highlight w:val="none"/>
        </w:rPr>
        <w:fldChar w:fldCharType="end"/>
      </w:r>
      <w:r>
        <w:rPr>
          <w:rFonts w:hint="eastAsia"/>
          <w:color w:val="auto"/>
          <w:highlight w:val="none"/>
          <w:lang w:val="en-US" w:eastAsia="zh-CN"/>
        </w:rPr>
        <w:t>9</w:t>
      </w:r>
    </w:p>
    <w:p>
      <w:pPr>
        <w:pStyle w:val="40"/>
        <w:shd w:val="clear"/>
        <w:ind w:firstLine="241"/>
        <w:rPr>
          <w:rFonts w:ascii="Calibri" w:hAnsi="Calibri" w:cs="黑体"/>
          <w:b w:val="0"/>
          <w:bCs w:val="0"/>
          <w:caps w:val="0"/>
          <w:color w:val="auto"/>
          <w:sz w:val="21"/>
          <w:szCs w:val="22"/>
          <w:highlight w:val="none"/>
        </w:rPr>
      </w:pPr>
      <w:r>
        <w:rPr>
          <w:color w:val="auto"/>
          <w:highlight w:val="none"/>
        </w:rPr>
        <w:fldChar w:fldCharType="begin"/>
      </w:r>
      <w:r>
        <w:rPr>
          <w:color w:val="auto"/>
          <w:highlight w:val="none"/>
        </w:rPr>
        <w:instrText xml:space="preserve"> HYPERLINK \l "_Toc496718680" </w:instrText>
      </w:r>
      <w:r>
        <w:rPr>
          <w:color w:val="auto"/>
          <w:highlight w:val="none"/>
        </w:rPr>
        <w:fldChar w:fldCharType="separate"/>
      </w:r>
      <w:r>
        <w:rPr>
          <w:rStyle w:val="68"/>
          <w:rFonts w:hint="eastAsia"/>
          <w:color w:val="auto"/>
          <w:highlight w:val="none"/>
        </w:rPr>
        <w:t>第五章 合同主要条款格式</w:t>
      </w:r>
      <w:r>
        <w:rPr>
          <w:color w:val="auto"/>
          <w:highlight w:val="none"/>
        </w:rPr>
        <w:tab/>
      </w:r>
      <w:r>
        <w:rPr>
          <w:color w:val="auto"/>
          <w:highlight w:val="none"/>
        </w:rPr>
        <w:fldChar w:fldCharType="begin"/>
      </w:r>
      <w:r>
        <w:rPr>
          <w:color w:val="auto"/>
          <w:highlight w:val="none"/>
        </w:rPr>
        <w:instrText xml:space="preserve"> PAGEREF _Toc496718680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40"/>
        <w:shd w:val="clear"/>
        <w:ind w:firstLine="241"/>
        <w:rPr>
          <w:rFonts w:hint="eastAsia" w:ascii="Calibri" w:hAnsi="Calibri" w:eastAsia="宋体" w:cs="黑体"/>
          <w:b w:val="0"/>
          <w:bCs w:val="0"/>
          <w:caps w:val="0"/>
          <w:color w:val="auto"/>
          <w:sz w:val="21"/>
          <w:szCs w:val="22"/>
          <w:highlight w:val="none"/>
          <w:lang w:eastAsia="zh-CN"/>
        </w:rPr>
      </w:pPr>
      <w:r>
        <w:rPr>
          <w:color w:val="auto"/>
          <w:highlight w:val="none"/>
        </w:rPr>
        <w:fldChar w:fldCharType="begin"/>
      </w:r>
      <w:r>
        <w:rPr>
          <w:color w:val="auto"/>
          <w:highlight w:val="none"/>
        </w:rPr>
        <w:instrText xml:space="preserve"> HYPERLINK \l "_Toc496718681" </w:instrText>
      </w:r>
      <w:r>
        <w:rPr>
          <w:color w:val="auto"/>
          <w:highlight w:val="none"/>
        </w:rPr>
        <w:fldChar w:fldCharType="separate"/>
      </w:r>
      <w:r>
        <w:rPr>
          <w:rStyle w:val="68"/>
          <w:rFonts w:hint="eastAsia"/>
          <w:color w:val="auto"/>
          <w:highlight w:val="none"/>
        </w:rPr>
        <w:t>第六章 投标文件格式</w:t>
      </w:r>
      <w:r>
        <w:rPr>
          <w:color w:val="auto"/>
          <w:highlight w:val="none"/>
        </w:rPr>
        <w:tab/>
      </w:r>
      <w:r>
        <w:rPr>
          <w:rFonts w:hint="eastAsia"/>
          <w:color w:val="auto"/>
          <w:highlight w:val="none"/>
          <w:lang w:val="en-US" w:eastAsia="zh-CN"/>
        </w:rPr>
        <w:t>4</w:t>
      </w:r>
      <w:r>
        <w:rPr>
          <w:rFonts w:hint="eastAsia"/>
          <w:color w:val="auto"/>
          <w:highlight w:val="none"/>
        </w:rPr>
        <w:fldChar w:fldCharType="end"/>
      </w:r>
      <w:r>
        <w:rPr>
          <w:rFonts w:hint="eastAsia"/>
          <w:color w:val="auto"/>
          <w:highlight w:val="none"/>
          <w:lang w:val="en-US" w:eastAsia="zh-CN"/>
        </w:rPr>
        <w:t>0</w:t>
      </w:r>
    </w:p>
    <w:p>
      <w:pPr>
        <w:shd w:val="clear"/>
        <w:rPr>
          <w:color w:val="auto"/>
          <w:highlight w:val="none"/>
        </w:rPr>
      </w:pPr>
      <w:r>
        <w:rPr>
          <w:color w:val="auto"/>
          <w:sz w:val="32"/>
          <w:highlight w:val="none"/>
        </w:rPr>
        <w:fldChar w:fldCharType="end"/>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bookmarkStart w:id="65" w:name="_GoBack"/>
      <w:bookmarkEnd w:id="65"/>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bookmarkStart w:id="0" w:name="_Toc254970489"/>
      <w:bookmarkStart w:id="1" w:name="_Toc254970630"/>
      <w:r>
        <w:rPr>
          <w:color w:val="auto"/>
          <w:highlight w:val="none"/>
        </w:rPr>
        <w:br w:type="page"/>
      </w:r>
    </w:p>
    <w:p>
      <w:pPr>
        <w:shd w:val="clear"/>
        <w:rPr>
          <w:color w:val="auto"/>
          <w:highlight w:val="none"/>
        </w:rPr>
      </w:pPr>
      <w:bookmarkStart w:id="2" w:name="_Toc496718676"/>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31"/>
        <w:shd w:val="clear"/>
        <w:snapToGrid w:val="0"/>
        <w:jc w:val="center"/>
        <w:outlineLvl w:val="0"/>
        <w:rPr>
          <w:rFonts w:hAnsi="宋体"/>
          <w:b/>
          <w:color w:val="auto"/>
          <w:sz w:val="44"/>
          <w:szCs w:val="44"/>
          <w:highlight w:val="none"/>
        </w:rPr>
      </w:pPr>
      <w:r>
        <w:rPr>
          <w:rFonts w:hint="eastAsia" w:hAnsi="宋体"/>
          <w:b/>
          <w:color w:val="auto"/>
          <w:sz w:val="44"/>
          <w:szCs w:val="44"/>
          <w:highlight w:val="none"/>
        </w:rPr>
        <w:t>第一章 公开招标采购公告</w:t>
      </w:r>
      <w:bookmarkEnd w:id="0"/>
      <w:bookmarkEnd w:id="1"/>
      <w:bookmarkEnd w:id="2"/>
    </w:p>
    <w:p>
      <w:pPr>
        <w:pStyle w:val="31"/>
        <w:shd w:val="clear"/>
        <w:spacing w:line="400" w:lineRule="exact"/>
        <w:jc w:val="center"/>
        <w:rPr>
          <w:b/>
          <w:color w:val="auto"/>
          <w:sz w:val="32"/>
          <w:szCs w:val="32"/>
          <w:highlight w:val="none"/>
        </w:rPr>
      </w:pPr>
      <w:r>
        <w:rPr>
          <w:rFonts w:hAnsi="宋体"/>
          <w:color w:val="auto"/>
          <w:highlight w:val="none"/>
        </w:rPr>
        <w:br w:type="page"/>
      </w:r>
      <w:bookmarkStart w:id="3" w:name="OLE_LINK3"/>
      <w:bookmarkStart w:id="4" w:name="OLE_LINK4"/>
      <w:bookmarkStart w:id="5" w:name="OLE_LINK5"/>
      <w:r>
        <w:rPr>
          <w:rFonts w:hint="eastAsia"/>
          <w:b/>
          <w:color w:val="auto"/>
          <w:sz w:val="32"/>
          <w:szCs w:val="32"/>
          <w:highlight w:val="none"/>
        </w:rPr>
        <w:t>广西建设工程机电设备招标中心有限公司</w:t>
      </w:r>
    </w:p>
    <w:p>
      <w:pPr>
        <w:shd w:val="clear"/>
        <w:jc w:val="center"/>
        <w:rPr>
          <w:rFonts w:ascii="宋体" w:hAnsi="Courier New"/>
          <w:b/>
          <w:color w:val="auto"/>
          <w:sz w:val="32"/>
          <w:szCs w:val="32"/>
          <w:highlight w:val="none"/>
        </w:rPr>
      </w:pPr>
      <w:r>
        <w:rPr>
          <w:rFonts w:hint="eastAsia" w:ascii="宋体" w:hAnsi="Courier New"/>
          <w:b/>
          <w:color w:val="auto"/>
          <w:sz w:val="32"/>
          <w:szCs w:val="32"/>
          <w:highlight w:val="none"/>
        </w:rPr>
        <w:t>绿色数据中心节能机房</w:t>
      </w:r>
    </w:p>
    <w:p>
      <w:pPr>
        <w:shd w:val="clear"/>
        <w:jc w:val="center"/>
        <w:rPr>
          <w:rFonts w:ascii="宋体" w:hAnsi="Courier New"/>
          <w:b/>
          <w:color w:val="auto"/>
          <w:sz w:val="32"/>
          <w:szCs w:val="32"/>
          <w:highlight w:val="none"/>
        </w:rPr>
      </w:pPr>
      <w:r>
        <w:rPr>
          <w:rFonts w:hint="eastAsia" w:ascii="宋体" w:hAnsi="Courier New"/>
          <w:b/>
          <w:color w:val="auto"/>
          <w:sz w:val="32"/>
          <w:szCs w:val="32"/>
          <w:highlight w:val="none"/>
        </w:rPr>
        <w:t>【GXZC2019-G1-25933-JGJD（重）】</w:t>
      </w:r>
    </w:p>
    <w:p>
      <w:pPr>
        <w:shd w:val="clear"/>
        <w:jc w:val="center"/>
        <w:rPr>
          <w:rFonts w:ascii="宋体" w:hAnsi="宋体"/>
          <w:b/>
          <w:color w:val="auto"/>
          <w:sz w:val="32"/>
          <w:szCs w:val="32"/>
          <w:highlight w:val="none"/>
        </w:rPr>
      </w:pPr>
      <w:r>
        <w:rPr>
          <w:rFonts w:hint="eastAsia" w:ascii="宋体" w:hAnsi="宋体"/>
          <w:b/>
          <w:color w:val="auto"/>
          <w:sz w:val="32"/>
          <w:szCs w:val="32"/>
          <w:highlight w:val="none"/>
        </w:rPr>
        <w:t>公开招标采购公告</w:t>
      </w:r>
    </w:p>
    <w:p>
      <w:pPr>
        <w:shd w:val="clear"/>
        <w:spacing w:line="420" w:lineRule="exact"/>
        <w:ind w:firstLine="420" w:firstLineChars="200"/>
        <w:rPr>
          <w:rFonts w:ascii="宋体" w:hAnsi="宋体"/>
          <w:color w:val="auto"/>
          <w:szCs w:val="21"/>
          <w:highlight w:val="none"/>
        </w:rPr>
      </w:pPr>
      <w:bookmarkStart w:id="6" w:name="OLE_LINK6"/>
      <w:r>
        <w:rPr>
          <w:rFonts w:hint="eastAsia" w:ascii="宋体" w:hAnsi="宋体"/>
          <w:color w:val="auto"/>
          <w:szCs w:val="21"/>
          <w:highlight w:val="none"/>
        </w:rPr>
        <w:t>根据《中华人民共和国政府采购法》等规定，经财政部门批准的政府采购计划（编号：</w:t>
      </w:r>
      <w:r>
        <w:rPr>
          <w:rFonts w:hint="eastAsia" w:ascii="宋体" w:hAnsi="宋体" w:cs="宋体"/>
          <w:bCs/>
          <w:color w:val="auto"/>
          <w:szCs w:val="21"/>
          <w:highlight w:val="none"/>
        </w:rPr>
        <w:t>201904230026</w:t>
      </w:r>
      <w:r>
        <w:rPr>
          <w:rFonts w:hint="eastAsia" w:ascii="宋体" w:hAnsi="宋体"/>
          <w:color w:val="auto"/>
          <w:szCs w:val="21"/>
          <w:highlight w:val="none"/>
        </w:rPr>
        <w:t>）批准，受广西壮族自治区人民政府国有资产监督管理委员会委托，广西建设工程机电设备招标中心有限公司拟对绿色数据中心节能机房进行国内公开招标采购，欢迎符合条件的供应商前来投标。现将有关事项公告如下：</w:t>
      </w:r>
    </w:p>
    <w:p>
      <w:pPr>
        <w:shd w:val="clear"/>
        <w:spacing w:line="420" w:lineRule="exact"/>
        <w:rPr>
          <w:rFonts w:ascii="宋体" w:hAnsi="宋体"/>
          <w:color w:val="auto"/>
          <w:spacing w:val="-4"/>
          <w:szCs w:val="21"/>
          <w:highlight w:val="none"/>
        </w:rPr>
      </w:pPr>
      <w:r>
        <w:rPr>
          <w:rFonts w:hint="eastAsia" w:ascii="宋体" w:hAnsi="宋体"/>
          <w:b/>
          <w:color w:val="auto"/>
          <w:spacing w:val="-4"/>
          <w:szCs w:val="21"/>
          <w:highlight w:val="none"/>
        </w:rPr>
        <w:t>一、项目名称：</w:t>
      </w:r>
      <w:r>
        <w:rPr>
          <w:rFonts w:hint="eastAsia" w:ascii="宋体" w:hAnsi="宋体"/>
          <w:color w:val="auto"/>
          <w:spacing w:val="-4"/>
          <w:szCs w:val="21"/>
          <w:highlight w:val="none"/>
        </w:rPr>
        <w:t>绿色数据中心节能机房</w:t>
      </w:r>
    </w:p>
    <w:p>
      <w:pPr>
        <w:shd w:val="clear"/>
        <w:spacing w:line="420" w:lineRule="exact"/>
        <w:rPr>
          <w:rFonts w:ascii="宋体" w:hAnsi="宋体"/>
          <w:color w:val="auto"/>
          <w:spacing w:val="-4"/>
          <w:szCs w:val="21"/>
          <w:highlight w:val="none"/>
        </w:rPr>
      </w:pPr>
      <w:r>
        <w:rPr>
          <w:rFonts w:hint="eastAsia" w:ascii="宋体" w:hAnsi="宋体"/>
          <w:b/>
          <w:color w:val="auto"/>
          <w:spacing w:val="-4"/>
          <w:szCs w:val="21"/>
          <w:highlight w:val="none"/>
        </w:rPr>
        <w:t>二、项目编号：</w:t>
      </w:r>
      <w:r>
        <w:rPr>
          <w:rFonts w:hint="eastAsia" w:ascii="宋体" w:hAnsi="宋体"/>
          <w:color w:val="auto"/>
          <w:spacing w:val="-4"/>
          <w:szCs w:val="21"/>
          <w:highlight w:val="none"/>
        </w:rPr>
        <w:t>GXZC2019-G1-25933-JGJD（重）</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三、资金来源：</w:t>
      </w:r>
      <w:r>
        <w:rPr>
          <w:rFonts w:hint="eastAsia" w:ascii="宋体" w:hAnsi="宋体"/>
          <w:color w:val="auto"/>
          <w:spacing w:val="-4"/>
          <w:szCs w:val="21"/>
          <w:highlight w:val="none"/>
        </w:rPr>
        <w:t>财政资金</w:t>
      </w:r>
    </w:p>
    <w:p>
      <w:pPr>
        <w:shd w:val="clear"/>
        <w:spacing w:line="420" w:lineRule="exact"/>
        <w:rPr>
          <w:rFonts w:ascii="宋体" w:hAnsi="宋体"/>
          <w:color w:val="auto"/>
          <w:spacing w:val="-4"/>
          <w:szCs w:val="21"/>
          <w:highlight w:val="none"/>
        </w:rPr>
      </w:pPr>
      <w:r>
        <w:rPr>
          <w:rFonts w:hint="eastAsia" w:ascii="宋体" w:hAnsi="宋体"/>
          <w:b/>
          <w:color w:val="auto"/>
          <w:spacing w:val="-4"/>
          <w:szCs w:val="21"/>
          <w:highlight w:val="none"/>
        </w:rPr>
        <w:t>四、采购方式：</w:t>
      </w:r>
      <w:r>
        <w:rPr>
          <w:rFonts w:hint="eastAsia" w:ascii="宋体" w:hAnsi="宋体"/>
          <w:color w:val="auto"/>
          <w:spacing w:val="-4"/>
          <w:szCs w:val="21"/>
          <w:highlight w:val="none"/>
        </w:rPr>
        <w:t>公开招标</w:t>
      </w:r>
    </w:p>
    <w:p>
      <w:pPr>
        <w:shd w:val="clear"/>
        <w:spacing w:line="420" w:lineRule="exact"/>
        <w:rPr>
          <w:rFonts w:ascii="宋体" w:hAnsi="宋体"/>
          <w:color w:val="auto"/>
          <w:spacing w:val="-4"/>
          <w:szCs w:val="21"/>
          <w:highlight w:val="none"/>
        </w:rPr>
      </w:pPr>
      <w:r>
        <w:rPr>
          <w:rFonts w:hint="eastAsia" w:ascii="宋体" w:hAnsi="宋体"/>
          <w:b/>
          <w:color w:val="auto"/>
          <w:spacing w:val="-4"/>
          <w:szCs w:val="21"/>
          <w:highlight w:val="none"/>
        </w:rPr>
        <w:t>五、采购预算价：</w:t>
      </w:r>
      <w:r>
        <w:rPr>
          <w:rFonts w:hint="eastAsia" w:ascii="宋体" w:hAnsi="宋体"/>
          <w:color w:val="auto"/>
          <w:spacing w:val="-4"/>
          <w:szCs w:val="21"/>
          <w:highlight w:val="none"/>
        </w:rPr>
        <w:t>100万元</w:t>
      </w:r>
    </w:p>
    <w:p>
      <w:pPr>
        <w:shd w:val="clear"/>
        <w:snapToGrid w:val="0"/>
        <w:spacing w:line="360" w:lineRule="exact"/>
        <w:rPr>
          <w:rFonts w:ascii="宋体" w:hAnsi="宋体"/>
          <w:b/>
          <w:color w:val="auto"/>
          <w:spacing w:val="-4"/>
          <w:szCs w:val="21"/>
          <w:highlight w:val="none"/>
        </w:rPr>
      </w:pPr>
      <w:r>
        <w:rPr>
          <w:rFonts w:hint="eastAsia" w:ascii="宋体" w:hAnsi="宋体"/>
          <w:b/>
          <w:color w:val="auto"/>
          <w:spacing w:val="-4"/>
          <w:szCs w:val="21"/>
          <w:highlight w:val="none"/>
        </w:rPr>
        <w:t>六、采购内容：</w:t>
      </w:r>
    </w:p>
    <w:p>
      <w:pPr>
        <w:pStyle w:val="31"/>
        <w:shd w:val="clear"/>
        <w:snapToGrid w:val="0"/>
        <w:spacing w:line="360" w:lineRule="exact"/>
        <w:ind w:firstLine="420" w:firstLineChars="200"/>
        <w:rPr>
          <w:rFonts w:hAnsi="宋体"/>
          <w:b/>
          <w:color w:val="auto"/>
          <w:spacing w:val="-4"/>
          <w:highlight w:val="none"/>
        </w:rPr>
      </w:pPr>
      <w:r>
        <w:rPr>
          <w:rFonts w:hint="eastAsia" w:hAnsi="宋体" w:cs="宋体"/>
          <w:bCs/>
          <w:color w:val="auto"/>
          <w:highlight w:val="none"/>
        </w:rPr>
        <w:t>1、对机房吊顶、墙面装饰材料更换橡塑保温棉；2、更换精密配电柜，重新理顺配电系统线路并添加三级防雷配套管网；更换1台老旧UPS主机，配套增加大容量后备电池，更换直流专用断路器，更换LED节能灯具；3、将现用柜式普通空调更换为2台精密空调，模块化数据中心制冷单元组件，采用风冷列间精密空调，制冷量无极调节，符合数据中心负载特性；4、更换11个32U精密机柜和配套线架、跳线，建立封闭冷池，配套精密空调；5、更换2台核心交换机、10台接入交换机，级联跳线改为光纤传输，重新理顺机房内部多套网络跳线。</w:t>
      </w:r>
      <w:r>
        <w:rPr>
          <w:rFonts w:hint="eastAsia" w:hAnsi="宋体" w:cs="Arial"/>
          <w:color w:val="auto"/>
          <w:highlight w:val="none"/>
        </w:rPr>
        <w:t>如需进一步了解详细内容，详见招标文件。</w:t>
      </w:r>
    </w:p>
    <w:p>
      <w:pPr>
        <w:numPr>
          <w:ilvl w:val="0"/>
          <w:numId w:val="19"/>
        </w:numPr>
        <w:shd w:val="clear"/>
        <w:snapToGrid w:val="0"/>
        <w:spacing w:line="420" w:lineRule="exact"/>
        <w:ind w:left="413" w:hanging="413" w:hangingChars="196"/>
        <w:rPr>
          <w:rFonts w:ascii="宋体" w:hAnsi="宋体" w:cs="Arial"/>
          <w:b/>
          <w:color w:val="auto"/>
          <w:szCs w:val="21"/>
          <w:highlight w:val="none"/>
        </w:rPr>
      </w:pPr>
      <w:r>
        <w:rPr>
          <w:rFonts w:hint="eastAsia" w:ascii="宋体" w:hAnsi="宋体" w:cs="Arial"/>
          <w:b/>
          <w:color w:val="auto"/>
          <w:szCs w:val="21"/>
          <w:highlight w:val="none"/>
        </w:rPr>
        <w:t>本项目需要落实的政府采购政策：</w:t>
      </w:r>
    </w:p>
    <w:p>
      <w:pPr>
        <w:shd w:val="clear"/>
        <w:snapToGrid w:val="0"/>
        <w:spacing w:line="420" w:lineRule="exact"/>
        <w:ind w:left="-412" w:leftChars="-196" w:firstLine="420" w:firstLineChars="200"/>
        <w:rPr>
          <w:rFonts w:ascii="宋体" w:hAnsi="宋体" w:cs="Arial"/>
          <w:color w:val="auto"/>
          <w:szCs w:val="21"/>
          <w:highlight w:val="none"/>
        </w:rPr>
      </w:pPr>
      <w:r>
        <w:rPr>
          <w:rFonts w:hint="eastAsia" w:ascii="宋体" w:hAnsi="宋体" w:cs="Arial"/>
          <w:color w:val="auto"/>
          <w:szCs w:val="21"/>
          <w:highlight w:val="none"/>
        </w:rPr>
        <w:t>《政府采购促进中小企业发展暂行办法》（财库〔2011〕181号）、《关于政府采购支持监狱企业发展有关问题的通知》财库〔2014〕68号、</w:t>
      </w:r>
      <w:r>
        <w:rPr>
          <w:rFonts w:hint="eastAsia" w:ascii="宋体" w:hAnsi="宋体" w:cs="Arial"/>
          <w:color w:val="auto"/>
          <w:szCs w:val="21"/>
          <w:highlight w:val="none"/>
        </w:rPr>
        <w:t>《关于调整优化节能产品、环境标志产品政府采购执行机制的通知》(财库〔2019〕9号)</w:t>
      </w:r>
      <w:r>
        <w:rPr>
          <w:rFonts w:hint="eastAsia" w:ascii="宋体" w:hAnsi="宋体" w:cs="Arial"/>
          <w:color w:val="auto"/>
          <w:szCs w:val="21"/>
          <w:highlight w:val="none"/>
        </w:rPr>
        <w:t>、</w:t>
      </w:r>
      <w:r>
        <w:rPr>
          <w:rFonts w:hint="eastAsia" w:ascii="宋体" w:hAnsi="宋体" w:cs="宋体"/>
          <w:color w:val="auto"/>
          <w:szCs w:val="20"/>
          <w:highlight w:val="none"/>
        </w:rPr>
        <w:t>《关于促进残疾人就业政府采购政策的通知》(财库〔2017〕141号)、《政府采购中查询及使用信用记录有关问题的通知》（财库【2016】125号）</w:t>
      </w:r>
      <w:r>
        <w:rPr>
          <w:rFonts w:hint="eastAsia" w:ascii="宋体" w:hAnsi="宋体" w:cs="Arial"/>
          <w:color w:val="auto"/>
          <w:szCs w:val="21"/>
          <w:highlight w:val="none"/>
        </w:rPr>
        <w:t>。</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八、投标人资格条件：</w:t>
      </w:r>
    </w:p>
    <w:p>
      <w:pPr>
        <w:shd w:val="clear"/>
        <w:snapToGrid w:val="0"/>
        <w:spacing w:line="420" w:lineRule="exact"/>
        <w:ind w:firstLine="472" w:firstLineChars="225"/>
        <w:rPr>
          <w:rFonts w:ascii="宋体" w:hAnsi="宋体" w:cs="Arial"/>
          <w:b/>
          <w:color w:val="auto"/>
          <w:szCs w:val="21"/>
          <w:highlight w:val="none"/>
        </w:rPr>
      </w:pPr>
      <w:r>
        <w:rPr>
          <w:rFonts w:hint="eastAsia" w:ascii="宋体" w:hAnsi="宋体" w:cs="Arial"/>
          <w:color w:val="auto"/>
          <w:szCs w:val="21"/>
          <w:highlight w:val="none"/>
        </w:rPr>
        <w:t>1、符合政府采购法第二十二条规定的投标人资格条件；国内注册（指按国家有关规定要求注册的）生产或经营本次采购货物或服务的供应商；</w:t>
      </w:r>
    </w:p>
    <w:p>
      <w:pPr>
        <w:shd w:val="clear"/>
        <w:snapToGrid w:val="0"/>
        <w:spacing w:line="420" w:lineRule="exact"/>
        <w:ind w:firstLine="422" w:firstLineChars="200"/>
        <w:rPr>
          <w:rFonts w:ascii="宋体" w:hAnsi="宋体" w:cs="Arial"/>
          <w:color w:val="auto"/>
          <w:szCs w:val="21"/>
          <w:highlight w:val="none"/>
        </w:rPr>
      </w:pPr>
      <w:r>
        <w:rPr>
          <w:rFonts w:hint="eastAsia" w:ascii="宋体" w:hAnsi="宋体" w:cs="Arial"/>
          <w:b/>
          <w:color w:val="auto"/>
          <w:szCs w:val="21"/>
          <w:highlight w:val="none"/>
        </w:rPr>
        <w:t>2</w:t>
      </w:r>
      <w:r>
        <w:rPr>
          <w:rFonts w:hint="eastAsia" w:ascii="宋体" w:hAnsi="宋体" w:cs="Arial"/>
          <w:color w:val="auto"/>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hd w:val="clear"/>
        <w:snapToGrid w:val="0"/>
        <w:spacing w:line="42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3、本项目不接受联合体投标。</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九、招标文件的发售：</w:t>
      </w:r>
    </w:p>
    <w:p>
      <w:pPr>
        <w:shd w:val="clear"/>
        <w:spacing w:line="420" w:lineRule="exact"/>
        <w:ind w:left="681" w:leftChars="180" w:hanging="303" w:hangingChars="150"/>
        <w:rPr>
          <w:rFonts w:ascii="宋体" w:hAnsi="宋体"/>
          <w:color w:val="auto"/>
          <w:spacing w:val="-4"/>
          <w:szCs w:val="21"/>
          <w:highlight w:val="none"/>
        </w:rPr>
      </w:pPr>
      <w:r>
        <w:rPr>
          <w:rFonts w:hint="eastAsia" w:ascii="宋体" w:hAnsi="宋体"/>
          <w:color w:val="auto"/>
          <w:spacing w:val="-4"/>
          <w:szCs w:val="21"/>
          <w:highlight w:val="none"/>
        </w:rPr>
        <w:t>1、发售时间：2019年</w:t>
      </w:r>
      <w:r>
        <w:rPr>
          <w:rFonts w:hint="eastAsia" w:ascii="宋体" w:hAnsi="宋体"/>
          <w:color w:val="auto"/>
          <w:spacing w:val="-4"/>
          <w:szCs w:val="21"/>
          <w:highlight w:val="none"/>
          <w:lang w:val="en-US" w:eastAsia="zh-CN"/>
        </w:rPr>
        <w:t>10</w:t>
      </w:r>
      <w:r>
        <w:rPr>
          <w:rFonts w:hint="eastAsia" w:ascii="宋体" w:hAnsi="宋体"/>
          <w:color w:val="auto"/>
          <w:spacing w:val="-4"/>
          <w:szCs w:val="21"/>
          <w:highlight w:val="none"/>
        </w:rPr>
        <w:t>月</w:t>
      </w:r>
      <w:r>
        <w:rPr>
          <w:rFonts w:hint="eastAsia" w:ascii="宋体" w:hAnsi="宋体"/>
          <w:color w:val="auto"/>
          <w:spacing w:val="-4"/>
          <w:szCs w:val="21"/>
          <w:highlight w:val="none"/>
          <w:lang w:val="en-US" w:eastAsia="zh-CN"/>
        </w:rPr>
        <w:t>17</w:t>
      </w:r>
      <w:r>
        <w:rPr>
          <w:rFonts w:hint="eastAsia" w:ascii="宋体" w:hAnsi="宋体"/>
          <w:color w:val="auto"/>
          <w:spacing w:val="-4"/>
          <w:szCs w:val="21"/>
          <w:highlight w:val="none"/>
        </w:rPr>
        <w:t>日至2019年</w:t>
      </w:r>
      <w:r>
        <w:rPr>
          <w:rFonts w:hint="eastAsia" w:ascii="宋体" w:hAnsi="宋体"/>
          <w:color w:val="auto"/>
          <w:spacing w:val="-4"/>
          <w:szCs w:val="21"/>
          <w:highlight w:val="none"/>
          <w:lang w:val="en-US" w:eastAsia="zh-CN"/>
        </w:rPr>
        <w:t>10</w:t>
      </w:r>
      <w:r>
        <w:rPr>
          <w:rFonts w:hint="eastAsia" w:ascii="宋体" w:hAnsi="宋体"/>
          <w:color w:val="auto"/>
          <w:spacing w:val="-4"/>
          <w:szCs w:val="21"/>
          <w:highlight w:val="none"/>
        </w:rPr>
        <w:t>月</w:t>
      </w:r>
      <w:r>
        <w:rPr>
          <w:rFonts w:hint="eastAsia" w:ascii="宋体" w:hAnsi="宋体"/>
          <w:color w:val="auto"/>
          <w:spacing w:val="-4"/>
          <w:szCs w:val="21"/>
          <w:highlight w:val="none"/>
          <w:lang w:val="en-US" w:eastAsia="zh-CN"/>
        </w:rPr>
        <w:t>24</w:t>
      </w:r>
      <w:r>
        <w:rPr>
          <w:rFonts w:hint="eastAsia" w:ascii="宋体" w:hAnsi="宋体"/>
          <w:color w:val="auto"/>
          <w:spacing w:val="-4"/>
          <w:szCs w:val="21"/>
          <w:highlight w:val="none"/>
        </w:rPr>
        <w:t>日正常工作时间（法定公休日、法定节假日除外）；</w:t>
      </w:r>
    </w:p>
    <w:p>
      <w:pPr>
        <w:shd w:val="clear"/>
        <w:spacing w:line="420" w:lineRule="exact"/>
        <w:ind w:firstLine="401" w:firstLineChars="199"/>
        <w:rPr>
          <w:rFonts w:ascii="宋体" w:hAnsi="宋体"/>
          <w:color w:val="auto"/>
          <w:spacing w:val="-4"/>
          <w:szCs w:val="21"/>
          <w:highlight w:val="none"/>
        </w:rPr>
      </w:pPr>
      <w:r>
        <w:rPr>
          <w:rFonts w:hint="eastAsia" w:ascii="宋体" w:hAnsi="宋体"/>
          <w:color w:val="auto"/>
          <w:spacing w:val="-4"/>
          <w:szCs w:val="21"/>
          <w:highlight w:val="none"/>
        </w:rPr>
        <w:t>2、发售地点：广西建设工程机电设备招标中心有限公司3楼301室（广西</w:t>
      </w:r>
      <w:r>
        <w:rPr>
          <w:rFonts w:ascii="宋体" w:hAnsi="宋体"/>
          <w:color w:val="auto"/>
          <w:spacing w:val="-4"/>
          <w:szCs w:val="21"/>
          <w:highlight w:val="none"/>
        </w:rPr>
        <w:t>南宁市纬武路165号</w:t>
      </w:r>
      <w:r>
        <w:rPr>
          <w:rFonts w:hint="eastAsia" w:ascii="宋体" w:hAnsi="宋体"/>
          <w:color w:val="auto"/>
          <w:spacing w:val="-4"/>
          <w:szCs w:val="21"/>
          <w:highlight w:val="none"/>
        </w:rPr>
        <w:t>）；</w:t>
      </w:r>
    </w:p>
    <w:p>
      <w:pPr>
        <w:shd w:val="clear"/>
        <w:spacing w:line="420" w:lineRule="exact"/>
        <w:ind w:firstLine="401" w:firstLineChars="199"/>
        <w:rPr>
          <w:rFonts w:ascii="宋体" w:hAnsi="宋体"/>
          <w:color w:val="auto"/>
          <w:spacing w:val="-4"/>
          <w:szCs w:val="21"/>
          <w:highlight w:val="none"/>
        </w:rPr>
      </w:pPr>
      <w:r>
        <w:rPr>
          <w:rFonts w:hint="eastAsia" w:ascii="宋体" w:hAnsi="宋体"/>
          <w:color w:val="auto"/>
          <w:spacing w:val="-4"/>
          <w:szCs w:val="21"/>
          <w:highlight w:val="none"/>
        </w:rPr>
        <w:t>3、售 价：招标文件工本费每份</w:t>
      </w:r>
      <w:r>
        <w:rPr>
          <w:rFonts w:hint="eastAsia" w:ascii="宋体" w:hAnsi="宋体"/>
          <w:color w:val="auto"/>
          <w:spacing w:val="-4"/>
          <w:szCs w:val="21"/>
          <w:highlight w:val="none"/>
          <w:u w:val="single"/>
        </w:rPr>
        <w:t>300</w:t>
      </w:r>
      <w:r>
        <w:rPr>
          <w:rFonts w:hint="eastAsia" w:ascii="宋体" w:hAnsi="宋体"/>
          <w:color w:val="auto"/>
          <w:spacing w:val="-4"/>
          <w:szCs w:val="21"/>
          <w:highlight w:val="none"/>
        </w:rPr>
        <w:t>元，售后不退。恕不办理邮寄。</w:t>
      </w:r>
    </w:p>
    <w:p>
      <w:pPr>
        <w:shd w:val="clear"/>
        <w:spacing w:line="420" w:lineRule="exact"/>
        <w:ind w:firstLine="401" w:firstLineChars="199"/>
        <w:rPr>
          <w:rFonts w:ascii="宋体" w:hAnsi="宋体"/>
          <w:color w:val="auto"/>
          <w:spacing w:val="-4"/>
          <w:szCs w:val="21"/>
          <w:highlight w:val="none"/>
        </w:rPr>
      </w:pPr>
      <w:r>
        <w:rPr>
          <w:rFonts w:hint="eastAsia" w:ascii="宋体" w:hAnsi="宋体"/>
          <w:color w:val="auto"/>
          <w:spacing w:val="-4"/>
          <w:szCs w:val="21"/>
          <w:highlight w:val="none"/>
        </w:rPr>
        <w:t>4、请有意且符合投标资格条件者，请于2019年</w:t>
      </w:r>
      <w:r>
        <w:rPr>
          <w:rFonts w:hint="eastAsia" w:ascii="宋体" w:hAnsi="宋体"/>
          <w:color w:val="auto"/>
          <w:spacing w:val="-4"/>
          <w:szCs w:val="21"/>
          <w:highlight w:val="none"/>
          <w:lang w:val="en-US" w:eastAsia="zh-CN"/>
        </w:rPr>
        <w:t>10</w:t>
      </w:r>
      <w:r>
        <w:rPr>
          <w:rFonts w:hint="eastAsia" w:ascii="宋体" w:hAnsi="宋体"/>
          <w:color w:val="auto"/>
          <w:spacing w:val="-4"/>
          <w:szCs w:val="21"/>
          <w:highlight w:val="none"/>
        </w:rPr>
        <w:t>月</w:t>
      </w:r>
      <w:r>
        <w:rPr>
          <w:rFonts w:hint="eastAsia" w:ascii="宋体" w:hAnsi="宋体"/>
          <w:color w:val="auto"/>
          <w:spacing w:val="-4"/>
          <w:szCs w:val="21"/>
          <w:highlight w:val="none"/>
          <w:lang w:val="en-US" w:eastAsia="zh-CN"/>
        </w:rPr>
        <w:t>17</w:t>
      </w:r>
      <w:r>
        <w:rPr>
          <w:rFonts w:hint="eastAsia" w:ascii="宋体" w:hAnsi="宋体"/>
          <w:color w:val="auto"/>
          <w:spacing w:val="-4"/>
          <w:szCs w:val="21"/>
          <w:highlight w:val="none"/>
        </w:rPr>
        <w:t>日至2019年</w:t>
      </w:r>
      <w:r>
        <w:rPr>
          <w:rFonts w:hint="eastAsia" w:ascii="宋体" w:hAnsi="宋体"/>
          <w:color w:val="auto"/>
          <w:spacing w:val="-4"/>
          <w:szCs w:val="21"/>
          <w:highlight w:val="none"/>
          <w:lang w:val="en-US" w:eastAsia="zh-CN"/>
        </w:rPr>
        <w:t>10</w:t>
      </w:r>
      <w:r>
        <w:rPr>
          <w:rFonts w:hint="eastAsia" w:ascii="宋体" w:hAnsi="宋体"/>
          <w:color w:val="auto"/>
          <w:spacing w:val="-4"/>
          <w:szCs w:val="21"/>
          <w:highlight w:val="none"/>
        </w:rPr>
        <w:t>月</w:t>
      </w:r>
      <w:r>
        <w:rPr>
          <w:rFonts w:hint="eastAsia" w:ascii="宋体" w:hAnsi="宋体"/>
          <w:color w:val="auto"/>
          <w:spacing w:val="-4"/>
          <w:szCs w:val="21"/>
          <w:highlight w:val="none"/>
          <w:lang w:val="en-US" w:eastAsia="zh-CN"/>
        </w:rPr>
        <w:t>24</w:t>
      </w:r>
      <w:r>
        <w:rPr>
          <w:rFonts w:hint="eastAsia" w:ascii="宋体" w:hAnsi="宋体"/>
          <w:color w:val="auto"/>
          <w:spacing w:val="-4"/>
          <w:szCs w:val="21"/>
          <w:highlight w:val="none"/>
        </w:rPr>
        <w:t>日正常工作时间（法定公休日、法定节假日除外），由法定代表人携带本人有效的身份证正反面复印件、有效的营业执照副本复印件；或者由委托代理人携带本人有效的身份证正反面复印件、有效的授权委托书原件、有效的营业执照副本复印件</w:t>
      </w:r>
      <w:r>
        <w:rPr>
          <w:rFonts w:hint="eastAsia" w:ascii="宋体" w:hAnsi="宋体"/>
          <w:bCs/>
          <w:color w:val="auto"/>
          <w:spacing w:val="-4"/>
          <w:szCs w:val="21"/>
          <w:highlight w:val="none"/>
        </w:rPr>
        <w:t>到广西南宁市纬武路165号301室报名和购买招标文件</w:t>
      </w:r>
      <w:r>
        <w:rPr>
          <w:rFonts w:hint="eastAsia" w:ascii="宋体" w:hAnsi="宋体"/>
          <w:color w:val="auto"/>
          <w:spacing w:val="-4"/>
          <w:szCs w:val="21"/>
          <w:highlight w:val="none"/>
        </w:rPr>
        <w:t>。</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十、投标保证金：</w:t>
      </w:r>
    </w:p>
    <w:p>
      <w:pPr>
        <w:shd w:val="clear"/>
        <w:spacing w:line="420" w:lineRule="exact"/>
        <w:ind w:firstLine="399" w:firstLineChars="202"/>
        <w:rPr>
          <w:rFonts w:ascii="宋体" w:hAnsi="宋体"/>
          <w:color w:val="auto"/>
          <w:spacing w:val="-6"/>
          <w:szCs w:val="21"/>
          <w:highlight w:val="none"/>
        </w:rPr>
      </w:pPr>
      <w:r>
        <w:rPr>
          <w:rFonts w:hint="eastAsia" w:ascii="宋体" w:hAnsi="宋体"/>
          <w:color w:val="auto"/>
          <w:spacing w:val="-6"/>
          <w:szCs w:val="21"/>
          <w:highlight w:val="none"/>
        </w:rPr>
        <w:t>1、投标保证金：人民币壹万元整（¥10000.00）。</w:t>
      </w:r>
    </w:p>
    <w:p>
      <w:pPr>
        <w:shd w:val="clear"/>
        <w:spacing w:line="420" w:lineRule="exact"/>
        <w:ind w:firstLine="404" w:firstLineChars="200"/>
        <w:rPr>
          <w:rFonts w:ascii="宋体" w:hAnsi="宋体"/>
          <w:color w:val="auto"/>
          <w:spacing w:val="-4"/>
          <w:szCs w:val="21"/>
          <w:highlight w:val="none"/>
          <w:u w:val="single"/>
        </w:rPr>
      </w:pPr>
      <w:r>
        <w:rPr>
          <w:rFonts w:hint="eastAsia" w:ascii="宋体" w:hAnsi="宋体"/>
          <w:color w:val="auto"/>
          <w:spacing w:val="-4"/>
          <w:szCs w:val="21"/>
          <w:highlight w:val="none"/>
        </w:rPr>
        <w:t>2、投标人应于投标截止时间前将投标保证金以基本户转账、电汇形式交至</w:t>
      </w:r>
      <w:r>
        <w:rPr>
          <w:rFonts w:hint="eastAsia" w:ascii="宋体" w:hAnsi="宋体"/>
          <w:color w:val="auto"/>
          <w:spacing w:val="-4"/>
          <w:szCs w:val="21"/>
          <w:highlight w:val="none"/>
          <w:u w:val="single"/>
        </w:rPr>
        <w:t>广西建设工程机电设备招标中心有限公司</w:t>
      </w:r>
      <w:r>
        <w:rPr>
          <w:rFonts w:hint="eastAsia" w:ascii="宋体" w:hAnsi="宋体"/>
          <w:color w:val="auto"/>
          <w:spacing w:val="-4"/>
          <w:szCs w:val="21"/>
          <w:highlight w:val="none"/>
        </w:rPr>
        <w:t>账户上。开户银行：</w:t>
      </w:r>
      <w:r>
        <w:rPr>
          <w:rFonts w:hint="eastAsia" w:ascii="宋体" w:hAnsi="宋体"/>
          <w:color w:val="auto"/>
          <w:spacing w:val="-4"/>
          <w:szCs w:val="21"/>
          <w:highlight w:val="none"/>
          <w:u w:val="single"/>
        </w:rPr>
        <w:t>招商银行南宁分行营业部</w:t>
      </w:r>
      <w:r>
        <w:rPr>
          <w:rFonts w:hint="eastAsia" w:ascii="宋体" w:hAnsi="宋体"/>
          <w:color w:val="auto"/>
          <w:spacing w:val="-4"/>
          <w:szCs w:val="21"/>
          <w:highlight w:val="none"/>
        </w:rPr>
        <w:t>，银行账号：</w:t>
      </w:r>
      <w:r>
        <w:rPr>
          <w:rFonts w:ascii="宋体" w:hAnsi="宋体"/>
          <w:color w:val="auto"/>
          <w:spacing w:val="-4"/>
          <w:szCs w:val="21"/>
          <w:highlight w:val="none"/>
          <w:u w:val="single"/>
        </w:rPr>
        <w:t>7719 0142 3310 201</w:t>
      </w:r>
      <w:r>
        <w:rPr>
          <w:rFonts w:hint="eastAsia" w:ascii="宋体" w:hAnsi="宋体"/>
          <w:color w:val="auto"/>
          <w:spacing w:val="-4"/>
          <w:szCs w:val="21"/>
          <w:highlight w:val="none"/>
        </w:rPr>
        <w:t>。</w:t>
      </w:r>
    </w:p>
    <w:p>
      <w:pPr>
        <w:widowControl/>
        <w:shd w:val="clear"/>
        <w:spacing w:line="420" w:lineRule="exact"/>
        <w:jc w:val="left"/>
        <w:rPr>
          <w:rFonts w:ascii="宋体" w:hAnsi="宋体" w:cs="宋体"/>
          <w:color w:val="auto"/>
          <w:kern w:val="0"/>
          <w:szCs w:val="21"/>
          <w:highlight w:val="none"/>
        </w:rPr>
      </w:pPr>
      <w:r>
        <w:rPr>
          <w:rFonts w:hint="eastAsia" w:ascii="宋体" w:hAnsi="宋体"/>
          <w:b/>
          <w:color w:val="auto"/>
          <w:szCs w:val="21"/>
          <w:highlight w:val="none"/>
        </w:rPr>
        <w:t>十一、投标截止时间和地点：</w:t>
      </w:r>
      <w:r>
        <w:rPr>
          <w:rFonts w:hint="eastAsia" w:ascii="宋体" w:hAnsi="宋体"/>
          <w:color w:val="auto"/>
          <w:kern w:val="0"/>
          <w:szCs w:val="21"/>
          <w:highlight w:val="none"/>
        </w:rPr>
        <w:t>投标人应于</w:t>
      </w:r>
      <w:r>
        <w:rPr>
          <w:rFonts w:hint="eastAsia" w:ascii="宋体" w:hAnsi="宋体"/>
          <w:color w:val="auto"/>
          <w:kern w:val="0"/>
          <w:szCs w:val="21"/>
          <w:highlight w:val="none"/>
          <w:u w:val="single"/>
        </w:rPr>
        <w:t>2019年</w:t>
      </w:r>
      <w:r>
        <w:rPr>
          <w:rFonts w:hint="eastAsia" w:ascii="宋体" w:hAnsi="宋体"/>
          <w:color w:val="auto"/>
          <w:kern w:val="0"/>
          <w:szCs w:val="21"/>
          <w:highlight w:val="none"/>
          <w:u w:val="single"/>
          <w:lang w:val="en-US" w:eastAsia="zh-CN"/>
        </w:rPr>
        <w:t>11</w:t>
      </w:r>
      <w:r>
        <w:rPr>
          <w:rFonts w:hint="eastAsia" w:ascii="宋体" w:hAnsi="宋体"/>
          <w:color w:val="auto"/>
          <w:kern w:val="0"/>
          <w:szCs w:val="21"/>
          <w:highlight w:val="none"/>
          <w:u w:val="single"/>
        </w:rPr>
        <w:t>月</w:t>
      </w:r>
      <w:r>
        <w:rPr>
          <w:rFonts w:hint="eastAsia" w:ascii="宋体" w:hAnsi="宋体"/>
          <w:color w:val="auto"/>
          <w:kern w:val="0"/>
          <w:szCs w:val="21"/>
          <w:highlight w:val="none"/>
          <w:u w:val="single"/>
          <w:lang w:val="en-US" w:eastAsia="zh-CN"/>
        </w:rPr>
        <w:t>7</w:t>
      </w:r>
      <w:r>
        <w:rPr>
          <w:rFonts w:hint="eastAsia" w:ascii="宋体" w:hAnsi="宋体"/>
          <w:color w:val="auto"/>
          <w:kern w:val="0"/>
          <w:szCs w:val="21"/>
          <w:highlight w:val="none"/>
          <w:u w:val="single"/>
        </w:rPr>
        <w:t>日14时00分止将投标文件密封送交到广西南宁市青秀区怡宾路6号自治区政务服务中心4楼广西壮族自治区公共资源交易中心开标室（具体开标室根据电子屏幕显示的安排）</w:t>
      </w:r>
      <w:r>
        <w:rPr>
          <w:rFonts w:ascii="宋体" w:hAnsi="宋体"/>
          <w:color w:val="auto"/>
          <w:kern w:val="0"/>
          <w:szCs w:val="21"/>
          <w:highlight w:val="none"/>
        </w:rPr>
        <w:t>，逾期送达或未按要求密封的投标文件将予以拒收或作无效投标文件处理。</w:t>
      </w:r>
    </w:p>
    <w:p>
      <w:pPr>
        <w:shd w:val="clear"/>
        <w:spacing w:line="420" w:lineRule="exact"/>
        <w:rPr>
          <w:rFonts w:ascii="宋体" w:hAnsi="宋体"/>
          <w:color w:val="auto"/>
          <w:spacing w:val="-4"/>
          <w:szCs w:val="21"/>
          <w:highlight w:val="none"/>
        </w:rPr>
      </w:pPr>
      <w:r>
        <w:rPr>
          <w:rFonts w:hint="eastAsia" w:ascii="宋体" w:hAnsi="宋体"/>
          <w:b/>
          <w:color w:val="auto"/>
          <w:spacing w:val="-4"/>
          <w:szCs w:val="21"/>
          <w:highlight w:val="none"/>
        </w:rPr>
        <w:t>十二、开标时间及地点：</w:t>
      </w:r>
      <w:r>
        <w:rPr>
          <w:rFonts w:hint="eastAsia" w:ascii="宋体" w:hAnsi="宋体"/>
          <w:color w:val="auto"/>
          <w:spacing w:val="-4"/>
          <w:szCs w:val="21"/>
          <w:highlight w:val="none"/>
        </w:rPr>
        <w:t>本次招标将于</w:t>
      </w:r>
      <w:r>
        <w:rPr>
          <w:rFonts w:hint="eastAsia" w:ascii="宋体" w:hAnsi="宋体"/>
          <w:color w:val="auto"/>
          <w:kern w:val="0"/>
          <w:szCs w:val="21"/>
          <w:highlight w:val="none"/>
          <w:u w:val="single"/>
        </w:rPr>
        <w:t>2019年</w:t>
      </w:r>
      <w:r>
        <w:rPr>
          <w:rFonts w:hint="eastAsia" w:ascii="宋体" w:hAnsi="宋体"/>
          <w:color w:val="auto"/>
          <w:kern w:val="0"/>
          <w:szCs w:val="21"/>
          <w:highlight w:val="none"/>
          <w:u w:val="single"/>
          <w:lang w:val="en-US" w:eastAsia="zh-CN"/>
        </w:rPr>
        <w:t>11</w:t>
      </w:r>
      <w:r>
        <w:rPr>
          <w:rFonts w:hint="eastAsia" w:ascii="宋体" w:hAnsi="宋体"/>
          <w:color w:val="auto"/>
          <w:kern w:val="0"/>
          <w:szCs w:val="21"/>
          <w:highlight w:val="none"/>
          <w:u w:val="single"/>
        </w:rPr>
        <w:t>月</w:t>
      </w:r>
      <w:r>
        <w:rPr>
          <w:rFonts w:hint="eastAsia" w:ascii="宋体" w:hAnsi="宋体"/>
          <w:color w:val="auto"/>
          <w:kern w:val="0"/>
          <w:szCs w:val="21"/>
          <w:highlight w:val="none"/>
          <w:u w:val="single"/>
          <w:lang w:val="en-US" w:eastAsia="zh-CN"/>
        </w:rPr>
        <w:t>7</w:t>
      </w:r>
      <w:r>
        <w:rPr>
          <w:rFonts w:hint="eastAsia" w:ascii="宋体" w:hAnsi="宋体"/>
          <w:color w:val="auto"/>
          <w:kern w:val="0"/>
          <w:szCs w:val="21"/>
          <w:highlight w:val="none"/>
          <w:u w:val="single"/>
        </w:rPr>
        <w:t>日14时00分</w:t>
      </w:r>
      <w:r>
        <w:rPr>
          <w:rFonts w:hint="eastAsia" w:ascii="宋体" w:hAnsi="宋体"/>
          <w:color w:val="auto"/>
          <w:spacing w:val="-4"/>
          <w:szCs w:val="21"/>
          <w:highlight w:val="none"/>
          <w:u w:val="single"/>
        </w:rPr>
        <w:t>在广西南宁市青秀区怡宾路6号自治区政务服务中心4楼广西壮族自治区公共资源交易中心开标室（具体开标室根据电子屏幕显示的安排）</w:t>
      </w:r>
      <w:r>
        <w:rPr>
          <w:rFonts w:hint="eastAsia" w:ascii="宋体" w:hAnsi="宋体"/>
          <w:color w:val="auto"/>
          <w:spacing w:val="-4"/>
          <w:szCs w:val="21"/>
          <w:highlight w:val="none"/>
        </w:rPr>
        <w:t>开标，参加投标的法定代表人或委托代理人必须持有效证件（法定代表人参加开标会时，需提供法定代表人身份证明原件、本人身份证原件、投标保证金缴纳凭证；委托代理人出席开标会议时，需提供法定代表人授权委托书原件、本人身份证原件、投标保证金缴纳凭证）。</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十三、查询网站：</w:t>
      </w:r>
    </w:p>
    <w:p>
      <w:pPr>
        <w:shd w:val="clear"/>
        <w:spacing w:line="420" w:lineRule="exact"/>
        <w:ind w:firstLine="404" w:firstLineChars="200"/>
        <w:rPr>
          <w:rFonts w:ascii="宋体" w:hAnsi="宋体"/>
          <w:b/>
          <w:color w:val="auto"/>
          <w:spacing w:val="-4"/>
          <w:szCs w:val="21"/>
          <w:highlight w:val="none"/>
        </w:rPr>
      </w:pPr>
      <w:r>
        <w:rPr>
          <w:rFonts w:hint="eastAsia" w:ascii="宋体" w:hAnsi="宋体"/>
          <w:color w:val="auto"/>
          <w:spacing w:val="-4"/>
          <w:szCs w:val="21"/>
          <w:highlight w:val="none"/>
        </w:rPr>
        <w:t>中国政府采购网、广西壮族自治区政府采购网、</w:t>
      </w:r>
      <w:r>
        <w:rPr>
          <w:rFonts w:hint="eastAsia"/>
          <w:color w:val="auto"/>
          <w:spacing w:val="-4"/>
          <w:szCs w:val="21"/>
          <w:highlight w:val="none"/>
        </w:rPr>
        <w:t>广西壮族自治区公共资源交易中心网、广西招标网</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十四、采购代理机构名称、地址和联系方式：</w:t>
      </w:r>
    </w:p>
    <w:p>
      <w:pPr>
        <w:shd w:val="clear"/>
        <w:spacing w:line="420" w:lineRule="exact"/>
        <w:ind w:firstLine="401" w:firstLineChars="199"/>
        <w:rPr>
          <w:rFonts w:ascii="宋体" w:hAnsi="宋体"/>
          <w:color w:val="auto"/>
          <w:spacing w:val="-4"/>
          <w:szCs w:val="21"/>
          <w:highlight w:val="none"/>
        </w:rPr>
      </w:pPr>
      <w:r>
        <w:rPr>
          <w:rFonts w:hint="eastAsia" w:ascii="宋体" w:hAnsi="宋体"/>
          <w:color w:val="auto"/>
          <w:spacing w:val="-4"/>
          <w:szCs w:val="21"/>
          <w:highlight w:val="none"/>
        </w:rPr>
        <w:t>名    称：广西建设工程机电设备招标中心有限公司</w:t>
      </w:r>
    </w:p>
    <w:p>
      <w:pPr>
        <w:shd w:val="clear"/>
        <w:spacing w:line="420" w:lineRule="exact"/>
        <w:ind w:firstLine="401" w:firstLineChars="199"/>
        <w:rPr>
          <w:rFonts w:ascii="宋体" w:hAnsi="宋体"/>
          <w:color w:val="auto"/>
          <w:spacing w:val="-4"/>
          <w:szCs w:val="21"/>
          <w:highlight w:val="none"/>
        </w:rPr>
      </w:pPr>
      <w:r>
        <w:rPr>
          <w:rFonts w:hint="eastAsia" w:ascii="宋体" w:hAnsi="宋体"/>
          <w:color w:val="auto"/>
          <w:spacing w:val="-4"/>
          <w:szCs w:val="21"/>
          <w:highlight w:val="none"/>
        </w:rPr>
        <w:t>地    址：南宁市纬武路165号</w:t>
      </w:r>
    </w:p>
    <w:p>
      <w:pPr>
        <w:shd w:val="clear"/>
        <w:spacing w:line="42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联 系 人：傅荣、韦吉  0771-2804614、2808057</w:t>
      </w:r>
    </w:p>
    <w:p>
      <w:pPr>
        <w:shd w:val="clear"/>
        <w:spacing w:line="420" w:lineRule="exact"/>
        <w:rPr>
          <w:rFonts w:ascii="宋体" w:hAnsi="宋体"/>
          <w:b/>
          <w:color w:val="auto"/>
          <w:spacing w:val="-4"/>
          <w:szCs w:val="21"/>
          <w:highlight w:val="none"/>
        </w:rPr>
      </w:pPr>
      <w:r>
        <w:rPr>
          <w:rFonts w:hint="eastAsia" w:ascii="宋体" w:hAnsi="宋体"/>
          <w:b/>
          <w:color w:val="auto"/>
          <w:spacing w:val="-4"/>
          <w:szCs w:val="21"/>
          <w:highlight w:val="none"/>
        </w:rPr>
        <w:t>十五、采购单位名称、地址和联系方式：</w:t>
      </w:r>
    </w:p>
    <w:p>
      <w:pPr>
        <w:shd w:val="clear"/>
        <w:spacing w:line="420" w:lineRule="exact"/>
        <w:ind w:firstLine="399" w:firstLineChars="198"/>
        <w:rPr>
          <w:rFonts w:ascii="宋体" w:hAnsi="宋体"/>
          <w:color w:val="auto"/>
          <w:spacing w:val="-4"/>
          <w:szCs w:val="21"/>
          <w:highlight w:val="none"/>
        </w:rPr>
      </w:pPr>
      <w:r>
        <w:rPr>
          <w:rFonts w:hint="eastAsia" w:ascii="宋体" w:hAnsi="宋体"/>
          <w:color w:val="auto"/>
          <w:spacing w:val="-4"/>
          <w:szCs w:val="21"/>
          <w:highlight w:val="none"/>
        </w:rPr>
        <w:t>名  称： 广西壮族自治区人民政府国有资产监督管理委员会</w:t>
      </w:r>
    </w:p>
    <w:p>
      <w:pPr>
        <w:shd w:val="clear"/>
        <w:spacing w:line="420" w:lineRule="exact"/>
        <w:ind w:firstLine="399" w:firstLineChars="198"/>
        <w:rPr>
          <w:rFonts w:ascii="宋体" w:hAnsi="宋体"/>
          <w:color w:val="auto"/>
          <w:spacing w:val="-4"/>
          <w:szCs w:val="21"/>
          <w:highlight w:val="none"/>
        </w:rPr>
      </w:pPr>
      <w:r>
        <w:rPr>
          <w:rFonts w:hint="eastAsia" w:ascii="宋体" w:hAnsi="宋体"/>
          <w:color w:val="auto"/>
          <w:spacing w:val="-4"/>
          <w:szCs w:val="21"/>
          <w:highlight w:val="none"/>
        </w:rPr>
        <w:t>地  址： 南宁市桃源路3号</w:t>
      </w:r>
    </w:p>
    <w:p>
      <w:pPr>
        <w:shd w:val="clear"/>
        <w:spacing w:line="420" w:lineRule="exact"/>
        <w:ind w:firstLine="399" w:firstLineChars="198"/>
        <w:rPr>
          <w:rFonts w:ascii="宋体" w:hAnsi="宋体"/>
          <w:color w:val="auto"/>
          <w:spacing w:val="-4"/>
          <w:szCs w:val="21"/>
          <w:highlight w:val="none"/>
        </w:rPr>
      </w:pPr>
      <w:r>
        <w:rPr>
          <w:rFonts w:hint="eastAsia" w:ascii="宋体" w:hAnsi="宋体"/>
          <w:color w:val="auto"/>
          <w:spacing w:val="-4"/>
          <w:szCs w:val="21"/>
          <w:highlight w:val="none"/>
        </w:rPr>
        <w:t>联系人： 郑浩宇 0771-2809238</w:t>
      </w:r>
    </w:p>
    <w:p>
      <w:pPr>
        <w:shd w:val="clear"/>
        <w:spacing w:line="420" w:lineRule="exact"/>
        <w:jc w:val="left"/>
        <w:rPr>
          <w:rFonts w:ascii="宋体" w:hAnsi="宋体" w:cs="宋体"/>
          <w:color w:val="auto"/>
          <w:kern w:val="0"/>
          <w:szCs w:val="21"/>
          <w:highlight w:val="none"/>
        </w:rPr>
      </w:pPr>
      <w:r>
        <w:rPr>
          <w:rFonts w:hint="eastAsia" w:ascii="宋体" w:hAnsi="宋体" w:cs="宋体"/>
          <w:b/>
          <w:color w:val="auto"/>
          <w:kern w:val="0"/>
          <w:szCs w:val="21"/>
          <w:highlight w:val="none"/>
        </w:rPr>
        <w:t>十六、 政府采购行政监管投诉受理部门：</w:t>
      </w:r>
      <w:r>
        <w:rPr>
          <w:rFonts w:hint="eastAsia" w:ascii="宋体" w:hAnsi="宋体" w:cs="宋体"/>
          <w:color w:val="auto"/>
          <w:kern w:val="0"/>
          <w:szCs w:val="21"/>
          <w:highlight w:val="none"/>
        </w:rPr>
        <w:t>广西壮族自治区政府采购监督管理办公室，0771-5331544</w:t>
      </w:r>
    </w:p>
    <w:p>
      <w:pPr>
        <w:shd w:val="clear"/>
        <w:spacing w:line="420" w:lineRule="exact"/>
        <w:rPr>
          <w:rFonts w:ascii="宋体" w:hAnsi="宋体" w:cs="宋体"/>
          <w:color w:val="auto"/>
          <w:szCs w:val="21"/>
          <w:highlight w:val="none"/>
        </w:rPr>
      </w:pPr>
    </w:p>
    <w:p>
      <w:pPr>
        <w:shd w:val="clear"/>
        <w:spacing w:line="420" w:lineRule="exact"/>
        <w:ind w:firstLine="3734" w:firstLineChars="1849"/>
        <w:rPr>
          <w:rFonts w:ascii="宋体" w:hAnsi="宋体"/>
          <w:color w:val="auto"/>
          <w:spacing w:val="-4"/>
          <w:szCs w:val="21"/>
          <w:highlight w:val="none"/>
        </w:rPr>
      </w:pPr>
      <w:r>
        <w:rPr>
          <w:rFonts w:hint="eastAsia" w:ascii="宋体" w:hAnsi="宋体"/>
          <w:color w:val="auto"/>
          <w:spacing w:val="-4"/>
          <w:szCs w:val="21"/>
          <w:highlight w:val="none"/>
        </w:rPr>
        <w:t>采购代理机构：广西建设工程机电设备招标中心有限公司</w:t>
      </w:r>
    </w:p>
    <w:p>
      <w:pPr>
        <w:shd w:val="clear"/>
        <w:spacing w:line="420" w:lineRule="exact"/>
        <w:ind w:right="380" w:firstLine="6180" w:firstLineChars="2943"/>
        <w:rPr>
          <w:rFonts w:ascii="宋体" w:hAnsi="宋体"/>
          <w:color w:val="auto"/>
          <w:szCs w:val="21"/>
          <w:highlight w:val="none"/>
        </w:rPr>
      </w:pPr>
      <w:r>
        <w:rPr>
          <w:rFonts w:hint="eastAsia" w:ascii="宋体" w:hAnsi="宋体"/>
          <w:color w:val="auto"/>
          <w:szCs w:val="21"/>
          <w:highlight w:val="none"/>
        </w:rPr>
        <w:t xml:space="preserve">  2019年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7</w:t>
      </w:r>
      <w:r>
        <w:rPr>
          <w:rFonts w:hint="eastAsia" w:ascii="宋体" w:hAnsi="宋体"/>
          <w:color w:val="auto"/>
          <w:szCs w:val="21"/>
          <w:highlight w:val="none"/>
        </w:rPr>
        <w:t>日</w:t>
      </w:r>
      <w:bookmarkEnd w:id="3"/>
      <w:bookmarkEnd w:id="4"/>
      <w:bookmarkEnd w:id="5"/>
      <w:bookmarkEnd w:id="6"/>
    </w:p>
    <w:p>
      <w:pPr>
        <w:shd w:val="clear"/>
        <w:spacing w:line="480" w:lineRule="auto"/>
        <w:rPr>
          <w:rFonts w:hAnsi="宋体" w:cs="宋体"/>
          <w:color w:val="auto"/>
          <w:szCs w:val="21"/>
          <w:highlight w:val="none"/>
        </w:rPr>
      </w:pPr>
    </w:p>
    <w:p>
      <w:pPr>
        <w:shd w:val="clear"/>
        <w:rPr>
          <w:color w:val="auto"/>
          <w:highlight w:val="none"/>
        </w:rPr>
      </w:pPr>
      <w:bookmarkStart w:id="7" w:name="_Toc496718677"/>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31"/>
        <w:shd w:val="clear"/>
        <w:snapToGrid w:val="0"/>
        <w:jc w:val="center"/>
        <w:outlineLvl w:val="0"/>
        <w:rPr>
          <w:rFonts w:hAnsi="宋体"/>
          <w:b/>
          <w:color w:val="auto"/>
          <w:sz w:val="44"/>
          <w:szCs w:val="44"/>
          <w:highlight w:val="none"/>
        </w:rPr>
      </w:pPr>
      <w:r>
        <w:rPr>
          <w:rFonts w:hint="eastAsia" w:hAnsi="宋体"/>
          <w:b/>
          <w:color w:val="auto"/>
          <w:sz w:val="44"/>
          <w:szCs w:val="44"/>
          <w:highlight w:val="none"/>
        </w:rPr>
        <w:t>第二章 采购需求一览表</w:t>
      </w:r>
      <w:bookmarkEnd w:id="7"/>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rPr>
          <w:rFonts w:ascii="宋体"/>
          <w:b/>
          <w:color w:val="auto"/>
          <w:sz w:val="32"/>
          <w:szCs w:val="32"/>
          <w:highlight w:val="none"/>
        </w:rPr>
      </w:pPr>
    </w:p>
    <w:p>
      <w:pPr>
        <w:shd w:val="clear"/>
        <w:spacing w:line="400" w:lineRule="exact"/>
        <w:ind w:firstLine="3072" w:firstLineChars="850"/>
        <w:rPr>
          <w:rFonts w:hAnsi="宋体"/>
          <w:b/>
          <w:color w:val="auto"/>
          <w:sz w:val="36"/>
          <w:szCs w:val="36"/>
          <w:highlight w:val="none"/>
        </w:rPr>
      </w:pPr>
    </w:p>
    <w:p>
      <w:pPr>
        <w:shd w:val="clear"/>
        <w:spacing w:line="400" w:lineRule="exact"/>
        <w:ind w:firstLine="3072" w:firstLineChars="850"/>
        <w:rPr>
          <w:rFonts w:hAnsi="宋体"/>
          <w:b/>
          <w:color w:val="auto"/>
          <w:sz w:val="36"/>
          <w:szCs w:val="36"/>
          <w:highlight w:val="none"/>
        </w:rPr>
      </w:pPr>
      <w:r>
        <w:rPr>
          <w:rFonts w:hint="eastAsia" w:hAnsi="宋体"/>
          <w:b/>
          <w:color w:val="auto"/>
          <w:sz w:val="36"/>
          <w:szCs w:val="36"/>
          <w:highlight w:val="none"/>
        </w:rPr>
        <w:t>《采购需求一览表》</w:t>
      </w:r>
    </w:p>
    <w:p>
      <w:pPr>
        <w:shd w:val="clear"/>
        <w:spacing w:line="400" w:lineRule="exact"/>
        <w:ind w:firstLine="431"/>
        <w:rPr>
          <w:rFonts w:ascii="宋体"/>
          <w:b/>
          <w:bCs/>
          <w:color w:val="auto"/>
          <w:szCs w:val="21"/>
          <w:highlight w:val="none"/>
        </w:rPr>
      </w:pPr>
      <w:r>
        <w:rPr>
          <w:rFonts w:hint="eastAsia" w:ascii="宋体" w:hAnsi="宋体"/>
          <w:b/>
          <w:bCs/>
          <w:color w:val="auto"/>
          <w:szCs w:val="21"/>
          <w:highlight w:val="none"/>
        </w:rPr>
        <w:t>说明：</w:t>
      </w:r>
    </w:p>
    <w:p>
      <w:pPr>
        <w:shd w:val="clear"/>
        <w:spacing w:line="360" w:lineRule="exact"/>
        <w:ind w:left="6" w:firstLine="431"/>
        <w:rPr>
          <w:rFonts w:ascii="宋体" w:hAnsi="宋体"/>
          <w:b/>
          <w:bCs/>
          <w:color w:val="auto"/>
          <w:szCs w:val="21"/>
          <w:highlight w:val="none"/>
        </w:rPr>
      </w:pPr>
      <w:r>
        <w:rPr>
          <w:rFonts w:hint="eastAsia" w:ascii="宋体" w:hAnsi="宋体"/>
          <w:b/>
          <w:bCs/>
          <w:color w:val="auto"/>
          <w:szCs w:val="21"/>
          <w:highlight w:val="none"/>
        </w:rPr>
        <w:t>1、本需求的货物品牌型号、技术参数及其性能（配置）仅起参考作用，投标人可选用其他品牌型号替代，但这些替代的产品要实质上相当于或优于参考品牌型号及其技术参数性能（配置）要求。</w:t>
      </w:r>
    </w:p>
    <w:p>
      <w:pPr>
        <w:shd w:val="clear"/>
        <w:spacing w:line="360" w:lineRule="exact"/>
        <w:ind w:left="6" w:firstLine="431"/>
        <w:rPr>
          <w:rFonts w:ascii="宋体" w:hAnsi="宋体"/>
          <w:b/>
          <w:bCs/>
          <w:color w:val="auto"/>
          <w:szCs w:val="21"/>
          <w:highlight w:val="none"/>
        </w:rPr>
      </w:pPr>
      <w:r>
        <w:rPr>
          <w:rFonts w:hint="eastAsia" w:ascii="宋体" w:hAnsi="宋体"/>
          <w:b/>
          <w:bCs/>
          <w:color w:val="auto"/>
          <w:szCs w:val="21"/>
          <w:highlight w:val="none"/>
        </w:rPr>
        <w:t>2、本需求中参考品牌型号规格及技术参数不明确或有误的，或投标人选用其他品牌型号替代的，请以详细、正确的品牌型号、技术参数（配置）同时填写投标报价明细表和商务、技术响应偏离表。技术响应偏离表须按技术参数及配置要求一一对应响应。</w:t>
      </w:r>
    </w:p>
    <w:p>
      <w:pPr>
        <w:shd w:val="clear"/>
        <w:spacing w:line="360" w:lineRule="exact"/>
        <w:ind w:left="6" w:firstLine="431"/>
        <w:rPr>
          <w:rFonts w:ascii="宋体" w:hAnsi="宋体"/>
          <w:b/>
          <w:bCs/>
          <w:color w:val="auto"/>
          <w:szCs w:val="21"/>
          <w:highlight w:val="none"/>
        </w:rPr>
      </w:pPr>
      <w:r>
        <w:rPr>
          <w:rFonts w:hint="eastAsia" w:ascii="宋体" w:hAnsi="宋体"/>
          <w:b/>
          <w:bCs/>
          <w:color w:val="auto"/>
          <w:szCs w:val="21"/>
          <w:highlight w:val="none"/>
        </w:rPr>
        <w:t>3、凡在“技术参数及性能（配置）要求”中表述为“标配”或“标准配置”的设备，投标人应在投标报价明细表中将其标配参数详细列明。</w:t>
      </w:r>
    </w:p>
    <w:p>
      <w:pPr>
        <w:shd w:val="clear"/>
        <w:ind w:firstLine="422" w:firstLineChars="200"/>
        <w:rPr>
          <w:rFonts w:ascii="宋体" w:hAnsi="宋体"/>
          <w:b/>
          <w:bCs/>
          <w:color w:val="auto"/>
          <w:kern w:val="0"/>
          <w:szCs w:val="21"/>
          <w:highlight w:val="none"/>
        </w:rPr>
      </w:pPr>
      <w:r>
        <w:rPr>
          <w:rFonts w:ascii="宋体" w:hAnsi="宋体"/>
          <w:b/>
          <w:bCs/>
          <w:color w:val="auto"/>
          <w:szCs w:val="21"/>
          <w:highlight w:val="none"/>
        </w:rPr>
        <w:t>4、</w:t>
      </w:r>
      <w:r>
        <w:rPr>
          <w:rFonts w:hint="eastAsia" w:ascii="宋体" w:hAnsi="宋体"/>
          <w:b/>
          <w:bCs/>
          <w:color w:val="auto"/>
          <w:kern w:val="0"/>
          <w:szCs w:val="21"/>
          <w:highlight w:val="none"/>
        </w:rPr>
        <w:t>本一览表技术参数及性能（配置）要求中标明星号“</w:t>
      </w:r>
      <w:r>
        <w:rPr>
          <w:rFonts w:hint="eastAsia" w:ascii="宋体" w:hAnsi="宋体"/>
          <w:color w:val="auto"/>
          <w:szCs w:val="21"/>
          <w:highlight w:val="none"/>
        </w:rPr>
        <w:t>★</w:t>
      </w:r>
      <w:r>
        <w:rPr>
          <w:rFonts w:hint="eastAsia" w:ascii="宋体" w:hAnsi="宋体"/>
          <w:b/>
          <w:bCs/>
          <w:color w:val="auto"/>
          <w:kern w:val="0"/>
          <w:szCs w:val="21"/>
          <w:highlight w:val="none"/>
        </w:rPr>
        <w:t>”的参数为必须响应的实质性要求，未标明星号的参数仅为参考要求。星号参数仅限于</w:t>
      </w:r>
      <w:r>
        <w:rPr>
          <w:rFonts w:hint="eastAsia" w:ascii="宋体" w:hAnsi="宋体" w:cs="宋体"/>
          <w:b/>
          <w:color w:val="auto"/>
          <w:highlight w:val="none"/>
        </w:rPr>
        <w:t>技术参数及性能（配置）要求</w:t>
      </w:r>
      <w:r>
        <w:rPr>
          <w:rFonts w:hint="eastAsia" w:ascii="宋体" w:hAnsi="宋体"/>
          <w:b/>
          <w:bCs/>
          <w:color w:val="auto"/>
          <w:kern w:val="0"/>
          <w:szCs w:val="21"/>
          <w:highlight w:val="none"/>
        </w:rPr>
        <w:t>，本一览表中的其他内容要求必须响应。</w:t>
      </w:r>
    </w:p>
    <w:p>
      <w:pPr>
        <w:shd w:val="clear"/>
        <w:ind w:firstLine="422" w:firstLineChars="200"/>
        <w:rPr>
          <w:rFonts w:ascii="宋体" w:hAnsi="宋体"/>
          <w:b/>
          <w:bCs/>
          <w:color w:val="auto"/>
          <w:kern w:val="0"/>
          <w:szCs w:val="21"/>
          <w:highlight w:val="none"/>
        </w:rPr>
      </w:pPr>
      <w:r>
        <w:rPr>
          <w:rFonts w:hint="eastAsia" w:ascii="宋体" w:hAnsi="宋体"/>
          <w:b/>
          <w:bCs/>
          <w:color w:val="auto"/>
          <w:szCs w:val="21"/>
          <w:highlight w:val="none"/>
        </w:rPr>
        <w:t>5、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投标人的投标货物中包含以上的必须使用政府强制采购的节能产品(必须在有效期内)，在投标文件中必须提供节能产品认证证书，否则相应投标无效。</w:t>
      </w:r>
    </w:p>
    <w:p>
      <w:pPr>
        <w:shd w:val="clear"/>
        <w:ind w:firstLine="422" w:firstLineChars="200"/>
        <w:rPr>
          <w:rFonts w:ascii="宋体" w:hAnsi="宋体"/>
          <w:b/>
          <w:bCs/>
          <w:color w:val="auto"/>
          <w:kern w:val="0"/>
          <w:szCs w:val="21"/>
          <w:highlight w:val="none"/>
        </w:rPr>
      </w:pPr>
      <w:r>
        <w:rPr>
          <w:rFonts w:hint="eastAsia" w:ascii="宋体" w:hAnsi="宋体"/>
          <w:b/>
          <w:bCs/>
          <w:color w:val="auto"/>
          <w:kern w:val="0"/>
          <w:szCs w:val="21"/>
          <w:highlight w:val="none"/>
        </w:rPr>
        <w:t>6、本项目核心产品为：封闭冷池</w:t>
      </w:r>
    </w:p>
    <w:tbl>
      <w:tblPr>
        <w:tblStyle w:val="74"/>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55"/>
        <w:gridCol w:w="1272"/>
        <w:gridCol w:w="844"/>
        <w:gridCol w:w="1369"/>
        <w:gridCol w:w="5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ind w:left="-107" w:leftChars="-51" w:right="-113" w:rightChars="-54"/>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项号</w:t>
            </w:r>
          </w:p>
        </w:tc>
        <w:tc>
          <w:tcPr>
            <w:tcW w:w="1272" w:type="dxa"/>
            <w:shd w:val="clear" w:color="auto" w:fill="auto"/>
            <w:vAlign w:val="center"/>
          </w:tcPr>
          <w:p>
            <w:pPr>
              <w:widowControl/>
              <w:shd w:val="clea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货物名称</w:t>
            </w:r>
          </w:p>
        </w:tc>
        <w:tc>
          <w:tcPr>
            <w:tcW w:w="844" w:type="dxa"/>
            <w:shd w:val="clear" w:color="auto" w:fill="auto"/>
            <w:vAlign w:val="center"/>
          </w:tcPr>
          <w:p>
            <w:pPr>
              <w:widowControl/>
              <w:shd w:val="clea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数量</w:t>
            </w:r>
          </w:p>
        </w:tc>
        <w:tc>
          <w:tcPr>
            <w:tcW w:w="1369" w:type="dxa"/>
            <w:shd w:val="clear" w:color="auto" w:fill="auto"/>
            <w:vAlign w:val="center"/>
          </w:tcPr>
          <w:p>
            <w:pPr>
              <w:widowControl/>
              <w:shd w:val="clea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参考品牌、型号</w:t>
            </w:r>
          </w:p>
        </w:tc>
        <w:tc>
          <w:tcPr>
            <w:tcW w:w="5808" w:type="dxa"/>
            <w:shd w:val="clear" w:color="auto" w:fill="auto"/>
            <w:vAlign w:val="center"/>
          </w:tcPr>
          <w:p>
            <w:pPr>
              <w:widowControl/>
              <w:shd w:val="clear"/>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一、装修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吸盘</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穹明、波盾、汉顿</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1、吸盘直径≥120mm；</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2、单爪水平吸力≥45KG；</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3、单爪垂直吸力≥30KG；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灯盘</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三雄、雷士、飞利浦</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1、规格：600*600；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2、优质LED芯片、先进制造工艺确保整灯光效达到80Lm/W，比传统T8系统节能50%。</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3、功率≤32W。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橡塑保温棉</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130㎡</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亿角、农膜、月娥</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1、厚度≥20mm；</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2、采用阻燃橡塑。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辅材</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国产</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1、对地面进行防尘处理；</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2、包含橡塑保温棉粘合剂。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二、机柜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服务器机柜</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11台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1、服务器机柜与网络机柜尺寸均为W×D×H=600mm×1100mm×2000mm.</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2、机柜符合IEC 60297-2，EIA RS-310-D标准，兼容19”国际标准,42U空间。</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3、密闭通道的宽度为1.2m,采用机柜进风侧通道密闭的方式。</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4、机柜板材需采用高强度A级优质碳素冷轧钢板和镀锌板，</w:t>
            </w:r>
            <w:r>
              <w:rPr>
                <w:rFonts w:hint="eastAsia" w:ascii="宋体" w:hAnsi="宋体" w:cs="宋体"/>
                <w:color w:val="auto"/>
                <w:sz w:val="22"/>
                <w:highlight w:val="none"/>
              </w:rPr>
              <w:t>型材焊接框架结构，机柜前门板的开孔率≥70%，</w:t>
            </w:r>
            <w:r>
              <w:rPr>
                <w:rFonts w:hint="eastAsia"/>
                <w:color w:val="auto"/>
                <w:highlight w:val="none"/>
              </w:rPr>
              <w:t>网孔门门板平整度</w:t>
            </w:r>
            <w:r>
              <w:rPr>
                <w:rFonts w:hint="eastAsia" w:ascii="宋体" w:hAnsi="宋体"/>
                <w:color w:val="auto"/>
                <w:highlight w:val="none"/>
              </w:rPr>
              <w:t>≤3mm,门板网孔</w:t>
            </w:r>
            <w:r>
              <w:rPr>
                <w:rFonts w:hint="eastAsia"/>
                <w:color w:val="auto"/>
                <w:highlight w:val="none"/>
              </w:rPr>
              <w:t>开孔均匀</w:t>
            </w:r>
            <w:r>
              <w:rPr>
                <w:rFonts w:hint="eastAsia" w:ascii="宋体" w:hAnsi="宋体" w:cs="宋体"/>
                <w:color w:val="auto"/>
                <w:kern w:val="0"/>
                <w:szCs w:val="21"/>
                <w:highlight w:val="none"/>
              </w:rPr>
              <w:t>；单独支持8KW设备高密安装。</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5、机柜表面颜色为黑色；静电喷塑表面附着力需满足GB/T9286-98标准二级或二级以上；硬度需满足GB/T6739-96标准2H或2H以上；耐冲击性符合GB/T1732-93；涂层厚度符合GB/T1768，不低于60μm；表面电镀处理符合GB/T 2423.17-1993，外观不可见锈斑。</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6、外形尺寸偏差应符合JB/T6753.5-93所规定的A级要求，机柜应方正、不歪斜，机柜六面互相垂直。</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7、机柜所有部件需可靠接地，确保操作安全，满足IEC60950-1-2005。</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★8、承重：静态负载</w:t>
            </w:r>
            <w:r>
              <w:rPr>
                <w:rFonts w:hint="eastAsia" w:ascii="宋体" w:hAnsi="宋体" w:cs="宋体"/>
                <w:color w:val="auto"/>
                <w:sz w:val="22"/>
                <w:highlight w:val="none"/>
              </w:rPr>
              <w:t>≥</w:t>
            </w:r>
            <w:r>
              <w:rPr>
                <w:rFonts w:hint="eastAsia" w:ascii="宋体" w:hAnsi="宋体" w:cs="宋体"/>
                <w:color w:val="auto"/>
                <w:kern w:val="0"/>
                <w:szCs w:val="21"/>
                <w:highlight w:val="none"/>
              </w:rPr>
              <w:t>1500kg；</w:t>
            </w:r>
            <w:r>
              <w:rPr>
                <w:rFonts w:hint="eastAsia" w:ascii="宋体" w:hAnsi="宋体" w:cs="宋体"/>
                <w:b/>
                <w:color w:val="auto"/>
                <w:kern w:val="0"/>
                <w:szCs w:val="21"/>
                <w:highlight w:val="none"/>
              </w:rPr>
              <w:t>动态负载</w:t>
            </w:r>
            <w:r>
              <w:rPr>
                <w:rFonts w:hint="eastAsia" w:ascii="宋体" w:hAnsi="宋体" w:cs="宋体"/>
                <w:b/>
                <w:color w:val="auto"/>
                <w:sz w:val="22"/>
                <w:highlight w:val="none"/>
              </w:rPr>
              <w:t>≥</w:t>
            </w:r>
            <w:r>
              <w:rPr>
                <w:rFonts w:hint="eastAsia" w:ascii="宋体" w:hAnsi="宋体" w:cs="宋体"/>
                <w:b/>
                <w:color w:val="auto"/>
                <w:kern w:val="0"/>
                <w:szCs w:val="21"/>
                <w:highlight w:val="none"/>
              </w:rPr>
              <w:t>1000kg;</w:t>
            </w:r>
            <w:r>
              <w:rPr>
                <w:rFonts w:hint="eastAsia" w:ascii="宋体" w:hAnsi="宋体" w:cs="宋体"/>
                <w:color w:val="auto"/>
                <w:sz w:val="22"/>
                <w:highlight w:val="none"/>
              </w:rPr>
              <w:t>抗震等级≥8</w:t>
            </w:r>
            <w:r>
              <w:rPr>
                <w:rFonts w:ascii="宋体" w:hAnsi="宋体" w:cs="宋体"/>
                <w:color w:val="auto"/>
                <w:sz w:val="22"/>
                <w:highlight w:val="none"/>
              </w:rPr>
              <w:t>级</w:t>
            </w:r>
            <w:r>
              <w:rPr>
                <w:rFonts w:hint="eastAsia" w:ascii="宋体" w:hAnsi="宋体" w:cs="宋体"/>
                <w:color w:val="auto"/>
                <w:kern w:val="0"/>
                <w:szCs w:val="21"/>
                <w:highlight w:val="none"/>
              </w:rPr>
              <w:t>。（提供</w:t>
            </w:r>
            <w:r>
              <w:rPr>
                <w:rFonts w:ascii="宋体" w:hAnsi="宋体" w:cs="宋体"/>
                <w:color w:val="auto"/>
                <w:sz w:val="22"/>
                <w:highlight w:val="none"/>
              </w:rPr>
              <w:t>同系列机柜</w:t>
            </w:r>
            <w:r>
              <w:rPr>
                <w:rFonts w:hint="eastAsia" w:ascii="宋体" w:hAnsi="宋体" w:cs="宋体"/>
                <w:color w:val="auto"/>
                <w:sz w:val="22"/>
                <w:highlight w:val="none"/>
              </w:rPr>
              <w:t>权威</w:t>
            </w:r>
            <w:r>
              <w:rPr>
                <w:rFonts w:ascii="宋体" w:hAnsi="宋体" w:cs="宋体"/>
                <w:color w:val="auto"/>
                <w:sz w:val="22"/>
                <w:highlight w:val="none"/>
              </w:rPr>
              <w:t>第三方检测报告</w:t>
            </w:r>
            <w:r>
              <w:rPr>
                <w:rFonts w:hint="eastAsia" w:ascii="宋体" w:hAnsi="宋体" w:cs="宋体"/>
                <w:color w:val="auto"/>
                <w:sz w:val="22"/>
                <w:highlight w:val="none"/>
              </w:rPr>
              <w:t>）</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★9、为了做到冷通道列间空调尺寸的一致性运行稳定性，和各设备无缝兼容一站式快速维护UPS、精密空调、精密配柜、一体化机柜、智能监控包系统为同一品牌。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机柜侧板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1100mm*2000mm。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层板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适配19英寸机柜，承重50kg。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L型托架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22对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适配19英寸机柜，承重50kg，深度可调。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5</w:t>
            </w:r>
          </w:p>
        </w:tc>
        <w:tc>
          <w:tcPr>
            <w:tcW w:w="1272" w:type="dxa"/>
            <w:shd w:val="clear" w:color="auto" w:fill="auto"/>
            <w:vAlign w:val="center"/>
          </w:tcPr>
          <w:p>
            <w:pPr>
              <w:widowControl/>
              <w:shd w:val="clear"/>
              <w:jc w:val="left"/>
              <w:rPr>
                <w:rFonts w:ascii="宋体" w:hAnsi="宋体" w:cs="宋体"/>
                <w:bCs/>
                <w:color w:val="auto"/>
                <w:kern w:val="0"/>
                <w:szCs w:val="21"/>
                <w:highlight w:val="none"/>
              </w:rPr>
            </w:pPr>
            <w:r>
              <w:rPr>
                <w:rFonts w:hint="eastAsia" w:ascii="宋体" w:hAnsi="宋体" w:cs="宋体"/>
                <w:bCs/>
                <w:color w:val="auto"/>
                <w:kern w:val="0"/>
                <w:szCs w:val="21"/>
                <w:highlight w:val="none"/>
              </w:rPr>
              <w:t>盲板</w:t>
            </w:r>
          </w:p>
        </w:tc>
        <w:tc>
          <w:tcPr>
            <w:tcW w:w="844" w:type="dxa"/>
            <w:shd w:val="clear" w:color="auto" w:fill="auto"/>
            <w:vAlign w:val="center"/>
          </w:tcPr>
          <w:p>
            <w:pPr>
              <w:widowControl/>
              <w:shd w:val="clear"/>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251个</w:t>
            </w:r>
          </w:p>
        </w:tc>
        <w:tc>
          <w:tcPr>
            <w:tcW w:w="1369" w:type="dxa"/>
            <w:shd w:val="clear" w:color="auto" w:fill="auto"/>
            <w:vAlign w:val="center"/>
          </w:tcPr>
          <w:p>
            <w:pPr>
              <w:widowControl/>
              <w:shd w:val="clear"/>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艾默生、施耐德、艾特网能、易事特</w:t>
            </w:r>
            <w:r>
              <w:rPr>
                <w:rFonts w:hint="eastAsia" w:ascii="宋体" w:hAnsi="宋体" w:cs="宋体"/>
                <w:color w:val="auto"/>
                <w:kern w:val="0"/>
                <w:szCs w:val="21"/>
                <w:highlight w:val="none"/>
              </w:rPr>
              <w:t>、华为</w:t>
            </w:r>
          </w:p>
        </w:tc>
        <w:tc>
          <w:tcPr>
            <w:tcW w:w="5808" w:type="dxa"/>
            <w:shd w:val="clear" w:color="auto" w:fill="auto"/>
            <w:vAlign w:val="center"/>
          </w:tcPr>
          <w:p>
            <w:pPr>
              <w:widowControl/>
              <w:shd w:val="clear"/>
              <w:jc w:val="left"/>
              <w:rPr>
                <w:rFonts w:ascii="宋体" w:hAnsi="宋体" w:cs="宋体"/>
                <w:bCs/>
                <w:color w:val="auto"/>
                <w:kern w:val="0"/>
                <w:szCs w:val="21"/>
                <w:highlight w:val="none"/>
              </w:rPr>
            </w:pPr>
            <w:r>
              <w:rPr>
                <w:rFonts w:hint="eastAsia" w:ascii="宋体" w:hAnsi="宋体" w:cs="宋体"/>
                <w:bCs/>
                <w:color w:val="auto"/>
                <w:kern w:val="0"/>
                <w:szCs w:val="21"/>
                <w:highlight w:val="none"/>
              </w:rPr>
              <w:t>1U高，免工具安装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盲板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盲板，1U高。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32A机架PDU</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1、总输入电流32A ，1P总开关,6位16A国标+18位10A国标。带防脱落功能；国标三扁插座L、N插孔要求具有塑胶保护档片，防触电功能。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2、服务器机柜双回路供电。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底座</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14个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1、用于安装机柜、列头柜、空调柜等；</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2、采用优质冷轧钢板加工，材料厚度为3.0mm，配连接件及接地线。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电源线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200米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纵览、阳工、银杉</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1、PDU电源线电缆应符合GB/T19666-2005规定的要求，透光率大于等于60%等要求；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2、规格≥3*6㎡。</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3、具有低毒素、无卤素、高阻燃性、高透光率、电缆不产生腐蚀的气体等特性。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辅材</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国产</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胶带、标签等辅材。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三、封闭冷池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冷通道端门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color w:val="auto"/>
                <w:highlight w:val="none"/>
              </w:rPr>
              <w:t>封闭通道顶板采用模块化设计，每个单元均能独立安装，并能与相邻的单元连接；可根据机柜宽度不同，提供多种通道顶板规格</w:t>
            </w:r>
            <w:r>
              <w:rPr>
                <w:rFonts w:hint="eastAsia" w:ascii="宋体" w:hAnsi="宋体" w:cs="宋体"/>
                <w:color w:val="auto"/>
                <w:kern w:val="0"/>
                <w:szCs w:val="21"/>
                <w:highlight w:val="none"/>
              </w:rPr>
              <w:t>。</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2、冷通道框架：含机柜支架，顶板连接板。</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3、通道天窗天窗开启后总高度</w:t>
            </w:r>
            <w:r>
              <w:rPr>
                <w:rFonts w:hint="eastAsia"/>
                <w:color w:val="auto"/>
                <w:highlight w:val="none"/>
              </w:rPr>
              <w:t>≤</w:t>
            </w:r>
            <w:r>
              <w:rPr>
                <w:rFonts w:hint="eastAsia" w:ascii="宋体" w:hAnsi="宋体" w:cs="宋体"/>
                <w:color w:val="auto"/>
                <w:kern w:val="0"/>
                <w:szCs w:val="21"/>
                <w:highlight w:val="none"/>
              </w:rPr>
              <w:t>机柜顶部550mm，同时确保通道内高度</w:t>
            </w:r>
            <w:r>
              <w:rPr>
                <w:rFonts w:hint="eastAsia"/>
                <w:color w:val="auto"/>
                <w:highlight w:val="none"/>
              </w:rPr>
              <w:t>≥</w:t>
            </w:r>
            <w:r>
              <w:rPr>
                <w:rFonts w:hint="eastAsia" w:ascii="宋体" w:hAnsi="宋体" w:cs="宋体"/>
                <w:color w:val="auto"/>
                <w:kern w:val="0"/>
                <w:szCs w:val="21"/>
                <w:highlight w:val="none"/>
              </w:rPr>
              <w:t>2米，不影响日常维护工作和维护人员安全；</w:t>
            </w:r>
          </w:p>
          <w:p>
            <w:pPr>
              <w:widowControl/>
              <w:shd w:val="clear"/>
              <w:jc w:val="left"/>
              <w:rPr>
                <w:color w:val="auto"/>
                <w:highlight w:val="none"/>
              </w:rPr>
            </w:pPr>
            <w:r>
              <w:rPr>
                <w:rFonts w:hint="eastAsia"/>
                <w:color w:val="auto"/>
                <w:highlight w:val="none"/>
              </w:rPr>
              <w:t>通道天窗金属框应采用≥1.5mm优质冷轧钢板，符合GB11253。通道天窗应采用透光性好，机械强度高的钢化玻璃材料，钢化玻璃厚度≥5mm，透光率≥80%。</w:t>
            </w:r>
            <w:r>
              <w:rPr>
                <w:rFonts w:hint="eastAsia" w:ascii="宋体" w:hAnsi="宋体" w:cs="宋体"/>
                <w:color w:val="auto"/>
                <w:kern w:val="0"/>
                <w:szCs w:val="21"/>
                <w:highlight w:val="none"/>
              </w:rPr>
              <w:t>如有请提供通道天窗检验报告</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活动天窗（翻转顶板）采用电磁锁控制，应与消防信号联动。消防状态下电磁锁自动打开，天窗在重力作用下可自动打开，打开角度90°，并有限位装置，避免天窗开启后频繁大幅度晃动，最大限度地让消防气体进入通道内，动作可靠迅速。</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5、内部照明：安装LED灯</w:t>
            </w:r>
            <w:r>
              <w:rPr>
                <w:rFonts w:hint="eastAsia"/>
                <w:color w:val="auto"/>
                <w:highlight w:val="none"/>
              </w:rPr>
              <w:t>作为通道的补充光源，平行分布于通道两侧，保持美观及必要的可维护性，通道内照度满足GB50174-2017相关要求。</w:t>
            </w:r>
          </w:p>
          <w:p>
            <w:pPr>
              <w:widowControl/>
              <w:shd w:val="clear"/>
              <w:jc w:val="left"/>
              <w:rPr>
                <w:color w:val="auto"/>
                <w:highlight w:val="none"/>
              </w:rPr>
            </w:pPr>
            <w:r>
              <w:rPr>
                <w:rFonts w:hint="eastAsia"/>
                <w:color w:val="auto"/>
                <w:highlight w:val="none"/>
              </w:rPr>
              <w:t>6、冷通道端门：通道门为自动平移滑动门，采用钢化玻璃外包优质冷轧钢板门框结构，通道门钢化玻璃面积≥50%；或采用全钢化玻璃加铝边框结构，通道门钢化玻璃面积≥90%；平移门能安装可编辑显示内容的LED显示屏，自带温湿度显示，平移门开启方式为自动开启/闭合，平移门在通道内外需同时满足：开门按钮开门、门禁（密码+刷卡）开门方式；平移门开启时两侧需有多功能组合柜（在微模块长度方向上的深度≤250mm），多功能组合柜具有以下功能：①平移门开启时具有藏门功能，平移门不外漏；②满足安装动环设备及动环监控显示屏；③多功能组合柜需能安装单套微模块供配电中的配电单元。</w:t>
            </w:r>
          </w:p>
          <w:p>
            <w:pPr>
              <w:widowControl/>
              <w:shd w:val="clear"/>
              <w:jc w:val="left"/>
              <w:rPr>
                <w:color w:val="auto"/>
                <w:highlight w:val="none"/>
              </w:rPr>
            </w:pPr>
            <w:r>
              <w:rPr>
                <w:rFonts w:hint="eastAsia"/>
                <w:color w:val="auto"/>
                <w:highlight w:val="none"/>
              </w:rPr>
              <w:t>7、动环监控设备安装：</w:t>
            </w:r>
            <w:r>
              <w:rPr>
                <w:rFonts w:hint="eastAsia" w:ascii="宋体" w:hAnsi="宋体" w:cs="宋体"/>
                <w:color w:val="auto"/>
                <w:kern w:val="0"/>
                <w:szCs w:val="21"/>
                <w:highlight w:val="none"/>
              </w:rPr>
              <w:t>支持安装微环境传感器/摄像头/顶板控制电源等。摄像头位置不少于两个，有烟感、温湿度传感器。</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7、为保证微模块性能的可靠性以及使用安全性，如有请提供权威第三方机构出具的微模块整体检测报告，并加盖厂家公章。</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★8、为了做到冷通道列间空调尺寸的一致性运行稳定性，和各设备无缝兼容一站式快速维护UPS、精密空调、精密配柜、一体化机柜、动环监控包系统为同一品牌。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顶板控制套件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AC220V/DC12V，含联动继电器，控制翻转顶板电磁锁，紧急开启按钮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翻转顶板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1、600mm宽可翻转顶板，优质冷轧板框架和支撑板，内嵌钢化玻璃。</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2、实现消防联动，需手动复位。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固定顶板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300mm 宽固定顶板，优质冷轧板框架和支撑板，内嵌钢化玻璃。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机柜顶走线桥架或走线槽</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61米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卡博菲、泰丰、丰宝奔</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400×100×1.0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内部照明</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含通道内LED灯管，端门照明控制开关，配套电源和线缆。端门配照明控制开关。通道内照明设备安装为嵌入式安装，不允许外漏，灯光颜色采用多色可调灯光，光源采用24vdc LED灯条。冷通道不同光的颜色代表冷通道的不同状态。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四、配电系统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综合配电柜</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shd w:val="clear"/>
              <w:spacing w:line="360" w:lineRule="auto"/>
              <w:rPr>
                <w:color w:val="auto"/>
                <w:highlight w:val="none"/>
              </w:rPr>
            </w:pPr>
            <w:r>
              <w:rPr>
                <w:rFonts w:hint="eastAsia"/>
                <w:color w:val="auto"/>
                <w:highlight w:val="none"/>
              </w:rPr>
              <w:t>1、采用1.2mm-2.0mm优质冷扎钢柜体，表面喷黑色磨砂塑，防护等级</w:t>
            </w:r>
            <w:r>
              <w:rPr>
                <w:color w:val="auto"/>
                <w:highlight w:val="none"/>
              </w:rPr>
              <w:t>IP20</w:t>
            </w:r>
            <w:r>
              <w:rPr>
                <w:rFonts w:hint="eastAsia"/>
                <w:color w:val="auto"/>
                <w:highlight w:val="none"/>
              </w:rPr>
              <w:t>；柜门与柜体需有效接地连接；</w:t>
            </w:r>
          </w:p>
          <w:p>
            <w:pPr>
              <w:widowControl/>
              <w:shd w:val="clear"/>
              <w:jc w:val="left"/>
              <w:rPr>
                <w:color w:val="auto"/>
                <w:highlight w:val="none"/>
              </w:rPr>
            </w:pPr>
            <w:r>
              <w:rPr>
                <w:rFonts w:hint="eastAsia"/>
                <w:color w:val="auto"/>
                <w:highlight w:val="none"/>
              </w:rPr>
              <w:t>2、配电柜结构应清晰明确，应含有母排区、开关设备和控制设备区、电缆连接区等；</w:t>
            </w:r>
          </w:p>
          <w:p>
            <w:pPr>
              <w:widowControl/>
              <w:shd w:val="clear"/>
              <w:jc w:val="left"/>
              <w:rPr>
                <w:rFonts w:hint="eastAsia"/>
                <w:color w:val="auto"/>
                <w:highlight w:val="none"/>
              </w:rPr>
            </w:pPr>
            <w:r>
              <w:rPr>
                <w:rFonts w:hint="eastAsia"/>
                <w:color w:val="auto"/>
                <w:highlight w:val="none"/>
              </w:rPr>
              <w:t>3. 采用主流品牌开关、断路器、防雷器（如ABB、施耐德、</w:t>
            </w:r>
            <w:r>
              <w:rPr>
                <w:rFonts w:hint="eastAsia" w:ascii="宋体" w:hAnsi="宋体" w:cs="宋体"/>
                <w:color w:val="auto"/>
                <w:kern w:val="0"/>
                <w:szCs w:val="21"/>
                <w:highlight w:val="none"/>
              </w:rPr>
              <w:t>西门子</w:t>
            </w:r>
            <w:r>
              <w:rPr>
                <w:rFonts w:hint="eastAsia"/>
                <w:color w:val="auto"/>
                <w:highlight w:val="none"/>
              </w:rPr>
              <w:t>）；塑壳断路器配置分断能力不低于36kA。微型断路器配置分断能力不低于6kA。具备B级防雷装置。</w:t>
            </w:r>
          </w:p>
          <w:p>
            <w:pPr>
              <w:widowControl/>
              <w:shd w:val="clear"/>
              <w:jc w:val="left"/>
              <w:rPr>
                <w:rFonts w:ascii="宋体" w:hAnsi="宋体" w:cs="宋体"/>
                <w:color w:val="auto"/>
                <w:kern w:val="0"/>
                <w:szCs w:val="21"/>
                <w:highlight w:val="none"/>
              </w:rPr>
            </w:pPr>
            <w:r>
              <w:rPr>
                <w:rFonts w:hint="eastAsia"/>
                <w:color w:val="auto"/>
                <w:highlight w:val="none"/>
              </w:rPr>
              <w:t>4. 若将配电柜整合进UPS或本项其他子项设备满足相关功能需求，请在竞标文件报价表、商务和技术响应表中额外注明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电源列头柜</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1、精密列头配电柜电气要求：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1）、额定输入电压380Vac/50Hz，额定输出电压380Vac/50Hz。</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2）、总输入：160A/3P*2  MCCB，UPS输出回路：IT配电：32A/1P*2*15，MCB；智能监控，C级防雷。</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2、尺寸：600mm（宽）*1100mm（深）*2000mm（高），前开门，后维护，上下进线须与机柜尺寸保持一致。</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3、配电柜中所使用的断路器需为ABB，施耐德，或西门子</w:t>
            </w:r>
            <w:r>
              <w:rPr>
                <w:rFonts w:hint="eastAsia" w:ascii="宋体" w:hAnsi="宋体" w:cs="宋体"/>
                <w:color w:val="auto"/>
                <w:szCs w:val="21"/>
                <w:highlight w:val="none"/>
              </w:rPr>
              <w:t>参考或相当于</w:t>
            </w:r>
            <w:r>
              <w:rPr>
                <w:rFonts w:hint="eastAsia" w:ascii="宋体" w:hAnsi="宋体" w:cs="宋体"/>
                <w:color w:val="auto"/>
                <w:kern w:val="0"/>
                <w:szCs w:val="21"/>
                <w:highlight w:val="none"/>
              </w:rPr>
              <w:t>国际品牌。63A及以下断路器全部采用微型断路器，63A以上采用塑壳断路器。</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4、具备良好的人机交互操作界面，</w:t>
            </w:r>
            <w:r>
              <w:rPr>
                <w:rFonts w:hint="eastAsia" w:ascii="宋体" w:hAnsi="宋体" w:cs="宋体"/>
                <w:b/>
                <w:color w:val="auto"/>
                <w:kern w:val="0"/>
                <w:szCs w:val="21"/>
                <w:highlight w:val="none"/>
              </w:rPr>
              <w:t>采用≥7寸彩色显示屏</w:t>
            </w:r>
            <w:r>
              <w:rPr>
                <w:rFonts w:hint="eastAsia" w:ascii="宋体" w:hAnsi="宋体" w:cs="宋体"/>
                <w:color w:val="auto"/>
                <w:kern w:val="0"/>
                <w:szCs w:val="21"/>
                <w:highlight w:val="none"/>
              </w:rPr>
              <w:t>显示，</w:t>
            </w:r>
            <w:r>
              <w:rPr>
                <w:rFonts w:hint="eastAsia" w:ascii="Calibri" w:hAnsi="Calibri"/>
                <w:color w:val="auto"/>
                <w:highlight w:val="none"/>
              </w:rPr>
              <w:t>测量主电源电压、电流、频率、有功功率、功率因数、电压谐波、电流谐波、开关状态、负载百分比、电量，测量支路电流、负载百分比、开关状态</w:t>
            </w:r>
            <w:r>
              <w:rPr>
                <w:rFonts w:hint="eastAsia" w:ascii="宋体" w:hAnsi="宋体" w:cs="宋体"/>
                <w:color w:val="auto"/>
                <w:kern w:val="0"/>
                <w:szCs w:val="21"/>
                <w:highlight w:val="none"/>
              </w:rPr>
              <w:t>，方便查看和操作。</w:t>
            </w:r>
          </w:p>
          <w:p>
            <w:pPr>
              <w:widowControl/>
              <w:shd w:val="clear"/>
              <w:jc w:val="left"/>
              <w:rPr>
                <w:rFonts w:hint="eastAsia"/>
                <w:bCs/>
                <w:color w:val="auto"/>
                <w:highlight w:val="none"/>
              </w:rPr>
            </w:pPr>
            <w:r>
              <w:rPr>
                <w:rFonts w:hint="eastAsia"/>
                <w:color w:val="auto"/>
                <w:highlight w:val="none"/>
              </w:rPr>
              <w:t>5、监控系统通讯接口：设备预留RS485智能通讯接口，所有配电柜电气参数信息可通过智能接口上传</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6、投标品牌同系列精密配电柜须通过国家3C认证（须提供同系列成品认证证书）。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★7、为了做到冷通道列间空调尺寸的一致性运行稳定性，</w:t>
            </w:r>
            <w:r>
              <w:rPr>
                <w:rFonts w:hint="eastAsia" w:ascii="宋体" w:hAnsi="宋体" w:cs="宋体"/>
                <w:bCs/>
                <w:color w:val="auto"/>
                <w:kern w:val="0"/>
                <w:szCs w:val="21"/>
                <w:highlight w:val="none"/>
              </w:rPr>
              <w:t>要求服务器机柜、密封冷通道组件、配电柜、模块化UPS电源，行间精密空调、智能环境监控系统等为同一品牌</w:t>
            </w:r>
            <w:r>
              <w:rPr>
                <w:rFonts w:hint="eastAsia"/>
                <w:bCs/>
                <w:color w:val="auto"/>
                <w:highlight w:val="none"/>
              </w:rPr>
              <w:t>。</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8</w:t>
            </w:r>
            <w:r>
              <w:rPr>
                <w:rFonts w:hint="eastAsia"/>
                <w:color w:val="auto"/>
                <w:highlight w:val="none"/>
              </w:rPr>
              <w:t>．若将列头柜整合进UPS或本项其他子项设备满足相关功能需求，请在竞标文件报价表、商务和技术响应表中额外注明。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UPS主机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1、额定容量：10KVA。</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2、输入制式：L+N+PE（3-10K）。</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3、额定输入电压：220/230/240VAC。</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4、输入频率范围：40-70Hz。</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5、输入电压范围：110-300VAC@50%负载。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6、输入功率因素：0.99（100%满载负载时）。</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7、电池： 1920VDC（192-240V可调）。</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8、输出制式：L+N+PE。</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9、额定输出电压： 220/230/240/VAC±1%。</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10、输出频率：同步状态，跟踪旁路输入（正常模式）。50/60HZ±0.5%（电池模式）。</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11、输出波形失真度：THDV≤3%。</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★12、输出功率因数：≥0.9。</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13、具备工信部泰尔认证证书。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14、产品具备中国节能产品认证证书。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★15、为了做到冷通道列间空调尺寸的一致性运行稳定性，和各设备无缝兼容一站式快速维护UPS、精密空调、精密配柜、一体化机柜、智能监控包系统为同一品牌。</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16.投标人若使用一体化UPS主机竞标，</w:t>
            </w:r>
            <w:r>
              <w:rPr>
                <w:rFonts w:hint="eastAsia"/>
                <w:color w:val="auto"/>
                <w:highlight w:val="none"/>
              </w:rPr>
              <w:t>请在竞标文件报价表、商务和技术响应表中额外注明</w:t>
            </w:r>
            <w:r>
              <w:rPr>
                <w:rFonts w:hint="eastAsia" w:ascii="宋体" w:hAnsi="宋体" w:cs="宋体"/>
                <w:color w:val="auto"/>
                <w:kern w:val="0"/>
                <w:szCs w:val="21"/>
                <w:highlight w:val="none"/>
              </w:rPr>
              <w:t>包含的其他设备功能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电池</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16节</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1、配置不少于12V100AH蓄电池，每组配置至少16节蓄电池。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直流专用断路器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施耐德、西门子、德力西</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UPS电池总开关直流专用断路</w:t>
            </w:r>
            <w:r>
              <w:rPr>
                <w:rFonts w:hint="eastAsia" w:ascii="宋体" w:hAnsi="宋体" w:cs="宋体"/>
                <w:b/>
                <w:color w:val="auto"/>
                <w:kern w:val="0"/>
                <w:szCs w:val="21"/>
                <w:highlight w:val="none"/>
              </w:rPr>
              <w:t>器3P120A。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电池柜</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1、可容纳电池数量：12V100AH ，≥16只，内标配，4平方电池连接线 产品包装多层高墙瓦纸箱包装。</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2、产品特点：（1）、避免人体和蓄电池的直接接触。（2）、表面优质冷扎及表面静电喷塑，起到防尘、承重的作用。</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★3、为了做到冷通道列间空调尺寸的一致性运行稳定性，和各设备无缝兼容一站式快速维护UPS、精密空调、精密配柜、一体化机柜、智能监控包系统为同一品牌。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电池承重架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定制5*50角钢现场制作、尺寸符合设备承重安装要求，和静电地板高度一致没有明显凹凸感，大方美观。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UPS承重架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定制5*50角钢现场制作、尺寸符合设备承重安装要求，和静电地板高度一致没有明显凹凸感，大方美观。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辅材</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国产</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连接头、波纹管等辅材。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五、空调、新风系统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精密空调</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模块化数据中心制冷单元组件，采用风冷列间精密空调，制冷量无极调节，符合数据中心负载特性，具体要求如下：</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★1、总冷量：≥12.4kw；标定工况：室外干球温度35℃；回风干球温度37℃，相对湿度24%。显热比：≥0.95；风量：≥2500m3/h；送风方式：水平送风；</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3、压缩机：压缩机投标机组应采用参考品牌例如谷轮、丹佛斯、日立或同等规模厂家的EC变容量涡旋压缩机。制冷量柔性可调。压缩机应能超频运行，所有压缩机在超频运行时需可提供不小于28kW制冷量。</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4、室内空调风机：要求采用高效后倾离心式EC风机。风机N+1冗余配置，任意风机故障，仍可确保全风量运行；送风系统的风量应至少可在额定风量的30%—100%范围内调节。</w:t>
            </w:r>
            <w:r>
              <w:rPr>
                <w:rFonts w:hint="eastAsia"/>
                <w:color w:val="auto"/>
                <w:highlight w:val="none"/>
              </w:rPr>
              <w:t>风冷列间空调具有减震设计，噪音低，压缩机可维护性强，可方便拆装。</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5、投标机组应兼容上接管和下接管，设备到现场后可根据实际情况选择走管方式。机组宽度300mm，深度高度与并柜机柜保持一致。</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6、制冷单元设计为大风量、小焓差设计。365天*24小时长期运行设计寿命不小于8年。</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7、采用R410A制冷剂，符合国家环保相关要求。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8、采用PID调节技术，具有</w:t>
            </w:r>
            <w:r>
              <w:rPr>
                <w:rFonts w:hint="eastAsia"/>
                <w:color w:val="auto"/>
                <w:highlight w:val="none"/>
              </w:rPr>
              <w:t>≥</w:t>
            </w:r>
            <w:r>
              <w:rPr>
                <w:rFonts w:hint="eastAsia" w:ascii="Calibri" w:hAnsi="Calibri"/>
                <w:color w:val="auto"/>
                <w:highlight w:val="none"/>
              </w:rPr>
              <w:t>7英寸</w:t>
            </w:r>
            <w:r>
              <w:rPr>
                <w:rFonts w:hint="eastAsia" w:ascii="宋体" w:hAnsi="宋体" w:cs="宋体"/>
                <w:color w:val="auto"/>
                <w:kern w:val="0"/>
                <w:szCs w:val="21"/>
                <w:highlight w:val="none"/>
              </w:rPr>
              <w:t>以上LCD大屏幕彩色显示屏，能显示温湿度，采用图形方式显示机组内各组件的运行状态。</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★9、蒸发器：为保证机内气流组织最优，避免由于多片蒸发器造成的紊流，投标产品</w:t>
            </w:r>
            <w:r>
              <w:rPr>
                <w:rFonts w:hint="eastAsia"/>
                <w:color w:val="auto"/>
                <w:highlight w:val="none"/>
              </w:rPr>
              <w:t>应选用高效内螺纹大面积蒸发器，保障换热效率；除湿控制精确；室外风机应可根据室外温度及冷量需求变频调速，减少风机能耗。</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★10、响应国家节能环保要求，投标产品需获得“中国节能产品认证”，提供中国节能产品认证证书。</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11、供货时，如有须提供投标同系列机组同容量产品的CE认证证明、须提供投标同系列机组同容量产品的CRAA产品认证证书证明。</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12、为保证空调性能的可靠性以及使用安全性，供货时如有须提供由国家质量认证中心颁发的同型号列间空调的3C试验检测报告；电磁兼容型试验报告、安全型式试验报告并加盖制造商公章。</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★13、为了做到冷通道列间空调尺寸的一致性运行稳定性，和各设备无缝兼容一站式快速维护UPS、精密空调、精密配柜、一体化机柜、智能监控包系统为同一品牌。</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★14、精密空调设备必须为原厂生产产品，杜绝OEM产品，投标时投标人必须承诺在中标后供货时提供原厂生产证明或者原厂生产承诺函。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辅材</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室外机延长管、制冷剂、电源线等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六、冷通道监控管理系统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声光告警器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声光报警器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烟感</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烟感，联网型烟感。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温湿度传感器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温湿度传感器，带LCD，显示，485协议。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门禁</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刷卡门禁，含双门密码刷卡器，门禁控制器，双门磁力锁，双门出门按钮，5张IC卡。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摄像机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监控摄像机，半球型，通道内安装，两百万像素高清网络摄像机，1080P高清录像。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硬盘录像机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八路网络硬盘录像机，含4T硬盘。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交换机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网络交换机，8口百兆+2千兆光电互斥口。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显示触摸组件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显示触摸组件，触摸显示屏及结构安装件，含端门门盒设计结构，智能终端嵌入式安装。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BM智能监控包</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1套</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艾默生、施耐德、艾特网能、易事特、华为</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实现对微模块内的UPS系统、精密空调系统、温湿度、漏水、烟感进行实时遥测、遥信、遥控和遥调功能，记录和分析相关监控数据，实现远程异地监控；可通过短信、E－mail邮件报警等灵活的告警方式，实现机房安全无人职守。</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2、微模块应具备触摸屏或平板，可直接访问管理系统，显示运行状态、温湿度等信息，并不影响远程通过IP方式访问。</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3、配置监控服务器主机一台，监控平台软件一套。</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★4、为了做到冷通道列间空调尺寸的一致性运行稳定性，和各设备无缝兼容一站式快速维护UPS、精密空调、精密配柜、一体化机柜、智能监控包系统为同一品牌。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48" w:type="dxa"/>
            <w:gridSpan w:val="5"/>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七、防雷接地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扁钢</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驳接大楼防雷地网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铜塑线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100米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纵览、阳工、银杉</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每个机柜接到铜排的接线；规格：6㎡。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机房地线网铜排</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65米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机房内铜排网防雷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二级防雷器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施耐德、德力西、地凯</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1、额定电压Un：AC380V；</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2、最大持续运行电压Uc：AC385V；</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3、标称放电电流In（8/20μs）：40kA；</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4、最大放电电流Imax（8/20μs）：40kA；</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5、电压保护水平Up：≤1.8KV（8/20μs）；</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6、安装标准：35mm电气导轨模块。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三级防雷器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施耐德、德力西、地凯</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1、额定电压Un：AC380V；</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2、最大持续运行电压Uc：AC385V；</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3、标称放电电流In（8/20μs）：20kA；</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4、最大放电电流Imax（8/20μs）：20kA；</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5、电压保护水平Up：≤1.5KV（8/20μs）；</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6、安装标准：35mm电气导轨模块。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防雷接地主干线缆</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30米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纵览、阳工、银杉</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1、PDU电源线电缆应符合GB/T19666-2005规定的要求，透光率大于等于60%等要求；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2、规格：BVR35。</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3、具有低毒素、无卤素、高阻燃性、高透光率、电缆不产生腐蚀的气体等特性。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八</w:t>
            </w:r>
          </w:p>
        </w:tc>
        <w:tc>
          <w:tcPr>
            <w:tcW w:w="9293" w:type="dxa"/>
            <w:gridSpan w:val="4"/>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理线器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20个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金属材料，带盖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六类非屏蔽网线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6箱</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UTP Cat.6双绞线，LSZH，305米/箱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配线架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19个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24口六类非屏蔽配线架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跳线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70条</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六类非屏蔽跳线2米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光纤配线架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12位光纤配线架 LC双工接口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光纤配线架</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10个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24位光纤配线架 LC双工接口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LC耦合器</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348个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LC双工单模适配器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尾纤</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216条</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LC双芯单模尾纤，1米，含熔纤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光纤跳线</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20条</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LC-LC双芯单模，3米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室内光纤</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200米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爱谱华顿、一舟、德塔森特</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室内单模12芯软光缆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电缆</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25米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纵览、阳工、银杉</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规格：ZRYJV-4×10+1×6</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市电总配电柜到精密空调进线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电缆</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180米</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纵览、阳工、银杉</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规格：ZRYJV-4×35+1×16</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1、市电总配电柜到UPS主机进出线电缆</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2、UPS输出线到精密列头柜（双备份）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3、楼层配电间到机房电缆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线槽线管</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国产</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根据现场各种线缆规格而定制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线路整改规划</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1项</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定制</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改造原有配电线路，标记清晰，符合安全规范</w:t>
            </w:r>
          </w:p>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改造原有网络线路，标记清晰，符合信息系统建设规范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九</w:t>
            </w:r>
          </w:p>
        </w:tc>
        <w:tc>
          <w:tcPr>
            <w:tcW w:w="9293" w:type="dxa"/>
            <w:gridSpan w:val="4"/>
            <w:shd w:val="clear" w:color="auto" w:fill="auto"/>
            <w:vAlign w:val="center"/>
          </w:tcPr>
          <w:p>
            <w:pPr>
              <w:widowControl/>
              <w:shd w:val="clear"/>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核心交换机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H3C、华为、迈普</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一、单台配置要求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★1、提供28个10/100/1000Base-T自适应以太网端口，其中8个是combo口，4个万兆SFP+口；</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2、提供以上接口数量后剩余扩展槽位数≥1；</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3、配置可热拨插的冗余电源模块和风扇模块；</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二、技术参数要求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★4、交换容量≥598Gbps，包转发速率≥198Mpps；</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5、支持静态路由,支持RIPv1/v2，RIPng，支持OSPFv1/v2，OSPFv3,支持BGP4，BGP4+ for IPv6,支持等价路由，策略路由；</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6、支持IGMP Snooping v1/v2/v3，MLD Snooping v1/v2，支持组播VLAN；</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7、支持基于端口的VLAN,支持基于MAC的VLAN，支持VLAN Mapping；</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8、支持端口聚合，支持10GE端口聚合，支持40GE聚合，支持跨设备聚合；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接入交换机</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10台</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H3C、华为、迈普</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一、单台配置要求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★1、提供24个10/100/1000Base-T以太网端口，4个1000Base-X以太网端口(非复用)；</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二、技术参数要求</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★2、交换容量≥192Gbps，转发性能≥42Mpps；</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3、支持LACP，支持手工聚合，每个聚合组最大支持8个端口；</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支持基于端口的VLAN；</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4、支持DHCP Server；</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5、支持IPv4和IPv6双协议栈，支持IPv6静态路由，RIP，ospf；</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支持QinQ、灵活QinQ，支持GUEST VLAN，支持VLAN Mapping；</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支持端口镜像，支持流镜像；</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6、支持IP+MAC+端口+VLAN的绑定的功能；</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支持快速离开，支持IGMP Snooping v1/v2/v3、MLD Snooping v1/v2，支持组播VLAN；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1272"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光纤模块</w:t>
            </w:r>
          </w:p>
        </w:tc>
        <w:tc>
          <w:tcPr>
            <w:tcW w:w="844"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20个</w:t>
            </w:r>
          </w:p>
        </w:tc>
        <w:tc>
          <w:tcPr>
            <w:tcW w:w="1369"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H3C、华为、迈普</w:t>
            </w:r>
          </w:p>
        </w:tc>
        <w:tc>
          <w:tcPr>
            <w:tcW w:w="5808" w:type="dxa"/>
            <w:shd w:val="clear" w:color="auto" w:fill="auto"/>
            <w:vAlign w:val="center"/>
          </w:tcPr>
          <w:p>
            <w:pPr>
              <w:widowControl/>
              <w:shd w:val="clear"/>
              <w:jc w:val="left"/>
              <w:rPr>
                <w:rFonts w:ascii="宋体" w:hAnsi="宋体" w:cs="宋体"/>
                <w:color w:val="auto"/>
                <w:kern w:val="0"/>
                <w:szCs w:val="21"/>
                <w:highlight w:val="none"/>
              </w:rPr>
            </w:pPr>
            <w:r>
              <w:rPr>
                <w:rFonts w:hint="eastAsia" w:ascii="宋体" w:hAnsi="宋体" w:cs="宋体"/>
                <w:color w:val="auto"/>
                <w:kern w:val="0"/>
                <w:szCs w:val="21"/>
                <w:highlight w:val="none"/>
              </w:rPr>
              <w:t>1、光模块-SFP-GE-单模模块-(1310nm,10km,LC)；</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2、和交换机同一品牌。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55" w:type="dxa"/>
            <w:shd w:val="clear" w:color="auto" w:fill="auto"/>
            <w:vAlign w:val="center"/>
          </w:tcPr>
          <w:p>
            <w:pPr>
              <w:widowControl/>
              <w:shd w:val="clear"/>
              <w:jc w:val="center"/>
              <w:rPr>
                <w:rFonts w:ascii="宋体" w:hAnsi="宋体" w:cs="宋体"/>
                <w:color w:val="auto"/>
                <w:kern w:val="0"/>
                <w:szCs w:val="21"/>
                <w:highlight w:val="none"/>
              </w:rPr>
            </w:pPr>
            <w:r>
              <w:rPr>
                <w:rFonts w:hint="eastAsia" w:ascii="宋体" w:hAnsi="宋体"/>
                <w:color w:val="auto"/>
                <w:szCs w:val="21"/>
                <w:highlight w:val="none"/>
              </w:rPr>
              <w:t>商务条款</w:t>
            </w:r>
          </w:p>
        </w:tc>
        <w:tc>
          <w:tcPr>
            <w:tcW w:w="9293" w:type="dxa"/>
            <w:gridSpan w:val="4"/>
            <w:shd w:val="clear" w:color="auto" w:fill="auto"/>
            <w:vAlign w:val="center"/>
          </w:tcPr>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★一、签订合同日期：自中标公告发出之日起</w:t>
            </w:r>
            <w:r>
              <w:rPr>
                <w:rFonts w:hint="eastAsia" w:ascii="宋体" w:hAnsi="宋体" w:cs="宋体"/>
                <w:color w:val="auto"/>
                <w:kern w:val="0"/>
                <w:szCs w:val="21"/>
                <w:highlight w:val="none"/>
                <w:u w:val="single"/>
              </w:rPr>
              <w:t xml:space="preserve">   7个  </w:t>
            </w:r>
            <w:r>
              <w:rPr>
                <w:rFonts w:hint="eastAsia" w:ascii="宋体" w:hAnsi="宋体" w:cs="宋体"/>
                <w:color w:val="auto"/>
                <w:kern w:val="0"/>
                <w:szCs w:val="21"/>
                <w:highlight w:val="none"/>
              </w:rPr>
              <w:t>工作日内</w:t>
            </w:r>
          </w:p>
          <w:p>
            <w:pPr>
              <w:shd w:val="clear"/>
              <w:spacing w:line="320" w:lineRule="exact"/>
              <w:rPr>
                <w:rFonts w:ascii="宋体" w:hAnsi="宋体"/>
                <w:color w:val="auto"/>
                <w:szCs w:val="21"/>
                <w:highlight w:val="none"/>
              </w:rPr>
            </w:pPr>
            <w:r>
              <w:rPr>
                <w:rFonts w:hint="eastAsia" w:ascii="宋体" w:hAnsi="宋体" w:cs="宋体"/>
                <w:color w:val="auto"/>
                <w:kern w:val="0"/>
                <w:szCs w:val="21"/>
                <w:highlight w:val="none"/>
              </w:rPr>
              <w:t>★二、交货时间：</w:t>
            </w:r>
            <w:r>
              <w:rPr>
                <w:rFonts w:hint="eastAsia" w:ascii="宋体" w:hAnsi="宋体"/>
                <w:color w:val="auto"/>
                <w:szCs w:val="21"/>
                <w:highlight w:val="none"/>
              </w:rPr>
              <w:t>自合同签订之日</w:t>
            </w:r>
            <w:r>
              <w:rPr>
                <w:rFonts w:hint="eastAsia" w:ascii="宋体" w:hAnsi="宋体"/>
                <w:color w:val="auto"/>
                <w:szCs w:val="21"/>
                <w:highlight w:val="none"/>
                <w:u w:val="single"/>
              </w:rPr>
              <w:t xml:space="preserve">  45个  </w:t>
            </w:r>
            <w:r>
              <w:rPr>
                <w:rFonts w:hint="eastAsia" w:ascii="宋体" w:hAnsi="宋体"/>
                <w:color w:val="auto"/>
                <w:szCs w:val="21"/>
                <w:highlight w:val="none"/>
              </w:rPr>
              <w:t>工作日内供货并按指定位置要求完成安装和调试，投入正常使用。</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★三、交货地点：</w:t>
            </w:r>
            <w:r>
              <w:rPr>
                <w:rFonts w:hint="eastAsia" w:ascii="宋体" w:hAnsi="宋体"/>
                <w:color w:val="auto"/>
                <w:szCs w:val="21"/>
                <w:highlight w:val="none"/>
              </w:rPr>
              <w:t>南宁市（采购人指定地点）。</w:t>
            </w:r>
            <w:r>
              <w:rPr>
                <w:rFonts w:hint="eastAsia" w:ascii="宋体" w:hAnsi="宋体" w:cs="宋体"/>
                <w:color w:val="auto"/>
                <w:kern w:val="0"/>
                <w:szCs w:val="21"/>
                <w:highlight w:val="none"/>
              </w:rPr>
              <w:t xml:space="preserve">  </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四、售后服务及其他要求：</w:t>
            </w:r>
          </w:p>
          <w:p>
            <w:pPr>
              <w:shd w:val="clear"/>
              <w:spacing w:line="320" w:lineRule="exact"/>
              <w:rPr>
                <w:rFonts w:ascii="宋体" w:hAnsi="宋体"/>
                <w:color w:val="auto"/>
                <w:szCs w:val="21"/>
                <w:highlight w:val="none"/>
              </w:rPr>
            </w:pPr>
            <w:r>
              <w:rPr>
                <w:rFonts w:hint="eastAsia" w:ascii="宋体" w:hAnsi="宋体"/>
                <w:color w:val="auto"/>
                <w:szCs w:val="21"/>
                <w:highlight w:val="none"/>
              </w:rPr>
              <w:t>★1、质量保证期：</w:t>
            </w:r>
            <w:r>
              <w:rPr>
                <w:rFonts w:hint="eastAsia" w:ascii="宋体" w:hAnsi="宋体"/>
                <w:color w:val="auto"/>
                <w:szCs w:val="21"/>
                <w:highlight w:val="none"/>
                <w:u w:val="single"/>
              </w:rPr>
              <w:t xml:space="preserve">  1  </w:t>
            </w:r>
            <w:r>
              <w:rPr>
                <w:rFonts w:hint="eastAsia" w:ascii="宋体" w:hAnsi="宋体"/>
                <w:color w:val="auto"/>
                <w:szCs w:val="21"/>
                <w:highlight w:val="none"/>
              </w:rPr>
              <w:t>年（自交货并验收合格之日起计）。</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2、其他服务要求：</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 xml:space="preserve">1）供货到场时间：按要求供货到现场（包括包装、卸货）及安装调试。如果不能按进度要求供货，采购人有权终止合同，由此引起的全部责任由供应商负责。             </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2）实行“三包”，提供优质的售后服务。</w:t>
            </w:r>
          </w:p>
          <w:p>
            <w:pPr>
              <w:shd w:val="clear"/>
              <w:spacing w:line="320" w:lineRule="exact"/>
              <w:rPr>
                <w:rFonts w:ascii="宋体" w:hAnsi="宋体"/>
                <w:color w:val="auto"/>
                <w:szCs w:val="21"/>
                <w:highlight w:val="none"/>
              </w:rPr>
            </w:pPr>
            <w:r>
              <w:rPr>
                <w:rFonts w:hint="eastAsia" w:ascii="宋体" w:hAnsi="宋体" w:cs="宋体"/>
                <w:color w:val="auto"/>
                <w:kern w:val="0"/>
                <w:szCs w:val="21"/>
                <w:highlight w:val="none"/>
              </w:rPr>
              <w:t>3）中标供应商提供终身有偿维修、维护服务，随时优惠提供备品备件，优惠提供产品更新服务等。</w:t>
            </w:r>
            <w:r>
              <w:rPr>
                <w:rFonts w:hint="eastAsia" w:ascii="宋体" w:hAnsi="宋体"/>
                <w:color w:val="auto"/>
                <w:szCs w:val="21"/>
                <w:highlight w:val="none"/>
              </w:rPr>
              <w:t>★4）对于故障处理，要求中标人在质保期内提供24小时免费维护服务，要求接到故障通知后4小时内到现场解决故障。</w:t>
            </w:r>
          </w:p>
          <w:p>
            <w:pPr>
              <w:shd w:val="clear"/>
              <w:spacing w:line="320" w:lineRule="exact"/>
              <w:rPr>
                <w:rFonts w:ascii="宋体" w:hAnsi="宋体" w:cs="宋体"/>
                <w:color w:val="auto"/>
                <w:kern w:val="0"/>
                <w:szCs w:val="21"/>
                <w:highlight w:val="none"/>
              </w:rPr>
            </w:pPr>
            <w:r>
              <w:rPr>
                <w:rFonts w:hint="eastAsia" w:ascii="宋体" w:hAnsi="宋体" w:cs="宋体"/>
                <w:color w:val="auto"/>
                <w:kern w:val="0"/>
                <w:szCs w:val="21"/>
                <w:highlight w:val="none"/>
              </w:rPr>
              <w:t>五、实质性要求和条件</w:t>
            </w:r>
          </w:p>
          <w:p>
            <w:pPr>
              <w:shd w:val="clear"/>
              <w:spacing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1、设备须在投标文件中报出投标设备（配置）的品牌、产地、型号规格、详细的技术指标、图片、技术说明等资料。</w:t>
            </w:r>
          </w:p>
          <w:p>
            <w:pPr>
              <w:widowControl/>
              <w:shd w:val="clear"/>
              <w:tabs>
                <w:tab w:val="left" w:pos="900"/>
              </w:tabs>
              <w:spacing w:line="320" w:lineRule="exact"/>
              <w:jc w:val="left"/>
              <w:rPr>
                <w:rFonts w:ascii="宋体" w:hAnsi="宋体"/>
                <w:color w:val="auto"/>
                <w:szCs w:val="21"/>
                <w:highlight w:val="none"/>
              </w:rPr>
            </w:pPr>
            <w:r>
              <w:rPr>
                <w:rFonts w:hint="eastAsia" w:ascii="宋体" w:hAnsi="宋体" w:cs="宋体"/>
                <w:color w:val="auto"/>
                <w:kern w:val="0"/>
                <w:szCs w:val="21"/>
                <w:highlight w:val="none"/>
              </w:rPr>
              <w:t>2、</w:t>
            </w:r>
            <w:r>
              <w:rPr>
                <w:rFonts w:hint="eastAsia" w:ascii="宋体" w:hAnsi="宋体"/>
                <w:color w:val="auto"/>
                <w:szCs w:val="21"/>
                <w:highlight w:val="none"/>
              </w:rPr>
              <w:t>产品质量按现行国家标准和技术规范。</w:t>
            </w:r>
          </w:p>
          <w:p>
            <w:pPr>
              <w:shd w:val="clear"/>
              <w:spacing w:line="320" w:lineRule="exact"/>
              <w:jc w:val="left"/>
              <w:rPr>
                <w:rFonts w:ascii="宋体" w:hAnsi="宋体"/>
                <w:color w:val="auto"/>
                <w:szCs w:val="21"/>
                <w:highlight w:val="none"/>
              </w:rPr>
            </w:pPr>
            <w:r>
              <w:rPr>
                <w:rFonts w:hint="eastAsia" w:ascii="宋体" w:hAnsi="宋体"/>
                <w:color w:val="auto"/>
                <w:szCs w:val="21"/>
                <w:highlight w:val="none"/>
              </w:rPr>
              <w:t>3、产品实行“三包”，即包退、包换、包修，因产品质量问题发生的相关费用由中标单位承担。</w:t>
            </w:r>
          </w:p>
          <w:p>
            <w:pPr>
              <w:shd w:val="clear"/>
              <w:spacing w:line="320" w:lineRule="exact"/>
              <w:jc w:val="left"/>
              <w:rPr>
                <w:rFonts w:ascii="宋体" w:hAnsi="宋体"/>
                <w:color w:val="auto"/>
                <w:szCs w:val="21"/>
                <w:highlight w:val="none"/>
              </w:rPr>
            </w:pPr>
            <w:r>
              <w:rPr>
                <w:rFonts w:hint="eastAsia" w:ascii="宋体" w:hAnsi="宋体"/>
                <w:color w:val="auto"/>
                <w:szCs w:val="21"/>
                <w:highlight w:val="none"/>
              </w:rPr>
              <w:t>4、按工程进度要求供货到施工现场，包装、卸货、安装并负责调试。免费培训使用人员和维护人员，保证熟练掌握全部功能为止。</w:t>
            </w:r>
          </w:p>
          <w:p>
            <w:pPr>
              <w:shd w:val="clear"/>
              <w:spacing w:line="320" w:lineRule="exact"/>
              <w:jc w:val="left"/>
              <w:rPr>
                <w:rFonts w:ascii="宋体" w:hAnsi="宋体"/>
                <w:color w:val="auto"/>
                <w:szCs w:val="21"/>
                <w:highlight w:val="none"/>
              </w:rPr>
            </w:pPr>
            <w:r>
              <w:rPr>
                <w:rFonts w:hint="eastAsia" w:ascii="宋体" w:hAnsi="宋体" w:cs="宋体"/>
                <w:color w:val="auto"/>
                <w:kern w:val="0"/>
                <w:szCs w:val="21"/>
                <w:highlight w:val="none"/>
              </w:rPr>
              <w:t>★</w:t>
            </w:r>
            <w:r>
              <w:rPr>
                <w:rFonts w:hint="eastAsia" w:ascii="宋体" w:hAnsi="宋体"/>
                <w:color w:val="auto"/>
                <w:szCs w:val="21"/>
                <w:highlight w:val="none"/>
              </w:rPr>
              <w:t>5、投标人应根据本项目需求，投标时提供完整的项目实施方案，否则投标无效。</w:t>
            </w:r>
          </w:p>
          <w:p>
            <w:pPr>
              <w:shd w:val="clear"/>
              <w:spacing w:line="320" w:lineRule="exact"/>
              <w:jc w:val="left"/>
              <w:rPr>
                <w:rFonts w:ascii="宋体" w:hAnsi="宋体"/>
                <w:color w:val="auto"/>
                <w:szCs w:val="21"/>
                <w:highlight w:val="none"/>
              </w:rPr>
            </w:pPr>
            <w:r>
              <w:rPr>
                <w:rFonts w:hint="eastAsia" w:ascii="宋体" w:hAnsi="宋体" w:cs="宋体"/>
                <w:color w:val="auto"/>
                <w:kern w:val="0"/>
                <w:szCs w:val="21"/>
                <w:highlight w:val="none"/>
              </w:rPr>
              <w:t>★</w:t>
            </w:r>
            <w:r>
              <w:rPr>
                <w:rFonts w:hint="eastAsia" w:ascii="宋体" w:hAnsi="宋体"/>
                <w:color w:val="auto"/>
                <w:szCs w:val="21"/>
                <w:highlight w:val="none"/>
              </w:rPr>
              <w:t>6、本项目为节能减排项目，在投标文件中必须承诺所选产品均为节能产品，并且承诺当项目落成后，机房所用电量要比原来机房所用电量要低，否则项目不予验收。</w:t>
            </w:r>
          </w:p>
          <w:p>
            <w:pPr>
              <w:shd w:val="clear"/>
              <w:spacing w:line="320" w:lineRule="exact"/>
              <w:jc w:val="left"/>
              <w:rPr>
                <w:rFonts w:ascii="宋体" w:hAnsi="宋体"/>
                <w:color w:val="auto"/>
                <w:szCs w:val="21"/>
                <w:highlight w:val="none"/>
              </w:rPr>
            </w:pPr>
            <w:r>
              <w:rPr>
                <w:rFonts w:hint="eastAsia" w:ascii="宋体" w:hAnsi="宋体" w:cs="宋体"/>
                <w:color w:val="auto"/>
                <w:kern w:val="0"/>
                <w:szCs w:val="21"/>
                <w:highlight w:val="none"/>
              </w:rPr>
              <w:t>★</w:t>
            </w:r>
            <w:r>
              <w:rPr>
                <w:rFonts w:hint="eastAsia" w:ascii="宋体" w:hAnsi="宋体"/>
                <w:color w:val="auto"/>
                <w:szCs w:val="21"/>
                <w:highlight w:val="none"/>
              </w:rPr>
              <w:t>7、本项目施工现场存在涉密设备，投标单位必须具备涉密信息系统集成资质，否则投标无效。</w:t>
            </w:r>
          </w:p>
          <w:p>
            <w:pPr>
              <w:shd w:val="clear"/>
              <w:spacing w:line="320" w:lineRule="exact"/>
              <w:jc w:val="left"/>
              <w:rPr>
                <w:rFonts w:ascii="宋体" w:hAnsi="宋体"/>
                <w:color w:val="auto"/>
                <w:szCs w:val="21"/>
                <w:highlight w:val="none"/>
              </w:rPr>
            </w:pPr>
            <w:r>
              <w:rPr>
                <w:rFonts w:hint="eastAsia" w:ascii="宋体" w:hAnsi="宋体"/>
                <w:color w:val="auto"/>
                <w:szCs w:val="21"/>
                <w:highlight w:val="none"/>
              </w:rPr>
              <w:t>8、投标人</w:t>
            </w:r>
            <w:r>
              <w:rPr>
                <w:rFonts w:hint="eastAsia" w:ascii="宋体" w:hAnsi="宋体" w:cs="宋体"/>
                <w:color w:val="auto"/>
                <w:kern w:val="0"/>
                <w:szCs w:val="21"/>
                <w:highlight w:val="none"/>
              </w:rPr>
              <w:t>承诺若本项目中标，则需提供冷通道端门、电源列头柜提供制造厂商授权函及售后服务承诺函。</w:t>
            </w:r>
          </w:p>
          <w:p>
            <w:pPr>
              <w:shd w:val="clear"/>
              <w:spacing w:line="320" w:lineRule="exact"/>
              <w:jc w:val="left"/>
              <w:rPr>
                <w:rFonts w:ascii="宋体" w:hAnsi="宋体"/>
                <w:bCs/>
                <w:color w:val="auto"/>
                <w:szCs w:val="21"/>
                <w:highlight w:val="none"/>
              </w:rPr>
            </w:pPr>
            <w:r>
              <w:rPr>
                <w:rStyle w:val="60"/>
                <w:rFonts w:hint="eastAsia" w:ascii="宋体" w:hAnsi="宋体" w:cs="Tahoma"/>
                <w:color w:val="auto"/>
                <w:szCs w:val="21"/>
                <w:highlight w:val="none"/>
              </w:rPr>
              <w:t>9、</w:t>
            </w:r>
            <w:r>
              <w:rPr>
                <w:rStyle w:val="60"/>
                <w:rFonts w:hint="eastAsia" w:ascii="宋体" w:hAnsi="宋体" w:cs="Tahoma"/>
                <w:b w:val="0"/>
                <w:bCs/>
                <w:color w:val="auto"/>
                <w:szCs w:val="21"/>
                <w:highlight w:val="none"/>
              </w:rPr>
              <w:t>对于实行生产许可证制度或者实行强制性产品认证但采购文件中未明确要求投标时必须提交相关证书、并且中标人在投标时也未提供相关证书的产品，在交货时必须向采购单位出示相关证书，否则须无条件更换为具有相关证书并且不低于采购要求及投标人承诺的产品供货，采购人不再增加任何费用。未按要求供货的将不予验收，由违约方承担相应违约责任。</w:t>
            </w:r>
          </w:p>
          <w:p>
            <w:pPr>
              <w:shd w:val="clear"/>
              <w:spacing w:line="320" w:lineRule="exact"/>
              <w:rPr>
                <w:rFonts w:ascii="宋体" w:hAnsi="宋体"/>
                <w:color w:val="auto"/>
                <w:szCs w:val="21"/>
                <w:highlight w:val="none"/>
              </w:rPr>
            </w:pPr>
            <w:r>
              <w:rPr>
                <w:rFonts w:hint="eastAsia" w:ascii="宋体" w:hAnsi="宋体"/>
                <w:color w:val="auto"/>
                <w:szCs w:val="21"/>
                <w:highlight w:val="none"/>
              </w:rPr>
              <w:t>六、其他要求和条件：</w:t>
            </w:r>
          </w:p>
          <w:p>
            <w:pPr>
              <w:shd w:val="clear"/>
              <w:spacing w:line="320" w:lineRule="exact"/>
              <w:rPr>
                <w:rFonts w:ascii="宋体" w:hAnsi="宋体"/>
                <w:color w:val="auto"/>
                <w:szCs w:val="21"/>
                <w:highlight w:val="none"/>
              </w:rPr>
            </w:pPr>
            <w:r>
              <w:rPr>
                <w:rFonts w:hint="eastAsia" w:ascii="宋体" w:hAnsi="宋体"/>
                <w:color w:val="auto"/>
                <w:szCs w:val="21"/>
                <w:highlight w:val="none"/>
              </w:rPr>
              <w:t>★1、报价为采购人指定地点的现场交货价，包括：</w:t>
            </w:r>
          </w:p>
          <w:p>
            <w:pPr>
              <w:shd w:val="clear"/>
              <w:spacing w:line="320" w:lineRule="exact"/>
              <w:rPr>
                <w:rFonts w:ascii="宋体" w:hAnsi="宋体"/>
                <w:color w:val="auto"/>
                <w:szCs w:val="21"/>
                <w:highlight w:val="none"/>
              </w:rPr>
            </w:pPr>
            <w:r>
              <w:rPr>
                <w:rFonts w:hint="eastAsia" w:ascii="宋体" w:hAnsi="宋体"/>
                <w:color w:val="auto"/>
                <w:szCs w:val="21"/>
                <w:highlight w:val="none"/>
              </w:rPr>
              <w:t>（1）货物的价格；</w:t>
            </w:r>
          </w:p>
          <w:p>
            <w:pPr>
              <w:shd w:val="clear"/>
              <w:spacing w:line="320" w:lineRule="exact"/>
              <w:rPr>
                <w:rFonts w:ascii="宋体" w:hAnsi="宋体"/>
                <w:color w:val="auto"/>
                <w:szCs w:val="21"/>
                <w:highlight w:val="none"/>
              </w:rPr>
            </w:pPr>
            <w:r>
              <w:rPr>
                <w:rFonts w:hint="eastAsia" w:ascii="宋体" w:hAnsi="宋体"/>
                <w:color w:val="auto"/>
                <w:szCs w:val="21"/>
                <w:highlight w:val="none"/>
              </w:rPr>
              <w:t>（2）货物的标准附件、备品备件、专用工具的价格；</w:t>
            </w:r>
          </w:p>
          <w:p>
            <w:pPr>
              <w:shd w:val="clear"/>
              <w:spacing w:line="320" w:lineRule="exact"/>
              <w:rPr>
                <w:rFonts w:ascii="宋体" w:hAnsi="宋体"/>
                <w:color w:val="auto"/>
                <w:szCs w:val="21"/>
                <w:highlight w:val="none"/>
              </w:rPr>
            </w:pPr>
            <w:r>
              <w:rPr>
                <w:rFonts w:hint="eastAsia" w:ascii="宋体" w:hAnsi="宋体"/>
                <w:color w:val="auto"/>
                <w:szCs w:val="21"/>
                <w:highlight w:val="none"/>
              </w:rPr>
              <w:t>（3）运输、装卸、调试、培训、技术支持、售后服务等费用；</w:t>
            </w:r>
          </w:p>
          <w:p>
            <w:pPr>
              <w:shd w:val="clear"/>
              <w:spacing w:line="320" w:lineRule="exact"/>
              <w:rPr>
                <w:rFonts w:ascii="宋体" w:hAnsi="宋体"/>
                <w:color w:val="auto"/>
                <w:szCs w:val="21"/>
                <w:highlight w:val="none"/>
              </w:rPr>
            </w:pPr>
            <w:r>
              <w:rPr>
                <w:rFonts w:hint="eastAsia" w:ascii="宋体" w:hAnsi="宋体"/>
                <w:color w:val="auto"/>
                <w:szCs w:val="21"/>
                <w:highlight w:val="none"/>
              </w:rPr>
              <w:t>（4）必要的保险费用和各项税费；</w:t>
            </w:r>
          </w:p>
          <w:p>
            <w:pPr>
              <w:shd w:val="clear"/>
              <w:spacing w:line="320" w:lineRule="exact"/>
              <w:rPr>
                <w:rFonts w:ascii="宋体" w:hAnsi="宋体"/>
                <w:color w:val="auto"/>
                <w:szCs w:val="21"/>
                <w:highlight w:val="none"/>
              </w:rPr>
            </w:pPr>
            <w:r>
              <w:rPr>
                <w:rFonts w:hint="eastAsia" w:ascii="宋体" w:hAnsi="宋体"/>
                <w:color w:val="auto"/>
                <w:szCs w:val="21"/>
                <w:highlight w:val="none"/>
              </w:rPr>
              <w:t>（5）安装费用。</w:t>
            </w:r>
          </w:p>
          <w:p>
            <w:pPr>
              <w:shd w:val="clear"/>
              <w:spacing w:line="320" w:lineRule="exact"/>
              <w:rPr>
                <w:rFonts w:ascii="宋体" w:hAnsi="宋体"/>
                <w:color w:val="auto"/>
                <w:szCs w:val="21"/>
                <w:highlight w:val="none"/>
              </w:rPr>
            </w:pPr>
            <w:r>
              <w:rPr>
                <w:rFonts w:hint="eastAsia" w:ascii="宋体" w:hAnsi="宋体"/>
                <w:color w:val="auto"/>
                <w:szCs w:val="21"/>
                <w:highlight w:val="none"/>
              </w:rPr>
              <w:t>★2、付款方式及条件：转账付款，自甲乙双方签订合同之日起10个工作日内，甲方支付项目预付款</w:t>
            </w:r>
            <w:r>
              <w:rPr>
                <w:rFonts w:hint="eastAsia" w:ascii="宋体" w:hAnsi="宋体"/>
                <w:color w:val="auto"/>
                <w:szCs w:val="21"/>
                <w:highlight w:val="none"/>
                <w:u w:val="single"/>
              </w:rPr>
              <w:t xml:space="preserve">   </w:t>
            </w:r>
            <w:r>
              <w:rPr>
                <w:rFonts w:hint="eastAsia" w:ascii="宋体" w:hAnsi="宋体"/>
                <w:color w:val="auto"/>
                <w:szCs w:val="21"/>
                <w:highlight w:val="none"/>
              </w:rPr>
              <w:t>元整（</w:t>
            </w:r>
            <w:r>
              <w:rPr>
                <w:rFonts w:hint="eastAsia" w:ascii="宋体" w:hAnsi="宋体"/>
                <w:color w:val="auto"/>
                <w:szCs w:val="21"/>
                <w:highlight w:val="none"/>
                <w:u w:val="single"/>
              </w:rPr>
              <w:t xml:space="preserve">   </w:t>
            </w:r>
            <w:r>
              <w:rPr>
                <w:rFonts w:hint="eastAsia" w:ascii="宋体" w:hAnsi="宋体"/>
                <w:color w:val="auto"/>
                <w:szCs w:val="21"/>
                <w:highlight w:val="none"/>
              </w:rPr>
              <w:t>万元，占合同总金额50.00%）；项目完成终验且各项任务全部结束后，经甲乙双方确认，甲方在10个工作日内支付项目尾款</w:t>
            </w:r>
            <w:r>
              <w:rPr>
                <w:rFonts w:hint="eastAsia" w:ascii="宋体" w:hAnsi="宋体"/>
                <w:color w:val="auto"/>
                <w:szCs w:val="21"/>
                <w:highlight w:val="none"/>
                <w:u w:val="single"/>
              </w:rPr>
              <w:t xml:space="preserve">   </w:t>
            </w:r>
            <w:r>
              <w:rPr>
                <w:rFonts w:hint="eastAsia" w:ascii="宋体" w:hAnsi="宋体"/>
                <w:color w:val="auto"/>
                <w:szCs w:val="21"/>
                <w:highlight w:val="none"/>
              </w:rPr>
              <w:t>万元整（</w:t>
            </w:r>
            <w:r>
              <w:rPr>
                <w:rFonts w:hint="eastAsia" w:ascii="宋体" w:hAnsi="宋体"/>
                <w:color w:val="auto"/>
                <w:szCs w:val="21"/>
                <w:highlight w:val="none"/>
                <w:u w:val="single"/>
              </w:rPr>
              <w:t xml:space="preserve">   </w:t>
            </w:r>
            <w:r>
              <w:rPr>
                <w:rFonts w:hint="eastAsia" w:ascii="宋体" w:hAnsi="宋体"/>
                <w:color w:val="auto"/>
                <w:szCs w:val="21"/>
                <w:highlight w:val="none"/>
              </w:rPr>
              <w:t>万元，占合同总金额50%）。乙方需每次自收到合同款项之日起3个工作日内开具发票给甲方。</w:t>
            </w:r>
          </w:p>
          <w:p>
            <w:pPr>
              <w:shd w:val="clear"/>
              <w:spacing w:line="320" w:lineRule="exact"/>
              <w:rPr>
                <w:rFonts w:ascii="宋体" w:hAnsi="宋体"/>
                <w:color w:val="auto"/>
                <w:szCs w:val="21"/>
                <w:highlight w:val="none"/>
              </w:rPr>
            </w:pPr>
            <w:r>
              <w:rPr>
                <w:rFonts w:hint="eastAsia" w:ascii="宋体" w:hAnsi="宋体"/>
                <w:color w:val="auto"/>
                <w:szCs w:val="21"/>
                <w:highlight w:val="none"/>
              </w:rPr>
              <w:t>★3、验收方法及方案：到采购人指定地点进行现场验收。</w:t>
            </w:r>
          </w:p>
          <w:p>
            <w:pPr>
              <w:widowControl/>
              <w:shd w:val="clear"/>
              <w:jc w:val="left"/>
              <w:rPr>
                <w:rFonts w:ascii="宋体" w:hAnsi="宋体"/>
                <w:color w:val="auto"/>
                <w:szCs w:val="21"/>
                <w:highlight w:val="none"/>
              </w:rPr>
            </w:pPr>
            <w:r>
              <w:rPr>
                <w:rFonts w:hint="eastAsia" w:ascii="宋体" w:hAnsi="宋体"/>
                <w:color w:val="auto"/>
                <w:szCs w:val="21"/>
                <w:highlight w:val="none"/>
              </w:rPr>
              <w:t>★4、交货时，所有产品均严格按招标文件上的技术参数实质要求，采购单位按投标人响应和承诺的技术参数及性能等有关标准进行验收，达不到要求的不予验收，视为产品验收不合格，采购单位可解除双方的供货合同。并且保留追究投标人虚假应标的法律责任。</w:t>
            </w:r>
          </w:p>
          <w:p>
            <w:pPr>
              <w:widowControl/>
              <w:shd w:val="clear"/>
              <w:jc w:val="left"/>
              <w:rPr>
                <w:rFonts w:ascii="宋体" w:hAnsi="宋体"/>
                <w:color w:val="auto"/>
                <w:szCs w:val="21"/>
                <w:highlight w:val="none"/>
              </w:rPr>
            </w:pPr>
          </w:p>
        </w:tc>
      </w:tr>
    </w:tbl>
    <w:p>
      <w:pPr>
        <w:shd w:val="clear"/>
        <w:rPr>
          <w:color w:val="auto"/>
          <w:highlight w:val="none"/>
        </w:rPr>
      </w:pPr>
    </w:p>
    <w:p>
      <w:pPr>
        <w:shd w:val="clear"/>
        <w:rPr>
          <w:color w:val="auto"/>
          <w:highlight w:val="none"/>
        </w:rPr>
      </w:pPr>
    </w:p>
    <w:p>
      <w:pPr>
        <w:shd w:val="clear"/>
        <w:rPr>
          <w:color w:val="auto"/>
          <w:highlight w:val="none"/>
        </w:rPr>
      </w:pPr>
      <w:bookmarkStart w:id="8" w:name="_Toc496718678"/>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rFonts w:ascii="宋体" w:hAnsi="宋体"/>
          <w:b/>
          <w:color w:val="auto"/>
          <w:sz w:val="44"/>
          <w:szCs w:val="44"/>
          <w:highlight w:val="none"/>
        </w:rPr>
      </w:pPr>
      <w:r>
        <w:rPr>
          <w:rFonts w:hint="eastAsia" w:ascii="宋体" w:hAnsi="宋体"/>
          <w:b/>
          <w:color w:val="auto"/>
          <w:sz w:val="44"/>
          <w:szCs w:val="44"/>
          <w:highlight w:val="none"/>
        </w:rPr>
        <w:br w:type="page"/>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snapToGrid w:val="0"/>
        <w:jc w:val="center"/>
        <w:outlineLvl w:val="0"/>
        <w:rPr>
          <w:rFonts w:ascii="宋体"/>
          <w:b/>
          <w:color w:val="auto"/>
          <w:sz w:val="44"/>
          <w:szCs w:val="44"/>
          <w:highlight w:val="none"/>
        </w:rPr>
      </w:pPr>
      <w:r>
        <w:rPr>
          <w:rFonts w:hint="eastAsia" w:ascii="宋体" w:hAnsi="宋体"/>
          <w:b/>
          <w:color w:val="auto"/>
          <w:sz w:val="44"/>
          <w:szCs w:val="44"/>
          <w:highlight w:val="none"/>
        </w:rPr>
        <w:t>第三章 投标人须知</w:t>
      </w:r>
      <w:bookmarkEnd w:id="8"/>
    </w:p>
    <w:p>
      <w:pPr>
        <w:shd w:val="clear"/>
        <w:snapToGrid w:val="0"/>
        <w:jc w:val="center"/>
        <w:rPr>
          <w:rFonts w:ascii="宋体"/>
          <w:b/>
          <w:color w:val="auto"/>
          <w:sz w:val="32"/>
          <w:szCs w:val="32"/>
          <w:highlight w:val="none"/>
        </w:rPr>
      </w:pPr>
      <w:bookmarkStart w:id="9" w:name="_Toc254970667"/>
      <w:bookmarkStart w:id="10" w:name="_Toc254970526"/>
      <w:r>
        <w:rPr>
          <w:rFonts w:ascii="宋体"/>
          <w:b/>
          <w:color w:val="auto"/>
          <w:szCs w:val="28"/>
          <w:highlight w:val="none"/>
        </w:rPr>
        <w:br w:type="page"/>
      </w:r>
      <w:r>
        <w:rPr>
          <w:rFonts w:hint="eastAsia" w:ascii="宋体" w:hAnsi="宋体"/>
          <w:b/>
          <w:color w:val="auto"/>
          <w:sz w:val="32"/>
          <w:szCs w:val="32"/>
          <w:highlight w:val="none"/>
        </w:rPr>
        <w:t>投标人须知前附表</w:t>
      </w:r>
      <w:bookmarkEnd w:id="9"/>
      <w:bookmarkEnd w:id="10"/>
    </w:p>
    <w:p>
      <w:pPr>
        <w:shd w:val="clear"/>
        <w:snapToGrid w:val="0"/>
        <w:jc w:val="center"/>
        <w:rPr>
          <w:rFonts w:ascii="宋体"/>
          <w:b/>
          <w:color w:val="auto"/>
          <w:sz w:val="32"/>
          <w:szCs w:val="32"/>
          <w:highlight w:val="none"/>
        </w:rPr>
      </w:pPr>
    </w:p>
    <w:tbl>
      <w:tblPr>
        <w:tblStyle w:val="74"/>
        <w:tblW w:w="94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hint="eastAsia" w:ascii="宋体" w:hAnsi="宋体"/>
                <w:color w:val="auto"/>
                <w:szCs w:val="21"/>
                <w:highlight w:val="none"/>
              </w:rPr>
              <w:t>序号</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jc w:val="center"/>
              <w:rPr>
                <w:rFonts w:ascii="宋体"/>
                <w:color w:val="auto"/>
                <w:szCs w:val="21"/>
                <w:highlight w:val="none"/>
              </w:rPr>
            </w:pPr>
            <w:r>
              <w:rPr>
                <w:rFonts w:hint="eastAsia" w:ascii="宋体" w:hAnsi="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rPr>
                <w:rFonts w:ascii="宋体" w:hAnsi="宋体"/>
                <w:color w:val="auto"/>
                <w:szCs w:val="21"/>
                <w:highlight w:val="none"/>
              </w:rPr>
            </w:pPr>
            <w:r>
              <w:rPr>
                <w:rFonts w:hint="eastAsia" w:ascii="宋体" w:hAnsi="宋体"/>
                <w:color w:val="auto"/>
                <w:szCs w:val="21"/>
                <w:highlight w:val="none"/>
              </w:rPr>
              <w:t>项目名称：绿色数据中心节能机房</w:t>
            </w:r>
          </w:p>
          <w:p>
            <w:pPr>
              <w:shd w:val="clear"/>
              <w:snapToGrid w:val="0"/>
              <w:spacing w:line="400" w:lineRule="exact"/>
              <w:rPr>
                <w:rFonts w:ascii="宋体" w:hAnsi="宋体"/>
                <w:color w:val="auto"/>
                <w:spacing w:val="-4"/>
                <w:szCs w:val="21"/>
                <w:highlight w:val="none"/>
              </w:rPr>
            </w:pPr>
            <w:r>
              <w:rPr>
                <w:rFonts w:hint="eastAsia" w:ascii="宋体" w:hAnsi="宋体"/>
                <w:color w:val="auto"/>
                <w:szCs w:val="21"/>
                <w:highlight w:val="none"/>
              </w:rPr>
              <w:t>项目编号：GXZC2019-G1-25933-JGJD（重）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2</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rPr>
                <w:rFonts w:ascii="宋体"/>
                <w:color w:val="auto"/>
                <w:szCs w:val="21"/>
                <w:highlight w:val="none"/>
              </w:rPr>
            </w:pPr>
            <w:r>
              <w:rPr>
                <w:rFonts w:hint="eastAsia" w:ascii="宋体" w:hAnsi="宋体"/>
                <w:color w:val="auto"/>
                <w:szCs w:val="21"/>
                <w:highlight w:val="none"/>
              </w:rPr>
              <w:t>采购预算价（人民币）：100万元。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2</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rPr>
                <w:rFonts w:ascii="宋体"/>
                <w:color w:val="auto"/>
                <w:szCs w:val="21"/>
                <w:highlight w:val="none"/>
              </w:rPr>
            </w:pPr>
            <w:r>
              <w:rPr>
                <w:rFonts w:hint="eastAsia" w:ascii="宋体" w:hAnsi="宋体"/>
                <w:color w:val="auto"/>
                <w:szCs w:val="21"/>
                <w:highlight w:val="none"/>
              </w:rPr>
              <w:t>投标报价及费用：</w:t>
            </w:r>
          </w:p>
          <w:p>
            <w:pPr>
              <w:shd w:val="clear"/>
              <w:snapToGrid w:val="0"/>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、本项目投标应以人民币报价；</w:t>
            </w:r>
          </w:p>
          <w:p>
            <w:pPr>
              <w:shd w:val="clear"/>
              <w:snapToGrid w:val="0"/>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、不论投标结果如何，投标人均应自行承担所有与投标有关的全部费用；</w:t>
            </w:r>
          </w:p>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3、投标人须就《采购需求一览表》中的所有货物和服务内容作完整唯一报价；</w:t>
            </w:r>
          </w:p>
          <w:p>
            <w:pPr>
              <w:shd w:val="clear"/>
              <w:snapToGrid w:val="0"/>
              <w:spacing w:line="400" w:lineRule="exact"/>
              <w:jc w:val="left"/>
              <w:rPr>
                <w:rFonts w:ascii="宋体"/>
                <w:color w:val="auto"/>
                <w:szCs w:val="21"/>
                <w:highlight w:val="none"/>
              </w:rPr>
            </w:pPr>
            <w:r>
              <w:rPr>
                <w:rFonts w:hint="eastAsia" w:ascii="宋体" w:hAnsi="宋体"/>
                <w:color w:val="auto"/>
                <w:szCs w:val="21"/>
                <w:highlight w:val="none"/>
              </w:rPr>
              <w:t>4、本项目代理服务费依据：由招标人支付，按国家发展改革委调整招标代理服务收费</w:t>
            </w:r>
            <w:r>
              <w:rPr>
                <w:rFonts w:ascii="宋体" w:hAnsi="宋体"/>
                <w:color w:val="auto"/>
                <w:szCs w:val="21"/>
                <w:highlight w:val="none"/>
              </w:rPr>
              <w:t>(</w:t>
            </w:r>
            <w:r>
              <w:rPr>
                <w:rFonts w:hint="eastAsia" w:ascii="宋体" w:hAnsi="宋体"/>
                <w:color w:val="auto"/>
                <w:szCs w:val="21"/>
                <w:highlight w:val="none"/>
              </w:rPr>
              <w:t>发改价格</w:t>
            </w:r>
            <w:r>
              <w:rPr>
                <w:rFonts w:ascii="宋体" w:hAnsi="宋体"/>
                <w:color w:val="auto"/>
                <w:szCs w:val="21"/>
                <w:highlight w:val="none"/>
              </w:rPr>
              <w:t>[2011]534</w:t>
            </w:r>
            <w:r>
              <w:rPr>
                <w:rFonts w:hint="eastAsia" w:ascii="宋体" w:hAnsi="宋体"/>
                <w:color w:val="auto"/>
                <w:szCs w:val="21"/>
                <w:highlight w:val="none"/>
              </w:rPr>
              <w:t>号</w:t>
            </w:r>
            <w:r>
              <w:rPr>
                <w:rFonts w:ascii="宋体" w:hAnsi="宋体"/>
                <w:color w:val="auto"/>
                <w:szCs w:val="21"/>
                <w:highlight w:val="none"/>
              </w:rPr>
              <w:t>)</w:t>
            </w:r>
            <w:r>
              <w:rPr>
                <w:rFonts w:hint="eastAsia" w:ascii="宋体" w:hAnsi="宋体"/>
                <w:color w:val="auto"/>
                <w:szCs w:val="21"/>
                <w:highlight w:val="none"/>
              </w:rPr>
              <w:t>规定标准计取，以转账的形式一次性向招标代理机构支付。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3</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投标保证金：</w:t>
            </w:r>
          </w:p>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投标保证金金额（人民币）</w:t>
            </w:r>
            <w:r>
              <w:rPr>
                <w:rFonts w:hint="eastAsia" w:ascii="宋体" w:hAnsi="宋体"/>
                <w:color w:val="auto"/>
                <w:szCs w:val="21"/>
                <w:highlight w:val="none"/>
                <w:u w:val="single"/>
              </w:rPr>
              <w:t>：</w:t>
            </w:r>
            <w:r>
              <w:rPr>
                <w:rFonts w:hint="eastAsia" w:ascii="宋体" w:hAnsi="宋体"/>
                <w:color w:val="auto"/>
                <w:spacing w:val="-6"/>
                <w:szCs w:val="21"/>
                <w:highlight w:val="none"/>
                <w:u w:val="single"/>
              </w:rPr>
              <w:t>壹万元整（¥10000.00），</w:t>
            </w:r>
            <w:r>
              <w:rPr>
                <w:rFonts w:hint="eastAsia" w:ascii="宋体" w:hAnsi="宋体"/>
                <w:color w:val="auto"/>
                <w:szCs w:val="21"/>
                <w:highlight w:val="none"/>
                <w:u w:val="single"/>
              </w:rPr>
              <w:t>须足额缴纳。</w:t>
            </w:r>
          </w:p>
          <w:p>
            <w:pPr>
              <w:shd w:val="clear"/>
              <w:snapToGrid w:val="0"/>
              <w:spacing w:line="400" w:lineRule="exact"/>
              <w:jc w:val="left"/>
              <w:rPr>
                <w:rFonts w:ascii="宋体" w:hAnsi="宋体"/>
                <w:color w:val="auto"/>
                <w:szCs w:val="21"/>
                <w:highlight w:val="none"/>
              </w:rPr>
            </w:pPr>
            <w:r>
              <w:rPr>
                <w:rFonts w:ascii="宋体" w:hAnsi="宋体"/>
                <w:color w:val="auto"/>
                <w:szCs w:val="21"/>
                <w:highlight w:val="none"/>
              </w:rPr>
              <w:t>开户名称：</w:t>
            </w:r>
            <w:r>
              <w:rPr>
                <w:rFonts w:hint="eastAsia" w:ascii="宋体" w:hAnsi="宋体"/>
                <w:color w:val="auto"/>
                <w:szCs w:val="21"/>
                <w:highlight w:val="none"/>
              </w:rPr>
              <w:t>广西建设工程机电设备招标中心有限公司</w:t>
            </w:r>
          </w:p>
          <w:p>
            <w:pPr>
              <w:shd w:val="clear"/>
              <w:snapToGrid w:val="0"/>
              <w:spacing w:line="400" w:lineRule="exact"/>
              <w:jc w:val="left"/>
              <w:rPr>
                <w:rFonts w:ascii="宋体" w:hAnsi="宋体"/>
                <w:color w:val="auto"/>
                <w:szCs w:val="21"/>
                <w:highlight w:val="none"/>
              </w:rPr>
            </w:pPr>
            <w:r>
              <w:rPr>
                <w:rFonts w:ascii="宋体" w:hAnsi="宋体"/>
                <w:color w:val="auto"/>
                <w:szCs w:val="21"/>
                <w:highlight w:val="none"/>
              </w:rPr>
              <w:t>开户银行：</w:t>
            </w:r>
            <w:r>
              <w:rPr>
                <w:rFonts w:hint="eastAsia" w:ascii="宋体" w:hAnsi="宋体"/>
                <w:color w:val="auto"/>
                <w:szCs w:val="21"/>
                <w:highlight w:val="none"/>
              </w:rPr>
              <w:t>招商银行南宁分行营业部</w:t>
            </w:r>
          </w:p>
          <w:p>
            <w:pPr>
              <w:shd w:val="clear"/>
              <w:snapToGrid w:val="0"/>
              <w:spacing w:line="400" w:lineRule="exact"/>
              <w:jc w:val="left"/>
              <w:rPr>
                <w:rFonts w:ascii="宋体" w:hAnsi="宋体"/>
                <w:color w:val="auto"/>
                <w:szCs w:val="21"/>
                <w:highlight w:val="none"/>
              </w:rPr>
            </w:pPr>
            <w:r>
              <w:rPr>
                <w:rFonts w:ascii="宋体" w:hAnsi="宋体"/>
                <w:color w:val="auto"/>
                <w:szCs w:val="21"/>
                <w:highlight w:val="none"/>
              </w:rPr>
              <w:t>银行账号：7719 0142 3310 201</w:t>
            </w:r>
          </w:p>
          <w:p>
            <w:pPr>
              <w:shd w:val="clea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投标人应</w:t>
            </w:r>
            <w:r>
              <w:rPr>
                <w:rFonts w:ascii="宋体" w:hAnsi="宋体"/>
                <w:color w:val="auto"/>
                <w:szCs w:val="21"/>
                <w:highlight w:val="none"/>
              </w:rPr>
              <w:t>于投标截止时间前</w:t>
            </w:r>
            <w:r>
              <w:rPr>
                <w:rFonts w:hint="eastAsia" w:ascii="宋体" w:hAnsi="宋体"/>
                <w:color w:val="auto"/>
                <w:szCs w:val="21"/>
                <w:highlight w:val="none"/>
              </w:rPr>
              <w:t>将投标保证金以基本户转账、电汇形式交至以上账户。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4</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jc w:val="left"/>
              <w:rPr>
                <w:rFonts w:ascii="宋体"/>
                <w:color w:val="auto"/>
                <w:szCs w:val="21"/>
                <w:highlight w:val="none"/>
              </w:rPr>
            </w:pPr>
            <w:r>
              <w:rPr>
                <w:rFonts w:hint="eastAsia" w:hAnsi="宋体"/>
                <w:color w:val="auto"/>
                <w:szCs w:val="21"/>
                <w:highlight w:val="none"/>
              </w:rPr>
              <w:t>合同名称：</w:t>
            </w:r>
            <w:r>
              <w:rPr>
                <w:rFonts w:hint="eastAsia" w:ascii="宋体" w:hAnsi="宋体"/>
                <w:color w:val="auto"/>
                <w:szCs w:val="21"/>
                <w:highlight w:val="none"/>
              </w:rPr>
              <w:t>绿色数据中心节能机房合同</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5</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textAlignment w:val="bottom"/>
              <w:rPr>
                <w:rFonts w:ascii="宋体" w:cs="Arial"/>
                <w:color w:val="auto"/>
                <w:szCs w:val="21"/>
                <w:highlight w:val="none"/>
              </w:rPr>
            </w:pPr>
            <w:r>
              <w:rPr>
                <w:rFonts w:hint="eastAsia" w:ascii="宋体" w:hAnsi="宋体"/>
                <w:color w:val="auto"/>
                <w:szCs w:val="21"/>
                <w:highlight w:val="none"/>
              </w:rPr>
              <w:t>投标文件组成：开标一览表</w:t>
            </w:r>
            <w:r>
              <w:rPr>
                <w:rFonts w:hint="eastAsia" w:ascii="宋体" w:hAnsi="宋体" w:cs="Arial"/>
                <w:color w:val="auto"/>
                <w:szCs w:val="21"/>
                <w:highlight w:val="none"/>
                <w:u w:val="single"/>
              </w:rPr>
              <w:t>贰</w:t>
            </w:r>
            <w:r>
              <w:rPr>
                <w:rFonts w:hint="eastAsia" w:ascii="宋体" w:hAnsi="宋体" w:cs="Arial"/>
                <w:color w:val="auto"/>
                <w:szCs w:val="21"/>
                <w:highlight w:val="none"/>
              </w:rPr>
              <w:t>份；投标文件（包括资格审查文件、技术及商务文件和报价文件）</w:t>
            </w:r>
            <w:r>
              <w:rPr>
                <w:rFonts w:hint="eastAsia" w:ascii="宋体" w:hAnsi="宋体"/>
                <w:color w:val="auto"/>
                <w:szCs w:val="21"/>
                <w:highlight w:val="none"/>
              </w:rPr>
              <w:t>正本</w:t>
            </w:r>
            <w:r>
              <w:rPr>
                <w:rFonts w:hint="eastAsia" w:ascii="宋体" w:hAnsi="宋体" w:cs="Arial"/>
                <w:color w:val="auto"/>
                <w:szCs w:val="21"/>
                <w:highlight w:val="none"/>
                <w:u w:val="single"/>
              </w:rPr>
              <w:t>壹</w:t>
            </w:r>
            <w:r>
              <w:rPr>
                <w:rFonts w:hint="eastAsia" w:ascii="宋体" w:hAnsi="宋体"/>
                <w:color w:val="auto"/>
                <w:szCs w:val="21"/>
                <w:highlight w:val="none"/>
              </w:rPr>
              <w:t>份；副本</w:t>
            </w:r>
            <w:r>
              <w:rPr>
                <w:rFonts w:hint="eastAsia" w:ascii="宋体" w:hAnsi="宋体"/>
                <w:color w:val="auto"/>
                <w:szCs w:val="21"/>
                <w:highlight w:val="none"/>
                <w:u w:val="single"/>
              </w:rPr>
              <w:t>肆</w:t>
            </w:r>
            <w:r>
              <w:rPr>
                <w:rFonts w:hint="eastAsia" w:ascii="宋体" w:hAnsi="宋体"/>
                <w:color w:val="auto"/>
                <w:szCs w:val="21"/>
                <w:highlight w:val="none"/>
              </w:rPr>
              <w:t>份；电子文档</w:t>
            </w:r>
            <w:r>
              <w:rPr>
                <w:rFonts w:hint="eastAsia" w:ascii="宋体" w:hAnsi="宋体" w:cs="Arial"/>
                <w:color w:val="auto"/>
                <w:szCs w:val="21"/>
                <w:highlight w:val="none"/>
                <w:u w:val="single"/>
              </w:rPr>
              <w:t>壹</w:t>
            </w:r>
            <w:r>
              <w:rPr>
                <w:rFonts w:hint="eastAsia" w:ascii="宋体" w:hAnsi="宋体"/>
                <w:color w:val="auto"/>
                <w:szCs w:val="21"/>
                <w:highlight w:val="none"/>
              </w:rPr>
              <w:t>份（</w:t>
            </w:r>
            <w:r>
              <w:rPr>
                <w:rFonts w:ascii="宋体" w:hAnsi="宋体"/>
                <w:color w:val="auto"/>
                <w:szCs w:val="21"/>
                <w:highlight w:val="none"/>
              </w:rPr>
              <w:t>U</w:t>
            </w:r>
            <w:r>
              <w:rPr>
                <w:rFonts w:hint="eastAsia" w:ascii="宋体" w:hAnsi="宋体"/>
                <w:color w:val="auto"/>
                <w:szCs w:val="21"/>
                <w:highlight w:val="none"/>
              </w:rPr>
              <w:t>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hAnsi="宋体"/>
                <w:color w:val="auto"/>
                <w:szCs w:val="21"/>
                <w:highlight w:val="none"/>
              </w:rPr>
            </w:pPr>
            <w:r>
              <w:rPr>
                <w:rFonts w:ascii="宋体" w:hAnsi="宋体"/>
                <w:color w:val="auto"/>
                <w:szCs w:val="21"/>
                <w:highlight w:val="none"/>
              </w:rPr>
              <w:t>6</w:t>
            </w:r>
          </w:p>
        </w:tc>
        <w:tc>
          <w:tcPr>
            <w:tcW w:w="8640" w:type="dxa"/>
            <w:tcBorders>
              <w:top w:val="single" w:color="auto" w:sz="4" w:space="0"/>
              <w:left w:val="single" w:color="auto" w:sz="4" w:space="0"/>
              <w:bottom w:val="single" w:color="auto" w:sz="4" w:space="0"/>
            </w:tcBorders>
            <w:vAlign w:val="center"/>
          </w:tcPr>
          <w:p>
            <w:pPr>
              <w:widowControl/>
              <w:shd w:val="clear"/>
              <w:spacing w:line="320" w:lineRule="exact"/>
              <w:rPr>
                <w:rFonts w:ascii="宋体" w:hAnsi="宋体"/>
                <w:color w:val="auto"/>
                <w:szCs w:val="21"/>
                <w:highlight w:val="none"/>
              </w:rPr>
            </w:pPr>
            <w:r>
              <w:rPr>
                <w:rFonts w:hint="eastAsia" w:ascii="宋体" w:hAnsi="宋体"/>
                <w:color w:val="auto"/>
                <w:szCs w:val="21"/>
                <w:highlight w:val="none"/>
              </w:rPr>
              <w:t>现场勘察：</w:t>
            </w:r>
          </w:p>
          <w:p>
            <w:pPr>
              <w:widowControl/>
              <w:shd w:val="clear"/>
              <w:spacing w:line="320" w:lineRule="exact"/>
              <w:rPr>
                <w:rFonts w:ascii="宋体" w:hAnsi="宋体"/>
                <w:color w:val="auto"/>
                <w:szCs w:val="21"/>
                <w:highlight w:val="none"/>
              </w:rPr>
            </w:pPr>
            <w:r>
              <w:rPr>
                <w:rFonts w:hint="eastAsia" w:ascii="宋体" w:hAnsi="宋体"/>
                <w:color w:val="auto"/>
                <w:szCs w:val="21"/>
                <w:highlight w:val="none"/>
              </w:rPr>
              <w:t>勘察时间：2019年</w:t>
            </w:r>
            <w:r>
              <w:rPr>
                <w:rFonts w:hint="eastAsia" w:ascii="宋体" w:hAnsi="宋体"/>
                <w:color w:val="auto"/>
                <w:szCs w:val="21"/>
                <w:highlight w:val="none"/>
                <w:lang w:val="en-US" w:eastAsia="zh-CN"/>
              </w:rPr>
              <w:t>10</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日9时；勘察地点：南宁市桃源路3号</w:t>
            </w:r>
          </w:p>
          <w:p>
            <w:pPr>
              <w:widowControl/>
              <w:shd w:val="clear"/>
              <w:spacing w:line="320" w:lineRule="exact"/>
              <w:rPr>
                <w:rFonts w:ascii="宋体" w:hAnsi="宋体"/>
                <w:color w:val="auto"/>
                <w:szCs w:val="21"/>
                <w:highlight w:val="none"/>
              </w:rPr>
            </w:pPr>
            <w:r>
              <w:rPr>
                <w:rFonts w:hint="eastAsia" w:ascii="宋体" w:hAnsi="宋体"/>
                <w:color w:val="auto"/>
                <w:szCs w:val="21"/>
                <w:highlight w:val="none"/>
              </w:rPr>
              <w:t>联系人及电话：郑浩宇 0771-2809238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7</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rPr>
                <w:rFonts w:ascii="宋体"/>
                <w:color w:val="auto"/>
                <w:szCs w:val="21"/>
                <w:highlight w:val="none"/>
              </w:rPr>
            </w:pPr>
            <w:r>
              <w:rPr>
                <w:rFonts w:hint="eastAsia" w:ascii="宋体" w:hAnsi="宋体"/>
                <w:color w:val="auto"/>
                <w:szCs w:val="21"/>
                <w:highlight w:val="none"/>
              </w:rPr>
              <w:t>投标文件递交截止时间：2019年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7</w:t>
            </w:r>
            <w:r>
              <w:rPr>
                <w:rFonts w:hint="eastAsia" w:ascii="宋体" w:hAnsi="宋体"/>
                <w:color w:val="auto"/>
                <w:szCs w:val="21"/>
                <w:highlight w:val="none"/>
              </w:rPr>
              <w:t>日14时00分止；</w:t>
            </w:r>
          </w:p>
          <w:p>
            <w:pPr>
              <w:shd w:val="clear"/>
              <w:snapToGrid w:val="0"/>
              <w:spacing w:line="400" w:lineRule="exact"/>
              <w:rPr>
                <w:rFonts w:ascii="宋体"/>
                <w:color w:val="auto"/>
                <w:szCs w:val="21"/>
                <w:highlight w:val="none"/>
              </w:rPr>
            </w:pPr>
            <w:r>
              <w:rPr>
                <w:rFonts w:hint="eastAsia" w:ascii="宋体" w:hAnsi="宋体"/>
                <w:color w:val="auto"/>
                <w:szCs w:val="21"/>
                <w:highlight w:val="none"/>
              </w:rPr>
              <w:t>投标文件递交地点：</w:t>
            </w:r>
            <w:r>
              <w:rPr>
                <w:rFonts w:hint="eastAsia" w:hAnsi="宋体"/>
                <w:color w:val="auto"/>
                <w:spacing w:val="-4"/>
                <w:szCs w:val="21"/>
                <w:highlight w:val="none"/>
              </w:rPr>
              <w:t>广西南宁市青秀区怡宾路6号自治区政务服务中心4楼广西壮族自治区公共资源交易中心开标室（具体开标室根据电子屏幕显示的安排），由本中心工作人员签收。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9"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8</w:t>
            </w:r>
          </w:p>
        </w:tc>
        <w:tc>
          <w:tcPr>
            <w:tcW w:w="8640" w:type="dxa"/>
            <w:tcBorders>
              <w:top w:val="single" w:color="auto" w:sz="4" w:space="0"/>
              <w:left w:val="single" w:color="auto" w:sz="4" w:space="0"/>
              <w:bottom w:val="single" w:color="auto" w:sz="4" w:space="0"/>
            </w:tcBorders>
            <w:vAlign w:val="center"/>
          </w:tcPr>
          <w:p>
            <w:pPr>
              <w:shd w:val="clear"/>
              <w:snapToGrid w:val="0"/>
              <w:spacing w:line="400" w:lineRule="exact"/>
              <w:rPr>
                <w:rFonts w:ascii="宋体"/>
                <w:color w:val="auto"/>
                <w:szCs w:val="21"/>
                <w:highlight w:val="none"/>
              </w:rPr>
            </w:pPr>
            <w:r>
              <w:rPr>
                <w:rFonts w:hint="eastAsia" w:ascii="宋体" w:hAnsi="宋体"/>
                <w:color w:val="auto"/>
                <w:szCs w:val="21"/>
                <w:highlight w:val="none"/>
              </w:rPr>
              <w:t>开标时间：2019年</w:t>
            </w:r>
            <w:r>
              <w:rPr>
                <w:rFonts w:hint="eastAsia" w:ascii="宋体" w:hAnsi="宋体"/>
                <w:color w:val="auto"/>
                <w:szCs w:val="21"/>
                <w:highlight w:val="none"/>
                <w:lang w:val="en-US" w:eastAsia="zh-CN"/>
              </w:rPr>
              <w:t>11</w:t>
            </w:r>
            <w:r>
              <w:rPr>
                <w:rFonts w:hint="eastAsia" w:ascii="宋体" w:hAnsi="宋体"/>
                <w:color w:val="auto"/>
                <w:szCs w:val="21"/>
                <w:highlight w:val="none"/>
              </w:rPr>
              <w:t>月</w:t>
            </w:r>
            <w:r>
              <w:rPr>
                <w:rFonts w:hint="eastAsia" w:ascii="宋体" w:hAnsi="宋体"/>
                <w:color w:val="auto"/>
                <w:szCs w:val="21"/>
                <w:highlight w:val="none"/>
                <w:lang w:val="en-US" w:eastAsia="zh-CN"/>
              </w:rPr>
              <w:t>7</w:t>
            </w:r>
            <w:r>
              <w:rPr>
                <w:rFonts w:hint="eastAsia" w:ascii="宋体" w:hAnsi="宋体"/>
                <w:color w:val="auto"/>
                <w:szCs w:val="21"/>
                <w:highlight w:val="none"/>
              </w:rPr>
              <w:t>日14时00分；</w:t>
            </w:r>
          </w:p>
          <w:p>
            <w:pPr>
              <w:shd w:val="clear"/>
              <w:snapToGrid w:val="0"/>
              <w:spacing w:line="400" w:lineRule="exact"/>
              <w:rPr>
                <w:rFonts w:ascii="宋体"/>
                <w:color w:val="auto"/>
                <w:szCs w:val="21"/>
                <w:highlight w:val="none"/>
              </w:rPr>
            </w:pPr>
            <w:r>
              <w:rPr>
                <w:rFonts w:hint="eastAsia" w:ascii="宋体" w:hAnsi="宋体"/>
                <w:color w:val="auto"/>
                <w:szCs w:val="21"/>
                <w:highlight w:val="none"/>
              </w:rPr>
              <w:t>地点：</w:t>
            </w:r>
            <w:r>
              <w:rPr>
                <w:rFonts w:hint="eastAsia" w:hAnsi="宋体"/>
                <w:color w:val="auto"/>
                <w:spacing w:val="-4"/>
                <w:szCs w:val="21"/>
                <w:highlight w:val="none"/>
              </w:rPr>
              <w:t>广西南宁市青秀区怡宾路6号自治区政务服务中心4楼广西壮族自治区公共资源交易中心开标室（具体开标室根据电子屏幕显示的安排）。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9</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textAlignment w:val="bottom"/>
              <w:rPr>
                <w:rFonts w:ascii="宋体"/>
                <w:color w:val="auto"/>
                <w:szCs w:val="21"/>
                <w:highlight w:val="none"/>
              </w:rPr>
            </w:pPr>
            <w:r>
              <w:rPr>
                <w:rFonts w:hint="eastAsia" w:ascii="宋体" w:hAnsi="宋体"/>
                <w:color w:val="auto"/>
                <w:szCs w:val="21"/>
                <w:highlight w:val="none"/>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10</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jc w:val="left"/>
              <w:textAlignment w:val="bottom"/>
              <w:rPr>
                <w:rFonts w:ascii="宋体"/>
                <w:color w:val="auto"/>
                <w:szCs w:val="21"/>
                <w:highlight w:val="none"/>
              </w:rPr>
            </w:pPr>
            <w:r>
              <w:rPr>
                <w:rFonts w:hint="eastAsia" w:ascii="宋体" w:hAnsi="宋体"/>
                <w:color w:val="auto"/>
                <w:szCs w:val="21"/>
                <w:highlight w:val="none"/>
              </w:rPr>
              <w:t>中标公告及中标通知书：本中心在采购人依法确认中标人后</w:t>
            </w:r>
            <w:r>
              <w:rPr>
                <w:rFonts w:ascii="宋体" w:hAnsi="宋体"/>
                <w:color w:val="auto"/>
                <w:szCs w:val="21"/>
                <w:highlight w:val="none"/>
              </w:rPr>
              <w:t>2</w:t>
            </w:r>
            <w:r>
              <w:rPr>
                <w:rFonts w:hint="eastAsia" w:ascii="宋体" w:hAnsi="宋体"/>
                <w:color w:val="auto"/>
                <w:szCs w:val="21"/>
                <w:highlight w:val="none"/>
              </w:rPr>
              <w:t>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1</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textAlignment w:val="bottom"/>
              <w:rPr>
                <w:rFonts w:ascii="宋体"/>
                <w:color w:val="auto"/>
                <w:szCs w:val="21"/>
                <w:highlight w:val="none"/>
              </w:rPr>
            </w:pPr>
            <w:r>
              <w:rPr>
                <w:rFonts w:hint="eastAsia" w:ascii="宋体" w:hAnsi="宋体"/>
                <w:color w:val="auto"/>
                <w:szCs w:val="21"/>
                <w:highlight w:val="none"/>
              </w:rPr>
              <w:t>投标保证金退还：除招标文件规定不予退还保证金的情形外，未中标人的投标保证金在中标通知书发出后五个工作日内退还，中标人的投标保证金在合同签订后五个工作日内退还。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12</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textAlignment w:val="bottom"/>
              <w:rPr>
                <w:rFonts w:ascii="宋体"/>
                <w:color w:val="auto"/>
                <w:szCs w:val="21"/>
                <w:highlight w:val="none"/>
              </w:rPr>
            </w:pPr>
            <w:r>
              <w:rPr>
                <w:rFonts w:hint="eastAsia" w:ascii="宋体" w:hAnsi="宋体"/>
                <w:color w:val="auto"/>
                <w:szCs w:val="21"/>
                <w:highlight w:val="none"/>
              </w:rPr>
              <w:t>投标文件有效期：投标截止日期结束后</w:t>
            </w:r>
            <w:r>
              <w:rPr>
                <w:rFonts w:ascii="宋体" w:hAnsi="宋体"/>
                <w:color w:val="auto"/>
                <w:szCs w:val="21"/>
                <w:highlight w:val="none"/>
              </w:rPr>
              <w:t>60</w:t>
            </w:r>
            <w:r>
              <w:rPr>
                <w:rFonts w:hint="eastAsia" w:ascii="宋体" w:hAnsi="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13</w:t>
            </w:r>
          </w:p>
        </w:tc>
        <w:tc>
          <w:tcPr>
            <w:tcW w:w="8640" w:type="dxa"/>
            <w:tcBorders>
              <w:top w:val="single" w:color="auto" w:sz="4" w:space="0"/>
              <w:left w:val="single" w:color="auto" w:sz="4" w:space="0"/>
              <w:bottom w:val="single" w:color="auto" w:sz="4" w:space="0"/>
            </w:tcBorders>
            <w:vAlign w:val="center"/>
          </w:tcPr>
          <w:p>
            <w:pPr>
              <w:shd w:val="clear"/>
              <w:autoSpaceDE w:val="0"/>
              <w:autoSpaceDN w:val="0"/>
              <w:snapToGrid w:val="0"/>
              <w:spacing w:line="400" w:lineRule="exact"/>
              <w:textAlignment w:val="bottom"/>
              <w:rPr>
                <w:rFonts w:ascii="宋体"/>
                <w:color w:val="auto"/>
                <w:szCs w:val="21"/>
                <w:highlight w:val="none"/>
              </w:rPr>
            </w:pPr>
            <w:r>
              <w:rPr>
                <w:rFonts w:hint="eastAsia" w:ascii="宋体" w:hAnsi="宋体"/>
                <w:color w:val="auto"/>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14</w:t>
            </w:r>
          </w:p>
        </w:tc>
        <w:tc>
          <w:tcPr>
            <w:tcW w:w="8640" w:type="dxa"/>
            <w:tcBorders>
              <w:top w:val="single" w:color="auto" w:sz="4" w:space="0"/>
              <w:left w:val="single" w:color="auto" w:sz="4" w:space="0"/>
              <w:bottom w:val="single" w:color="auto" w:sz="4" w:space="0"/>
            </w:tcBorders>
          </w:tcPr>
          <w:p>
            <w:pPr>
              <w:shd w:val="clear"/>
              <w:spacing w:line="400" w:lineRule="exact"/>
              <w:rPr>
                <w:rFonts w:ascii="宋体"/>
                <w:color w:val="auto"/>
                <w:szCs w:val="21"/>
                <w:highlight w:val="none"/>
              </w:rPr>
            </w:pPr>
            <w:r>
              <w:rPr>
                <w:rFonts w:hint="eastAsia" w:ascii="宋体" w:hAnsi="宋体"/>
                <w:color w:val="auto"/>
                <w:kern w:val="0"/>
                <w:szCs w:val="21"/>
                <w:highlight w:val="none"/>
              </w:rPr>
              <w:t>付款方式：</w:t>
            </w:r>
            <w:r>
              <w:rPr>
                <w:rFonts w:hint="eastAsia" w:ascii="宋体" w:hAnsi="宋体"/>
                <w:color w:val="auto"/>
                <w:szCs w:val="21"/>
                <w:highlight w:val="none"/>
              </w:rPr>
              <w:t>本项目无预付款，供应商交货完毕并验收合格后，支付50%合同款，剩余50%合同款于2020年支付。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15</w:t>
            </w:r>
          </w:p>
        </w:tc>
        <w:tc>
          <w:tcPr>
            <w:tcW w:w="8640" w:type="dxa"/>
            <w:tcBorders>
              <w:top w:val="single" w:color="auto" w:sz="4" w:space="0"/>
              <w:left w:val="single" w:color="auto" w:sz="4" w:space="0"/>
              <w:bottom w:val="single" w:color="auto" w:sz="4" w:space="0"/>
            </w:tcBorders>
          </w:tcPr>
          <w:p>
            <w:pPr>
              <w:shd w:val="clear"/>
              <w:spacing w:line="400" w:lineRule="exact"/>
              <w:rPr>
                <w:rFonts w:ascii="宋体"/>
                <w:color w:val="auto"/>
                <w:szCs w:val="21"/>
                <w:highlight w:val="none"/>
              </w:rPr>
            </w:pPr>
            <w:r>
              <w:rPr>
                <w:rFonts w:hint="eastAsia" w:ascii="宋体" w:hAnsi="宋体"/>
                <w:color w:val="auto"/>
                <w:szCs w:val="21"/>
                <w:highlight w:val="none"/>
              </w:rPr>
              <w:t>政府采购合同公告：根据《中华人民共和国政府采购法实施条例》第五十条规定，采购人应当自政府采购合同签订之日起</w:t>
            </w:r>
            <w:r>
              <w:rPr>
                <w:rFonts w:ascii="宋体" w:hAnsi="宋体"/>
                <w:color w:val="auto"/>
                <w:szCs w:val="21"/>
                <w:highlight w:val="none"/>
              </w:rPr>
              <w:t>2</w:t>
            </w:r>
            <w:r>
              <w:rPr>
                <w:rFonts w:hint="eastAsia" w:ascii="宋体" w:hAnsi="宋体"/>
                <w:color w:val="auto"/>
                <w:szCs w:val="21"/>
                <w:highlight w:val="none"/>
              </w:rPr>
              <w:t>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16</w:t>
            </w:r>
          </w:p>
        </w:tc>
        <w:tc>
          <w:tcPr>
            <w:tcW w:w="8640" w:type="dxa"/>
            <w:tcBorders>
              <w:top w:val="single" w:color="auto" w:sz="4" w:space="0"/>
              <w:left w:val="single" w:color="auto" w:sz="4" w:space="0"/>
              <w:bottom w:val="single" w:color="auto" w:sz="4" w:space="0"/>
            </w:tcBorders>
          </w:tcPr>
          <w:p>
            <w:pPr>
              <w:widowControl/>
              <w:shd w:val="clear"/>
              <w:spacing w:line="400" w:lineRule="exact"/>
              <w:jc w:val="left"/>
              <w:rPr>
                <w:rFonts w:ascii="宋体" w:cs="宋体"/>
                <w:color w:val="auto"/>
                <w:szCs w:val="21"/>
                <w:highlight w:val="none"/>
              </w:rPr>
            </w:pPr>
            <w:r>
              <w:rPr>
                <w:rFonts w:hint="eastAsia" w:ascii="宋体" w:hAnsi="宋体" w:cs="宋体"/>
                <w:color w:val="auto"/>
                <w:szCs w:val="21"/>
                <w:highlight w:val="none"/>
              </w:rPr>
              <w:t>其他：</w:t>
            </w:r>
          </w:p>
          <w:p>
            <w:pPr>
              <w:widowControl/>
              <w:shd w:val="clear"/>
              <w:spacing w:line="400" w:lineRule="exact"/>
              <w:jc w:val="left"/>
              <w:rPr>
                <w:rFonts w:ascii="宋体" w:cs="宋体"/>
                <w:color w:val="auto"/>
                <w:szCs w:val="21"/>
                <w:highlight w:val="none"/>
              </w:rPr>
            </w:pPr>
            <w:r>
              <w:rPr>
                <w:rFonts w:ascii="宋体" w:hAnsi="宋体" w:cs="宋体"/>
                <w:color w:val="auto"/>
                <w:szCs w:val="21"/>
                <w:highlight w:val="none"/>
              </w:rPr>
              <w:t>1</w:t>
            </w:r>
            <w:r>
              <w:rPr>
                <w:rFonts w:hint="eastAsia" w:ascii="宋体" w:hAnsi="宋体"/>
                <w:color w:val="auto"/>
                <w:szCs w:val="21"/>
                <w:highlight w:val="none"/>
              </w:rPr>
              <w:t>、</w:t>
            </w:r>
            <w:r>
              <w:rPr>
                <w:rFonts w:hint="eastAsia" w:ascii="宋体" w:hAnsi="宋体" w:cs="宋体"/>
                <w:color w:val="auto"/>
                <w:szCs w:val="21"/>
                <w:highlight w:val="none"/>
              </w:rPr>
              <w:t>本招标文件中描述投标人的</w:t>
            </w:r>
            <w:r>
              <w:rPr>
                <w:rFonts w:hint="eastAsia" w:ascii="宋体" w:cs="宋体"/>
                <w:color w:val="auto"/>
                <w:szCs w:val="21"/>
                <w:highlight w:val="none"/>
              </w:rPr>
              <w:t>“</w:t>
            </w:r>
            <w:r>
              <w:rPr>
                <w:rFonts w:hint="eastAsia" w:ascii="宋体" w:hAnsi="宋体" w:cs="宋体"/>
                <w:color w:val="auto"/>
                <w:szCs w:val="21"/>
                <w:highlight w:val="none"/>
              </w:rPr>
              <w:t>公章</w:t>
            </w:r>
            <w:r>
              <w:rPr>
                <w:rFonts w:hint="eastAsia" w:ascii="宋体" w:cs="宋体"/>
                <w:color w:val="auto"/>
                <w:szCs w:val="21"/>
                <w:highlight w:val="none"/>
              </w:rPr>
              <w:t>”</w:t>
            </w:r>
            <w:r>
              <w:rPr>
                <w:rFonts w:hint="eastAsia" w:ascii="宋体" w:hAnsi="宋体" w:cs="宋体"/>
                <w:color w:val="auto"/>
                <w:szCs w:val="21"/>
                <w:highlight w:val="none"/>
              </w:rPr>
              <w:t>是指根据我国对公章的管理规定，用投标人法定主体行为名称制作的印章，除本招标文件有特殊规定外，投标人的财务章、部门章、分公司章、工会章、合同章、投标专用章、业务专用章等其它形式印章均不能代替公章。</w:t>
            </w:r>
          </w:p>
          <w:p>
            <w:pPr>
              <w:pStyle w:val="31"/>
              <w:shd w:val="clear"/>
              <w:spacing w:line="400" w:lineRule="exact"/>
              <w:rPr>
                <w:rFonts w:hAnsi="宋体" w:cs="宋体"/>
                <w:color w:val="auto"/>
                <w:highlight w:val="none"/>
              </w:rPr>
            </w:pPr>
            <w:r>
              <w:rPr>
                <w:rFonts w:hAnsi="宋体"/>
                <w:color w:val="auto"/>
                <w:highlight w:val="none"/>
              </w:rPr>
              <w:t>2</w:t>
            </w:r>
            <w:r>
              <w:rPr>
                <w:rFonts w:hint="eastAsia" w:hAnsi="宋体"/>
                <w:color w:val="auto"/>
                <w:highlight w:val="none"/>
              </w:rPr>
              <w:t>、</w:t>
            </w:r>
            <w:r>
              <w:rPr>
                <w:rFonts w:hint="eastAsia" w:hAnsi="宋体" w:cs="宋体"/>
                <w:color w:val="auto"/>
                <w:highlight w:val="none"/>
              </w:rPr>
              <w:t>本招标文件中描述投标人的“签字”是指投标人的法定代表人或被授权人亲自在招标文件规定签署处亲笔写上个人的名字的行为，私章、签字章、印鉴、影印等其它形式均不能代替亲笔签字。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17" w:type="dxa"/>
            <w:tcBorders>
              <w:top w:val="single" w:color="auto" w:sz="4" w:space="0"/>
              <w:bottom w:val="single" w:color="auto" w:sz="4" w:space="0"/>
              <w:right w:val="single" w:color="auto" w:sz="4" w:space="0"/>
            </w:tcBorders>
            <w:vAlign w:val="center"/>
          </w:tcPr>
          <w:p>
            <w:pPr>
              <w:shd w:val="clear"/>
              <w:snapToGrid w:val="0"/>
              <w:spacing w:line="400" w:lineRule="exact"/>
              <w:jc w:val="center"/>
              <w:rPr>
                <w:rFonts w:ascii="宋体"/>
                <w:color w:val="auto"/>
                <w:szCs w:val="21"/>
                <w:highlight w:val="none"/>
              </w:rPr>
            </w:pPr>
            <w:r>
              <w:rPr>
                <w:rFonts w:ascii="宋体" w:hAnsi="宋体"/>
                <w:color w:val="auto"/>
                <w:szCs w:val="21"/>
                <w:highlight w:val="none"/>
              </w:rPr>
              <w:t>17</w:t>
            </w:r>
          </w:p>
        </w:tc>
        <w:tc>
          <w:tcPr>
            <w:tcW w:w="8640" w:type="dxa"/>
            <w:tcBorders>
              <w:top w:val="single" w:color="auto" w:sz="4" w:space="0"/>
              <w:left w:val="single" w:color="auto" w:sz="4" w:space="0"/>
              <w:bottom w:val="single" w:color="auto" w:sz="4" w:space="0"/>
            </w:tcBorders>
          </w:tcPr>
          <w:p>
            <w:pPr>
              <w:shd w:val="clear"/>
              <w:spacing w:line="400" w:lineRule="exact"/>
              <w:rPr>
                <w:rFonts w:ascii="宋体"/>
                <w:color w:val="auto"/>
                <w:szCs w:val="21"/>
                <w:highlight w:val="none"/>
              </w:rPr>
            </w:pPr>
            <w:r>
              <w:rPr>
                <w:rFonts w:hint="eastAsia" w:ascii="宋体" w:hAnsi="宋体"/>
                <w:color w:val="auto"/>
                <w:szCs w:val="21"/>
                <w:highlight w:val="none"/>
              </w:rPr>
              <w:t>解释：本招标文件的解释权属于招标采购代理机构。</w:t>
            </w:r>
          </w:p>
        </w:tc>
      </w:tr>
    </w:tbl>
    <w:p>
      <w:pPr>
        <w:pStyle w:val="31"/>
        <w:shd w:val="clear"/>
        <w:snapToGrid w:val="0"/>
        <w:jc w:val="center"/>
        <w:rPr>
          <w:rFonts w:hAnsi="宋体"/>
          <w:b/>
          <w:color w:val="auto"/>
          <w:highlight w:val="none"/>
        </w:rPr>
      </w:pPr>
    </w:p>
    <w:p>
      <w:pPr>
        <w:pStyle w:val="31"/>
        <w:shd w:val="clear"/>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一、总则</w:t>
      </w:r>
    </w:p>
    <w:p>
      <w:pPr>
        <w:shd w:val="clear"/>
        <w:snapToGrid w:val="0"/>
        <w:spacing w:line="440" w:lineRule="exact"/>
        <w:ind w:firstLine="413" w:firstLineChars="196"/>
        <w:jc w:val="left"/>
        <w:rPr>
          <w:rFonts w:ascii="宋体"/>
          <w:b/>
          <w:color w:val="auto"/>
          <w:szCs w:val="21"/>
          <w:highlight w:val="none"/>
        </w:rPr>
      </w:pPr>
      <w:bookmarkStart w:id="11" w:name="_Toc254970527"/>
      <w:bookmarkStart w:id="12" w:name="_Toc254970668"/>
      <w:r>
        <w:rPr>
          <w:rFonts w:hint="eastAsia" w:ascii="宋体" w:hAnsi="宋体"/>
          <w:b/>
          <w:color w:val="auto"/>
          <w:szCs w:val="21"/>
          <w:highlight w:val="none"/>
        </w:rPr>
        <w:t>（一）适用范围</w:t>
      </w:r>
      <w:bookmarkEnd w:id="11"/>
      <w:bookmarkEnd w:id="12"/>
    </w:p>
    <w:p>
      <w:pPr>
        <w:shd w:val="clear"/>
        <w:snapToGrid w:val="0"/>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本招标文件适用于“绿色数据中心节能机房”项目的招标、投标、评标、定标、验收、合同履约、付款等行为（法律、法规另有规定的，从其规定）。</w:t>
      </w:r>
    </w:p>
    <w:p>
      <w:pPr>
        <w:shd w:val="clear"/>
        <w:snapToGrid w:val="0"/>
        <w:spacing w:line="440" w:lineRule="exact"/>
        <w:ind w:firstLine="310" w:firstLineChars="147"/>
        <w:jc w:val="left"/>
        <w:rPr>
          <w:rFonts w:ascii="宋体"/>
          <w:b/>
          <w:color w:val="auto"/>
          <w:szCs w:val="21"/>
          <w:highlight w:val="none"/>
        </w:rPr>
      </w:pPr>
      <w:bookmarkStart w:id="13" w:name="_Toc254970528"/>
      <w:bookmarkStart w:id="14" w:name="_Toc254970669"/>
      <w:r>
        <w:rPr>
          <w:rFonts w:hint="eastAsia" w:ascii="宋体" w:hAnsi="宋体"/>
          <w:b/>
          <w:color w:val="auto"/>
          <w:szCs w:val="21"/>
          <w:highlight w:val="none"/>
        </w:rPr>
        <w:t>（二）定义</w:t>
      </w:r>
      <w:bookmarkEnd w:id="13"/>
      <w:bookmarkEnd w:id="14"/>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招标采购单位系指组织本次招标的采购人和代理机构。</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“投标人”系指向招标方提交投标文件的单位或自然人。</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“产品”系指供方按招标文件规定，须向采购人提供的一切设备、保险、税金、备品备件、工具、手册及其它有关技术资料和材料。</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“服务”系指招标文件规定投标人须承担的安装、调试、技术协助、校准、培训、技术指导以及其他类似的义务。</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“项目”系指投标人按招标文件规定向采购人提供的产品和服务。</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“书面形式”包括信函、传真、电子邮件等。</w:t>
      </w:r>
    </w:p>
    <w:p>
      <w:pPr>
        <w:widowControl/>
        <w:shd w:val="clear"/>
        <w:spacing w:line="440" w:lineRule="exact"/>
        <w:ind w:firstLine="420" w:firstLineChars="200"/>
        <w:jc w:val="left"/>
        <w:rPr>
          <w:rFonts w:ascii="宋体" w:cs="宋体"/>
          <w:color w:val="auto"/>
          <w:kern w:val="0"/>
          <w:szCs w:val="21"/>
          <w:highlight w:val="none"/>
        </w:rPr>
      </w:pPr>
      <w:bookmarkStart w:id="15" w:name="_Toc254970670"/>
      <w:bookmarkStart w:id="16" w:name="_Toc254970529"/>
      <w:r>
        <w:rPr>
          <w:rFonts w:ascii="宋体" w:hAnsi="宋体" w:cs="Tahoma"/>
          <w:color w:val="auto"/>
          <w:kern w:val="0"/>
          <w:szCs w:val="21"/>
          <w:highlight w:val="none"/>
        </w:rPr>
        <w:t>7.</w:t>
      </w:r>
      <w:r>
        <w:rPr>
          <w:rFonts w:hint="eastAsia" w:ascii="宋体" w:hAnsi="宋体" w:cs="Tahoma"/>
          <w:color w:val="auto"/>
          <w:kern w:val="0"/>
          <w:szCs w:val="21"/>
          <w:highlight w:val="none"/>
        </w:rPr>
        <w:t>有下列情形之一的视为投标人相互串通，投标文件将视为无效：</w:t>
      </w:r>
    </w:p>
    <w:p>
      <w:pPr>
        <w:widowControl/>
        <w:shd w:val="clear"/>
        <w:spacing w:line="440" w:lineRule="exact"/>
        <w:ind w:firstLine="640"/>
        <w:jc w:val="left"/>
        <w:rPr>
          <w:rFonts w:ascii="宋体" w:cs="Tahoma"/>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1</w:t>
      </w:r>
      <w:r>
        <w:rPr>
          <w:rFonts w:hint="eastAsia" w:ascii="宋体" w:hAnsi="宋体" w:cs="Tahoma"/>
          <w:color w:val="auto"/>
          <w:kern w:val="0"/>
          <w:szCs w:val="21"/>
          <w:highlight w:val="none"/>
        </w:rPr>
        <w:t>）不同投标人的投标文件由同一单位或者个人编制；</w:t>
      </w:r>
    </w:p>
    <w:p>
      <w:pPr>
        <w:widowControl/>
        <w:shd w:val="clear"/>
        <w:spacing w:line="440" w:lineRule="exact"/>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2</w:t>
      </w:r>
      <w:r>
        <w:rPr>
          <w:rFonts w:hint="eastAsia" w:ascii="宋体" w:hAnsi="宋体" w:cs="Tahoma"/>
          <w:color w:val="auto"/>
          <w:kern w:val="0"/>
          <w:szCs w:val="21"/>
          <w:highlight w:val="none"/>
        </w:rPr>
        <w:t>）不同投标人委托同一单位或者个人办理投标事宜</w:t>
      </w:r>
      <w:r>
        <w:rPr>
          <w:rFonts w:ascii="宋体" w:hAnsi="宋体" w:cs="Tahoma"/>
          <w:color w:val="auto"/>
          <w:kern w:val="0"/>
          <w:szCs w:val="21"/>
          <w:highlight w:val="none"/>
        </w:rPr>
        <w:t>;</w:t>
      </w:r>
    </w:p>
    <w:p>
      <w:pPr>
        <w:widowControl/>
        <w:shd w:val="clear"/>
        <w:spacing w:line="440" w:lineRule="exact"/>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3</w:t>
      </w:r>
      <w:r>
        <w:rPr>
          <w:rFonts w:hint="eastAsia" w:ascii="宋体" w:hAnsi="宋体" w:cs="Tahoma"/>
          <w:color w:val="auto"/>
          <w:kern w:val="0"/>
          <w:szCs w:val="21"/>
          <w:highlight w:val="none"/>
        </w:rPr>
        <w:t>）不同的投标人的投标文件载明的项目管理员为同一个人</w:t>
      </w:r>
      <w:r>
        <w:rPr>
          <w:rFonts w:ascii="宋体" w:hAnsi="宋体" w:cs="Tahoma"/>
          <w:color w:val="auto"/>
          <w:kern w:val="0"/>
          <w:szCs w:val="21"/>
          <w:highlight w:val="none"/>
        </w:rPr>
        <w:t>;</w:t>
      </w:r>
    </w:p>
    <w:p>
      <w:pPr>
        <w:widowControl/>
        <w:shd w:val="clear"/>
        <w:spacing w:line="440" w:lineRule="exact"/>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4</w:t>
      </w:r>
      <w:r>
        <w:rPr>
          <w:rFonts w:hint="eastAsia" w:ascii="宋体" w:hAnsi="宋体" w:cs="Tahoma"/>
          <w:color w:val="auto"/>
          <w:kern w:val="0"/>
          <w:szCs w:val="21"/>
          <w:highlight w:val="none"/>
        </w:rPr>
        <w:t>）不同投标人的投标文件异常一致或投标报价呈规律性差异</w:t>
      </w:r>
      <w:r>
        <w:rPr>
          <w:rFonts w:ascii="宋体" w:hAnsi="宋体" w:cs="Tahoma"/>
          <w:color w:val="auto"/>
          <w:kern w:val="0"/>
          <w:szCs w:val="21"/>
          <w:highlight w:val="none"/>
        </w:rPr>
        <w:t>;</w:t>
      </w:r>
    </w:p>
    <w:p>
      <w:pPr>
        <w:widowControl/>
        <w:shd w:val="clear"/>
        <w:spacing w:line="440" w:lineRule="exact"/>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5</w:t>
      </w:r>
      <w:r>
        <w:rPr>
          <w:rFonts w:hint="eastAsia" w:ascii="宋体" w:hAnsi="宋体" w:cs="Tahoma"/>
          <w:color w:val="auto"/>
          <w:kern w:val="0"/>
          <w:szCs w:val="21"/>
          <w:highlight w:val="none"/>
        </w:rPr>
        <w:t>）不同投标人的投标文件相互混装</w:t>
      </w:r>
      <w:r>
        <w:rPr>
          <w:rFonts w:ascii="宋体" w:hAnsi="宋体" w:cs="Tahoma"/>
          <w:color w:val="auto"/>
          <w:kern w:val="0"/>
          <w:szCs w:val="21"/>
          <w:highlight w:val="none"/>
        </w:rPr>
        <w:t>;</w:t>
      </w:r>
    </w:p>
    <w:p>
      <w:pPr>
        <w:widowControl/>
        <w:shd w:val="clear"/>
        <w:spacing w:line="440" w:lineRule="exact"/>
        <w:ind w:firstLine="640"/>
        <w:jc w:val="left"/>
        <w:rPr>
          <w:rFonts w:ascii="宋体" w:cs="宋体"/>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6</w:t>
      </w:r>
      <w:r>
        <w:rPr>
          <w:rFonts w:hint="eastAsia" w:ascii="宋体" w:hAnsi="宋体" w:cs="Tahoma"/>
          <w:color w:val="auto"/>
          <w:kern w:val="0"/>
          <w:szCs w:val="21"/>
          <w:highlight w:val="none"/>
        </w:rPr>
        <w:t>）不同投标人的投标保证金从同一单位或者个人账户转出。</w:t>
      </w:r>
    </w:p>
    <w:p>
      <w:pPr>
        <w:shd w:val="clear"/>
        <w:snapToGrid w:val="0"/>
        <w:spacing w:line="440" w:lineRule="exact"/>
        <w:ind w:firstLine="420" w:firstLineChars="200"/>
        <w:jc w:val="left"/>
        <w:rPr>
          <w:rFonts w:asci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w:t>
      </w:r>
      <w:r>
        <w:rPr>
          <w:rFonts w:hint="eastAsia" w:ascii="宋体" w:cs="宋体"/>
          <w:color w:val="auto"/>
          <w:kern w:val="0"/>
          <w:szCs w:val="21"/>
          <w:highlight w:val="none"/>
        </w:rPr>
        <w:t>★</w:t>
      </w:r>
      <w:r>
        <w:rPr>
          <w:rFonts w:hint="eastAsia" w:ascii="宋体" w:hAnsi="宋体"/>
          <w:color w:val="auto"/>
          <w:szCs w:val="21"/>
          <w:highlight w:val="none"/>
        </w:rPr>
        <w:t>”系指实质性要求条款。</w:t>
      </w:r>
    </w:p>
    <w:p>
      <w:pPr>
        <w:shd w:val="clear"/>
        <w:snapToGrid w:val="0"/>
        <w:spacing w:line="440" w:lineRule="exact"/>
        <w:ind w:firstLine="413" w:firstLineChars="196"/>
        <w:jc w:val="left"/>
        <w:rPr>
          <w:rFonts w:ascii="宋体"/>
          <w:b/>
          <w:color w:val="auto"/>
          <w:szCs w:val="21"/>
          <w:highlight w:val="none"/>
        </w:rPr>
      </w:pPr>
      <w:r>
        <w:rPr>
          <w:rFonts w:hint="eastAsia" w:ascii="宋体" w:hAnsi="宋体"/>
          <w:b/>
          <w:color w:val="auto"/>
          <w:szCs w:val="21"/>
          <w:highlight w:val="none"/>
        </w:rPr>
        <w:t>（三）招标方式</w:t>
      </w:r>
      <w:bookmarkEnd w:id="15"/>
      <w:bookmarkEnd w:id="16"/>
    </w:p>
    <w:p>
      <w:pPr>
        <w:shd w:val="clear"/>
        <w:snapToGrid w:val="0"/>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公开招标方式。</w:t>
      </w:r>
    </w:p>
    <w:p>
      <w:pPr>
        <w:shd w:val="clear"/>
        <w:snapToGrid w:val="0"/>
        <w:spacing w:line="440" w:lineRule="exact"/>
        <w:ind w:firstLine="413" w:firstLineChars="196"/>
        <w:jc w:val="left"/>
        <w:rPr>
          <w:rFonts w:ascii="宋体"/>
          <w:b/>
          <w:color w:val="auto"/>
          <w:szCs w:val="21"/>
          <w:highlight w:val="none"/>
        </w:rPr>
      </w:pPr>
      <w:bookmarkStart w:id="17" w:name="_Toc254970671"/>
      <w:bookmarkStart w:id="18" w:name="_Toc254970530"/>
      <w:r>
        <w:rPr>
          <w:rFonts w:hint="eastAsia" w:ascii="宋体" w:hAnsi="宋体"/>
          <w:b/>
          <w:color w:val="auto"/>
          <w:szCs w:val="21"/>
          <w:highlight w:val="none"/>
        </w:rPr>
        <w:t>（四）投标委托</w:t>
      </w:r>
      <w:bookmarkEnd w:id="17"/>
      <w:bookmarkEnd w:id="18"/>
    </w:p>
    <w:p>
      <w:pPr>
        <w:pStyle w:val="24"/>
        <w:shd w:val="clear"/>
        <w:snapToGrid w:val="0"/>
        <w:spacing w:line="44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投标人代表须携带法定代表人身份证明书及有效身份证件。如投标人代表不是法定代表人，须有法定代表人出具的授权委托书（正本用原件，副本用复印件，格式见第四部分）。</w:t>
      </w:r>
    </w:p>
    <w:p>
      <w:pPr>
        <w:shd w:val="clear"/>
        <w:snapToGrid w:val="0"/>
        <w:spacing w:line="440" w:lineRule="exact"/>
        <w:ind w:firstLine="413" w:firstLineChars="196"/>
        <w:jc w:val="left"/>
        <w:rPr>
          <w:rFonts w:ascii="宋体"/>
          <w:b/>
          <w:color w:val="auto"/>
          <w:szCs w:val="21"/>
          <w:highlight w:val="none"/>
        </w:rPr>
      </w:pPr>
      <w:bookmarkStart w:id="19" w:name="_Toc254970672"/>
      <w:bookmarkStart w:id="20" w:name="_Toc254970531"/>
      <w:r>
        <w:rPr>
          <w:rFonts w:hint="eastAsia" w:ascii="宋体" w:hAnsi="宋体"/>
          <w:b/>
          <w:color w:val="auto"/>
          <w:szCs w:val="21"/>
          <w:highlight w:val="none"/>
        </w:rPr>
        <w:t>（五）投标费用</w:t>
      </w:r>
      <w:bookmarkEnd w:id="19"/>
      <w:bookmarkEnd w:id="20"/>
    </w:p>
    <w:p>
      <w:pPr>
        <w:shd w:val="clear"/>
        <w:snapToGrid w:val="0"/>
        <w:spacing w:line="440" w:lineRule="exact"/>
        <w:ind w:firstLine="420" w:firstLineChars="200"/>
        <w:jc w:val="left"/>
        <w:rPr>
          <w:rFonts w:ascii="宋体"/>
          <w:color w:val="auto"/>
          <w:szCs w:val="21"/>
          <w:highlight w:val="none"/>
        </w:rPr>
      </w:pPr>
      <w:r>
        <w:rPr>
          <w:rFonts w:hint="eastAsia" w:ascii="宋体" w:hAnsi="宋体"/>
          <w:color w:val="auto"/>
          <w:szCs w:val="21"/>
          <w:highlight w:val="none"/>
        </w:rPr>
        <w:t>不论投标结果如何，投标人均应自行承担所有与投标有关的全部费用（招标文件有相关的规定除外）。</w:t>
      </w:r>
    </w:p>
    <w:p>
      <w:pPr>
        <w:shd w:val="clear"/>
        <w:snapToGrid w:val="0"/>
        <w:spacing w:line="440" w:lineRule="exact"/>
        <w:ind w:firstLine="413" w:firstLineChars="196"/>
        <w:rPr>
          <w:rFonts w:ascii="宋体" w:cs="宋体"/>
          <w:b/>
          <w:color w:val="auto"/>
          <w:kern w:val="0"/>
          <w:szCs w:val="21"/>
          <w:highlight w:val="none"/>
        </w:rPr>
      </w:pPr>
      <w:r>
        <w:rPr>
          <w:rFonts w:hint="eastAsia" w:ascii="宋体" w:hAnsi="宋体"/>
          <w:b/>
          <w:color w:val="auto"/>
          <w:szCs w:val="21"/>
          <w:highlight w:val="none"/>
        </w:rPr>
        <w:t>（六）</w:t>
      </w:r>
      <w:r>
        <w:rPr>
          <w:rFonts w:hint="eastAsia" w:ascii="宋体" w:hAnsi="宋体" w:cs="宋体"/>
          <w:b/>
          <w:color w:val="auto"/>
          <w:kern w:val="0"/>
          <w:szCs w:val="21"/>
          <w:highlight w:val="none"/>
        </w:rPr>
        <w:t>专业分包：本项目</w:t>
      </w:r>
      <w:r>
        <w:rPr>
          <w:rFonts w:hint="eastAsia" w:ascii="宋体" w:hAnsi="宋体" w:cs="宋体"/>
          <w:b/>
          <w:color w:val="auto"/>
          <w:kern w:val="0"/>
          <w:szCs w:val="21"/>
          <w:highlight w:val="none"/>
          <w:u w:val="single"/>
        </w:rPr>
        <w:t>不可以</w:t>
      </w:r>
      <w:r>
        <w:rPr>
          <w:rFonts w:hint="eastAsia" w:ascii="宋体" w:hAnsi="宋体" w:cs="宋体"/>
          <w:b/>
          <w:color w:val="auto"/>
          <w:kern w:val="0"/>
          <w:szCs w:val="21"/>
          <w:highlight w:val="none"/>
        </w:rPr>
        <w:t>将</w:t>
      </w:r>
      <w:r>
        <w:rPr>
          <w:rFonts w:hint="eastAsia" w:ascii="宋体" w:hAnsi="宋体" w:cs="宋体"/>
          <w:color w:val="auto"/>
          <w:kern w:val="0"/>
          <w:szCs w:val="21"/>
          <w:highlight w:val="none"/>
        </w:rPr>
        <w:t>非主体、非关键性工作分包。</w:t>
      </w:r>
    </w:p>
    <w:p>
      <w:pPr>
        <w:shd w:val="clear"/>
        <w:snapToGrid w:val="0"/>
        <w:spacing w:line="440" w:lineRule="exact"/>
        <w:ind w:firstLine="413" w:firstLineChars="196"/>
        <w:jc w:val="left"/>
        <w:rPr>
          <w:rFonts w:ascii="宋体"/>
          <w:b/>
          <w:color w:val="auto"/>
          <w:szCs w:val="21"/>
          <w:highlight w:val="none"/>
        </w:rPr>
      </w:pPr>
      <w:bookmarkStart w:id="21" w:name="_Toc254970673"/>
      <w:bookmarkStart w:id="22" w:name="_Toc254970532"/>
      <w:r>
        <w:rPr>
          <w:rFonts w:hint="eastAsia" w:ascii="宋体" w:hAnsi="宋体"/>
          <w:b/>
          <w:color w:val="auto"/>
          <w:szCs w:val="21"/>
          <w:highlight w:val="none"/>
        </w:rPr>
        <w:t>（七）特别说明：</w:t>
      </w:r>
      <w:bookmarkEnd w:id="21"/>
      <w:bookmarkEnd w:id="22"/>
    </w:p>
    <w:p>
      <w:pPr>
        <w:widowControl/>
        <w:shd w:val="clear"/>
        <w:spacing w:line="440" w:lineRule="exact"/>
        <w:ind w:firstLine="405"/>
        <w:rPr>
          <w:rFonts w:ascii="宋体" w:cs="宋体"/>
          <w:color w:val="auto"/>
          <w:kern w:val="0"/>
          <w:szCs w:val="21"/>
          <w:highlight w:val="none"/>
        </w:rPr>
      </w:pPr>
      <w:bookmarkStart w:id="23" w:name="_Toc254970674"/>
      <w:bookmarkStart w:id="24" w:name="_Toc254970533"/>
      <w:r>
        <w:rPr>
          <w:rFonts w:ascii="宋体" w:hAnsi="宋体"/>
          <w:color w:val="auto"/>
          <w:szCs w:val="21"/>
          <w:highlight w:val="none"/>
        </w:rPr>
        <w:t>1.</w:t>
      </w:r>
      <w:r>
        <w:rPr>
          <w:rFonts w:hint="eastAsia" w:ascii="宋体" w:hAnsi="宋体" w:cs="宋体"/>
          <w:color w:val="auto"/>
          <w:kern w:val="0"/>
          <w:szCs w:val="21"/>
          <w:highlight w:val="none"/>
        </w:rPr>
        <w:t>提供相同品牌产品且通过资格审查、符合性审查的不同投标人参加同一合同项下投标的，按一家投标人计算，评审后得分最高的同品牌投标人获得中标人推荐资格；评审得分相同的，按照评委抽签的方式确定一个投标人获得中标人推荐资格，其他同品牌投标人不作为中标候选人。</w:t>
      </w:r>
    </w:p>
    <w:p>
      <w:pPr>
        <w:widowControl/>
        <w:shd w:val="clear"/>
        <w:spacing w:line="440" w:lineRule="exact"/>
        <w:ind w:firstLine="640"/>
        <w:jc w:val="left"/>
        <w:rPr>
          <w:rFonts w:ascii="宋体" w:cs="Tahoma"/>
          <w:color w:val="auto"/>
          <w:kern w:val="0"/>
          <w:szCs w:val="21"/>
          <w:highlight w:val="none"/>
        </w:rPr>
      </w:pPr>
      <w:r>
        <w:rPr>
          <w:rFonts w:hint="eastAsia" w:ascii="宋体" w:hAnsi="宋体" w:cs="Tahoma"/>
          <w:color w:val="auto"/>
          <w:kern w:val="0"/>
          <w:szCs w:val="21"/>
          <w:highlight w:val="none"/>
        </w:rPr>
        <w:t>非单一产品采购项目中，多家投标人提供的核心产品品牌相同的，视为提供相同品牌产品。</w:t>
      </w:r>
    </w:p>
    <w:p>
      <w:pPr>
        <w:widowControl/>
        <w:shd w:val="clear"/>
        <w:spacing w:line="440" w:lineRule="exact"/>
        <w:ind w:firstLine="420" w:firstLineChars="200"/>
        <w:jc w:val="lef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投标人投标所使用的资格、信誉、荣誉、业绩与企业认证必须为本法人所拥有。投标人投标所使用的采购项目实施人员必须为本法人员工（或必须为本法人或控股公司正式员工）。</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3.</w:t>
      </w:r>
      <w:r>
        <w:rPr>
          <w:rFonts w:hint="eastAsia" w:hAnsi="宋体"/>
          <w:color w:val="auto"/>
          <w:highlight w:val="none"/>
        </w:rPr>
        <w:t>投标人应仔细阅读招标文件的所有内容，按照招标文件的要求提交投标文件，并对所提供的全部资料的真实性承担法律责任。</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4.</w:t>
      </w:r>
      <w:r>
        <w:rPr>
          <w:rFonts w:hint="eastAsia" w:hAnsi="宋体"/>
          <w:color w:val="auto"/>
          <w:highlight w:val="none"/>
        </w:rPr>
        <w:t>投标人在投标活动中提供任何虚假材料</w:t>
      </w:r>
      <w:r>
        <w:rPr>
          <w:rFonts w:hAnsi="宋体"/>
          <w:color w:val="auto"/>
          <w:highlight w:val="none"/>
        </w:rPr>
        <w:t>,</w:t>
      </w:r>
      <w:r>
        <w:rPr>
          <w:rFonts w:hint="eastAsia" w:hAnsi="宋体"/>
          <w:color w:val="auto"/>
          <w:highlight w:val="none"/>
        </w:rPr>
        <w:t>其投标无效，并报监管部门查处；中标后发现的</w:t>
      </w:r>
      <w:r>
        <w:rPr>
          <w:rFonts w:hAnsi="宋体"/>
          <w:color w:val="auto"/>
          <w:highlight w:val="none"/>
        </w:rPr>
        <w:t>,</w:t>
      </w:r>
      <w:r>
        <w:rPr>
          <w:rFonts w:hint="eastAsia" w:hAnsi="宋体"/>
          <w:color w:val="auto"/>
          <w:highlight w:val="none"/>
        </w:rPr>
        <w:t>中标人须依照《中华人民共和国消费者权益保护法》第</w:t>
      </w:r>
      <w:r>
        <w:rPr>
          <w:rFonts w:hAnsi="宋体"/>
          <w:color w:val="auto"/>
          <w:highlight w:val="none"/>
        </w:rPr>
        <w:t>49</w:t>
      </w:r>
      <w:r>
        <w:rPr>
          <w:rFonts w:hint="eastAsia" w:hAnsi="宋体"/>
          <w:color w:val="auto"/>
          <w:highlight w:val="none"/>
        </w:rPr>
        <w:t>条之规定双倍赔偿采购人，且民事赔偿并不免除违法投标人的行政与刑事责任。</w:t>
      </w:r>
    </w:p>
    <w:p>
      <w:pPr>
        <w:pStyle w:val="31"/>
        <w:shd w:val="clear"/>
        <w:spacing w:line="440" w:lineRule="exact"/>
        <w:ind w:firstLine="420" w:firstLineChars="200"/>
        <w:rPr>
          <w:rFonts w:hAnsi="宋体"/>
          <w:color w:val="auto"/>
          <w:highlight w:val="none"/>
        </w:rPr>
      </w:pPr>
      <w:r>
        <w:rPr>
          <w:rFonts w:hAnsi="宋体"/>
          <w:color w:val="auto"/>
          <w:highlight w:val="none"/>
        </w:rPr>
        <w:t>5.</w:t>
      </w:r>
      <w:r>
        <w:rPr>
          <w:rFonts w:hint="eastAsia" w:hAnsi="宋体"/>
          <w:color w:val="auto"/>
          <w:highlight w:val="none"/>
        </w:rPr>
        <w:t>投标截止时间结束后参加投标的供应商不足三家的，不予开标，此时将按《政府采购货物和服务招标投标管理办法》（中华人民共和国财政部第</w:t>
      </w:r>
      <w:r>
        <w:rPr>
          <w:rFonts w:hAnsi="宋体"/>
          <w:color w:val="auto"/>
          <w:highlight w:val="none"/>
        </w:rPr>
        <w:t>87</w:t>
      </w:r>
      <w:r>
        <w:rPr>
          <w:rFonts w:hint="eastAsia" w:hAnsi="宋体"/>
          <w:color w:val="auto"/>
          <w:highlight w:val="none"/>
        </w:rPr>
        <w:t>号令）第</w:t>
      </w:r>
      <w:r>
        <w:rPr>
          <w:rFonts w:hAnsi="宋体"/>
          <w:color w:val="auto"/>
          <w:highlight w:val="none"/>
        </w:rPr>
        <w:t>43</w:t>
      </w:r>
      <w:r>
        <w:rPr>
          <w:rFonts w:hint="eastAsia" w:hAnsi="宋体"/>
          <w:color w:val="auto"/>
          <w:highlight w:val="none"/>
        </w:rPr>
        <w:t>条的有关规定进行办理。</w:t>
      </w:r>
    </w:p>
    <w:p>
      <w:pPr>
        <w:pStyle w:val="31"/>
        <w:shd w:val="clear"/>
        <w:spacing w:line="440" w:lineRule="exact"/>
        <w:ind w:firstLine="525" w:firstLineChars="250"/>
        <w:rPr>
          <w:rFonts w:hAnsi="宋体"/>
          <w:b/>
          <w:color w:val="auto"/>
          <w:highlight w:val="none"/>
        </w:rPr>
      </w:pPr>
      <w:r>
        <w:rPr>
          <w:rFonts w:hint="eastAsia" w:hAnsi="宋体" w:cs="宋体"/>
          <w:color w:val="auto"/>
          <w:kern w:val="0"/>
          <w:highlight w:val="none"/>
        </w:rPr>
        <w:t>通过资格审查或符合性审查的投标人不足</w:t>
      </w:r>
      <w:r>
        <w:rPr>
          <w:rFonts w:hAnsi="宋体" w:cs="宋体"/>
          <w:color w:val="auto"/>
          <w:kern w:val="0"/>
          <w:highlight w:val="none"/>
        </w:rPr>
        <w:t>3</w:t>
      </w:r>
      <w:r>
        <w:rPr>
          <w:rFonts w:hint="eastAsia" w:hAnsi="宋体" w:cs="宋体"/>
          <w:color w:val="auto"/>
          <w:kern w:val="0"/>
          <w:highlight w:val="none"/>
        </w:rPr>
        <w:t>家的</w:t>
      </w:r>
      <w:r>
        <w:rPr>
          <w:rFonts w:hint="eastAsia" w:hAnsi="宋体"/>
          <w:color w:val="auto"/>
          <w:highlight w:val="none"/>
        </w:rPr>
        <w:t>将按《政府采购货物和服务招标投标管理办法》（中华人民共和国财政部第</w:t>
      </w:r>
      <w:r>
        <w:rPr>
          <w:rFonts w:hAnsi="宋体"/>
          <w:color w:val="auto"/>
          <w:highlight w:val="none"/>
        </w:rPr>
        <w:t>87</w:t>
      </w:r>
      <w:r>
        <w:rPr>
          <w:rFonts w:hint="eastAsia" w:hAnsi="宋体"/>
          <w:color w:val="auto"/>
          <w:highlight w:val="none"/>
        </w:rPr>
        <w:t>号令）第</w:t>
      </w:r>
      <w:r>
        <w:rPr>
          <w:rFonts w:hAnsi="宋体"/>
          <w:color w:val="auto"/>
          <w:highlight w:val="none"/>
        </w:rPr>
        <w:t>43</w:t>
      </w:r>
      <w:r>
        <w:rPr>
          <w:rFonts w:hint="eastAsia" w:hAnsi="宋体"/>
          <w:color w:val="auto"/>
          <w:highlight w:val="none"/>
        </w:rPr>
        <w:t>条的有关规定执行。</w:t>
      </w:r>
    </w:p>
    <w:p>
      <w:pPr>
        <w:pStyle w:val="31"/>
        <w:shd w:val="clear"/>
        <w:snapToGrid w:val="0"/>
        <w:spacing w:line="440" w:lineRule="exact"/>
        <w:ind w:firstLine="413" w:firstLineChars="196"/>
        <w:rPr>
          <w:rFonts w:hAnsi="宋体"/>
          <w:b/>
          <w:bCs/>
          <w:color w:val="auto"/>
          <w:highlight w:val="none"/>
        </w:rPr>
      </w:pPr>
      <w:r>
        <w:rPr>
          <w:rFonts w:hint="eastAsia" w:hAnsi="宋体"/>
          <w:b/>
          <w:bCs/>
          <w:color w:val="auto"/>
          <w:highlight w:val="none"/>
        </w:rPr>
        <w:t>（八）质疑和投诉</w:t>
      </w:r>
      <w:bookmarkEnd w:id="23"/>
      <w:bookmarkEnd w:id="24"/>
    </w:p>
    <w:p>
      <w:pPr>
        <w:pStyle w:val="31"/>
        <w:shd w:val="clear"/>
        <w:snapToGrid w:val="0"/>
        <w:spacing w:line="440" w:lineRule="exact"/>
        <w:ind w:firstLine="420" w:firstLineChars="200"/>
        <w:rPr>
          <w:rFonts w:hAnsi="宋体"/>
          <w:bCs/>
          <w:color w:val="auto"/>
          <w:highlight w:val="none"/>
        </w:rPr>
      </w:pPr>
      <w:r>
        <w:rPr>
          <w:rFonts w:hAnsi="宋体"/>
          <w:bCs/>
          <w:color w:val="auto"/>
          <w:highlight w:val="none"/>
        </w:rPr>
        <w:t>1.</w:t>
      </w:r>
      <w:r>
        <w:rPr>
          <w:rFonts w:hint="eastAsia" w:hAnsi="宋体"/>
          <w:bCs/>
          <w:color w:val="auto"/>
          <w:highlight w:val="none"/>
        </w:rPr>
        <w:t>投标人认为招标文件、招标过程或中标结果使自己的合法权益受到损害的，应当在知道或者应知其权益受到损害之日起七个工作日内，以书面形式向采购人、采购代理机构提出质疑。</w:t>
      </w:r>
      <w:r>
        <w:rPr>
          <w:rFonts w:hint="eastAsia" w:hAnsi="宋体"/>
          <w:color w:val="auto"/>
          <w:highlight w:val="none"/>
        </w:rPr>
        <w:t>投标人对招标采购单位的质疑答复不满意或者招标采购单位未在规定时间内做出答复的，可以在答复期满后十五个工作日内向</w:t>
      </w:r>
      <w:r>
        <w:rPr>
          <w:rFonts w:hint="eastAsia" w:hAnsi="宋体"/>
          <w:bCs/>
          <w:color w:val="auto"/>
          <w:highlight w:val="none"/>
        </w:rPr>
        <w:t>同级采购监管部门投诉。具体计算时间如下：</w:t>
      </w:r>
    </w:p>
    <w:p>
      <w:pPr>
        <w:pStyle w:val="31"/>
        <w:shd w:val="clear"/>
        <w:snapToGrid w:val="0"/>
        <w:spacing w:line="440" w:lineRule="exact"/>
        <w:ind w:firstLine="308" w:firstLineChars="147"/>
        <w:rPr>
          <w:rFonts w:hAnsi="宋体"/>
          <w:bCs/>
          <w:color w:val="auto"/>
          <w:highlight w:val="none"/>
        </w:rPr>
      </w:pPr>
      <w:r>
        <w:rPr>
          <w:rFonts w:hint="eastAsia" w:hAnsi="宋体"/>
          <w:bCs/>
          <w:color w:val="auto"/>
          <w:highlight w:val="none"/>
        </w:rPr>
        <w:t>（一）对可以质疑的招标采购文件提出质疑的，为收到采购文件之日；</w:t>
      </w:r>
    </w:p>
    <w:p>
      <w:pPr>
        <w:pStyle w:val="31"/>
        <w:shd w:val="clear"/>
        <w:snapToGrid w:val="0"/>
        <w:spacing w:line="440" w:lineRule="exact"/>
        <w:ind w:firstLine="308" w:firstLineChars="147"/>
        <w:rPr>
          <w:rFonts w:hAnsi="宋体"/>
          <w:bCs/>
          <w:color w:val="auto"/>
          <w:highlight w:val="none"/>
        </w:rPr>
      </w:pPr>
      <w:r>
        <w:rPr>
          <w:rFonts w:hint="eastAsia" w:hAnsi="宋体"/>
          <w:bCs/>
          <w:color w:val="auto"/>
          <w:highlight w:val="none"/>
        </w:rPr>
        <w:t>（二）对招标采购过程提出质疑的，为各采购程序环节结束之日；</w:t>
      </w:r>
    </w:p>
    <w:p>
      <w:pPr>
        <w:pStyle w:val="31"/>
        <w:shd w:val="clear"/>
        <w:snapToGrid w:val="0"/>
        <w:spacing w:line="440" w:lineRule="exact"/>
        <w:ind w:firstLine="308" w:firstLineChars="147"/>
        <w:rPr>
          <w:rFonts w:hAnsi="宋体"/>
          <w:bCs/>
          <w:color w:val="auto"/>
          <w:highlight w:val="none"/>
        </w:rPr>
      </w:pPr>
      <w:r>
        <w:rPr>
          <w:rFonts w:hint="eastAsia" w:hAnsi="宋体"/>
          <w:bCs/>
          <w:color w:val="auto"/>
          <w:highlight w:val="none"/>
        </w:rPr>
        <w:t>（三）对中标结果提出质疑的，为中标结果公告期限届满之日。</w:t>
      </w:r>
    </w:p>
    <w:p>
      <w:pPr>
        <w:widowControl/>
        <w:shd w:val="clear"/>
        <w:adjustRightInd w:val="0"/>
        <w:spacing w:line="440" w:lineRule="exact"/>
        <w:ind w:firstLine="420" w:firstLineChars="200"/>
        <w:jc w:val="left"/>
        <w:rPr>
          <w:rFonts w:ascii="宋体" w:cs="宋体"/>
          <w:color w:val="auto"/>
          <w:kern w:val="0"/>
          <w:szCs w:val="21"/>
          <w:highlight w:val="none"/>
          <w:lang w:val="zh-CN"/>
        </w:rPr>
      </w:pPr>
      <w:r>
        <w:rPr>
          <w:rFonts w:ascii="宋体" w:hAnsi="宋体"/>
          <w:bCs/>
          <w:color w:val="auto"/>
          <w:szCs w:val="21"/>
          <w:highlight w:val="none"/>
        </w:rPr>
        <w:t xml:space="preserve">2. </w:t>
      </w:r>
      <w:r>
        <w:rPr>
          <w:rFonts w:hint="eastAsia" w:ascii="宋体" w:hAnsi="宋体"/>
          <w:bCs/>
          <w:color w:val="auto"/>
          <w:szCs w:val="21"/>
          <w:highlight w:val="none"/>
        </w:rPr>
        <w:t>质疑书、投诉书均应明确阐述招标文件、招标过程或中标结果中使自己合法权益受到损害的实质性内容，提供相关事实、依据和证据及其来源或线索，便于有关单位调查、答复和处理。</w:t>
      </w:r>
    </w:p>
    <w:p>
      <w:pPr>
        <w:shd w:val="clear"/>
        <w:adjustRightInd w:val="0"/>
        <w:spacing w:line="440" w:lineRule="exact"/>
        <w:ind w:firstLine="420" w:firstLineChars="200"/>
        <w:rPr>
          <w:rFonts w:ascii="宋体" w:cs="宋体"/>
          <w:color w:val="auto"/>
          <w:kern w:val="0"/>
          <w:szCs w:val="21"/>
          <w:highlight w:val="none"/>
          <w:lang w:val="zh-CN"/>
        </w:rPr>
      </w:pPr>
      <w:r>
        <w:rPr>
          <w:rFonts w:ascii="宋体" w:hAnsi="宋体"/>
          <w:bCs/>
          <w:color w:val="auto"/>
          <w:szCs w:val="21"/>
          <w:highlight w:val="none"/>
        </w:rPr>
        <w:t>3.</w:t>
      </w:r>
      <w:r>
        <w:rPr>
          <w:rFonts w:hint="eastAsia" w:ascii="宋体" w:hAnsi="宋体" w:cs="仿宋_GB2312"/>
          <w:color w:val="auto"/>
          <w:kern w:val="0"/>
          <w:szCs w:val="21"/>
          <w:highlight w:val="none"/>
          <w:lang w:val="zh-CN"/>
        </w:rPr>
        <w:t>供应商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时，应当提交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书原件，</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书应当包括下列主要内容：</w:t>
      </w:r>
    </w:p>
    <w:p>
      <w:pPr>
        <w:widowControl/>
        <w:shd w:val="clear"/>
        <w:adjustRightInd w:val="0"/>
        <w:spacing w:line="440" w:lineRule="exact"/>
        <w:ind w:firstLine="315" w:firstLineChars="150"/>
        <w:jc w:val="left"/>
        <w:rPr>
          <w:rFonts w:ascii="宋体" w:cs="宋体"/>
          <w:color w:val="auto"/>
          <w:kern w:val="0"/>
          <w:szCs w:val="21"/>
          <w:highlight w:val="none"/>
          <w:lang w:val="zh-CN"/>
        </w:rPr>
      </w:pPr>
      <w:r>
        <w:rPr>
          <w:rFonts w:hint="eastAsia" w:ascii="宋体" w:hAnsi="宋体" w:cs="仿宋_GB2312"/>
          <w:color w:val="auto"/>
          <w:kern w:val="0"/>
          <w:szCs w:val="21"/>
          <w:highlight w:val="none"/>
          <w:lang w:val="zh-CN"/>
        </w:rPr>
        <w:t>（一）</w:t>
      </w:r>
      <w:r>
        <w:rPr>
          <w:rFonts w:hint="eastAsia" w:ascii="宋体" w:hAnsi="宋体" w:cs="仿宋_GB2312"/>
          <w:color w:val="auto"/>
          <w:kern w:val="0"/>
          <w:szCs w:val="21"/>
          <w:highlight w:val="none"/>
        </w:rPr>
        <w:t>质疑供应商和被质疑</w:t>
      </w:r>
      <w:r>
        <w:rPr>
          <w:rFonts w:hint="eastAsia" w:ascii="宋体" w:hAnsi="宋体" w:cs="仿宋_GB2312"/>
          <w:color w:val="auto"/>
          <w:kern w:val="0"/>
          <w:szCs w:val="21"/>
          <w:highlight w:val="none"/>
          <w:lang w:val="zh-CN"/>
        </w:rPr>
        <w:t>的</w:t>
      </w:r>
      <w:r>
        <w:rPr>
          <w:rFonts w:hint="eastAsia" w:ascii="宋体" w:hAnsi="宋体" w:cs="仿宋_GB2312"/>
          <w:color w:val="auto"/>
          <w:kern w:val="0"/>
          <w:szCs w:val="21"/>
          <w:highlight w:val="none"/>
        </w:rPr>
        <w:t>采购人或采购人委托的采购代理机构</w:t>
      </w:r>
      <w:r>
        <w:rPr>
          <w:rFonts w:hint="eastAsia" w:ascii="宋体" w:hAnsi="宋体" w:cs="仿宋_GB2312"/>
          <w:color w:val="auto"/>
          <w:kern w:val="0"/>
          <w:szCs w:val="21"/>
          <w:highlight w:val="none"/>
          <w:lang w:val="zh-CN"/>
        </w:rPr>
        <w:t>名称、地址、电话、</w:t>
      </w:r>
      <w:r>
        <w:rPr>
          <w:rFonts w:hint="eastAsia" w:ascii="宋体" w:hAnsi="宋体" w:cs="仿宋_GB2312"/>
          <w:color w:val="auto"/>
          <w:kern w:val="0"/>
          <w:szCs w:val="21"/>
          <w:highlight w:val="none"/>
        </w:rPr>
        <w:t>邮编</w:t>
      </w:r>
      <w:r>
        <w:rPr>
          <w:rFonts w:hint="eastAsia" w:ascii="宋体" w:hAnsi="宋体" w:cs="仿宋_GB2312"/>
          <w:color w:val="auto"/>
          <w:kern w:val="0"/>
          <w:szCs w:val="21"/>
          <w:highlight w:val="none"/>
          <w:lang w:val="zh-CN"/>
        </w:rPr>
        <w:t>等；</w:t>
      </w:r>
    </w:p>
    <w:p>
      <w:pPr>
        <w:widowControl/>
        <w:shd w:val="clear"/>
        <w:adjustRightInd w:val="0"/>
        <w:spacing w:line="440" w:lineRule="exact"/>
        <w:ind w:firstLine="315" w:firstLineChars="150"/>
        <w:jc w:val="left"/>
        <w:rPr>
          <w:rFonts w:ascii="宋体" w:cs="宋体"/>
          <w:color w:val="auto"/>
          <w:kern w:val="0"/>
          <w:szCs w:val="21"/>
          <w:highlight w:val="none"/>
        </w:rPr>
      </w:pPr>
      <w:r>
        <w:rPr>
          <w:rFonts w:hint="eastAsia" w:ascii="宋体" w:hAnsi="宋体" w:cs="仿宋_GB2312"/>
          <w:color w:val="auto"/>
          <w:kern w:val="0"/>
          <w:szCs w:val="21"/>
          <w:highlight w:val="none"/>
          <w:lang w:val="zh-CN"/>
        </w:rPr>
        <w:t>（二）</w:t>
      </w:r>
      <w:r>
        <w:rPr>
          <w:rFonts w:hint="eastAsia" w:ascii="宋体" w:hAnsi="宋体" w:cs="仿宋_GB2312"/>
          <w:color w:val="auto"/>
          <w:kern w:val="0"/>
          <w:szCs w:val="21"/>
          <w:highlight w:val="none"/>
        </w:rPr>
        <w:t>质疑项目的名称、编号；</w:t>
      </w:r>
    </w:p>
    <w:p>
      <w:pPr>
        <w:widowControl/>
        <w:shd w:val="clear"/>
        <w:adjustRightInd w:val="0"/>
        <w:spacing w:line="440" w:lineRule="exact"/>
        <w:ind w:firstLine="315" w:firstLineChars="150"/>
        <w:jc w:val="left"/>
        <w:rPr>
          <w:rFonts w:ascii="宋体" w:cs="宋体"/>
          <w:color w:val="auto"/>
          <w:kern w:val="0"/>
          <w:szCs w:val="21"/>
          <w:highlight w:val="none"/>
          <w:lang w:val="zh-CN"/>
        </w:rPr>
      </w:pPr>
      <w:r>
        <w:rPr>
          <w:rFonts w:hint="eastAsia" w:ascii="宋体" w:hAnsi="宋体" w:cs="仿宋_GB2312"/>
          <w:color w:val="auto"/>
          <w:kern w:val="0"/>
          <w:szCs w:val="21"/>
          <w:highlight w:val="none"/>
          <w:lang w:val="zh-CN"/>
        </w:rPr>
        <w:t>（三）</w:t>
      </w:r>
      <w:r>
        <w:rPr>
          <w:rFonts w:hint="eastAsia" w:ascii="宋体" w:hAnsi="宋体" w:cs="仿宋_GB2312"/>
          <w:color w:val="auto"/>
          <w:kern w:val="0"/>
          <w:szCs w:val="21"/>
          <w:highlight w:val="none"/>
        </w:rPr>
        <w:t>权益受到损害的</w:t>
      </w:r>
      <w:r>
        <w:rPr>
          <w:rFonts w:hint="eastAsia" w:ascii="宋体" w:hAnsi="宋体" w:cs="仿宋_GB2312"/>
          <w:color w:val="auto"/>
          <w:kern w:val="0"/>
          <w:szCs w:val="21"/>
          <w:highlight w:val="none"/>
          <w:lang w:val="zh-CN"/>
        </w:rPr>
        <w:t>事实和理由；</w:t>
      </w:r>
    </w:p>
    <w:p>
      <w:pPr>
        <w:widowControl/>
        <w:shd w:val="clear"/>
        <w:adjustRightInd w:val="0"/>
        <w:spacing w:line="440" w:lineRule="exact"/>
        <w:ind w:firstLine="315" w:firstLineChars="150"/>
        <w:jc w:val="left"/>
        <w:rPr>
          <w:rFonts w:ascii="宋体" w:cs="宋体"/>
          <w:color w:val="auto"/>
          <w:kern w:val="0"/>
          <w:szCs w:val="21"/>
          <w:highlight w:val="none"/>
          <w:lang w:val="zh-CN"/>
        </w:rPr>
      </w:pPr>
      <w:r>
        <w:rPr>
          <w:rFonts w:hint="eastAsia" w:ascii="宋体" w:hAnsi="宋体" w:cs="仿宋_GB2312"/>
          <w:color w:val="auto"/>
          <w:kern w:val="0"/>
          <w:szCs w:val="21"/>
          <w:highlight w:val="none"/>
          <w:lang w:val="zh-CN"/>
        </w:rPr>
        <w:t>（四）相关证明材料；</w:t>
      </w:r>
    </w:p>
    <w:p>
      <w:pPr>
        <w:widowControl/>
        <w:shd w:val="clear"/>
        <w:adjustRightInd w:val="0"/>
        <w:spacing w:line="440" w:lineRule="exact"/>
        <w:ind w:firstLine="315" w:firstLineChars="150"/>
        <w:jc w:val="left"/>
        <w:rPr>
          <w:rFonts w:ascii="宋体" w:cs="宋体"/>
          <w:color w:val="auto"/>
          <w:kern w:val="0"/>
          <w:szCs w:val="21"/>
          <w:highlight w:val="none"/>
          <w:lang w:val="zh-CN"/>
        </w:rPr>
      </w:pPr>
      <w:r>
        <w:rPr>
          <w:rFonts w:hint="eastAsia" w:ascii="宋体" w:hAnsi="宋体" w:cs="仿宋_GB2312"/>
          <w:color w:val="auto"/>
          <w:kern w:val="0"/>
          <w:szCs w:val="21"/>
          <w:highlight w:val="none"/>
          <w:lang w:val="zh-CN"/>
        </w:rPr>
        <w:t>（五）提起</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的日期。</w:t>
      </w:r>
    </w:p>
    <w:p>
      <w:pPr>
        <w:shd w:val="clear"/>
        <w:spacing w:line="440" w:lineRule="exact"/>
        <w:ind w:firstLine="420" w:firstLineChars="200"/>
        <w:rPr>
          <w:rFonts w:ascii="宋体" w:cs="宋体"/>
          <w:color w:val="auto"/>
          <w:kern w:val="0"/>
          <w:szCs w:val="21"/>
          <w:highlight w:val="none"/>
          <w:lang w:val="zh-CN"/>
        </w:rPr>
      </w:pP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书应当署名。</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供应商为自然人的，应当由本人签字；</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供应商为法人或者其他组织的，应当由法定代表人或者主要负责人签字并加盖公章。</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供应商可以委托代理人办理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事务。代理人办理</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事务时，除提交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书外，还应当提交</w:t>
      </w:r>
      <w:r>
        <w:rPr>
          <w:rFonts w:hint="eastAsia" w:ascii="宋体" w:hAnsi="宋体" w:cs="仿宋_GB2312"/>
          <w:color w:val="auto"/>
          <w:kern w:val="0"/>
          <w:szCs w:val="21"/>
          <w:highlight w:val="none"/>
        </w:rPr>
        <w:t>质疑</w:t>
      </w:r>
      <w:r>
        <w:rPr>
          <w:rFonts w:hint="eastAsia" w:ascii="宋体" w:hAnsi="宋体" w:cs="仿宋_GB2312"/>
          <w:color w:val="auto"/>
          <w:kern w:val="0"/>
          <w:szCs w:val="21"/>
          <w:highlight w:val="none"/>
          <w:lang w:val="zh-CN"/>
        </w:rPr>
        <w:t>供应商的授权委托书原件，授权委托书应当载明委托代理的具体权限和事项。</w:t>
      </w:r>
    </w:p>
    <w:p>
      <w:pPr>
        <w:pStyle w:val="31"/>
        <w:shd w:val="clear"/>
        <w:snapToGrid w:val="0"/>
        <w:spacing w:line="460" w:lineRule="exact"/>
        <w:ind w:firstLine="551" w:firstLineChars="196"/>
        <w:jc w:val="center"/>
        <w:rPr>
          <w:rFonts w:hAnsi="宋体"/>
          <w:b/>
          <w:color w:val="auto"/>
          <w:sz w:val="28"/>
          <w:szCs w:val="28"/>
          <w:highlight w:val="none"/>
        </w:rPr>
      </w:pPr>
      <w:bookmarkStart w:id="25" w:name="_Toc254970534"/>
      <w:bookmarkStart w:id="26" w:name="_Toc254970675"/>
    </w:p>
    <w:p>
      <w:pPr>
        <w:pStyle w:val="31"/>
        <w:shd w:val="clear"/>
        <w:snapToGrid w:val="0"/>
        <w:spacing w:line="460" w:lineRule="exact"/>
        <w:ind w:firstLine="551" w:firstLineChars="196"/>
        <w:jc w:val="center"/>
        <w:rPr>
          <w:rFonts w:hAnsi="宋体"/>
          <w:b/>
          <w:color w:val="auto"/>
          <w:sz w:val="28"/>
          <w:szCs w:val="28"/>
          <w:highlight w:val="none"/>
        </w:rPr>
      </w:pPr>
      <w:r>
        <w:rPr>
          <w:rFonts w:hint="eastAsia" w:hAnsi="宋体"/>
          <w:b/>
          <w:color w:val="auto"/>
          <w:sz w:val="28"/>
          <w:szCs w:val="28"/>
          <w:highlight w:val="none"/>
        </w:rPr>
        <w:t>二、招标文件</w:t>
      </w:r>
      <w:bookmarkEnd w:id="25"/>
      <w:bookmarkEnd w:id="26"/>
    </w:p>
    <w:p>
      <w:pPr>
        <w:shd w:val="clear"/>
        <w:snapToGrid w:val="0"/>
        <w:spacing w:line="440" w:lineRule="exact"/>
        <w:jc w:val="left"/>
        <w:rPr>
          <w:rFonts w:ascii="宋体"/>
          <w:b/>
          <w:color w:val="auto"/>
          <w:szCs w:val="21"/>
          <w:highlight w:val="none"/>
        </w:rPr>
      </w:pPr>
      <w:r>
        <w:rPr>
          <w:rFonts w:hint="eastAsia" w:ascii="宋体" w:hAnsi="宋体"/>
          <w:b/>
          <w:color w:val="auto"/>
          <w:szCs w:val="21"/>
          <w:highlight w:val="none"/>
        </w:rPr>
        <w:t>（一）招标文件的构成。本招标文件由以下部份组成：</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1</w:t>
      </w:r>
      <w:r>
        <w:rPr>
          <w:rFonts w:hint="eastAsia" w:ascii="宋体" w:hAnsi="宋体" w:cs="仿宋_GB2312"/>
          <w:color w:val="auto"/>
          <w:kern w:val="0"/>
          <w:szCs w:val="21"/>
          <w:highlight w:val="none"/>
          <w:lang w:val="zh-CN"/>
        </w:rPr>
        <w:t xml:space="preserve">、公开招标公告 </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2</w:t>
      </w:r>
      <w:r>
        <w:rPr>
          <w:rFonts w:hint="eastAsia" w:ascii="宋体" w:hAnsi="宋体" w:cs="仿宋_GB2312"/>
          <w:color w:val="auto"/>
          <w:kern w:val="0"/>
          <w:szCs w:val="21"/>
          <w:highlight w:val="none"/>
          <w:lang w:val="zh-CN"/>
        </w:rPr>
        <w:t>、货物需求一览表</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3</w:t>
      </w:r>
      <w:r>
        <w:rPr>
          <w:rFonts w:hint="eastAsia" w:ascii="宋体" w:hAnsi="宋体" w:cs="仿宋_GB2312"/>
          <w:color w:val="auto"/>
          <w:kern w:val="0"/>
          <w:szCs w:val="21"/>
          <w:highlight w:val="none"/>
          <w:lang w:val="zh-CN"/>
        </w:rPr>
        <w:t>、投标人须知</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4</w:t>
      </w:r>
      <w:r>
        <w:rPr>
          <w:rFonts w:hint="eastAsia" w:ascii="宋体" w:hAnsi="宋体" w:cs="仿宋_GB2312"/>
          <w:color w:val="auto"/>
          <w:kern w:val="0"/>
          <w:szCs w:val="21"/>
          <w:highlight w:val="none"/>
          <w:lang w:val="zh-CN"/>
        </w:rPr>
        <w:t>、评标办法及评分标准</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5</w:t>
      </w:r>
      <w:r>
        <w:rPr>
          <w:rFonts w:hint="eastAsia" w:ascii="宋体" w:hAnsi="宋体" w:cs="仿宋_GB2312"/>
          <w:color w:val="auto"/>
          <w:kern w:val="0"/>
          <w:szCs w:val="21"/>
          <w:highlight w:val="none"/>
          <w:lang w:val="zh-CN"/>
        </w:rPr>
        <w:t>、合同主要条款格式</w:t>
      </w:r>
    </w:p>
    <w:p>
      <w:pPr>
        <w:widowControl/>
        <w:shd w:val="clear"/>
        <w:adjustRightInd w:val="0"/>
        <w:spacing w:line="440" w:lineRule="exact"/>
        <w:ind w:firstLine="315" w:firstLineChars="150"/>
        <w:jc w:val="left"/>
        <w:rPr>
          <w:rFonts w:ascii="宋体" w:cs="仿宋_GB2312"/>
          <w:color w:val="auto"/>
          <w:kern w:val="0"/>
          <w:szCs w:val="21"/>
          <w:highlight w:val="none"/>
          <w:lang w:val="zh-CN"/>
        </w:rPr>
      </w:pPr>
      <w:r>
        <w:rPr>
          <w:rFonts w:ascii="宋体" w:hAnsi="宋体" w:cs="仿宋_GB2312"/>
          <w:color w:val="auto"/>
          <w:kern w:val="0"/>
          <w:szCs w:val="21"/>
          <w:highlight w:val="none"/>
          <w:lang w:val="zh-CN"/>
        </w:rPr>
        <w:t>6</w:t>
      </w:r>
      <w:r>
        <w:rPr>
          <w:rFonts w:hint="eastAsia" w:ascii="宋体" w:hAnsi="宋体" w:cs="仿宋_GB2312"/>
          <w:color w:val="auto"/>
          <w:kern w:val="0"/>
          <w:szCs w:val="21"/>
          <w:highlight w:val="none"/>
          <w:lang w:val="zh-CN"/>
        </w:rPr>
        <w:t>、投标文件格式</w:t>
      </w:r>
    </w:p>
    <w:p>
      <w:pPr>
        <w:shd w:val="clear"/>
        <w:snapToGrid w:val="0"/>
        <w:spacing w:line="440" w:lineRule="exact"/>
        <w:jc w:val="left"/>
        <w:rPr>
          <w:rFonts w:ascii="宋体"/>
          <w:b/>
          <w:color w:val="auto"/>
          <w:szCs w:val="21"/>
          <w:highlight w:val="none"/>
        </w:rPr>
      </w:pPr>
      <w:r>
        <w:rPr>
          <w:rFonts w:hint="eastAsia" w:ascii="宋体" w:hAnsi="宋体"/>
          <w:b/>
          <w:color w:val="auto"/>
          <w:szCs w:val="21"/>
          <w:highlight w:val="none"/>
        </w:rPr>
        <w:t>（二）投标人的风险</w:t>
      </w:r>
    </w:p>
    <w:p>
      <w:pPr>
        <w:pStyle w:val="48"/>
        <w:shd w:val="clear"/>
        <w:spacing w:after="0" w:line="440" w:lineRule="exact"/>
        <w:ind w:left="0" w:leftChars="0" w:firstLine="420" w:firstLineChars="200"/>
        <w:rPr>
          <w:rFonts w:ascii="宋体"/>
          <w:color w:val="auto"/>
          <w:sz w:val="21"/>
          <w:szCs w:val="21"/>
          <w:highlight w:val="none"/>
        </w:rPr>
      </w:pPr>
      <w:r>
        <w:rPr>
          <w:rFonts w:hint="eastAsia" w:ascii="宋体" w:hAnsi="宋体"/>
          <w:color w:val="auto"/>
          <w:sz w:val="21"/>
          <w:szCs w:val="21"/>
          <w:highlight w:val="none"/>
        </w:rPr>
        <w:t>投标人没有按照招标文件要求提供全部资料，或者投标人没有对招标文件在各方面做出实质性响应是投标人的风险，并可能导致其投标被拒绝。</w:t>
      </w:r>
    </w:p>
    <w:p>
      <w:pPr>
        <w:pStyle w:val="18"/>
        <w:widowControl w:val="0"/>
        <w:shd w:val="clear"/>
        <w:tabs>
          <w:tab w:val="clear" w:pos="840"/>
          <w:tab w:val="clear" w:pos="900"/>
        </w:tabs>
        <w:snapToGrid w:val="0"/>
        <w:spacing w:after="120" w:line="440" w:lineRule="exact"/>
        <w:ind w:left="0" w:firstLine="0"/>
        <w:rPr>
          <w:rFonts w:ascii="宋体"/>
          <w:b/>
          <w:color w:val="auto"/>
          <w:sz w:val="21"/>
          <w:szCs w:val="21"/>
          <w:highlight w:val="none"/>
        </w:rPr>
      </w:pPr>
      <w:r>
        <w:rPr>
          <w:rFonts w:hint="eastAsia" w:ascii="宋体" w:hAnsi="宋体"/>
          <w:b/>
          <w:color w:val="auto"/>
          <w:sz w:val="21"/>
          <w:szCs w:val="21"/>
          <w:highlight w:val="none"/>
        </w:rPr>
        <w:t>（三）招标文件的澄清与修改</w:t>
      </w:r>
    </w:p>
    <w:p>
      <w:pPr>
        <w:pStyle w:val="31"/>
        <w:shd w:val="clear"/>
        <w:snapToGrid w:val="0"/>
        <w:spacing w:line="440" w:lineRule="exact"/>
        <w:ind w:firstLine="420" w:firstLineChars="200"/>
        <w:rPr>
          <w:rFonts w:hAnsi="宋体"/>
          <w:color w:val="auto"/>
          <w:highlight w:val="none"/>
        </w:rPr>
      </w:pPr>
      <w:bookmarkStart w:id="27" w:name="_Toc254970676"/>
      <w:bookmarkStart w:id="28" w:name="_Toc254970535"/>
      <w:r>
        <w:rPr>
          <w:rFonts w:hAnsi="宋体"/>
          <w:color w:val="auto"/>
          <w:highlight w:val="none"/>
        </w:rPr>
        <w:t>1.</w:t>
      </w:r>
      <w:r>
        <w:rPr>
          <w:rFonts w:hint="eastAsia" w:hAnsi="宋体"/>
          <w:bCs/>
          <w:color w:val="auto"/>
          <w:highlight w:val="none"/>
        </w:rPr>
        <w:t>投标人应认真阅读本招标文件，发现其中有误或有不合理要求的，以书面形式要求招标采购单位澄清</w:t>
      </w:r>
      <w:r>
        <w:rPr>
          <w:rFonts w:hint="eastAsia" w:hAnsi="宋体"/>
          <w:color w:val="auto"/>
          <w:highlight w:val="none"/>
        </w:rPr>
        <w:t>。采购代理机构对已发出的招标文件进行必要澄清、答复、修改或补充的，应当在财政部门指定的政府采购信息发布媒体上发布更正公告，并以书面形式通知所有招标文件收受人。该澄清或者修改的内容为招标文件的组成部分。如果澄清、答复、修改或补充的内容可能影响投标文件编制的，采购人或者采购代理机构应当在投标截止时间至少</w:t>
      </w:r>
      <w:r>
        <w:rPr>
          <w:rFonts w:hAnsi="宋体"/>
          <w:color w:val="auto"/>
          <w:highlight w:val="none"/>
        </w:rPr>
        <w:t>15</w:t>
      </w:r>
      <w:r>
        <w:rPr>
          <w:rFonts w:hint="eastAsia" w:hAnsi="宋体"/>
          <w:color w:val="auto"/>
          <w:highlight w:val="none"/>
        </w:rPr>
        <w:t>日前发出；不足</w:t>
      </w:r>
      <w:r>
        <w:rPr>
          <w:rFonts w:hAnsi="宋体"/>
          <w:color w:val="auto"/>
          <w:highlight w:val="none"/>
        </w:rPr>
        <w:t>15</w:t>
      </w:r>
      <w:r>
        <w:rPr>
          <w:rFonts w:hint="eastAsia" w:hAnsi="宋体"/>
          <w:color w:val="auto"/>
          <w:highlight w:val="none"/>
        </w:rPr>
        <w:t>日的，采购人或者采购代理机构应当顺延提交投标文件的截止时间。</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采购代理机构必须以书面形式答复投标人要求澄清的问题，并将不包含问题来源的答复书面通知所有购买招标文件的投标人；除书面答复以外的其他澄清方式及澄清内容均无效。</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3.</w:t>
      </w:r>
      <w:r>
        <w:rPr>
          <w:rFonts w:hint="eastAsia" w:hAnsi="宋体"/>
          <w:color w:val="auto"/>
          <w:highlight w:val="none"/>
        </w:rPr>
        <w:t>招标文件澄清、答复、修改、补充的内容为招标文件的组成部分。当招标文件与招标文件的答复、澄清、修改、补充通知就同一内容的表述不一致时，以最后发出的书面文件为准。</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4.</w:t>
      </w:r>
      <w:r>
        <w:rPr>
          <w:rFonts w:hint="eastAsia" w:hAnsi="宋体"/>
          <w:color w:val="auto"/>
          <w:highlight w:val="none"/>
        </w:rPr>
        <w:t>招标文件的澄清、答复、修改或补充都应该通过本项目招标代理机构以法定形式发布，采购人非通过本项目招标代理机构，不得擅自澄清、答复、修改或补充招标文件。</w:t>
      </w:r>
    </w:p>
    <w:p>
      <w:pPr>
        <w:pStyle w:val="31"/>
        <w:shd w:val="clear"/>
        <w:snapToGrid w:val="0"/>
        <w:spacing w:line="440" w:lineRule="exact"/>
        <w:ind w:firstLine="420" w:firstLineChars="200"/>
        <w:rPr>
          <w:rFonts w:hAnsi="宋体"/>
          <w:color w:val="auto"/>
          <w:highlight w:val="none"/>
        </w:rPr>
      </w:pPr>
      <w:r>
        <w:rPr>
          <w:rFonts w:hAnsi="宋体"/>
          <w:color w:val="auto"/>
          <w:highlight w:val="none"/>
        </w:rPr>
        <w:t>5.</w:t>
      </w:r>
      <w:r>
        <w:rPr>
          <w:rFonts w:hint="eastAsia" w:hAnsi="宋体"/>
          <w:color w:val="auto"/>
          <w:highlight w:val="none"/>
        </w:rPr>
        <w:t>采购人可以视采购具体情况，延长投标截止时间和开标时间，但至少应当在招标文件要求提交投标文件截止时间三日前，将变更时间书面通知所有招标文件收受人，并在财政部门指定的政府采购信息发布媒体上发布变更公告。</w:t>
      </w:r>
    </w:p>
    <w:p>
      <w:pPr>
        <w:pStyle w:val="31"/>
        <w:shd w:val="clear"/>
        <w:snapToGrid w:val="0"/>
        <w:spacing w:line="460" w:lineRule="exact"/>
        <w:ind w:firstLine="551" w:firstLineChars="196"/>
        <w:jc w:val="center"/>
        <w:rPr>
          <w:rFonts w:hAnsi="宋体"/>
          <w:b/>
          <w:color w:val="auto"/>
          <w:sz w:val="28"/>
          <w:szCs w:val="28"/>
          <w:highlight w:val="none"/>
        </w:rPr>
      </w:pPr>
      <w:r>
        <w:rPr>
          <w:rFonts w:hint="eastAsia" w:hAnsi="宋体"/>
          <w:b/>
          <w:color w:val="auto"/>
          <w:sz w:val="28"/>
          <w:szCs w:val="28"/>
          <w:highlight w:val="none"/>
        </w:rPr>
        <w:t>三、投标文件的编制</w:t>
      </w:r>
      <w:bookmarkEnd w:id="27"/>
      <w:bookmarkEnd w:id="28"/>
    </w:p>
    <w:p>
      <w:pPr>
        <w:shd w:val="clear"/>
        <w:snapToGrid w:val="0"/>
        <w:spacing w:line="400" w:lineRule="exact"/>
        <w:jc w:val="left"/>
        <w:rPr>
          <w:rFonts w:ascii="宋体"/>
          <w:b/>
          <w:color w:val="auto"/>
          <w:szCs w:val="21"/>
          <w:highlight w:val="none"/>
        </w:rPr>
      </w:pPr>
      <w:bookmarkStart w:id="29" w:name="_Toc254970536"/>
      <w:bookmarkStart w:id="30" w:name="_Toc254970677"/>
      <w:r>
        <w:rPr>
          <w:rFonts w:hint="eastAsia" w:ascii="宋体" w:hAnsi="宋体"/>
          <w:b/>
          <w:color w:val="auto"/>
          <w:szCs w:val="21"/>
          <w:highlight w:val="none"/>
        </w:rPr>
        <w:t>（一）投标文件的组成</w:t>
      </w:r>
      <w:bookmarkEnd w:id="29"/>
      <w:bookmarkEnd w:id="30"/>
    </w:p>
    <w:p>
      <w:pPr>
        <w:shd w:val="clear"/>
        <w:tabs>
          <w:tab w:val="left" w:pos="3870"/>
          <w:tab w:val="left" w:pos="4085"/>
        </w:tabs>
        <w:snapToGrid w:val="0"/>
        <w:spacing w:line="400" w:lineRule="exact"/>
        <w:ind w:firstLine="420" w:firstLineChars="200"/>
        <w:jc w:val="left"/>
        <w:rPr>
          <w:rFonts w:ascii="宋体"/>
          <w:color w:val="auto"/>
          <w:szCs w:val="21"/>
          <w:highlight w:val="none"/>
        </w:rPr>
      </w:pPr>
      <w:r>
        <w:rPr>
          <w:rFonts w:hint="eastAsia" w:ascii="宋体" w:hAnsi="宋体"/>
          <w:color w:val="auto"/>
          <w:szCs w:val="21"/>
          <w:highlight w:val="none"/>
        </w:rPr>
        <w:t>投标文件由资格审查文件（单独装订）、报价文件、商务及技术文件；投标报价文件中的《开表一览表》独立装订成册，与电子文档</w:t>
      </w:r>
      <w:r>
        <w:rPr>
          <w:rFonts w:ascii="宋体" w:hAnsi="宋体"/>
          <w:color w:val="auto"/>
          <w:szCs w:val="21"/>
          <w:highlight w:val="none"/>
        </w:rPr>
        <w:t>U</w:t>
      </w:r>
      <w:r>
        <w:rPr>
          <w:rFonts w:hint="eastAsia" w:ascii="宋体" w:hAnsi="宋体"/>
          <w:color w:val="auto"/>
          <w:szCs w:val="21"/>
          <w:highlight w:val="none"/>
        </w:rPr>
        <w:t>盘分别单独包装、密封递交。</w:t>
      </w:r>
    </w:p>
    <w:p>
      <w:pPr>
        <w:shd w:val="clear"/>
        <w:spacing w:line="400" w:lineRule="exact"/>
        <w:ind w:left="141" w:leftChars="67"/>
        <w:rPr>
          <w:b/>
          <w:color w:val="auto"/>
          <w:highlight w:val="none"/>
        </w:rPr>
      </w:pPr>
      <w:r>
        <w:rPr>
          <w:rFonts w:ascii="宋体" w:hAnsi="宋体"/>
          <w:b/>
          <w:color w:val="auto"/>
          <w:szCs w:val="21"/>
          <w:highlight w:val="none"/>
        </w:rPr>
        <w:t>1.</w:t>
      </w:r>
      <w:r>
        <w:rPr>
          <w:rFonts w:hint="eastAsia"/>
          <w:b/>
          <w:color w:val="auto"/>
          <w:highlight w:val="none"/>
        </w:rPr>
        <w:t>资格审查文件（单独装订）</w:t>
      </w:r>
    </w:p>
    <w:p>
      <w:pPr>
        <w:shd w:val="clear"/>
        <w:spacing w:line="400" w:lineRule="exact"/>
        <w:ind w:left="141" w:leftChars="67"/>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）投标人有效的三证合一的“企业法人营业执照”副本内页复印件（否则须提供有效的企业法人营业执照副本、组织机构代码证复印件、税务登记证复印件）；</w:t>
      </w:r>
    </w:p>
    <w:p>
      <w:pPr>
        <w:shd w:val="clear"/>
        <w:spacing w:line="400" w:lineRule="exact"/>
        <w:ind w:firstLine="105" w:firstLineChars="50"/>
        <w:rPr>
          <w:rFonts w:ascii="宋体"/>
          <w:color w:val="auto"/>
          <w:szCs w:val="21"/>
          <w:highlight w:val="none"/>
        </w:rPr>
      </w:pPr>
      <w:r>
        <w:rPr>
          <w:rFonts w:hint="eastAsia" w:ascii="宋体" w:hAnsi="宋体"/>
          <w:color w:val="auto"/>
          <w:szCs w:val="21"/>
          <w:highlight w:val="none"/>
        </w:rPr>
        <w:t>（2）</w:t>
      </w:r>
      <w:r>
        <w:rPr>
          <w:rFonts w:hint="eastAsia" w:hAnsi="宋体"/>
          <w:color w:val="auto"/>
          <w:szCs w:val="21"/>
          <w:highlight w:val="none"/>
        </w:rPr>
        <w:t>投标保证金缴纳凭证复印件</w:t>
      </w:r>
      <w:r>
        <w:rPr>
          <w:rFonts w:hint="eastAsia" w:ascii="宋体" w:hAnsi="宋体"/>
          <w:color w:val="auto"/>
          <w:szCs w:val="21"/>
          <w:highlight w:val="none"/>
        </w:rPr>
        <w:t>。</w:t>
      </w:r>
    </w:p>
    <w:p>
      <w:pPr>
        <w:shd w:val="clear"/>
        <w:spacing w:line="400" w:lineRule="exact"/>
        <w:ind w:firstLine="105" w:firstLineChars="50"/>
        <w:rPr>
          <w:rFonts w:ascii="宋体"/>
          <w:color w:val="auto"/>
          <w:szCs w:val="21"/>
          <w:highlight w:val="none"/>
        </w:rPr>
      </w:pPr>
      <w:r>
        <w:rPr>
          <w:rFonts w:hint="eastAsia"/>
          <w:b/>
          <w:bCs/>
          <w:color w:val="auto"/>
          <w:highlight w:val="none"/>
        </w:rPr>
        <w:t>说明：以上材料均须提供并加盖单位公章，否则投标无效。</w:t>
      </w:r>
    </w:p>
    <w:p>
      <w:pPr>
        <w:shd w:val="clear"/>
        <w:spacing w:line="400" w:lineRule="exact"/>
        <w:ind w:left="141" w:leftChars="67"/>
        <w:rPr>
          <w:rFonts w:asci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商务及技术文件</w:t>
      </w:r>
    </w:p>
    <w:p>
      <w:pPr>
        <w:shd w:val="clear"/>
        <w:spacing w:line="400" w:lineRule="exact"/>
        <w:ind w:left="141" w:leftChars="67"/>
        <w:rPr>
          <w:rFonts w:ascii="宋体"/>
          <w:b/>
          <w:color w:val="auto"/>
          <w:szCs w:val="21"/>
          <w:highlight w:val="none"/>
        </w:rPr>
      </w:pPr>
      <w:r>
        <w:rPr>
          <w:rFonts w:hint="eastAsia" w:ascii="宋体" w:hAnsi="宋体" w:cs="宋体"/>
          <w:b/>
          <w:color w:val="auto"/>
          <w:kern w:val="0"/>
          <w:szCs w:val="21"/>
          <w:highlight w:val="none"/>
        </w:rPr>
        <w:t>（</w:t>
      </w:r>
      <w:r>
        <w:rPr>
          <w:rFonts w:ascii="宋体" w:hAnsi="宋体" w:cs="宋体"/>
          <w:b/>
          <w:color w:val="auto"/>
          <w:kern w:val="0"/>
          <w:szCs w:val="21"/>
          <w:highlight w:val="none"/>
        </w:rPr>
        <w:t>1</w:t>
      </w:r>
      <w:r>
        <w:rPr>
          <w:rFonts w:hint="eastAsia" w:ascii="宋体" w:hAnsi="宋体" w:cs="宋体"/>
          <w:b/>
          <w:color w:val="auto"/>
          <w:kern w:val="0"/>
          <w:szCs w:val="21"/>
          <w:highlight w:val="none"/>
        </w:rPr>
        <w:t>）商务文件：</w:t>
      </w:r>
    </w:p>
    <w:p>
      <w:pPr>
        <w:shd w:val="clear"/>
        <w:spacing w:line="400" w:lineRule="exact"/>
        <w:ind w:left="141" w:leftChars="67" w:firstLine="105" w:firstLineChars="50"/>
        <w:rPr>
          <w:rFonts w:ascii="宋体" w:hAnsi="宋体"/>
          <w:b/>
          <w:color w:val="auto"/>
          <w:szCs w:val="21"/>
          <w:highlight w:val="none"/>
        </w:rPr>
      </w:pPr>
      <w:r>
        <w:rPr>
          <w:rFonts w:ascii="宋体" w:hAnsi="宋体"/>
          <w:color w:val="auto"/>
          <w:szCs w:val="21"/>
          <w:highlight w:val="none"/>
        </w:rPr>
        <w:t>1</w:t>
      </w:r>
      <w:r>
        <w:rPr>
          <w:rFonts w:hint="eastAsia" w:ascii="宋体" w:hAnsi="宋体"/>
          <w:color w:val="auto"/>
          <w:szCs w:val="21"/>
          <w:highlight w:val="none"/>
        </w:rPr>
        <w:t>）商务响应表</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b/>
          <w:color w:val="auto"/>
          <w:szCs w:val="21"/>
          <w:highlight w:val="none"/>
        </w:rPr>
        <w:t>（必须提供，否则投标无效）；</w:t>
      </w:r>
    </w:p>
    <w:p>
      <w:pPr>
        <w:shd w:val="clear"/>
        <w:spacing w:line="400" w:lineRule="exact"/>
        <w:ind w:left="561" w:leftChars="117" w:hanging="315" w:hangingChars="150"/>
        <w:rPr>
          <w:rFonts w:ascii="宋体" w:hAnsi="宋体"/>
          <w:b/>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）投标声明书</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b/>
          <w:color w:val="auto"/>
          <w:szCs w:val="21"/>
          <w:highlight w:val="none"/>
        </w:rPr>
        <w:t>（必须提供，否则投标无效）</w:t>
      </w:r>
      <w:r>
        <w:rPr>
          <w:rFonts w:hint="eastAsia" w:ascii="宋体" w:hAnsi="宋体"/>
          <w:b/>
          <w:color w:val="auto"/>
          <w:szCs w:val="21"/>
          <w:highlight w:val="none"/>
        </w:rPr>
        <w:t>；</w:t>
      </w:r>
    </w:p>
    <w:p>
      <w:pPr>
        <w:shd w:val="clear"/>
        <w:spacing w:line="400" w:lineRule="exact"/>
        <w:ind w:firstLine="210" w:firstLineChars="100"/>
        <w:rPr>
          <w:rFonts w:ascii="宋体"/>
          <w:color w:val="auto"/>
          <w:szCs w:val="21"/>
          <w:highlight w:val="none"/>
        </w:rPr>
      </w:pPr>
      <w:r>
        <w:rPr>
          <w:rFonts w:hint="eastAsia" w:ascii="宋体" w:hAnsi="宋体"/>
          <w:color w:val="auto"/>
          <w:szCs w:val="21"/>
          <w:highlight w:val="none"/>
        </w:rPr>
        <w:t>3）</w:t>
      </w:r>
      <w:r>
        <w:rPr>
          <w:rFonts w:hint="eastAsia" w:hAnsi="宋体"/>
          <w:color w:val="auto"/>
          <w:highlight w:val="none"/>
        </w:rPr>
        <w:t>投标人法定代表人（或企业负责人）身份证复印件</w:t>
      </w:r>
      <w:r>
        <w:rPr>
          <w:rFonts w:hint="eastAsia" w:ascii="宋体" w:hAnsi="宋体"/>
          <w:b/>
          <w:color w:val="auto"/>
          <w:szCs w:val="21"/>
          <w:highlight w:val="none"/>
        </w:rPr>
        <w:t>（必须提供，否则投标无效）；</w:t>
      </w:r>
    </w:p>
    <w:p>
      <w:pPr>
        <w:shd w:val="clear"/>
        <w:spacing w:line="400" w:lineRule="exact"/>
        <w:ind w:firstLine="210" w:firstLineChars="100"/>
        <w:rPr>
          <w:rFonts w:ascii="宋体"/>
          <w:color w:val="auto"/>
          <w:szCs w:val="21"/>
          <w:highlight w:val="none"/>
        </w:rPr>
      </w:pPr>
      <w:r>
        <w:rPr>
          <w:rFonts w:hint="eastAsia" w:ascii="宋体" w:hAnsi="宋体"/>
          <w:color w:val="auto"/>
          <w:szCs w:val="21"/>
          <w:highlight w:val="none"/>
        </w:rPr>
        <w:t>4）法定代表人授权委托书</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color w:val="auto"/>
          <w:szCs w:val="21"/>
          <w:highlight w:val="none"/>
        </w:rPr>
        <w:t>及委托代理人身份证复印件</w:t>
      </w:r>
      <w:r>
        <w:rPr>
          <w:rFonts w:hint="eastAsia" w:ascii="宋体" w:hAnsi="宋体"/>
          <w:b/>
          <w:color w:val="auto"/>
          <w:szCs w:val="21"/>
          <w:highlight w:val="none"/>
        </w:rPr>
        <w:t>（委托代理时必须提供,否则投标无效）；</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5）可作为投标人评分的资信证明材料（可选）：</w:t>
      </w:r>
    </w:p>
    <w:p>
      <w:pPr>
        <w:shd w:val="clear"/>
        <w:spacing w:line="400" w:lineRule="exact"/>
        <w:ind w:firstLine="210" w:firstLineChars="100"/>
        <w:rPr>
          <w:rFonts w:ascii="宋体"/>
          <w:color w:val="auto"/>
          <w:szCs w:val="21"/>
          <w:highlight w:val="none"/>
        </w:rPr>
      </w:pPr>
      <w:r>
        <w:rPr>
          <w:rFonts w:hint="eastAsia" w:ascii="宋体" w:hAnsi="宋体"/>
          <w:color w:val="auto"/>
          <w:szCs w:val="21"/>
          <w:highlight w:val="none"/>
        </w:rPr>
        <w:t>①招标文件要求投标人必须提供的其他资料（具体按第二章、第四章的要求</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firstLine="210" w:firstLineChars="100"/>
        <w:rPr>
          <w:rFonts w:ascii="宋体"/>
          <w:color w:val="auto"/>
          <w:szCs w:val="21"/>
          <w:highlight w:val="none"/>
        </w:rPr>
      </w:pPr>
      <w:r>
        <w:rPr>
          <w:rFonts w:hint="eastAsia" w:ascii="宋体" w:hAnsi="宋体"/>
          <w:color w:val="auto"/>
          <w:szCs w:val="21"/>
          <w:highlight w:val="none"/>
        </w:rPr>
        <w:t>②类似案例成功的业绩</w:t>
      </w:r>
      <w:r>
        <w:rPr>
          <w:rFonts w:ascii="宋体" w:hAnsi="宋体"/>
          <w:color w:val="auto"/>
          <w:szCs w:val="21"/>
          <w:highlight w:val="none"/>
        </w:rPr>
        <w:t>(</w:t>
      </w:r>
      <w:r>
        <w:rPr>
          <w:rFonts w:hint="eastAsia" w:ascii="宋体" w:hAnsi="宋体"/>
          <w:color w:val="auto"/>
          <w:szCs w:val="21"/>
          <w:highlight w:val="none"/>
        </w:rPr>
        <w:t>投标入同类项目实施情况一览表、合同复印件</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③其他特殊资质证书</w:t>
      </w:r>
      <w:r>
        <w:rPr>
          <w:rFonts w:ascii="宋体" w:hAnsi="宋体"/>
          <w:color w:val="auto"/>
          <w:szCs w:val="21"/>
          <w:highlight w:val="none"/>
        </w:rPr>
        <w:t>(</w:t>
      </w:r>
      <w:r>
        <w:rPr>
          <w:rFonts w:hint="eastAsia" w:ascii="宋体" w:hAnsi="宋体"/>
          <w:color w:val="auto"/>
          <w:szCs w:val="21"/>
          <w:highlight w:val="none"/>
        </w:rPr>
        <w:t>如本地化服务能力等</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④自主创新、节能环保产品认证等方面的资质证书；</w:t>
      </w:r>
    </w:p>
    <w:p>
      <w:pPr>
        <w:shd w:val="clear"/>
        <w:spacing w:line="400" w:lineRule="exact"/>
        <w:ind w:firstLine="210" w:firstLineChars="100"/>
        <w:rPr>
          <w:rFonts w:ascii="宋体"/>
          <w:color w:val="auto"/>
          <w:szCs w:val="21"/>
          <w:highlight w:val="none"/>
        </w:rPr>
      </w:pPr>
      <w:r>
        <w:rPr>
          <w:rFonts w:hint="eastAsia" w:ascii="宋体" w:hAnsi="宋体"/>
          <w:color w:val="auto"/>
          <w:szCs w:val="21"/>
          <w:highlight w:val="none"/>
        </w:rPr>
        <w:t>⑤质量管理和质量保证体系等方面的认证证书；</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⑥投标人认为可以证明其能力或业绩的其他材料；</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⑦投标人关于产品生产时间、升级或者更新淘汰计划、配件供应以及本单位债务纠纷、违法违规记录等方面的情况</w:t>
      </w:r>
      <w:r>
        <w:rPr>
          <w:rFonts w:ascii="宋体" w:hAnsi="宋体"/>
          <w:color w:val="auto"/>
          <w:szCs w:val="21"/>
          <w:highlight w:val="none"/>
        </w:rPr>
        <w:t>(</w:t>
      </w:r>
      <w:r>
        <w:rPr>
          <w:rFonts w:hint="eastAsia" w:ascii="宋体" w:hAnsi="宋体"/>
          <w:color w:val="auto"/>
          <w:szCs w:val="21"/>
          <w:highlight w:val="none"/>
        </w:rPr>
        <w:t>内容见投标声明书</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105" w:firstLineChars="50"/>
        <w:rPr>
          <w:rFonts w:ascii="宋体"/>
          <w:color w:val="auto"/>
          <w:szCs w:val="21"/>
          <w:highlight w:val="none"/>
        </w:rPr>
      </w:pPr>
      <w:r>
        <w:rPr>
          <w:rFonts w:hint="eastAsia" w:ascii="宋体" w:hAnsi="宋体"/>
          <w:color w:val="auto"/>
          <w:szCs w:val="21"/>
          <w:highlight w:val="none"/>
        </w:rPr>
        <w:t>⑧投标人情况介绍；</w:t>
      </w:r>
    </w:p>
    <w:p>
      <w:pPr>
        <w:shd w:val="clear"/>
        <w:spacing w:line="400" w:lineRule="exact"/>
        <w:ind w:left="141" w:leftChars="67"/>
        <w:rPr>
          <w:rFonts w:asci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2</w:t>
      </w:r>
      <w:r>
        <w:rPr>
          <w:rFonts w:hint="eastAsia" w:ascii="宋体" w:hAnsi="宋体"/>
          <w:b/>
          <w:color w:val="auto"/>
          <w:szCs w:val="21"/>
          <w:highlight w:val="none"/>
        </w:rPr>
        <w:t>）技术文件：</w:t>
      </w:r>
    </w:p>
    <w:p>
      <w:pPr>
        <w:shd w:val="clear"/>
        <w:spacing w:line="400" w:lineRule="exact"/>
        <w:ind w:left="141" w:leftChars="67" w:firstLine="210" w:firstLineChars="100"/>
        <w:rPr>
          <w:rFonts w:ascii="宋体"/>
          <w:b/>
          <w:color w:val="auto"/>
          <w:szCs w:val="21"/>
          <w:highlight w:val="none"/>
        </w:rPr>
      </w:pPr>
      <w:r>
        <w:rPr>
          <w:rFonts w:ascii="宋体" w:hAnsi="宋体"/>
          <w:color w:val="auto"/>
          <w:szCs w:val="21"/>
          <w:highlight w:val="none"/>
        </w:rPr>
        <w:t>1</w:t>
      </w:r>
      <w:r>
        <w:rPr>
          <w:rFonts w:hint="eastAsia" w:ascii="宋体" w:hAnsi="宋体"/>
          <w:color w:val="auto"/>
          <w:szCs w:val="21"/>
          <w:highlight w:val="none"/>
        </w:rPr>
        <w:t>）技术响应表</w:t>
      </w:r>
      <w:r>
        <w:rPr>
          <w:rFonts w:hint="eastAsia" w:ascii="宋体" w:hAnsi="宋体"/>
          <w:b/>
          <w:color w:val="auto"/>
          <w:szCs w:val="21"/>
          <w:highlight w:val="none"/>
        </w:rPr>
        <w:t>（必须提供，否则投标无效）；</w:t>
      </w:r>
    </w:p>
    <w:p>
      <w:pPr>
        <w:shd w:val="clear"/>
        <w:spacing w:line="400" w:lineRule="exact"/>
        <w:ind w:left="141" w:leftChars="67" w:firstLine="210" w:firstLineChars="100"/>
        <w:rPr>
          <w:rFonts w:ascii="宋体"/>
          <w:b/>
          <w:color w:val="auto"/>
          <w:szCs w:val="21"/>
          <w:highlight w:val="none"/>
        </w:rPr>
      </w:pPr>
      <w:r>
        <w:rPr>
          <w:rFonts w:ascii="宋体" w:hAnsi="宋体"/>
          <w:color w:val="auto"/>
          <w:szCs w:val="21"/>
          <w:highlight w:val="none"/>
        </w:rPr>
        <w:t>2</w:t>
      </w:r>
      <w:r>
        <w:rPr>
          <w:rFonts w:hint="eastAsia" w:ascii="宋体" w:hAnsi="宋体"/>
          <w:color w:val="auto"/>
          <w:szCs w:val="21"/>
          <w:highlight w:val="none"/>
        </w:rPr>
        <w:t>）售后服务承诺书</w:t>
      </w:r>
      <w:r>
        <w:rPr>
          <w:rFonts w:hint="eastAsia" w:ascii="宋体" w:hAnsi="宋体"/>
          <w:b/>
          <w:color w:val="auto"/>
          <w:szCs w:val="21"/>
          <w:highlight w:val="none"/>
        </w:rPr>
        <w:t>（应据项目实际要求描述</w:t>
      </w:r>
      <w:r>
        <w:rPr>
          <w:rFonts w:ascii="宋体"/>
          <w:b/>
          <w:color w:val="auto"/>
          <w:szCs w:val="21"/>
          <w:highlight w:val="none"/>
        </w:rPr>
        <w:t>,</w:t>
      </w:r>
      <w:r>
        <w:rPr>
          <w:rFonts w:hint="eastAsia" w:ascii="宋体" w:hAnsi="宋体"/>
          <w:b/>
          <w:color w:val="auto"/>
          <w:szCs w:val="21"/>
          <w:highlight w:val="none"/>
        </w:rPr>
        <w:t>格式自拟，必须提供，否则投标无效）；</w:t>
      </w:r>
    </w:p>
    <w:p>
      <w:pPr>
        <w:shd w:val="clear"/>
        <w:spacing w:line="400" w:lineRule="exact"/>
        <w:ind w:left="141" w:leftChars="67" w:firstLine="210" w:firstLineChars="1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）可作为投标人评分的技术证明材料（可选）：</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①对本项目系统总体要求的理解，包括：功能说明、性能指标及设备选型说明（质量、性能、价格、外观、体积等方面进行比较和选择的理由及过程）；</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②设备配置清单（均不含报价）；</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③产品出厂标准、质量检测报告；</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④原厂出厂配置表及原厂中文使用说明书；</w:t>
      </w:r>
    </w:p>
    <w:p>
      <w:pPr>
        <w:shd w:val="clear"/>
        <w:spacing w:line="400" w:lineRule="exact"/>
        <w:ind w:firstLine="315" w:firstLineChars="150"/>
        <w:rPr>
          <w:rFonts w:ascii="宋体"/>
          <w:color w:val="auto"/>
          <w:szCs w:val="21"/>
          <w:highlight w:val="none"/>
        </w:rPr>
      </w:pPr>
      <w:r>
        <w:rPr>
          <w:rFonts w:hint="eastAsia" w:ascii="宋体" w:hAnsi="宋体"/>
          <w:color w:val="auto"/>
          <w:szCs w:val="21"/>
          <w:highlight w:val="none"/>
        </w:rPr>
        <w:t>⑤投标人建议的安装、调试、验收方法或方案；</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⑥技术服务、技术培训、售后服务的内容和措施等；</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⑦项目实施人员一览表；</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⑧投标人拥有主要装备和检测设施的情况和现状（格式自拟）；</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⑨优惠条件：投标人承诺给予招标人的各种优惠条件，包括备品备件、专用耗材、售后服务等方面的优惠；</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⑩投标人对本项目的合理化建议和改进措施；</w:t>
      </w:r>
    </w:p>
    <w:p>
      <w:pPr>
        <w:shd w:val="clear"/>
        <w:spacing w:line="400" w:lineRule="exact"/>
        <w:ind w:left="141" w:leftChars="67" w:firstLine="210" w:firstLineChars="100"/>
        <w:rPr>
          <w:rFonts w:ascii="宋体"/>
          <w:b/>
          <w:color w:val="auto"/>
          <w:szCs w:val="21"/>
          <w:highlight w:val="none"/>
        </w:rPr>
      </w:pPr>
      <w:r>
        <w:rPr>
          <w:rFonts w:hint="eastAsia" w:ascii="宋体" w:hAnsi="宋体"/>
          <w:color w:val="auto"/>
          <w:szCs w:val="21"/>
          <w:highlight w:val="none"/>
        </w:rPr>
        <w:t>⑾投标人需要说明的其他文件和说明（格式略）；</w:t>
      </w:r>
    </w:p>
    <w:p>
      <w:pPr>
        <w:shd w:val="clear"/>
        <w:spacing w:line="400" w:lineRule="exact"/>
        <w:ind w:left="141" w:leftChars="67"/>
        <w:rPr>
          <w:rFonts w:ascii="宋体"/>
          <w:b/>
          <w:color w:val="auto"/>
          <w:szCs w:val="21"/>
          <w:highlight w:val="none"/>
        </w:rPr>
      </w:pPr>
      <w:r>
        <w:rPr>
          <w:rFonts w:ascii="宋体" w:hAnsi="宋体"/>
          <w:b/>
          <w:color w:val="auto"/>
          <w:szCs w:val="21"/>
          <w:highlight w:val="none"/>
        </w:rPr>
        <w:t>3</w:t>
      </w:r>
      <w:r>
        <w:rPr>
          <w:rFonts w:ascii="宋体"/>
          <w:b/>
          <w:color w:val="auto"/>
          <w:szCs w:val="21"/>
          <w:highlight w:val="none"/>
        </w:rPr>
        <w:t>.</w:t>
      </w:r>
      <w:r>
        <w:rPr>
          <w:rFonts w:hint="eastAsia" w:ascii="宋体" w:hAnsi="宋体"/>
          <w:b/>
          <w:color w:val="auto"/>
          <w:szCs w:val="21"/>
          <w:highlight w:val="none"/>
        </w:rPr>
        <w:t>报价文件</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）投标函</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）投标报价明细表</w:t>
      </w:r>
      <w:r>
        <w:rPr>
          <w:rFonts w:ascii="宋体" w:hAns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）投标人针对报价需要说明的其他文件和说明</w:t>
      </w:r>
      <w:r>
        <w:rPr>
          <w:rFonts w:ascii="宋体" w:hAnsi="宋体"/>
          <w:color w:val="auto"/>
          <w:szCs w:val="21"/>
          <w:highlight w:val="none"/>
        </w:rPr>
        <w:t>(</w:t>
      </w:r>
      <w:r>
        <w:rPr>
          <w:rFonts w:hint="eastAsia" w:ascii="宋体" w:hAnsi="宋体"/>
          <w:color w:val="auto"/>
          <w:szCs w:val="21"/>
          <w:highlight w:val="none"/>
        </w:rPr>
        <w:t>格式自拟</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firstLine="210" w:firstLineChars="1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）开标一览表</w:t>
      </w:r>
      <w:r>
        <w:rPr>
          <w:rFonts w:ascii="宋体" w:hAnsi="宋体"/>
          <w:color w:val="auto"/>
          <w:szCs w:val="21"/>
          <w:highlight w:val="none"/>
        </w:rPr>
        <w:t>(</w:t>
      </w:r>
      <w:r>
        <w:rPr>
          <w:rFonts w:hint="eastAsia" w:ascii="宋体" w:hAnsi="宋体"/>
          <w:color w:val="auto"/>
          <w:szCs w:val="21"/>
          <w:highlight w:val="none"/>
        </w:rPr>
        <w:t>单独封装</w:t>
      </w:r>
      <w:r>
        <w:rPr>
          <w:rFonts w:ascii="宋体"/>
          <w:color w:val="auto"/>
          <w:szCs w:val="21"/>
          <w:highlight w:val="none"/>
        </w:rPr>
        <w:t>,</w:t>
      </w:r>
      <w:r>
        <w:rPr>
          <w:rFonts w:hint="eastAsia" w:ascii="宋体" w:hAnsi="宋体"/>
          <w:color w:val="auto"/>
          <w:szCs w:val="21"/>
          <w:highlight w:val="none"/>
        </w:rPr>
        <w:t>格式见附件</w:t>
      </w:r>
      <w:r>
        <w:rPr>
          <w:rFonts w:ascii="宋体" w:hAnsi="宋体"/>
          <w:color w:val="auto"/>
          <w:szCs w:val="21"/>
          <w:highlight w:val="none"/>
        </w:rPr>
        <w:t>)</w:t>
      </w:r>
      <w:r>
        <w:rPr>
          <w:rFonts w:hint="eastAsia" w:ascii="宋体" w:hAnsi="宋体"/>
          <w:color w:val="auto"/>
          <w:szCs w:val="21"/>
          <w:highlight w:val="none"/>
        </w:rPr>
        <w:t>。</w:t>
      </w:r>
    </w:p>
    <w:p>
      <w:pPr>
        <w:shd w:val="clear"/>
        <w:spacing w:line="400" w:lineRule="exact"/>
        <w:ind w:left="141" w:leftChars="67"/>
        <w:rPr>
          <w:rFonts w:ascii="宋体"/>
          <w:b/>
          <w:color w:val="auto"/>
          <w:szCs w:val="21"/>
          <w:highlight w:val="none"/>
        </w:rPr>
      </w:pPr>
      <w:r>
        <w:rPr>
          <w:rFonts w:hint="eastAsia" w:ascii="宋体" w:hAnsi="宋体"/>
          <w:b/>
          <w:color w:val="auto"/>
          <w:szCs w:val="21"/>
          <w:highlight w:val="none"/>
        </w:rPr>
        <w:t>注</w:t>
      </w:r>
      <w:r>
        <w:rPr>
          <w:rFonts w:ascii="宋体" w:hAnsi="宋体"/>
          <w:b/>
          <w:color w:val="auto"/>
          <w:szCs w:val="21"/>
          <w:highlight w:val="none"/>
        </w:rPr>
        <w:t>:</w:t>
      </w:r>
      <w:r>
        <w:rPr>
          <w:rFonts w:hint="eastAsia" w:ascii="宋体" w:hAnsi="宋体"/>
          <w:b/>
          <w:color w:val="auto"/>
          <w:szCs w:val="21"/>
          <w:highlight w:val="none"/>
        </w:rPr>
        <w:t>法定代表人授权委托书、投标声明书、投标函、开标一览表必须由法定代表人或授权代表签名并加盖单位公章。</w:t>
      </w:r>
    </w:p>
    <w:p>
      <w:pPr>
        <w:shd w:val="clear"/>
        <w:snapToGrid w:val="0"/>
        <w:spacing w:line="400" w:lineRule="exact"/>
        <w:jc w:val="left"/>
        <w:rPr>
          <w:rFonts w:ascii="宋体"/>
          <w:b/>
          <w:color w:val="auto"/>
          <w:szCs w:val="21"/>
          <w:highlight w:val="none"/>
        </w:rPr>
      </w:pPr>
      <w:bookmarkStart w:id="31" w:name="_Toc254970537"/>
      <w:bookmarkStart w:id="32" w:name="_Toc254970678"/>
      <w:r>
        <w:rPr>
          <w:rFonts w:hint="eastAsia" w:ascii="宋体" w:hAnsi="宋体"/>
          <w:b/>
          <w:color w:val="auto"/>
          <w:szCs w:val="21"/>
          <w:highlight w:val="none"/>
        </w:rPr>
        <w:t>（二）投标文件的语言及计量</w:t>
      </w:r>
      <w:bookmarkEnd w:id="31"/>
      <w:bookmarkEnd w:id="32"/>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投标文件以及投标方与招标方就有关投标事宜的所有来往函电，均应以中文汉语书写。除签名、盖章、专用名称等特殊情形外，以中文汉语以外的文字表述的投标文件视同未提供。</w:t>
      </w:r>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投标计量单位，招标文件已有明确规定的，使用招标文件规定的计量单位；招标文件没有规定的，应采用中华人民共和国法定计量单位（货币单位：人民币元），否则视同未响应。</w:t>
      </w:r>
    </w:p>
    <w:p>
      <w:pPr>
        <w:shd w:val="clear"/>
        <w:snapToGrid w:val="0"/>
        <w:spacing w:line="400" w:lineRule="exact"/>
        <w:jc w:val="left"/>
        <w:rPr>
          <w:rFonts w:ascii="宋体"/>
          <w:b/>
          <w:color w:val="auto"/>
          <w:szCs w:val="21"/>
          <w:highlight w:val="none"/>
        </w:rPr>
      </w:pPr>
      <w:bookmarkStart w:id="33" w:name="_Toc254970538"/>
      <w:bookmarkStart w:id="34" w:name="_Toc254970679"/>
      <w:r>
        <w:rPr>
          <w:rFonts w:hint="eastAsia" w:ascii="宋体" w:hAnsi="宋体"/>
          <w:b/>
          <w:color w:val="auto"/>
          <w:szCs w:val="21"/>
          <w:highlight w:val="none"/>
        </w:rPr>
        <w:t>（三）投标报价</w:t>
      </w:r>
      <w:bookmarkEnd w:id="33"/>
      <w:bookmarkEnd w:id="34"/>
    </w:p>
    <w:p>
      <w:pPr>
        <w:pStyle w:val="31"/>
        <w:shd w:val="clear"/>
        <w:snapToGrid w:val="0"/>
        <w:spacing w:line="400" w:lineRule="exact"/>
        <w:ind w:firstLine="420" w:firstLineChars="200"/>
        <w:jc w:val="left"/>
        <w:rPr>
          <w:rFonts w:hAnsi="宋体"/>
          <w:color w:val="auto"/>
          <w:highlight w:val="none"/>
        </w:rPr>
      </w:pPr>
      <w:r>
        <w:rPr>
          <w:rFonts w:hAnsi="宋体"/>
          <w:color w:val="auto"/>
          <w:highlight w:val="none"/>
        </w:rPr>
        <w:t>1.</w:t>
      </w:r>
      <w:r>
        <w:rPr>
          <w:rFonts w:hint="eastAsia" w:hAnsi="宋体"/>
          <w:color w:val="auto"/>
          <w:highlight w:val="none"/>
        </w:rPr>
        <w:t>投标报价应按招标文件中相关附表格式填写。</w:t>
      </w:r>
    </w:p>
    <w:p>
      <w:pPr>
        <w:pStyle w:val="31"/>
        <w:shd w:val="clear"/>
        <w:snapToGrid w:val="0"/>
        <w:spacing w:line="400" w:lineRule="exact"/>
        <w:ind w:firstLine="420" w:firstLineChars="200"/>
        <w:jc w:val="left"/>
        <w:rPr>
          <w:rFonts w:hAnsi="宋体"/>
          <w:color w:val="auto"/>
          <w:highlight w:val="none"/>
        </w:rPr>
      </w:pPr>
      <w:r>
        <w:rPr>
          <w:rFonts w:hAnsi="宋体"/>
          <w:color w:val="auto"/>
          <w:highlight w:val="none"/>
        </w:rPr>
        <w:t xml:space="preserve">2. </w:t>
      </w:r>
      <w:r>
        <w:rPr>
          <w:rFonts w:hint="eastAsia" w:hAnsi="宋体"/>
          <w:color w:val="auto"/>
          <w:highlight w:val="none"/>
        </w:rPr>
        <w:t>投标报价是履行合同的最终价格，应包括货款、标准附件、备品备件、专用工具、包装、运输、装卸、保险、税金、货到就位以及安装、调试、培训、保修等一切税金和费用。</w:t>
      </w:r>
    </w:p>
    <w:p>
      <w:pPr>
        <w:pStyle w:val="31"/>
        <w:shd w:val="clear"/>
        <w:snapToGrid w:val="0"/>
        <w:spacing w:line="400" w:lineRule="exact"/>
        <w:ind w:firstLine="420" w:firstLineChars="200"/>
        <w:jc w:val="left"/>
        <w:rPr>
          <w:rFonts w:hAnsi="宋体"/>
          <w:color w:val="auto"/>
          <w:highlight w:val="none"/>
        </w:rPr>
      </w:pPr>
      <w:r>
        <w:rPr>
          <w:rFonts w:hAnsi="宋体"/>
          <w:color w:val="auto"/>
          <w:highlight w:val="none"/>
        </w:rPr>
        <w:t xml:space="preserve">3. </w:t>
      </w:r>
      <w:r>
        <w:rPr>
          <w:rFonts w:hint="eastAsia" w:hAnsi="宋体"/>
          <w:color w:val="auto"/>
          <w:highlight w:val="none"/>
        </w:rPr>
        <w:t>投标文件只允许有一个报价，有选择的或有条件的报价将不予接受。</w:t>
      </w:r>
    </w:p>
    <w:p>
      <w:pPr>
        <w:pStyle w:val="18"/>
        <w:widowControl w:val="0"/>
        <w:shd w:val="clear"/>
        <w:tabs>
          <w:tab w:val="clear" w:pos="840"/>
          <w:tab w:val="clear" w:pos="900"/>
        </w:tabs>
        <w:snapToGrid w:val="0"/>
        <w:spacing w:after="120" w:line="400" w:lineRule="exact"/>
        <w:ind w:left="0" w:firstLine="0"/>
        <w:rPr>
          <w:rFonts w:ascii="宋体"/>
          <w:b/>
          <w:color w:val="auto"/>
          <w:sz w:val="21"/>
          <w:szCs w:val="21"/>
          <w:highlight w:val="none"/>
        </w:rPr>
      </w:pPr>
      <w:r>
        <w:rPr>
          <w:rFonts w:hint="eastAsia" w:ascii="宋体" w:hAnsi="宋体"/>
          <w:b/>
          <w:color w:val="auto"/>
          <w:sz w:val="21"/>
          <w:szCs w:val="21"/>
          <w:highlight w:val="none"/>
        </w:rPr>
        <w:t>（四）投标文件的有效期</w:t>
      </w:r>
    </w:p>
    <w:p>
      <w:pPr>
        <w:pStyle w:val="31"/>
        <w:shd w:val="clear"/>
        <w:snapToGrid w:val="0"/>
        <w:spacing w:line="400" w:lineRule="exact"/>
        <w:ind w:firstLine="420" w:firstLineChars="200"/>
        <w:jc w:val="left"/>
        <w:rPr>
          <w:rFonts w:hAnsi="宋体"/>
          <w:color w:val="auto"/>
          <w:highlight w:val="none"/>
        </w:rPr>
      </w:pPr>
      <w:r>
        <w:rPr>
          <w:rFonts w:hAnsi="宋体"/>
          <w:color w:val="auto"/>
          <w:highlight w:val="none"/>
        </w:rPr>
        <w:t>1.</w:t>
      </w:r>
      <w:r>
        <w:rPr>
          <w:rFonts w:hint="eastAsia" w:hAnsi="宋体"/>
          <w:color w:val="auto"/>
          <w:highlight w:val="none"/>
        </w:rPr>
        <w:t>投标文件有效期按投标人须知前附表规定的时间。有效期不足的投标文件将被拒绝。</w:t>
      </w:r>
    </w:p>
    <w:p>
      <w:pPr>
        <w:pStyle w:val="31"/>
        <w:shd w:val="clear"/>
        <w:snapToGrid w:val="0"/>
        <w:spacing w:line="400" w:lineRule="exact"/>
        <w:ind w:firstLine="420" w:firstLineChars="200"/>
        <w:jc w:val="left"/>
        <w:rPr>
          <w:rFonts w:hAnsi="宋体"/>
          <w:color w:val="auto"/>
          <w:highlight w:val="none"/>
        </w:rPr>
      </w:pPr>
      <w:r>
        <w:rPr>
          <w:rFonts w:hAnsi="宋体"/>
          <w:color w:val="auto"/>
          <w:highlight w:val="none"/>
        </w:rPr>
        <w:t>2.</w:t>
      </w:r>
      <w:r>
        <w:rPr>
          <w:rFonts w:hint="eastAsia" w:hAnsi="宋体"/>
          <w:color w:val="auto"/>
          <w:highlight w:val="none"/>
        </w:rPr>
        <w:t>在特殊情况下，招标人可与投标人协商延长投标书的有效期，这种要求和答复均以书面形式进行。</w:t>
      </w:r>
    </w:p>
    <w:p>
      <w:pPr>
        <w:pStyle w:val="31"/>
        <w:shd w:val="clear"/>
        <w:snapToGrid w:val="0"/>
        <w:spacing w:line="400" w:lineRule="exact"/>
        <w:ind w:firstLine="420" w:firstLineChars="200"/>
        <w:jc w:val="left"/>
        <w:rPr>
          <w:rFonts w:hAnsi="宋体"/>
          <w:color w:val="auto"/>
          <w:highlight w:val="none"/>
        </w:rPr>
      </w:pPr>
      <w:bookmarkStart w:id="35" w:name="_Toc254970680"/>
      <w:bookmarkStart w:id="36" w:name="_Toc254970539"/>
      <w:r>
        <w:rPr>
          <w:rFonts w:hAnsi="宋体"/>
          <w:color w:val="auto"/>
          <w:highlight w:val="none"/>
        </w:rPr>
        <w:t>3.</w:t>
      </w:r>
      <w:r>
        <w:rPr>
          <w:rFonts w:hint="eastAsia" w:hAnsi="宋体"/>
          <w:color w:val="auto"/>
          <w:highlight w:val="none"/>
        </w:rPr>
        <w:t>投标人可拒绝接受延期要求而不会导致投标保证金被没收。同意延长有效期的投标人需要相应延长投标保证金的有效期，但不能修改投标文件。</w:t>
      </w:r>
      <w:bookmarkEnd w:id="35"/>
      <w:bookmarkEnd w:id="36"/>
    </w:p>
    <w:p>
      <w:pPr>
        <w:pStyle w:val="31"/>
        <w:shd w:val="clear"/>
        <w:snapToGrid w:val="0"/>
        <w:spacing w:line="400" w:lineRule="exact"/>
        <w:ind w:firstLine="420" w:firstLineChars="200"/>
        <w:jc w:val="left"/>
        <w:rPr>
          <w:rFonts w:hAnsi="宋体"/>
          <w:color w:val="auto"/>
          <w:highlight w:val="none"/>
        </w:rPr>
      </w:pPr>
      <w:bookmarkStart w:id="37" w:name="_Toc254970681"/>
      <w:bookmarkStart w:id="38" w:name="_Toc254970540"/>
      <w:r>
        <w:rPr>
          <w:rFonts w:hAnsi="宋体"/>
          <w:color w:val="auto"/>
          <w:highlight w:val="none"/>
        </w:rPr>
        <w:t>4.</w:t>
      </w:r>
      <w:r>
        <w:rPr>
          <w:rFonts w:hint="eastAsia" w:hAnsi="宋体"/>
          <w:color w:val="auto"/>
          <w:highlight w:val="none"/>
        </w:rPr>
        <w:t>中标人的投标文件自开标之日起至合同履行完毕止均应保持有效。</w:t>
      </w:r>
      <w:bookmarkEnd w:id="37"/>
      <w:bookmarkEnd w:id="38"/>
    </w:p>
    <w:p>
      <w:pPr>
        <w:shd w:val="clear"/>
        <w:snapToGrid w:val="0"/>
        <w:spacing w:line="400" w:lineRule="exact"/>
        <w:jc w:val="left"/>
        <w:rPr>
          <w:rFonts w:ascii="宋体"/>
          <w:b/>
          <w:color w:val="auto"/>
          <w:szCs w:val="21"/>
          <w:highlight w:val="none"/>
        </w:rPr>
      </w:pPr>
      <w:bookmarkStart w:id="39" w:name="_Toc254970541"/>
      <w:bookmarkStart w:id="40" w:name="_Toc254970682"/>
      <w:r>
        <w:rPr>
          <w:rFonts w:hint="eastAsia" w:ascii="宋体" w:hAnsi="宋体"/>
          <w:b/>
          <w:color w:val="auto"/>
          <w:szCs w:val="21"/>
          <w:highlight w:val="none"/>
        </w:rPr>
        <w:t>（五）投标保证金</w:t>
      </w:r>
      <w:bookmarkEnd w:id="39"/>
      <w:bookmarkEnd w:id="40"/>
    </w:p>
    <w:p>
      <w:pPr>
        <w:shd w:val="clear"/>
        <w:snapToGrid w:val="0"/>
        <w:spacing w:line="400" w:lineRule="exact"/>
        <w:ind w:firstLine="422" w:firstLineChars="200"/>
        <w:jc w:val="left"/>
        <w:rPr>
          <w:rFonts w:asci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投标人须按规定提交投标保证金。否则，其投标将被拒绝</w:t>
      </w:r>
      <w:bookmarkStart w:id="41" w:name="OLE_LINK2"/>
      <w:bookmarkStart w:id="42" w:name="OLE_LINK1"/>
      <w:r>
        <w:rPr>
          <w:rFonts w:hint="eastAsia" w:ascii="宋体" w:hAnsi="宋体"/>
          <w:b/>
          <w:color w:val="auto"/>
          <w:szCs w:val="21"/>
          <w:highlight w:val="none"/>
        </w:rPr>
        <w:t>。</w:t>
      </w:r>
      <w:bookmarkEnd w:id="41"/>
      <w:bookmarkEnd w:id="42"/>
    </w:p>
    <w:p>
      <w:pPr>
        <w:pStyle w:val="31"/>
        <w:shd w:val="clear"/>
        <w:spacing w:line="400" w:lineRule="exact"/>
        <w:ind w:firstLine="422" w:firstLineChars="200"/>
        <w:rPr>
          <w:rFonts w:hAnsi="宋体"/>
          <w:b/>
          <w:bCs/>
          <w:color w:val="auto"/>
          <w:highlight w:val="none"/>
        </w:rPr>
      </w:pPr>
      <w:r>
        <w:rPr>
          <w:rFonts w:hAnsi="宋体"/>
          <w:b/>
          <w:color w:val="auto"/>
          <w:highlight w:val="none"/>
        </w:rPr>
        <w:t>2.</w:t>
      </w:r>
      <w:r>
        <w:rPr>
          <w:rFonts w:hint="eastAsia" w:hAnsi="宋体" w:cs="Arial"/>
          <w:b/>
          <w:color w:val="auto"/>
          <w:highlight w:val="none"/>
        </w:rPr>
        <w:t>投标保证金（人民币）</w:t>
      </w:r>
      <w:r>
        <w:rPr>
          <w:rFonts w:hint="eastAsia" w:hAnsi="宋体"/>
          <w:b/>
          <w:color w:val="auto"/>
          <w:highlight w:val="none"/>
        </w:rPr>
        <w:t>：</w:t>
      </w:r>
      <w:r>
        <w:rPr>
          <w:rFonts w:hint="eastAsia" w:hAnsi="宋体"/>
          <w:b/>
          <w:color w:val="auto"/>
          <w:highlight w:val="none"/>
          <w:u w:val="single"/>
        </w:rPr>
        <w:t>壹万元整（¥10000.00）</w:t>
      </w:r>
      <w:r>
        <w:rPr>
          <w:rFonts w:hint="eastAsia" w:hAnsi="宋体"/>
          <w:b/>
          <w:color w:val="auto"/>
          <w:highlight w:val="none"/>
        </w:rPr>
        <w:t>；</w:t>
      </w:r>
    </w:p>
    <w:p>
      <w:pPr>
        <w:shd w:val="clear"/>
        <w:snapToGrid w:val="0"/>
        <w:spacing w:line="400" w:lineRule="exact"/>
        <w:ind w:firstLine="411" w:firstLineChars="196"/>
        <w:jc w:val="left"/>
        <w:rPr>
          <w:rFonts w:ascii="宋体" w:cs="Courier New"/>
          <w:color w:val="auto"/>
          <w:szCs w:val="21"/>
          <w:highlight w:val="none"/>
        </w:rPr>
      </w:pPr>
      <w:r>
        <w:rPr>
          <w:rFonts w:hint="eastAsia" w:ascii="宋体" w:hAnsi="宋体" w:cs="Courier New"/>
          <w:color w:val="auto"/>
          <w:szCs w:val="21"/>
          <w:highlight w:val="none"/>
        </w:rPr>
        <w:t>（</w:t>
      </w:r>
      <w:r>
        <w:rPr>
          <w:rFonts w:ascii="宋体" w:hAnsi="宋体" w:cs="Courier New"/>
          <w:color w:val="auto"/>
          <w:szCs w:val="21"/>
          <w:highlight w:val="none"/>
        </w:rPr>
        <w:t>1</w:t>
      </w:r>
      <w:r>
        <w:rPr>
          <w:rFonts w:hint="eastAsia" w:ascii="宋体" w:hAnsi="宋体" w:cs="Courier New"/>
          <w:color w:val="auto"/>
          <w:szCs w:val="21"/>
          <w:highlight w:val="none"/>
        </w:rPr>
        <w:t>）按《招标采购公告》第十条规定交纳。投标人必须在投标文件中附上银行回执单复印件。开标会现场提供保证金缴纳凭证加盖单位公章进行查验。</w:t>
      </w:r>
    </w:p>
    <w:p>
      <w:pPr>
        <w:shd w:val="clear"/>
        <w:snapToGrid w:val="0"/>
        <w:spacing w:line="400" w:lineRule="exact"/>
        <w:ind w:firstLine="411" w:firstLineChars="196"/>
        <w:jc w:val="left"/>
        <w:rPr>
          <w:rFonts w:ascii="宋体" w:cs="Courier New"/>
          <w:color w:val="auto"/>
          <w:szCs w:val="21"/>
          <w:highlight w:val="none"/>
        </w:rPr>
      </w:pPr>
      <w:r>
        <w:rPr>
          <w:rFonts w:hint="eastAsia" w:ascii="宋体" w:hAnsi="宋体" w:cs="Courier New"/>
          <w:color w:val="auto"/>
          <w:szCs w:val="21"/>
          <w:highlight w:val="none"/>
        </w:rPr>
        <w:t>（</w:t>
      </w:r>
      <w:r>
        <w:rPr>
          <w:rFonts w:ascii="宋体" w:hAnsi="宋体" w:cs="Courier New"/>
          <w:color w:val="auto"/>
          <w:szCs w:val="21"/>
          <w:highlight w:val="none"/>
        </w:rPr>
        <w:t>2</w:t>
      </w:r>
      <w:r>
        <w:rPr>
          <w:rFonts w:hint="eastAsia" w:ascii="宋体" w:hAnsi="宋体" w:cs="Courier New"/>
          <w:color w:val="auto"/>
          <w:szCs w:val="21"/>
          <w:highlight w:val="none"/>
        </w:rPr>
        <w:t>）投标保证金交纳形式：电汇、转帐、汇票等非现金形式。</w:t>
      </w:r>
    </w:p>
    <w:p>
      <w:pPr>
        <w:shd w:val="clear"/>
        <w:snapToGrid w:val="0"/>
        <w:spacing w:line="400" w:lineRule="exact"/>
        <w:ind w:firstLine="411" w:firstLineChars="196"/>
        <w:jc w:val="left"/>
        <w:rPr>
          <w:rFonts w:ascii="宋体" w:cs="Courier New"/>
          <w:color w:val="auto"/>
          <w:szCs w:val="21"/>
          <w:highlight w:val="none"/>
        </w:rPr>
      </w:pPr>
      <w:r>
        <w:rPr>
          <w:rFonts w:hint="eastAsia" w:ascii="宋体" w:hAnsi="宋体" w:cs="Courier New"/>
          <w:color w:val="auto"/>
          <w:szCs w:val="21"/>
          <w:highlight w:val="none"/>
        </w:rPr>
        <w:t>（</w:t>
      </w:r>
      <w:r>
        <w:rPr>
          <w:rFonts w:ascii="宋体" w:hAnsi="宋体" w:cs="Courier New"/>
          <w:color w:val="auto"/>
          <w:szCs w:val="21"/>
          <w:highlight w:val="none"/>
        </w:rPr>
        <w:t>3</w:t>
      </w:r>
      <w:r>
        <w:rPr>
          <w:rFonts w:hint="eastAsia" w:ascii="宋体" w:hAnsi="宋体" w:cs="Courier New"/>
          <w:color w:val="auto"/>
          <w:szCs w:val="21"/>
          <w:highlight w:val="none"/>
        </w:rPr>
        <w:t>）未中标人的投标保证金在中标通知书发出后五个工作日内退还。</w:t>
      </w:r>
    </w:p>
    <w:p>
      <w:pPr>
        <w:shd w:val="clear"/>
        <w:snapToGrid w:val="0"/>
        <w:spacing w:line="400" w:lineRule="exact"/>
        <w:ind w:firstLine="411" w:firstLineChars="196"/>
        <w:jc w:val="left"/>
        <w:rPr>
          <w:rFonts w:ascii="宋体" w:cs="Courier New"/>
          <w:color w:val="auto"/>
          <w:szCs w:val="21"/>
          <w:highlight w:val="none"/>
        </w:rPr>
      </w:pPr>
      <w:r>
        <w:rPr>
          <w:rFonts w:hint="eastAsia" w:ascii="宋体" w:hAnsi="宋体" w:cs="Courier New"/>
          <w:color w:val="auto"/>
          <w:szCs w:val="21"/>
          <w:highlight w:val="none"/>
        </w:rPr>
        <w:t>（</w:t>
      </w:r>
      <w:r>
        <w:rPr>
          <w:rFonts w:ascii="宋体" w:hAnsi="宋体" w:cs="Courier New"/>
          <w:color w:val="auto"/>
          <w:szCs w:val="21"/>
          <w:highlight w:val="none"/>
        </w:rPr>
        <w:t>4</w:t>
      </w:r>
      <w:r>
        <w:rPr>
          <w:rFonts w:hint="eastAsia" w:ascii="宋体" w:hAnsi="宋体" w:cs="Courier New"/>
          <w:color w:val="auto"/>
          <w:szCs w:val="21"/>
          <w:highlight w:val="none"/>
        </w:rPr>
        <w:t>）投标保证金退还方式：电汇或转账至投标人账户。</w:t>
      </w:r>
    </w:p>
    <w:p>
      <w:pPr>
        <w:shd w:val="clear"/>
        <w:snapToGrid w:val="0"/>
        <w:spacing w:line="400" w:lineRule="exact"/>
        <w:ind w:firstLine="413" w:firstLineChars="196"/>
        <w:jc w:val="left"/>
        <w:rPr>
          <w:rFonts w:ascii="宋体"/>
          <w:b/>
          <w:bCs/>
          <w:color w:val="auto"/>
          <w:szCs w:val="21"/>
          <w:highlight w:val="none"/>
        </w:rPr>
      </w:pPr>
      <w:r>
        <w:rPr>
          <w:rFonts w:ascii="宋体" w:hAnsi="宋体" w:cs="Arial"/>
          <w:b/>
          <w:color w:val="auto"/>
          <w:szCs w:val="21"/>
          <w:highlight w:val="none"/>
        </w:rPr>
        <w:t>3.</w:t>
      </w:r>
      <w:r>
        <w:rPr>
          <w:rFonts w:hint="eastAsia" w:ascii="宋体" w:hAnsi="宋体" w:cs="Arial"/>
          <w:b/>
          <w:color w:val="auto"/>
          <w:szCs w:val="21"/>
          <w:highlight w:val="none"/>
        </w:rPr>
        <w:t>投标人有</w:t>
      </w:r>
      <w:r>
        <w:rPr>
          <w:rFonts w:hint="eastAsia" w:ascii="宋体" w:hAnsi="宋体"/>
          <w:b/>
          <w:bCs/>
          <w:color w:val="auto"/>
          <w:szCs w:val="21"/>
          <w:highlight w:val="none"/>
        </w:rPr>
        <w:t>下列情形之一的，投标保证金将不予退还：</w:t>
      </w:r>
    </w:p>
    <w:p>
      <w:pPr>
        <w:shd w:val="clear"/>
        <w:snapToGrid w:val="0"/>
        <w:spacing w:line="400" w:lineRule="exact"/>
        <w:ind w:firstLine="411" w:firstLineChars="196"/>
        <w:jc w:val="left"/>
        <w:rPr>
          <w:rFonts w:asci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）投标人在投标有效期内撤销投标文件的；</w:t>
      </w:r>
    </w:p>
    <w:p>
      <w:pPr>
        <w:shd w:val="clear"/>
        <w:snapToGrid w:val="0"/>
        <w:spacing w:line="400" w:lineRule="exact"/>
        <w:ind w:firstLine="411" w:firstLineChars="196"/>
        <w:jc w:val="left"/>
        <w:rPr>
          <w:rFonts w:asci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）未按规定提交履约保证金的；</w:t>
      </w:r>
    </w:p>
    <w:p>
      <w:pPr>
        <w:shd w:val="clea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）投标人在投标过程中弄虚作假，提供虚假材料的；</w:t>
      </w:r>
    </w:p>
    <w:p>
      <w:pPr>
        <w:shd w:val="clea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）中标人无正当理由不与采购人签订合同的；</w:t>
      </w:r>
    </w:p>
    <w:p>
      <w:pPr>
        <w:shd w:val="clea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）将中标项目转让给他人或者在投标文件中未说明且未经招标采购单位同意，将中标项目分包给他人的；</w:t>
      </w:r>
    </w:p>
    <w:p>
      <w:pPr>
        <w:shd w:val="clea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）拒绝履行合同义务的；</w:t>
      </w:r>
    </w:p>
    <w:p>
      <w:pPr>
        <w:shd w:val="clear"/>
        <w:snapToGrid w:val="0"/>
        <w:spacing w:line="400" w:lineRule="exact"/>
        <w:ind w:firstLine="411" w:firstLineChars="196"/>
        <w:jc w:val="lef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）其他严重扰乱招投标程序的；</w:t>
      </w:r>
    </w:p>
    <w:p>
      <w:pPr>
        <w:shd w:val="clear"/>
        <w:snapToGrid w:val="0"/>
        <w:spacing w:line="400" w:lineRule="exact"/>
        <w:jc w:val="left"/>
        <w:rPr>
          <w:rFonts w:ascii="宋体"/>
          <w:b/>
          <w:color w:val="auto"/>
          <w:szCs w:val="21"/>
          <w:highlight w:val="none"/>
        </w:rPr>
      </w:pPr>
      <w:bookmarkStart w:id="43" w:name="_Toc254970542"/>
      <w:bookmarkStart w:id="44" w:name="_Toc254970683"/>
      <w:r>
        <w:rPr>
          <w:rFonts w:hint="eastAsia" w:ascii="宋体" w:hAnsi="宋体"/>
          <w:b/>
          <w:color w:val="auto"/>
          <w:szCs w:val="21"/>
          <w:highlight w:val="none"/>
        </w:rPr>
        <w:t>（六）投标文件的签署和份数</w:t>
      </w:r>
      <w:bookmarkEnd w:id="43"/>
      <w:bookmarkEnd w:id="44"/>
    </w:p>
    <w:p>
      <w:pPr>
        <w:shd w:val="clear"/>
        <w:snapToGrid w:val="0"/>
        <w:spacing w:line="400" w:lineRule="exact"/>
        <w:ind w:firstLine="420" w:firstLineChars="200"/>
        <w:jc w:val="left"/>
        <w:rPr>
          <w:rFonts w:ascii="宋体"/>
          <w:color w:val="auto"/>
          <w:szCs w:val="21"/>
          <w:highlight w:val="none"/>
        </w:rPr>
      </w:pPr>
      <w:bookmarkStart w:id="45" w:name="_Toc254970684"/>
      <w:bookmarkStart w:id="46" w:name="_Toc254970543"/>
      <w:r>
        <w:rPr>
          <w:rFonts w:ascii="宋体" w:hAnsi="宋体"/>
          <w:color w:val="auto"/>
          <w:szCs w:val="21"/>
          <w:highlight w:val="none"/>
        </w:rPr>
        <w:t>1.</w:t>
      </w:r>
      <w:r>
        <w:rPr>
          <w:rFonts w:hint="eastAsia" w:ascii="宋体" w:hAnsi="宋体"/>
          <w:color w:val="auto"/>
          <w:szCs w:val="21"/>
          <w:highlight w:val="none"/>
        </w:rPr>
        <w:t>投标人应按本招标文件规定的格式和顺序编制、装订投标文件并标注页码（装订时应将投标报价部分、商务及技术部分统一装订成一册，如投标文件过厚不便于装订成一册的，可将技术部分单独装订成一册）。投标文件内容不完整、编排混乱导致投标文件被误读、漏读或者查找不到相关内容的，是投标人的责任。</w:t>
      </w:r>
    </w:p>
    <w:p>
      <w:pPr>
        <w:pStyle w:val="31"/>
        <w:shd w:val="clear"/>
        <w:spacing w:line="400" w:lineRule="exact"/>
        <w:ind w:firstLine="415" w:firstLineChars="197"/>
        <w:rPr>
          <w:rFonts w:hAnsi="宋体"/>
          <w:b/>
          <w:color w:val="auto"/>
          <w:highlight w:val="none"/>
        </w:rPr>
      </w:pPr>
      <w:r>
        <w:rPr>
          <w:rFonts w:hAnsi="宋体"/>
          <w:b/>
          <w:color w:val="auto"/>
          <w:highlight w:val="none"/>
        </w:rPr>
        <w:t>2.</w:t>
      </w:r>
      <w:r>
        <w:rPr>
          <w:rFonts w:hint="eastAsia" w:hAnsi="宋体"/>
          <w:b/>
          <w:color w:val="auto"/>
          <w:highlight w:val="none"/>
        </w:rPr>
        <w:t>投标人应将投标文件正本</w:t>
      </w:r>
      <w:r>
        <w:rPr>
          <w:rFonts w:hint="eastAsia" w:hAnsi="宋体"/>
          <w:b/>
          <w:color w:val="auto"/>
          <w:highlight w:val="none"/>
          <w:u w:val="single"/>
        </w:rPr>
        <w:t>壹</w:t>
      </w:r>
      <w:r>
        <w:rPr>
          <w:rFonts w:hint="eastAsia" w:hAnsi="宋体"/>
          <w:b/>
          <w:color w:val="auto"/>
          <w:highlight w:val="none"/>
        </w:rPr>
        <w:t>份，副本</w:t>
      </w:r>
      <w:r>
        <w:rPr>
          <w:rFonts w:hint="eastAsia" w:hAnsi="宋体"/>
          <w:b/>
          <w:color w:val="auto"/>
          <w:highlight w:val="none"/>
          <w:u w:val="single"/>
        </w:rPr>
        <w:t>肆</w:t>
      </w:r>
      <w:r>
        <w:rPr>
          <w:rFonts w:hint="eastAsia" w:hAnsi="宋体"/>
          <w:b/>
          <w:color w:val="auto"/>
          <w:highlight w:val="none"/>
        </w:rPr>
        <w:t>份分别单独装订成册，投标文件的封面应注明“正本”、“副本”字样。</w:t>
      </w:r>
      <w:r>
        <w:rPr>
          <w:rFonts w:hint="eastAsia" w:hAnsi="宋体"/>
          <w:color w:val="auto"/>
          <w:highlight w:val="none"/>
        </w:rPr>
        <w:t>其他活页形式装订的投标文件将被拒绝</w:t>
      </w:r>
      <w:r>
        <w:rPr>
          <w:rFonts w:hint="eastAsia" w:hAnsi="宋体"/>
          <w:b/>
          <w:color w:val="auto"/>
          <w:highlight w:val="none"/>
        </w:rPr>
        <w:t>（单独装订的开标一览表除外）。同时提供投标文件的电子文档</w:t>
      </w:r>
      <w:r>
        <w:rPr>
          <w:rFonts w:hint="eastAsia" w:hAnsi="宋体"/>
          <w:b/>
          <w:color w:val="auto"/>
          <w:highlight w:val="none"/>
          <w:u w:val="single"/>
        </w:rPr>
        <w:t>壹</w:t>
      </w:r>
      <w:r>
        <w:rPr>
          <w:rFonts w:hint="eastAsia" w:hAnsi="宋体"/>
          <w:b/>
          <w:color w:val="auto"/>
          <w:highlight w:val="none"/>
        </w:rPr>
        <w:t>份。电子文档或书面投标文件副本与书面投标文件正本不符，以投标文件正本为准。</w:t>
      </w:r>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投标文件的正本需打印或用不褪色的墨水填写，投标文件正本除本《投标人须知》中规定的可提供复印件外均须提供原件。副本可为正本的复印件。</w:t>
      </w:r>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投标文件须由投标人在规定位置盖章并由法定代表人或法定代表人的授权委托人签署，投标人应写全称。</w:t>
      </w:r>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投标文件不得涂改，若有修改错漏处，须加盖单位公章或者法定代表人或授权委托人签字或盖章。投标文件因字迹潦草或表达不清或提供的资料模糊不清所引起的后果由投标人负责。</w:t>
      </w:r>
    </w:p>
    <w:p>
      <w:pPr>
        <w:shd w:val="clear"/>
        <w:snapToGrid w:val="0"/>
        <w:spacing w:line="400" w:lineRule="exact"/>
        <w:jc w:val="left"/>
        <w:rPr>
          <w:rFonts w:ascii="宋体"/>
          <w:b/>
          <w:color w:val="auto"/>
          <w:szCs w:val="21"/>
          <w:highlight w:val="none"/>
        </w:rPr>
      </w:pPr>
      <w:r>
        <w:rPr>
          <w:rFonts w:hint="eastAsia" w:ascii="宋体" w:hAnsi="宋体"/>
          <w:b/>
          <w:color w:val="auto"/>
          <w:szCs w:val="21"/>
          <w:highlight w:val="none"/>
        </w:rPr>
        <w:t>（七）投标文件的包装、递交、修改和撤回</w:t>
      </w:r>
    </w:p>
    <w:p>
      <w:pPr>
        <w:shd w:val="clear"/>
        <w:spacing w:line="400" w:lineRule="exact"/>
        <w:ind w:firstLine="422" w:firstLineChars="200"/>
        <w:rPr>
          <w:rFonts w:asci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、投标人应密封封装投标文件。投标人应将《开标一览表》和《电子文档（</w:t>
      </w:r>
      <w:r>
        <w:rPr>
          <w:rFonts w:ascii="宋体" w:hAnsi="宋体"/>
          <w:b/>
          <w:color w:val="auto"/>
          <w:szCs w:val="21"/>
          <w:highlight w:val="none"/>
        </w:rPr>
        <w:t>U</w:t>
      </w:r>
      <w:r>
        <w:rPr>
          <w:rFonts w:hint="eastAsia" w:ascii="宋体" w:hAnsi="宋体"/>
          <w:b/>
          <w:color w:val="auto"/>
          <w:szCs w:val="21"/>
          <w:highlight w:val="none"/>
        </w:rPr>
        <w:t>盘）》</w:t>
      </w:r>
      <w:r>
        <w:rPr>
          <w:rFonts w:ascii="宋体" w:hAnsi="宋体"/>
          <w:b/>
          <w:color w:val="auto"/>
          <w:szCs w:val="21"/>
          <w:highlight w:val="none"/>
        </w:rPr>
        <w:t>(</w:t>
      </w:r>
      <w:r>
        <w:rPr>
          <w:rFonts w:hint="eastAsia" w:ascii="宋体" w:hAnsi="宋体"/>
          <w:b/>
          <w:color w:val="auto"/>
          <w:szCs w:val="21"/>
          <w:highlight w:val="none"/>
        </w:rPr>
        <w:t>格式见附件</w:t>
      </w:r>
      <w:r>
        <w:rPr>
          <w:rFonts w:ascii="宋体" w:hAnsi="宋体"/>
          <w:b/>
          <w:color w:val="auto"/>
          <w:szCs w:val="21"/>
          <w:highlight w:val="none"/>
        </w:rPr>
        <w:t>)</w:t>
      </w:r>
      <w:r>
        <w:rPr>
          <w:rFonts w:hint="eastAsia" w:ascii="宋体" w:hAnsi="宋体"/>
          <w:b/>
          <w:color w:val="auto"/>
          <w:szCs w:val="21"/>
          <w:highlight w:val="none"/>
        </w:rPr>
        <w:t>分别单独用小信封密封（封面上注明“开标一览表”或“电子文档（</w:t>
      </w:r>
      <w:r>
        <w:rPr>
          <w:rFonts w:ascii="宋体" w:hAnsi="宋体"/>
          <w:b/>
          <w:color w:val="auto"/>
          <w:szCs w:val="21"/>
          <w:highlight w:val="none"/>
        </w:rPr>
        <w:t>U</w:t>
      </w:r>
      <w:r>
        <w:rPr>
          <w:rFonts w:hint="eastAsia" w:ascii="宋体" w:hAnsi="宋体"/>
          <w:b/>
          <w:color w:val="auto"/>
          <w:szCs w:val="21"/>
          <w:highlight w:val="none"/>
        </w:rPr>
        <w:t>盘）”），然后与投标文件正本、副本一起密封在一个封装袋内。</w:t>
      </w:r>
    </w:p>
    <w:p>
      <w:pPr>
        <w:shd w:val="clear"/>
        <w:spacing w:line="400" w:lineRule="exact"/>
        <w:ind w:firstLine="420" w:firstLineChars="200"/>
        <w:rPr>
          <w:rFonts w:ascii="宋体" w:cs="宋体"/>
          <w:color w:val="auto"/>
          <w:kern w:val="0"/>
          <w:szCs w:val="21"/>
          <w:highlight w:val="none"/>
        </w:rPr>
      </w:pPr>
      <w:r>
        <w:rPr>
          <w:rFonts w:hint="eastAsia" w:ascii="宋体" w:hAnsi="宋体" w:cs="宋体"/>
          <w:color w:val="auto"/>
          <w:kern w:val="0"/>
          <w:szCs w:val="21"/>
          <w:highlight w:val="none"/>
        </w:rPr>
        <w:t>投标文件包装封面上应注明投标人名称、投标人地址、投标项目名称、项目编号、投标时间及“开标时间之前不得启封”字样，并加盖投标人公章</w:t>
      </w:r>
      <w:r>
        <w:rPr>
          <w:rFonts w:hint="eastAsia" w:ascii="宋体" w:hAnsi="宋体" w:cs="宋体"/>
          <w:b/>
          <w:bCs/>
          <w:color w:val="auto"/>
          <w:kern w:val="0"/>
          <w:szCs w:val="21"/>
          <w:highlight w:val="none"/>
        </w:rPr>
        <w:t>。</w:t>
      </w:r>
      <w:r>
        <w:rPr>
          <w:rFonts w:hint="eastAsia" w:ascii="宋体" w:hAnsi="宋体"/>
          <w:color w:val="auto"/>
          <w:szCs w:val="21"/>
          <w:highlight w:val="none"/>
        </w:rPr>
        <w:t>同时在封贴处密封签章（公章、密封章、法定代表人或其委托代理人签名均可）。</w:t>
      </w:r>
    </w:p>
    <w:p>
      <w:pPr>
        <w:shd w:val="clear"/>
        <w:snapToGrid w:val="0"/>
        <w:spacing w:line="400" w:lineRule="exact"/>
        <w:ind w:firstLine="420"/>
        <w:jc w:val="left"/>
        <w:rPr>
          <w:rFonts w:ascii="宋体"/>
          <w:color w:val="auto"/>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w:t>
      </w:r>
      <w:r>
        <w:rPr>
          <w:rFonts w:hint="eastAsia" w:ascii="宋体" w:hAnsi="宋体"/>
          <w:color w:val="auto"/>
          <w:szCs w:val="21"/>
          <w:highlight w:val="none"/>
        </w:rPr>
        <w:t>未按规定密封的投标文件将被拒绝（或作无效投标文件处理），由此造成投标文件被误投或提前拆封的风险由投标人承担。</w:t>
      </w:r>
    </w:p>
    <w:p>
      <w:pPr>
        <w:shd w:val="clear"/>
        <w:snapToGrid w:val="0"/>
        <w:spacing w:line="400" w:lineRule="exact"/>
        <w:ind w:firstLine="420" w:firstLineChars="200"/>
        <w:jc w:val="left"/>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bookmarkEnd w:id="45"/>
    <w:bookmarkEnd w:id="46"/>
    <w:p>
      <w:pPr>
        <w:shd w:val="clear"/>
        <w:snapToGrid w:val="0"/>
        <w:spacing w:line="400" w:lineRule="exact"/>
        <w:rPr>
          <w:rFonts w:ascii="宋体"/>
          <w:b/>
          <w:color w:val="auto"/>
          <w:szCs w:val="21"/>
          <w:highlight w:val="none"/>
        </w:rPr>
      </w:pPr>
      <w:bookmarkStart w:id="47" w:name="_Toc254970544"/>
      <w:bookmarkStart w:id="48" w:name="_Toc254970685"/>
      <w:r>
        <w:rPr>
          <w:rFonts w:hint="eastAsia" w:ascii="宋体" w:hAnsi="宋体"/>
          <w:b/>
          <w:color w:val="auto"/>
          <w:szCs w:val="21"/>
          <w:highlight w:val="none"/>
        </w:rPr>
        <w:t>（八）投标无效的情形</w:t>
      </w:r>
    </w:p>
    <w:p>
      <w:pPr>
        <w:shd w:val="clear"/>
        <w:spacing w:line="400" w:lineRule="exact"/>
        <w:ind w:firstLine="420" w:firstLineChars="200"/>
        <w:rPr>
          <w:rFonts w:ascii="宋体"/>
          <w:color w:val="auto"/>
          <w:szCs w:val="21"/>
          <w:highlight w:val="none"/>
        </w:rPr>
      </w:pPr>
      <w:r>
        <w:rPr>
          <w:rFonts w:hint="eastAsia" w:ascii="宋体" w:hAnsi="宋体"/>
          <w:color w:val="auto"/>
          <w:szCs w:val="21"/>
          <w:highlight w:val="none"/>
        </w:rPr>
        <w:t>实质上没有响应招标文件要求的投标将被视为无效投标。投标人不得通过修正或撤销不合要求的偏离或保留从而使其投标成为实质上响应的投标</w:t>
      </w:r>
      <w:r>
        <w:rPr>
          <w:rFonts w:ascii="宋体"/>
          <w:color w:val="auto"/>
          <w:szCs w:val="21"/>
          <w:highlight w:val="none"/>
        </w:rPr>
        <w:t>,</w:t>
      </w:r>
      <w:r>
        <w:rPr>
          <w:rFonts w:hint="eastAsia" w:ascii="宋体" w:hAnsi="宋体"/>
          <w:color w:val="auto"/>
          <w:szCs w:val="21"/>
          <w:highlight w:val="none"/>
        </w:rPr>
        <w:t>但经评标委员会认定属于投标人疏忽、笔误所造成的差错</w:t>
      </w:r>
      <w:r>
        <w:rPr>
          <w:rFonts w:ascii="宋体"/>
          <w:color w:val="auto"/>
          <w:szCs w:val="21"/>
          <w:highlight w:val="none"/>
        </w:rPr>
        <w:t>,</w:t>
      </w:r>
      <w:r>
        <w:rPr>
          <w:rFonts w:hint="eastAsia" w:ascii="宋体" w:hAnsi="宋体"/>
          <w:color w:val="auto"/>
          <w:szCs w:val="21"/>
          <w:highlight w:val="none"/>
        </w:rPr>
        <w:t>应当允许其在评标结束之前进行修改或者补正</w:t>
      </w:r>
      <w:r>
        <w:rPr>
          <w:rFonts w:ascii="宋体" w:hAnsi="宋体"/>
          <w:color w:val="auto"/>
          <w:szCs w:val="21"/>
          <w:highlight w:val="none"/>
        </w:rPr>
        <w:t>(</w:t>
      </w:r>
      <w:r>
        <w:rPr>
          <w:rFonts w:hint="eastAsia" w:ascii="宋体" w:hAnsi="宋体"/>
          <w:color w:val="auto"/>
          <w:szCs w:val="21"/>
          <w:highlight w:val="none"/>
        </w:rPr>
        <w:t>可以是复印件、传真件等</w:t>
      </w:r>
      <w:r>
        <w:rPr>
          <w:rFonts w:ascii="宋体"/>
          <w:color w:val="auto"/>
          <w:szCs w:val="21"/>
          <w:highlight w:val="none"/>
        </w:rPr>
        <w:t>,</w:t>
      </w:r>
      <w:r>
        <w:rPr>
          <w:rFonts w:hint="eastAsia" w:ascii="宋体" w:hAnsi="宋体"/>
          <w:color w:val="auto"/>
          <w:szCs w:val="21"/>
          <w:highlight w:val="none"/>
        </w:rPr>
        <w:t>原件必须加盖单位公章</w:t>
      </w:r>
      <w:r>
        <w:rPr>
          <w:rFonts w:ascii="宋体" w:hAnsi="宋体"/>
          <w:color w:val="auto"/>
          <w:szCs w:val="21"/>
          <w:highlight w:val="none"/>
        </w:rPr>
        <w:t>)</w:t>
      </w:r>
      <w:r>
        <w:rPr>
          <w:rFonts w:hint="eastAsia" w:ascii="宋体" w:hAnsi="宋体"/>
          <w:color w:val="auto"/>
          <w:szCs w:val="21"/>
          <w:highlight w:val="none"/>
        </w:rPr>
        <w:t>。修改或者补正投标文件必须以书面形式进行</w:t>
      </w:r>
      <w:r>
        <w:rPr>
          <w:rFonts w:ascii="宋体"/>
          <w:color w:val="auto"/>
          <w:szCs w:val="21"/>
          <w:highlight w:val="none"/>
        </w:rPr>
        <w:t>,</w:t>
      </w:r>
      <w:r>
        <w:rPr>
          <w:rFonts w:hint="eastAsia" w:ascii="宋体" w:hAnsi="宋体"/>
          <w:color w:val="auto"/>
          <w:szCs w:val="21"/>
          <w:highlight w:val="none"/>
        </w:rPr>
        <w:t>并在中标结果公告之前核查原件。限期内不补正或经补正后仍不符合招标文件要求的</w:t>
      </w:r>
      <w:r>
        <w:rPr>
          <w:rFonts w:ascii="宋体"/>
          <w:color w:val="auto"/>
          <w:szCs w:val="21"/>
          <w:highlight w:val="none"/>
        </w:rPr>
        <w:t>,</w:t>
      </w:r>
      <w:r>
        <w:rPr>
          <w:rFonts w:hint="eastAsia" w:ascii="宋体" w:hAnsi="宋体"/>
          <w:color w:val="auto"/>
          <w:szCs w:val="21"/>
          <w:highlight w:val="none"/>
        </w:rPr>
        <w:t>应认定其投标无效。投标人修改、补正投标文件后</w:t>
      </w:r>
      <w:r>
        <w:rPr>
          <w:rFonts w:ascii="宋体"/>
          <w:color w:val="auto"/>
          <w:szCs w:val="21"/>
          <w:highlight w:val="none"/>
        </w:rPr>
        <w:t>,</w:t>
      </w:r>
      <w:r>
        <w:rPr>
          <w:rFonts w:hint="eastAsia" w:ascii="宋体" w:hAnsi="宋体"/>
          <w:color w:val="auto"/>
          <w:szCs w:val="21"/>
          <w:highlight w:val="none"/>
        </w:rPr>
        <w:t>不影响评标委员会对其投标文件所作的评价和评分结果。</w:t>
      </w:r>
    </w:p>
    <w:p>
      <w:pPr>
        <w:shd w:val="clear"/>
        <w:snapToGrid w:val="0"/>
        <w:spacing w:line="400" w:lineRule="exact"/>
        <w:ind w:firstLine="413" w:firstLineChars="196"/>
        <w:rPr>
          <w:rFonts w:asci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在资格性审查时，如发现下列情形之一的，投标文件将被视为无效：</w:t>
      </w:r>
    </w:p>
    <w:p>
      <w:pPr>
        <w:widowControl/>
        <w:shd w:val="clear"/>
        <w:spacing w:line="400" w:lineRule="exact"/>
        <w:ind w:firstLine="525" w:firstLineChars="250"/>
        <w:rPr>
          <w:rFonts w:ascii="宋体" w:cs="Tahoma"/>
          <w:color w:val="auto"/>
          <w:kern w:val="0"/>
          <w:szCs w:val="21"/>
          <w:highlight w:val="none"/>
        </w:rPr>
      </w:pPr>
      <w:r>
        <w:rPr>
          <w:rFonts w:hint="eastAsia" w:ascii="宋体" w:hAnsi="宋体" w:cs="Tahoma"/>
          <w:color w:val="auto"/>
          <w:kern w:val="0"/>
          <w:szCs w:val="21"/>
          <w:highlight w:val="none"/>
        </w:rPr>
        <w:t>（</w:t>
      </w:r>
      <w:r>
        <w:rPr>
          <w:rFonts w:ascii="宋体" w:hAnsi="宋体" w:cs="Tahoma"/>
          <w:color w:val="auto"/>
          <w:kern w:val="0"/>
          <w:szCs w:val="21"/>
          <w:highlight w:val="none"/>
        </w:rPr>
        <w:t>1</w:t>
      </w:r>
      <w:r>
        <w:rPr>
          <w:rFonts w:hint="eastAsia" w:ascii="宋体" w:hAnsi="宋体" w:cs="Tahoma"/>
          <w:color w:val="auto"/>
          <w:kern w:val="0"/>
          <w:szCs w:val="21"/>
          <w:highlight w:val="none"/>
        </w:rPr>
        <w:t>）不符合招标公告中对投标人的资格要求的</w:t>
      </w:r>
    </w:p>
    <w:p>
      <w:pPr>
        <w:shd w:val="clear"/>
        <w:snapToGrid w:val="0"/>
        <w:spacing w:line="400" w:lineRule="exact"/>
        <w:ind w:firstLine="413" w:firstLineChars="196"/>
        <w:rPr>
          <w:rFonts w:ascii="宋体"/>
          <w:b/>
          <w:bCs/>
          <w:color w:val="auto"/>
          <w:szCs w:val="21"/>
          <w:highlight w:val="none"/>
        </w:rPr>
      </w:pPr>
      <w:r>
        <w:rPr>
          <w:rFonts w:ascii="宋体" w:hAnsi="宋体"/>
          <w:b/>
          <w:bCs/>
          <w:color w:val="auto"/>
          <w:szCs w:val="21"/>
          <w:highlight w:val="none"/>
        </w:rPr>
        <w:t>2.</w:t>
      </w:r>
      <w:r>
        <w:rPr>
          <w:rFonts w:hint="eastAsia" w:ascii="宋体" w:hAnsi="宋体"/>
          <w:b/>
          <w:bCs/>
          <w:color w:val="auto"/>
          <w:szCs w:val="21"/>
          <w:highlight w:val="none"/>
        </w:rPr>
        <w:t>在符合性审查时，如发现下列情形之一的，投标文件将被视为无效：</w:t>
      </w:r>
    </w:p>
    <w:p>
      <w:pPr>
        <w:shd w:val="clear"/>
        <w:snapToGrid w:val="0"/>
        <w:spacing w:line="400" w:lineRule="exact"/>
        <w:ind w:firstLine="411" w:firstLineChars="196"/>
        <w:rPr>
          <w:rFonts w:ascii="宋体"/>
          <w:bCs/>
          <w:color w:val="auto"/>
          <w:kern w:val="0"/>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）投标文件无法定代表人或其授权委托代理人签字</w:t>
      </w:r>
      <w:r>
        <w:rPr>
          <w:rFonts w:ascii="宋体"/>
          <w:color w:val="auto"/>
          <w:szCs w:val="21"/>
          <w:highlight w:val="none"/>
        </w:rPr>
        <w:t>,</w:t>
      </w:r>
      <w:r>
        <w:rPr>
          <w:rFonts w:hint="eastAsia" w:ascii="宋体" w:hAnsi="宋体"/>
          <w:color w:val="auto"/>
          <w:szCs w:val="21"/>
          <w:highlight w:val="none"/>
        </w:rPr>
        <w:t>或未</w:t>
      </w:r>
      <w:r>
        <w:rPr>
          <w:rFonts w:hint="eastAsia" w:ascii="宋体" w:hAnsi="宋体"/>
          <w:bCs/>
          <w:color w:val="auto"/>
          <w:kern w:val="0"/>
          <w:szCs w:val="21"/>
          <w:highlight w:val="none"/>
        </w:rPr>
        <w:t>提供法定代表人授权委托书、投标声明书、投标文件份数不齐全或者填写项目不齐全的；</w:t>
      </w:r>
    </w:p>
    <w:p>
      <w:pPr>
        <w:shd w:val="clear"/>
        <w:snapToGrid w:val="0"/>
        <w:spacing w:line="400" w:lineRule="exact"/>
        <w:ind w:firstLine="411" w:firstLineChars="196"/>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）投标代表人未能出具身份证明或与法定代表人授权委托人身份不符的；</w:t>
      </w:r>
    </w:p>
    <w:p>
      <w:pPr>
        <w:pStyle w:val="24"/>
        <w:shd w:val="clear"/>
        <w:snapToGrid w:val="0"/>
        <w:spacing w:line="400" w:lineRule="exact"/>
        <w:ind w:firstLine="411" w:firstLineChars="196"/>
        <w:rPr>
          <w:rFonts w:ascii="宋体" w:hAnsi="宋体" w:eastAsia="宋体"/>
          <w:snapToGrid w:val="0"/>
          <w:color w:val="auto"/>
          <w:sz w:val="21"/>
          <w:szCs w:val="21"/>
          <w:highlight w:val="none"/>
        </w:rPr>
      </w:pPr>
      <w:r>
        <w:rPr>
          <w:rFonts w:hint="eastAsia" w:ascii="宋体" w:hAnsi="宋体" w:eastAsia="宋体"/>
          <w:color w:val="auto"/>
          <w:sz w:val="21"/>
          <w:szCs w:val="21"/>
          <w:highlight w:val="none"/>
        </w:rPr>
        <w:t>（</w:t>
      </w:r>
      <w:r>
        <w:rPr>
          <w:rFonts w:ascii="宋体" w:hAnsi="宋体" w:eastAsia="宋体"/>
          <w:snapToGrid w:val="0"/>
          <w:color w:val="auto"/>
          <w:sz w:val="21"/>
          <w:szCs w:val="21"/>
          <w:highlight w:val="none"/>
        </w:rPr>
        <w:t>3</w:t>
      </w:r>
      <w:r>
        <w:rPr>
          <w:rFonts w:hint="eastAsia" w:ascii="宋体" w:hAnsi="宋体" w:eastAsia="宋体"/>
          <w:snapToGrid w:val="0"/>
          <w:color w:val="auto"/>
          <w:sz w:val="21"/>
          <w:szCs w:val="21"/>
          <w:highlight w:val="none"/>
        </w:rPr>
        <w:t>）</w:t>
      </w:r>
      <w:r>
        <w:rPr>
          <w:rFonts w:hint="eastAsia" w:ascii="宋体" w:hAnsi="宋体" w:eastAsia="宋体"/>
          <w:color w:val="auto"/>
          <w:sz w:val="21"/>
          <w:szCs w:val="21"/>
          <w:highlight w:val="none"/>
        </w:rPr>
        <w:t>项目不齐全或者内容虚假的；</w:t>
      </w:r>
    </w:p>
    <w:p>
      <w:pPr>
        <w:pStyle w:val="24"/>
        <w:shd w:val="clear"/>
        <w:snapToGrid w:val="0"/>
        <w:spacing w:line="400" w:lineRule="exact"/>
        <w:ind w:firstLine="411" w:firstLineChars="196"/>
        <w:rPr>
          <w:rFonts w:ascii="宋体" w:hAnsi="宋体" w:eastAsia="宋体"/>
          <w:snapToGrid w:val="0"/>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4</w:t>
      </w:r>
      <w:r>
        <w:rPr>
          <w:rFonts w:hint="eastAsia" w:ascii="宋体" w:hAnsi="宋体" w:eastAsia="宋体"/>
          <w:color w:val="auto"/>
          <w:sz w:val="21"/>
          <w:szCs w:val="21"/>
          <w:highlight w:val="none"/>
        </w:rPr>
        <w:t>）投标文件的实质性内容未使用中文表述、意思表述不明确、前后矛盾或者使用计量单位不符合招标文件要求的（经评标委员会认定并允许其当场更正的笔误除外）</w:t>
      </w:r>
    </w:p>
    <w:p>
      <w:pPr>
        <w:pStyle w:val="24"/>
        <w:shd w:val="clear"/>
        <w:snapToGrid w:val="0"/>
        <w:spacing w:line="400" w:lineRule="exact"/>
        <w:ind w:firstLine="411" w:firstLineChars="196"/>
        <w:rPr>
          <w:rFonts w:ascii="宋体" w:hAnsi="宋体" w:eastAsia="宋体"/>
          <w:snapToGrid w:val="0"/>
          <w:color w:val="auto"/>
          <w:sz w:val="21"/>
          <w:szCs w:val="21"/>
          <w:highlight w:val="none"/>
        </w:rPr>
      </w:pPr>
      <w:r>
        <w:rPr>
          <w:rFonts w:hint="eastAsia" w:ascii="宋体" w:hAnsi="宋体" w:eastAsia="宋体"/>
          <w:color w:val="auto"/>
          <w:sz w:val="21"/>
          <w:szCs w:val="21"/>
          <w:highlight w:val="none"/>
        </w:rPr>
        <w:t>（</w:t>
      </w:r>
      <w:r>
        <w:rPr>
          <w:rFonts w:ascii="宋体" w:hAnsi="宋体" w:eastAsia="宋体"/>
          <w:snapToGrid w:val="0"/>
          <w:color w:val="auto"/>
          <w:sz w:val="21"/>
          <w:szCs w:val="21"/>
          <w:highlight w:val="none"/>
        </w:rPr>
        <w:t>5</w:t>
      </w:r>
      <w:r>
        <w:rPr>
          <w:rFonts w:hint="eastAsia" w:ascii="宋体" w:hAnsi="宋体" w:eastAsia="宋体"/>
          <w:snapToGrid w:val="0"/>
          <w:color w:val="auto"/>
          <w:sz w:val="21"/>
          <w:szCs w:val="21"/>
          <w:highlight w:val="none"/>
        </w:rPr>
        <w:t>）投标有效期、交货时间、质保期等商务条款不能满足招标文件要求的；</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6</w:t>
      </w:r>
      <w:r>
        <w:rPr>
          <w:rFonts w:hint="eastAsia" w:ascii="宋体" w:hAnsi="宋体" w:eastAsia="宋体"/>
          <w:color w:val="auto"/>
          <w:sz w:val="21"/>
          <w:szCs w:val="21"/>
          <w:highlight w:val="none"/>
        </w:rPr>
        <w:t>）未实质性响应招标文件要求或者投标文件有招标方不能接受的附加条件或者</w:t>
      </w:r>
      <w:r>
        <w:rPr>
          <w:rFonts w:hint="eastAsia" w:ascii="宋体" w:hAnsi="宋体" w:eastAsia="宋体" w:cs="Tahoma"/>
          <w:color w:val="auto"/>
          <w:kern w:val="0"/>
          <w:sz w:val="21"/>
          <w:szCs w:val="21"/>
          <w:highlight w:val="none"/>
        </w:rPr>
        <w:t>投标人有相互串通行为</w:t>
      </w:r>
      <w:r>
        <w:rPr>
          <w:rFonts w:hint="eastAsia" w:ascii="宋体" w:hAnsi="宋体" w:eastAsia="宋体"/>
          <w:color w:val="auto"/>
          <w:sz w:val="21"/>
          <w:szCs w:val="21"/>
          <w:highlight w:val="none"/>
        </w:rPr>
        <w:t>的；</w:t>
      </w:r>
    </w:p>
    <w:p>
      <w:pPr>
        <w:pStyle w:val="24"/>
        <w:shd w:val="clear"/>
        <w:snapToGrid w:val="0"/>
        <w:spacing w:line="400" w:lineRule="exact"/>
        <w:ind w:firstLine="420" w:firstLineChars="200"/>
        <w:rPr>
          <w:rFonts w:ascii="宋体" w:hAnsi="宋体" w:eastAsia="宋体"/>
          <w:color w:val="auto"/>
          <w:sz w:val="21"/>
          <w:szCs w:val="21"/>
          <w:highlight w:val="none"/>
        </w:rPr>
      </w:pPr>
      <w:r>
        <w:rPr>
          <w:rFonts w:hint="eastAsia" w:ascii="宋体" w:hAnsi="宋体" w:eastAsia="宋体"/>
          <w:bCs/>
          <w:color w:val="auto"/>
          <w:sz w:val="21"/>
          <w:szCs w:val="21"/>
          <w:highlight w:val="none"/>
        </w:rPr>
        <w:t>（</w:t>
      </w:r>
      <w:r>
        <w:rPr>
          <w:rFonts w:ascii="宋体" w:hAnsi="宋体" w:eastAsia="宋体"/>
          <w:snapToGrid w:val="0"/>
          <w:color w:val="auto"/>
          <w:sz w:val="21"/>
          <w:szCs w:val="21"/>
          <w:highlight w:val="none"/>
        </w:rPr>
        <w:t>7</w:t>
      </w:r>
      <w:r>
        <w:rPr>
          <w:rFonts w:hint="eastAsia" w:ascii="宋体" w:hAnsi="宋体" w:eastAsia="宋体"/>
          <w:snapToGrid w:val="0"/>
          <w:color w:val="auto"/>
          <w:sz w:val="21"/>
          <w:szCs w:val="21"/>
          <w:highlight w:val="none"/>
        </w:rPr>
        <w:t>）应交未交投标保证金的；（说明：评标时，评标委员会将以本中心财务室出具的证明或相关接收本项目投标保证金的机构出具的证明作为评审依据）</w:t>
      </w:r>
    </w:p>
    <w:p>
      <w:pPr>
        <w:pStyle w:val="24"/>
        <w:shd w:val="clear"/>
        <w:snapToGrid w:val="0"/>
        <w:spacing w:line="400" w:lineRule="exact"/>
        <w:ind w:firstLine="413" w:firstLineChars="196"/>
        <w:rPr>
          <w:rFonts w:ascii="宋体" w:hAnsi="宋体" w:eastAsia="宋体"/>
          <w:b/>
          <w:bCs/>
          <w:color w:val="auto"/>
          <w:sz w:val="21"/>
          <w:szCs w:val="21"/>
          <w:highlight w:val="none"/>
        </w:rPr>
      </w:pPr>
      <w:r>
        <w:rPr>
          <w:rFonts w:ascii="宋体" w:hAnsi="宋体" w:eastAsia="宋体"/>
          <w:b/>
          <w:bCs/>
          <w:color w:val="auto"/>
          <w:sz w:val="21"/>
          <w:szCs w:val="21"/>
          <w:highlight w:val="none"/>
        </w:rPr>
        <w:t>3.</w:t>
      </w:r>
      <w:r>
        <w:rPr>
          <w:rFonts w:hint="eastAsia" w:ascii="宋体" w:hAnsi="宋体" w:eastAsia="宋体"/>
          <w:b/>
          <w:bCs/>
          <w:color w:val="auto"/>
          <w:sz w:val="21"/>
          <w:szCs w:val="21"/>
          <w:highlight w:val="none"/>
        </w:rPr>
        <w:t>在技术评审时，如发现下列情形之一的，投标文件将被视为无效：</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1</w:t>
      </w:r>
      <w:r>
        <w:rPr>
          <w:rFonts w:hint="eastAsia" w:ascii="宋体" w:hAnsi="宋体" w:eastAsia="宋体"/>
          <w:color w:val="auto"/>
          <w:sz w:val="21"/>
          <w:szCs w:val="21"/>
          <w:highlight w:val="none"/>
        </w:rPr>
        <w:t>）未提供或未如实提供投标货物的技术参数，或者投标文件标明的响应或偏离与事实不符或虚假投标的；</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2</w:t>
      </w:r>
      <w:r>
        <w:rPr>
          <w:rFonts w:hint="eastAsia" w:ascii="宋体" w:hAnsi="宋体" w:eastAsia="宋体"/>
          <w:color w:val="auto"/>
          <w:sz w:val="21"/>
          <w:szCs w:val="21"/>
          <w:highlight w:val="none"/>
        </w:rPr>
        <w:t>）</w:t>
      </w:r>
      <w:r>
        <w:rPr>
          <w:rFonts w:hint="eastAsia" w:ascii="宋体" w:hAnsi="宋体" w:eastAsia="宋体"/>
          <w:snapToGrid w:val="0"/>
          <w:color w:val="auto"/>
          <w:sz w:val="21"/>
          <w:szCs w:val="21"/>
          <w:highlight w:val="none"/>
        </w:rPr>
        <w:t>明显不符合招标文件要求的规格尺寸、质量标准，或者与</w:t>
      </w:r>
      <w:r>
        <w:rPr>
          <w:rFonts w:hint="eastAsia" w:ascii="宋体" w:hAnsi="宋体" w:eastAsia="宋体"/>
          <w:color w:val="auto"/>
          <w:sz w:val="21"/>
          <w:szCs w:val="21"/>
          <w:highlight w:val="none"/>
        </w:rPr>
        <w:t>招标文件中标“</w:t>
      </w:r>
      <w:r>
        <w:rPr>
          <w:rFonts w:hint="eastAsia" w:ascii="宋体" w:hAnsi="宋体" w:eastAsia="宋体" w:cs="宋体"/>
          <w:color w:val="auto"/>
          <w:kern w:val="0"/>
          <w:sz w:val="21"/>
          <w:szCs w:val="21"/>
          <w:highlight w:val="none"/>
        </w:rPr>
        <w:t>★</w:t>
      </w:r>
      <w:r>
        <w:rPr>
          <w:rFonts w:hint="eastAsia" w:ascii="宋体" w:hAnsi="宋体" w:eastAsia="宋体"/>
          <w:color w:val="auto"/>
          <w:sz w:val="21"/>
          <w:szCs w:val="21"/>
          <w:highlight w:val="none"/>
        </w:rPr>
        <w:t>”的任何一项技术指标、主要功能项目或技术要求发生实质性负偏离的；</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3</w:t>
      </w:r>
      <w:r>
        <w:rPr>
          <w:rFonts w:hint="eastAsia" w:ascii="宋体" w:hAnsi="宋体" w:eastAsia="宋体"/>
          <w:color w:val="auto"/>
          <w:sz w:val="21"/>
          <w:szCs w:val="21"/>
          <w:highlight w:val="none"/>
        </w:rPr>
        <w:t>）投标技术方案不明确，存在一个或一个以上备选（替代）投标方案的；</w:t>
      </w:r>
    </w:p>
    <w:p>
      <w:pPr>
        <w:pStyle w:val="24"/>
        <w:shd w:val="clear"/>
        <w:snapToGrid w:val="0"/>
        <w:spacing w:line="400" w:lineRule="exact"/>
        <w:ind w:firstLine="413" w:firstLineChars="196"/>
        <w:rPr>
          <w:rFonts w:ascii="宋体" w:hAnsi="宋体" w:eastAsia="宋体"/>
          <w:b/>
          <w:bCs/>
          <w:color w:val="auto"/>
          <w:sz w:val="21"/>
          <w:szCs w:val="21"/>
          <w:highlight w:val="none"/>
        </w:rPr>
      </w:pPr>
      <w:r>
        <w:rPr>
          <w:rFonts w:ascii="宋体" w:hAnsi="宋体" w:eastAsia="宋体"/>
          <w:b/>
          <w:bCs/>
          <w:color w:val="auto"/>
          <w:sz w:val="21"/>
          <w:szCs w:val="21"/>
          <w:highlight w:val="none"/>
        </w:rPr>
        <w:t>4.</w:t>
      </w:r>
      <w:r>
        <w:rPr>
          <w:rFonts w:hint="eastAsia" w:ascii="宋体" w:hAnsi="宋体" w:eastAsia="宋体"/>
          <w:b/>
          <w:bCs/>
          <w:color w:val="auto"/>
          <w:sz w:val="21"/>
          <w:szCs w:val="21"/>
          <w:highlight w:val="none"/>
        </w:rPr>
        <w:t>在报价评审时，如发现下列情形之一的，投标文件将被视为无效：</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1</w:t>
      </w:r>
      <w:r>
        <w:rPr>
          <w:rFonts w:hint="eastAsia" w:ascii="宋体" w:hAnsi="宋体" w:eastAsia="宋体"/>
          <w:color w:val="auto"/>
          <w:sz w:val="21"/>
          <w:szCs w:val="21"/>
          <w:highlight w:val="none"/>
        </w:rPr>
        <w:t>）未采用人民币报价或者未按照招标文件标明的币种报价的；</w:t>
      </w:r>
    </w:p>
    <w:p>
      <w:pPr>
        <w:pStyle w:val="24"/>
        <w:shd w:val="clear"/>
        <w:snapToGrid w:val="0"/>
        <w:spacing w:line="400" w:lineRule="exact"/>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2</w:t>
      </w:r>
      <w:r>
        <w:rPr>
          <w:rFonts w:hint="eastAsia" w:ascii="宋体" w:hAnsi="宋体" w:eastAsia="宋体"/>
          <w:color w:val="auto"/>
          <w:sz w:val="21"/>
          <w:szCs w:val="21"/>
          <w:highlight w:val="none"/>
        </w:rPr>
        <w:t>）报价超出最高限价，或者超出采购预算金额，采购人不能支付的；</w:t>
      </w:r>
    </w:p>
    <w:p>
      <w:pPr>
        <w:pStyle w:val="24"/>
        <w:shd w:val="clear"/>
        <w:snapToGrid w:val="0"/>
        <w:spacing w:line="4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3</w:t>
      </w:r>
      <w:r>
        <w:rPr>
          <w:rFonts w:hint="eastAsia" w:ascii="宋体" w:hAnsi="宋体" w:eastAsia="宋体"/>
          <w:color w:val="auto"/>
          <w:sz w:val="21"/>
          <w:szCs w:val="21"/>
          <w:highlight w:val="none"/>
        </w:rPr>
        <w:t>）投标报价具有选择性，或者开标价格与投标文件承诺的优惠（折扣）价格不一致的；</w:t>
      </w:r>
    </w:p>
    <w:p>
      <w:pPr>
        <w:pStyle w:val="24"/>
        <w:shd w:val="clear"/>
        <w:snapToGrid w:val="0"/>
        <w:spacing w:line="4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w:t>
      </w:r>
      <w:r>
        <w:rPr>
          <w:rFonts w:ascii="宋体" w:hAnsi="宋体" w:eastAsia="宋体"/>
          <w:color w:val="auto"/>
          <w:sz w:val="21"/>
          <w:szCs w:val="21"/>
          <w:highlight w:val="none"/>
        </w:rPr>
        <w:t>4</w:t>
      </w:r>
      <w:r>
        <w:rPr>
          <w:rFonts w:hint="eastAsia" w:ascii="宋体" w:hAnsi="宋体" w:eastAsia="宋体"/>
          <w:color w:val="auto"/>
          <w:sz w:val="21"/>
          <w:szCs w:val="21"/>
          <w:highlight w:val="none"/>
        </w:rPr>
        <w:t>）</w:t>
      </w:r>
      <w:r>
        <w:rPr>
          <w:rFonts w:hint="eastAsia" w:ascii="宋体" w:hAnsi="宋体" w:eastAsia="宋体" w:cs="宋体"/>
          <w:color w:val="auto"/>
          <w:kern w:val="0"/>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4"/>
        <w:shd w:val="clear"/>
        <w:snapToGrid w:val="0"/>
        <w:spacing w:line="400" w:lineRule="exact"/>
        <w:ind w:firstLine="420" w:firstLineChars="199"/>
        <w:rPr>
          <w:rFonts w:ascii="宋体" w:hAnsi="宋体" w:eastAsia="宋体"/>
          <w:b/>
          <w:color w:val="auto"/>
          <w:sz w:val="21"/>
          <w:szCs w:val="21"/>
          <w:highlight w:val="none"/>
        </w:rPr>
      </w:pPr>
      <w:r>
        <w:rPr>
          <w:rFonts w:ascii="宋体" w:hAnsi="宋体" w:eastAsia="宋体"/>
          <w:b/>
          <w:color w:val="auto"/>
          <w:sz w:val="21"/>
          <w:szCs w:val="21"/>
          <w:highlight w:val="none"/>
        </w:rPr>
        <w:t>5.</w:t>
      </w:r>
      <w:r>
        <w:rPr>
          <w:rFonts w:hint="eastAsia" w:ascii="宋体" w:hAnsi="宋体" w:eastAsia="宋体"/>
          <w:b/>
          <w:color w:val="auto"/>
          <w:sz w:val="21"/>
          <w:szCs w:val="21"/>
          <w:highlight w:val="none"/>
        </w:rPr>
        <w:t>有下列情形之一的视为关联供应商参加同一合同项下政府采购活动，投标文件将被视为无效</w:t>
      </w:r>
      <w:r>
        <w:rPr>
          <w:rFonts w:ascii="宋体" w:hAnsi="宋体" w:eastAsia="宋体"/>
          <w:b/>
          <w:color w:val="auto"/>
          <w:sz w:val="21"/>
          <w:szCs w:val="21"/>
          <w:highlight w:val="none"/>
        </w:rPr>
        <w:t>:</w:t>
      </w:r>
    </w:p>
    <w:p>
      <w:pPr>
        <w:pStyle w:val="24"/>
        <w:shd w:val="clear"/>
        <w:snapToGrid w:val="0"/>
        <w:spacing w:line="40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单位负责人为同一人或者存在直接控股、管理关系的不同供应商，参加同一合同项下的政府采购活动。</w:t>
      </w:r>
    </w:p>
    <w:p>
      <w:pPr>
        <w:widowControl/>
        <w:shd w:val="clear"/>
        <w:spacing w:line="380" w:lineRule="exact"/>
        <w:ind w:firstLine="422" w:firstLineChars="200"/>
        <w:jc w:val="left"/>
        <w:rPr>
          <w:b/>
          <w:color w:val="auto"/>
          <w:highlight w:val="none"/>
        </w:rPr>
      </w:pPr>
      <w:r>
        <w:rPr>
          <w:rFonts w:hint="eastAsia"/>
          <w:b/>
          <w:color w:val="auto"/>
          <w:highlight w:val="none"/>
        </w:rPr>
        <w:t>6.投标人有下列情形之一的视为投标人相互串通投标，投标文件将被视为无效：</w:t>
      </w:r>
    </w:p>
    <w:p>
      <w:pPr>
        <w:widowControl/>
        <w:shd w:val="clear"/>
        <w:spacing w:line="380" w:lineRule="exact"/>
        <w:ind w:left="420" w:leftChars="200" w:firstLine="4" w:firstLineChars="2"/>
        <w:jc w:val="left"/>
        <w:rPr>
          <w:color w:val="auto"/>
          <w:highlight w:val="none"/>
        </w:rPr>
      </w:pPr>
      <w:r>
        <w:rPr>
          <w:rFonts w:hint="eastAsia" w:hAnsi="宋体"/>
          <w:color w:val="auto"/>
          <w:highlight w:val="none"/>
        </w:rPr>
        <w:t>⑴</w:t>
      </w:r>
      <w:r>
        <w:rPr>
          <w:rFonts w:hint="eastAsia"/>
          <w:color w:val="auto"/>
          <w:highlight w:val="none"/>
        </w:rPr>
        <w:t>不同投标人的投标文件由同一单位或者个人编制；</w:t>
      </w:r>
    </w:p>
    <w:p>
      <w:pPr>
        <w:widowControl/>
        <w:shd w:val="clear"/>
        <w:spacing w:line="380" w:lineRule="exact"/>
        <w:ind w:left="420" w:leftChars="200" w:firstLine="4" w:firstLineChars="2"/>
        <w:jc w:val="left"/>
        <w:rPr>
          <w:color w:val="auto"/>
          <w:highlight w:val="none"/>
        </w:rPr>
      </w:pPr>
      <w:r>
        <w:rPr>
          <w:rFonts w:hint="eastAsia" w:hAnsi="宋体"/>
          <w:color w:val="auto"/>
          <w:highlight w:val="none"/>
        </w:rPr>
        <w:t>⑵</w:t>
      </w:r>
      <w:r>
        <w:rPr>
          <w:rFonts w:hint="eastAsia"/>
          <w:color w:val="auto"/>
          <w:highlight w:val="none"/>
        </w:rPr>
        <w:t>不同投标人委托同一单位或者个人办理投标事宜；</w:t>
      </w:r>
    </w:p>
    <w:p>
      <w:pPr>
        <w:widowControl/>
        <w:shd w:val="clear"/>
        <w:spacing w:line="380" w:lineRule="exact"/>
        <w:ind w:left="420" w:leftChars="200" w:firstLine="4" w:firstLineChars="2"/>
        <w:jc w:val="left"/>
        <w:rPr>
          <w:color w:val="auto"/>
          <w:highlight w:val="none"/>
        </w:rPr>
      </w:pPr>
      <w:r>
        <w:rPr>
          <w:rFonts w:hint="eastAsia"/>
          <w:bCs/>
          <w:color w:val="auto"/>
          <w:highlight w:val="none"/>
        </w:rPr>
        <w:t>⑶</w:t>
      </w:r>
      <w:r>
        <w:rPr>
          <w:rFonts w:hint="eastAsia"/>
          <w:color w:val="auto"/>
          <w:highlight w:val="none"/>
        </w:rPr>
        <w:t>不同的投标人的投标文件载明的项目管理员为同一个人；</w:t>
      </w:r>
    </w:p>
    <w:p>
      <w:pPr>
        <w:widowControl/>
        <w:shd w:val="clear"/>
        <w:spacing w:line="380" w:lineRule="exact"/>
        <w:ind w:left="420" w:leftChars="200" w:firstLine="4" w:firstLineChars="2"/>
        <w:jc w:val="left"/>
        <w:rPr>
          <w:color w:val="auto"/>
          <w:highlight w:val="none"/>
        </w:rPr>
      </w:pPr>
      <w:r>
        <w:rPr>
          <w:rFonts w:hint="eastAsia"/>
          <w:bCs/>
          <w:color w:val="auto"/>
          <w:highlight w:val="none"/>
        </w:rPr>
        <w:t>⑷</w:t>
      </w:r>
      <w:r>
        <w:rPr>
          <w:rFonts w:hint="eastAsia"/>
          <w:color w:val="auto"/>
          <w:highlight w:val="none"/>
        </w:rPr>
        <w:t>不同投标人的投标文件异常一致或投标报价呈规律性差异；</w:t>
      </w:r>
    </w:p>
    <w:p>
      <w:pPr>
        <w:widowControl/>
        <w:shd w:val="clear"/>
        <w:spacing w:line="380" w:lineRule="exact"/>
        <w:ind w:left="420" w:leftChars="200" w:firstLine="4" w:firstLineChars="2"/>
        <w:jc w:val="left"/>
        <w:rPr>
          <w:color w:val="auto"/>
          <w:highlight w:val="none"/>
        </w:rPr>
      </w:pPr>
      <w:r>
        <w:rPr>
          <w:rFonts w:hint="eastAsia"/>
          <w:bCs/>
          <w:color w:val="auto"/>
          <w:highlight w:val="none"/>
        </w:rPr>
        <w:t>⑸</w:t>
      </w:r>
      <w:r>
        <w:rPr>
          <w:rFonts w:hint="eastAsia"/>
          <w:color w:val="auto"/>
          <w:highlight w:val="none"/>
        </w:rPr>
        <w:t>不同投标人的投标文件相互混装；</w:t>
      </w:r>
    </w:p>
    <w:p>
      <w:pPr>
        <w:widowControl/>
        <w:shd w:val="clear"/>
        <w:spacing w:line="380" w:lineRule="exact"/>
        <w:ind w:left="420" w:leftChars="200" w:firstLine="4" w:firstLineChars="2"/>
        <w:jc w:val="left"/>
        <w:rPr>
          <w:color w:val="auto"/>
          <w:highlight w:val="none"/>
        </w:rPr>
      </w:pPr>
      <w:r>
        <w:rPr>
          <w:rFonts w:hint="eastAsia"/>
          <w:color w:val="auto"/>
          <w:highlight w:val="none"/>
        </w:rPr>
        <w:t>⑹不同投标人的投标保证金从同一单位或者个人账户转出。</w:t>
      </w:r>
    </w:p>
    <w:p>
      <w:pPr>
        <w:pStyle w:val="24"/>
        <w:shd w:val="clear"/>
        <w:snapToGrid w:val="0"/>
        <w:spacing w:line="400" w:lineRule="exact"/>
        <w:ind w:firstLine="420" w:firstLineChars="199"/>
        <w:rPr>
          <w:rFonts w:ascii="宋体" w:hAnsi="宋体" w:eastAsia="宋体"/>
          <w:b/>
          <w:color w:val="auto"/>
          <w:sz w:val="21"/>
          <w:szCs w:val="21"/>
          <w:highlight w:val="none"/>
        </w:rPr>
      </w:pPr>
      <w:r>
        <w:rPr>
          <w:rFonts w:hint="eastAsia" w:ascii="宋体" w:hAnsi="宋体" w:eastAsia="宋体"/>
          <w:b/>
          <w:color w:val="auto"/>
          <w:sz w:val="21"/>
          <w:szCs w:val="21"/>
          <w:highlight w:val="none"/>
        </w:rPr>
        <w:t>7</w:t>
      </w:r>
      <w:r>
        <w:rPr>
          <w:rFonts w:ascii="宋体" w:hAnsi="宋体" w:eastAsia="宋体"/>
          <w:b/>
          <w:color w:val="auto"/>
          <w:sz w:val="21"/>
          <w:szCs w:val="21"/>
          <w:highlight w:val="none"/>
        </w:rPr>
        <w:t>.</w:t>
      </w:r>
      <w:r>
        <w:rPr>
          <w:rFonts w:hint="eastAsia" w:ascii="宋体" w:hAnsi="宋体" w:eastAsia="宋体"/>
          <w:b/>
          <w:color w:val="auto"/>
          <w:sz w:val="21"/>
          <w:szCs w:val="21"/>
          <w:highlight w:val="none"/>
        </w:rPr>
        <w:t>被拒绝的投标文件为无效。</w:t>
      </w:r>
    </w:p>
    <w:p>
      <w:pPr>
        <w:pStyle w:val="24"/>
        <w:shd w:val="clear"/>
        <w:snapToGrid w:val="0"/>
        <w:spacing w:line="460" w:lineRule="exact"/>
        <w:ind w:firstLine="472" w:firstLineChars="196"/>
        <w:jc w:val="center"/>
        <w:rPr>
          <w:rFonts w:ascii="宋体" w:hAnsi="宋体" w:eastAsia="宋体"/>
          <w:b/>
          <w:snapToGrid w:val="0"/>
          <w:color w:val="auto"/>
          <w:sz w:val="24"/>
          <w:szCs w:val="24"/>
          <w:highlight w:val="none"/>
        </w:rPr>
      </w:pPr>
      <w:r>
        <w:rPr>
          <w:rFonts w:hint="eastAsia" w:ascii="宋体" w:hAnsi="宋体" w:eastAsia="宋体"/>
          <w:b/>
          <w:color w:val="auto"/>
          <w:sz w:val="24"/>
          <w:szCs w:val="24"/>
          <w:highlight w:val="none"/>
        </w:rPr>
        <w:t>四、开标</w:t>
      </w:r>
      <w:bookmarkEnd w:id="47"/>
      <w:bookmarkEnd w:id="48"/>
    </w:p>
    <w:p>
      <w:pPr>
        <w:pStyle w:val="31"/>
        <w:shd w:val="clear"/>
        <w:snapToGrid w:val="0"/>
        <w:spacing w:line="400" w:lineRule="exact"/>
        <w:ind w:firstLine="413" w:firstLineChars="196"/>
        <w:rPr>
          <w:rFonts w:hAnsi="宋体"/>
          <w:b/>
          <w:color w:val="auto"/>
          <w:highlight w:val="none"/>
        </w:rPr>
      </w:pPr>
      <w:r>
        <w:rPr>
          <w:rFonts w:hint="eastAsia" w:hAnsi="宋体"/>
          <w:b/>
          <w:color w:val="auto"/>
          <w:highlight w:val="none"/>
        </w:rPr>
        <w:t>（一）开标准备</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采购代理机构将在规定的时间和地点进行开标，投标人的法定代表人或其授权代表</w:t>
      </w:r>
      <w:r>
        <w:rPr>
          <w:rFonts w:ascii="宋体" w:hAnsi="宋体" w:cs="Arial"/>
          <w:b/>
          <w:color w:val="auto"/>
          <w:szCs w:val="21"/>
          <w:highlight w:val="none"/>
        </w:rPr>
        <w:t xml:space="preserve"> [</w:t>
      </w:r>
      <w:r>
        <w:rPr>
          <w:rFonts w:hint="eastAsia" w:ascii="宋体" w:hAnsi="宋体" w:cs="Arial"/>
          <w:b/>
          <w:color w:val="auto"/>
          <w:szCs w:val="21"/>
          <w:highlight w:val="none"/>
        </w:rPr>
        <w:t>法定代表人参加开标会时须提供本人身份证原件、有效的营业执照副本复印件（加盖公章）、</w:t>
      </w:r>
      <w:r>
        <w:rPr>
          <w:rFonts w:hint="eastAsia" w:hAnsi="宋体"/>
          <w:b/>
          <w:color w:val="auto"/>
          <w:szCs w:val="21"/>
          <w:highlight w:val="none"/>
        </w:rPr>
        <w:t>投标保证金缴纳凭证</w:t>
      </w:r>
      <w:r>
        <w:rPr>
          <w:rFonts w:hint="eastAsia" w:ascii="宋体" w:hAnsi="宋体" w:cs="Arial"/>
          <w:b/>
          <w:color w:val="auto"/>
          <w:szCs w:val="21"/>
          <w:highlight w:val="none"/>
        </w:rPr>
        <w:t>或授权委托代理人参加开标会时须提供本人身份证原件、授权委托书原件、有效的营业执照副本复印件（加盖公章）、</w:t>
      </w:r>
      <w:r>
        <w:rPr>
          <w:rFonts w:hint="eastAsia" w:hAnsi="宋体"/>
          <w:b/>
          <w:color w:val="auto"/>
          <w:szCs w:val="21"/>
          <w:highlight w:val="none"/>
        </w:rPr>
        <w:t>投标保证金缴纳凭证</w:t>
      </w:r>
      <w:r>
        <w:rPr>
          <w:rFonts w:ascii="宋体" w:hAnsi="宋体" w:cs="Arial"/>
          <w:b/>
          <w:color w:val="auto"/>
          <w:szCs w:val="21"/>
          <w:highlight w:val="none"/>
        </w:rPr>
        <w:t>]</w:t>
      </w:r>
      <w:r>
        <w:rPr>
          <w:rFonts w:hint="eastAsia" w:ascii="宋体" w:hAnsi="宋体"/>
          <w:color w:val="auto"/>
          <w:szCs w:val="21"/>
          <w:highlight w:val="none"/>
        </w:rPr>
        <w:t>应参加开标会并在投标截止时间前签到。</w:t>
      </w:r>
    </w:p>
    <w:p>
      <w:pPr>
        <w:pStyle w:val="31"/>
        <w:shd w:val="clear"/>
        <w:snapToGrid w:val="0"/>
        <w:spacing w:line="400" w:lineRule="exact"/>
        <w:ind w:firstLine="413" w:firstLineChars="196"/>
        <w:rPr>
          <w:rFonts w:hAnsi="宋体"/>
          <w:b/>
          <w:color w:val="auto"/>
          <w:highlight w:val="none"/>
        </w:rPr>
      </w:pPr>
      <w:r>
        <w:rPr>
          <w:rFonts w:hint="eastAsia" w:hAnsi="宋体"/>
          <w:b/>
          <w:color w:val="auto"/>
          <w:highlight w:val="none"/>
        </w:rPr>
        <w:t>（二）开标程序：</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1.</w:t>
      </w:r>
      <w:r>
        <w:rPr>
          <w:rFonts w:hint="eastAsia" w:hAnsi="宋体"/>
          <w:color w:val="auto"/>
          <w:highlight w:val="none"/>
        </w:rPr>
        <w:t>开标会由采购代理机构主持，主持人宣布开标会议开始；</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主持人介绍参加开标会的人员名单；</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3.</w:t>
      </w:r>
      <w:r>
        <w:rPr>
          <w:rFonts w:hint="eastAsia" w:hAnsi="宋体"/>
          <w:color w:val="auto"/>
          <w:highlight w:val="none"/>
        </w:rPr>
        <w:t>主持人宣布评标期间的有关事项；告知应当回避的情形</w:t>
      </w:r>
      <w:r>
        <w:rPr>
          <w:rFonts w:hAnsi="宋体"/>
          <w:color w:val="auto"/>
          <w:highlight w:val="none"/>
        </w:rPr>
        <w:t>,</w:t>
      </w:r>
      <w:r>
        <w:rPr>
          <w:rFonts w:hint="eastAsia" w:hAnsi="宋体"/>
          <w:color w:val="auto"/>
          <w:highlight w:val="none"/>
        </w:rPr>
        <w:t>提请有关人员回避；</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4.</w:t>
      </w:r>
      <w:r>
        <w:rPr>
          <w:rFonts w:hint="eastAsia" w:hAnsi="宋体"/>
          <w:color w:val="auto"/>
          <w:highlight w:val="none"/>
        </w:rPr>
        <w:t>投标人或其当场推荐的代表检查投标文件密封的完整性并签字确认；</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5.</w:t>
      </w:r>
      <w:r>
        <w:rPr>
          <w:rFonts w:hint="eastAsia" w:hAnsi="宋体"/>
          <w:color w:val="auto"/>
          <w:highlight w:val="none"/>
        </w:rPr>
        <w:t>由采购代理机构工作人员当众拆封投标文件，宣布投标人名称、投标价格和其他需要宣布的其他内容；</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6.</w:t>
      </w:r>
      <w:r>
        <w:rPr>
          <w:rFonts w:hint="eastAsia" w:hAnsi="宋体"/>
          <w:color w:val="auto"/>
          <w:highlight w:val="none"/>
        </w:rPr>
        <w:t>采购代理机构做开标记录</w:t>
      </w:r>
      <w:r>
        <w:rPr>
          <w:rFonts w:hAnsi="宋体"/>
          <w:color w:val="auto"/>
          <w:highlight w:val="none"/>
        </w:rPr>
        <w:t xml:space="preserve">, </w:t>
      </w:r>
      <w:r>
        <w:rPr>
          <w:rFonts w:hint="eastAsia" w:hAnsi="宋体"/>
          <w:color w:val="auto"/>
          <w:highlight w:val="none"/>
        </w:rPr>
        <w:t>投标人代表对开标记录进行当场校核及勘误，并签字确认；同时由记录人、监督人当场签字确认。投标人代表未到场签字确认或者拒绝签字确认的，不影响开标程序的有效性及下一程序的继续进行，视同认可开标结果。</w:t>
      </w:r>
    </w:p>
    <w:p>
      <w:pPr>
        <w:pStyle w:val="31"/>
        <w:shd w:val="clear"/>
        <w:snapToGrid w:val="0"/>
        <w:spacing w:line="400" w:lineRule="exact"/>
        <w:ind w:left="239" w:leftChars="114" w:firstLine="210" w:firstLineChars="100"/>
        <w:rPr>
          <w:rFonts w:hAnsi="宋体"/>
          <w:color w:val="auto"/>
          <w:highlight w:val="none"/>
        </w:rPr>
      </w:pPr>
      <w:r>
        <w:rPr>
          <w:rFonts w:hAnsi="宋体"/>
          <w:color w:val="auto"/>
          <w:highlight w:val="none"/>
        </w:rPr>
        <w:t>7.</w:t>
      </w:r>
      <w:r>
        <w:rPr>
          <w:rFonts w:hint="eastAsia" w:hAnsi="宋体"/>
          <w:color w:val="auto"/>
          <w:highlight w:val="none"/>
        </w:rPr>
        <w:t>开标会议结束。</w:t>
      </w:r>
    </w:p>
    <w:p>
      <w:pPr>
        <w:pStyle w:val="31"/>
        <w:shd w:val="clear"/>
        <w:snapToGrid w:val="0"/>
        <w:spacing w:line="460" w:lineRule="exact"/>
        <w:ind w:left="241" w:hanging="241" w:hangingChars="100"/>
        <w:jc w:val="center"/>
        <w:rPr>
          <w:rFonts w:hAnsi="宋体"/>
          <w:b/>
          <w:color w:val="auto"/>
          <w:sz w:val="24"/>
          <w:szCs w:val="24"/>
          <w:highlight w:val="none"/>
        </w:rPr>
      </w:pPr>
      <w:bookmarkStart w:id="49" w:name="_Toc254970545"/>
      <w:bookmarkStart w:id="50" w:name="_Toc254970686"/>
      <w:r>
        <w:rPr>
          <w:rFonts w:hint="eastAsia" w:hAnsi="宋体"/>
          <w:b/>
          <w:color w:val="auto"/>
          <w:sz w:val="24"/>
          <w:szCs w:val="24"/>
          <w:highlight w:val="none"/>
        </w:rPr>
        <w:t>五、评标</w:t>
      </w:r>
      <w:bookmarkEnd w:id="49"/>
      <w:bookmarkEnd w:id="50"/>
    </w:p>
    <w:p>
      <w:pPr>
        <w:pStyle w:val="31"/>
        <w:shd w:val="clear"/>
        <w:snapToGrid w:val="0"/>
        <w:spacing w:line="400" w:lineRule="exact"/>
        <w:ind w:left="211" w:hanging="211" w:hangingChars="100"/>
        <w:rPr>
          <w:rFonts w:hAnsi="宋体"/>
          <w:b/>
          <w:color w:val="auto"/>
          <w:highlight w:val="none"/>
        </w:rPr>
      </w:pPr>
      <w:r>
        <w:rPr>
          <w:rFonts w:hint="eastAsia" w:hAnsi="宋体"/>
          <w:b/>
          <w:color w:val="auto"/>
          <w:highlight w:val="none"/>
        </w:rPr>
        <w:t>（一）组建评标委员会</w:t>
      </w:r>
    </w:p>
    <w:p>
      <w:pPr>
        <w:pStyle w:val="31"/>
        <w:shd w:val="clear"/>
        <w:snapToGrid w:val="0"/>
        <w:spacing w:line="400" w:lineRule="exact"/>
        <w:ind w:firstLine="420" w:firstLineChars="200"/>
        <w:rPr>
          <w:rFonts w:hAnsi="宋体"/>
          <w:color w:val="auto"/>
          <w:highlight w:val="none"/>
        </w:rPr>
      </w:pPr>
      <w:r>
        <w:rPr>
          <w:rFonts w:hint="eastAsia" w:hAnsi="宋体"/>
          <w:color w:val="auto"/>
          <w:highlight w:val="none"/>
        </w:rPr>
        <w:t>本项目评标委员会由政府采购评审专家4人和采购人代表1人</w:t>
      </w:r>
      <w:r>
        <w:rPr>
          <w:rFonts w:hAnsi="宋体"/>
          <w:color w:val="auto"/>
          <w:highlight w:val="none"/>
        </w:rPr>
        <w:t>,</w:t>
      </w:r>
      <w:r>
        <w:rPr>
          <w:rFonts w:hint="eastAsia" w:hAnsi="宋体"/>
          <w:color w:val="auto"/>
          <w:highlight w:val="none"/>
        </w:rPr>
        <w:t>共</w:t>
      </w:r>
      <w:r>
        <w:rPr>
          <w:rFonts w:hAnsi="宋体"/>
          <w:color w:val="auto"/>
          <w:highlight w:val="none"/>
        </w:rPr>
        <w:t>5</w:t>
      </w:r>
      <w:r>
        <w:rPr>
          <w:rFonts w:hint="eastAsia" w:hAnsi="宋体"/>
          <w:color w:val="auto"/>
          <w:highlight w:val="none"/>
        </w:rPr>
        <w:t>人组成。</w:t>
      </w:r>
    </w:p>
    <w:p>
      <w:pPr>
        <w:pStyle w:val="31"/>
        <w:shd w:val="clear"/>
        <w:snapToGrid w:val="0"/>
        <w:spacing w:line="400" w:lineRule="exact"/>
        <w:ind w:left="211" w:hanging="211" w:hangingChars="100"/>
        <w:rPr>
          <w:rFonts w:hAnsi="宋体"/>
          <w:b/>
          <w:color w:val="auto"/>
          <w:highlight w:val="none"/>
        </w:rPr>
      </w:pPr>
      <w:r>
        <w:rPr>
          <w:rFonts w:hint="eastAsia" w:hAnsi="宋体"/>
          <w:b/>
          <w:color w:val="auto"/>
          <w:highlight w:val="none"/>
        </w:rPr>
        <w:t>（二）评标的方式</w:t>
      </w:r>
    </w:p>
    <w:p>
      <w:pPr>
        <w:pStyle w:val="31"/>
        <w:shd w:val="clear"/>
        <w:snapToGrid w:val="0"/>
        <w:spacing w:line="400" w:lineRule="exact"/>
        <w:ind w:left="239" w:leftChars="114" w:firstLine="210" w:firstLineChars="100"/>
        <w:rPr>
          <w:rFonts w:hAnsi="宋体"/>
          <w:color w:val="auto"/>
          <w:highlight w:val="none"/>
        </w:rPr>
      </w:pPr>
      <w:r>
        <w:rPr>
          <w:rFonts w:hint="eastAsia" w:hAnsi="宋体"/>
          <w:color w:val="auto"/>
          <w:highlight w:val="none"/>
        </w:rPr>
        <w:t>本项目采用不公开方式评标，评标的依据为招标文件和投标文件。</w:t>
      </w:r>
    </w:p>
    <w:p>
      <w:pPr>
        <w:shd w:val="clear"/>
        <w:snapToGrid w:val="0"/>
        <w:spacing w:line="400" w:lineRule="exact"/>
        <w:rPr>
          <w:rFonts w:ascii="宋体"/>
          <w:b/>
          <w:bCs/>
          <w:color w:val="auto"/>
          <w:szCs w:val="21"/>
          <w:highlight w:val="none"/>
        </w:rPr>
      </w:pPr>
      <w:r>
        <w:rPr>
          <w:rFonts w:hint="eastAsia" w:ascii="宋体" w:hAnsi="宋体"/>
          <w:b/>
          <w:bCs/>
          <w:color w:val="auto"/>
          <w:szCs w:val="21"/>
          <w:highlight w:val="none"/>
        </w:rPr>
        <w:t>（三）资格审查</w:t>
      </w:r>
    </w:p>
    <w:p>
      <w:pPr>
        <w:pStyle w:val="31"/>
        <w:shd w:val="clear"/>
        <w:snapToGrid w:val="0"/>
        <w:spacing w:line="400" w:lineRule="exact"/>
        <w:ind w:firstLine="420" w:firstLineChars="200"/>
        <w:rPr>
          <w:rFonts w:hAnsi="宋体"/>
          <w:color w:val="auto"/>
          <w:highlight w:val="none"/>
        </w:rPr>
      </w:pPr>
      <w:r>
        <w:rPr>
          <w:rFonts w:hint="eastAsia" w:hAnsi="宋体"/>
          <w:color w:val="auto"/>
          <w:highlight w:val="none"/>
        </w:rPr>
        <w:t>采购人代表对投标人的资格进行审查。合格投标人不足</w:t>
      </w:r>
      <w:r>
        <w:rPr>
          <w:rFonts w:hAnsi="宋体"/>
          <w:color w:val="auto"/>
          <w:highlight w:val="none"/>
        </w:rPr>
        <w:t>3</w:t>
      </w:r>
      <w:r>
        <w:rPr>
          <w:rFonts w:hint="eastAsia" w:hAnsi="宋体"/>
          <w:color w:val="auto"/>
          <w:highlight w:val="none"/>
        </w:rPr>
        <w:t>家的，不得评标。</w:t>
      </w:r>
    </w:p>
    <w:p>
      <w:pPr>
        <w:pStyle w:val="31"/>
        <w:shd w:val="clear"/>
        <w:snapToGrid w:val="0"/>
        <w:spacing w:line="400" w:lineRule="exact"/>
        <w:ind w:firstLine="420" w:firstLineChars="200"/>
        <w:rPr>
          <w:rFonts w:hAnsi="宋体"/>
          <w:color w:val="auto"/>
          <w:highlight w:val="none"/>
        </w:rPr>
      </w:pPr>
      <w:r>
        <w:rPr>
          <w:rFonts w:hint="eastAsia" w:hAnsi="宋体"/>
          <w:color w:val="auto"/>
          <w:highlight w:val="none"/>
        </w:rPr>
        <w:t>评标委员会仅对通过资格审查的投标人进行评审。</w:t>
      </w:r>
    </w:p>
    <w:p>
      <w:pPr>
        <w:pStyle w:val="31"/>
        <w:shd w:val="clear"/>
        <w:snapToGrid w:val="0"/>
        <w:spacing w:line="400" w:lineRule="exact"/>
        <w:ind w:left="211" w:hanging="211" w:hangingChars="100"/>
        <w:rPr>
          <w:rFonts w:hAnsi="宋体"/>
          <w:b/>
          <w:color w:val="auto"/>
          <w:highlight w:val="none"/>
        </w:rPr>
      </w:pPr>
      <w:r>
        <w:rPr>
          <w:rFonts w:hint="eastAsia" w:hAnsi="宋体"/>
          <w:b/>
          <w:color w:val="auto"/>
          <w:highlight w:val="none"/>
        </w:rPr>
        <w:t>（四）</w:t>
      </w:r>
      <w:r>
        <w:rPr>
          <w:rFonts w:hint="eastAsia" w:hAnsi="宋体"/>
          <w:b/>
          <w:bCs/>
          <w:color w:val="auto"/>
          <w:highlight w:val="none"/>
        </w:rPr>
        <w:t>评标程序</w:t>
      </w:r>
    </w:p>
    <w:p>
      <w:pPr>
        <w:shd w:val="clear"/>
        <w:snapToGrid w:val="0"/>
        <w:spacing w:line="400" w:lineRule="exact"/>
        <w:ind w:firstLine="413" w:firstLineChars="196"/>
        <w:rPr>
          <w:rFonts w:ascii="宋体"/>
          <w:b/>
          <w:bCs/>
          <w:color w:val="auto"/>
          <w:szCs w:val="21"/>
          <w:highlight w:val="none"/>
        </w:rPr>
      </w:pPr>
      <w:r>
        <w:rPr>
          <w:rFonts w:ascii="宋体" w:hAnsi="宋体"/>
          <w:b/>
          <w:bCs/>
          <w:color w:val="auto"/>
          <w:szCs w:val="21"/>
          <w:highlight w:val="none"/>
        </w:rPr>
        <w:t>1.</w:t>
      </w:r>
      <w:r>
        <w:rPr>
          <w:rFonts w:hint="eastAsia" w:ascii="宋体" w:hAnsi="宋体"/>
          <w:b/>
          <w:bCs/>
          <w:color w:val="auto"/>
          <w:szCs w:val="21"/>
          <w:highlight w:val="none"/>
        </w:rPr>
        <w:t>实质审查与比较</w:t>
      </w:r>
    </w:p>
    <w:p>
      <w:pPr>
        <w:shd w:val="clear"/>
        <w:snapToGrid w:val="0"/>
        <w:spacing w:line="400" w:lineRule="exact"/>
        <w:ind w:firstLine="420" w:firstLineChars="200"/>
        <w:rPr>
          <w:rFonts w:ascii="宋体" w:cs="Courier New"/>
          <w:color w:val="auto"/>
          <w:szCs w:val="21"/>
          <w:highlight w:val="none"/>
        </w:rPr>
      </w:pPr>
      <w:r>
        <w:rPr>
          <w:rFonts w:hint="eastAsia" w:ascii="宋体" w:hAnsi="宋体" w:cs="Courier New"/>
          <w:color w:val="auto"/>
          <w:szCs w:val="21"/>
          <w:highlight w:val="none"/>
        </w:rPr>
        <w:t>（</w:t>
      </w:r>
      <w:r>
        <w:rPr>
          <w:rFonts w:ascii="宋体" w:hAnsi="宋体" w:cs="Courier New"/>
          <w:color w:val="auto"/>
          <w:szCs w:val="21"/>
          <w:highlight w:val="none"/>
        </w:rPr>
        <w:t>1</w:t>
      </w:r>
      <w:r>
        <w:rPr>
          <w:rFonts w:hint="eastAsia" w:ascii="宋体" w:hAnsi="宋体" w:cs="Courier New"/>
          <w:color w:val="auto"/>
          <w:szCs w:val="21"/>
          <w:highlight w:val="none"/>
        </w:rPr>
        <w:t>）评标委员会对通过资格审查的投标文件进行符合性审查及商务和技术性审查。</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）评标委员会审查投标文件的实质性内容是否符合招标文件的实质性要求。</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）评标委员会将根据投标人的投标文件进行审查、核对</w:t>
      </w:r>
      <w:r>
        <w:rPr>
          <w:rFonts w:ascii="宋体"/>
          <w:color w:val="auto"/>
          <w:szCs w:val="21"/>
          <w:highlight w:val="none"/>
        </w:rPr>
        <w:t>,</w:t>
      </w:r>
      <w:r>
        <w:rPr>
          <w:rFonts w:hint="eastAsia" w:ascii="宋体" w:hAnsi="宋体"/>
          <w:color w:val="auto"/>
          <w:szCs w:val="21"/>
          <w:highlight w:val="none"/>
        </w:rPr>
        <w:t>如有疑问</w:t>
      </w:r>
      <w:r>
        <w:rPr>
          <w:rFonts w:ascii="宋体"/>
          <w:color w:val="auto"/>
          <w:szCs w:val="21"/>
          <w:highlight w:val="none"/>
        </w:rPr>
        <w:t>,</w:t>
      </w:r>
      <w:r>
        <w:rPr>
          <w:rFonts w:hint="eastAsia" w:ascii="宋体" w:hAnsi="宋体"/>
          <w:color w:val="auto"/>
          <w:szCs w:val="21"/>
          <w:highlight w:val="none"/>
        </w:rPr>
        <w:t>将对投标人进行询标</w:t>
      </w:r>
      <w:r>
        <w:rPr>
          <w:rFonts w:ascii="宋体"/>
          <w:color w:val="auto"/>
          <w:szCs w:val="21"/>
          <w:highlight w:val="none"/>
        </w:rPr>
        <w:t>,</w:t>
      </w:r>
      <w:r>
        <w:rPr>
          <w:rFonts w:hint="eastAsia" w:ascii="宋体" w:hAnsi="宋体"/>
          <w:color w:val="auto"/>
          <w:szCs w:val="21"/>
          <w:highlight w:val="none"/>
        </w:rPr>
        <w:t>投标人要向评标委员会澄清有关问题</w:t>
      </w:r>
      <w:r>
        <w:rPr>
          <w:rFonts w:ascii="宋体"/>
          <w:color w:val="auto"/>
          <w:szCs w:val="21"/>
          <w:highlight w:val="none"/>
        </w:rPr>
        <w:t>,</w:t>
      </w:r>
      <w:r>
        <w:rPr>
          <w:rFonts w:hint="eastAsia" w:ascii="宋体" w:hAnsi="宋体"/>
          <w:color w:val="auto"/>
          <w:szCs w:val="21"/>
          <w:highlight w:val="none"/>
        </w:rPr>
        <w:t>并最终以书面形式进行答复。</w:t>
      </w:r>
    </w:p>
    <w:p>
      <w:pPr>
        <w:shd w:val="clear"/>
        <w:snapToGrid w:val="0"/>
        <w:spacing w:line="400" w:lineRule="exact"/>
        <w:ind w:firstLine="525" w:firstLineChars="250"/>
        <w:rPr>
          <w:rFonts w:ascii="宋体"/>
          <w:color w:val="auto"/>
          <w:szCs w:val="21"/>
          <w:highlight w:val="none"/>
        </w:rPr>
      </w:pPr>
      <w:r>
        <w:rPr>
          <w:rFonts w:hint="eastAsia" w:ascii="宋体" w:hAnsi="宋体"/>
          <w:color w:val="auto"/>
          <w:szCs w:val="21"/>
          <w:highlight w:val="none"/>
        </w:rPr>
        <w:t>投标人代表未到场或者拒绝澄清或者澄清的内容改变了投标文件的实质性内容的，评标委员会有权视该投标文件无效。</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）各投标人的技术得分为所有评委的有效评分的算术平均数，由指定专人进行计算复核。</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）代理机构工作人员协助评标委员会根据本项目的评分标准计算各投标人的商务报价得分。</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）评标委员会完成评标后</w:t>
      </w:r>
      <w:r>
        <w:rPr>
          <w:rFonts w:ascii="宋体"/>
          <w:color w:val="auto"/>
          <w:szCs w:val="21"/>
          <w:highlight w:val="none"/>
        </w:rPr>
        <w:t>,</w:t>
      </w:r>
      <w:r>
        <w:rPr>
          <w:rFonts w:hint="eastAsia" w:ascii="宋体" w:hAnsi="宋体"/>
          <w:color w:val="auto"/>
          <w:szCs w:val="21"/>
          <w:highlight w:val="none"/>
        </w:rPr>
        <w:t>评委对各部分得分汇总</w:t>
      </w:r>
      <w:r>
        <w:rPr>
          <w:rFonts w:ascii="宋体"/>
          <w:color w:val="auto"/>
          <w:szCs w:val="21"/>
          <w:highlight w:val="none"/>
        </w:rPr>
        <w:t>,</w:t>
      </w:r>
      <w:r>
        <w:rPr>
          <w:rFonts w:hint="eastAsia" w:ascii="宋体" w:hAnsi="宋体"/>
          <w:color w:val="auto"/>
          <w:szCs w:val="21"/>
          <w:highlight w:val="none"/>
        </w:rPr>
        <w:t>计算出本项目最终得分。评标委员会按评标原则推荐中标候选人同时起草评标报告。</w:t>
      </w:r>
    </w:p>
    <w:p>
      <w:pPr>
        <w:shd w:val="clear"/>
        <w:snapToGrid w:val="0"/>
        <w:spacing w:line="400" w:lineRule="exact"/>
        <w:rPr>
          <w:rFonts w:ascii="宋体"/>
          <w:b/>
          <w:color w:val="auto"/>
          <w:szCs w:val="21"/>
          <w:highlight w:val="none"/>
        </w:rPr>
      </w:pPr>
      <w:r>
        <w:rPr>
          <w:rFonts w:hint="eastAsia" w:ascii="宋体" w:hAnsi="宋体"/>
          <w:b/>
          <w:color w:val="auto"/>
          <w:szCs w:val="21"/>
          <w:highlight w:val="none"/>
        </w:rPr>
        <w:t>（五）澄清问题的形式</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31"/>
        <w:shd w:val="clear"/>
        <w:snapToGrid w:val="0"/>
        <w:spacing w:line="400" w:lineRule="exact"/>
        <w:rPr>
          <w:rFonts w:hAnsi="宋体"/>
          <w:b/>
          <w:color w:val="auto"/>
          <w:highlight w:val="none"/>
        </w:rPr>
      </w:pPr>
      <w:r>
        <w:rPr>
          <w:rFonts w:hint="eastAsia" w:hAnsi="宋体"/>
          <w:color w:val="auto"/>
          <w:highlight w:val="none"/>
        </w:rPr>
        <w:t>（六）</w:t>
      </w:r>
      <w:r>
        <w:rPr>
          <w:rFonts w:hint="eastAsia" w:hAnsi="宋体"/>
          <w:b/>
          <w:color w:val="auto"/>
          <w:highlight w:val="none"/>
        </w:rPr>
        <w:t>错误修正</w:t>
      </w:r>
    </w:p>
    <w:p>
      <w:pPr>
        <w:pStyle w:val="31"/>
        <w:shd w:val="clear"/>
        <w:snapToGrid w:val="0"/>
        <w:spacing w:line="400" w:lineRule="exact"/>
        <w:ind w:left="210" w:leftChars="100" w:firstLine="315" w:firstLineChars="150"/>
        <w:rPr>
          <w:rFonts w:hAnsi="宋体"/>
          <w:color w:val="auto"/>
          <w:highlight w:val="none"/>
        </w:rPr>
      </w:pPr>
      <w:r>
        <w:rPr>
          <w:rFonts w:hint="eastAsia" w:hAnsi="宋体"/>
          <w:color w:val="auto"/>
          <w:highlight w:val="none"/>
        </w:rPr>
        <w:t>投标文件如果出现计算或表达上的错误，修正错误的原则如下：</w:t>
      </w:r>
    </w:p>
    <w:p>
      <w:pPr>
        <w:pStyle w:val="56"/>
        <w:shd w:val="clear"/>
        <w:spacing w:before="0" w:beforeAutospacing="0" w:after="0" w:afterAutospacing="0" w:line="400" w:lineRule="exact"/>
        <w:ind w:firstLine="420" w:firstLineChars="200"/>
        <w:rPr>
          <w:rFonts w:cs="Courier New"/>
          <w:color w:val="auto"/>
          <w:kern w:val="2"/>
          <w:sz w:val="21"/>
          <w:szCs w:val="21"/>
          <w:highlight w:val="none"/>
        </w:rPr>
      </w:pPr>
      <w:r>
        <w:rPr>
          <w:rFonts w:cs="Courier New"/>
          <w:color w:val="auto"/>
          <w:kern w:val="2"/>
          <w:sz w:val="21"/>
          <w:szCs w:val="21"/>
          <w:highlight w:val="none"/>
        </w:rPr>
        <w:t>1</w:t>
      </w:r>
      <w:r>
        <w:rPr>
          <w:rFonts w:hint="eastAsia" w:cs="Courier New"/>
          <w:color w:val="auto"/>
          <w:kern w:val="2"/>
          <w:sz w:val="21"/>
          <w:szCs w:val="21"/>
          <w:highlight w:val="none"/>
        </w:rPr>
        <w:t>、投标文件中开标一览表（报价表）内容与投标文件中相应内容不一致的，以开标一览表（报价表）为准；</w:t>
      </w:r>
    </w:p>
    <w:p>
      <w:pPr>
        <w:pStyle w:val="56"/>
        <w:shd w:val="clear"/>
        <w:spacing w:before="0" w:beforeAutospacing="0" w:after="0" w:afterAutospacing="0" w:line="400" w:lineRule="exact"/>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2</w:t>
      </w:r>
      <w:r>
        <w:rPr>
          <w:rFonts w:hint="eastAsia" w:cs="Courier New"/>
          <w:color w:val="auto"/>
          <w:kern w:val="2"/>
          <w:sz w:val="21"/>
          <w:szCs w:val="21"/>
          <w:highlight w:val="none"/>
        </w:rPr>
        <w:t>、大写金额和小写金额不一致的，以大写金额为准；</w:t>
      </w:r>
    </w:p>
    <w:p>
      <w:pPr>
        <w:pStyle w:val="56"/>
        <w:shd w:val="clear"/>
        <w:spacing w:before="0" w:beforeAutospacing="0" w:after="0" w:afterAutospacing="0" w:line="400" w:lineRule="exact"/>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3</w:t>
      </w:r>
      <w:r>
        <w:rPr>
          <w:rFonts w:hint="eastAsia" w:cs="Courier New"/>
          <w:color w:val="auto"/>
          <w:kern w:val="2"/>
          <w:sz w:val="21"/>
          <w:szCs w:val="21"/>
          <w:highlight w:val="none"/>
        </w:rPr>
        <w:t>、单价金额小数点或者百分比有明显错位的，以开标一览表的总价为准，并修改单价；</w:t>
      </w:r>
    </w:p>
    <w:p>
      <w:pPr>
        <w:pStyle w:val="56"/>
        <w:shd w:val="clear"/>
        <w:spacing w:before="0" w:beforeAutospacing="0" w:after="0" w:afterAutospacing="0" w:line="400" w:lineRule="exact"/>
        <w:rPr>
          <w:rFonts w:cs="Courier New"/>
          <w:color w:val="auto"/>
          <w:kern w:val="2"/>
          <w:sz w:val="21"/>
          <w:szCs w:val="21"/>
          <w:highlight w:val="none"/>
        </w:rPr>
      </w:pPr>
      <w:r>
        <w:rPr>
          <w:rFonts w:hint="eastAsia" w:cs="Courier New"/>
          <w:color w:val="auto"/>
          <w:kern w:val="2"/>
          <w:sz w:val="21"/>
          <w:szCs w:val="21"/>
          <w:highlight w:val="none"/>
        </w:rPr>
        <w:t>　　</w:t>
      </w:r>
      <w:r>
        <w:rPr>
          <w:rFonts w:cs="Courier New"/>
          <w:color w:val="auto"/>
          <w:kern w:val="2"/>
          <w:sz w:val="21"/>
          <w:szCs w:val="21"/>
          <w:highlight w:val="none"/>
        </w:rPr>
        <w:t>4</w:t>
      </w:r>
      <w:r>
        <w:rPr>
          <w:rFonts w:hint="eastAsia" w:cs="Courier New"/>
          <w:color w:val="auto"/>
          <w:kern w:val="2"/>
          <w:sz w:val="21"/>
          <w:szCs w:val="21"/>
          <w:highlight w:val="none"/>
        </w:rPr>
        <w:t>、总价金额与按单价汇总金额不一致的，以单价金额计算结果为准。</w:t>
      </w:r>
    </w:p>
    <w:p>
      <w:pPr>
        <w:pStyle w:val="31"/>
        <w:shd w:val="clear"/>
        <w:snapToGrid w:val="0"/>
        <w:spacing w:line="400" w:lineRule="exact"/>
        <w:ind w:firstLine="422" w:firstLineChars="200"/>
        <w:rPr>
          <w:rFonts w:hAnsi="宋体"/>
          <w:b/>
          <w:bCs/>
          <w:color w:val="auto"/>
          <w:highlight w:val="none"/>
        </w:rPr>
      </w:pPr>
      <w:r>
        <w:rPr>
          <w:rFonts w:hint="eastAsia" w:hAnsi="宋体"/>
          <w:b/>
          <w:bCs/>
          <w:color w:val="auto"/>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31"/>
        <w:shd w:val="clear"/>
        <w:snapToGrid w:val="0"/>
        <w:spacing w:line="400" w:lineRule="exact"/>
        <w:ind w:firstLine="422" w:firstLineChars="200"/>
        <w:rPr>
          <w:rFonts w:hAnsi="宋体"/>
          <w:b/>
          <w:bCs/>
          <w:color w:val="auto"/>
          <w:highlight w:val="none"/>
        </w:rPr>
      </w:pPr>
    </w:p>
    <w:p>
      <w:pPr>
        <w:pStyle w:val="31"/>
        <w:shd w:val="clear"/>
        <w:snapToGrid w:val="0"/>
        <w:spacing w:line="460" w:lineRule="exact"/>
        <w:ind w:left="241" w:hanging="241" w:hangingChars="100"/>
        <w:jc w:val="center"/>
        <w:rPr>
          <w:rFonts w:hAnsi="宋体"/>
          <w:b/>
          <w:color w:val="auto"/>
          <w:sz w:val="24"/>
          <w:szCs w:val="24"/>
          <w:highlight w:val="none"/>
        </w:rPr>
      </w:pPr>
      <w:r>
        <w:rPr>
          <w:rFonts w:hint="eastAsia" w:hAnsi="宋体"/>
          <w:b/>
          <w:color w:val="auto"/>
          <w:sz w:val="24"/>
          <w:szCs w:val="24"/>
          <w:highlight w:val="none"/>
        </w:rPr>
        <w:t>六、评标原则和评标办法</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1.</w:t>
      </w:r>
      <w:r>
        <w:rPr>
          <w:rFonts w:hint="eastAsia" w:hAnsi="宋体"/>
          <w:color w:val="auto"/>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hd w:val="clear"/>
        <w:snapToGrid w:val="0"/>
        <w:spacing w:line="40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评标办法。本项目评标办法是</w:t>
      </w:r>
      <w:r>
        <w:rPr>
          <w:rFonts w:hint="eastAsia" w:hAnsi="宋体"/>
          <w:color w:val="auto"/>
          <w:highlight w:val="none"/>
          <w:u w:val="single"/>
        </w:rPr>
        <w:t>综合评分法</w:t>
      </w:r>
      <w:r>
        <w:rPr>
          <w:rFonts w:hint="eastAsia" w:hAnsi="宋体"/>
          <w:color w:val="auto"/>
          <w:highlight w:val="none"/>
        </w:rPr>
        <w:t>，具体评标内容及评分标准等详见《第四章：评标办法及评分标准》。</w:t>
      </w:r>
    </w:p>
    <w:p>
      <w:pPr>
        <w:pStyle w:val="31"/>
        <w:shd w:val="clear"/>
        <w:snapToGrid w:val="0"/>
        <w:spacing w:line="400" w:lineRule="exact"/>
        <w:ind w:firstLine="413" w:firstLineChars="196"/>
        <w:rPr>
          <w:rFonts w:hAnsi="宋体"/>
          <w:b/>
          <w:color w:val="auto"/>
          <w:highlight w:val="none"/>
        </w:rPr>
      </w:pPr>
      <w:r>
        <w:rPr>
          <w:rFonts w:hint="eastAsia" w:hAnsi="宋体"/>
          <w:b/>
          <w:color w:val="auto"/>
          <w:highlight w:val="none"/>
        </w:rPr>
        <w:t>（七）评标过程的监控</w:t>
      </w:r>
    </w:p>
    <w:p>
      <w:pPr>
        <w:pStyle w:val="31"/>
        <w:shd w:val="clear"/>
        <w:snapToGrid w:val="0"/>
        <w:spacing w:line="400" w:lineRule="exact"/>
        <w:ind w:firstLine="420" w:firstLineChars="200"/>
        <w:rPr>
          <w:rFonts w:hAnsi="宋体"/>
          <w:color w:val="auto"/>
          <w:highlight w:val="none"/>
        </w:rPr>
      </w:pPr>
      <w:r>
        <w:rPr>
          <w:rFonts w:hint="eastAsia" w:hAnsi="宋体"/>
          <w:color w:val="auto"/>
          <w:highlight w:val="none"/>
        </w:rPr>
        <w:t>本项目评标过程实行全程录音、录像监控，投标人在评标过程中所进行的试图影响评标结果的不公正活动，可能导致其投标被拒绝。</w:t>
      </w:r>
    </w:p>
    <w:p>
      <w:pPr>
        <w:pStyle w:val="31"/>
        <w:shd w:val="clear"/>
        <w:snapToGrid w:val="0"/>
        <w:spacing w:line="400" w:lineRule="exact"/>
        <w:ind w:firstLine="413" w:firstLineChars="196"/>
        <w:rPr>
          <w:rFonts w:hAnsi="宋体"/>
          <w:b/>
          <w:color w:val="auto"/>
          <w:highlight w:val="none"/>
        </w:rPr>
      </w:pPr>
      <w:bookmarkStart w:id="51" w:name="_Toc254970546"/>
      <w:bookmarkStart w:id="52" w:name="_Toc254970687"/>
    </w:p>
    <w:p>
      <w:pPr>
        <w:pStyle w:val="31"/>
        <w:shd w:val="clear"/>
        <w:snapToGrid w:val="0"/>
        <w:spacing w:line="400" w:lineRule="exact"/>
        <w:ind w:firstLine="413" w:firstLineChars="196"/>
        <w:rPr>
          <w:rFonts w:hAnsi="宋体"/>
          <w:b/>
          <w:color w:val="auto"/>
          <w:highlight w:val="none"/>
        </w:rPr>
      </w:pPr>
      <w:r>
        <w:rPr>
          <w:rFonts w:hint="eastAsia" w:hAnsi="宋体"/>
          <w:b/>
          <w:color w:val="auto"/>
          <w:highlight w:val="none"/>
        </w:rPr>
        <w:t>六、评标结果</w:t>
      </w:r>
    </w:p>
    <w:bookmarkEnd w:id="51"/>
    <w:bookmarkEnd w:id="52"/>
    <w:p>
      <w:pPr>
        <w:shd w:val="clear"/>
        <w:snapToGrid w:val="0"/>
        <w:spacing w:line="400" w:lineRule="exact"/>
        <w:ind w:firstLine="422" w:firstLineChars="200"/>
        <w:rPr>
          <w:rFonts w:ascii="宋体"/>
          <w:color w:val="auto"/>
          <w:szCs w:val="21"/>
          <w:highlight w:val="none"/>
        </w:rPr>
      </w:pPr>
      <w:r>
        <w:rPr>
          <w:rFonts w:hint="eastAsia" w:ascii="宋体" w:hAnsi="宋体"/>
          <w:b/>
          <w:bCs/>
          <w:color w:val="auto"/>
          <w:szCs w:val="21"/>
          <w:highlight w:val="none"/>
        </w:rPr>
        <w:t>（一）</w:t>
      </w:r>
      <w:r>
        <w:rPr>
          <w:rFonts w:hint="eastAsia" w:ascii="宋体" w:hAnsi="宋体"/>
          <w:color w:val="auto"/>
          <w:szCs w:val="21"/>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hd w:val="clear"/>
        <w:snapToGrid w:val="0"/>
        <w:spacing w:line="400" w:lineRule="exact"/>
        <w:ind w:firstLine="420" w:firstLineChars="200"/>
        <w:rPr>
          <w:rFonts w:ascii="宋体"/>
          <w:bCs/>
          <w:color w:val="auto"/>
          <w:szCs w:val="21"/>
          <w:highlight w:val="none"/>
        </w:rPr>
      </w:pPr>
      <w:r>
        <w:rPr>
          <w:rFonts w:hint="eastAsia" w:ascii="宋体" w:hAnsi="宋体"/>
          <w:color w:val="auto"/>
          <w:szCs w:val="21"/>
          <w:highlight w:val="none"/>
        </w:rPr>
        <w:t>（二）中标供应商确定后，采购代理机构二个工作日内在中国政府采购网、</w:t>
      </w:r>
      <w:r>
        <w:rPr>
          <w:rFonts w:hint="eastAsia" w:ascii="宋体" w:hAnsi="宋体" w:cs="Arial"/>
          <w:color w:val="auto"/>
          <w:szCs w:val="21"/>
          <w:highlight w:val="none"/>
        </w:rPr>
        <w:t>广西壮族自治区政府采购网、</w:t>
      </w:r>
      <w:r>
        <w:rPr>
          <w:rFonts w:hint="eastAsia"/>
          <w:color w:val="auto"/>
          <w:spacing w:val="-4"/>
          <w:szCs w:val="21"/>
          <w:highlight w:val="none"/>
        </w:rPr>
        <w:t>广西壮族自治区公共资源交易中心网</w:t>
      </w:r>
      <w:r>
        <w:rPr>
          <w:rFonts w:hint="eastAsia" w:ascii="宋体" w:hAnsi="宋体"/>
          <w:bCs/>
          <w:color w:val="auto"/>
          <w:szCs w:val="21"/>
          <w:highlight w:val="none"/>
        </w:rPr>
        <w:t>上发布中标公告。</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（三）发布中标公告的同时，采购代理机构向中标供应商发出中标通知书。</w:t>
      </w:r>
    </w:p>
    <w:p>
      <w:pPr>
        <w:pStyle w:val="31"/>
        <w:shd w:val="clear"/>
        <w:snapToGrid w:val="0"/>
        <w:spacing w:line="400" w:lineRule="exact"/>
        <w:ind w:firstLine="411" w:firstLineChars="196"/>
        <w:rPr>
          <w:rFonts w:hAnsi="宋体"/>
          <w:color w:val="auto"/>
          <w:highlight w:val="none"/>
        </w:rPr>
      </w:pPr>
      <w:r>
        <w:rPr>
          <w:rFonts w:hint="eastAsia" w:hAnsi="宋体"/>
          <w:color w:val="auto"/>
          <w:highlight w:val="none"/>
        </w:rPr>
        <w:t>（四）投标人认为招标文件、招标过程或中标结果使自己的权益受到损害的，可以在规定的期限内，以书面形式向采购代理机构提出质疑。并及时索要书面回执。</w:t>
      </w:r>
    </w:p>
    <w:p>
      <w:pPr>
        <w:pStyle w:val="31"/>
        <w:shd w:val="clear"/>
        <w:spacing w:line="400" w:lineRule="exact"/>
        <w:ind w:firstLine="420" w:firstLineChars="200"/>
        <w:rPr>
          <w:rFonts w:hAnsi="宋体"/>
          <w:color w:val="auto"/>
          <w:highlight w:val="none"/>
        </w:rPr>
      </w:pPr>
      <w:r>
        <w:rPr>
          <w:rFonts w:hint="eastAsia" w:hAnsi="宋体"/>
          <w:color w:val="auto"/>
          <w:highlight w:val="none"/>
        </w:rPr>
        <w:t>（五）采购代理机构应当按照有关规定就采购人委托授权范围内的事项</w:t>
      </w:r>
      <w:r>
        <w:rPr>
          <w:rFonts w:hint="eastAsia" w:hAnsi="宋体"/>
          <w:bCs/>
          <w:color w:val="auto"/>
          <w:highlight w:val="none"/>
        </w:rPr>
        <w:t>在收到投标人的书面质疑后七个工作日内做出答复，但答复的内容不得涉及商业秘密。</w:t>
      </w:r>
    </w:p>
    <w:p>
      <w:pPr>
        <w:pStyle w:val="56"/>
        <w:shd w:val="clear"/>
        <w:spacing w:before="0" w:beforeAutospacing="0" w:after="0" w:afterAutospacing="0" w:line="400" w:lineRule="exact"/>
        <w:ind w:firstLine="382" w:firstLineChars="182"/>
        <w:rPr>
          <w:color w:val="auto"/>
          <w:sz w:val="21"/>
          <w:szCs w:val="21"/>
          <w:highlight w:val="none"/>
        </w:rPr>
      </w:pPr>
      <w:r>
        <w:rPr>
          <w:rFonts w:hint="eastAsia"/>
          <w:color w:val="auto"/>
          <w:sz w:val="21"/>
          <w:szCs w:val="21"/>
          <w:highlight w:val="none"/>
        </w:rPr>
        <w:t>（六）未中标人应当于中标公告发出后到采购代理机构领取自己未通过资格审查的原因或本人的评审得分与排序情况的告知函。如非法定代表人或投标授权代表领取的，须出示授权利委托书原件。</w:t>
      </w:r>
    </w:p>
    <w:p>
      <w:pPr>
        <w:shd w:val="clear"/>
        <w:snapToGrid w:val="0"/>
        <w:spacing w:line="400" w:lineRule="exact"/>
        <w:ind w:firstLine="411" w:firstLineChars="196"/>
        <w:rPr>
          <w:rFonts w:hAnsi="宋体"/>
          <w:color w:val="auto"/>
          <w:szCs w:val="21"/>
          <w:highlight w:val="none"/>
        </w:rPr>
      </w:pPr>
      <w:r>
        <w:rPr>
          <w:rFonts w:hint="eastAsia"/>
          <w:color w:val="auto"/>
          <w:szCs w:val="21"/>
          <w:highlight w:val="none"/>
        </w:rPr>
        <w:t>（七）</w:t>
      </w:r>
      <w:r>
        <w:rPr>
          <w:rFonts w:hint="eastAsia" w:hAnsi="宋体"/>
          <w:color w:val="auto"/>
          <w:szCs w:val="21"/>
          <w:highlight w:val="none"/>
        </w:rPr>
        <w:t>采购代理机构无义务向</w:t>
      </w:r>
      <w:r>
        <w:rPr>
          <w:rFonts w:hint="eastAsia" w:ascii="宋体" w:hAnsi="宋体"/>
          <w:color w:val="auto"/>
          <w:szCs w:val="21"/>
          <w:highlight w:val="none"/>
        </w:rPr>
        <w:t>未中标人</w:t>
      </w:r>
      <w:r>
        <w:rPr>
          <w:rFonts w:hint="eastAsia" w:hAnsi="宋体"/>
          <w:color w:val="auto"/>
          <w:szCs w:val="21"/>
          <w:highlight w:val="none"/>
        </w:rPr>
        <w:t>退还其投标文件。</w:t>
      </w:r>
    </w:p>
    <w:p>
      <w:pPr>
        <w:shd w:val="clear"/>
        <w:snapToGrid w:val="0"/>
        <w:spacing w:line="400" w:lineRule="exact"/>
        <w:ind w:firstLine="411" w:firstLineChars="196"/>
        <w:rPr>
          <w:rFonts w:hAnsi="宋体"/>
          <w:color w:val="auto"/>
          <w:szCs w:val="21"/>
          <w:highlight w:val="none"/>
        </w:rPr>
      </w:pPr>
    </w:p>
    <w:p>
      <w:pPr>
        <w:pStyle w:val="31"/>
        <w:shd w:val="clear"/>
        <w:snapToGrid w:val="0"/>
        <w:spacing w:line="460" w:lineRule="exact"/>
        <w:ind w:left="241" w:hanging="241" w:hangingChars="100"/>
        <w:jc w:val="center"/>
        <w:rPr>
          <w:rFonts w:hAnsi="宋体"/>
          <w:b/>
          <w:color w:val="auto"/>
          <w:sz w:val="24"/>
          <w:szCs w:val="24"/>
          <w:highlight w:val="none"/>
        </w:rPr>
      </w:pPr>
      <w:r>
        <w:rPr>
          <w:rFonts w:hint="eastAsia" w:hAnsi="宋体"/>
          <w:b/>
          <w:color w:val="auto"/>
          <w:sz w:val="24"/>
          <w:szCs w:val="24"/>
          <w:highlight w:val="none"/>
        </w:rPr>
        <w:t>七、签订合同</w:t>
      </w:r>
    </w:p>
    <w:p>
      <w:pPr>
        <w:shd w:val="clear"/>
        <w:snapToGrid w:val="0"/>
        <w:spacing w:line="400" w:lineRule="exact"/>
        <w:ind w:firstLine="413" w:firstLineChars="196"/>
        <w:rPr>
          <w:rFonts w:ascii="宋体"/>
          <w:b/>
          <w:bCs/>
          <w:color w:val="auto"/>
          <w:szCs w:val="21"/>
          <w:highlight w:val="none"/>
        </w:rPr>
      </w:pPr>
      <w:r>
        <w:rPr>
          <w:rFonts w:hint="eastAsia" w:ascii="宋体" w:hAnsi="宋体"/>
          <w:b/>
          <w:bCs/>
          <w:color w:val="auto"/>
          <w:szCs w:val="21"/>
          <w:highlight w:val="none"/>
        </w:rPr>
        <w:t>（一）</w:t>
      </w:r>
      <w:r>
        <w:rPr>
          <w:rFonts w:hint="eastAsia" w:ascii="宋体" w:hAnsi="宋体"/>
          <w:b/>
          <w:color w:val="auto"/>
          <w:szCs w:val="21"/>
          <w:highlight w:val="none"/>
        </w:rPr>
        <w:t>合同授予标准</w:t>
      </w:r>
    </w:p>
    <w:p>
      <w:pPr>
        <w:pStyle w:val="31"/>
        <w:shd w:val="clear"/>
        <w:spacing w:line="400" w:lineRule="exact"/>
        <w:ind w:firstLine="420" w:firstLineChars="200"/>
        <w:rPr>
          <w:rFonts w:hAnsi="宋体"/>
          <w:color w:val="auto"/>
          <w:highlight w:val="none"/>
        </w:rPr>
      </w:pPr>
      <w:r>
        <w:rPr>
          <w:rFonts w:hint="eastAsia" w:hAnsi="宋体"/>
          <w:color w:val="auto"/>
          <w:highlight w:val="none"/>
        </w:rPr>
        <w:t>合同将授予被确定为实质上响应招标文件要求，具备履行合同能力，综合评分排名第一的投标人。</w:t>
      </w:r>
    </w:p>
    <w:p>
      <w:pPr>
        <w:pStyle w:val="31"/>
        <w:shd w:val="clear"/>
        <w:snapToGrid w:val="0"/>
        <w:spacing w:line="400" w:lineRule="exact"/>
        <w:ind w:firstLine="413" w:firstLineChars="196"/>
        <w:rPr>
          <w:rFonts w:hAnsi="宋体"/>
          <w:b/>
          <w:bCs/>
          <w:color w:val="auto"/>
          <w:highlight w:val="none"/>
        </w:rPr>
      </w:pPr>
      <w:r>
        <w:rPr>
          <w:rFonts w:hint="eastAsia" w:hAnsi="宋体"/>
          <w:b/>
          <w:color w:val="auto"/>
          <w:highlight w:val="none"/>
        </w:rPr>
        <w:t>（二）</w:t>
      </w:r>
      <w:r>
        <w:rPr>
          <w:rFonts w:hint="eastAsia" w:hAnsi="宋体"/>
          <w:b/>
          <w:bCs/>
          <w:color w:val="auto"/>
          <w:highlight w:val="none"/>
        </w:rPr>
        <w:t>签订合同</w:t>
      </w:r>
    </w:p>
    <w:p>
      <w:pPr>
        <w:pStyle w:val="31"/>
        <w:shd w:val="clear"/>
        <w:spacing w:line="400" w:lineRule="exact"/>
        <w:ind w:firstLine="420"/>
        <w:rPr>
          <w:rFonts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）投标人收到中标通知书后，应按中标通知书中规定的时间、地点与采购人签订合同。</w:t>
      </w:r>
    </w:p>
    <w:p>
      <w:pPr>
        <w:pStyle w:val="31"/>
        <w:shd w:val="clear"/>
        <w:spacing w:line="400" w:lineRule="exact"/>
        <w:ind w:firstLine="425"/>
        <w:rPr>
          <w:rFonts w:hAnsi="宋体"/>
          <w:color w:val="auto"/>
          <w:highlight w:val="none"/>
        </w:rPr>
      </w:pPr>
      <w:r>
        <w:rPr>
          <w:rFonts w:hint="eastAsia" w:hAnsi="宋体"/>
          <w:color w:val="auto"/>
          <w:highlight w:val="none"/>
        </w:rPr>
        <w:t>（</w:t>
      </w:r>
      <w:r>
        <w:rPr>
          <w:rFonts w:hAnsi="宋体"/>
          <w:color w:val="auto"/>
          <w:highlight w:val="none"/>
        </w:rPr>
        <w:t>2</w:t>
      </w:r>
      <w:r>
        <w:rPr>
          <w:rFonts w:hint="eastAsia" w:hAnsi="宋体"/>
          <w:color w:val="auto"/>
          <w:highlight w:val="none"/>
        </w:rPr>
        <w:t>）如果中标供应商不按中标通知书中规定签订合同，则按中标供应商违约处理。采购代理机构将没收中标供应商投标的全部投标保证金并上缴同级财政国库。</w:t>
      </w:r>
    </w:p>
    <w:p>
      <w:pPr>
        <w:pStyle w:val="31"/>
        <w:shd w:val="clear"/>
        <w:spacing w:line="400" w:lineRule="exact"/>
        <w:ind w:firstLine="420"/>
        <w:rPr>
          <w:rFonts w:hAnsi="宋体"/>
          <w:color w:val="auto"/>
          <w:highlight w:val="none"/>
        </w:rPr>
      </w:pPr>
      <w:r>
        <w:rPr>
          <w:rFonts w:hint="eastAsia" w:hAnsi="宋体"/>
          <w:color w:val="auto"/>
          <w:highlight w:val="none"/>
        </w:rPr>
        <w:t>（</w:t>
      </w:r>
      <w:r>
        <w:rPr>
          <w:rFonts w:hAnsi="宋体"/>
          <w:color w:val="auto"/>
          <w:highlight w:val="none"/>
        </w:rPr>
        <w:t>3</w:t>
      </w:r>
      <w:r>
        <w:rPr>
          <w:rFonts w:hint="eastAsia" w:hAnsi="宋体"/>
          <w:color w:val="auto"/>
          <w:highlight w:val="none"/>
        </w:rPr>
        <w:t>）中标供应商因不可抗力或者自身原因不能履行政府采购合同的，采购人可以与中标供应商之后排名第一的中标候选供应商签订采购合同，以此类推。</w:t>
      </w:r>
      <w:r>
        <w:rPr>
          <w:rFonts w:hint="eastAsia" w:hAnsi="宋体"/>
          <w:bCs/>
          <w:color w:val="auto"/>
          <w:highlight w:val="none"/>
        </w:rPr>
        <w:t>采购人也可以重新开展采购活动。</w:t>
      </w:r>
    </w:p>
    <w:p>
      <w:pPr>
        <w:pStyle w:val="31"/>
        <w:shd w:val="clear"/>
        <w:snapToGrid w:val="0"/>
        <w:spacing w:line="460" w:lineRule="exact"/>
        <w:ind w:firstLine="236" w:firstLineChars="98"/>
        <w:jc w:val="center"/>
        <w:rPr>
          <w:rFonts w:hAnsi="宋体"/>
          <w:b/>
          <w:color w:val="auto"/>
          <w:sz w:val="24"/>
          <w:szCs w:val="24"/>
          <w:highlight w:val="none"/>
        </w:rPr>
      </w:pPr>
    </w:p>
    <w:p>
      <w:pPr>
        <w:pStyle w:val="31"/>
        <w:shd w:val="clear"/>
        <w:snapToGrid w:val="0"/>
        <w:spacing w:line="460" w:lineRule="exact"/>
        <w:ind w:firstLine="236" w:firstLineChars="98"/>
        <w:jc w:val="center"/>
        <w:rPr>
          <w:rFonts w:hAnsi="宋体"/>
          <w:b/>
          <w:color w:val="auto"/>
          <w:sz w:val="24"/>
          <w:szCs w:val="24"/>
          <w:highlight w:val="none"/>
        </w:rPr>
      </w:pPr>
      <w:r>
        <w:rPr>
          <w:rFonts w:hint="eastAsia" w:hAnsi="宋体"/>
          <w:b/>
          <w:color w:val="auto"/>
          <w:sz w:val="24"/>
          <w:szCs w:val="24"/>
          <w:highlight w:val="none"/>
        </w:rPr>
        <w:t>八、其他事项</w:t>
      </w:r>
    </w:p>
    <w:p>
      <w:pPr>
        <w:pStyle w:val="31"/>
        <w:shd w:val="clear"/>
        <w:spacing w:line="460" w:lineRule="exact"/>
        <w:ind w:firstLine="420"/>
        <w:rPr>
          <w:rFonts w:ascii="Times New Roman" w:hAnsi="宋体" w:cs="Times New Roman"/>
          <w:b/>
          <w:color w:val="auto"/>
          <w:szCs w:val="24"/>
          <w:highlight w:val="none"/>
          <w:u w:val="single"/>
        </w:rPr>
      </w:pPr>
      <w:r>
        <w:rPr>
          <w:rFonts w:hint="eastAsia" w:hAnsi="宋体"/>
          <w:color w:val="auto"/>
          <w:sz w:val="24"/>
          <w:szCs w:val="24"/>
          <w:highlight w:val="none"/>
        </w:rPr>
        <w:t>（</w:t>
      </w:r>
      <w:r>
        <w:rPr>
          <w:rFonts w:hAnsi="宋体"/>
          <w:color w:val="auto"/>
          <w:highlight w:val="none"/>
        </w:rPr>
        <w:t>1</w:t>
      </w:r>
      <w:r>
        <w:rPr>
          <w:rFonts w:hint="eastAsia" w:hAnsi="宋体"/>
          <w:color w:val="auto"/>
          <w:highlight w:val="none"/>
        </w:rPr>
        <w:t>）招标代理服务费</w:t>
      </w:r>
      <w:bookmarkStart w:id="53" w:name="_Toc254970689"/>
      <w:bookmarkStart w:id="54" w:name="_Toc254970548"/>
      <w:r>
        <w:rPr>
          <w:rFonts w:hint="eastAsia" w:ascii="Times New Roman" w:hAnsi="宋体" w:cs="Times New Roman"/>
          <w:color w:val="auto"/>
          <w:szCs w:val="24"/>
          <w:highlight w:val="none"/>
        </w:rPr>
        <w:t>：</w:t>
      </w:r>
      <w:r>
        <w:rPr>
          <w:rFonts w:hint="eastAsia" w:ascii="Times New Roman" w:hAnsi="宋体" w:cs="Times New Roman"/>
          <w:b/>
          <w:color w:val="auto"/>
          <w:szCs w:val="24"/>
          <w:highlight w:val="none"/>
          <w:u w:val="single"/>
        </w:rPr>
        <w:t>由招标人支付，按国家发展改革委调整招标代理服务收费</w:t>
      </w:r>
      <w:r>
        <w:rPr>
          <w:rFonts w:ascii="Times New Roman" w:hAnsi="宋体" w:cs="Times New Roman"/>
          <w:b/>
          <w:color w:val="auto"/>
          <w:szCs w:val="24"/>
          <w:highlight w:val="none"/>
          <w:u w:val="single"/>
        </w:rPr>
        <w:t>(</w:t>
      </w:r>
      <w:r>
        <w:rPr>
          <w:rFonts w:hint="eastAsia" w:ascii="Times New Roman" w:hAnsi="宋体" w:cs="Times New Roman"/>
          <w:b/>
          <w:color w:val="auto"/>
          <w:szCs w:val="24"/>
          <w:highlight w:val="none"/>
          <w:u w:val="single"/>
        </w:rPr>
        <w:t>发改价格</w:t>
      </w:r>
      <w:r>
        <w:rPr>
          <w:rFonts w:ascii="Times New Roman" w:hAnsi="宋体" w:cs="Times New Roman"/>
          <w:b/>
          <w:color w:val="auto"/>
          <w:szCs w:val="24"/>
          <w:highlight w:val="none"/>
          <w:u w:val="single"/>
        </w:rPr>
        <w:t>[2011]534</w:t>
      </w:r>
      <w:r>
        <w:rPr>
          <w:rFonts w:hint="eastAsia" w:ascii="Times New Roman" w:hAnsi="宋体" w:cs="Times New Roman"/>
          <w:b/>
          <w:color w:val="auto"/>
          <w:szCs w:val="24"/>
          <w:highlight w:val="none"/>
          <w:u w:val="single"/>
        </w:rPr>
        <w:t>号</w:t>
      </w:r>
      <w:r>
        <w:rPr>
          <w:rFonts w:ascii="Times New Roman" w:hAnsi="宋体" w:cs="Times New Roman"/>
          <w:b/>
          <w:color w:val="auto"/>
          <w:szCs w:val="24"/>
          <w:highlight w:val="none"/>
          <w:u w:val="single"/>
        </w:rPr>
        <w:t>)</w:t>
      </w:r>
      <w:r>
        <w:rPr>
          <w:rFonts w:hint="eastAsia" w:ascii="Times New Roman" w:hAnsi="宋体" w:cs="Times New Roman"/>
          <w:b/>
          <w:color w:val="auto"/>
          <w:szCs w:val="24"/>
          <w:highlight w:val="none"/>
          <w:u w:val="single"/>
        </w:rPr>
        <w:t>规定标准计取，一次性向招标代理机构支付。</w:t>
      </w:r>
    </w:p>
    <w:p>
      <w:pPr>
        <w:shd w:val="clear"/>
        <w:snapToGrid w:val="0"/>
        <w:spacing w:line="420" w:lineRule="exact"/>
        <w:ind w:firstLine="474" w:firstLineChars="225"/>
        <w:rPr>
          <w:rFonts w:ascii="宋体" w:hAnsi="宋体" w:cs="Arial"/>
          <w:b/>
          <w:color w:val="auto"/>
          <w:szCs w:val="21"/>
          <w:highlight w:val="none"/>
        </w:rPr>
      </w:pPr>
      <w:r>
        <w:rPr>
          <w:rFonts w:hint="eastAsia" w:ascii="宋体" w:hAnsi="宋体" w:cs="Arial"/>
          <w:b/>
          <w:color w:val="auto"/>
          <w:szCs w:val="21"/>
          <w:highlight w:val="none"/>
        </w:rPr>
        <w:t>（</w:t>
      </w:r>
      <w:r>
        <w:rPr>
          <w:rFonts w:ascii="宋体" w:hAnsi="宋体" w:cs="Arial"/>
          <w:b/>
          <w:color w:val="auto"/>
          <w:szCs w:val="21"/>
          <w:highlight w:val="none"/>
        </w:rPr>
        <w:t>2</w:t>
      </w:r>
      <w:r>
        <w:rPr>
          <w:rFonts w:hint="eastAsia" w:ascii="宋体" w:hAnsi="宋体" w:cs="Arial"/>
          <w:b/>
          <w:color w:val="auto"/>
          <w:szCs w:val="21"/>
          <w:highlight w:val="none"/>
        </w:rPr>
        <w:t>）</w:t>
      </w:r>
      <w:r>
        <w:rPr>
          <w:rFonts w:ascii="宋体" w:hAnsi="宋体" w:cs="Arial"/>
          <w:b/>
          <w:color w:val="auto"/>
          <w:szCs w:val="21"/>
          <w:highlight w:val="none"/>
        </w:rPr>
        <w:t>本项目允许分公司参与投标，如为分公司参与投标的需提供具有法人资格的总公司的营业执照副本复印件及授权书，授权书须加盖总公司公章，总公司可就本项目在一定范围及时间内出具授权书，已由总公司授权的，总公司取得的相关资质证书对分公司有效，法律法规或者行业另有规定的除外。</w:t>
      </w:r>
    </w:p>
    <w:p>
      <w:pPr>
        <w:pStyle w:val="31"/>
        <w:shd w:val="clear"/>
        <w:spacing w:line="460" w:lineRule="exact"/>
        <w:ind w:firstLine="420"/>
        <w:rPr>
          <w:rFonts w:ascii="Times New Roman" w:hAnsi="宋体" w:cs="Times New Roman"/>
          <w:b/>
          <w:color w:val="auto"/>
          <w:szCs w:val="24"/>
          <w:highlight w:val="none"/>
          <w:u w:val="single"/>
        </w:rPr>
      </w:pPr>
    </w:p>
    <w:p>
      <w:pPr>
        <w:pStyle w:val="31"/>
        <w:shd w:val="clear"/>
        <w:spacing w:line="460" w:lineRule="exact"/>
        <w:ind w:firstLine="420"/>
        <w:rPr>
          <w:rFonts w:hAnsi="宋体"/>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bookmarkStart w:id="55" w:name="_Toc496718679"/>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31"/>
        <w:shd w:val="clear"/>
        <w:snapToGrid w:val="0"/>
        <w:jc w:val="center"/>
        <w:outlineLvl w:val="0"/>
        <w:rPr>
          <w:rFonts w:hAnsi="宋体"/>
          <w:b/>
          <w:color w:val="auto"/>
          <w:sz w:val="44"/>
          <w:szCs w:val="44"/>
          <w:highlight w:val="none"/>
        </w:rPr>
      </w:pPr>
      <w:r>
        <w:rPr>
          <w:rFonts w:hint="eastAsia" w:hAnsi="宋体"/>
          <w:b/>
          <w:color w:val="auto"/>
          <w:sz w:val="44"/>
          <w:szCs w:val="44"/>
          <w:highlight w:val="none"/>
        </w:rPr>
        <w:t>第四章 评标办法及评分标准</w:t>
      </w:r>
      <w:bookmarkEnd w:id="53"/>
      <w:bookmarkEnd w:id="54"/>
      <w:bookmarkEnd w:id="55"/>
    </w:p>
    <w:p>
      <w:pPr>
        <w:shd w:val="clear"/>
        <w:rPr>
          <w:color w:val="auto"/>
          <w:highlight w:val="none"/>
        </w:rPr>
      </w:pPr>
      <w:bookmarkStart w:id="56" w:name="_Toc254970549"/>
      <w:bookmarkStart w:id="57" w:name="_Toc254970690"/>
    </w:p>
    <w:p>
      <w:pPr>
        <w:shd w:val="clear"/>
        <w:spacing w:line="460" w:lineRule="exact"/>
        <w:ind w:firstLine="420" w:firstLineChars="200"/>
        <w:jc w:val="center"/>
        <w:outlineLvl w:val="0"/>
        <w:rPr>
          <w:rFonts w:hAnsi="宋体"/>
          <w:b/>
          <w:bCs/>
          <w:color w:val="auto"/>
          <w:highlight w:val="none"/>
        </w:rPr>
      </w:pPr>
      <w:r>
        <w:rPr>
          <w:rFonts w:ascii="宋体"/>
          <w:color w:val="auto"/>
          <w:highlight w:val="none"/>
        </w:rPr>
        <w:br w:type="page"/>
      </w:r>
      <w:bookmarkEnd w:id="56"/>
      <w:bookmarkEnd w:id="57"/>
      <w:r>
        <w:rPr>
          <w:rFonts w:hint="eastAsia" w:ascii="宋体" w:hAnsi="宋体"/>
          <w:b/>
          <w:color w:val="auto"/>
          <w:sz w:val="32"/>
          <w:highlight w:val="none"/>
        </w:rPr>
        <w:t>评标方法和评标标准（综合评分法）</w:t>
      </w:r>
    </w:p>
    <w:p>
      <w:pPr>
        <w:shd w:val="clear"/>
        <w:spacing w:before="120" w:line="360" w:lineRule="auto"/>
        <w:ind w:firstLine="422" w:firstLineChars="200"/>
        <w:rPr>
          <w:rFonts w:hAnsi="宋体"/>
          <w:bCs/>
          <w:color w:val="auto"/>
          <w:highlight w:val="none"/>
        </w:rPr>
      </w:pPr>
      <w:r>
        <w:rPr>
          <w:rFonts w:hint="eastAsia" w:hAnsi="宋体"/>
          <w:b/>
          <w:bCs/>
          <w:color w:val="auto"/>
          <w:highlight w:val="none"/>
        </w:rPr>
        <w:t>一、</w:t>
      </w:r>
      <w:r>
        <w:rPr>
          <w:rFonts w:hint="eastAsia" w:hAnsi="宋体"/>
          <w:b/>
          <w:color w:val="auto"/>
          <w:highlight w:val="none"/>
        </w:rPr>
        <w:t>评委</w:t>
      </w:r>
      <w:r>
        <w:rPr>
          <w:rFonts w:hint="eastAsia" w:hAnsi="宋体"/>
          <w:b/>
          <w:bCs/>
          <w:color w:val="auto"/>
          <w:highlight w:val="none"/>
        </w:rPr>
        <w:t>构成</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（一）评标委员会依法由5人以上单数相关的专家、采购单位代表等构成。其中专家评委不少于总数的三分之二。</w:t>
      </w:r>
    </w:p>
    <w:p>
      <w:pPr>
        <w:shd w:val="clear"/>
        <w:spacing w:before="120" w:line="360" w:lineRule="auto"/>
        <w:ind w:firstLine="422" w:firstLineChars="200"/>
        <w:rPr>
          <w:b/>
          <w:bCs/>
          <w:color w:val="auto"/>
          <w:highlight w:val="none"/>
        </w:rPr>
      </w:pPr>
      <w:r>
        <w:rPr>
          <w:rFonts w:hint="eastAsia"/>
          <w:b/>
          <w:bCs/>
          <w:color w:val="auto"/>
          <w:highlight w:val="none"/>
        </w:rPr>
        <w:t>二、评标原则</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一）以不公开方式进行评标；评委必须公平、公正、客观，不带任何倾向性；不得向外界透露任何与评标有关的内容；任何单位和个人不得干扰、影响评标的正常进行；评委及有关工作人员不得私下与投标人接触。</w:t>
      </w:r>
    </w:p>
    <w:p>
      <w:pPr>
        <w:shd w:val="clear"/>
        <w:spacing w:before="120" w:line="360" w:lineRule="auto"/>
        <w:ind w:firstLine="422" w:firstLineChars="200"/>
        <w:rPr>
          <w:b/>
          <w:bCs/>
          <w:color w:val="auto"/>
          <w:highlight w:val="none"/>
        </w:rPr>
      </w:pPr>
      <w:r>
        <w:rPr>
          <w:rFonts w:hint="eastAsia"/>
          <w:b/>
          <w:bCs/>
          <w:color w:val="auto"/>
          <w:highlight w:val="none"/>
        </w:rPr>
        <w:t>三、评标依据</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一）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（二）评标委员会将以招投标文件为评标依据，对投标人的投标报价、设备性能及配置、售后服务、信誉及业绩、政策功能等方面内容按百分制（保留两位小数）评分。</w:t>
      </w:r>
      <w:r>
        <w:rPr>
          <w:rFonts w:hint="eastAsia" w:ascii="宋体" w:hAnsi="宋体"/>
          <w:bCs/>
          <w:color w:val="auto"/>
          <w:kern w:val="0"/>
          <w:szCs w:val="21"/>
          <w:highlight w:val="none"/>
        </w:rPr>
        <w:t>由评委在打分前集体讨论确定各档次评定标准，按此标准确定各投标人所属档次打分。</w:t>
      </w:r>
    </w:p>
    <w:p>
      <w:pPr>
        <w:shd w:val="clear"/>
        <w:spacing w:before="120" w:line="360" w:lineRule="auto"/>
        <w:ind w:firstLine="422" w:firstLineChars="200"/>
        <w:rPr>
          <w:b/>
          <w:bCs/>
          <w:color w:val="auto"/>
          <w:highlight w:val="none"/>
        </w:rPr>
      </w:pPr>
      <w:r>
        <w:rPr>
          <w:rFonts w:hint="eastAsia"/>
          <w:b/>
          <w:bCs/>
          <w:color w:val="auto"/>
          <w:highlight w:val="none"/>
        </w:rPr>
        <w:t>四、中标标准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（一）评标委员会根据评标办法进行综合评分，作出评标报告并推荐合格的中标候选人。</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（二）评标委员会按总得分高低顺序推荐前3名，依次为第一、二、三中标候选人，经审查后定标。</w:t>
      </w:r>
    </w:p>
    <w:p>
      <w:pPr>
        <w:shd w:val="clear"/>
        <w:spacing w:before="120" w:line="360" w:lineRule="auto"/>
        <w:ind w:firstLine="422" w:firstLineChars="200"/>
        <w:rPr>
          <w:b/>
          <w:bCs/>
          <w:color w:val="auto"/>
          <w:highlight w:val="none"/>
        </w:rPr>
      </w:pPr>
      <w:r>
        <w:rPr>
          <w:rFonts w:hint="eastAsia"/>
          <w:b/>
          <w:bCs/>
          <w:color w:val="auto"/>
          <w:highlight w:val="none"/>
        </w:rPr>
        <w:t>五、评标程序</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（一）对投标文件的商务性和技术性文件进行初步审查评议。</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（二）根据评分办法，对满足招标文件要求的投标文件进行综合评分。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（三）复核、计算并汇总。</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（四）撰写评标报告和推荐中标候选人。</w:t>
      </w:r>
    </w:p>
    <w:p>
      <w:pPr>
        <w:shd w:val="clear"/>
        <w:spacing w:before="120" w:line="360" w:lineRule="auto"/>
        <w:ind w:firstLine="422" w:firstLineChars="200"/>
        <w:rPr>
          <w:b/>
          <w:bCs/>
          <w:color w:val="auto"/>
          <w:highlight w:val="none"/>
        </w:rPr>
      </w:pPr>
      <w:r>
        <w:rPr>
          <w:rFonts w:hint="eastAsia"/>
          <w:b/>
          <w:bCs/>
          <w:color w:val="auto"/>
          <w:highlight w:val="none"/>
        </w:rPr>
        <w:t>六、评分办法</w:t>
      </w:r>
    </w:p>
    <w:p>
      <w:pPr>
        <w:shd w:val="clear"/>
        <w:spacing w:line="360" w:lineRule="auto"/>
        <w:ind w:firstLine="420"/>
        <w:rPr>
          <w:rFonts w:ascii="宋体" w:hAnsi="宋体"/>
          <w:bCs/>
          <w:color w:val="auto"/>
          <w:kern w:val="0"/>
          <w:szCs w:val="21"/>
          <w:highlight w:val="none"/>
        </w:rPr>
      </w:pPr>
      <w:r>
        <w:rPr>
          <w:rFonts w:hint="eastAsia" w:ascii="宋体" w:hAnsi="宋体"/>
          <w:b/>
          <w:bCs/>
          <w:color w:val="auto"/>
          <w:kern w:val="0"/>
          <w:szCs w:val="21"/>
          <w:highlight w:val="none"/>
        </w:rPr>
        <w:t>1、价格分…………………………………………………………………………30分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1</w:t>
      </w:r>
      <w:r>
        <w:rPr>
          <w:rFonts w:hint="eastAsia" w:ascii="宋体" w:hAnsi="宋体"/>
          <w:bCs/>
          <w:color w:val="auto"/>
          <w:kern w:val="0"/>
          <w:szCs w:val="21"/>
          <w:highlight w:val="none"/>
        </w:rPr>
        <w:t>）评标价为投标人的投标报价进行政策性扣除后的价格，评标价只是作为评标时使用。最终中标人的中标金额＝投标报价。</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2</w:t>
      </w:r>
      <w:r>
        <w:rPr>
          <w:rFonts w:hint="eastAsia" w:ascii="宋体" w:hAnsi="宋体"/>
          <w:bCs/>
          <w:color w:val="auto"/>
          <w:kern w:val="0"/>
          <w:szCs w:val="21"/>
          <w:highlight w:val="none"/>
        </w:rPr>
        <w:t>）按照《政府采购促进中小企业发展暂行办法》（财库[2011]181号），投标人认定为小型和微型企业的（投标人如实填写中小企业声明函，否则不予价格扣除），对竞标价给予6%的扣除，扣除后的价格为评标报价，即评标报价=最终竞标报价×（1-6%）；</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3</w:t>
      </w:r>
      <w:r>
        <w:rPr>
          <w:rFonts w:hint="eastAsia" w:ascii="宋体" w:hAnsi="宋体"/>
          <w:bCs/>
          <w:color w:val="auto"/>
          <w:kern w:val="0"/>
          <w:szCs w:val="21"/>
          <w:highlight w:val="none"/>
        </w:rPr>
        <w:t>）按照《财政部、司法部关于政府采购支持监狱企业发展有关问题的通知》（财库〔</w:t>
      </w:r>
      <w:r>
        <w:rPr>
          <w:rFonts w:ascii="宋体" w:hAnsi="宋体"/>
          <w:bCs/>
          <w:color w:val="auto"/>
          <w:kern w:val="0"/>
          <w:szCs w:val="21"/>
          <w:highlight w:val="none"/>
        </w:rPr>
        <w:t>2014</w:t>
      </w:r>
      <w:r>
        <w:rPr>
          <w:rFonts w:hint="eastAsia" w:ascii="宋体" w:hAnsi="宋体"/>
          <w:bCs/>
          <w:color w:val="auto"/>
          <w:kern w:val="0"/>
          <w:szCs w:val="21"/>
          <w:highlight w:val="none"/>
        </w:rPr>
        <w:t>〕</w:t>
      </w:r>
      <w:r>
        <w:rPr>
          <w:rFonts w:ascii="宋体" w:hAnsi="宋体"/>
          <w:bCs/>
          <w:color w:val="auto"/>
          <w:kern w:val="0"/>
          <w:szCs w:val="21"/>
          <w:highlight w:val="none"/>
        </w:rPr>
        <w:t>68</w:t>
      </w:r>
      <w:r>
        <w:rPr>
          <w:rFonts w:hint="eastAsia" w:ascii="宋体" w:hAnsi="宋体"/>
          <w:bCs/>
          <w:color w:val="auto"/>
          <w:kern w:val="0"/>
          <w:szCs w:val="21"/>
          <w:highlight w:val="none"/>
        </w:rPr>
        <w:t>号）的规定，监狱企业视同小型、微型企业，享受预留份额、评审中价格扣除等促进中小企业发展的政府采购政策。监狱企业参加政府采购活动时，应当提供由省级以上监狱管理局、戒毒管理局</w:t>
      </w:r>
      <w:r>
        <w:rPr>
          <w:rFonts w:ascii="宋体" w:hAnsi="宋体"/>
          <w:bCs/>
          <w:color w:val="auto"/>
          <w:kern w:val="0"/>
          <w:szCs w:val="21"/>
          <w:highlight w:val="none"/>
        </w:rPr>
        <w:t>(</w:t>
      </w:r>
      <w:r>
        <w:rPr>
          <w:rFonts w:hint="eastAsia" w:ascii="宋体" w:hAnsi="宋体"/>
          <w:bCs/>
          <w:color w:val="auto"/>
          <w:kern w:val="0"/>
          <w:szCs w:val="21"/>
          <w:highlight w:val="none"/>
        </w:rPr>
        <w:t>含新疆生产建设兵团</w:t>
      </w:r>
      <w:r>
        <w:rPr>
          <w:rFonts w:ascii="宋体" w:hAnsi="宋体"/>
          <w:bCs/>
          <w:color w:val="auto"/>
          <w:kern w:val="0"/>
          <w:szCs w:val="21"/>
          <w:highlight w:val="none"/>
        </w:rPr>
        <w:t>)</w:t>
      </w:r>
      <w:r>
        <w:rPr>
          <w:rFonts w:hint="eastAsia" w:ascii="宋体" w:hAnsi="宋体"/>
          <w:bCs/>
          <w:color w:val="auto"/>
          <w:kern w:val="0"/>
          <w:szCs w:val="21"/>
          <w:highlight w:val="none"/>
        </w:rPr>
        <w:t>出具的属于监狱企业的证明文件。</w:t>
      </w:r>
    </w:p>
    <w:p>
      <w:pPr>
        <w:shd w:val="clear"/>
        <w:spacing w:line="360" w:lineRule="auto"/>
        <w:ind w:firstLine="525" w:firstLineChars="25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4</w:t>
      </w:r>
      <w:r>
        <w:rPr>
          <w:rFonts w:hint="eastAsia" w:ascii="宋体" w:hAnsi="宋体"/>
          <w:bCs/>
          <w:color w:val="auto"/>
          <w:kern w:val="0"/>
          <w:szCs w:val="21"/>
          <w:highlight w:val="none"/>
        </w:rPr>
        <w:t>）按照《关于促进残疾人就业政府采购政策的通知》（财库〔</w:t>
      </w:r>
      <w:r>
        <w:rPr>
          <w:rFonts w:ascii="宋体" w:hAnsi="宋体"/>
          <w:bCs/>
          <w:color w:val="auto"/>
          <w:kern w:val="0"/>
          <w:szCs w:val="21"/>
          <w:highlight w:val="none"/>
        </w:rPr>
        <w:t>2017</w:t>
      </w:r>
      <w:r>
        <w:rPr>
          <w:rFonts w:hint="eastAsia" w:ascii="宋体" w:hAnsi="宋体"/>
          <w:bCs/>
          <w:color w:val="auto"/>
          <w:kern w:val="0"/>
          <w:szCs w:val="21"/>
          <w:highlight w:val="none"/>
        </w:rPr>
        <w:t>〕</w:t>
      </w:r>
      <w:r>
        <w:rPr>
          <w:rFonts w:ascii="宋体" w:hAnsi="宋体"/>
          <w:bCs/>
          <w:color w:val="auto"/>
          <w:kern w:val="0"/>
          <w:szCs w:val="21"/>
          <w:highlight w:val="none"/>
        </w:rPr>
        <w:t>141</w:t>
      </w:r>
      <w:r>
        <w:rPr>
          <w:rFonts w:hint="eastAsia" w:ascii="宋体" w:hAnsi="宋体"/>
          <w:bCs/>
          <w:color w:val="auto"/>
          <w:kern w:val="0"/>
          <w:szCs w:val="21"/>
          <w:highlight w:val="none"/>
        </w:rPr>
        <w:t>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w:t>
      </w:r>
      <w:r>
        <w:rPr>
          <w:rFonts w:ascii="宋体" w:hAnsi="宋体"/>
          <w:bCs/>
          <w:color w:val="auto"/>
          <w:kern w:val="0"/>
          <w:szCs w:val="21"/>
          <w:highlight w:val="none"/>
        </w:rPr>
        <w:t>5</w:t>
      </w:r>
      <w:r>
        <w:rPr>
          <w:rFonts w:hint="eastAsia" w:ascii="宋体" w:hAnsi="宋体"/>
          <w:bCs/>
          <w:color w:val="auto"/>
          <w:kern w:val="0"/>
          <w:szCs w:val="21"/>
          <w:highlight w:val="none"/>
        </w:rPr>
        <w:t>）政策性扣除计算方法。</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投标人被认定为监狱企业或残疾人福利性单位或小型和微型企业且其所投标产品为小型和微型企业产品的，该投标人的投标报价给予</w:t>
      </w:r>
      <w:r>
        <w:rPr>
          <w:rFonts w:ascii="宋体" w:hAnsi="宋体"/>
          <w:bCs/>
          <w:color w:val="auto"/>
          <w:kern w:val="0"/>
          <w:szCs w:val="21"/>
          <w:highlight w:val="none"/>
        </w:rPr>
        <w:t>6%</w:t>
      </w:r>
      <w:r>
        <w:rPr>
          <w:rFonts w:hint="eastAsia" w:ascii="宋体" w:hAnsi="宋体"/>
          <w:bCs/>
          <w:color w:val="auto"/>
          <w:kern w:val="0"/>
          <w:szCs w:val="21"/>
          <w:highlight w:val="none"/>
        </w:rPr>
        <w:t>的扣除，扣除后的价格为评标报价，即评标报价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r>
        <w:rPr>
          <w:rFonts w:ascii="宋体" w:hAnsi="宋体"/>
          <w:bCs/>
          <w:color w:val="auto"/>
          <w:kern w:val="0"/>
          <w:szCs w:val="21"/>
          <w:highlight w:val="none"/>
        </w:rPr>
        <w:t>1-6%</w:t>
      </w:r>
      <w:r>
        <w:rPr>
          <w:rFonts w:hint="eastAsia" w:ascii="宋体" w:hAnsi="宋体"/>
          <w:bCs/>
          <w:color w:val="auto"/>
          <w:kern w:val="0"/>
          <w:szCs w:val="21"/>
          <w:highlight w:val="none"/>
        </w:rPr>
        <w:t xml:space="preserve">）；大中型企业和其他自然人、法人或者其他组织与小型、微型企业组成联合体投标，且联合体协议中约定小型、微型企业的协议合同金额占到联合体协议合同总金额 </w:t>
      </w:r>
      <w:r>
        <w:rPr>
          <w:rFonts w:ascii="宋体" w:hAnsi="宋体"/>
          <w:bCs/>
          <w:color w:val="auto"/>
          <w:kern w:val="0"/>
          <w:szCs w:val="21"/>
          <w:highlight w:val="none"/>
        </w:rPr>
        <w:t>30%</w:t>
      </w:r>
      <w:r>
        <w:rPr>
          <w:rFonts w:hint="eastAsia" w:ascii="宋体" w:hAnsi="宋体"/>
          <w:bCs/>
          <w:color w:val="auto"/>
          <w:kern w:val="0"/>
          <w:szCs w:val="21"/>
          <w:highlight w:val="none"/>
        </w:rPr>
        <w:t>以上的，联合体投标价给予</w:t>
      </w:r>
      <w:r>
        <w:rPr>
          <w:rFonts w:ascii="宋体" w:hAnsi="宋体"/>
          <w:bCs/>
          <w:color w:val="auto"/>
          <w:kern w:val="0"/>
          <w:szCs w:val="21"/>
          <w:highlight w:val="none"/>
        </w:rPr>
        <w:t>2%</w:t>
      </w:r>
      <w:r>
        <w:rPr>
          <w:rFonts w:hint="eastAsia" w:ascii="宋体" w:hAnsi="宋体"/>
          <w:bCs/>
          <w:color w:val="auto"/>
          <w:kern w:val="0"/>
          <w:szCs w:val="21"/>
          <w:highlight w:val="none"/>
        </w:rPr>
        <w:t>的扣除，扣除后的价格为评标价，即评标报价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r>
        <w:rPr>
          <w:rFonts w:ascii="宋体" w:hAnsi="宋体"/>
          <w:bCs/>
          <w:color w:val="auto"/>
          <w:kern w:val="0"/>
          <w:szCs w:val="21"/>
          <w:highlight w:val="none"/>
        </w:rPr>
        <w:t>1-2%</w:t>
      </w:r>
      <w:r>
        <w:rPr>
          <w:rFonts w:hint="eastAsia" w:ascii="宋体" w:hAnsi="宋体"/>
          <w:bCs/>
          <w:color w:val="auto"/>
          <w:kern w:val="0"/>
          <w:szCs w:val="21"/>
          <w:highlight w:val="none"/>
        </w:rPr>
        <w:t>）；除上述情况外，评标报价</w:t>
      </w:r>
      <w:r>
        <w:rPr>
          <w:rFonts w:ascii="宋体" w:hAnsi="宋体"/>
          <w:bCs/>
          <w:color w:val="auto"/>
          <w:kern w:val="0"/>
          <w:szCs w:val="21"/>
          <w:highlight w:val="none"/>
        </w:rPr>
        <w:t>=</w:t>
      </w:r>
      <w:r>
        <w:rPr>
          <w:rFonts w:hint="eastAsia" w:ascii="宋体" w:hAnsi="宋体"/>
          <w:bCs/>
          <w:color w:val="auto"/>
          <w:kern w:val="0"/>
          <w:szCs w:val="21"/>
          <w:highlight w:val="none"/>
        </w:rPr>
        <w:t>投标报价。</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（6）以进入综合评分环节的最低的评标报价为基准价，基准价报价得分为30分。</w:t>
      </w:r>
    </w:p>
    <w:p>
      <w:pPr>
        <w:shd w:val="clear"/>
        <w:spacing w:line="360" w:lineRule="auto"/>
        <w:ind w:firstLine="420" w:firstLineChars="200"/>
        <w:rPr>
          <w:rFonts w:hAnsi="宋体"/>
          <w:bCs/>
          <w:color w:val="auto"/>
          <w:highlight w:val="none"/>
        </w:rPr>
      </w:pPr>
      <w:r>
        <w:rPr>
          <w:rFonts w:hint="eastAsia" w:ascii="宋体" w:hAnsi="宋体"/>
          <w:bCs/>
          <w:color w:val="auto"/>
          <w:kern w:val="0"/>
          <w:szCs w:val="21"/>
          <w:highlight w:val="none"/>
        </w:rPr>
        <w:t>（7）</w:t>
      </w:r>
      <w:r>
        <w:rPr>
          <w:rFonts w:hint="eastAsia" w:hAnsi="宋体"/>
          <w:bCs/>
          <w:color w:val="auto"/>
          <w:highlight w:val="none"/>
        </w:rPr>
        <w:t>特别说明：评标委员会认为</w:t>
      </w:r>
      <w:r>
        <w:rPr>
          <w:rFonts w:hint="eastAsia" w:ascii="宋体" w:hAnsi="宋体"/>
          <w:bCs/>
          <w:color w:val="auto"/>
          <w:kern w:val="0"/>
          <w:szCs w:val="21"/>
          <w:highlight w:val="none"/>
        </w:rPr>
        <w:t>投标人</w:t>
      </w:r>
      <w:r>
        <w:rPr>
          <w:rFonts w:hint="eastAsia" w:hAnsi="宋体"/>
          <w:bCs/>
          <w:color w:val="auto"/>
          <w:highlight w:val="none"/>
        </w:rPr>
        <w:t>的投标报价明显低于其他通过符合性审查竞标人的投标报价，有可能影响产品质量或者不能诚信履约的，应当要求其在评标现场合理的时间内提供书面说明，必要时提交相关证明材料（相关证明材料为：①行政机构税务部门开具的拟派项目人员的《依法缴纳个人所得税或依法免缴个人所得税的凭证(与本次竞标拟派项目人员所提供社保同月份)》；②2016年度-2018年度经第三方具备审计资质的机构出具的审计报告（包括其固定资产成本及折旧、管理成本、人工费成本（如人员工资、奖金、福利及差旅等费用）、税收等所有成本及利润）复印件（原件现场核查）；③竞标人在2017年1月1日至本项目招标公告发布之日至少承接过二个类似服务业绩(已通过合格验收的项目)的费用成本组成明细（并提供该中标通知书原件及合同原件进行现场核查）；投标人不能证明其竞标报价合理性的，评标委员会应当将其作为无效投标处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 xml:space="preserve">（8）价格分计算公式：        </w:t>
      </w:r>
    </w:p>
    <w:p>
      <w:pPr>
        <w:shd w:val="clear"/>
        <w:spacing w:line="360" w:lineRule="auto"/>
        <w:ind w:firstLine="420" w:firstLineChars="200"/>
        <w:rPr>
          <w:rFonts w:ascii="宋体" w:hAnsi="宋体" w:cs="Courier New"/>
          <w:bCs/>
          <w:color w:val="auto"/>
          <w:szCs w:val="21"/>
          <w:highlight w:val="none"/>
        </w:rPr>
      </w:pPr>
      <w:r>
        <w:rPr>
          <w:rFonts w:hint="eastAsia" w:ascii="宋体" w:hAnsi="宋体"/>
          <w:bCs/>
          <w:color w:val="auto"/>
          <w:kern w:val="0"/>
          <w:szCs w:val="21"/>
          <w:highlight w:val="none"/>
        </w:rPr>
        <w:t xml:space="preserve">某投标人价格分=投标人最低评标价金额/某投标人评标报价金额×30分 </w:t>
      </w:r>
    </w:p>
    <w:p>
      <w:pPr>
        <w:shd w:val="clea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2、设备性能及配置</w:t>
      </w:r>
      <w:r>
        <w:rPr>
          <w:rFonts w:ascii="宋体" w:hAnsi="宋体"/>
          <w:b/>
          <w:color w:val="auto"/>
          <w:szCs w:val="21"/>
          <w:highlight w:val="none"/>
        </w:rPr>
        <w:t>…………………………………………………………………………</w:t>
      </w:r>
      <w:r>
        <w:rPr>
          <w:rFonts w:hint="eastAsia" w:ascii="宋体" w:hAnsi="宋体"/>
          <w:b/>
          <w:color w:val="auto"/>
          <w:szCs w:val="21"/>
          <w:highlight w:val="none"/>
        </w:rPr>
        <w:t>15分</w:t>
      </w:r>
    </w:p>
    <w:p>
      <w:pPr>
        <w:shd w:val="clear"/>
        <w:spacing w:line="360" w:lineRule="auto"/>
        <w:ind w:firstLine="420"/>
        <w:rPr>
          <w:rFonts w:ascii="宋体" w:hAnsi="宋体"/>
          <w:color w:val="auto"/>
          <w:szCs w:val="20"/>
          <w:highlight w:val="none"/>
        </w:rPr>
      </w:pPr>
      <w:r>
        <w:rPr>
          <w:rFonts w:hint="eastAsia" w:ascii="宋体" w:hAnsi="宋体"/>
          <w:color w:val="auto"/>
          <w:szCs w:val="20"/>
          <w:highlight w:val="none"/>
        </w:rPr>
        <w:t>一档（5分）：基本符合招标文件要求，配置基本清楚或略有负偏离的，货物品牌、综合质量、性能、配置较为一般的。</w:t>
      </w:r>
    </w:p>
    <w:p>
      <w:pPr>
        <w:shd w:val="clear"/>
        <w:spacing w:line="360" w:lineRule="auto"/>
        <w:ind w:firstLine="420"/>
        <w:rPr>
          <w:rFonts w:ascii="宋体" w:hAnsi="宋体"/>
          <w:color w:val="auto"/>
          <w:szCs w:val="20"/>
          <w:highlight w:val="none"/>
        </w:rPr>
      </w:pPr>
      <w:r>
        <w:rPr>
          <w:rFonts w:hint="eastAsia" w:ascii="宋体" w:hAnsi="宋体"/>
          <w:color w:val="auto"/>
          <w:szCs w:val="20"/>
          <w:highlight w:val="none"/>
        </w:rPr>
        <w:t>二档（10分）：完全符合招标文件要求，主要技术参数及配置较详细，没有任何负偏离的，货物品牌、</w:t>
      </w:r>
      <w:bookmarkStart w:id="58" w:name="_Hlk491938222"/>
      <w:r>
        <w:rPr>
          <w:rFonts w:hint="eastAsia" w:ascii="宋体" w:hAnsi="宋体"/>
          <w:color w:val="auto"/>
          <w:szCs w:val="20"/>
          <w:highlight w:val="none"/>
        </w:rPr>
        <w:t>综合质量、性能、配置同比较好的</w:t>
      </w:r>
      <w:bookmarkEnd w:id="58"/>
      <w:r>
        <w:rPr>
          <w:rFonts w:hint="eastAsia" w:ascii="宋体" w:hAnsi="宋体"/>
          <w:color w:val="auto"/>
          <w:szCs w:val="20"/>
          <w:highlight w:val="none"/>
        </w:rPr>
        <w:t>。</w:t>
      </w:r>
    </w:p>
    <w:p>
      <w:pPr>
        <w:shd w:val="clear"/>
        <w:spacing w:line="360" w:lineRule="auto"/>
        <w:ind w:firstLine="420" w:firstLineChars="200"/>
        <w:rPr>
          <w:rFonts w:ascii="宋体" w:hAnsi="宋体"/>
          <w:bCs/>
          <w:color w:val="auto"/>
          <w:szCs w:val="20"/>
          <w:highlight w:val="none"/>
        </w:rPr>
      </w:pPr>
      <w:r>
        <w:rPr>
          <w:rFonts w:hint="eastAsia" w:ascii="宋体" w:hAnsi="宋体"/>
          <w:bCs/>
          <w:color w:val="auto"/>
          <w:szCs w:val="20"/>
          <w:highlight w:val="none"/>
        </w:rPr>
        <w:t>三档（15分）：完全符合招标文件要求，技术参数及配置详细，没有任何负偏离且主要货物主要技术指标（带</w:t>
      </w:r>
      <w:r>
        <w:rPr>
          <w:rFonts w:hint="eastAsia" w:ascii="宋体" w:hAnsi="宋体" w:cs="宋体"/>
          <w:bCs/>
          <w:color w:val="auto"/>
          <w:kern w:val="0"/>
          <w:szCs w:val="21"/>
          <w:highlight w:val="none"/>
        </w:rPr>
        <w:t>★指标）</w:t>
      </w:r>
      <w:r>
        <w:rPr>
          <w:rFonts w:hint="eastAsia" w:ascii="宋体" w:hAnsi="宋体"/>
          <w:bCs/>
          <w:color w:val="auto"/>
          <w:szCs w:val="20"/>
          <w:highlight w:val="none"/>
        </w:rPr>
        <w:t>明显高于招标文件要求（指对货物性能有显著提升，且属于可量化比较的数值偏离（如要求</w:t>
      </w:r>
      <w:r>
        <w:rPr>
          <w:rFonts w:hint="eastAsia" w:ascii="宋体" w:hAnsi="宋体" w:cs="宋体"/>
          <w:bCs/>
          <w:color w:val="auto"/>
          <w:kern w:val="0"/>
          <w:szCs w:val="21"/>
          <w:highlight w:val="none"/>
        </w:rPr>
        <w:t>≥10，响应为11））</w:t>
      </w:r>
      <w:r>
        <w:rPr>
          <w:rFonts w:hint="eastAsia" w:ascii="宋体" w:hAnsi="宋体"/>
          <w:bCs/>
          <w:color w:val="auto"/>
          <w:szCs w:val="20"/>
          <w:highlight w:val="none"/>
        </w:rPr>
        <w:t>或货物品牌、综合质量、性能、配置明显优于其他投标人且被评标委员会接受的。</w:t>
      </w:r>
    </w:p>
    <w:p>
      <w:pPr>
        <w:shd w:val="clear"/>
        <w:spacing w:line="360" w:lineRule="auto"/>
        <w:ind w:firstLine="422" w:firstLineChars="200"/>
        <w:rPr>
          <w:rFonts w:ascii="宋体" w:hAnsi="宋体"/>
          <w:b/>
          <w:color w:val="auto"/>
          <w:szCs w:val="21"/>
          <w:highlight w:val="none"/>
        </w:rPr>
      </w:pPr>
      <w:r>
        <w:rPr>
          <w:rFonts w:hint="eastAsia" w:ascii="宋体" w:hAnsi="宋体"/>
          <w:b/>
          <w:color w:val="auto"/>
          <w:szCs w:val="20"/>
          <w:highlight w:val="none"/>
        </w:rPr>
        <w:t>3.、项目设计方案</w:t>
      </w:r>
      <w:r>
        <w:rPr>
          <w:rFonts w:ascii="宋体" w:hAnsi="宋体"/>
          <w:b/>
          <w:color w:val="auto"/>
          <w:szCs w:val="21"/>
          <w:highlight w:val="none"/>
        </w:rPr>
        <w:t>………………………………………………………………………</w:t>
      </w:r>
      <w:r>
        <w:rPr>
          <w:rFonts w:hint="eastAsia" w:ascii="宋体" w:hAnsi="宋体"/>
          <w:b/>
          <w:color w:val="auto"/>
          <w:szCs w:val="21"/>
          <w:highlight w:val="none"/>
        </w:rPr>
        <w:t>12分</w:t>
      </w:r>
    </w:p>
    <w:p>
      <w:pPr>
        <w:shd w:val="clear"/>
        <w:spacing w:line="360" w:lineRule="auto"/>
        <w:ind w:firstLine="420" w:firstLineChars="200"/>
        <w:rPr>
          <w:rFonts w:ascii="宋体" w:hAnsi="宋体"/>
          <w:bCs/>
          <w:color w:val="auto"/>
          <w:szCs w:val="20"/>
          <w:highlight w:val="none"/>
        </w:rPr>
      </w:pPr>
      <w:r>
        <w:rPr>
          <w:rFonts w:hint="eastAsia" w:ascii="宋体" w:hAnsi="宋体"/>
          <w:bCs/>
          <w:color w:val="auto"/>
          <w:szCs w:val="20"/>
          <w:highlight w:val="none"/>
        </w:rPr>
        <w:t>一档（4分）：有简单的技术方案；有简单的设计图纸：综合布线平面走线图，机房平面布置图。</w:t>
      </w:r>
    </w:p>
    <w:p>
      <w:pPr>
        <w:shd w:val="clear"/>
        <w:spacing w:line="360" w:lineRule="auto"/>
        <w:ind w:firstLine="420" w:firstLineChars="200"/>
        <w:rPr>
          <w:rFonts w:ascii="宋体" w:hAnsi="宋体"/>
          <w:bCs/>
          <w:color w:val="auto"/>
          <w:szCs w:val="20"/>
          <w:highlight w:val="none"/>
        </w:rPr>
      </w:pPr>
      <w:r>
        <w:rPr>
          <w:rFonts w:hint="eastAsia" w:ascii="宋体" w:hAnsi="宋体"/>
          <w:bCs/>
          <w:color w:val="auto"/>
          <w:szCs w:val="20"/>
          <w:highlight w:val="none"/>
        </w:rPr>
        <w:t>二档（8分）：有详细的技术方案，包含本项目各子系统的设计方案。系统设计方案论述基本准确，没有明显技术错误，方案较简单可行，系统功能配置（选用设备品牌和配置）基本达到要求，方案整体性、可靠性、先进性、兼容性、可扩展性、可维护性、安全性一般。有较齐全详细的设计图纸：综合布线平面走线图，机房平面布置图，气体消防平面布置图，机房防雷接地系统图。</w:t>
      </w:r>
    </w:p>
    <w:p>
      <w:pPr>
        <w:shd w:val="clear"/>
        <w:spacing w:line="360" w:lineRule="auto"/>
        <w:ind w:firstLine="420" w:firstLineChars="200"/>
        <w:rPr>
          <w:rFonts w:ascii="宋体" w:hAnsi="宋体"/>
          <w:bCs/>
          <w:color w:val="auto"/>
          <w:szCs w:val="20"/>
          <w:highlight w:val="none"/>
        </w:rPr>
      </w:pPr>
      <w:r>
        <w:rPr>
          <w:rFonts w:hint="eastAsia" w:ascii="宋体" w:hAnsi="宋体"/>
          <w:bCs/>
          <w:color w:val="auto"/>
          <w:szCs w:val="20"/>
          <w:highlight w:val="none"/>
        </w:rPr>
        <w:t>三档（12分）：有详细的技术方案，包含本项目各子系统的设计方案并且能够满足客户实际需求，而且能够提出用户认可的合理化建议。系统设计方案论述准确，技术架构先进，对系统需求有准确理解和详细的描述和分析，系统拓扑图详细体现用户实际需求，系统主要关键性技术说明详细，技术线路清晰，配置信息说明完整、准确，能说明设计及设备选型依据；方案可行性、合理性、经济性、安全性、可靠性、易用性、可拓展性较好。有齐全详细的设计图纸：综合布线平面走线图，机房平面布置图，机房设备分布图，机房地板布置图，机房吊顶布置图，机房照明走线图，机房线槽布置图，气体消防平面布置图，机房防雷接地系统图，并且符合客户现场实际需求。</w:t>
      </w:r>
    </w:p>
    <w:p>
      <w:pPr>
        <w:shd w:val="clea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4、项目实施方案</w:t>
      </w:r>
      <w:r>
        <w:rPr>
          <w:rFonts w:ascii="宋体" w:hAnsi="宋体"/>
          <w:b/>
          <w:color w:val="auto"/>
          <w:szCs w:val="21"/>
          <w:highlight w:val="none"/>
        </w:rPr>
        <w:t>………………………………………………………………………</w:t>
      </w:r>
      <w:r>
        <w:rPr>
          <w:rFonts w:hint="eastAsia" w:ascii="宋体" w:hAnsi="宋体"/>
          <w:b/>
          <w:color w:val="auto"/>
          <w:szCs w:val="21"/>
          <w:highlight w:val="none"/>
        </w:rPr>
        <w:t>15分</w:t>
      </w:r>
    </w:p>
    <w:p>
      <w:pPr>
        <w:shd w:val="clear"/>
        <w:spacing w:line="360" w:lineRule="auto"/>
        <w:ind w:firstLine="420"/>
        <w:rPr>
          <w:rFonts w:ascii="宋体" w:hAnsi="宋体"/>
          <w:color w:val="auto"/>
          <w:szCs w:val="20"/>
          <w:highlight w:val="none"/>
        </w:rPr>
      </w:pPr>
      <w:r>
        <w:rPr>
          <w:rFonts w:hint="eastAsia" w:ascii="宋体" w:hAnsi="宋体"/>
          <w:color w:val="auto"/>
          <w:szCs w:val="20"/>
          <w:highlight w:val="none"/>
        </w:rPr>
        <w:t>一档（5分）：项目实施方案等方面描述较简单、较为一般的；</w:t>
      </w:r>
    </w:p>
    <w:p>
      <w:pPr>
        <w:shd w:val="clear"/>
        <w:spacing w:line="360" w:lineRule="auto"/>
        <w:ind w:firstLine="420"/>
        <w:rPr>
          <w:rFonts w:ascii="宋体" w:hAnsi="宋体"/>
          <w:color w:val="auto"/>
          <w:szCs w:val="20"/>
          <w:highlight w:val="none"/>
        </w:rPr>
      </w:pPr>
      <w:r>
        <w:rPr>
          <w:rFonts w:hint="eastAsia" w:ascii="宋体" w:hAnsi="宋体"/>
          <w:color w:val="auto"/>
          <w:szCs w:val="20"/>
          <w:highlight w:val="none"/>
        </w:rPr>
        <w:t>二档（10分）：项目实施方案等方面描述较为详细、具体的；</w:t>
      </w:r>
      <w:r>
        <w:rPr>
          <w:rFonts w:hint="eastAsia" w:ascii="宋体" w:hAnsi="宋体"/>
          <w:color w:val="auto"/>
          <w:highlight w:val="none"/>
        </w:rPr>
        <w:t>实施方案基本具备各项施工技术措施，安装进度计划合理，安装调试方案和验收措施合理，项目实施方案切实可行，其余各方面良好。拟投入本项目实施人员至少10人</w:t>
      </w:r>
      <w:r>
        <w:rPr>
          <w:rFonts w:hint="eastAsia"/>
          <w:color w:val="auto"/>
          <w:highlight w:val="none"/>
        </w:rPr>
        <w:t>（其中至少5人具备相应专业职称或资质，如工程师等）</w:t>
      </w:r>
      <w:r>
        <w:rPr>
          <w:rFonts w:hint="eastAsia" w:ascii="宋体" w:hAnsi="宋体"/>
          <w:color w:val="auto"/>
          <w:highlight w:val="none"/>
        </w:rPr>
        <w:t>，以上人员请提供相关资格证明复印件及投标人为其缴纳的投标截止日期之前六个月以内任三个月社保局出具的社保证明，并加盖供应商公章，否则不计入本档；</w:t>
      </w:r>
    </w:p>
    <w:p>
      <w:pPr>
        <w:shd w:val="clear"/>
        <w:spacing w:line="360" w:lineRule="auto"/>
        <w:ind w:firstLine="420"/>
        <w:rPr>
          <w:rFonts w:ascii="宋体" w:hAnsi="宋体"/>
          <w:color w:val="auto"/>
          <w:szCs w:val="20"/>
          <w:highlight w:val="none"/>
        </w:rPr>
      </w:pPr>
      <w:r>
        <w:rPr>
          <w:rFonts w:hint="eastAsia" w:ascii="宋体" w:hAnsi="宋体"/>
          <w:color w:val="auto"/>
          <w:szCs w:val="20"/>
          <w:highlight w:val="none"/>
        </w:rPr>
        <w:t>三档（15分）：项目实施方案描述较为详细、具体，方案中有明确提供人员配备、分工、效果图、实施准备、进度安排、</w:t>
      </w:r>
      <w:r>
        <w:rPr>
          <w:rFonts w:hint="eastAsia" w:ascii="宋体" w:hAnsi="宋体"/>
          <w:color w:val="auto"/>
          <w:highlight w:val="none"/>
        </w:rPr>
        <w:t>对质量有详细的管控措施，质量保证到位；有明确的项目实施保障措施，针对性强；</w:t>
      </w:r>
      <w:r>
        <w:rPr>
          <w:rFonts w:hint="eastAsia" w:ascii="宋体" w:hAnsi="宋体"/>
          <w:color w:val="auto"/>
          <w:szCs w:val="20"/>
          <w:highlight w:val="none"/>
        </w:rPr>
        <w:t>检测及验收、项目移交等其他方面清晰且可行的。</w:t>
      </w:r>
      <w:r>
        <w:rPr>
          <w:rFonts w:hint="eastAsia" w:ascii="宋体" w:hAnsi="宋体"/>
          <w:color w:val="auto"/>
          <w:highlight w:val="none"/>
        </w:rPr>
        <w:t>拟投入本项目实施人员至少20人</w:t>
      </w:r>
      <w:r>
        <w:rPr>
          <w:rFonts w:hint="eastAsia"/>
          <w:color w:val="auto"/>
          <w:highlight w:val="none"/>
        </w:rPr>
        <w:t>（其中至少10人具备相应专业职称或资质，如工程师等）</w:t>
      </w:r>
      <w:r>
        <w:rPr>
          <w:rFonts w:hint="eastAsia" w:ascii="宋体" w:hAnsi="宋体"/>
          <w:color w:val="auto"/>
          <w:szCs w:val="20"/>
          <w:highlight w:val="none"/>
        </w:rPr>
        <w:t>，以上人员请提供</w:t>
      </w:r>
      <w:r>
        <w:rPr>
          <w:rFonts w:hint="eastAsia" w:ascii="宋体" w:hAnsi="宋体"/>
          <w:color w:val="auto"/>
          <w:highlight w:val="none"/>
        </w:rPr>
        <w:t>相关资格证明</w:t>
      </w:r>
      <w:r>
        <w:rPr>
          <w:rFonts w:hint="eastAsia" w:ascii="宋体" w:hAnsi="宋体"/>
          <w:color w:val="auto"/>
          <w:szCs w:val="20"/>
          <w:highlight w:val="none"/>
        </w:rPr>
        <w:t>复印件及投标人为其缴纳的投标截止日期之前六个月以内任三个月社保局出具的社保证明，</w:t>
      </w:r>
      <w:r>
        <w:rPr>
          <w:rFonts w:hint="eastAsia" w:ascii="宋体" w:hAnsi="宋体"/>
          <w:color w:val="auto"/>
          <w:highlight w:val="none"/>
        </w:rPr>
        <w:t>并加盖</w:t>
      </w:r>
      <w:r>
        <w:rPr>
          <w:rFonts w:hint="eastAsia" w:ascii="宋体" w:hAnsi="宋体"/>
          <w:color w:val="auto"/>
          <w:kern w:val="0"/>
          <w:szCs w:val="21"/>
          <w:highlight w:val="none"/>
        </w:rPr>
        <w:t>供应商</w:t>
      </w:r>
      <w:r>
        <w:rPr>
          <w:rFonts w:hint="eastAsia" w:ascii="宋体" w:hAnsi="宋体"/>
          <w:color w:val="auto"/>
          <w:highlight w:val="none"/>
        </w:rPr>
        <w:t>公章，否则不计入本档；</w:t>
      </w:r>
    </w:p>
    <w:p>
      <w:pPr>
        <w:shd w:val="clear"/>
        <w:autoSpaceDE w:val="0"/>
        <w:autoSpaceDN w:val="0"/>
        <w:adjustRightInd w:val="0"/>
        <w:spacing w:line="360" w:lineRule="auto"/>
        <w:ind w:firstLine="422" w:firstLineChars="200"/>
        <w:jc w:val="left"/>
        <w:rPr>
          <w:rFonts w:hAnsi="宋体"/>
          <w:b/>
          <w:color w:val="auto"/>
          <w:szCs w:val="21"/>
          <w:highlight w:val="none"/>
        </w:rPr>
      </w:pPr>
      <w:r>
        <w:rPr>
          <w:rFonts w:hint="eastAsia" w:hAnsi="宋体"/>
          <w:b/>
          <w:color w:val="auto"/>
          <w:szCs w:val="21"/>
          <w:highlight w:val="none"/>
        </w:rPr>
        <w:t>5、售后服务…………………………………………………………………</w:t>
      </w:r>
      <w:r>
        <w:rPr>
          <w:rFonts w:hint="eastAsia" w:hAnsi="宋体"/>
          <w:b/>
          <w:color w:val="auto"/>
          <w:szCs w:val="21"/>
          <w:highlight w:val="none"/>
        </w:rPr>
        <w:t>12分</w:t>
      </w:r>
    </w:p>
    <w:p>
      <w:pPr>
        <w:pStyle w:val="31"/>
        <w:shd w:val="clear"/>
        <w:spacing w:line="360" w:lineRule="auto"/>
        <w:ind w:firstLine="420" w:firstLineChars="200"/>
        <w:jc w:val="left"/>
        <w:rPr>
          <w:rFonts w:hAnsi="宋体"/>
          <w:color w:val="auto"/>
          <w:highlight w:val="none"/>
        </w:rPr>
      </w:pPr>
      <w:r>
        <w:rPr>
          <w:rFonts w:hint="eastAsia" w:hAnsi="宋体"/>
          <w:color w:val="auto"/>
          <w:highlight w:val="none"/>
        </w:rPr>
        <w:t xml:space="preserve">由评委对投标人针对投标项目的质量服务体系设置情况和提供主要部件备品情况，对采购单位的响应程度，以及售后服务机构设置、服务内容、服务承诺、保障措施和优惠条件等因素进行比较和评价，分三档： </w:t>
      </w:r>
    </w:p>
    <w:p>
      <w:pPr>
        <w:pStyle w:val="31"/>
        <w:shd w:val="clear"/>
        <w:spacing w:line="360" w:lineRule="auto"/>
        <w:ind w:firstLine="420" w:firstLineChars="200"/>
        <w:jc w:val="left"/>
        <w:rPr>
          <w:rFonts w:hAnsi="宋体"/>
          <w:color w:val="auto"/>
          <w:highlight w:val="none"/>
        </w:rPr>
      </w:pPr>
      <w:r>
        <w:rPr>
          <w:rFonts w:hint="eastAsia" w:hAnsi="宋体"/>
          <w:color w:val="auto"/>
          <w:highlight w:val="none"/>
        </w:rPr>
        <w:t>一档（4分）：投标人的售后服务方案简单、可行；</w:t>
      </w:r>
    </w:p>
    <w:p>
      <w:pPr>
        <w:pStyle w:val="31"/>
        <w:shd w:val="clear"/>
        <w:spacing w:line="360" w:lineRule="auto"/>
        <w:ind w:firstLine="420" w:firstLineChars="200"/>
        <w:jc w:val="left"/>
        <w:rPr>
          <w:rFonts w:hAnsi="宋体"/>
          <w:color w:val="auto"/>
          <w:highlight w:val="none"/>
          <w:lang w:bidi="en-US"/>
        </w:rPr>
      </w:pPr>
      <w:r>
        <w:rPr>
          <w:rFonts w:hint="eastAsia" w:hAnsi="宋体"/>
          <w:color w:val="auto"/>
          <w:highlight w:val="none"/>
        </w:rPr>
        <w:t>二档（8分）：投标人的售后服务方案完整、全面；</w:t>
      </w:r>
      <w:r>
        <w:rPr>
          <w:rFonts w:hint="eastAsia"/>
          <w:color w:val="auto"/>
          <w:highlight w:val="none"/>
        </w:rPr>
        <w:t>投标人为本项目提供的售后服务人员至少6人（其中至少</w:t>
      </w:r>
      <w:r>
        <w:rPr>
          <w:rFonts w:hint="eastAsia"/>
          <w:color w:val="auto"/>
          <w:highlight w:val="none"/>
        </w:rPr>
        <w:t>2</w:t>
      </w:r>
      <w:r>
        <w:rPr>
          <w:rFonts w:hint="eastAsia"/>
          <w:color w:val="auto"/>
          <w:highlight w:val="none"/>
        </w:rPr>
        <w:t>人具备相应专业职称或资质，如工程师等），以上人员需提供相关</w:t>
      </w:r>
      <w:r>
        <w:rPr>
          <w:rFonts w:hint="eastAsia" w:hAnsi="宋体"/>
          <w:color w:val="auto"/>
          <w:highlight w:val="none"/>
          <w:lang w:bidi="en-US"/>
        </w:rPr>
        <w:t>人员在社保局出具的最近半年内连续三个月社保缴纳证明，原件备查。以上提供的人员必须为</w:t>
      </w:r>
      <w:r>
        <w:rPr>
          <w:rFonts w:hint="eastAsia" w:hAnsi="宋体"/>
          <w:color w:val="auto"/>
          <w:kern w:val="0"/>
          <w:highlight w:val="none"/>
        </w:rPr>
        <w:t>投标人、供应商</w:t>
      </w:r>
      <w:r>
        <w:rPr>
          <w:rFonts w:hint="eastAsia" w:hAnsi="宋体"/>
          <w:color w:val="auto"/>
          <w:highlight w:val="none"/>
          <w:lang w:bidi="en-US"/>
        </w:rPr>
        <w:t>企业或其控股股东下属分支机构的合同制员工。</w:t>
      </w:r>
    </w:p>
    <w:p>
      <w:pPr>
        <w:pStyle w:val="31"/>
        <w:shd w:val="clear"/>
        <w:spacing w:line="360" w:lineRule="auto"/>
        <w:ind w:firstLine="420" w:firstLineChars="200"/>
        <w:jc w:val="left"/>
        <w:rPr>
          <w:rFonts w:hAnsi="宋体"/>
          <w:color w:val="auto"/>
          <w:highlight w:val="none"/>
        </w:rPr>
      </w:pPr>
      <w:r>
        <w:rPr>
          <w:rFonts w:hint="eastAsia" w:hAnsi="宋体"/>
          <w:color w:val="auto"/>
          <w:kern w:val="0"/>
          <w:highlight w:val="none"/>
        </w:rPr>
        <w:t>具有提供本地化服务的能力。投标人</w:t>
      </w:r>
      <w:r>
        <w:rPr>
          <w:rFonts w:hint="eastAsia"/>
          <w:color w:val="auto"/>
          <w:highlight w:val="none"/>
        </w:rPr>
        <w:t>在南宁市有售后服务站点（如有，请提供营业执照复印件或场地租赁合同复印件等证明材料，原件备查）或投标人承诺在中标后设立售后服务站点。</w:t>
      </w:r>
    </w:p>
    <w:p>
      <w:pPr>
        <w:pStyle w:val="31"/>
        <w:shd w:val="clear"/>
        <w:spacing w:line="360" w:lineRule="auto"/>
        <w:ind w:firstLine="420" w:firstLineChars="200"/>
        <w:jc w:val="left"/>
        <w:rPr>
          <w:rFonts w:hAnsi="宋体"/>
          <w:color w:val="auto"/>
          <w:highlight w:val="none"/>
          <w:lang w:bidi="en-US"/>
        </w:rPr>
      </w:pPr>
      <w:r>
        <w:rPr>
          <w:rFonts w:hint="eastAsia" w:hAnsi="宋体"/>
          <w:color w:val="auto"/>
          <w:highlight w:val="none"/>
        </w:rPr>
        <w:t>三档（12分）：投标人的售后服务方案详细、针对性强、全面合理、有较大保障优惠措施，售后服务方案比较细致、合理、可行，保障响应措施较有力，服务经验丰富，并承诺提供7×24售后服务热线，响应时间短，快捷、迅速，有该项目详细的系统建设的售后服务方案、售后服务流程、应急预案、质量保障方案。投标人为本项目提供的售后服务</w:t>
      </w:r>
      <w:r>
        <w:rPr>
          <w:rFonts w:hint="eastAsia"/>
          <w:color w:val="auto"/>
          <w:highlight w:val="none"/>
        </w:rPr>
        <w:t>人员至少</w:t>
      </w:r>
      <w:r>
        <w:rPr>
          <w:rFonts w:hint="eastAsia" w:hAnsi="宋体"/>
          <w:color w:val="auto"/>
          <w:highlight w:val="none"/>
          <w:lang w:bidi="en-US"/>
        </w:rPr>
        <w:t>提供10人</w:t>
      </w:r>
      <w:r>
        <w:rPr>
          <w:rFonts w:hint="eastAsia"/>
          <w:color w:val="auto"/>
          <w:highlight w:val="none"/>
        </w:rPr>
        <w:t>（其中至少</w:t>
      </w:r>
      <w:r>
        <w:rPr>
          <w:rFonts w:hint="eastAsia"/>
          <w:color w:val="auto"/>
          <w:highlight w:val="none"/>
        </w:rPr>
        <w:t>4</w:t>
      </w:r>
      <w:r>
        <w:rPr>
          <w:rFonts w:hint="eastAsia"/>
          <w:color w:val="auto"/>
          <w:highlight w:val="none"/>
        </w:rPr>
        <w:t>人具备相应专业业职称或资质，如工程师等），配备维护车辆</w:t>
      </w:r>
      <w:r>
        <w:rPr>
          <w:rFonts w:hint="eastAsia" w:hAnsi="宋体"/>
          <w:color w:val="auto"/>
          <w:highlight w:val="none"/>
          <w:lang w:bidi="en-US"/>
        </w:rPr>
        <w:t>，</w:t>
      </w:r>
      <w:r>
        <w:rPr>
          <w:rFonts w:hint="eastAsia"/>
          <w:color w:val="auto"/>
          <w:highlight w:val="none"/>
        </w:rPr>
        <w:t>以上人员需提供</w:t>
      </w:r>
      <w:r>
        <w:rPr>
          <w:rFonts w:hint="eastAsia" w:hAnsi="宋体"/>
          <w:color w:val="auto"/>
          <w:highlight w:val="none"/>
          <w:lang w:bidi="en-US"/>
        </w:rPr>
        <w:t>在社保局出具的最近半年内连续三个月社保缴纳证明，原件备查。以上提供的人员必须为</w:t>
      </w:r>
      <w:r>
        <w:rPr>
          <w:rFonts w:hint="eastAsia" w:hAnsi="宋体"/>
          <w:color w:val="auto"/>
          <w:kern w:val="0"/>
          <w:highlight w:val="none"/>
        </w:rPr>
        <w:t>投标人、供应商</w:t>
      </w:r>
      <w:r>
        <w:rPr>
          <w:rFonts w:hint="eastAsia" w:hAnsi="宋体"/>
          <w:color w:val="auto"/>
          <w:highlight w:val="none"/>
          <w:lang w:bidi="en-US"/>
        </w:rPr>
        <w:t>企业或其控股股东下属分支机构的合同制员工，不接受任何劳务派遣或第三方人员外包服务人员。</w:t>
      </w:r>
    </w:p>
    <w:p>
      <w:pPr>
        <w:pStyle w:val="31"/>
        <w:shd w:val="clear"/>
        <w:spacing w:line="360" w:lineRule="auto"/>
        <w:ind w:firstLine="420" w:firstLineChars="200"/>
        <w:jc w:val="left"/>
        <w:rPr>
          <w:rFonts w:hAnsi="宋体"/>
          <w:bCs/>
          <w:color w:val="auto"/>
          <w:highlight w:val="none"/>
        </w:rPr>
      </w:pPr>
      <w:r>
        <w:rPr>
          <w:rFonts w:hint="eastAsia" w:hAnsi="宋体"/>
          <w:bCs/>
          <w:color w:val="auto"/>
          <w:kern w:val="0"/>
          <w:highlight w:val="none"/>
        </w:rPr>
        <w:t>具有提供本地化服务的能力。投标人</w:t>
      </w:r>
      <w:r>
        <w:rPr>
          <w:rFonts w:hint="eastAsia"/>
          <w:bCs/>
          <w:color w:val="auto"/>
          <w:highlight w:val="none"/>
        </w:rPr>
        <w:t>在南宁市有售后服务站点（如有，请提供营业执照复印件或场地租赁合同复印件等证明材料，原件备查）或投标人承诺在中标后设立售后服务站点。</w:t>
      </w:r>
    </w:p>
    <w:p>
      <w:pPr>
        <w:pStyle w:val="31"/>
        <w:shd w:val="clear"/>
        <w:spacing w:line="360" w:lineRule="auto"/>
        <w:ind w:firstLine="422" w:firstLineChars="200"/>
        <w:jc w:val="left"/>
        <w:rPr>
          <w:rFonts w:hAnsi="宋体"/>
          <w:b/>
          <w:color w:val="auto"/>
          <w:highlight w:val="none"/>
        </w:rPr>
      </w:pPr>
      <w:r>
        <w:rPr>
          <w:rFonts w:hint="eastAsia" w:hAnsi="宋体"/>
          <w:b/>
          <w:color w:val="auto"/>
          <w:highlight w:val="none"/>
        </w:rPr>
        <w:t>6、业绩信誉实力分…………………………………………………………………………13分</w:t>
      </w:r>
    </w:p>
    <w:p>
      <w:pPr>
        <w:shd w:val="clear"/>
        <w:snapToGrid w:val="0"/>
        <w:spacing w:line="420" w:lineRule="exact"/>
        <w:ind w:firstLine="472" w:firstLineChars="225"/>
        <w:rPr>
          <w:rFonts w:ascii="宋体" w:hAnsi="宋体" w:cs="Arial"/>
          <w:color w:val="auto"/>
          <w:szCs w:val="21"/>
          <w:highlight w:val="none"/>
        </w:rPr>
      </w:pPr>
      <w:r>
        <w:rPr>
          <w:rFonts w:hint="eastAsia" w:hAnsi="宋体"/>
          <w:color w:val="auto"/>
          <w:highlight w:val="none"/>
        </w:rPr>
        <w:t>（</w:t>
      </w:r>
      <w:r>
        <w:rPr>
          <w:rFonts w:hAnsi="宋体"/>
          <w:color w:val="auto"/>
          <w:highlight w:val="none"/>
        </w:rPr>
        <w:t>1）投标人2016年1月1日以来有类似</w:t>
      </w:r>
      <w:r>
        <w:rPr>
          <w:rFonts w:hint="eastAsia" w:hAnsi="宋体"/>
          <w:color w:val="auto"/>
          <w:highlight w:val="none"/>
        </w:rPr>
        <w:t>机房搬迁、改造、运维项目</w:t>
      </w:r>
      <w:r>
        <w:rPr>
          <w:rFonts w:hAnsi="宋体"/>
          <w:color w:val="auto"/>
          <w:highlight w:val="none"/>
        </w:rPr>
        <w:t>业绩的（以有效合同复印件或中标通知书为准，</w:t>
      </w:r>
      <w:r>
        <w:rPr>
          <w:rFonts w:hint="eastAsia" w:hAnsi="宋体"/>
          <w:color w:val="auto"/>
          <w:highlight w:val="none"/>
        </w:rPr>
        <w:t>证明该业绩），每个案例得2分，满分6分。</w:t>
      </w:r>
    </w:p>
    <w:p>
      <w:pPr>
        <w:shd w:val="clear"/>
        <w:spacing w:line="360" w:lineRule="auto"/>
        <w:ind w:firstLine="420" w:firstLineChars="200"/>
        <w:rPr>
          <w:rFonts w:ascii="宋体" w:hAnsi="宋体"/>
          <w:b/>
          <w:color w:val="auto"/>
          <w:szCs w:val="21"/>
          <w:highlight w:val="none"/>
        </w:rPr>
      </w:pPr>
      <w:r>
        <w:rPr>
          <w:rFonts w:hint="eastAsia" w:hAnsi="宋体"/>
          <w:color w:val="auto"/>
          <w:highlight w:val="none"/>
        </w:rPr>
        <w:t>（2）</w:t>
      </w:r>
      <w:r>
        <w:rPr>
          <w:rFonts w:hint="eastAsia" w:hAnsi="宋体"/>
          <w:color w:val="auto"/>
          <w:szCs w:val="21"/>
          <w:highlight w:val="none"/>
        </w:rPr>
        <w:t>投标人获得涉密信息系统集成乙级或以上资质的，得3分，满分3分。</w:t>
      </w:r>
    </w:p>
    <w:p>
      <w:pPr>
        <w:pStyle w:val="31"/>
        <w:shd w:val="clear"/>
        <w:spacing w:line="360" w:lineRule="auto"/>
        <w:ind w:firstLine="420" w:firstLineChars="200"/>
        <w:rPr>
          <w:color w:val="auto"/>
          <w:kern w:val="0"/>
          <w:highlight w:val="none"/>
        </w:rPr>
      </w:pPr>
      <w:r>
        <w:rPr>
          <w:rFonts w:hint="eastAsia"/>
          <w:color w:val="auto"/>
          <w:kern w:val="0"/>
          <w:highlight w:val="none"/>
        </w:rPr>
        <w:t>（3）投标人获得重合同守信用证书得2分。</w:t>
      </w:r>
    </w:p>
    <w:p>
      <w:pPr>
        <w:pStyle w:val="31"/>
        <w:shd w:val="clear"/>
        <w:spacing w:line="360" w:lineRule="auto"/>
        <w:ind w:firstLine="420" w:firstLineChars="200"/>
        <w:rPr>
          <w:color w:val="auto"/>
          <w:kern w:val="0"/>
          <w:highlight w:val="none"/>
        </w:rPr>
      </w:pPr>
      <w:r>
        <w:rPr>
          <w:rFonts w:hint="eastAsia"/>
          <w:color w:val="auto"/>
          <w:kern w:val="0"/>
          <w:highlight w:val="none"/>
        </w:rPr>
        <w:t>（4）投标人或投标产品通过ISO9000系列或ISO9001系列国际质量体系认证得1分。</w:t>
      </w:r>
    </w:p>
    <w:p>
      <w:pPr>
        <w:pStyle w:val="31"/>
        <w:shd w:val="clear"/>
        <w:spacing w:line="360" w:lineRule="auto"/>
        <w:ind w:firstLine="420" w:firstLineChars="200"/>
        <w:jc w:val="left"/>
        <w:rPr>
          <w:rFonts w:hAnsi="宋体"/>
          <w:bCs/>
          <w:color w:val="auto"/>
          <w:highlight w:val="none"/>
        </w:rPr>
      </w:pPr>
      <w:r>
        <w:rPr>
          <w:rFonts w:hint="eastAsia" w:hAnsi="宋体"/>
          <w:bCs/>
          <w:color w:val="auto"/>
          <w:highlight w:val="none"/>
        </w:rPr>
        <w:t>（5）投标人获得电子与智能化工程专业承包贰级及以上资质，提供证书复印件加盖投标人公章，得</w:t>
      </w:r>
      <w:r>
        <w:rPr>
          <w:rFonts w:hAnsi="宋体"/>
          <w:bCs/>
          <w:color w:val="auto"/>
          <w:highlight w:val="none"/>
        </w:rPr>
        <w:t>1</w:t>
      </w:r>
      <w:r>
        <w:rPr>
          <w:rFonts w:hint="eastAsia" w:hAnsi="宋体"/>
          <w:bCs/>
          <w:color w:val="auto"/>
          <w:highlight w:val="none"/>
        </w:rPr>
        <w:t>分。</w:t>
      </w:r>
    </w:p>
    <w:p>
      <w:pPr>
        <w:shd w:val="clear"/>
        <w:autoSpaceDE w:val="0"/>
        <w:autoSpaceDN w:val="0"/>
        <w:adjustRightInd w:val="0"/>
        <w:spacing w:line="360" w:lineRule="auto"/>
        <w:ind w:firstLine="422" w:firstLineChars="200"/>
        <w:jc w:val="left"/>
        <w:rPr>
          <w:rFonts w:hAnsi="宋体"/>
          <w:b/>
          <w:color w:val="auto"/>
          <w:szCs w:val="21"/>
          <w:highlight w:val="none"/>
        </w:rPr>
      </w:pPr>
      <w:r>
        <w:rPr>
          <w:rFonts w:hint="eastAsia" w:hAnsi="宋体"/>
          <w:b/>
          <w:color w:val="auto"/>
          <w:szCs w:val="21"/>
          <w:highlight w:val="none"/>
        </w:rPr>
        <w:t>7、政策功能分</w:t>
      </w:r>
      <w:r>
        <w:rPr>
          <w:rFonts w:hint="eastAsia" w:ascii="宋体" w:hAnsi="宋体"/>
          <w:b/>
          <w:bCs/>
          <w:color w:val="auto"/>
          <w:kern w:val="0"/>
          <w:szCs w:val="21"/>
          <w:highlight w:val="none"/>
        </w:rPr>
        <w:t>……………………………………………………………………</w:t>
      </w:r>
      <w:r>
        <w:rPr>
          <w:rFonts w:hint="eastAsia" w:hAnsi="宋体"/>
          <w:b/>
          <w:color w:val="auto"/>
          <w:szCs w:val="21"/>
          <w:highlight w:val="none"/>
        </w:rPr>
        <w:t>3分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 xml:space="preserve">（1）节能产品分（满分1分）  </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主要投标产品（占投标总金额三分之二以上）具有节能产品认证证书的，得1分。（满分1分）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（2）环保标志产品分（满分1分）</w:t>
      </w:r>
    </w:p>
    <w:p>
      <w:pPr>
        <w:shd w:val="clear"/>
        <w:spacing w:line="360" w:lineRule="auto"/>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主要投标产品（占投标总金额三分之二以上）具有环境标志产品认证证书的，得1分。（满分1分）</w:t>
      </w:r>
    </w:p>
    <w:p>
      <w:pPr>
        <w:shd w:val="clear"/>
        <w:spacing w:line="360" w:lineRule="auto"/>
        <w:ind w:firstLine="420" w:firstLineChars="200"/>
        <w:rPr>
          <w:rFonts w:hAnsi="宋体"/>
          <w:b/>
          <w:color w:val="auto"/>
          <w:highlight w:val="none"/>
        </w:rPr>
      </w:pPr>
      <w:r>
        <w:rPr>
          <w:rFonts w:hint="eastAsia" w:ascii="宋体" w:hAnsi="宋体"/>
          <w:bCs/>
          <w:color w:val="auto"/>
          <w:kern w:val="0"/>
          <w:szCs w:val="21"/>
          <w:highlight w:val="none"/>
        </w:rPr>
        <w:t>（3）投标产品属于广西区内的产品金</w:t>
      </w:r>
      <w:r>
        <w:rPr>
          <w:rFonts w:hint="eastAsia" w:hAnsi="宋体"/>
          <w:color w:val="auto"/>
          <w:szCs w:val="21"/>
          <w:highlight w:val="none"/>
        </w:rPr>
        <w:t>额达投标总金额80%的（提供生产厂家营业执照或其他相关有效证明）得1分。（满分1分）</w:t>
      </w:r>
    </w:p>
    <w:p>
      <w:pPr>
        <w:pStyle w:val="31"/>
        <w:shd w:val="clear"/>
        <w:spacing w:line="360" w:lineRule="auto"/>
        <w:ind w:firstLine="422" w:firstLineChars="200"/>
        <w:jc w:val="left"/>
        <w:rPr>
          <w:rFonts w:hAnsi="宋体"/>
          <w:b/>
          <w:color w:val="auto"/>
          <w:kern w:val="0"/>
          <w:highlight w:val="none"/>
        </w:rPr>
      </w:pPr>
      <w:r>
        <w:rPr>
          <w:rFonts w:hint="eastAsia" w:hAnsi="宋体"/>
          <w:b/>
          <w:color w:val="auto"/>
          <w:highlight w:val="none"/>
        </w:rPr>
        <w:t>7、总得分 =1 + 2 + 3 + 4 + 5 + 6 +</w:t>
      </w:r>
      <w:r>
        <w:rPr>
          <w:rFonts w:hint="eastAsia" w:hAnsi="宋体"/>
          <w:b/>
          <w:color w:val="auto"/>
          <w:kern w:val="0"/>
          <w:highlight w:val="none"/>
        </w:rPr>
        <w:t xml:space="preserve"> 7</w:t>
      </w:r>
    </w:p>
    <w:p>
      <w:pPr>
        <w:pStyle w:val="31"/>
        <w:shd w:val="clear"/>
        <w:spacing w:line="360" w:lineRule="auto"/>
        <w:ind w:firstLine="422" w:firstLineChars="200"/>
        <w:jc w:val="left"/>
        <w:rPr>
          <w:rFonts w:hAnsi="宋体"/>
          <w:b/>
          <w:color w:val="auto"/>
          <w:kern w:val="0"/>
          <w:highlight w:val="none"/>
        </w:rPr>
      </w:pPr>
      <w:r>
        <w:rPr>
          <w:rFonts w:hint="eastAsia" w:hAnsi="宋体"/>
          <w:b/>
          <w:color w:val="auto"/>
          <w:kern w:val="0"/>
          <w:highlight w:val="none"/>
        </w:rPr>
        <w:t>七、中标候选人推荐原则</w:t>
      </w:r>
    </w:p>
    <w:p>
      <w:pPr>
        <w:shd w:val="clear"/>
        <w:spacing w:line="360" w:lineRule="auto"/>
        <w:ind w:firstLine="420" w:firstLineChars="200"/>
        <w:rPr>
          <w:color w:val="auto"/>
          <w:szCs w:val="20"/>
          <w:highlight w:val="none"/>
        </w:rPr>
      </w:pPr>
      <w:r>
        <w:rPr>
          <w:rFonts w:hint="eastAsia" w:ascii="宋体" w:hAnsi="Courier New"/>
          <w:color w:val="auto"/>
          <w:szCs w:val="20"/>
          <w:highlight w:val="none"/>
        </w:rPr>
        <w:t>评标委员会将按总得分由高到低推荐三名中标候选人。总得分相同时，依次按投标报价低优先</w:t>
      </w:r>
      <w:r>
        <w:rPr>
          <w:rFonts w:hint="eastAsia" w:ascii="宋体" w:hAnsi="Courier New"/>
          <w:b/>
          <w:bCs/>
          <w:color w:val="auto"/>
          <w:szCs w:val="20"/>
          <w:highlight w:val="none"/>
        </w:rPr>
        <w:t>、</w:t>
      </w:r>
      <w:r>
        <w:rPr>
          <w:rFonts w:hint="eastAsia" w:ascii="宋体" w:hAnsi="Courier New"/>
          <w:b/>
          <w:color w:val="auto"/>
          <w:szCs w:val="20"/>
          <w:highlight w:val="none"/>
        </w:rPr>
        <w:t>设备性能及配置</w:t>
      </w:r>
      <w:r>
        <w:rPr>
          <w:rFonts w:hint="eastAsia" w:ascii="宋体" w:hAnsi="Courier New"/>
          <w:color w:val="auto"/>
          <w:szCs w:val="20"/>
          <w:highlight w:val="none"/>
        </w:rPr>
        <w:t>分高优先、</w:t>
      </w:r>
      <w:r>
        <w:rPr>
          <w:rFonts w:hint="eastAsia" w:ascii="宋体" w:hAnsi="Courier New"/>
          <w:b/>
          <w:color w:val="auto"/>
          <w:szCs w:val="20"/>
          <w:highlight w:val="none"/>
        </w:rPr>
        <w:t>项目实施方案</w:t>
      </w:r>
      <w:r>
        <w:rPr>
          <w:rFonts w:hint="eastAsia" w:ascii="宋体" w:hAnsi="Courier New"/>
          <w:color w:val="auto"/>
          <w:szCs w:val="20"/>
          <w:highlight w:val="none"/>
        </w:rPr>
        <w:t>分高优先、项目设计方案分高优先、</w:t>
      </w:r>
      <w:r>
        <w:rPr>
          <w:rFonts w:hint="eastAsia" w:ascii="宋体" w:hAnsi="Courier New"/>
          <w:b/>
          <w:bCs/>
          <w:color w:val="auto"/>
          <w:szCs w:val="20"/>
          <w:highlight w:val="none"/>
        </w:rPr>
        <w:t>售后服务分高优先</w:t>
      </w:r>
      <w:r>
        <w:rPr>
          <w:rFonts w:hint="eastAsia" w:ascii="宋体" w:hAnsi="Courier New"/>
          <w:color w:val="auto"/>
          <w:szCs w:val="20"/>
          <w:highlight w:val="none"/>
        </w:rPr>
        <w:t>、</w:t>
      </w:r>
      <w:r>
        <w:rPr>
          <w:rFonts w:hint="eastAsia" w:hAnsi="宋体"/>
          <w:b/>
          <w:color w:val="auto"/>
          <w:highlight w:val="none"/>
        </w:rPr>
        <w:t>业绩信誉实力分</w:t>
      </w:r>
      <w:r>
        <w:rPr>
          <w:rFonts w:hint="eastAsia" w:ascii="宋体" w:hAnsi="Courier New"/>
          <w:color w:val="auto"/>
          <w:szCs w:val="20"/>
          <w:highlight w:val="none"/>
        </w:rPr>
        <w:t>高优先的顺序排列</w:t>
      </w:r>
      <w:r>
        <w:rPr>
          <w:rFonts w:hint="eastAsia" w:ascii="宋体" w:hAnsi="Courier New"/>
          <w:color w:val="auto"/>
          <w:szCs w:val="20"/>
          <w:highlight w:val="none"/>
        </w:rPr>
        <w:t>。</w:t>
      </w:r>
      <w:r>
        <w:rPr>
          <w:rFonts w:hint="eastAsia" w:ascii="宋体" w:hAnsi="Courier New"/>
          <w:color w:val="auto"/>
          <w:szCs w:val="20"/>
          <w:highlight w:val="none"/>
        </w:rPr>
        <w:t>招标采购单位应当确定评审委员会推荐排名第一的中标候选人为中标人。根据桂财采〔2016〕37号《关于做好政府采购有关信用主体标识码登记及在政府采购活动中查询使用信用记录有关问题的通知》相关规定，采购代理机构将对排名第一的中标候选人进行信用查询，如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shd w:val="clear"/>
        <w:spacing w:before="120" w:beforeLines="50" w:after="120" w:afterLines="50" w:line="400" w:lineRule="exact"/>
        <w:rPr>
          <w:rFonts w:ascii="宋体" w:hAnsi="宋体"/>
          <w:b/>
          <w:color w:val="auto"/>
          <w:kern w:val="0"/>
          <w:szCs w:val="21"/>
          <w:highlight w:val="none"/>
        </w:rPr>
      </w:pPr>
    </w:p>
    <w:p>
      <w:pPr>
        <w:shd w:val="clear"/>
        <w:rPr>
          <w:color w:val="auto"/>
          <w:highlight w:val="none"/>
        </w:rPr>
      </w:pPr>
    </w:p>
    <w:p>
      <w:pPr>
        <w:pStyle w:val="31"/>
        <w:shd w:val="clear"/>
        <w:rPr>
          <w:rFonts w:hAnsi="宋体"/>
          <w:color w:val="auto"/>
          <w:sz w:val="44"/>
          <w:szCs w:val="44"/>
          <w:highlight w:val="none"/>
        </w:rPr>
      </w:pPr>
    </w:p>
    <w:p>
      <w:pPr>
        <w:pStyle w:val="31"/>
        <w:shd w:val="clear"/>
        <w:rPr>
          <w:rFonts w:hAnsi="宋体"/>
          <w:color w:val="auto"/>
          <w:sz w:val="44"/>
          <w:szCs w:val="44"/>
          <w:highlight w:val="none"/>
        </w:rPr>
      </w:pPr>
    </w:p>
    <w:p>
      <w:pPr>
        <w:shd w:val="clear"/>
        <w:rPr>
          <w:color w:val="auto"/>
          <w:highlight w:val="none"/>
        </w:rPr>
      </w:pPr>
      <w:bookmarkStart w:id="59" w:name="_Toc496718680"/>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jc w:val="center"/>
        <w:outlineLvl w:val="0"/>
        <w:rPr>
          <w:rFonts w:ascii="宋体"/>
          <w:b/>
          <w:bCs/>
          <w:color w:val="auto"/>
          <w:sz w:val="44"/>
          <w:szCs w:val="44"/>
          <w:highlight w:val="none"/>
        </w:rPr>
      </w:pPr>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59"/>
    </w:p>
    <w:p>
      <w:pPr>
        <w:shd w:val="clear"/>
        <w:snapToGrid w:val="0"/>
        <w:spacing w:line="400" w:lineRule="exact"/>
        <w:jc w:val="center"/>
        <w:rPr>
          <w:rFonts w:ascii="宋体"/>
          <w:b/>
          <w:bCs/>
          <w:color w:val="auto"/>
          <w:sz w:val="32"/>
          <w:szCs w:val="32"/>
          <w:highlight w:val="none"/>
        </w:rPr>
      </w:pPr>
      <w:r>
        <w:rPr>
          <w:rFonts w:ascii="宋体"/>
          <w:b/>
          <w:bCs/>
          <w:color w:val="auto"/>
          <w:sz w:val="44"/>
          <w:szCs w:val="44"/>
          <w:highlight w:val="none"/>
        </w:rPr>
        <w:br w:type="page"/>
      </w:r>
      <w:r>
        <w:rPr>
          <w:rFonts w:hint="eastAsia" w:ascii="宋体" w:hAnsi="宋体"/>
          <w:b/>
          <w:bCs/>
          <w:color w:val="auto"/>
          <w:sz w:val="32"/>
          <w:szCs w:val="32"/>
          <w:highlight w:val="none"/>
        </w:rPr>
        <w:t>《广西壮族自治区政府采购合同》</w:t>
      </w:r>
    </w:p>
    <w:p>
      <w:pPr>
        <w:shd w:val="clear"/>
        <w:snapToGrid w:val="0"/>
        <w:ind w:firstLine="6090" w:firstLineChars="2900"/>
        <w:rPr>
          <w:rFonts w:ascii="宋体" w:hAnsi="宋体"/>
          <w:bCs/>
          <w:color w:val="auto"/>
          <w:szCs w:val="21"/>
          <w:highlight w:val="none"/>
        </w:rPr>
      </w:pPr>
    </w:p>
    <w:p>
      <w:pPr>
        <w:shd w:val="clear"/>
        <w:snapToGrid w:val="0"/>
        <w:ind w:firstLine="6300" w:firstLineChars="3000"/>
        <w:rPr>
          <w:rFonts w:ascii="宋体"/>
          <w:bCs/>
          <w:color w:val="auto"/>
          <w:szCs w:val="21"/>
          <w:highlight w:val="none"/>
          <w:u w:val="single"/>
        </w:rPr>
      </w:pPr>
      <w:r>
        <w:rPr>
          <w:rFonts w:hint="eastAsia" w:ascii="宋体" w:hAnsi="宋体"/>
          <w:bCs/>
          <w:color w:val="auto"/>
          <w:szCs w:val="21"/>
          <w:highlight w:val="none"/>
        </w:rPr>
        <w:t>合同编号：</w:t>
      </w:r>
    </w:p>
    <w:p>
      <w:pPr>
        <w:shd w:val="clear"/>
        <w:snapToGrid w:val="0"/>
        <w:spacing w:line="380" w:lineRule="exact"/>
        <w:rPr>
          <w:rFonts w:ascii="宋体"/>
          <w:color w:val="auto"/>
          <w:szCs w:val="21"/>
          <w:highlight w:val="none"/>
          <w:u w:val="single"/>
        </w:rPr>
      </w:pPr>
      <w:r>
        <w:rPr>
          <w:rFonts w:hint="eastAsia" w:ascii="宋体" w:hAnsi="宋体"/>
          <w:color w:val="auto"/>
          <w:szCs w:val="21"/>
          <w:highlight w:val="none"/>
        </w:rPr>
        <w:t>采购单位（甲方）</w:t>
      </w:r>
      <w:r>
        <w:rPr>
          <w:rFonts w:hint="eastAsia" w:ascii="宋体" w:hAnsi="宋体"/>
          <w:color w:val="auto"/>
          <w:spacing w:val="-20"/>
          <w:szCs w:val="21"/>
          <w:highlight w:val="none"/>
        </w:rPr>
        <w:t>采购计划号</w:t>
      </w:r>
    </w:p>
    <w:p>
      <w:pPr>
        <w:shd w:val="clear"/>
        <w:snapToGrid w:val="0"/>
        <w:spacing w:line="380" w:lineRule="exact"/>
        <w:rPr>
          <w:rFonts w:ascii="宋体"/>
          <w:color w:val="auto"/>
          <w:szCs w:val="21"/>
          <w:highlight w:val="none"/>
          <w:u w:val="single"/>
        </w:rPr>
      </w:pPr>
      <w:r>
        <w:rPr>
          <w:rFonts w:hint="eastAsia" w:ascii="宋体" w:hAnsi="宋体"/>
          <w:color w:val="auto"/>
          <w:szCs w:val="21"/>
          <w:highlight w:val="none"/>
        </w:rPr>
        <w:t>供应商（乙方）</w:t>
      </w:r>
      <w:r>
        <w:rPr>
          <w:rFonts w:hint="eastAsia" w:ascii="宋体" w:hAnsi="宋体"/>
          <w:color w:val="auto"/>
          <w:spacing w:val="-20"/>
          <w:szCs w:val="21"/>
          <w:highlight w:val="none"/>
        </w:rPr>
        <w:t>招标编号</w:t>
      </w:r>
    </w:p>
    <w:p>
      <w:pPr>
        <w:shd w:val="clear"/>
        <w:snapToGrid w:val="0"/>
        <w:spacing w:line="380" w:lineRule="exact"/>
        <w:rPr>
          <w:rFonts w:ascii="宋体"/>
          <w:color w:val="auto"/>
          <w:szCs w:val="21"/>
          <w:highlight w:val="none"/>
          <w:u w:val="single"/>
        </w:rPr>
      </w:pPr>
      <w:r>
        <w:rPr>
          <w:rFonts w:hint="eastAsia" w:ascii="宋体" w:hAnsi="宋体"/>
          <w:color w:val="auto"/>
          <w:szCs w:val="21"/>
          <w:highlight w:val="none"/>
        </w:rPr>
        <w:t>签订地点签订时间</w:t>
      </w:r>
    </w:p>
    <w:p>
      <w:pPr>
        <w:shd w:val="clear"/>
        <w:snapToGrid w:val="0"/>
        <w:spacing w:line="380" w:lineRule="exact"/>
        <w:ind w:firstLine="420" w:firstLineChars="200"/>
        <w:rPr>
          <w:rFonts w:ascii="宋体"/>
          <w:color w:val="auto"/>
          <w:szCs w:val="21"/>
          <w:highlight w:val="none"/>
        </w:rPr>
      </w:pPr>
      <w:r>
        <w:rPr>
          <w:rFonts w:hint="eastAsia" w:ascii="宋体" w:hAnsi="宋体"/>
          <w:color w:val="auto"/>
          <w:szCs w:val="21"/>
          <w:highlight w:val="none"/>
        </w:rPr>
        <w:t>根据《中华人民共和国政府采购法》、《中华人民共和国合同法》等法律、法规规定，按照招投标文件（采购文件）规定条款和中标（成交）供应商承诺，甲乙双方签订本合同。</w:t>
      </w:r>
    </w:p>
    <w:p>
      <w:pPr>
        <w:shd w:val="clear"/>
        <w:snapToGrid w:val="0"/>
        <w:spacing w:line="380" w:lineRule="exact"/>
        <w:ind w:firstLine="422" w:firstLineChars="200"/>
        <w:rPr>
          <w:rFonts w:ascii="宋体"/>
          <w:b/>
          <w:color w:val="auto"/>
          <w:szCs w:val="21"/>
          <w:highlight w:val="none"/>
        </w:rPr>
      </w:pPr>
      <w:r>
        <w:rPr>
          <w:rFonts w:hint="eastAsia" w:ascii="宋体" w:hAnsi="宋体"/>
          <w:b/>
          <w:color w:val="auto"/>
          <w:szCs w:val="21"/>
          <w:highlight w:val="none"/>
        </w:rPr>
        <w:t>第一条　合同标的</w:t>
      </w:r>
    </w:p>
    <w:p>
      <w:pPr>
        <w:shd w:val="clear"/>
        <w:snapToGrid w:val="0"/>
        <w:spacing w:line="38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、供货一览表</w:t>
      </w:r>
    </w:p>
    <w:tbl>
      <w:tblPr>
        <w:tblStyle w:val="74"/>
        <w:tblW w:w="959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92"/>
        <w:gridCol w:w="1109"/>
        <w:gridCol w:w="1292"/>
        <w:gridCol w:w="1267"/>
        <w:gridCol w:w="951"/>
        <w:gridCol w:w="700"/>
        <w:gridCol w:w="992"/>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743"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序号</w:t>
            </w:r>
          </w:p>
        </w:tc>
        <w:tc>
          <w:tcPr>
            <w:tcW w:w="1292"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产品名称</w:t>
            </w:r>
          </w:p>
        </w:tc>
        <w:tc>
          <w:tcPr>
            <w:tcW w:w="1109"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商标品牌</w:t>
            </w:r>
          </w:p>
        </w:tc>
        <w:tc>
          <w:tcPr>
            <w:tcW w:w="1292"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规格型号</w:t>
            </w:r>
          </w:p>
        </w:tc>
        <w:tc>
          <w:tcPr>
            <w:tcW w:w="1267"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生产厂家</w:t>
            </w:r>
          </w:p>
        </w:tc>
        <w:tc>
          <w:tcPr>
            <w:tcW w:w="951"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数量</w:t>
            </w:r>
          </w:p>
        </w:tc>
        <w:tc>
          <w:tcPr>
            <w:tcW w:w="700"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单位</w:t>
            </w:r>
          </w:p>
        </w:tc>
        <w:tc>
          <w:tcPr>
            <w:tcW w:w="992"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单价</w:t>
            </w:r>
          </w:p>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（元）</w:t>
            </w:r>
          </w:p>
        </w:tc>
        <w:tc>
          <w:tcPr>
            <w:tcW w:w="1245" w:type="dxa"/>
            <w:vAlign w:val="center"/>
          </w:tcPr>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金额</w:t>
            </w:r>
          </w:p>
          <w:p>
            <w:pPr>
              <w:shd w:val="clear"/>
              <w:snapToGrid w:val="0"/>
              <w:spacing w:line="380" w:lineRule="exact"/>
              <w:jc w:val="center"/>
              <w:rPr>
                <w:rFonts w:asci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743" w:type="dxa"/>
            <w:vAlign w:val="center"/>
          </w:tcPr>
          <w:p>
            <w:pPr>
              <w:shd w:val="clear"/>
              <w:snapToGrid w:val="0"/>
              <w:spacing w:line="380" w:lineRule="exact"/>
              <w:jc w:val="center"/>
              <w:rPr>
                <w:rFonts w:ascii="宋体"/>
                <w:color w:val="auto"/>
                <w:szCs w:val="21"/>
                <w:highlight w:val="none"/>
              </w:rPr>
            </w:pPr>
            <w:r>
              <w:rPr>
                <w:rFonts w:ascii="宋体" w:hAnsi="宋体"/>
                <w:color w:val="auto"/>
                <w:szCs w:val="21"/>
                <w:highlight w:val="none"/>
              </w:rPr>
              <w:t>1</w:t>
            </w:r>
          </w:p>
        </w:tc>
        <w:tc>
          <w:tcPr>
            <w:tcW w:w="1292" w:type="dxa"/>
            <w:vAlign w:val="center"/>
          </w:tcPr>
          <w:p>
            <w:pPr>
              <w:shd w:val="clear"/>
              <w:snapToGrid w:val="0"/>
              <w:spacing w:line="380" w:lineRule="exact"/>
              <w:jc w:val="center"/>
              <w:rPr>
                <w:rFonts w:ascii="宋体"/>
                <w:color w:val="auto"/>
                <w:szCs w:val="21"/>
                <w:highlight w:val="none"/>
              </w:rPr>
            </w:pPr>
          </w:p>
        </w:tc>
        <w:tc>
          <w:tcPr>
            <w:tcW w:w="1109" w:type="dxa"/>
            <w:vAlign w:val="center"/>
          </w:tcPr>
          <w:p>
            <w:pPr>
              <w:shd w:val="clear"/>
              <w:snapToGrid w:val="0"/>
              <w:spacing w:line="380" w:lineRule="exact"/>
              <w:jc w:val="center"/>
              <w:rPr>
                <w:rFonts w:ascii="宋体"/>
                <w:color w:val="auto"/>
                <w:szCs w:val="21"/>
                <w:highlight w:val="none"/>
              </w:rPr>
            </w:pPr>
          </w:p>
        </w:tc>
        <w:tc>
          <w:tcPr>
            <w:tcW w:w="1292" w:type="dxa"/>
            <w:vAlign w:val="center"/>
          </w:tcPr>
          <w:p>
            <w:pPr>
              <w:shd w:val="clear"/>
              <w:snapToGrid w:val="0"/>
              <w:spacing w:line="380" w:lineRule="exact"/>
              <w:jc w:val="center"/>
              <w:rPr>
                <w:rFonts w:ascii="宋体"/>
                <w:color w:val="auto"/>
                <w:szCs w:val="21"/>
                <w:highlight w:val="none"/>
              </w:rPr>
            </w:pPr>
          </w:p>
        </w:tc>
        <w:tc>
          <w:tcPr>
            <w:tcW w:w="1267" w:type="dxa"/>
          </w:tcPr>
          <w:p>
            <w:pPr>
              <w:shd w:val="clear"/>
              <w:snapToGrid w:val="0"/>
              <w:spacing w:line="380" w:lineRule="exact"/>
              <w:jc w:val="center"/>
              <w:rPr>
                <w:rFonts w:ascii="宋体"/>
                <w:color w:val="auto"/>
                <w:szCs w:val="21"/>
                <w:highlight w:val="none"/>
              </w:rPr>
            </w:pPr>
          </w:p>
        </w:tc>
        <w:tc>
          <w:tcPr>
            <w:tcW w:w="951" w:type="dxa"/>
          </w:tcPr>
          <w:p>
            <w:pPr>
              <w:shd w:val="clear"/>
              <w:snapToGrid w:val="0"/>
              <w:spacing w:line="380" w:lineRule="exact"/>
              <w:jc w:val="center"/>
              <w:rPr>
                <w:rFonts w:ascii="宋体"/>
                <w:color w:val="auto"/>
                <w:szCs w:val="21"/>
                <w:highlight w:val="none"/>
              </w:rPr>
            </w:pPr>
          </w:p>
        </w:tc>
        <w:tc>
          <w:tcPr>
            <w:tcW w:w="700" w:type="dxa"/>
          </w:tcPr>
          <w:p>
            <w:pPr>
              <w:shd w:val="clear"/>
              <w:snapToGrid w:val="0"/>
              <w:spacing w:line="380" w:lineRule="exact"/>
              <w:jc w:val="center"/>
              <w:rPr>
                <w:rFonts w:ascii="宋体"/>
                <w:color w:val="auto"/>
                <w:szCs w:val="21"/>
                <w:highlight w:val="none"/>
              </w:rPr>
            </w:pPr>
          </w:p>
        </w:tc>
        <w:tc>
          <w:tcPr>
            <w:tcW w:w="992" w:type="dxa"/>
            <w:vAlign w:val="center"/>
          </w:tcPr>
          <w:p>
            <w:pPr>
              <w:shd w:val="clear"/>
              <w:snapToGrid w:val="0"/>
              <w:spacing w:line="380" w:lineRule="exact"/>
              <w:jc w:val="center"/>
              <w:rPr>
                <w:rFonts w:ascii="宋体"/>
                <w:color w:val="auto"/>
                <w:szCs w:val="21"/>
                <w:highlight w:val="none"/>
              </w:rPr>
            </w:pPr>
          </w:p>
        </w:tc>
        <w:tc>
          <w:tcPr>
            <w:tcW w:w="1245" w:type="dxa"/>
            <w:vAlign w:val="center"/>
          </w:tcPr>
          <w:p>
            <w:pPr>
              <w:shd w:val="clear"/>
              <w:snapToGrid w:val="0"/>
              <w:spacing w:line="38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743" w:type="dxa"/>
            <w:vAlign w:val="center"/>
          </w:tcPr>
          <w:p>
            <w:pPr>
              <w:shd w:val="clear"/>
              <w:snapToGrid w:val="0"/>
              <w:spacing w:line="380" w:lineRule="exact"/>
              <w:jc w:val="center"/>
              <w:rPr>
                <w:rFonts w:ascii="宋体"/>
                <w:color w:val="auto"/>
                <w:szCs w:val="21"/>
                <w:highlight w:val="none"/>
              </w:rPr>
            </w:pPr>
            <w:r>
              <w:rPr>
                <w:rFonts w:ascii="宋体" w:hAnsi="宋体"/>
                <w:color w:val="auto"/>
                <w:szCs w:val="21"/>
                <w:highlight w:val="none"/>
              </w:rPr>
              <w:t>2</w:t>
            </w:r>
          </w:p>
        </w:tc>
        <w:tc>
          <w:tcPr>
            <w:tcW w:w="1292" w:type="dxa"/>
            <w:vAlign w:val="center"/>
          </w:tcPr>
          <w:p>
            <w:pPr>
              <w:shd w:val="clear"/>
              <w:snapToGrid w:val="0"/>
              <w:spacing w:line="380" w:lineRule="exact"/>
              <w:jc w:val="center"/>
              <w:rPr>
                <w:rFonts w:ascii="宋体"/>
                <w:color w:val="auto"/>
                <w:szCs w:val="21"/>
                <w:highlight w:val="none"/>
              </w:rPr>
            </w:pPr>
          </w:p>
        </w:tc>
        <w:tc>
          <w:tcPr>
            <w:tcW w:w="1109" w:type="dxa"/>
            <w:vAlign w:val="center"/>
          </w:tcPr>
          <w:p>
            <w:pPr>
              <w:shd w:val="clear"/>
              <w:snapToGrid w:val="0"/>
              <w:spacing w:line="380" w:lineRule="exact"/>
              <w:jc w:val="center"/>
              <w:rPr>
                <w:rFonts w:ascii="宋体"/>
                <w:color w:val="auto"/>
                <w:szCs w:val="21"/>
                <w:highlight w:val="none"/>
              </w:rPr>
            </w:pPr>
          </w:p>
        </w:tc>
        <w:tc>
          <w:tcPr>
            <w:tcW w:w="1292" w:type="dxa"/>
            <w:vAlign w:val="center"/>
          </w:tcPr>
          <w:p>
            <w:pPr>
              <w:shd w:val="clear"/>
              <w:snapToGrid w:val="0"/>
              <w:spacing w:line="380" w:lineRule="exact"/>
              <w:jc w:val="center"/>
              <w:rPr>
                <w:rFonts w:ascii="宋体"/>
                <w:color w:val="auto"/>
                <w:szCs w:val="21"/>
                <w:highlight w:val="none"/>
              </w:rPr>
            </w:pPr>
          </w:p>
        </w:tc>
        <w:tc>
          <w:tcPr>
            <w:tcW w:w="1267" w:type="dxa"/>
          </w:tcPr>
          <w:p>
            <w:pPr>
              <w:shd w:val="clear"/>
              <w:snapToGrid w:val="0"/>
              <w:spacing w:line="380" w:lineRule="exact"/>
              <w:jc w:val="center"/>
              <w:rPr>
                <w:rFonts w:ascii="宋体"/>
                <w:color w:val="auto"/>
                <w:szCs w:val="21"/>
                <w:highlight w:val="none"/>
              </w:rPr>
            </w:pPr>
          </w:p>
        </w:tc>
        <w:tc>
          <w:tcPr>
            <w:tcW w:w="951" w:type="dxa"/>
          </w:tcPr>
          <w:p>
            <w:pPr>
              <w:shd w:val="clear"/>
              <w:snapToGrid w:val="0"/>
              <w:spacing w:line="380" w:lineRule="exact"/>
              <w:jc w:val="center"/>
              <w:rPr>
                <w:rFonts w:ascii="宋体"/>
                <w:color w:val="auto"/>
                <w:szCs w:val="21"/>
                <w:highlight w:val="none"/>
              </w:rPr>
            </w:pPr>
          </w:p>
        </w:tc>
        <w:tc>
          <w:tcPr>
            <w:tcW w:w="700" w:type="dxa"/>
          </w:tcPr>
          <w:p>
            <w:pPr>
              <w:shd w:val="clear"/>
              <w:snapToGrid w:val="0"/>
              <w:spacing w:line="380" w:lineRule="exact"/>
              <w:jc w:val="center"/>
              <w:rPr>
                <w:rFonts w:ascii="宋体"/>
                <w:color w:val="auto"/>
                <w:szCs w:val="21"/>
                <w:highlight w:val="none"/>
              </w:rPr>
            </w:pPr>
          </w:p>
        </w:tc>
        <w:tc>
          <w:tcPr>
            <w:tcW w:w="992" w:type="dxa"/>
            <w:vAlign w:val="center"/>
          </w:tcPr>
          <w:p>
            <w:pPr>
              <w:shd w:val="clear"/>
              <w:snapToGrid w:val="0"/>
              <w:spacing w:line="380" w:lineRule="exact"/>
              <w:jc w:val="center"/>
              <w:rPr>
                <w:rFonts w:ascii="宋体"/>
                <w:color w:val="auto"/>
                <w:szCs w:val="21"/>
                <w:highlight w:val="none"/>
              </w:rPr>
            </w:pPr>
          </w:p>
        </w:tc>
        <w:tc>
          <w:tcPr>
            <w:tcW w:w="1245" w:type="dxa"/>
            <w:vAlign w:val="center"/>
          </w:tcPr>
          <w:p>
            <w:pPr>
              <w:shd w:val="clear"/>
              <w:snapToGrid w:val="0"/>
              <w:spacing w:line="38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743" w:type="dxa"/>
            <w:vAlign w:val="center"/>
          </w:tcPr>
          <w:p>
            <w:pPr>
              <w:shd w:val="clear"/>
              <w:snapToGrid w:val="0"/>
              <w:spacing w:line="380" w:lineRule="exact"/>
              <w:jc w:val="center"/>
              <w:rPr>
                <w:rFonts w:ascii="宋体"/>
                <w:color w:val="auto"/>
                <w:szCs w:val="21"/>
                <w:highlight w:val="none"/>
              </w:rPr>
            </w:pPr>
            <w:r>
              <w:rPr>
                <w:rFonts w:ascii="宋体" w:hAnsi="宋体"/>
                <w:color w:val="auto"/>
                <w:szCs w:val="21"/>
                <w:highlight w:val="none"/>
              </w:rPr>
              <w:t>3</w:t>
            </w:r>
          </w:p>
        </w:tc>
        <w:tc>
          <w:tcPr>
            <w:tcW w:w="1292" w:type="dxa"/>
            <w:vAlign w:val="center"/>
          </w:tcPr>
          <w:p>
            <w:pPr>
              <w:shd w:val="clear"/>
              <w:snapToGrid w:val="0"/>
              <w:spacing w:line="380" w:lineRule="exact"/>
              <w:jc w:val="center"/>
              <w:rPr>
                <w:rFonts w:ascii="宋体"/>
                <w:color w:val="auto"/>
                <w:szCs w:val="21"/>
                <w:highlight w:val="none"/>
              </w:rPr>
            </w:pPr>
          </w:p>
        </w:tc>
        <w:tc>
          <w:tcPr>
            <w:tcW w:w="1109" w:type="dxa"/>
            <w:vAlign w:val="center"/>
          </w:tcPr>
          <w:p>
            <w:pPr>
              <w:shd w:val="clear"/>
              <w:snapToGrid w:val="0"/>
              <w:spacing w:line="380" w:lineRule="exact"/>
              <w:jc w:val="center"/>
              <w:rPr>
                <w:rFonts w:ascii="宋体"/>
                <w:color w:val="auto"/>
                <w:szCs w:val="21"/>
                <w:highlight w:val="none"/>
              </w:rPr>
            </w:pPr>
          </w:p>
        </w:tc>
        <w:tc>
          <w:tcPr>
            <w:tcW w:w="1292" w:type="dxa"/>
            <w:vAlign w:val="center"/>
          </w:tcPr>
          <w:p>
            <w:pPr>
              <w:shd w:val="clear"/>
              <w:snapToGrid w:val="0"/>
              <w:spacing w:line="380" w:lineRule="exact"/>
              <w:jc w:val="center"/>
              <w:rPr>
                <w:rFonts w:ascii="宋体"/>
                <w:color w:val="auto"/>
                <w:szCs w:val="21"/>
                <w:highlight w:val="none"/>
              </w:rPr>
            </w:pPr>
          </w:p>
        </w:tc>
        <w:tc>
          <w:tcPr>
            <w:tcW w:w="1267" w:type="dxa"/>
          </w:tcPr>
          <w:p>
            <w:pPr>
              <w:shd w:val="clear"/>
              <w:snapToGrid w:val="0"/>
              <w:spacing w:line="380" w:lineRule="exact"/>
              <w:jc w:val="center"/>
              <w:rPr>
                <w:rFonts w:ascii="宋体"/>
                <w:color w:val="auto"/>
                <w:szCs w:val="21"/>
                <w:highlight w:val="none"/>
              </w:rPr>
            </w:pPr>
          </w:p>
        </w:tc>
        <w:tc>
          <w:tcPr>
            <w:tcW w:w="951" w:type="dxa"/>
          </w:tcPr>
          <w:p>
            <w:pPr>
              <w:shd w:val="clear"/>
              <w:snapToGrid w:val="0"/>
              <w:spacing w:line="380" w:lineRule="exact"/>
              <w:jc w:val="center"/>
              <w:rPr>
                <w:rFonts w:ascii="宋体"/>
                <w:color w:val="auto"/>
                <w:szCs w:val="21"/>
                <w:highlight w:val="none"/>
              </w:rPr>
            </w:pPr>
          </w:p>
        </w:tc>
        <w:tc>
          <w:tcPr>
            <w:tcW w:w="700" w:type="dxa"/>
          </w:tcPr>
          <w:p>
            <w:pPr>
              <w:shd w:val="clear"/>
              <w:snapToGrid w:val="0"/>
              <w:spacing w:line="380" w:lineRule="exact"/>
              <w:jc w:val="center"/>
              <w:rPr>
                <w:rFonts w:ascii="宋体"/>
                <w:color w:val="auto"/>
                <w:szCs w:val="21"/>
                <w:highlight w:val="none"/>
              </w:rPr>
            </w:pPr>
          </w:p>
        </w:tc>
        <w:tc>
          <w:tcPr>
            <w:tcW w:w="992" w:type="dxa"/>
            <w:vAlign w:val="center"/>
          </w:tcPr>
          <w:p>
            <w:pPr>
              <w:shd w:val="clear"/>
              <w:snapToGrid w:val="0"/>
              <w:spacing w:line="380" w:lineRule="exact"/>
              <w:jc w:val="center"/>
              <w:rPr>
                <w:rFonts w:ascii="宋体"/>
                <w:color w:val="auto"/>
                <w:szCs w:val="21"/>
                <w:highlight w:val="none"/>
              </w:rPr>
            </w:pPr>
          </w:p>
        </w:tc>
        <w:tc>
          <w:tcPr>
            <w:tcW w:w="1245" w:type="dxa"/>
            <w:vAlign w:val="center"/>
          </w:tcPr>
          <w:p>
            <w:pPr>
              <w:shd w:val="clear"/>
              <w:snapToGrid w:val="0"/>
              <w:spacing w:line="380" w:lineRule="exact"/>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591" w:type="dxa"/>
            <w:gridSpan w:val="9"/>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人民币合计金额（大写）（小写）</w:t>
            </w:r>
          </w:p>
        </w:tc>
      </w:tr>
    </w:tbl>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、合同合计金额包括货物价款，备件、专用工具、安装、调试、检验、技术培训及技术资料和包装、运输等全部费用。如招投标文件对其另有规定的，从其规定。</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第二条</w:t>
      </w:r>
      <w:r>
        <w:rPr>
          <w:rFonts w:hint="eastAsia" w:ascii="宋体" w:hAnsi="宋体"/>
          <w:color w:val="auto"/>
          <w:szCs w:val="21"/>
          <w:highlight w:val="none"/>
        </w:rPr>
        <w:t>　质量保证</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、乙方所提供的货物型号、技术规格、技术参数等质量必须与招投标文件和承诺相一致。乙方提供的节能和环保产品必须是列入政府采购清单的产品。</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、乙方所提供的货物必须是全新、未使用的原装产品，且在正常安装、使用和保养条件下，其使用寿命期内各项指标均达到质量要求。</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第三条</w:t>
      </w:r>
      <w:r>
        <w:rPr>
          <w:rFonts w:hint="eastAsia" w:ascii="宋体" w:hAnsi="宋体"/>
          <w:color w:val="auto"/>
          <w:szCs w:val="21"/>
          <w:highlight w:val="none"/>
        </w:rPr>
        <w:t>　权力保证</w:t>
      </w:r>
    </w:p>
    <w:p>
      <w:pPr>
        <w:shd w:val="clear"/>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乙方应保证所提供货物在使用时不会侵犯任何第三方的专利权、商标权、工业设计权或其他权利。</w:t>
      </w:r>
    </w:p>
    <w:p>
      <w:pPr>
        <w:shd w:val="clear"/>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乙方应按招标文件规定的时间向甲方提供使用货物的有关技术资料。</w:t>
      </w:r>
    </w:p>
    <w:p>
      <w:pPr>
        <w:shd w:val="clear"/>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hd w:val="clear"/>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乙方保证所交付的货物的所有权完全属于乙方且无任何抵押、质押、查封等产权瑕疵。</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第四条</w:t>
      </w:r>
      <w:r>
        <w:rPr>
          <w:rFonts w:hint="eastAsia" w:ascii="宋体" w:hAnsi="宋体"/>
          <w:color w:val="auto"/>
          <w:szCs w:val="21"/>
          <w:highlight w:val="none"/>
        </w:rPr>
        <w:t>　包装和运输</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、乙方提供的货物均应按招投标文件要求的包装材料、包装标准、包装方式进行包装，每一包装单元内应附详细的装箱单和质量合格证。</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、货物的运输方式：不限。</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、乙方负责货物运输，货物运输合理损耗及计算方法：本合同交付货物不接受损耗。</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第五条</w:t>
      </w:r>
      <w:r>
        <w:rPr>
          <w:rFonts w:hint="eastAsia" w:ascii="宋体" w:hAnsi="宋体"/>
          <w:color w:val="auto"/>
          <w:szCs w:val="21"/>
          <w:highlight w:val="none"/>
        </w:rPr>
        <w:t>　交付和验收</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、交货时间：</w:t>
      </w:r>
      <w:r>
        <w:rPr>
          <w:rFonts w:hint="eastAsia" w:ascii="宋体" w:hAnsi="宋体"/>
          <w:color w:val="auto"/>
          <w:szCs w:val="21"/>
          <w:highlight w:val="none"/>
          <w:u w:val="single"/>
        </w:rPr>
        <w:t xml:space="preserve">             。</w:t>
      </w:r>
    </w:p>
    <w:p>
      <w:pPr>
        <w:shd w:val="clear"/>
        <w:spacing w:line="360" w:lineRule="exact"/>
        <w:ind w:firstLine="420" w:firstLineChars="200"/>
        <w:rPr>
          <w:rFonts w:ascii="宋体"/>
          <w:color w:val="auto"/>
          <w:szCs w:val="21"/>
          <w:highlight w:val="none"/>
        </w:rPr>
      </w:pPr>
      <w:r>
        <w:rPr>
          <w:rFonts w:hint="eastAsia" w:ascii="宋体" w:hAnsi="宋体"/>
          <w:color w:val="auto"/>
          <w:szCs w:val="21"/>
          <w:highlight w:val="none"/>
        </w:rPr>
        <w:t>交货地点：</w:t>
      </w:r>
      <w:r>
        <w:rPr>
          <w:rFonts w:hint="eastAsia" w:ascii="宋体" w:hAnsi="宋体"/>
          <w:color w:val="auto"/>
          <w:szCs w:val="21"/>
          <w:highlight w:val="none"/>
          <w:u w:val="single"/>
        </w:rPr>
        <w:t xml:space="preserve">            。</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、乙方提供不符合招投标文件和本合同规定的货物，甲方有权拒绝接受。</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、乙方应将所提供货物的装箱清单、用户手册、原厂保修卡、随机资料、工具和备品、备件等交付给甲方，如有缺失应及时补齐，否则视为逾期交货。</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、甲方应当在到货（安装、调试完）后七个工作日内进行验收，逾期不验收的，乙方可视同验收合格。验收合格后由甲乙双方签署货物验收单并加盖采购单位公章，甲乙双方各执一份。</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、甲方对验收有异议的，在验收后五个工作日内以书面形式向乙方提出，乙方应自收到甲方书面异议后五个工作日内及时予以解决。</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第六条</w:t>
      </w:r>
      <w:r>
        <w:rPr>
          <w:rFonts w:hint="eastAsia" w:ascii="宋体" w:hAnsi="宋体"/>
          <w:color w:val="auto"/>
          <w:szCs w:val="21"/>
          <w:highlight w:val="none"/>
        </w:rPr>
        <w:t>　安装和培训</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、甲方应提供必要安装条件（如场地、电源、水源等）。</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、乙方负责甲方有关人员的培训。培训时间、地点：。</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第七条</w:t>
      </w:r>
      <w:r>
        <w:rPr>
          <w:rFonts w:hint="eastAsia" w:ascii="宋体" w:hAnsi="宋体"/>
          <w:color w:val="auto"/>
          <w:szCs w:val="21"/>
          <w:highlight w:val="none"/>
        </w:rPr>
        <w:t>售后服务、保修期</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、乙方应按照国家有关法律法规和“三包”规定以及招投标文件和本合同所附的《服务承诺》，为甲方提供售后服务。</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、货物保修期：</w:t>
      </w:r>
      <w:r>
        <w:rPr>
          <w:rFonts w:hint="eastAsia" w:ascii="宋体" w:hAnsi="宋体"/>
          <w:color w:val="auto"/>
          <w:szCs w:val="21"/>
          <w:highlight w:val="none"/>
          <w:u w:val="single"/>
        </w:rPr>
        <w:t>按乙方商务条款偏离表和售后服务方案</w:t>
      </w:r>
      <w:r>
        <w:rPr>
          <w:rFonts w:hint="eastAsia" w:ascii="宋体" w:hAnsi="宋体"/>
          <w:color w:val="auto"/>
          <w:szCs w:val="21"/>
          <w:highlight w:val="none"/>
        </w:rPr>
        <w:t>。</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、乙方提供的服务承诺和售后服务及保修期责任等其它具体约定事项。（见合同附件）</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第八条</w:t>
      </w:r>
      <w:r>
        <w:rPr>
          <w:rFonts w:hint="eastAsia" w:ascii="宋体" w:hAnsi="宋体"/>
          <w:color w:val="auto"/>
          <w:szCs w:val="21"/>
          <w:highlight w:val="none"/>
        </w:rPr>
        <w:t>　付款方式</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1</w:t>
      </w:r>
      <w:r>
        <w:rPr>
          <w:rFonts w:hint="eastAsia" w:hAnsi="宋体"/>
          <w:color w:val="auto"/>
          <w:highlight w:val="none"/>
        </w:rPr>
        <w:t>、当采购数量与实际使用数量不一致时，乙方应根据实际使用量供货，合同的最终结算金额按实际使用量乘以成交单价进行计算。</w:t>
      </w:r>
    </w:p>
    <w:p>
      <w:pPr>
        <w:shd w:val="clear"/>
        <w:snapToGrid w:val="0"/>
        <w:spacing w:line="360" w:lineRule="exact"/>
        <w:ind w:firstLine="420" w:firstLineChars="200"/>
        <w:rPr>
          <w:rFonts w:ascii="宋体"/>
          <w:color w:val="auto"/>
          <w:szCs w:val="21"/>
          <w:highlight w:val="none"/>
        </w:rPr>
      </w:pPr>
      <w:r>
        <w:rPr>
          <w:rFonts w:hint="eastAsia" w:ascii="宋体" w:hAnsi="宋体"/>
          <w:color w:val="auto"/>
          <w:szCs w:val="21"/>
          <w:highlight w:val="none"/>
        </w:rPr>
        <w:t>2. 资金性质：</w:t>
      </w:r>
      <w:r>
        <w:rPr>
          <w:rFonts w:hint="eastAsia" w:ascii="宋体" w:hAnsi="宋体"/>
          <w:color w:val="auto"/>
          <w:szCs w:val="21"/>
          <w:highlight w:val="none"/>
          <w:u w:val="single"/>
        </w:rPr>
        <w:t>财政性资金。</w:t>
      </w:r>
    </w:p>
    <w:p>
      <w:pPr>
        <w:shd w:val="clear"/>
        <w:snapToGrid w:val="0"/>
        <w:spacing w:line="360" w:lineRule="exact"/>
        <w:ind w:firstLine="420" w:firstLineChars="200"/>
        <w:rPr>
          <w:rFonts w:ascii="宋体" w:hAnsi="宋体"/>
          <w:color w:val="auto"/>
          <w:szCs w:val="21"/>
          <w:highlight w:val="none"/>
          <w:u w:val="single"/>
        </w:rPr>
      </w:pPr>
      <w:r>
        <w:rPr>
          <w:rFonts w:ascii="宋体" w:hAnsi="宋体"/>
          <w:color w:val="auto"/>
          <w:szCs w:val="21"/>
          <w:highlight w:val="none"/>
        </w:rPr>
        <w:t>3</w:t>
      </w:r>
      <w:r>
        <w:rPr>
          <w:rFonts w:hint="eastAsia" w:ascii="宋体" w:hAnsi="宋体"/>
          <w:color w:val="auto"/>
          <w:szCs w:val="21"/>
          <w:highlight w:val="none"/>
        </w:rPr>
        <w:t>、付款方式：</w:t>
      </w:r>
      <w:r>
        <w:rPr>
          <w:rFonts w:hint="eastAsia" w:ascii="宋体" w:hAnsi="宋体"/>
          <w:color w:val="auto"/>
          <w:szCs w:val="21"/>
          <w:highlight w:val="none"/>
          <w:u w:val="single"/>
        </w:rPr>
        <w:t>转账付款</w:t>
      </w:r>
    </w:p>
    <w:p>
      <w:pPr>
        <w:shd w:val="clear"/>
        <w:snapToGrid w:val="0"/>
        <w:spacing w:line="36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4、付款条件：</w:t>
      </w:r>
      <w:r>
        <w:rPr>
          <w:rFonts w:hint="eastAsia" w:ascii="宋体" w:hAnsi="宋体"/>
          <w:b/>
          <w:bCs/>
          <w:color w:val="auto"/>
          <w:szCs w:val="21"/>
          <w:highlight w:val="none"/>
          <w:u w:val="single"/>
        </w:rPr>
        <w:t>自甲乙双方签订合同之日起10个工作日内，甲方支付项目预付款   元整（  万元，占合同总金额50.00%）；项目完成终验且各项任务全部结束后，经甲乙双方确认，甲方在10个工作日内支付项目尾款    万元整（  万元，占合同总金额50%）。乙方需每次自收到合同款项之日起3个工作日内开具发票给甲方。</w:t>
      </w:r>
    </w:p>
    <w:p>
      <w:pPr>
        <w:shd w:val="clear"/>
        <w:snapToGrid w:val="0"/>
        <w:spacing w:line="360" w:lineRule="exact"/>
        <w:ind w:firstLine="514"/>
        <w:rPr>
          <w:rFonts w:ascii="宋体"/>
          <w:color w:val="auto"/>
          <w:szCs w:val="21"/>
          <w:highlight w:val="none"/>
        </w:rPr>
      </w:pPr>
      <w:r>
        <w:rPr>
          <w:rFonts w:hint="eastAsia" w:ascii="宋体" w:hAnsi="宋体"/>
          <w:b/>
          <w:color w:val="auto"/>
          <w:szCs w:val="21"/>
          <w:highlight w:val="none"/>
        </w:rPr>
        <w:t>第九条</w:t>
      </w:r>
      <w:r>
        <w:rPr>
          <w:rFonts w:hint="eastAsia" w:ascii="宋体" w:hAnsi="宋体"/>
          <w:color w:val="auto"/>
          <w:szCs w:val="21"/>
          <w:highlight w:val="none"/>
        </w:rPr>
        <w:t>税费</w:t>
      </w:r>
    </w:p>
    <w:p>
      <w:pPr>
        <w:shd w:val="clear"/>
        <w:snapToGrid w:val="0"/>
        <w:spacing w:line="360" w:lineRule="exact"/>
        <w:ind w:firstLine="514"/>
        <w:rPr>
          <w:rFonts w:ascii="宋体"/>
          <w:color w:val="auto"/>
          <w:szCs w:val="21"/>
          <w:highlight w:val="none"/>
        </w:rPr>
      </w:pPr>
      <w:r>
        <w:rPr>
          <w:rFonts w:hint="eastAsia" w:ascii="宋体" w:hAnsi="宋体"/>
          <w:color w:val="auto"/>
          <w:szCs w:val="21"/>
          <w:highlight w:val="none"/>
        </w:rPr>
        <w:t>本合同执行中相关的一切税费均由乙方负担。</w:t>
      </w:r>
    </w:p>
    <w:p>
      <w:pPr>
        <w:shd w:val="clear"/>
        <w:snapToGrid w:val="0"/>
        <w:spacing w:line="360" w:lineRule="exact"/>
        <w:ind w:firstLine="514"/>
        <w:rPr>
          <w:rFonts w:ascii="宋体"/>
          <w:color w:val="auto"/>
          <w:szCs w:val="21"/>
          <w:highlight w:val="none"/>
        </w:rPr>
      </w:pPr>
      <w:r>
        <w:rPr>
          <w:rFonts w:hint="eastAsia" w:ascii="宋体" w:hAnsi="宋体"/>
          <w:b/>
          <w:color w:val="auto"/>
          <w:szCs w:val="21"/>
          <w:highlight w:val="none"/>
        </w:rPr>
        <w:t>第十条</w:t>
      </w:r>
      <w:r>
        <w:rPr>
          <w:rFonts w:hint="eastAsia" w:ascii="宋体" w:hAnsi="宋体"/>
          <w:color w:val="auto"/>
          <w:szCs w:val="21"/>
          <w:highlight w:val="none"/>
        </w:rPr>
        <w:t>、质量保证及售后服务</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 xml:space="preserve">1. </w:t>
      </w:r>
      <w:r>
        <w:rPr>
          <w:rFonts w:hint="eastAsia" w:ascii="宋体" w:hAnsi="宋体"/>
          <w:color w:val="auto"/>
          <w:szCs w:val="21"/>
          <w:highlight w:val="none"/>
        </w:rPr>
        <w:t>乙方应按招标文件规定的货物性能、技术要求、质量标准向甲方提供未经使用的全新产品。不符合要求者，根据实际情况，经双方协商，可按以下办法处理：</w:t>
      </w:r>
    </w:p>
    <w:p>
      <w:pPr>
        <w:pStyle w:val="31"/>
        <w:shd w:val="clear"/>
        <w:snapToGrid w:val="0"/>
        <w:spacing w:line="360" w:lineRule="exact"/>
        <w:ind w:firstLine="420" w:firstLineChars="200"/>
        <w:rPr>
          <w:rFonts w:hAnsi="宋体"/>
          <w:color w:val="auto"/>
          <w:highlight w:val="none"/>
        </w:rPr>
      </w:pPr>
      <w:r>
        <w:rPr>
          <w:rFonts w:hint="eastAsia" w:hAnsi="宋体"/>
          <w:color w:val="auto"/>
          <w:highlight w:val="none"/>
        </w:rPr>
        <w:t>⑴更换：由乙方承担所发生的全部费用。</w:t>
      </w:r>
    </w:p>
    <w:p>
      <w:pPr>
        <w:pStyle w:val="31"/>
        <w:shd w:val="clear"/>
        <w:snapToGrid w:val="0"/>
        <w:spacing w:line="360" w:lineRule="exact"/>
        <w:ind w:firstLine="420"/>
        <w:rPr>
          <w:rFonts w:hAnsi="宋体"/>
          <w:color w:val="auto"/>
          <w:highlight w:val="none"/>
        </w:rPr>
      </w:pPr>
      <w:r>
        <w:rPr>
          <w:rFonts w:hint="eastAsia" w:hAnsi="宋体"/>
          <w:color w:val="auto"/>
          <w:highlight w:val="none"/>
        </w:rPr>
        <w:t>⑵贬值处理：由甲乙双方合议定价。</w:t>
      </w:r>
    </w:p>
    <w:p>
      <w:pPr>
        <w:pStyle w:val="31"/>
        <w:shd w:val="clear"/>
        <w:snapToGrid w:val="0"/>
        <w:spacing w:line="360" w:lineRule="exact"/>
        <w:ind w:left="420" w:leftChars="200"/>
        <w:rPr>
          <w:rFonts w:hAnsi="宋体"/>
          <w:color w:val="auto"/>
          <w:highlight w:val="none"/>
        </w:rPr>
      </w:pPr>
      <w:r>
        <w:rPr>
          <w:rFonts w:hint="eastAsia" w:hAnsi="宋体"/>
          <w:color w:val="auto"/>
          <w:highlight w:val="none"/>
        </w:rPr>
        <w:t>⑶退货处理：乙方应退还甲方支付的合同款，同时应承担该货物的直接费用（运输、保险、检验、货款利息及银行手续费等）。</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3. </w:t>
      </w:r>
      <w:r>
        <w:rPr>
          <w:rFonts w:hint="eastAsia" w:hAnsi="宋体"/>
          <w:color w:val="auto"/>
          <w:highlight w:val="none"/>
        </w:rPr>
        <w:t>如在使用过程中发生质量问题，乙方在接到甲方通知后</w:t>
      </w:r>
      <w:r>
        <w:rPr>
          <w:rFonts w:hAnsi="宋体"/>
          <w:color w:val="auto"/>
          <w:highlight w:val="none"/>
        </w:rPr>
        <w:t>48</w:t>
      </w:r>
      <w:r>
        <w:rPr>
          <w:rFonts w:hint="eastAsia" w:hAnsi="宋体"/>
          <w:color w:val="auto"/>
          <w:highlight w:val="none"/>
        </w:rPr>
        <w:t>小时内到达甲方现场处理。</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4. </w:t>
      </w:r>
      <w:r>
        <w:rPr>
          <w:rFonts w:hint="eastAsia" w:hAnsi="宋体"/>
          <w:color w:val="auto"/>
          <w:highlight w:val="none"/>
        </w:rPr>
        <w:t>在质保期内，乙方应对货物出现的质量及安全问题负责处理解决并承担一切费用。</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上述的货物免费保修期为投标文件中承诺的保修期，因人为因素出现的故障不在免费保修范围内。超过保修期的机器设备，终生维修，维修时只收部件成本费。</w:t>
      </w:r>
    </w:p>
    <w:p>
      <w:pPr>
        <w:shd w:val="clear"/>
        <w:snapToGrid w:val="0"/>
        <w:spacing w:line="360" w:lineRule="exact"/>
        <w:ind w:firstLine="514"/>
        <w:rPr>
          <w:rFonts w:ascii="宋体"/>
          <w:color w:val="auto"/>
          <w:szCs w:val="21"/>
          <w:highlight w:val="none"/>
        </w:rPr>
      </w:pPr>
      <w:r>
        <w:rPr>
          <w:rFonts w:hint="eastAsia" w:ascii="宋体" w:hAnsi="宋体"/>
          <w:b/>
          <w:color w:val="auto"/>
          <w:szCs w:val="21"/>
          <w:highlight w:val="none"/>
        </w:rPr>
        <w:t>第十一条</w:t>
      </w:r>
      <w:r>
        <w:rPr>
          <w:rFonts w:hint="eastAsia" w:ascii="宋体" w:hAnsi="宋体"/>
          <w:color w:val="auto"/>
          <w:szCs w:val="21"/>
          <w:highlight w:val="none"/>
        </w:rPr>
        <w:t>调试和验收</w:t>
      </w:r>
    </w:p>
    <w:p>
      <w:pPr>
        <w:pStyle w:val="31"/>
        <w:shd w:val="clear"/>
        <w:snapToGrid w:val="0"/>
        <w:spacing w:line="360" w:lineRule="exact"/>
        <w:ind w:firstLine="420" w:firstLineChars="200"/>
        <w:jc w:val="left"/>
        <w:rPr>
          <w:rFonts w:hAnsi="宋体"/>
          <w:color w:val="auto"/>
          <w:highlight w:val="none"/>
        </w:rPr>
      </w:pPr>
      <w:r>
        <w:rPr>
          <w:rFonts w:hAnsi="宋体"/>
          <w:color w:val="auto"/>
          <w:highlight w:val="none"/>
        </w:rPr>
        <w:t xml:space="preserve">1. </w:t>
      </w:r>
      <w:r>
        <w:rPr>
          <w:rFonts w:hint="eastAsia" w:hAnsi="宋体"/>
          <w:color w:val="auto"/>
          <w:highlight w:val="none"/>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2. </w:t>
      </w:r>
      <w:r>
        <w:rPr>
          <w:rFonts w:hint="eastAsia" w:hAnsi="宋体"/>
          <w:color w:val="auto"/>
          <w:highlight w:val="none"/>
        </w:rPr>
        <w:t>乙方交货前应对产品作出全面检查和对验收文件进行整理，并列出清单，作为甲方收货验收和使用的技术条件依据，检验的结果应随货物交甲方。</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3. </w:t>
      </w:r>
      <w:r>
        <w:rPr>
          <w:rFonts w:hint="eastAsia" w:hAnsi="宋体"/>
          <w:color w:val="auto"/>
          <w:highlight w:val="none"/>
        </w:rPr>
        <w:t>甲方对乙方提供的货物在使用前进行调试时，乙方需负责安装并培训甲方的使用操作人员，并协助甲方一起调试，直到符合技术要求，甲方才做最终验收。</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4. </w:t>
      </w:r>
      <w:r>
        <w:rPr>
          <w:rFonts w:hint="eastAsia" w:hAnsi="宋体"/>
          <w:color w:val="auto"/>
          <w:highlight w:val="none"/>
        </w:rPr>
        <w:t>对技术复杂的货物，甲方应请国家认可的专业检测机构参与初步验收及最终验收，并由其出具质量检测报告。</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验收时乙方必须在现场，验收完毕后作出验收结果报告；验收费用由乙方负责。</w:t>
      </w:r>
    </w:p>
    <w:p>
      <w:pPr>
        <w:pStyle w:val="31"/>
        <w:shd w:val="clear"/>
        <w:snapToGrid w:val="0"/>
        <w:spacing w:line="360" w:lineRule="exact"/>
        <w:ind w:firstLine="413" w:firstLineChars="196"/>
        <w:rPr>
          <w:rFonts w:hAnsi="宋体"/>
          <w:color w:val="auto"/>
          <w:highlight w:val="none"/>
        </w:rPr>
      </w:pPr>
      <w:r>
        <w:rPr>
          <w:rFonts w:hint="eastAsia" w:hAnsi="宋体"/>
          <w:b/>
          <w:color w:val="auto"/>
          <w:highlight w:val="none"/>
        </w:rPr>
        <w:t>第十二条</w:t>
      </w:r>
      <w:r>
        <w:rPr>
          <w:rFonts w:hint="eastAsia" w:hAnsi="宋体"/>
          <w:color w:val="auto"/>
          <w:highlight w:val="none"/>
        </w:rPr>
        <w:t>、货物包装、发运及运输</w:t>
      </w:r>
    </w:p>
    <w:p>
      <w:pPr>
        <w:pStyle w:val="31"/>
        <w:shd w:val="clear"/>
        <w:snapToGrid w:val="0"/>
        <w:spacing w:line="360" w:lineRule="exact"/>
        <w:ind w:left="420" w:leftChars="200"/>
        <w:rPr>
          <w:rFonts w:hAnsi="宋体"/>
          <w:color w:val="auto"/>
          <w:highlight w:val="none"/>
        </w:rPr>
      </w:pPr>
      <w:r>
        <w:rPr>
          <w:rFonts w:hAnsi="宋体"/>
          <w:color w:val="auto"/>
          <w:highlight w:val="none"/>
        </w:rPr>
        <w:t xml:space="preserve">1. </w:t>
      </w:r>
      <w:r>
        <w:rPr>
          <w:rFonts w:hint="eastAsia" w:hAnsi="宋体"/>
          <w:color w:val="auto"/>
          <w:highlight w:val="none"/>
        </w:rPr>
        <w:t>乙方应在货物发运前对其进行满足运输距离、防潮、防震、防锈和防破损装卸等要求包装，以保证货物安全运达甲方指定地点。</w:t>
      </w:r>
    </w:p>
    <w:p>
      <w:pPr>
        <w:pStyle w:val="31"/>
        <w:shd w:val="clear"/>
        <w:snapToGrid w:val="0"/>
        <w:spacing w:line="360" w:lineRule="exact"/>
        <w:ind w:left="420" w:leftChars="200"/>
        <w:rPr>
          <w:rFonts w:hAnsi="宋体"/>
          <w:color w:val="auto"/>
          <w:highlight w:val="none"/>
        </w:rPr>
      </w:pPr>
      <w:r>
        <w:rPr>
          <w:rFonts w:hAnsi="宋体"/>
          <w:color w:val="auto"/>
          <w:highlight w:val="none"/>
        </w:rPr>
        <w:t xml:space="preserve">2. </w:t>
      </w:r>
      <w:r>
        <w:rPr>
          <w:rFonts w:hint="eastAsia" w:hAnsi="宋体"/>
          <w:color w:val="auto"/>
          <w:highlight w:val="none"/>
        </w:rPr>
        <w:t>使用说明书、质量检验证明书、随配附件和工具以及清单一并附于货物内。</w:t>
      </w:r>
    </w:p>
    <w:p>
      <w:pPr>
        <w:pStyle w:val="31"/>
        <w:shd w:val="clear"/>
        <w:snapToGrid w:val="0"/>
        <w:spacing w:line="360" w:lineRule="exact"/>
        <w:ind w:left="420" w:leftChars="200"/>
        <w:rPr>
          <w:rFonts w:hAnsi="宋体"/>
          <w:color w:val="auto"/>
          <w:highlight w:val="none"/>
        </w:rPr>
      </w:pPr>
      <w:r>
        <w:rPr>
          <w:rFonts w:hAnsi="宋体"/>
          <w:color w:val="auto"/>
          <w:highlight w:val="none"/>
        </w:rPr>
        <w:t xml:space="preserve">3. </w:t>
      </w:r>
      <w:r>
        <w:rPr>
          <w:rFonts w:hint="eastAsia" w:hAnsi="宋体"/>
          <w:color w:val="auto"/>
          <w:highlight w:val="none"/>
        </w:rPr>
        <w:t>乙方在货物发运手续办理完毕后二十四小时内或货到甲方四十八小时前通知甲方，以准备接货。</w:t>
      </w:r>
    </w:p>
    <w:p>
      <w:pPr>
        <w:pStyle w:val="31"/>
        <w:shd w:val="clear"/>
        <w:snapToGrid w:val="0"/>
        <w:spacing w:line="360" w:lineRule="exact"/>
        <w:ind w:left="420" w:leftChars="200"/>
        <w:rPr>
          <w:rFonts w:hAnsi="宋体"/>
          <w:color w:val="auto"/>
          <w:highlight w:val="none"/>
        </w:rPr>
      </w:pPr>
      <w:r>
        <w:rPr>
          <w:rFonts w:hAnsi="宋体"/>
          <w:color w:val="auto"/>
          <w:highlight w:val="none"/>
        </w:rPr>
        <w:t xml:space="preserve">4. </w:t>
      </w:r>
      <w:r>
        <w:rPr>
          <w:rFonts w:hint="eastAsia" w:hAnsi="宋体"/>
          <w:color w:val="auto"/>
          <w:highlight w:val="none"/>
        </w:rPr>
        <w:t>货物在交付甲方前发生的风险均由乙方负责。</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 xml:space="preserve">5. </w:t>
      </w:r>
      <w:r>
        <w:rPr>
          <w:rFonts w:hint="eastAsia" w:ascii="宋体" w:hAnsi="宋体"/>
          <w:color w:val="auto"/>
          <w:szCs w:val="21"/>
          <w:highlight w:val="none"/>
        </w:rPr>
        <w:t>货物在规定的交付期限内由乙方送达甲方指定的地点视为交付，乙方同时需通知甲方货物已送达。</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第十三条</w:t>
      </w:r>
      <w:r>
        <w:rPr>
          <w:rFonts w:hint="eastAsia" w:ascii="宋体" w:hAnsi="宋体"/>
          <w:color w:val="auto"/>
          <w:szCs w:val="21"/>
          <w:highlight w:val="none"/>
        </w:rPr>
        <w:t>　违约责任</w:t>
      </w:r>
    </w:p>
    <w:p>
      <w:pPr>
        <w:shd w:val="clear"/>
        <w:snapToGrid w:val="0"/>
        <w:spacing w:line="360" w:lineRule="exact"/>
        <w:ind w:firstLine="525" w:firstLineChars="25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、乙方所提供的货物规格、技术标准、材料等质量不合格的，应及时更换，更换不及时的按逾期交货处罚；因质量问题甲方不同意接收的或特殊情况甲方同意接收的，乙方应向甲方支付违约货款额</w:t>
      </w:r>
      <w:r>
        <w:rPr>
          <w:rFonts w:ascii="宋体" w:hAnsi="宋体"/>
          <w:color w:val="auto"/>
          <w:szCs w:val="21"/>
          <w:highlight w:val="none"/>
          <w:u w:val="single"/>
        </w:rPr>
        <w:t>10%</w:t>
      </w:r>
      <w:r>
        <w:rPr>
          <w:rFonts w:hint="eastAsia" w:ascii="宋体" w:hAnsi="宋体"/>
          <w:color w:val="auto"/>
          <w:szCs w:val="21"/>
          <w:highlight w:val="none"/>
        </w:rPr>
        <w:t>违约金并赔偿甲方经济损失。</w:t>
      </w:r>
    </w:p>
    <w:p>
      <w:pPr>
        <w:shd w:val="clear"/>
        <w:snapToGrid w:val="0"/>
        <w:spacing w:line="360" w:lineRule="exact"/>
        <w:ind w:firstLine="472" w:firstLineChars="225"/>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、乙方提供的货物如侵犯了第三方合法权益而引发的任何纠纷或诉讼，均由乙方负责交涉并承担全部责任。</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、因包装、运输引起的货物损坏，按质量不合格处罚。</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、甲方无故延期接收货物、乙方逾期交货的，每天向对方偿付违约货款额</w:t>
      </w:r>
      <w:r>
        <w:rPr>
          <w:rFonts w:ascii="宋体" w:hAnsi="宋体"/>
          <w:color w:val="auto"/>
          <w:szCs w:val="21"/>
          <w:highlight w:val="none"/>
          <w:u w:val="single"/>
        </w:rPr>
        <w:t>3</w:t>
      </w:r>
      <w:r>
        <w:rPr>
          <w:rFonts w:hint="eastAsia" w:ascii="宋体" w:hAnsi="宋体"/>
          <w:color w:val="auto"/>
          <w:szCs w:val="21"/>
          <w:highlight w:val="none"/>
          <w:u w:val="single"/>
        </w:rPr>
        <w:t>‰</w:t>
      </w:r>
      <w:r>
        <w:rPr>
          <w:rFonts w:hint="eastAsia" w:ascii="宋体" w:hAnsi="宋体"/>
          <w:color w:val="auto"/>
          <w:szCs w:val="21"/>
          <w:highlight w:val="none"/>
        </w:rPr>
        <w:t>违约金，但违约金累计不得超过违约货款额</w:t>
      </w:r>
      <w:r>
        <w:rPr>
          <w:rFonts w:ascii="宋体" w:hAnsi="宋体"/>
          <w:color w:val="auto"/>
          <w:szCs w:val="21"/>
          <w:highlight w:val="none"/>
          <w:u w:val="single"/>
        </w:rPr>
        <w:t>5%</w:t>
      </w:r>
      <w:r>
        <w:rPr>
          <w:rFonts w:hint="eastAsia" w:ascii="宋体" w:hAnsi="宋体"/>
          <w:color w:val="auto"/>
          <w:szCs w:val="21"/>
          <w:highlight w:val="none"/>
        </w:rPr>
        <w:t>，超过</w:t>
      </w:r>
      <w:r>
        <w:rPr>
          <w:rFonts w:ascii="宋体" w:hAnsi="宋体"/>
          <w:color w:val="auto"/>
          <w:szCs w:val="21"/>
          <w:highlight w:val="none"/>
          <w:u w:val="single"/>
        </w:rPr>
        <w:t xml:space="preserve"> 10 </w:t>
      </w:r>
      <w:r>
        <w:rPr>
          <w:rFonts w:hint="eastAsia" w:ascii="宋体" w:hAnsi="宋体"/>
          <w:color w:val="auto"/>
          <w:szCs w:val="21"/>
          <w:highlight w:val="none"/>
          <w:u w:val="single"/>
        </w:rPr>
        <w:t>天</w:t>
      </w:r>
      <w:r>
        <w:rPr>
          <w:rFonts w:hint="eastAsia" w:ascii="宋体" w:hAnsi="宋体"/>
          <w:color w:val="auto"/>
          <w:szCs w:val="21"/>
          <w:highlight w:val="none"/>
        </w:rPr>
        <w:t>对方有权解除合同，违约方承担因此给对方造成经济损失；甲方延期付货款的，每天向乙方偿付延期货款额</w:t>
      </w:r>
      <w:r>
        <w:rPr>
          <w:rFonts w:ascii="宋体" w:hAnsi="宋体"/>
          <w:color w:val="auto"/>
          <w:szCs w:val="21"/>
          <w:highlight w:val="none"/>
          <w:u w:val="single"/>
        </w:rPr>
        <w:t>3</w:t>
      </w:r>
      <w:r>
        <w:rPr>
          <w:rFonts w:hint="eastAsia" w:ascii="宋体" w:hAnsi="宋体"/>
          <w:color w:val="auto"/>
          <w:szCs w:val="21"/>
          <w:highlight w:val="none"/>
          <w:u w:val="single"/>
        </w:rPr>
        <w:t>‰</w:t>
      </w:r>
      <w:r>
        <w:rPr>
          <w:rFonts w:hint="eastAsia" w:ascii="宋体" w:hAnsi="宋体"/>
          <w:color w:val="auto"/>
          <w:szCs w:val="21"/>
          <w:highlight w:val="none"/>
        </w:rPr>
        <w:t>滞纳金，但滞纳金累计不得超过延期货款额</w:t>
      </w:r>
      <w:r>
        <w:rPr>
          <w:rFonts w:ascii="宋体" w:hAnsi="宋体"/>
          <w:color w:val="auto"/>
          <w:szCs w:val="21"/>
          <w:highlight w:val="none"/>
          <w:u w:val="single"/>
        </w:rPr>
        <w:t>5%</w:t>
      </w:r>
      <w:r>
        <w:rPr>
          <w:rFonts w:hint="eastAsia" w:ascii="宋体" w:hAnsi="宋体"/>
          <w:color w:val="auto"/>
          <w:szCs w:val="21"/>
          <w:highlight w:val="none"/>
        </w:rPr>
        <w:t>。</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、乙方未按本合同和投标文件中规定的服务承诺提供售后服务的，乙方应按本合同合计金额</w:t>
      </w:r>
      <w:r>
        <w:rPr>
          <w:rFonts w:ascii="宋体" w:hAnsi="宋体"/>
          <w:color w:val="auto"/>
          <w:szCs w:val="21"/>
          <w:highlight w:val="none"/>
        </w:rPr>
        <w:t xml:space="preserve"> 5%</w:t>
      </w:r>
      <w:r>
        <w:rPr>
          <w:rFonts w:hint="eastAsia" w:ascii="宋体" w:hAnsi="宋体"/>
          <w:color w:val="auto"/>
          <w:szCs w:val="21"/>
          <w:highlight w:val="none"/>
        </w:rPr>
        <w:t>向甲方支付违约金。</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、乙方提供的货物在质量保证期内，因设计、工艺或材料的缺陷和其它质量原因造成的问题，由乙方负责。</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、其它违约行为按违约货款额</w:t>
      </w:r>
      <w:r>
        <w:rPr>
          <w:rFonts w:ascii="宋体" w:hAnsi="宋体"/>
          <w:color w:val="auto"/>
          <w:szCs w:val="21"/>
          <w:highlight w:val="none"/>
          <w:u w:val="single"/>
        </w:rPr>
        <w:t>10%</w:t>
      </w:r>
      <w:r>
        <w:rPr>
          <w:rFonts w:hint="eastAsia" w:ascii="宋体" w:hAnsi="宋体"/>
          <w:color w:val="auto"/>
          <w:szCs w:val="21"/>
          <w:highlight w:val="none"/>
        </w:rPr>
        <w:t>收取违约金并赔偿经济损失。</w:t>
      </w:r>
    </w:p>
    <w:p>
      <w:pPr>
        <w:pStyle w:val="31"/>
        <w:shd w:val="clear"/>
        <w:snapToGrid w:val="0"/>
        <w:spacing w:line="360" w:lineRule="exact"/>
        <w:ind w:firstLine="413" w:firstLineChars="196"/>
        <w:rPr>
          <w:rFonts w:hAnsi="宋体"/>
          <w:b/>
          <w:color w:val="auto"/>
          <w:highlight w:val="none"/>
        </w:rPr>
      </w:pPr>
      <w:r>
        <w:rPr>
          <w:rFonts w:hint="eastAsia" w:hAnsi="宋体"/>
          <w:b/>
          <w:color w:val="auto"/>
          <w:highlight w:val="none"/>
        </w:rPr>
        <w:t>第十四条、</w:t>
      </w:r>
      <w:r>
        <w:rPr>
          <w:rFonts w:hint="eastAsia" w:hAnsi="宋体"/>
          <w:color w:val="auto"/>
          <w:highlight w:val="none"/>
        </w:rPr>
        <w:t>不可抗力事件处理</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1. </w:t>
      </w:r>
      <w:r>
        <w:rPr>
          <w:rFonts w:hint="eastAsia" w:hAnsi="宋体"/>
          <w:color w:val="auto"/>
          <w:highlight w:val="none"/>
        </w:rPr>
        <w:t>在合同有效期内，任何一方因不可抗力事件导致不能履行合同，则合同履行期可延长，其延长期与不可抗力影响期相同。</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2. </w:t>
      </w:r>
      <w:r>
        <w:rPr>
          <w:rFonts w:hint="eastAsia" w:hAnsi="宋体"/>
          <w:color w:val="auto"/>
          <w:highlight w:val="none"/>
        </w:rPr>
        <w:t>不可抗力事件发生后，应立即通知对方，并寄送有关权威机构出具的证明。</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 xml:space="preserve">3. </w:t>
      </w:r>
      <w:r>
        <w:rPr>
          <w:rFonts w:hint="eastAsia" w:ascii="宋体" w:hAnsi="宋体"/>
          <w:color w:val="auto"/>
          <w:szCs w:val="21"/>
          <w:highlight w:val="none"/>
        </w:rPr>
        <w:t>不可抗力事件延续一百二十天以上，双方应通过友好协商，确定是否继续履行合同。</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第十五条</w:t>
      </w:r>
      <w:r>
        <w:rPr>
          <w:rFonts w:hint="eastAsia" w:ascii="宋体" w:hAnsi="宋体"/>
          <w:color w:val="auto"/>
          <w:szCs w:val="21"/>
          <w:highlight w:val="none"/>
        </w:rPr>
        <w:t>合同争议解决</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、因货物质量问题发生争议的，应邀请国家认可的质量检测机构对货物质量进行鉴定。货物符合标准的，鉴定费由甲方承担；货物不符合标准的，鉴定费由乙方承担。</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、因履行本合同引起的或与本合同有关的争议，甲乙双方应首先通过友好协商解决，如果协商不能解决，可向甲方所在地仲裁委员会申请仲裁或向甲方所在地人民法院提起诉讼。</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、诉讼期间，本合同继续履行。</w:t>
      </w:r>
    </w:p>
    <w:p>
      <w:pPr>
        <w:pStyle w:val="31"/>
        <w:shd w:val="clear"/>
        <w:snapToGrid w:val="0"/>
        <w:spacing w:line="360" w:lineRule="exact"/>
        <w:ind w:firstLine="413" w:firstLineChars="196"/>
        <w:rPr>
          <w:rFonts w:hAnsi="宋体"/>
          <w:color w:val="auto"/>
          <w:highlight w:val="none"/>
        </w:rPr>
      </w:pPr>
      <w:r>
        <w:rPr>
          <w:rFonts w:hint="eastAsia" w:hAnsi="宋体"/>
          <w:b/>
          <w:color w:val="auto"/>
          <w:highlight w:val="none"/>
        </w:rPr>
        <w:t>第十六条</w:t>
      </w:r>
      <w:r>
        <w:rPr>
          <w:rFonts w:hint="eastAsia" w:hAnsi="宋体"/>
          <w:color w:val="auto"/>
          <w:highlight w:val="none"/>
        </w:rPr>
        <w:t>、诉讼</w:t>
      </w:r>
    </w:p>
    <w:p>
      <w:pPr>
        <w:shd w:val="clear"/>
        <w:snapToGrid w:val="0"/>
        <w:spacing w:line="360" w:lineRule="exact"/>
        <w:ind w:firstLine="514"/>
        <w:rPr>
          <w:rFonts w:ascii="宋体"/>
          <w:color w:val="auto"/>
          <w:szCs w:val="21"/>
          <w:highlight w:val="none"/>
        </w:rPr>
      </w:pPr>
      <w:r>
        <w:rPr>
          <w:rFonts w:hint="eastAsia" w:ascii="宋体" w:hAnsi="宋体"/>
          <w:color w:val="auto"/>
          <w:szCs w:val="21"/>
          <w:highlight w:val="none"/>
        </w:rPr>
        <w:t>双方在执行合同中所发生的一切争议，应通过协商解决。如协商不能解决，可向甲方所在地仲裁委员会申请仲裁或向甲方所在地人民法院提起诉讼。</w:t>
      </w:r>
    </w:p>
    <w:p>
      <w:pPr>
        <w:pStyle w:val="31"/>
        <w:shd w:val="clear"/>
        <w:snapToGrid w:val="0"/>
        <w:spacing w:line="360" w:lineRule="exact"/>
        <w:ind w:firstLine="413" w:firstLineChars="196"/>
        <w:rPr>
          <w:rFonts w:hAnsi="宋体"/>
          <w:color w:val="auto"/>
          <w:highlight w:val="none"/>
        </w:rPr>
      </w:pPr>
      <w:r>
        <w:rPr>
          <w:rFonts w:hint="eastAsia" w:hAnsi="宋体"/>
          <w:b/>
          <w:color w:val="auto"/>
          <w:highlight w:val="none"/>
        </w:rPr>
        <w:t>第十七条</w:t>
      </w:r>
      <w:r>
        <w:rPr>
          <w:rFonts w:hint="eastAsia" w:hAnsi="宋体"/>
          <w:color w:val="auto"/>
          <w:highlight w:val="none"/>
        </w:rPr>
        <w:t>、合同生效及其它</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 xml:space="preserve">1. </w:t>
      </w:r>
      <w:r>
        <w:rPr>
          <w:rFonts w:hint="eastAsia" w:hAnsi="宋体"/>
          <w:color w:val="auto"/>
          <w:highlight w:val="none"/>
        </w:rPr>
        <w:t>合同经双方法定代表人或被授权人签字并加盖单位公章后生效。</w:t>
      </w:r>
    </w:p>
    <w:p>
      <w:pPr>
        <w:pStyle w:val="31"/>
        <w:shd w:val="clear"/>
        <w:snapToGrid w:val="0"/>
        <w:spacing w:line="360" w:lineRule="exact"/>
        <w:ind w:firstLine="420" w:firstLineChars="200"/>
        <w:rPr>
          <w:rFonts w:hAnsi="宋体"/>
          <w:color w:val="auto"/>
          <w:highlight w:val="none"/>
        </w:rPr>
      </w:pPr>
      <w:r>
        <w:rPr>
          <w:rFonts w:hAnsi="宋体"/>
          <w:color w:val="auto"/>
          <w:highlight w:val="none"/>
        </w:rPr>
        <w:t>2.</w:t>
      </w:r>
      <w:r>
        <w:rPr>
          <w:rFonts w:hint="eastAsia" w:hAnsi="宋体"/>
          <w:color w:val="auto"/>
          <w:highlight w:val="none"/>
        </w:rPr>
        <w:t>合同执行中涉及采购资金和采购内容修改或补充的，须经财政部门审批，并签书面补充协议报财政部门备案，方可作为主合同不可分割的一部分。</w:t>
      </w:r>
    </w:p>
    <w:p>
      <w:pPr>
        <w:pStyle w:val="31"/>
        <w:shd w:val="clear"/>
        <w:snapToGrid w:val="0"/>
        <w:spacing w:line="360" w:lineRule="exact"/>
        <w:ind w:left="420" w:leftChars="200"/>
        <w:rPr>
          <w:rFonts w:hAnsi="宋体"/>
          <w:color w:val="auto"/>
          <w:highlight w:val="none"/>
        </w:rPr>
      </w:pPr>
      <w:r>
        <w:rPr>
          <w:rFonts w:hAnsi="宋体"/>
          <w:color w:val="auto"/>
          <w:highlight w:val="none"/>
        </w:rPr>
        <w:t>3.</w:t>
      </w:r>
      <w:r>
        <w:rPr>
          <w:rFonts w:hint="eastAsia" w:hAnsi="宋体"/>
          <w:color w:val="auto"/>
          <w:highlight w:val="none"/>
        </w:rPr>
        <w:t>本合同未尽事宜，遵照《合同法》有关条文执行。</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第十八条</w:t>
      </w:r>
      <w:r>
        <w:rPr>
          <w:rFonts w:hint="eastAsia" w:ascii="宋体" w:hAnsi="宋体"/>
          <w:color w:val="auto"/>
          <w:szCs w:val="21"/>
          <w:highlight w:val="none"/>
        </w:rPr>
        <w:t>　合同的变更、终止与转让</w:t>
      </w:r>
    </w:p>
    <w:p>
      <w:pPr>
        <w:shd w:val="clear"/>
        <w:snapToGrid w:val="0"/>
        <w:spacing w:line="36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、除《中华人民共和国政府采购法》第五十条规定的情形外，本合同一经签订，甲乙双方不得擅自变更、中止或终止。</w:t>
      </w:r>
    </w:p>
    <w:p>
      <w:pPr>
        <w:shd w:val="clear"/>
        <w:snapToGrid w:val="0"/>
        <w:spacing w:line="360" w:lineRule="exact"/>
        <w:ind w:firstLine="514"/>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、乙方不得擅自转让（无进口资格的供应商委托进口货物除外）其应履行的合同义务。</w:t>
      </w:r>
    </w:p>
    <w:p>
      <w:pPr>
        <w:shd w:val="clear"/>
        <w:snapToGrid w:val="0"/>
        <w:spacing w:line="360" w:lineRule="exact"/>
        <w:ind w:firstLine="422" w:firstLineChars="200"/>
        <w:rPr>
          <w:rFonts w:ascii="宋体"/>
          <w:color w:val="auto"/>
          <w:szCs w:val="21"/>
          <w:highlight w:val="none"/>
        </w:rPr>
      </w:pPr>
      <w:r>
        <w:rPr>
          <w:rFonts w:hint="eastAsia" w:ascii="宋体" w:hAnsi="宋体"/>
          <w:b/>
          <w:color w:val="auto"/>
          <w:szCs w:val="21"/>
          <w:highlight w:val="none"/>
        </w:rPr>
        <w:t>第十九条　</w:t>
      </w:r>
      <w:r>
        <w:rPr>
          <w:rFonts w:hint="eastAsia" w:ascii="宋体" w:hAnsi="宋体"/>
          <w:color w:val="auto"/>
          <w:szCs w:val="21"/>
          <w:highlight w:val="none"/>
        </w:rPr>
        <w:t>签订本合同依据</w:t>
      </w:r>
    </w:p>
    <w:p>
      <w:pPr>
        <w:pStyle w:val="31"/>
        <w:shd w:val="clear"/>
        <w:snapToGrid w:val="0"/>
        <w:spacing w:line="360" w:lineRule="exact"/>
        <w:ind w:left="420" w:leftChars="200"/>
        <w:rPr>
          <w:rFonts w:hAnsi="宋体"/>
          <w:color w:val="auto"/>
          <w:highlight w:val="none"/>
        </w:rPr>
      </w:pPr>
      <w:r>
        <w:rPr>
          <w:rFonts w:hAnsi="宋体"/>
          <w:color w:val="auto"/>
          <w:highlight w:val="none"/>
        </w:rPr>
        <w:t>1</w:t>
      </w:r>
      <w:r>
        <w:rPr>
          <w:rFonts w:hint="eastAsia" w:hAnsi="宋体"/>
          <w:color w:val="auto"/>
          <w:highlight w:val="none"/>
        </w:rPr>
        <w:t>、政府采购招标文件；</w:t>
      </w:r>
    </w:p>
    <w:p>
      <w:pPr>
        <w:pStyle w:val="31"/>
        <w:shd w:val="clear"/>
        <w:snapToGrid w:val="0"/>
        <w:spacing w:line="360" w:lineRule="exact"/>
        <w:ind w:left="420" w:leftChars="200"/>
        <w:rPr>
          <w:rFonts w:hAnsi="宋体"/>
          <w:color w:val="auto"/>
          <w:highlight w:val="none"/>
        </w:rPr>
      </w:pPr>
      <w:r>
        <w:rPr>
          <w:rFonts w:hAnsi="宋体"/>
          <w:color w:val="auto"/>
          <w:highlight w:val="none"/>
        </w:rPr>
        <w:t>2</w:t>
      </w:r>
      <w:r>
        <w:rPr>
          <w:rFonts w:hint="eastAsia" w:hAnsi="宋体"/>
          <w:color w:val="auto"/>
          <w:highlight w:val="none"/>
        </w:rPr>
        <w:t>、乙方提供的采购投标（或应答）文件；</w:t>
      </w:r>
    </w:p>
    <w:p>
      <w:pPr>
        <w:pStyle w:val="31"/>
        <w:shd w:val="clear"/>
        <w:snapToGrid w:val="0"/>
        <w:spacing w:line="360" w:lineRule="exact"/>
        <w:ind w:left="420" w:leftChars="200"/>
        <w:rPr>
          <w:rFonts w:hAnsi="宋体"/>
          <w:color w:val="auto"/>
          <w:highlight w:val="none"/>
        </w:rPr>
      </w:pPr>
      <w:r>
        <w:rPr>
          <w:rFonts w:hAnsi="宋体"/>
          <w:color w:val="auto"/>
          <w:highlight w:val="none"/>
        </w:rPr>
        <w:t>3</w:t>
      </w:r>
      <w:r>
        <w:rPr>
          <w:rFonts w:hint="eastAsia" w:hAnsi="宋体"/>
          <w:color w:val="auto"/>
          <w:highlight w:val="none"/>
        </w:rPr>
        <w:t>、投标承诺书；</w:t>
      </w:r>
    </w:p>
    <w:p>
      <w:pPr>
        <w:pStyle w:val="31"/>
        <w:shd w:val="clear"/>
        <w:snapToGrid w:val="0"/>
        <w:spacing w:line="360" w:lineRule="exact"/>
        <w:ind w:left="420" w:leftChars="200"/>
        <w:rPr>
          <w:rFonts w:hAnsi="宋体"/>
          <w:color w:val="auto"/>
          <w:highlight w:val="none"/>
        </w:rPr>
      </w:pPr>
      <w:r>
        <w:rPr>
          <w:rFonts w:hAnsi="宋体"/>
          <w:color w:val="auto"/>
          <w:highlight w:val="none"/>
        </w:rPr>
        <w:t>4</w:t>
      </w:r>
      <w:r>
        <w:rPr>
          <w:rFonts w:hint="eastAsia" w:hAnsi="宋体"/>
          <w:color w:val="auto"/>
          <w:highlight w:val="none"/>
        </w:rPr>
        <w:t>、中标或成交通知书。</w:t>
      </w:r>
    </w:p>
    <w:p>
      <w:pPr>
        <w:shd w:val="clear"/>
        <w:snapToGrid w:val="0"/>
        <w:spacing w:line="360" w:lineRule="exact"/>
        <w:ind w:firstLine="514"/>
        <w:rPr>
          <w:rFonts w:ascii="宋体"/>
          <w:color w:val="auto"/>
          <w:szCs w:val="21"/>
          <w:highlight w:val="none"/>
        </w:rPr>
      </w:pPr>
      <w:r>
        <w:rPr>
          <w:rFonts w:hint="eastAsia" w:ascii="宋体" w:hAnsi="宋体"/>
          <w:b/>
          <w:color w:val="auto"/>
          <w:szCs w:val="21"/>
          <w:highlight w:val="none"/>
        </w:rPr>
        <w:t>第二十条</w:t>
      </w:r>
      <w:r>
        <w:rPr>
          <w:rFonts w:hint="eastAsia" w:ascii="宋体" w:hAnsi="宋体"/>
          <w:color w:val="auto"/>
          <w:szCs w:val="21"/>
          <w:highlight w:val="none"/>
        </w:rPr>
        <w:t>　本合同一式六份，具有同等法律效力，甲方三份，乙方两份，采购代理机构一份（可根据需要另增加）。</w:t>
      </w:r>
    </w:p>
    <w:p>
      <w:pPr>
        <w:shd w:val="clear"/>
        <w:snapToGrid w:val="0"/>
        <w:spacing w:line="360" w:lineRule="exact"/>
        <w:ind w:firstLine="514"/>
        <w:rPr>
          <w:rFonts w:ascii="宋体"/>
          <w:color w:val="auto"/>
          <w:szCs w:val="21"/>
          <w:highlight w:val="none"/>
        </w:rPr>
      </w:pPr>
      <w:r>
        <w:rPr>
          <w:rFonts w:hint="eastAsia" w:ascii="宋体" w:hAnsi="宋体"/>
          <w:color w:val="auto"/>
          <w:szCs w:val="21"/>
          <w:highlight w:val="none"/>
        </w:rPr>
        <w:t>本合同甲乙双方签字盖章后生效。</w:t>
      </w:r>
    </w:p>
    <w:tbl>
      <w:tblPr>
        <w:tblStyle w:val="74"/>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甲方（章）</w:t>
            </w:r>
          </w:p>
          <w:p>
            <w:pPr>
              <w:shd w:val="clear"/>
              <w:snapToGrid w:val="0"/>
              <w:spacing w:line="380" w:lineRule="exact"/>
              <w:ind w:firstLine="945" w:firstLineChars="450"/>
              <w:jc w:val="right"/>
              <w:rPr>
                <w:rFonts w:ascii="宋体"/>
                <w:color w:val="auto"/>
                <w:szCs w:val="21"/>
                <w:highlight w:val="none"/>
              </w:rPr>
            </w:pPr>
            <w:r>
              <w:rPr>
                <w:rFonts w:hint="eastAsia" w:ascii="宋体" w:hAnsi="宋体"/>
                <w:color w:val="auto"/>
                <w:szCs w:val="21"/>
                <w:highlight w:val="none"/>
              </w:rPr>
              <w:t>年月日</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乙方（章）</w:t>
            </w:r>
          </w:p>
          <w:p>
            <w:pPr>
              <w:shd w:val="clear"/>
              <w:snapToGrid w:val="0"/>
              <w:spacing w:line="380" w:lineRule="exact"/>
              <w:jc w:val="right"/>
              <w:rPr>
                <w:rFonts w:ascii="宋体"/>
                <w:color w:val="auto"/>
                <w:szCs w:val="21"/>
                <w:highlight w:val="none"/>
              </w:rPr>
            </w:pPr>
            <w:r>
              <w:rPr>
                <w:rFonts w:hint="eastAsia" w:ascii="宋体" w:hAnsi="宋体"/>
                <w:color w:val="auto"/>
                <w:szCs w:val="21"/>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单位地址：</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法定代表人：</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委托代理人：</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电话：</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电子邮箱：</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开户银行：</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账号：</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4564"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邮政编码：</w:t>
            </w:r>
          </w:p>
        </w:tc>
        <w:tc>
          <w:tcPr>
            <w:tcW w:w="4565" w:type="dxa"/>
            <w:vAlign w:val="center"/>
          </w:tcPr>
          <w:p>
            <w:pPr>
              <w:shd w:val="clear"/>
              <w:snapToGrid w:val="0"/>
              <w:spacing w:line="380" w:lineRule="exact"/>
              <w:rPr>
                <w:rFonts w:ascii="宋体"/>
                <w:color w:val="auto"/>
                <w:szCs w:val="21"/>
                <w:highlight w:val="none"/>
              </w:rPr>
            </w:pPr>
            <w:r>
              <w:rPr>
                <w:rFonts w:hint="eastAsia" w:ascii="宋体" w:hAnsi="宋体"/>
                <w:color w:val="auto"/>
                <w:szCs w:val="21"/>
                <w:highlight w:val="none"/>
              </w:rPr>
              <w:t>邮政编码：</w:t>
            </w:r>
          </w:p>
        </w:tc>
      </w:tr>
    </w:tbl>
    <w:p>
      <w:pPr>
        <w:shd w:val="clear"/>
        <w:snapToGrid w:val="0"/>
        <w:jc w:val="center"/>
        <w:rPr>
          <w:rFonts w:ascii="宋体"/>
          <w:b/>
          <w:color w:val="auto"/>
          <w:sz w:val="28"/>
          <w:szCs w:val="28"/>
          <w:highlight w:val="none"/>
        </w:rPr>
      </w:pPr>
      <w:r>
        <w:rPr>
          <w:rFonts w:ascii="宋体"/>
          <w:b/>
          <w:color w:val="auto"/>
          <w:sz w:val="24"/>
          <w:highlight w:val="none"/>
        </w:rPr>
        <w:br w:type="page"/>
      </w:r>
      <w:r>
        <w:rPr>
          <w:rFonts w:hint="eastAsia" w:ascii="宋体" w:hAnsi="宋体"/>
          <w:b/>
          <w:color w:val="auto"/>
          <w:sz w:val="28"/>
          <w:szCs w:val="28"/>
          <w:highlight w:val="none"/>
        </w:rPr>
        <w:t>合同附件</w:t>
      </w:r>
    </w:p>
    <w:p>
      <w:pPr>
        <w:shd w:val="clear"/>
        <w:snapToGrid w:val="0"/>
        <w:ind w:firstLine="527" w:firstLineChars="250"/>
        <w:rPr>
          <w:rFonts w:ascii="宋体"/>
          <w:b/>
          <w:color w:val="auto"/>
          <w:szCs w:val="21"/>
          <w:highlight w:val="none"/>
        </w:rPr>
      </w:pPr>
      <w:r>
        <w:rPr>
          <w:rFonts w:hint="eastAsia" w:ascii="宋体" w:hAnsi="宋体"/>
          <w:b/>
          <w:color w:val="auto"/>
          <w:szCs w:val="21"/>
          <w:highlight w:val="none"/>
        </w:rPr>
        <w:t>一般货物类</w:t>
      </w:r>
    </w:p>
    <w:p>
      <w:pPr>
        <w:shd w:val="clear"/>
        <w:snapToGrid w:val="0"/>
        <w:rPr>
          <w:rFonts w:ascii="宋体"/>
          <w:b/>
          <w:color w:val="auto"/>
          <w:szCs w:val="21"/>
          <w:highlight w:val="none"/>
        </w:rPr>
      </w:pPr>
    </w:p>
    <w:tbl>
      <w:tblPr>
        <w:tblStyle w:val="74"/>
        <w:tblW w:w="8928" w:type="dxa"/>
        <w:tblInd w:w="468" w:type="dxa"/>
        <w:tblLayout w:type="fixed"/>
        <w:tblCellMar>
          <w:top w:w="0" w:type="dxa"/>
          <w:left w:w="108" w:type="dxa"/>
          <w:bottom w:w="0" w:type="dxa"/>
          <w:right w:w="108" w:type="dxa"/>
        </w:tblCellMar>
      </w:tblPr>
      <w:tblGrid>
        <w:gridCol w:w="4215"/>
        <w:gridCol w:w="4713"/>
      </w:tblGrid>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、供应商承诺具体事项：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、售后服务具体事项：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、保修期责任：</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、其他具体事项：</w:t>
            </w: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p>
        </w:tc>
      </w:tr>
      <w:tr>
        <w:tblPrEx>
          <w:tblLayout w:type="fixed"/>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hint="eastAsia" w:ascii="宋体" w:hAnsi="宋体"/>
                <w:b/>
                <w:color w:val="auto"/>
                <w:szCs w:val="21"/>
                <w:highlight w:val="none"/>
              </w:rPr>
              <w:t>甲方（章）</w:t>
            </w: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r>
              <w:rPr>
                <w:rFonts w:hint="eastAsia" w:ascii="宋体" w:hAnsi="宋体"/>
                <w:b/>
                <w:color w:val="auto"/>
                <w:szCs w:val="21"/>
                <w:highlight w:val="none"/>
              </w:rPr>
              <w:t>年月日</w:t>
            </w:r>
          </w:p>
        </w:tc>
        <w:tc>
          <w:tcPr>
            <w:tcW w:w="4713" w:type="dxa"/>
            <w:tcBorders>
              <w:top w:val="single" w:color="auto" w:sz="4" w:space="0"/>
              <w:left w:val="single" w:color="auto" w:sz="4" w:space="0"/>
              <w:bottom w:val="single" w:color="auto" w:sz="4" w:space="0"/>
              <w:right w:val="single" w:color="auto" w:sz="4" w:space="0"/>
            </w:tcBorders>
            <w:vAlign w:val="center"/>
          </w:tcPr>
          <w:p>
            <w:pPr>
              <w:shd w:val="clear"/>
              <w:snapToGrid w:val="0"/>
              <w:ind w:firstLine="422" w:firstLineChars="200"/>
              <w:rPr>
                <w:rFonts w:ascii="宋体"/>
                <w:b/>
                <w:color w:val="auto"/>
                <w:szCs w:val="21"/>
                <w:highlight w:val="none"/>
              </w:rPr>
            </w:pPr>
            <w:r>
              <w:rPr>
                <w:rFonts w:hint="eastAsia" w:ascii="宋体" w:hAnsi="宋体"/>
                <w:b/>
                <w:color w:val="auto"/>
                <w:szCs w:val="21"/>
                <w:highlight w:val="none"/>
              </w:rPr>
              <w:t>乙方（章）</w:t>
            </w: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p>
          <w:p>
            <w:pPr>
              <w:shd w:val="clear"/>
              <w:snapToGrid w:val="0"/>
              <w:ind w:firstLine="422" w:firstLineChars="200"/>
              <w:rPr>
                <w:rFonts w:ascii="宋体"/>
                <w:b/>
                <w:color w:val="auto"/>
                <w:szCs w:val="21"/>
                <w:highlight w:val="none"/>
              </w:rPr>
            </w:pPr>
            <w:r>
              <w:rPr>
                <w:rFonts w:hint="eastAsia" w:ascii="宋体" w:hAnsi="宋体"/>
                <w:b/>
                <w:color w:val="auto"/>
                <w:szCs w:val="21"/>
                <w:highlight w:val="none"/>
              </w:rPr>
              <w:t>年月日</w:t>
            </w:r>
          </w:p>
        </w:tc>
      </w:tr>
    </w:tbl>
    <w:p>
      <w:pPr>
        <w:shd w:val="clear"/>
        <w:snapToGrid w:val="0"/>
        <w:rPr>
          <w:rFonts w:ascii="宋体"/>
          <w:color w:val="auto"/>
          <w:szCs w:val="21"/>
          <w:highlight w:val="none"/>
        </w:rPr>
      </w:pPr>
    </w:p>
    <w:p>
      <w:pPr>
        <w:shd w:val="clear"/>
        <w:snapToGrid w:val="0"/>
        <w:ind w:firstLine="840" w:firstLineChars="400"/>
        <w:rPr>
          <w:rFonts w:ascii="宋体"/>
          <w:color w:val="auto"/>
          <w:szCs w:val="21"/>
          <w:highlight w:val="none"/>
        </w:rPr>
      </w:pPr>
      <w:r>
        <w:rPr>
          <w:rFonts w:hint="eastAsia" w:ascii="宋体" w:hAnsi="宋体"/>
          <w:color w:val="auto"/>
          <w:szCs w:val="21"/>
          <w:highlight w:val="none"/>
        </w:rPr>
        <w:t>注：售后服务事项填不下时可另加附页</w:t>
      </w:r>
    </w:p>
    <w:p>
      <w:pPr>
        <w:shd w:val="clear"/>
        <w:snapToGrid w:val="0"/>
        <w:spacing w:line="400" w:lineRule="exact"/>
        <w:jc w:val="center"/>
        <w:rPr>
          <w:rFonts w:ascii="宋体"/>
          <w:color w:val="auto"/>
          <w:sz w:val="24"/>
          <w:highlight w:val="none"/>
        </w:rPr>
      </w:pPr>
    </w:p>
    <w:p>
      <w:pPr>
        <w:shd w:val="clear"/>
        <w:adjustRightInd w:val="0"/>
        <w:snapToGrid w:val="0"/>
        <w:ind w:firstLine="480" w:firstLineChars="200"/>
        <w:rPr>
          <w:rFonts w:ascii="宋体"/>
          <w:color w:val="auto"/>
          <w:sz w:val="24"/>
          <w:highlight w:val="none"/>
        </w:rPr>
      </w:pPr>
    </w:p>
    <w:p>
      <w:pPr>
        <w:shd w:val="clear"/>
        <w:adjustRightInd w:val="0"/>
        <w:snapToGrid w:val="0"/>
        <w:ind w:firstLine="480" w:firstLineChars="200"/>
        <w:rPr>
          <w:rFonts w:ascii="宋体"/>
          <w:color w:val="auto"/>
          <w:sz w:val="24"/>
          <w:highlight w:val="none"/>
        </w:rPr>
      </w:pPr>
    </w:p>
    <w:p>
      <w:pPr>
        <w:shd w:val="clear"/>
        <w:snapToGrid w:val="0"/>
        <w:ind w:firstLine="420" w:firstLineChars="200"/>
        <w:rPr>
          <w:rFonts w:ascii="宋体"/>
          <w:color w:val="auto"/>
          <w:sz w:val="24"/>
          <w:highlight w:val="none"/>
          <w:u w:val="single"/>
        </w:rPr>
      </w:pPr>
      <w:r>
        <w:rPr>
          <w:rFonts w:hAnsi="宋体"/>
          <w:color w:val="auto"/>
          <w:highlight w:val="none"/>
        </w:rPr>
        <w:br w:type="page"/>
      </w:r>
    </w:p>
    <w:p>
      <w:pPr>
        <w:shd w:val="clear"/>
        <w:rPr>
          <w:color w:val="auto"/>
          <w:highlight w:val="none"/>
        </w:rPr>
      </w:pPr>
      <w:bookmarkStart w:id="60" w:name="_Toc496718681"/>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r>
        <w:rPr>
          <w:rFonts w:hint="eastAsia"/>
          <w:color w:val="auto"/>
          <w:highlight w:val="none"/>
        </w:rPr>
        <w:br w:type="textWrapping"/>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31"/>
        <w:shd w:val="clear"/>
        <w:tabs>
          <w:tab w:val="left" w:pos="2472"/>
        </w:tabs>
        <w:snapToGrid w:val="0"/>
        <w:jc w:val="center"/>
        <w:outlineLvl w:val="0"/>
        <w:rPr>
          <w:rFonts w:hAnsi="宋体"/>
          <w:b/>
          <w:color w:val="auto"/>
          <w:sz w:val="44"/>
          <w:szCs w:val="44"/>
          <w:highlight w:val="none"/>
        </w:rPr>
      </w:pPr>
      <w:r>
        <w:rPr>
          <w:rFonts w:hint="eastAsia" w:hAnsi="宋体"/>
          <w:b/>
          <w:color w:val="auto"/>
          <w:sz w:val="44"/>
          <w:szCs w:val="44"/>
          <w:highlight w:val="none"/>
        </w:rPr>
        <w:t>第六章 投标文件格式</w:t>
      </w:r>
      <w:bookmarkEnd w:id="60"/>
    </w:p>
    <w:p>
      <w:pPr>
        <w:shd w:val="clear"/>
        <w:snapToGrid w:val="0"/>
        <w:rPr>
          <w:rFonts w:ascii="宋体"/>
          <w:color w:val="auto"/>
          <w:highlight w:val="none"/>
        </w:rPr>
      </w:pPr>
      <w:r>
        <w:rPr>
          <w:rFonts w:ascii="宋体"/>
          <w:color w:val="auto"/>
          <w:highlight w:val="none"/>
        </w:rPr>
        <w:br w:type="page"/>
      </w:r>
    </w:p>
    <w:p>
      <w:pPr>
        <w:shd w:val="clear"/>
        <w:snapToGrid w:val="0"/>
        <w:rPr>
          <w:rFonts w:ascii="宋体"/>
          <w:color w:val="auto"/>
          <w:highlight w:val="none"/>
        </w:rPr>
      </w:pPr>
    </w:p>
    <w:p>
      <w:pPr>
        <w:shd w:val="clear"/>
        <w:snapToGrid w:val="0"/>
        <w:rPr>
          <w:rFonts w:ascii="宋体"/>
          <w:color w:val="auto"/>
          <w:highlight w:val="none"/>
        </w:rPr>
      </w:pPr>
    </w:p>
    <w:p>
      <w:pPr>
        <w:shd w:val="clear"/>
        <w:snapToGrid w:val="0"/>
        <w:rPr>
          <w:rFonts w:ascii="宋体"/>
          <w:b/>
          <w:color w:val="auto"/>
          <w:sz w:val="24"/>
          <w:highlight w:val="none"/>
        </w:rPr>
      </w:pPr>
      <w:r>
        <w:rPr>
          <w:rFonts w:hint="eastAsia" w:ascii="宋体" w:hAnsi="宋体"/>
          <w:b/>
          <w:color w:val="auto"/>
          <w:sz w:val="24"/>
          <w:highlight w:val="none"/>
        </w:rPr>
        <w:t>开标一览表信封封面格式（可以手写，密封）：</w:t>
      </w:r>
    </w:p>
    <w:p>
      <w:pPr>
        <w:shd w:val="clear"/>
        <w:snapToGrid w:val="0"/>
        <w:rPr>
          <w:rFonts w:ascii="宋体"/>
          <w:color w:val="auto"/>
          <w:sz w:val="24"/>
          <w:highlight w:val="none"/>
        </w:rPr>
      </w:pPr>
    </w:p>
    <w:p>
      <w:pPr>
        <w:shd w:val="clear"/>
        <w:snapToGrid w:val="0"/>
        <w:rPr>
          <w:rFonts w:ascii="宋体"/>
          <w:color w:val="auto"/>
          <w:sz w:val="24"/>
          <w:highlight w:val="none"/>
        </w:rPr>
      </w:pPr>
    </w:p>
    <w:p>
      <w:pPr>
        <w:pStyle w:val="31"/>
        <w:shd w:val="clear"/>
        <w:snapToGrid w:val="0"/>
        <w:jc w:val="center"/>
        <w:rPr>
          <w:rFonts w:hAnsi="宋体"/>
          <w:b/>
          <w:color w:val="auto"/>
          <w:sz w:val="28"/>
          <w:szCs w:val="28"/>
          <w:highlight w:val="none"/>
        </w:rPr>
      </w:pPr>
      <w:r>
        <w:rPr>
          <w:rFonts w:hint="eastAsia" w:hAnsi="宋体"/>
          <w:b/>
          <w:color w:val="auto"/>
          <w:sz w:val="28"/>
          <w:szCs w:val="28"/>
          <w:highlight w:val="none"/>
        </w:rPr>
        <w:t>开标一览表</w:t>
      </w:r>
    </w:p>
    <w:p>
      <w:pPr>
        <w:shd w:val="clear"/>
        <w:snapToGrid w:val="0"/>
        <w:rPr>
          <w:rFonts w:ascii="宋体"/>
          <w:color w:val="auto"/>
          <w:sz w:val="24"/>
          <w:highlight w:val="none"/>
        </w:rPr>
      </w:pPr>
    </w:p>
    <w:p>
      <w:pPr>
        <w:shd w:val="clear"/>
        <w:snapToGrid w:val="0"/>
        <w:rPr>
          <w:rFonts w:ascii="宋体"/>
          <w:color w:val="auto"/>
          <w:sz w:val="24"/>
          <w:highlight w:val="none"/>
        </w:rPr>
      </w:pPr>
    </w:p>
    <w:p>
      <w:pPr>
        <w:shd w:val="clear"/>
        <w:snapToGrid w:val="0"/>
        <w:rPr>
          <w:rFonts w:ascii="宋体"/>
          <w:bCs/>
          <w:color w:val="auto"/>
          <w:sz w:val="24"/>
          <w:highlight w:val="none"/>
        </w:rPr>
      </w:pPr>
      <w:r>
        <w:rPr>
          <w:rFonts w:hint="eastAsia" w:ascii="宋体" w:hAnsi="宋体"/>
          <w:bCs/>
          <w:color w:val="auto"/>
          <w:sz w:val="24"/>
          <w:highlight w:val="none"/>
        </w:rPr>
        <w:t>项目名称：</w:t>
      </w:r>
    </w:p>
    <w:p>
      <w:pPr>
        <w:shd w:val="clear"/>
        <w:snapToGrid w:val="0"/>
        <w:rPr>
          <w:rFonts w:ascii="宋体"/>
          <w:color w:val="auto"/>
          <w:sz w:val="24"/>
          <w:highlight w:val="none"/>
        </w:rPr>
      </w:pPr>
    </w:p>
    <w:p>
      <w:pPr>
        <w:shd w:val="clear"/>
        <w:snapToGrid w:val="0"/>
        <w:rPr>
          <w:rFonts w:asci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hd w:val="clear"/>
        <w:snapToGrid w:val="0"/>
        <w:rPr>
          <w:rFonts w:ascii="宋体"/>
          <w:color w:val="auto"/>
          <w:sz w:val="24"/>
          <w:highlight w:val="none"/>
        </w:rPr>
      </w:pPr>
    </w:p>
    <w:p>
      <w:pPr>
        <w:shd w:val="clear"/>
        <w:snapToGrid w:val="0"/>
        <w:rPr>
          <w:rFonts w:ascii="宋体"/>
          <w:color w:val="auto"/>
          <w:sz w:val="24"/>
          <w:highlight w:val="none"/>
        </w:rPr>
      </w:pPr>
    </w:p>
    <w:p>
      <w:pPr>
        <w:shd w:val="clear"/>
        <w:snapToGrid w:val="0"/>
        <w:rPr>
          <w:rFonts w:ascii="宋体"/>
          <w:color w:val="auto"/>
          <w:sz w:val="24"/>
          <w:highlight w:val="none"/>
        </w:rPr>
      </w:pPr>
    </w:p>
    <w:p>
      <w:pPr>
        <w:shd w:val="clear"/>
        <w:snapToGrid w:val="0"/>
        <w:rPr>
          <w:rFonts w:ascii="宋体"/>
          <w:color w:val="auto"/>
          <w:sz w:val="24"/>
          <w:highlight w:val="none"/>
        </w:rPr>
      </w:pPr>
      <w:r>
        <w:rPr>
          <w:rFonts w:hint="eastAsia" w:ascii="宋体" w:hAnsi="宋体"/>
          <w:color w:val="auto"/>
          <w:sz w:val="24"/>
          <w:highlight w:val="none"/>
        </w:rPr>
        <w:t>投标人名称：</w:t>
      </w:r>
    </w:p>
    <w:p>
      <w:pPr>
        <w:pStyle w:val="31"/>
        <w:shd w:val="clear"/>
        <w:snapToGrid w:val="0"/>
        <w:jc w:val="center"/>
        <w:rPr>
          <w:rFonts w:hAnsi="宋体"/>
          <w:color w:val="auto"/>
          <w:sz w:val="24"/>
          <w:szCs w:val="24"/>
          <w:highlight w:val="none"/>
        </w:rPr>
      </w:pPr>
    </w:p>
    <w:p>
      <w:pPr>
        <w:pStyle w:val="31"/>
        <w:shd w:val="clear"/>
        <w:snapToGrid w:val="0"/>
        <w:jc w:val="center"/>
        <w:rPr>
          <w:rFonts w:hAnsi="宋体"/>
          <w:color w:val="auto"/>
          <w:sz w:val="24"/>
          <w:szCs w:val="24"/>
          <w:highlight w:val="none"/>
        </w:rPr>
      </w:pPr>
    </w:p>
    <w:p>
      <w:pPr>
        <w:shd w:val="clear"/>
        <w:rPr>
          <w:rFonts w:ascii="宋体"/>
          <w:color w:val="auto"/>
          <w:sz w:val="24"/>
          <w:highlight w:val="none"/>
        </w:rPr>
      </w:pPr>
    </w:p>
    <w:p>
      <w:pPr>
        <w:pStyle w:val="7"/>
        <w:shd w:val="clear"/>
        <w:snapToGrid w:val="0"/>
        <w:ind w:firstLine="3960" w:firstLineChars="1650"/>
        <w:rPr>
          <w:rFonts w:ascii="宋体"/>
          <w:color w:val="auto"/>
          <w:sz w:val="24"/>
          <w:szCs w:val="24"/>
          <w:highlight w:val="none"/>
        </w:rPr>
      </w:pPr>
      <w:r>
        <w:rPr>
          <w:rFonts w:hint="eastAsia" w:ascii="宋体" w:hAnsi="宋体"/>
          <w:color w:val="auto"/>
          <w:sz w:val="24"/>
          <w:szCs w:val="24"/>
          <w:highlight w:val="none"/>
        </w:rPr>
        <w:t>在开标时间之前不得启封</w:t>
      </w:r>
    </w:p>
    <w:p>
      <w:pPr>
        <w:pStyle w:val="7"/>
        <w:shd w:val="clear"/>
        <w:snapToGrid w:val="0"/>
        <w:ind w:firstLine="998" w:firstLineChars="416"/>
        <w:rPr>
          <w:rFonts w:ascii="宋体"/>
          <w:color w:val="auto"/>
          <w:sz w:val="24"/>
          <w:szCs w:val="24"/>
          <w:highlight w:val="none"/>
        </w:rPr>
      </w:pPr>
    </w:p>
    <w:p>
      <w:pPr>
        <w:shd w:val="clear"/>
        <w:snapToGrid w:val="0"/>
        <w:ind w:firstLine="645"/>
        <w:jc w:val="center"/>
        <w:rPr>
          <w:rFonts w:ascii="宋体"/>
          <w:color w:val="auto"/>
          <w:sz w:val="24"/>
          <w:highlight w:val="none"/>
        </w:rPr>
      </w:pPr>
      <w:r>
        <w:rPr>
          <w:rFonts w:hint="eastAsia" w:ascii="宋体" w:hAnsi="宋体"/>
          <w:color w:val="auto"/>
          <w:sz w:val="24"/>
          <w:highlight w:val="none"/>
        </w:rPr>
        <w:t>年 月 日</w:t>
      </w:r>
    </w:p>
    <w:p>
      <w:pPr>
        <w:shd w:val="clear"/>
        <w:snapToGrid w:val="0"/>
        <w:rPr>
          <w:rFonts w:ascii="宋体"/>
          <w:b/>
          <w:color w:val="auto"/>
          <w:sz w:val="24"/>
          <w:highlight w:val="none"/>
        </w:rPr>
      </w:pPr>
      <w:r>
        <w:rPr>
          <w:rFonts w:ascii="宋体"/>
          <w:color w:val="auto"/>
          <w:sz w:val="24"/>
          <w:highlight w:val="none"/>
        </w:rPr>
        <w:br w:type="page"/>
      </w:r>
      <w:r>
        <w:rPr>
          <w:rFonts w:hint="eastAsia" w:ascii="宋体" w:hAnsi="宋体"/>
          <w:b/>
          <w:color w:val="auto"/>
          <w:sz w:val="24"/>
          <w:highlight w:val="none"/>
        </w:rPr>
        <w:t>开标一览表（格式）</w:t>
      </w:r>
    </w:p>
    <w:p>
      <w:pPr>
        <w:pStyle w:val="31"/>
        <w:shd w:val="clear"/>
        <w:spacing w:line="440" w:lineRule="exact"/>
        <w:ind w:firstLine="420"/>
        <w:jc w:val="center"/>
        <w:rPr>
          <w:color w:val="auto"/>
          <w:sz w:val="28"/>
          <w:szCs w:val="28"/>
          <w:highlight w:val="none"/>
        </w:rPr>
      </w:pPr>
      <w:r>
        <w:rPr>
          <w:rFonts w:hint="eastAsia"/>
          <w:b/>
          <w:color w:val="auto"/>
          <w:sz w:val="32"/>
          <w:szCs w:val="32"/>
          <w:highlight w:val="none"/>
        </w:rPr>
        <w:t>开标一览表</w:t>
      </w:r>
      <w:r>
        <w:rPr>
          <w:rFonts w:hint="eastAsia"/>
          <w:color w:val="auto"/>
          <w:sz w:val="28"/>
          <w:szCs w:val="28"/>
          <w:highlight w:val="none"/>
        </w:rPr>
        <w:t>（格式）</w:t>
      </w:r>
    </w:p>
    <w:p>
      <w:pPr>
        <w:pStyle w:val="31"/>
        <w:shd w:val="clear"/>
        <w:spacing w:line="440" w:lineRule="exact"/>
        <w:ind w:firstLine="420"/>
        <w:rPr>
          <w:color w:val="auto"/>
          <w:szCs w:val="20"/>
          <w:highlight w:val="none"/>
        </w:rPr>
      </w:pPr>
    </w:p>
    <w:p>
      <w:pPr>
        <w:pStyle w:val="31"/>
        <w:shd w:val="clear"/>
        <w:spacing w:line="440" w:lineRule="exact"/>
        <w:ind w:firstLine="420"/>
        <w:rPr>
          <w:color w:val="auto"/>
          <w:highlight w:val="none"/>
        </w:rPr>
      </w:pPr>
      <w:r>
        <w:rPr>
          <w:rFonts w:hint="eastAsia"/>
          <w:color w:val="auto"/>
          <w:highlight w:val="none"/>
        </w:rPr>
        <w:t>项目名称：</w:t>
      </w:r>
    </w:p>
    <w:p>
      <w:pPr>
        <w:pStyle w:val="31"/>
        <w:shd w:val="clear"/>
        <w:spacing w:line="440" w:lineRule="exact"/>
        <w:ind w:firstLine="420"/>
        <w:rPr>
          <w:color w:val="auto"/>
          <w:highlight w:val="none"/>
        </w:rPr>
      </w:pPr>
      <w:r>
        <w:rPr>
          <w:rFonts w:hint="eastAsia"/>
          <w:color w:val="auto"/>
          <w:highlight w:val="none"/>
        </w:rPr>
        <w:t>招标编号：</w:t>
      </w:r>
    </w:p>
    <w:tbl>
      <w:tblPr>
        <w:tblStyle w:val="74"/>
        <w:tblW w:w="9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8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449" w:type="dxa"/>
            <w:vAlign w:val="center"/>
          </w:tcPr>
          <w:p>
            <w:pPr>
              <w:pStyle w:val="31"/>
              <w:shd w:val="clear"/>
              <w:jc w:val="center"/>
              <w:rPr>
                <w:color w:val="auto"/>
                <w:spacing w:val="-20"/>
                <w:highlight w:val="none"/>
              </w:rPr>
            </w:pPr>
          </w:p>
        </w:tc>
        <w:tc>
          <w:tcPr>
            <w:tcW w:w="8252" w:type="dxa"/>
            <w:vAlign w:val="center"/>
          </w:tcPr>
          <w:p>
            <w:pPr>
              <w:pStyle w:val="31"/>
              <w:shd w:val="clear"/>
              <w:jc w:val="center"/>
              <w:rPr>
                <w:color w:val="auto"/>
                <w:highlight w:val="none"/>
              </w:rPr>
            </w:pPr>
            <w:r>
              <w:rPr>
                <w:rFonts w:hint="eastAsia"/>
                <w:color w:val="auto"/>
                <w:highlight w:val="none"/>
              </w:rPr>
              <w:t>投标报价内容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449" w:type="dxa"/>
            <w:vAlign w:val="center"/>
          </w:tcPr>
          <w:p>
            <w:pPr>
              <w:shd w:val="clear"/>
              <w:jc w:val="center"/>
              <w:rPr>
                <w:rFonts w:ascii="宋体" w:hAnsi="Courier New"/>
                <w:color w:val="auto"/>
                <w:sz w:val="24"/>
                <w:highlight w:val="none"/>
              </w:rPr>
            </w:pPr>
            <w:r>
              <w:rPr>
                <w:rFonts w:hint="eastAsia"/>
                <w:color w:val="auto"/>
                <w:highlight w:val="none"/>
              </w:rPr>
              <w:t>投标总报价</w:t>
            </w:r>
          </w:p>
        </w:tc>
        <w:tc>
          <w:tcPr>
            <w:tcW w:w="8252" w:type="dxa"/>
            <w:vAlign w:val="center"/>
          </w:tcPr>
          <w:p>
            <w:pPr>
              <w:pStyle w:val="31"/>
              <w:shd w:val="clear"/>
              <w:spacing w:line="320" w:lineRule="exact"/>
              <w:rPr>
                <w:color w:val="auto"/>
                <w:spacing w:val="-6"/>
                <w:highlight w:val="none"/>
              </w:rPr>
            </w:pPr>
            <w:r>
              <w:rPr>
                <w:rFonts w:hint="eastAsia"/>
                <w:color w:val="auto"/>
                <w:spacing w:val="-6"/>
                <w:highlight w:val="none"/>
              </w:rPr>
              <w:t>人民币（大写）：</w:t>
            </w:r>
            <w:r>
              <w:rPr>
                <w:rFonts w:hint="eastAsia"/>
                <w:color w:val="auto"/>
                <w:spacing w:val="-6"/>
                <w:highlight w:val="none"/>
                <w:u w:val="single"/>
              </w:rPr>
              <w:t xml:space="preserve">                  </w:t>
            </w:r>
            <w:r>
              <w:rPr>
                <w:rFonts w:hint="eastAsia"/>
                <w:color w:val="auto"/>
                <w:spacing w:val="-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449" w:type="dxa"/>
            <w:vAlign w:val="center"/>
          </w:tcPr>
          <w:p>
            <w:pPr>
              <w:shd w:val="clear"/>
              <w:spacing w:line="320" w:lineRule="exact"/>
              <w:jc w:val="center"/>
              <w:rPr>
                <w:rFonts w:ascii="宋体" w:hAnsi="宋体"/>
                <w:color w:val="auto"/>
                <w:szCs w:val="21"/>
                <w:highlight w:val="none"/>
              </w:rPr>
            </w:pPr>
            <w:r>
              <w:rPr>
                <w:rFonts w:hint="eastAsia" w:ascii="宋体" w:hAnsi="宋体" w:cs="宋体"/>
                <w:color w:val="auto"/>
                <w:kern w:val="0"/>
                <w:szCs w:val="21"/>
                <w:highlight w:val="none"/>
              </w:rPr>
              <w:t>交货时间</w:t>
            </w:r>
          </w:p>
          <w:p>
            <w:pPr>
              <w:shd w:val="clear"/>
              <w:jc w:val="center"/>
              <w:rPr>
                <w:color w:val="auto"/>
                <w:highlight w:val="none"/>
              </w:rPr>
            </w:pPr>
          </w:p>
        </w:tc>
        <w:tc>
          <w:tcPr>
            <w:tcW w:w="8252" w:type="dxa"/>
            <w:vAlign w:val="center"/>
          </w:tcPr>
          <w:p>
            <w:pPr>
              <w:shd w:val="clear"/>
              <w:spacing w:line="320" w:lineRule="exact"/>
              <w:rPr>
                <w:rFonts w:ascii="宋体" w:hAnsi="宋体"/>
                <w:color w:val="auto"/>
                <w:szCs w:val="21"/>
                <w:highlight w:val="none"/>
              </w:rPr>
            </w:pPr>
            <w:r>
              <w:rPr>
                <w:rFonts w:hint="eastAsia" w:ascii="宋体" w:hAnsi="宋体"/>
                <w:color w:val="auto"/>
                <w:szCs w:val="21"/>
                <w:highlight w:val="none"/>
              </w:rPr>
              <w:t>自合同签订之日</w:t>
            </w:r>
            <w:r>
              <w:rPr>
                <w:rFonts w:hint="eastAsia" w:ascii="宋体" w:hAnsi="宋体"/>
                <w:color w:val="auto"/>
                <w:szCs w:val="21"/>
                <w:highlight w:val="none"/>
                <w:u w:val="single"/>
              </w:rPr>
              <w:t xml:space="preserve">     个</w:t>
            </w:r>
            <w:r>
              <w:rPr>
                <w:rFonts w:hint="eastAsia" w:ascii="宋体" w:hAnsi="宋体"/>
                <w:color w:val="auto"/>
                <w:szCs w:val="21"/>
                <w:highlight w:val="none"/>
              </w:rPr>
              <w:t>工作日内供货并按指定位置要求完成安装和调试，投入正常使用。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449" w:type="dxa"/>
            <w:vAlign w:val="center"/>
          </w:tcPr>
          <w:p>
            <w:pPr>
              <w:shd w:val="clear"/>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8252" w:type="dxa"/>
            <w:vAlign w:val="center"/>
          </w:tcPr>
          <w:p>
            <w:pPr>
              <w:shd w:val="clear"/>
              <w:spacing w:line="320" w:lineRule="exact"/>
              <w:rPr>
                <w:rFonts w:ascii="宋体" w:hAnsi="宋体"/>
                <w:color w:val="auto"/>
                <w:szCs w:val="21"/>
                <w:highlight w:val="none"/>
              </w:rPr>
            </w:pPr>
            <w:r>
              <w:rPr>
                <w:rFonts w:hint="eastAsia" w:ascii="宋体" w:hAnsi="宋体"/>
                <w:color w:val="auto"/>
                <w:szCs w:val="21"/>
                <w:highlight w:val="none"/>
              </w:rPr>
              <w:t>南宁市（采购人指定地点）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449" w:type="dxa"/>
            <w:vAlign w:val="center"/>
          </w:tcPr>
          <w:p>
            <w:pPr>
              <w:shd w:val="clear"/>
              <w:jc w:val="center"/>
              <w:rPr>
                <w:color w:val="auto"/>
                <w:spacing w:val="-6"/>
                <w:highlight w:val="none"/>
              </w:rPr>
            </w:pPr>
            <w:r>
              <w:rPr>
                <w:rFonts w:hint="eastAsia" w:ascii="宋体" w:hAnsi="宋体"/>
                <w:color w:val="auto"/>
                <w:szCs w:val="21"/>
                <w:highlight w:val="none"/>
              </w:rPr>
              <w:t>质量保证期</w:t>
            </w:r>
          </w:p>
        </w:tc>
        <w:tc>
          <w:tcPr>
            <w:tcW w:w="8252" w:type="dxa"/>
            <w:vAlign w:val="center"/>
          </w:tcPr>
          <w:p>
            <w:pPr>
              <w:pStyle w:val="31"/>
              <w:shd w:val="clear"/>
              <w:rPr>
                <w:color w:val="auto"/>
                <w:spacing w:val="-6"/>
                <w:highlight w:val="none"/>
              </w:rPr>
            </w:pPr>
            <w:r>
              <w:rPr>
                <w:rFonts w:hint="eastAsia" w:hAnsi="宋体"/>
                <w:color w:val="auto"/>
                <w:highlight w:val="none"/>
                <w:u w:val="single"/>
              </w:rPr>
              <w:t xml:space="preserve">      </w:t>
            </w:r>
            <w:r>
              <w:rPr>
                <w:rFonts w:hint="eastAsia" w:hAnsi="宋体"/>
                <w:color w:val="auto"/>
                <w:highlight w:val="none"/>
              </w:rPr>
              <w:t>年（自交货并验收合格之日起计）</w:t>
            </w:r>
          </w:p>
        </w:tc>
      </w:tr>
    </w:tbl>
    <w:p>
      <w:pPr>
        <w:pStyle w:val="31"/>
        <w:shd w:val="clear"/>
        <w:spacing w:line="440" w:lineRule="exact"/>
        <w:ind w:firstLine="420"/>
        <w:rPr>
          <w:rFonts w:cs="Times New Roman"/>
          <w:color w:val="auto"/>
          <w:szCs w:val="20"/>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pStyle w:val="31"/>
        <w:shd w:val="clear"/>
        <w:spacing w:line="440" w:lineRule="exact"/>
        <w:ind w:firstLine="420"/>
        <w:rPr>
          <w:rFonts w:ascii="楷体_GB2312" w:hAnsi="华文楷体" w:eastAsia="楷体_GB2312"/>
          <w:color w:val="auto"/>
          <w:highlight w:val="none"/>
        </w:rPr>
      </w:pPr>
    </w:p>
    <w:p>
      <w:pPr>
        <w:pStyle w:val="31"/>
        <w:shd w:val="clear"/>
        <w:spacing w:line="440" w:lineRule="exact"/>
        <w:ind w:firstLine="420"/>
        <w:rPr>
          <w:rFonts w:ascii="楷体_GB2312" w:hAnsi="华文楷体" w:eastAsia="楷体_GB2312"/>
          <w:color w:val="auto"/>
          <w:highlight w:val="none"/>
        </w:rPr>
      </w:pPr>
      <w:r>
        <w:rPr>
          <w:rFonts w:hint="eastAsia" w:ascii="楷体_GB2312" w:hAnsi="华文楷体" w:eastAsia="楷体_GB2312"/>
          <w:color w:val="auto"/>
          <w:highlight w:val="none"/>
        </w:rPr>
        <w:t>投标说明：</w:t>
      </w:r>
    </w:p>
    <w:p>
      <w:pPr>
        <w:pStyle w:val="31"/>
        <w:shd w:val="clear"/>
        <w:spacing w:line="440" w:lineRule="exact"/>
        <w:ind w:firstLine="420"/>
        <w:rPr>
          <w:rFonts w:ascii="楷体_GB2312" w:hAnsi="华文楷体" w:eastAsia="楷体_GB2312"/>
          <w:color w:val="auto"/>
          <w:highlight w:val="none"/>
        </w:rPr>
      </w:pPr>
      <w:r>
        <w:rPr>
          <w:rFonts w:ascii="楷体_GB2312" w:hAnsi="华文楷体" w:eastAsia="楷体_GB2312"/>
          <w:color w:val="auto"/>
          <w:highlight w:val="none"/>
        </w:rPr>
        <w:t>1</w:t>
      </w:r>
      <w:r>
        <w:rPr>
          <w:rFonts w:hint="eastAsia" w:ascii="楷体_GB2312" w:hAnsi="华文楷体" w:eastAsia="楷体_GB2312"/>
          <w:color w:val="auto"/>
          <w:highlight w:val="none"/>
        </w:rPr>
        <w:t>、投标人必须加盖公章或签字，否则无签字或盖章的，投标无效。</w:t>
      </w:r>
    </w:p>
    <w:p>
      <w:pPr>
        <w:pStyle w:val="31"/>
        <w:shd w:val="clear"/>
        <w:spacing w:line="440" w:lineRule="exact"/>
        <w:ind w:firstLine="420"/>
        <w:rPr>
          <w:rFonts w:ascii="楷体_GB2312" w:hAnsi="华文楷体" w:eastAsia="楷体_GB2312"/>
          <w:color w:val="auto"/>
          <w:highlight w:val="none"/>
        </w:rPr>
      </w:pPr>
      <w:r>
        <w:rPr>
          <w:rFonts w:ascii="楷体_GB2312" w:hAnsi="华文楷体" w:eastAsia="楷体_GB2312"/>
          <w:color w:val="auto"/>
          <w:highlight w:val="none"/>
        </w:rPr>
        <w:t>2</w:t>
      </w:r>
      <w:r>
        <w:rPr>
          <w:rFonts w:hint="eastAsia" w:ascii="楷体_GB2312" w:hAnsi="华文楷体" w:eastAsia="楷体_GB2312"/>
          <w:color w:val="auto"/>
          <w:highlight w:val="none"/>
        </w:rPr>
        <w:t>、对于“货物需求一览表”，凡在“技术参数及性能（配置）要求”中表述为“标配”或“标准配置”的设备，投标人应在填写开标一览表时将其相应的标配参数详细列明。</w:t>
      </w:r>
    </w:p>
    <w:p>
      <w:pPr>
        <w:pStyle w:val="31"/>
        <w:shd w:val="clear"/>
        <w:spacing w:line="440" w:lineRule="exact"/>
        <w:ind w:firstLine="420"/>
        <w:rPr>
          <w:rFonts w:ascii="楷体_GB2312" w:hAnsi="华文楷体" w:eastAsia="楷体_GB2312"/>
          <w:color w:val="auto"/>
          <w:highlight w:val="none"/>
        </w:rPr>
      </w:pPr>
      <w:r>
        <w:rPr>
          <w:rFonts w:ascii="楷体_GB2312" w:hAnsi="华文楷体" w:eastAsia="楷体_GB2312"/>
          <w:color w:val="auto"/>
          <w:highlight w:val="none"/>
        </w:rPr>
        <w:t>3</w:t>
      </w:r>
      <w:r>
        <w:rPr>
          <w:rFonts w:hint="eastAsia" w:ascii="楷体_GB2312" w:hAnsi="华文楷体" w:eastAsia="楷体_GB2312"/>
          <w:color w:val="auto"/>
          <w:highlight w:val="none"/>
        </w:rPr>
        <w:t>、投标时，本表一式两份，单独装入开标一览表文件袋。</w:t>
      </w:r>
    </w:p>
    <w:p>
      <w:pPr>
        <w:shd w:val="clear"/>
        <w:snapToGrid w:val="0"/>
        <w:spacing w:line="420" w:lineRule="exact"/>
        <w:rPr>
          <w:rFonts w:ascii="宋体"/>
          <w:b/>
          <w:bCs/>
          <w:color w:val="auto"/>
          <w:sz w:val="24"/>
          <w:highlight w:val="none"/>
        </w:rPr>
      </w:pPr>
      <w:r>
        <w:rPr>
          <w:rFonts w:ascii="宋体"/>
          <w:b/>
          <w:bCs/>
          <w:color w:val="auto"/>
          <w:szCs w:val="21"/>
          <w:highlight w:val="none"/>
        </w:rPr>
        <w:br w:type="page"/>
      </w:r>
      <w:r>
        <w:rPr>
          <w:rFonts w:ascii="宋体" w:hAnsi="宋体"/>
          <w:b/>
          <w:color w:val="auto"/>
          <w:sz w:val="24"/>
          <w:highlight w:val="none"/>
        </w:rPr>
        <w:t>1.</w:t>
      </w:r>
      <w:r>
        <w:rPr>
          <w:rFonts w:hint="eastAsia" w:ascii="宋体" w:hAnsi="宋体"/>
          <w:b/>
          <w:color w:val="auto"/>
          <w:sz w:val="24"/>
          <w:highlight w:val="none"/>
        </w:rPr>
        <w:t>投标</w:t>
      </w:r>
      <w:r>
        <w:rPr>
          <w:rFonts w:hint="eastAsia" w:ascii="宋体" w:hAnsi="宋体"/>
          <w:b/>
          <w:bCs/>
          <w:color w:val="auto"/>
          <w:sz w:val="24"/>
          <w:highlight w:val="none"/>
        </w:rPr>
        <w:t>文件的外包装封面格式：</w:t>
      </w:r>
    </w:p>
    <w:p>
      <w:pPr>
        <w:shd w:val="clear"/>
        <w:snapToGrid w:val="0"/>
        <w:rPr>
          <w:rFonts w:ascii="宋体"/>
          <w:bCs/>
          <w:color w:val="auto"/>
          <w:sz w:val="24"/>
          <w:highlight w:val="none"/>
        </w:rPr>
      </w:pPr>
    </w:p>
    <w:p>
      <w:pPr>
        <w:shd w:val="clear"/>
        <w:snapToGrid w:val="0"/>
        <w:jc w:val="center"/>
        <w:rPr>
          <w:rFonts w:ascii="宋体"/>
          <w:b/>
          <w:bCs/>
          <w:color w:val="auto"/>
          <w:sz w:val="44"/>
          <w:szCs w:val="44"/>
          <w:highlight w:val="none"/>
        </w:rPr>
      </w:pPr>
    </w:p>
    <w:p>
      <w:pPr>
        <w:shd w:val="clear"/>
        <w:snapToGrid w:val="0"/>
        <w:jc w:val="center"/>
        <w:rPr>
          <w:rFonts w:ascii="宋体"/>
          <w:b/>
          <w:bCs/>
          <w:color w:val="auto"/>
          <w:sz w:val="44"/>
          <w:szCs w:val="44"/>
          <w:highlight w:val="none"/>
        </w:rPr>
      </w:pPr>
    </w:p>
    <w:p>
      <w:pPr>
        <w:shd w:val="clear"/>
        <w:snapToGrid w:val="0"/>
        <w:jc w:val="center"/>
        <w:rPr>
          <w:rFonts w:ascii="宋体"/>
          <w:b/>
          <w:bCs/>
          <w:color w:val="auto"/>
          <w:sz w:val="44"/>
          <w:szCs w:val="44"/>
          <w:highlight w:val="none"/>
        </w:rPr>
      </w:pPr>
    </w:p>
    <w:p>
      <w:pPr>
        <w:shd w:val="clear"/>
        <w:snapToGrid w:val="0"/>
        <w:jc w:val="center"/>
        <w:rPr>
          <w:rFonts w:ascii="宋体"/>
          <w:b/>
          <w:bCs/>
          <w:color w:val="auto"/>
          <w:sz w:val="44"/>
          <w:szCs w:val="44"/>
          <w:highlight w:val="none"/>
        </w:rPr>
      </w:pPr>
      <w:r>
        <w:rPr>
          <w:rFonts w:hint="eastAsia" w:ascii="宋体" w:hAnsi="宋体"/>
          <w:b/>
          <w:bCs/>
          <w:color w:val="auto"/>
          <w:sz w:val="44"/>
          <w:szCs w:val="44"/>
          <w:highlight w:val="none"/>
        </w:rPr>
        <w:t>投标文件</w:t>
      </w:r>
    </w:p>
    <w:p>
      <w:pPr>
        <w:shd w:val="clear"/>
        <w:snapToGrid w:val="0"/>
        <w:ind w:firstLine="1424" w:firstLineChars="445"/>
        <w:rPr>
          <w:rFonts w:ascii="宋体"/>
          <w:bCs/>
          <w:color w:val="auto"/>
          <w:sz w:val="32"/>
          <w:szCs w:val="32"/>
          <w:highlight w:val="none"/>
        </w:rPr>
      </w:pPr>
    </w:p>
    <w:p>
      <w:pPr>
        <w:shd w:val="clear"/>
        <w:snapToGrid w:val="0"/>
        <w:ind w:firstLine="1424" w:firstLineChars="445"/>
        <w:rPr>
          <w:rFonts w:ascii="宋体"/>
          <w:bCs/>
          <w:color w:val="auto"/>
          <w:sz w:val="32"/>
          <w:szCs w:val="32"/>
          <w:highlight w:val="none"/>
        </w:rPr>
      </w:pPr>
    </w:p>
    <w:p>
      <w:pPr>
        <w:shd w:val="clear"/>
        <w:snapToGrid w:val="0"/>
        <w:ind w:firstLine="1430" w:firstLineChars="445"/>
        <w:rPr>
          <w:rFonts w:ascii="宋体"/>
          <w:b/>
          <w:bCs/>
          <w:color w:val="auto"/>
          <w:sz w:val="32"/>
          <w:szCs w:val="32"/>
          <w:highlight w:val="none"/>
        </w:rPr>
      </w:pPr>
      <w:r>
        <w:rPr>
          <w:rFonts w:hint="eastAsia" w:ascii="宋体" w:hAnsi="宋体"/>
          <w:b/>
          <w:bCs/>
          <w:color w:val="auto"/>
          <w:sz w:val="32"/>
          <w:szCs w:val="32"/>
          <w:highlight w:val="none"/>
        </w:rPr>
        <w:t>项目名称：</w:t>
      </w:r>
    </w:p>
    <w:p>
      <w:pPr>
        <w:shd w:val="clear"/>
        <w:snapToGrid w:val="0"/>
        <w:ind w:firstLine="1446" w:firstLineChars="450"/>
        <w:rPr>
          <w:rFonts w:ascii="宋体"/>
          <w:b/>
          <w:bCs/>
          <w:color w:val="auto"/>
          <w:sz w:val="32"/>
          <w:szCs w:val="32"/>
          <w:highlight w:val="none"/>
        </w:rPr>
      </w:pPr>
      <w:r>
        <w:rPr>
          <w:rFonts w:hint="eastAsia" w:ascii="宋体" w:hAnsi="宋体"/>
          <w:b/>
          <w:bCs/>
          <w:color w:val="auto"/>
          <w:sz w:val="32"/>
          <w:szCs w:val="32"/>
          <w:highlight w:val="none"/>
        </w:rPr>
        <w:t>项目编号：</w:t>
      </w:r>
    </w:p>
    <w:p>
      <w:pPr>
        <w:shd w:val="clear"/>
        <w:snapToGrid w:val="0"/>
        <w:ind w:firstLine="643" w:firstLineChars="200"/>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投标人名称：</w:t>
      </w:r>
    </w:p>
    <w:p>
      <w:pPr>
        <w:pStyle w:val="7"/>
        <w:shd w:val="clear"/>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投标人地址：</w:t>
      </w:r>
    </w:p>
    <w:p>
      <w:pPr>
        <w:pStyle w:val="7"/>
        <w:shd w:val="clear"/>
        <w:snapToGrid w:val="0"/>
        <w:ind w:firstLine="1336" w:firstLineChars="416"/>
        <w:rPr>
          <w:rFonts w:ascii="宋体"/>
          <w:b/>
          <w:bCs/>
          <w:color w:val="auto"/>
          <w:sz w:val="32"/>
          <w:szCs w:val="32"/>
          <w:highlight w:val="none"/>
        </w:rPr>
      </w:pPr>
    </w:p>
    <w:p>
      <w:pPr>
        <w:pStyle w:val="7"/>
        <w:shd w:val="clear"/>
        <w:snapToGrid w:val="0"/>
        <w:ind w:firstLine="1336" w:firstLineChars="416"/>
        <w:rPr>
          <w:rFonts w:ascii="宋体"/>
          <w:b/>
          <w:bCs/>
          <w:color w:val="auto"/>
          <w:sz w:val="32"/>
          <w:szCs w:val="32"/>
          <w:highlight w:val="none"/>
        </w:rPr>
      </w:pPr>
    </w:p>
    <w:p>
      <w:pPr>
        <w:pStyle w:val="7"/>
        <w:shd w:val="clear"/>
        <w:snapToGrid w:val="0"/>
        <w:ind w:firstLine="3746" w:firstLineChars="1166"/>
        <w:rPr>
          <w:rFonts w:ascii="宋体"/>
          <w:b/>
          <w:bCs/>
          <w:color w:val="auto"/>
          <w:sz w:val="32"/>
          <w:szCs w:val="32"/>
          <w:highlight w:val="none"/>
        </w:rPr>
      </w:pPr>
      <w:r>
        <w:rPr>
          <w:rFonts w:hint="eastAsia" w:ascii="宋体" w:hAnsi="宋体"/>
          <w:b/>
          <w:bCs/>
          <w:color w:val="auto"/>
          <w:sz w:val="32"/>
          <w:szCs w:val="32"/>
          <w:highlight w:val="none"/>
        </w:rPr>
        <w:t>在开标时间之前不得启封</w:t>
      </w:r>
    </w:p>
    <w:p>
      <w:pPr>
        <w:pStyle w:val="7"/>
        <w:shd w:val="clear"/>
        <w:snapToGrid w:val="0"/>
        <w:ind w:firstLine="5301" w:firstLineChars="1650"/>
        <w:rPr>
          <w:rFonts w:ascii="宋体"/>
          <w:b/>
          <w:bCs/>
          <w:color w:val="auto"/>
          <w:sz w:val="32"/>
          <w:szCs w:val="32"/>
          <w:highlight w:val="none"/>
        </w:rPr>
      </w:pPr>
    </w:p>
    <w:p>
      <w:pPr>
        <w:shd w:val="clear"/>
        <w:snapToGrid w:val="0"/>
        <w:ind w:firstLine="645"/>
        <w:jc w:val="center"/>
        <w:rPr>
          <w:rFonts w:ascii="宋体"/>
          <w:b/>
          <w:color w:val="auto"/>
          <w:sz w:val="32"/>
          <w:szCs w:val="32"/>
          <w:highlight w:val="none"/>
        </w:rPr>
      </w:pPr>
      <w:r>
        <w:rPr>
          <w:rFonts w:hint="eastAsia" w:ascii="宋体" w:hAnsi="宋体"/>
          <w:b/>
          <w:color w:val="auto"/>
          <w:sz w:val="32"/>
          <w:szCs w:val="32"/>
          <w:highlight w:val="none"/>
        </w:rPr>
        <w:t>年  月  日</w:t>
      </w:r>
    </w:p>
    <w:p>
      <w:pPr>
        <w:shd w:val="clear"/>
        <w:snapToGrid w:val="0"/>
        <w:rPr>
          <w:rFonts w:ascii="宋体"/>
          <w:b/>
          <w:color w:val="auto"/>
          <w:sz w:val="24"/>
          <w:highlight w:val="none"/>
        </w:rPr>
      </w:pPr>
    </w:p>
    <w:p>
      <w:pPr>
        <w:shd w:val="clear"/>
        <w:snapToGrid w:val="0"/>
        <w:spacing w:line="400" w:lineRule="exact"/>
        <w:rPr>
          <w:rFonts w:ascii="宋体"/>
          <w:b/>
          <w:color w:val="auto"/>
          <w:sz w:val="24"/>
          <w:highlight w:val="none"/>
        </w:rPr>
      </w:pPr>
      <w:r>
        <w:rPr>
          <w:rFonts w:ascii="宋体"/>
          <w:b/>
          <w:color w:val="auto"/>
          <w:sz w:val="24"/>
          <w:highlight w:val="none"/>
        </w:rPr>
        <w:br w:type="textWrapping"/>
      </w:r>
      <w:r>
        <w:rPr>
          <w:rFonts w:ascii="宋体"/>
          <w:b/>
          <w:color w:val="auto"/>
          <w:sz w:val="24"/>
          <w:highlight w:val="none"/>
        </w:rPr>
        <w:br w:type="page"/>
      </w:r>
      <w:r>
        <w:rPr>
          <w:rFonts w:ascii="宋体" w:hAnsi="宋体"/>
          <w:b/>
          <w:color w:val="auto"/>
          <w:sz w:val="24"/>
          <w:highlight w:val="none"/>
        </w:rPr>
        <w:t>2.</w:t>
      </w:r>
      <w:r>
        <w:rPr>
          <w:rFonts w:hint="eastAsia" w:ascii="宋体" w:hAnsi="宋体"/>
          <w:b/>
          <w:color w:val="auto"/>
          <w:sz w:val="24"/>
          <w:highlight w:val="none"/>
        </w:rPr>
        <w:t>投标文件封面格式：</w:t>
      </w:r>
    </w:p>
    <w:p>
      <w:pPr>
        <w:shd w:val="clear"/>
        <w:snapToGrid w:val="0"/>
        <w:spacing w:line="400" w:lineRule="exact"/>
        <w:rPr>
          <w:rFonts w:ascii="宋体"/>
          <w:b/>
          <w:bCs/>
          <w:color w:val="auto"/>
          <w:sz w:val="24"/>
          <w:highlight w:val="none"/>
        </w:rPr>
      </w:pPr>
      <w:r>
        <w:rPr>
          <w:rFonts w:hint="eastAsia" w:ascii="宋体" w:hAnsi="宋体"/>
          <w:b/>
          <w:bCs/>
          <w:color w:val="auto"/>
          <w:sz w:val="24"/>
          <w:highlight w:val="none"/>
        </w:rPr>
        <w:t>正本</w:t>
      </w:r>
      <w:r>
        <w:rPr>
          <w:rFonts w:ascii="宋体" w:hAnsi="宋体"/>
          <w:b/>
          <w:bCs/>
          <w:color w:val="auto"/>
          <w:sz w:val="24"/>
          <w:highlight w:val="none"/>
        </w:rPr>
        <w:t>/</w:t>
      </w:r>
      <w:r>
        <w:rPr>
          <w:rFonts w:hint="eastAsia" w:ascii="宋体" w:hAnsi="宋体"/>
          <w:b/>
          <w:bCs/>
          <w:color w:val="auto"/>
          <w:sz w:val="24"/>
          <w:highlight w:val="none"/>
        </w:rPr>
        <w:t>或副本</w:t>
      </w:r>
    </w:p>
    <w:p>
      <w:pPr>
        <w:shd w:val="clear"/>
        <w:snapToGrid w:val="0"/>
        <w:rPr>
          <w:rFonts w:ascii="宋体"/>
          <w:b/>
          <w:color w:val="auto"/>
          <w:sz w:val="44"/>
          <w:szCs w:val="44"/>
          <w:highlight w:val="none"/>
        </w:rPr>
      </w:pPr>
    </w:p>
    <w:p>
      <w:pPr>
        <w:shd w:val="clear"/>
        <w:snapToGrid w:val="0"/>
        <w:jc w:val="center"/>
        <w:rPr>
          <w:rFonts w:ascii="宋体"/>
          <w:b/>
          <w:bCs/>
          <w:color w:val="auto"/>
          <w:sz w:val="44"/>
          <w:szCs w:val="44"/>
          <w:highlight w:val="none"/>
        </w:rPr>
      </w:pPr>
      <w:r>
        <w:rPr>
          <w:rFonts w:hint="eastAsia" w:ascii="宋体" w:hAnsi="宋体"/>
          <w:b/>
          <w:bCs/>
          <w:color w:val="auto"/>
          <w:sz w:val="44"/>
          <w:szCs w:val="44"/>
          <w:highlight w:val="none"/>
        </w:rPr>
        <w:t>投标文件</w:t>
      </w:r>
    </w:p>
    <w:p>
      <w:pPr>
        <w:shd w:val="clear"/>
        <w:snapToGrid w:val="0"/>
        <w:rPr>
          <w:rFonts w:ascii="宋体"/>
          <w:bCs/>
          <w:color w:val="auto"/>
          <w:sz w:val="24"/>
          <w:highlight w:val="none"/>
        </w:rPr>
      </w:pPr>
    </w:p>
    <w:p>
      <w:pPr>
        <w:shd w:val="clear"/>
        <w:snapToGrid w:val="0"/>
        <w:ind w:firstLine="1424" w:firstLineChars="445"/>
        <w:rPr>
          <w:rFonts w:ascii="宋体"/>
          <w:bCs/>
          <w:color w:val="auto"/>
          <w:sz w:val="32"/>
          <w:szCs w:val="32"/>
          <w:highlight w:val="none"/>
        </w:rPr>
      </w:pPr>
    </w:p>
    <w:p>
      <w:pPr>
        <w:shd w:val="clear"/>
        <w:snapToGrid w:val="0"/>
        <w:ind w:firstLine="1424" w:firstLineChars="445"/>
        <w:rPr>
          <w:rFonts w:ascii="宋体"/>
          <w:bCs/>
          <w:color w:val="auto"/>
          <w:sz w:val="32"/>
          <w:szCs w:val="32"/>
          <w:highlight w:val="none"/>
        </w:rPr>
      </w:pPr>
    </w:p>
    <w:p>
      <w:pPr>
        <w:shd w:val="clear"/>
        <w:snapToGrid w:val="0"/>
        <w:ind w:firstLine="1430" w:firstLineChars="445"/>
        <w:rPr>
          <w:rFonts w:ascii="宋体"/>
          <w:b/>
          <w:bCs/>
          <w:color w:val="auto"/>
          <w:sz w:val="32"/>
          <w:szCs w:val="32"/>
          <w:highlight w:val="none"/>
        </w:rPr>
      </w:pPr>
      <w:r>
        <w:rPr>
          <w:rFonts w:hint="eastAsia" w:ascii="宋体" w:hAnsi="宋体"/>
          <w:b/>
          <w:bCs/>
          <w:color w:val="auto"/>
          <w:sz w:val="32"/>
          <w:szCs w:val="32"/>
          <w:highlight w:val="none"/>
        </w:rPr>
        <w:t>项目名称：</w:t>
      </w:r>
    </w:p>
    <w:p>
      <w:pPr>
        <w:shd w:val="clear"/>
        <w:snapToGrid w:val="0"/>
        <w:ind w:firstLine="643" w:firstLineChars="200"/>
        <w:rPr>
          <w:rFonts w:ascii="宋体"/>
          <w:b/>
          <w:bCs/>
          <w:color w:val="auto"/>
          <w:sz w:val="32"/>
          <w:szCs w:val="32"/>
          <w:highlight w:val="none"/>
        </w:rPr>
      </w:pPr>
    </w:p>
    <w:p>
      <w:pPr>
        <w:shd w:val="clear"/>
        <w:snapToGrid w:val="0"/>
        <w:ind w:firstLine="1446" w:firstLineChars="450"/>
        <w:rPr>
          <w:rFonts w:ascii="宋体"/>
          <w:b/>
          <w:bCs/>
          <w:color w:val="auto"/>
          <w:sz w:val="32"/>
          <w:szCs w:val="32"/>
          <w:highlight w:val="none"/>
        </w:rPr>
      </w:pPr>
      <w:r>
        <w:rPr>
          <w:rFonts w:hint="eastAsia" w:ascii="宋体" w:hAnsi="宋体"/>
          <w:b/>
          <w:bCs/>
          <w:color w:val="auto"/>
          <w:sz w:val="32"/>
          <w:szCs w:val="32"/>
          <w:highlight w:val="none"/>
        </w:rPr>
        <w:t>项目编号：</w:t>
      </w:r>
    </w:p>
    <w:p>
      <w:pPr>
        <w:shd w:val="clear"/>
        <w:snapToGrid w:val="0"/>
        <w:ind w:firstLine="643" w:firstLineChars="200"/>
        <w:rPr>
          <w:rFonts w:ascii="宋体"/>
          <w:b/>
          <w:bCs/>
          <w:color w:val="auto"/>
          <w:sz w:val="32"/>
          <w:szCs w:val="32"/>
          <w:highlight w:val="none"/>
        </w:rPr>
      </w:pPr>
    </w:p>
    <w:p>
      <w:pPr>
        <w:shd w:val="clear"/>
        <w:snapToGrid w:val="0"/>
        <w:ind w:firstLine="643" w:firstLineChars="200"/>
        <w:rPr>
          <w:rFonts w:ascii="宋体"/>
          <w:b/>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1" w:firstLineChars="416"/>
        <w:rPr>
          <w:rFonts w:ascii="宋体"/>
          <w:bCs/>
          <w:color w:val="auto"/>
          <w:sz w:val="32"/>
          <w:szCs w:val="32"/>
          <w:highlight w:val="none"/>
        </w:rPr>
      </w:pPr>
    </w:p>
    <w:p>
      <w:pPr>
        <w:pStyle w:val="7"/>
        <w:shd w:val="clear"/>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投标人名称：</w:t>
      </w:r>
    </w:p>
    <w:p>
      <w:pPr>
        <w:pStyle w:val="7"/>
        <w:shd w:val="clear"/>
        <w:snapToGrid w:val="0"/>
        <w:ind w:firstLine="1336" w:firstLineChars="416"/>
        <w:rPr>
          <w:rFonts w:ascii="宋体"/>
          <w:b/>
          <w:bCs/>
          <w:color w:val="auto"/>
          <w:sz w:val="32"/>
          <w:szCs w:val="32"/>
          <w:highlight w:val="none"/>
        </w:rPr>
      </w:pPr>
      <w:r>
        <w:rPr>
          <w:rFonts w:hint="eastAsia" w:ascii="宋体" w:hAnsi="宋体"/>
          <w:b/>
          <w:bCs/>
          <w:color w:val="auto"/>
          <w:sz w:val="32"/>
          <w:szCs w:val="32"/>
          <w:highlight w:val="none"/>
        </w:rPr>
        <w:t>投标人地址：</w:t>
      </w:r>
    </w:p>
    <w:p>
      <w:pPr>
        <w:pStyle w:val="7"/>
        <w:shd w:val="clear"/>
        <w:snapToGrid w:val="0"/>
        <w:ind w:firstLine="1285" w:firstLineChars="400"/>
        <w:rPr>
          <w:rFonts w:ascii="宋体"/>
          <w:b/>
          <w:bCs/>
          <w:color w:val="auto"/>
          <w:sz w:val="32"/>
          <w:szCs w:val="32"/>
          <w:highlight w:val="none"/>
        </w:rPr>
      </w:pPr>
    </w:p>
    <w:p>
      <w:pPr>
        <w:shd w:val="clear"/>
        <w:snapToGrid w:val="0"/>
        <w:ind w:firstLine="645"/>
        <w:jc w:val="center"/>
        <w:rPr>
          <w:rFonts w:ascii="宋体"/>
          <w:b/>
          <w:color w:val="auto"/>
          <w:sz w:val="32"/>
          <w:szCs w:val="32"/>
          <w:highlight w:val="none"/>
        </w:rPr>
      </w:pPr>
      <w:r>
        <w:rPr>
          <w:rFonts w:hint="eastAsia" w:ascii="宋体" w:hAnsi="宋体"/>
          <w:b/>
          <w:color w:val="auto"/>
          <w:sz w:val="32"/>
          <w:szCs w:val="32"/>
          <w:highlight w:val="none"/>
        </w:rPr>
        <w:t>年  月  日</w:t>
      </w:r>
    </w:p>
    <w:p>
      <w:pPr>
        <w:shd w:val="clear"/>
        <w:snapToGrid w:val="0"/>
        <w:rPr>
          <w:rFonts w:ascii="宋体"/>
          <w:b/>
          <w:color w:val="auto"/>
          <w:sz w:val="24"/>
          <w:highlight w:val="none"/>
        </w:rPr>
      </w:pPr>
      <w:r>
        <w:rPr>
          <w:rFonts w:ascii="宋体"/>
          <w:color w:val="auto"/>
          <w:sz w:val="24"/>
          <w:highlight w:val="none"/>
        </w:rPr>
        <w:br w:type="page"/>
      </w:r>
      <w:r>
        <w:rPr>
          <w:rFonts w:ascii="宋体" w:hAnsi="宋体"/>
          <w:b/>
          <w:color w:val="auto"/>
          <w:sz w:val="24"/>
          <w:highlight w:val="none"/>
        </w:rPr>
        <w:t>3.</w:t>
      </w:r>
      <w:r>
        <w:rPr>
          <w:rFonts w:hint="eastAsia" w:ascii="宋体" w:hAnsi="宋体"/>
          <w:b/>
          <w:bCs/>
          <w:color w:val="auto"/>
          <w:sz w:val="24"/>
          <w:highlight w:val="none"/>
        </w:rPr>
        <w:t>投标文件目录</w:t>
      </w:r>
    </w:p>
    <w:p>
      <w:pPr>
        <w:shd w:val="clear"/>
        <w:snapToGrid w:val="0"/>
        <w:rPr>
          <w:rFonts w:ascii="宋体"/>
          <w:color w:val="auto"/>
          <w:sz w:val="24"/>
          <w:highlight w:val="none"/>
        </w:rPr>
      </w:pPr>
    </w:p>
    <w:p>
      <w:pPr>
        <w:shd w:val="clear"/>
        <w:snapToGrid w:val="0"/>
        <w:jc w:val="left"/>
        <w:rPr>
          <w:rFonts w:asci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hd w:val="clear"/>
        <w:snapToGrid w:val="0"/>
        <w:rPr>
          <w:rFonts w:ascii="宋体"/>
          <w:b/>
          <w:color w:val="auto"/>
          <w:sz w:val="24"/>
          <w:highlight w:val="none"/>
        </w:rPr>
      </w:pPr>
      <w:r>
        <w:rPr>
          <w:rFonts w:ascii="宋体"/>
          <w:b/>
          <w:color w:val="auto"/>
          <w:sz w:val="24"/>
          <w:highlight w:val="none"/>
        </w:rPr>
        <w:br w:type="page"/>
      </w:r>
      <w:r>
        <w:rPr>
          <w:rFonts w:hint="eastAsia" w:ascii="宋体" w:hAnsi="宋体"/>
          <w:b/>
          <w:color w:val="auto"/>
          <w:sz w:val="24"/>
          <w:highlight w:val="none"/>
        </w:rPr>
        <w:t>投标函格式：</w:t>
      </w:r>
    </w:p>
    <w:p>
      <w:pPr>
        <w:shd w:val="clear"/>
        <w:snapToGrid w:val="0"/>
        <w:jc w:val="center"/>
        <w:rPr>
          <w:rFonts w:ascii="宋体"/>
          <w:b/>
          <w:color w:val="auto"/>
          <w:sz w:val="32"/>
          <w:szCs w:val="32"/>
          <w:highlight w:val="none"/>
        </w:rPr>
      </w:pPr>
      <w:r>
        <w:rPr>
          <w:rFonts w:hint="eastAsia" w:ascii="宋体" w:hAnsi="宋体"/>
          <w:b/>
          <w:color w:val="auto"/>
          <w:sz w:val="32"/>
          <w:szCs w:val="32"/>
          <w:highlight w:val="none"/>
        </w:rPr>
        <w:t>投标函</w:t>
      </w:r>
    </w:p>
    <w:p>
      <w:pPr>
        <w:shd w:val="clear"/>
        <w:snapToGrid w:val="0"/>
        <w:spacing w:line="360" w:lineRule="auto"/>
        <w:jc w:val="center"/>
        <w:rPr>
          <w:rFonts w:ascii="宋体"/>
          <w:b/>
          <w:color w:val="auto"/>
          <w:sz w:val="24"/>
          <w:highlight w:val="none"/>
        </w:rPr>
      </w:pPr>
    </w:p>
    <w:p>
      <w:pPr>
        <w:shd w:val="clear"/>
        <w:snapToGrid w:val="0"/>
        <w:spacing w:line="360" w:lineRule="auto"/>
        <w:rPr>
          <w:rFonts w:ascii="宋体"/>
          <w:color w:val="auto"/>
          <w:szCs w:val="21"/>
          <w:highlight w:val="none"/>
        </w:rPr>
      </w:pPr>
      <w:r>
        <w:rPr>
          <w:rFonts w:hint="eastAsia" w:ascii="宋体" w:hAnsi="宋体"/>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（招标采购单位名称）：</w:t>
      </w:r>
    </w:p>
    <w:p>
      <w:pPr>
        <w:pStyle w:val="31"/>
        <w:shd w:val="clear"/>
        <w:spacing w:line="360" w:lineRule="auto"/>
        <w:ind w:firstLine="420"/>
        <w:rPr>
          <w:color w:val="auto"/>
          <w:highlight w:val="none"/>
        </w:rPr>
      </w:pPr>
      <w:r>
        <w:rPr>
          <w:rFonts w:hint="eastAsia"/>
          <w:color w:val="auto"/>
          <w:highlight w:val="none"/>
        </w:rPr>
        <w:t>根据贵方采购项目</w:t>
      </w:r>
      <w:r>
        <w:rPr>
          <w:rFonts w:hint="eastAsia"/>
          <w:color w:val="auto"/>
          <w:highlight w:val="none"/>
          <w:u w:val="single"/>
        </w:rPr>
        <w:t xml:space="preserve">           </w:t>
      </w:r>
      <w:r>
        <w:rPr>
          <w:rFonts w:hint="eastAsia"/>
          <w:color w:val="auto"/>
          <w:highlight w:val="none"/>
        </w:rPr>
        <w:t>招标文件，项目编号</w:t>
      </w:r>
      <w:r>
        <w:rPr>
          <w:rFonts w:hint="eastAsia"/>
          <w:color w:val="auto"/>
          <w:highlight w:val="none"/>
          <w:u w:val="single"/>
        </w:rPr>
        <w:t xml:space="preserve">        </w:t>
      </w:r>
      <w:r>
        <w:rPr>
          <w:rFonts w:hint="eastAsia"/>
          <w:color w:val="auto"/>
          <w:highlight w:val="none"/>
        </w:rPr>
        <w:t>，正式授权下述签字人</w:t>
      </w:r>
      <w:r>
        <w:rPr>
          <w:rFonts w:hint="eastAsia"/>
          <w:color w:val="auto"/>
          <w:highlight w:val="none"/>
          <w:u w:val="single"/>
        </w:rPr>
        <w:t xml:space="preserve">     </w:t>
      </w:r>
      <w:r>
        <w:rPr>
          <w:rFonts w:hint="eastAsia"/>
          <w:color w:val="auto"/>
          <w:highlight w:val="none"/>
        </w:rPr>
        <w:t>（姓名和职务）代表投标人</w:t>
      </w:r>
      <w:r>
        <w:rPr>
          <w:rFonts w:hint="eastAsia"/>
          <w:color w:val="auto"/>
          <w:highlight w:val="none"/>
          <w:u w:val="single"/>
        </w:rPr>
        <w:t xml:space="preserve">          </w:t>
      </w:r>
      <w:r>
        <w:rPr>
          <w:rFonts w:hint="eastAsia"/>
          <w:color w:val="auto"/>
          <w:highlight w:val="none"/>
        </w:rPr>
        <w:t>（投标单位名称），提交开标一览表两份、下述文件正本一份，副本四份，电子</w:t>
      </w:r>
      <w:r>
        <w:rPr>
          <w:color w:val="auto"/>
          <w:highlight w:val="none"/>
        </w:rPr>
        <w:t>U</w:t>
      </w:r>
      <w:r>
        <w:rPr>
          <w:rFonts w:hint="eastAsia"/>
          <w:color w:val="auto"/>
          <w:highlight w:val="none"/>
        </w:rPr>
        <w:t>盘一份。</w:t>
      </w:r>
    </w:p>
    <w:p>
      <w:pPr>
        <w:shd w:val="clear"/>
        <w:snapToGrid w:val="0"/>
        <w:spacing w:line="360" w:lineRule="auto"/>
        <w:ind w:firstLine="420"/>
        <w:rPr>
          <w:rFonts w:ascii="宋体"/>
          <w:color w:val="auto"/>
          <w:szCs w:val="21"/>
          <w:highlight w:val="none"/>
        </w:rPr>
      </w:pPr>
      <w:r>
        <w:rPr>
          <w:rFonts w:hint="eastAsia" w:ascii="宋体" w:hAnsi="宋体"/>
          <w:color w:val="auto"/>
          <w:szCs w:val="21"/>
          <w:highlight w:val="none"/>
        </w:rPr>
        <w:t>据此函，签字代表宣布同意如下：</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投标人在投标之前已经与贵方进行了充分的沟通，完全理解并接受招标文件的各项规定和要求，对招标文件的合理性、合法性不再有异议。</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本投标有效期自投标截止之日起至政府采购合同签订之日止。</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如中标，本投标文件至本项目合同履行完毕止均保持有效，本投标人将按“招标文件”及政府采购法律、法规的规定履行合同责任和义务。</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投标人同意按照贵方要求提供与投标有关的一切数据或资料。</w:t>
      </w:r>
    </w:p>
    <w:p>
      <w:pPr>
        <w:shd w:val="clear"/>
        <w:snapToGrid w:val="0"/>
        <w:spacing w:line="360" w:lineRule="auto"/>
        <w:ind w:firstLine="420"/>
        <w:rPr>
          <w:rFonts w:asci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与本投标有关的一切正式往来信函请寄：</w:t>
      </w: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地址：</w:t>
      </w:r>
      <w:r>
        <w:rPr>
          <w:rFonts w:ascii="宋体" w:hAnsi="宋体"/>
          <w:color w:val="auto"/>
          <w:szCs w:val="21"/>
          <w:highlight w:val="none"/>
        </w:rPr>
        <w:t>____________</w:t>
      </w:r>
      <w:r>
        <w:rPr>
          <w:rFonts w:hint="eastAsia" w:ascii="宋体" w:hAnsi="宋体"/>
          <w:color w:val="auto"/>
          <w:szCs w:val="21"/>
          <w:highlight w:val="none"/>
        </w:rPr>
        <w:t>邮编：</w:t>
      </w:r>
      <w:r>
        <w:rPr>
          <w:rFonts w:ascii="宋体" w:hAnsi="宋体"/>
          <w:color w:val="auto"/>
          <w:szCs w:val="21"/>
          <w:highlight w:val="none"/>
        </w:rPr>
        <w:t xml:space="preserve">__________   </w:t>
      </w:r>
      <w:r>
        <w:rPr>
          <w:rFonts w:hint="eastAsia" w:ascii="宋体" w:hAnsi="宋体"/>
          <w:color w:val="auto"/>
          <w:szCs w:val="21"/>
          <w:highlight w:val="none"/>
        </w:rPr>
        <w:t>电话：</w:t>
      </w:r>
      <w:r>
        <w:rPr>
          <w:rFonts w:ascii="宋体" w:hAnsi="宋体"/>
          <w:color w:val="auto"/>
          <w:szCs w:val="21"/>
          <w:highlight w:val="none"/>
        </w:rPr>
        <w:t>_____________</w:t>
      </w:r>
    </w:p>
    <w:p>
      <w:pPr>
        <w:shd w:val="clear"/>
        <w:snapToGrid w:val="0"/>
        <w:spacing w:line="400" w:lineRule="exact"/>
        <w:ind w:firstLine="420" w:firstLineChars="200"/>
        <w:rPr>
          <w:rFonts w:ascii="宋体"/>
          <w:color w:val="auto"/>
          <w:szCs w:val="21"/>
          <w:highlight w:val="none"/>
        </w:rPr>
      </w:pPr>
    </w:p>
    <w:p>
      <w:pPr>
        <w:shd w:val="clear"/>
        <w:snapToGrid w:val="0"/>
        <w:spacing w:line="400" w:lineRule="exact"/>
        <w:ind w:firstLine="420" w:firstLineChars="200"/>
        <w:rPr>
          <w:rFonts w:ascii="宋体"/>
          <w:color w:val="auto"/>
          <w:szCs w:val="21"/>
          <w:highlight w:val="none"/>
        </w:rPr>
      </w:pPr>
      <w:r>
        <w:rPr>
          <w:rFonts w:hint="eastAsia" w:ascii="宋体" w:hAnsi="宋体"/>
          <w:color w:val="auto"/>
          <w:szCs w:val="21"/>
          <w:highlight w:val="none"/>
        </w:rPr>
        <w:t>传真：</w:t>
      </w:r>
      <w:r>
        <w:rPr>
          <w:rFonts w:ascii="宋体" w:hAnsi="宋体"/>
          <w:color w:val="auto"/>
          <w:szCs w:val="21"/>
          <w:highlight w:val="none"/>
        </w:rPr>
        <w:t xml:space="preserve">___________   </w:t>
      </w:r>
      <w:r>
        <w:rPr>
          <w:rFonts w:hint="eastAsia" w:ascii="宋体" w:hAnsi="宋体"/>
          <w:color w:val="auto"/>
          <w:szCs w:val="21"/>
          <w:highlight w:val="none"/>
        </w:rPr>
        <w:t>投标人代表姓名</w:t>
      </w:r>
      <w:r>
        <w:rPr>
          <w:rFonts w:ascii="宋体" w:hAnsi="宋体"/>
          <w:color w:val="auto"/>
          <w:szCs w:val="21"/>
          <w:highlight w:val="none"/>
        </w:rPr>
        <w:t xml:space="preserve"> _________ </w:t>
      </w:r>
      <w:r>
        <w:rPr>
          <w:rFonts w:hint="eastAsia" w:ascii="宋体" w:hAnsi="宋体"/>
          <w:color w:val="auto"/>
          <w:szCs w:val="21"/>
          <w:highlight w:val="none"/>
        </w:rPr>
        <w:t>职务：</w:t>
      </w:r>
      <w:r>
        <w:rPr>
          <w:rFonts w:ascii="宋体" w:hAnsi="宋体"/>
          <w:color w:val="auto"/>
          <w:szCs w:val="21"/>
          <w:highlight w:val="none"/>
        </w:rPr>
        <w:t>_____________</w:t>
      </w:r>
    </w:p>
    <w:p>
      <w:pPr>
        <w:shd w:val="clear"/>
        <w:snapToGrid w:val="0"/>
        <w:spacing w:line="400" w:lineRule="exact"/>
        <w:rPr>
          <w:rFonts w:ascii="宋体"/>
          <w:color w:val="auto"/>
          <w:szCs w:val="21"/>
          <w:highlight w:val="none"/>
        </w:rPr>
      </w:pPr>
    </w:p>
    <w:p>
      <w:pPr>
        <w:shd w:val="clear"/>
        <w:snapToGrid w:val="0"/>
        <w:spacing w:line="400" w:lineRule="exact"/>
        <w:ind w:firstLine="315" w:firstLineChars="150"/>
        <w:rPr>
          <w:rFonts w:ascii="宋体"/>
          <w:color w:val="auto"/>
          <w:szCs w:val="21"/>
          <w:highlight w:val="none"/>
        </w:rPr>
      </w:pPr>
      <w:r>
        <w:rPr>
          <w:rFonts w:hint="eastAsia" w:ascii="宋体" w:hAnsi="宋体"/>
          <w:color w:val="auto"/>
          <w:szCs w:val="21"/>
          <w:highlight w:val="none"/>
        </w:rPr>
        <w:t>投标人名称：</w:t>
      </w:r>
      <w:r>
        <w:rPr>
          <w:rFonts w:ascii="宋体" w:hAnsi="宋体"/>
          <w:color w:val="auto"/>
          <w:szCs w:val="21"/>
          <w:highlight w:val="none"/>
        </w:rPr>
        <w:t>_________________</w:t>
      </w:r>
    </w:p>
    <w:p>
      <w:pPr>
        <w:shd w:val="clear"/>
        <w:snapToGrid w:val="0"/>
        <w:spacing w:line="400" w:lineRule="exact"/>
        <w:ind w:firstLine="315" w:firstLineChars="150"/>
        <w:rPr>
          <w:rFonts w:ascii="宋体"/>
          <w:color w:val="auto"/>
          <w:szCs w:val="21"/>
          <w:highlight w:val="none"/>
        </w:rPr>
      </w:pPr>
      <w:r>
        <w:rPr>
          <w:rFonts w:hint="eastAsia" w:ascii="宋体" w:hAnsi="宋体"/>
          <w:color w:val="auto"/>
          <w:szCs w:val="21"/>
          <w:highlight w:val="none"/>
        </w:rPr>
        <w:t>开户银行：</w:t>
      </w:r>
      <w:r>
        <w:rPr>
          <w:rFonts w:ascii="宋体" w:hAnsi="宋体"/>
          <w:color w:val="auto"/>
          <w:szCs w:val="21"/>
          <w:highlight w:val="none"/>
        </w:rPr>
        <w:t>_________________</w:t>
      </w:r>
    </w:p>
    <w:p>
      <w:pPr>
        <w:shd w:val="clear"/>
        <w:snapToGrid w:val="0"/>
        <w:spacing w:line="400" w:lineRule="exact"/>
        <w:ind w:firstLine="315" w:firstLineChars="150"/>
        <w:rPr>
          <w:rFonts w:ascii="宋体"/>
          <w:color w:val="auto"/>
          <w:szCs w:val="21"/>
          <w:highlight w:val="none"/>
        </w:rPr>
      </w:pPr>
      <w:r>
        <w:rPr>
          <w:rFonts w:hint="eastAsia" w:ascii="宋体" w:hAnsi="宋体"/>
          <w:color w:val="auto"/>
          <w:szCs w:val="21"/>
          <w:highlight w:val="none"/>
        </w:rPr>
        <w:t>银行帐号：</w:t>
      </w:r>
      <w:r>
        <w:rPr>
          <w:rFonts w:ascii="宋体" w:hAnsi="宋体"/>
          <w:color w:val="auto"/>
          <w:szCs w:val="21"/>
          <w:highlight w:val="none"/>
        </w:rPr>
        <w:t>_________________</w:t>
      </w:r>
    </w:p>
    <w:p>
      <w:pPr>
        <w:shd w:val="clear"/>
        <w:snapToGrid w:val="0"/>
        <w:spacing w:line="400" w:lineRule="exact"/>
        <w:jc w:val="center"/>
        <w:rPr>
          <w:rFonts w:ascii="宋体"/>
          <w:color w:val="auto"/>
          <w:szCs w:val="21"/>
          <w:highlight w:val="none"/>
        </w:rPr>
      </w:pPr>
    </w:p>
    <w:p>
      <w:pPr>
        <w:shd w:val="clear"/>
        <w:snapToGrid w:val="0"/>
        <w:spacing w:line="400" w:lineRule="exact"/>
        <w:jc w:val="center"/>
        <w:rPr>
          <w:rFonts w:ascii="宋体"/>
          <w:color w:val="auto"/>
          <w:szCs w:val="21"/>
          <w:highlight w:val="none"/>
        </w:rPr>
      </w:pPr>
    </w:p>
    <w:p>
      <w:pPr>
        <w:shd w:val="clear"/>
        <w:snapToGrid w:val="0"/>
        <w:spacing w:line="400" w:lineRule="exact"/>
        <w:ind w:firstLine="4410" w:firstLineChars="2100"/>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hd w:val="clear"/>
        <w:snapToGrid w:val="0"/>
        <w:spacing w:line="400" w:lineRule="exact"/>
        <w:rPr>
          <w:rFonts w:ascii="宋体"/>
          <w:b/>
          <w:color w:val="auto"/>
          <w:sz w:val="24"/>
          <w:highlight w:val="none"/>
        </w:rPr>
      </w:pPr>
      <w:r>
        <w:rPr>
          <w:rFonts w:ascii="宋体"/>
          <w:color w:val="auto"/>
          <w:szCs w:val="21"/>
          <w:highlight w:val="none"/>
        </w:rPr>
        <w:br w:type="page"/>
      </w:r>
      <w:r>
        <w:rPr>
          <w:rFonts w:hint="eastAsia" w:ascii="宋体" w:hAnsi="宋体"/>
          <w:b/>
          <w:color w:val="auto"/>
          <w:sz w:val="24"/>
          <w:highlight w:val="none"/>
        </w:rPr>
        <w:t>投标报价明细表格式：</w:t>
      </w:r>
    </w:p>
    <w:p>
      <w:pPr>
        <w:pStyle w:val="31"/>
        <w:shd w:val="clear"/>
        <w:jc w:val="center"/>
        <w:rPr>
          <w:rFonts w:hAnsi="宋体"/>
          <w:b/>
          <w:bCs/>
          <w:color w:val="auto"/>
          <w:sz w:val="32"/>
          <w:highlight w:val="none"/>
        </w:rPr>
      </w:pPr>
    </w:p>
    <w:p>
      <w:pPr>
        <w:pStyle w:val="31"/>
        <w:shd w:val="clear"/>
        <w:jc w:val="center"/>
        <w:rPr>
          <w:rFonts w:hAnsi="宋体"/>
          <w:b/>
          <w:bCs/>
          <w:color w:val="auto"/>
          <w:sz w:val="32"/>
          <w:highlight w:val="none"/>
        </w:rPr>
      </w:pPr>
    </w:p>
    <w:p>
      <w:pPr>
        <w:pStyle w:val="31"/>
        <w:shd w:val="clear"/>
        <w:jc w:val="center"/>
        <w:rPr>
          <w:rFonts w:hAnsi="宋体"/>
          <w:b/>
          <w:bCs/>
          <w:color w:val="auto"/>
          <w:sz w:val="32"/>
          <w:highlight w:val="none"/>
        </w:rPr>
      </w:pPr>
      <w:r>
        <w:rPr>
          <w:rFonts w:hint="eastAsia" w:hAnsi="宋体"/>
          <w:b/>
          <w:bCs/>
          <w:color w:val="auto"/>
          <w:sz w:val="32"/>
          <w:highlight w:val="none"/>
        </w:rPr>
        <w:t>投标报价明细表（格式）</w:t>
      </w:r>
    </w:p>
    <w:p>
      <w:pPr>
        <w:pStyle w:val="31"/>
        <w:shd w:val="clear"/>
        <w:ind w:firstLine="207" w:firstLineChars="99"/>
        <w:rPr>
          <w:color w:val="auto"/>
          <w:highlight w:val="none"/>
        </w:rPr>
      </w:pPr>
      <w:r>
        <w:rPr>
          <w:rFonts w:hint="eastAsia"/>
          <w:color w:val="auto"/>
          <w:highlight w:val="none"/>
        </w:rPr>
        <w:t>分标（如有）：</w:t>
      </w:r>
    </w:p>
    <w:p>
      <w:pPr>
        <w:pStyle w:val="31"/>
        <w:shd w:val="clear"/>
        <w:rPr>
          <w:rFonts w:hAnsi="宋体"/>
          <w:b/>
          <w:bCs/>
          <w:color w:val="auto"/>
          <w:sz w:val="32"/>
          <w:highlight w:val="none"/>
          <w:u w:val="single"/>
        </w:rPr>
      </w:pPr>
    </w:p>
    <w:tbl>
      <w:tblPr>
        <w:tblStyle w:val="74"/>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10"/>
        <w:gridCol w:w="609"/>
        <w:gridCol w:w="1581"/>
        <w:gridCol w:w="2236"/>
        <w:gridCol w:w="751"/>
        <w:gridCol w:w="129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6" w:hRule="atLeast"/>
          <w:jc w:val="center"/>
        </w:trPr>
        <w:tc>
          <w:tcPr>
            <w:tcW w:w="680" w:type="dxa"/>
            <w:vAlign w:val="center"/>
          </w:tcPr>
          <w:p>
            <w:pPr>
              <w:pStyle w:val="31"/>
              <w:shd w:val="clear"/>
              <w:jc w:val="center"/>
              <w:rPr>
                <w:rFonts w:hAnsi="宋体" w:cs="宋体"/>
                <w:color w:val="auto"/>
                <w:spacing w:val="-20"/>
                <w:highlight w:val="none"/>
              </w:rPr>
            </w:pPr>
            <w:r>
              <w:rPr>
                <w:rFonts w:hint="eastAsia" w:hAnsi="宋体" w:cs="宋体"/>
                <w:color w:val="auto"/>
                <w:spacing w:val="-20"/>
                <w:highlight w:val="none"/>
              </w:rPr>
              <w:t>项号</w:t>
            </w:r>
          </w:p>
        </w:tc>
        <w:tc>
          <w:tcPr>
            <w:tcW w:w="1710" w:type="dxa"/>
            <w:vAlign w:val="center"/>
          </w:tcPr>
          <w:p>
            <w:pPr>
              <w:pStyle w:val="31"/>
              <w:shd w:val="clear"/>
              <w:jc w:val="center"/>
              <w:rPr>
                <w:rFonts w:hAnsi="宋体" w:cs="宋体"/>
                <w:color w:val="auto"/>
                <w:spacing w:val="-20"/>
                <w:highlight w:val="none"/>
              </w:rPr>
            </w:pPr>
            <w:r>
              <w:rPr>
                <w:rFonts w:hint="eastAsia" w:hAnsi="宋体" w:cs="宋体"/>
                <w:color w:val="auto"/>
                <w:spacing w:val="-20"/>
                <w:highlight w:val="none"/>
              </w:rPr>
              <w:t>货物名称</w:t>
            </w:r>
          </w:p>
        </w:tc>
        <w:tc>
          <w:tcPr>
            <w:tcW w:w="609" w:type="dxa"/>
            <w:vAlign w:val="center"/>
          </w:tcPr>
          <w:p>
            <w:pPr>
              <w:pStyle w:val="31"/>
              <w:shd w:val="clear"/>
              <w:jc w:val="center"/>
              <w:rPr>
                <w:rFonts w:hAnsi="宋体" w:cs="宋体"/>
                <w:color w:val="auto"/>
                <w:spacing w:val="-20"/>
                <w:highlight w:val="none"/>
              </w:rPr>
            </w:pPr>
            <w:r>
              <w:rPr>
                <w:rFonts w:hint="eastAsia" w:hAnsi="宋体" w:cs="宋体"/>
                <w:color w:val="auto"/>
                <w:spacing w:val="-20"/>
                <w:highlight w:val="none"/>
              </w:rPr>
              <w:t>数量</w:t>
            </w:r>
          </w:p>
          <w:p>
            <w:pPr>
              <w:pStyle w:val="31"/>
              <w:shd w:val="clear"/>
              <w:jc w:val="center"/>
              <w:rPr>
                <w:rFonts w:hAnsi="宋体" w:cs="宋体"/>
                <w:color w:val="auto"/>
                <w:spacing w:val="-20"/>
                <w:highlight w:val="none"/>
              </w:rPr>
            </w:pPr>
          </w:p>
          <w:p>
            <w:pPr>
              <w:pStyle w:val="31"/>
              <w:shd w:val="clear"/>
              <w:jc w:val="center"/>
              <w:rPr>
                <w:rFonts w:hAnsi="宋体" w:cs="宋体"/>
                <w:color w:val="auto"/>
                <w:spacing w:val="-20"/>
                <w:highlight w:val="none"/>
              </w:rPr>
            </w:pPr>
            <w:r>
              <w:rPr>
                <w:rFonts w:hint="eastAsia" w:hAnsi="宋体" w:cs="宋体"/>
                <w:color w:val="auto"/>
                <w:spacing w:val="-20"/>
                <w:highlight w:val="none"/>
              </w:rPr>
              <w:t>①</w:t>
            </w:r>
          </w:p>
        </w:tc>
        <w:tc>
          <w:tcPr>
            <w:tcW w:w="1581" w:type="dxa"/>
            <w:vAlign w:val="center"/>
          </w:tcPr>
          <w:p>
            <w:pPr>
              <w:pStyle w:val="31"/>
              <w:shd w:val="clear"/>
              <w:jc w:val="center"/>
              <w:rPr>
                <w:rFonts w:hAnsi="宋体" w:cs="宋体"/>
                <w:color w:val="auto"/>
                <w:highlight w:val="none"/>
              </w:rPr>
            </w:pPr>
            <w:r>
              <w:rPr>
                <w:rFonts w:hint="eastAsia" w:hAnsi="宋体" w:cs="宋体"/>
                <w:color w:val="auto"/>
                <w:highlight w:val="none"/>
              </w:rPr>
              <w:t>货物品牌、型号规格、生产厂家</w:t>
            </w:r>
          </w:p>
          <w:p>
            <w:pPr>
              <w:pStyle w:val="31"/>
              <w:shd w:val="clear"/>
              <w:jc w:val="center"/>
              <w:rPr>
                <w:rFonts w:hAnsi="宋体" w:cs="宋体"/>
                <w:color w:val="auto"/>
                <w:highlight w:val="none"/>
              </w:rPr>
            </w:pPr>
            <w:r>
              <w:rPr>
                <w:rFonts w:hint="eastAsia" w:hAnsi="宋体" w:cs="宋体"/>
                <w:color w:val="auto"/>
                <w:highlight w:val="none"/>
              </w:rPr>
              <w:t>及国别</w:t>
            </w:r>
          </w:p>
        </w:tc>
        <w:tc>
          <w:tcPr>
            <w:tcW w:w="2236" w:type="dxa"/>
            <w:vAlign w:val="center"/>
          </w:tcPr>
          <w:p>
            <w:pPr>
              <w:pStyle w:val="31"/>
              <w:shd w:val="clear"/>
              <w:jc w:val="center"/>
              <w:rPr>
                <w:rFonts w:hAnsi="宋体" w:cs="宋体"/>
                <w:color w:val="auto"/>
                <w:highlight w:val="none"/>
              </w:rPr>
            </w:pPr>
            <w:r>
              <w:rPr>
                <w:rFonts w:hint="eastAsia" w:hAnsi="宋体" w:cs="宋体"/>
                <w:color w:val="auto"/>
                <w:highlight w:val="none"/>
              </w:rPr>
              <w:t>技术参数、性能配置</w:t>
            </w:r>
          </w:p>
          <w:p>
            <w:pPr>
              <w:pStyle w:val="31"/>
              <w:shd w:val="clear"/>
              <w:jc w:val="center"/>
              <w:rPr>
                <w:rFonts w:hAnsi="宋体" w:cs="宋体"/>
                <w:color w:val="auto"/>
                <w:highlight w:val="none"/>
              </w:rPr>
            </w:pPr>
            <w:r>
              <w:rPr>
                <w:rFonts w:hint="eastAsia" w:hAnsi="宋体" w:cs="宋体"/>
                <w:color w:val="auto"/>
                <w:highlight w:val="none"/>
              </w:rPr>
              <w:t>（包括标准配置和附加部件）</w:t>
            </w:r>
          </w:p>
        </w:tc>
        <w:tc>
          <w:tcPr>
            <w:tcW w:w="751" w:type="dxa"/>
            <w:vAlign w:val="center"/>
          </w:tcPr>
          <w:p>
            <w:pPr>
              <w:pStyle w:val="31"/>
              <w:shd w:val="clear"/>
              <w:jc w:val="center"/>
              <w:rPr>
                <w:rFonts w:hAnsi="宋体" w:cs="宋体"/>
                <w:color w:val="auto"/>
                <w:highlight w:val="none"/>
              </w:rPr>
            </w:pPr>
            <w:r>
              <w:rPr>
                <w:rFonts w:hint="eastAsia" w:hAnsi="宋体" w:cs="宋体"/>
                <w:color w:val="auto"/>
                <w:highlight w:val="none"/>
              </w:rPr>
              <w:t>单价</w:t>
            </w:r>
          </w:p>
          <w:p>
            <w:pPr>
              <w:pStyle w:val="31"/>
              <w:shd w:val="clear"/>
              <w:jc w:val="center"/>
              <w:rPr>
                <w:rFonts w:hAnsi="宋体" w:cs="宋体"/>
                <w:color w:val="auto"/>
                <w:highlight w:val="none"/>
              </w:rPr>
            </w:pPr>
            <w:r>
              <w:rPr>
                <w:rFonts w:hint="eastAsia" w:hAnsi="宋体" w:cs="宋体"/>
                <w:color w:val="auto"/>
                <w:highlight w:val="none"/>
              </w:rPr>
              <w:t>(元)</w:t>
            </w:r>
          </w:p>
          <w:p>
            <w:pPr>
              <w:pStyle w:val="31"/>
              <w:shd w:val="clear"/>
              <w:jc w:val="center"/>
              <w:rPr>
                <w:rFonts w:hAnsi="宋体" w:cs="宋体"/>
                <w:color w:val="auto"/>
                <w:highlight w:val="none"/>
              </w:rPr>
            </w:pPr>
            <w:r>
              <w:rPr>
                <w:rFonts w:hint="eastAsia" w:hAnsi="宋体" w:cs="宋体"/>
                <w:color w:val="auto"/>
                <w:highlight w:val="none"/>
              </w:rPr>
              <w:t>②</w:t>
            </w:r>
          </w:p>
        </w:tc>
        <w:tc>
          <w:tcPr>
            <w:tcW w:w="1290" w:type="dxa"/>
            <w:vAlign w:val="center"/>
          </w:tcPr>
          <w:p>
            <w:pPr>
              <w:pStyle w:val="31"/>
              <w:shd w:val="clear"/>
              <w:jc w:val="center"/>
              <w:rPr>
                <w:rFonts w:hAnsi="宋体" w:cs="宋体"/>
                <w:color w:val="auto"/>
                <w:highlight w:val="none"/>
              </w:rPr>
            </w:pPr>
            <w:r>
              <w:rPr>
                <w:rFonts w:hint="eastAsia" w:hAnsi="宋体" w:cs="宋体"/>
                <w:color w:val="auto"/>
                <w:highlight w:val="none"/>
              </w:rPr>
              <w:t>单项合价</w:t>
            </w:r>
          </w:p>
          <w:p>
            <w:pPr>
              <w:pStyle w:val="31"/>
              <w:shd w:val="clear"/>
              <w:jc w:val="center"/>
              <w:rPr>
                <w:rFonts w:hAnsi="宋体" w:cs="宋体"/>
                <w:color w:val="auto"/>
                <w:highlight w:val="none"/>
              </w:rPr>
            </w:pPr>
            <w:r>
              <w:rPr>
                <w:rFonts w:hint="eastAsia" w:hAnsi="宋体" w:cs="宋体"/>
                <w:color w:val="auto"/>
                <w:highlight w:val="none"/>
              </w:rPr>
              <w:t>（元）</w:t>
            </w:r>
          </w:p>
          <w:p>
            <w:pPr>
              <w:pStyle w:val="31"/>
              <w:shd w:val="clear"/>
              <w:jc w:val="center"/>
              <w:rPr>
                <w:rFonts w:hAnsi="宋体" w:cs="宋体"/>
                <w:color w:val="auto"/>
                <w:highlight w:val="none"/>
              </w:rPr>
            </w:pPr>
            <w:r>
              <w:rPr>
                <w:rFonts w:hint="eastAsia" w:hAnsi="宋体" w:cs="宋体"/>
                <w:color w:val="auto"/>
                <w:highlight w:val="none"/>
              </w:rPr>
              <w:t>③=①×②</w:t>
            </w:r>
          </w:p>
        </w:tc>
        <w:tc>
          <w:tcPr>
            <w:tcW w:w="905" w:type="dxa"/>
            <w:vAlign w:val="center"/>
          </w:tcPr>
          <w:p>
            <w:pPr>
              <w:pStyle w:val="31"/>
              <w:shd w:val="clear"/>
              <w:jc w:val="center"/>
              <w:rPr>
                <w:rFonts w:hAnsi="宋体" w:cs="宋体"/>
                <w:color w:val="auto"/>
                <w:highlight w:val="none"/>
              </w:rPr>
            </w:pPr>
            <w:r>
              <w:rPr>
                <w:rFonts w:hint="eastAsia"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680"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10" w:type="dxa"/>
            <w:vAlign w:val="center"/>
          </w:tcPr>
          <w:p>
            <w:pPr>
              <w:shd w:val="clear"/>
              <w:jc w:val="center"/>
              <w:rPr>
                <w:rFonts w:ascii="宋体" w:hAnsi="宋体" w:cs="宋体"/>
                <w:color w:val="auto"/>
                <w:szCs w:val="21"/>
                <w:highlight w:val="none"/>
              </w:rPr>
            </w:pPr>
          </w:p>
        </w:tc>
        <w:tc>
          <w:tcPr>
            <w:tcW w:w="609" w:type="dxa"/>
            <w:vAlign w:val="center"/>
          </w:tcPr>
          <w:p>
            <w:pPr>
              <w:shd w:val="clear"/>
              <w:jc w:val="center"/>
              <w:rPr>
                <w:rFonts w:ascii="宋体" w:hAnsi="宋体" w:cs="宋体"/>
                <w:color w:val="auto"/>
                <w:szCs w:val="21"/>
                <w:highlight w:val="none"/>
              </w:rPr>
            </w:pPr>
          </w:p>
        </w:tc>
        <w:tc>
          <w:tcPr>
            <w:tcW w:w="1581" w:type="dxa"/>
            <w:vAlign w:val="center"/>
          </w:tcPr>
          <w:p>
            <w:pPr>
              <w:pStyle w:val="31"/>
              <w:shd w:val="clear"/>
              <w:rPr>
                <w:rFonts w:hAnsi="宋体" w:cs="宋体"/>
                <w:color w:val="auto"/>
                <w:highlight w:val="none"/>
              </w:rPr>
            </w:pPr>
          </w:p>
        </w:tc>
        <w:tc>
          <w:tcPr>
            <w:tcW w:w="2236" w:type="dxa"/>
            <w:vAlign w:val="center"/>
          </w:tcPr>
          <w:p>
            <w:pPr>
              <w:pStyle w:val="31"/>
              <w:shd w:val="clear"/>
              <w:rPr>
                <w:rFonts w:hAnsi="宋体" w:cs="宋体"/>
                <w:color w:val="auto"/>
                <w:highlight w:val="none"/>
              </w:rPr>
            </w:pPr>
          </w:p>
        </w:tc>
        <w:tc>
          <w:tcPr>
            <w:tcW w:w="751" w:type="dxa"/>
            <w:vAlign w:val="center"/>
          </w:tcPr>
          <w:p>
            <w:pPr>
              <w:pStyle w:val="31"/>
              <w:shd w:val="clear"/>
              <w:rPr>
                <w:rFonts w:hAnsi="宋体" w:cs="宋体"/>
                <w:color w:val="auto"/>
                <w:highlight w:val="none"/>
              </w:rPr>
            </w:pPr>
          </w:p>
        </w:tc>
        <w:tc>
          <w:tcPr>
            <w:tcW w:w="1290" w:type="dxa"/>
            <w:vAlign w:val="center"/>
          </w:tcPr>
          <w:p>
            <w:pPr>
              <w:pStyle w:val="31"/>
              <w:shd w:val="clear"/>
              <w:rPr>
                <w:rFonts w:hAnsi="宋体" w:cs="宋体"/>
                <w:color w:val="auto"/>
                <w:highlight w:val="none"/>
              </w:rPr>
            </w:pPr>
          </w:p>
        </w:tc>
        <w:tc>
          <w:tcPr>
            <w:tcW w:w="905" w:type="dxa"/>
            <w:vAlign w:val="center"/>
          </w:tcPr>
          <w:p>
            <w:pPr>
              <w:pStyle w:val="31"/>
              <w:shd w:val="clear"/>
              <w:rPr>
                <w:rFonts w:hAnsi="宋体" w:cs="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680"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w:t>
            </w:r>
          </w:p>
        </w:tc>
        <w:tc>
          <w:tcPr>
            <w:tcW w:w="1710" w:type="dxa"/>
            <w:vAlign w:val="center"/>
          </w:tcPr>
          <w:p>
            <w:pPr>
              <w:shd w:val="clear"/>
              <w:jc w:val="center"/>
              <w:rPr>
                <w:rFonts w:ascii="宋体" w:hAnsi="宋体" w:cs="宋体"/>
                <w:color w:val="auto"/>
                <w:szCs w:val="21"/>
                <w:highlight w:val="none"/>
              </w:rPr>
            </w:pPr>
          </w:p>
        </w:tc>
        <w:tc>
          <w:tcPr>
            <w:tcW w:w="609" w:type="dxa"/>
            <w:vAlign w:val="center"/>
          </w:tcPr>
          <w:p>
            <w:pPr>
              <w:shd w:val="clear"/>
              <w:jc w:val="center"/>
              <w:rPr>
                <w:rFonts w:ascii="宋体" w:hAnsi="宋体" w:cs="宋体"/>
                <w:color w:val="auto"/>
                <w:szCs w:val="21"/>
                <w:highlight w:val="none"/>
              </w:rPr>
            </w:pPr>
          </w:p>
        </w:tc>
        <w:tc>
          <w:tcPr>
            <w:tcW w:w="1581" w:type="dxa"/>
            <w:vAlign w:val="center"/>
          </w:tcPr>
          <w:p>
            <w:pPr>
              <w:pStyle w:val="31"/>
              <w:shd w:val="clear"/>
              <w:rPr>
                <w:rFonts w:hAnsi="宋体" w:cs="宋体"/>
                <w:color w:val="auto"/>
                <w:highlight w:val="none"/>
              </w:rPr>
            </w:pPr>
          </w:p>
        </w:tc>
        <w:tc>
          <w:tcPr>
            <w:tcW w:w="2236" w:type="dxa"/>
            <w:vAlign w:val="center"/>
          </w:tcPr>
          <w:p>
            <w:pPr>
              <w:pStyle w:val="31"/>
              <w:shd w:val="clear"/>
              <w:rPr>
                <w:rFonts w:hAnsi="宋体" w:cs="宋体"/>
                <w:color w:val="auto"/>
                <w:highlight w:val="none"/>
              </w:rPr>
            </w:pPr>
          </w:p>
        </w:tc>
        <w:tc>
          <w:tcPr>
            <w:tcW w:w="751" w:type="dxa"/>
            <w:vAlign w:val="center"/>
          </w:tcPr>
          <w:p>
            <w:pPr>
              <w:pStyle w:val="31"/>
              <w:shd w:val="clear"/>
              <w:rPr>
                <w:rFonts w:hAnsi="宋体" w:cs="宋体"/>
                <w:color w:val="auto"/>
                <w:highlight w:val="none"/>
              </w:rPr>
            </w:pPr>
          </w:p>
        </w:tc>
        <w:tc>
          <w:tcPr>
            <w:tcW w:w="1290" w:type="dxa"/>
            <w:vAlign w:val="center"/>
          </w:tcPr>
          <w:p>
            <w:pPr>
              <w:pStyle w:val="31"/>
              <w:shd w:val="clear"/>
              <w:rPr>
                <w:rFonts w:hAnsi="宋体" w:cs="宋体"/>
                <w:color w:val="auto"/>
                <w:highlight w:val="none"/>
              </w:rPr>
            </w:pPr>
          </w:p>
        </w:tc>
        <w:tc>
          <w:tcPr>
            <w:tcW w:w="905" w:type="dxa"/>
            <w:vAlign w:val="center"/>
          </w:tcPr>
          <w:p>
            <w:pPr>
              <w:pStyle w:val="31"/>
              <w:shd w:val="clear"/>
              <w:rPr>
                <w:rFonts w:hAnsi="宋体" w:cs="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680" w:type="dxa"/>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N</w:t>
            </w:r>
          </w:p>
        </w:tc>
        <w:tc>
          <w:tcPr>
            <w:tcW w:w="1710" w:type="dxa"/>
            <w:vAlign w:val="center"/>
          </w:tcPr>
          <w:p>
            <w:pPr>
              <w:shd w:val="clear"/>
              <w:jc w:val="center"/>
              <w:rPr>
                <w:rFonts w:ascii="宋体" w:hAnsi="宋体" w:cs="宋体"/>
                <w:color w:val="auto"/>
                <w:szCs w:val="21"/>
                <w:highlight w:val="none"/>
              </w:rPr>
            </w:pPr>
          </w:p>
        </w:tc>
        <w:tc>
          <w:tcPr>
            <w:tcW w:w="609" w:type="dxa"/>
            <w:vAlign w:val="center"/>
          </w:tcPr>
          <w:p>
            <w:pPr>
              <w:shd w:val="clear"/>
              <w:jc w:val="center"/>
              <w:rPr>
                <w:rFonts w:ascii="宋体" w:hAnsi="宋体" w:cs="宋体"/>
                <w:color w:val="auto"/>
                <w:szCs w:val="21"/>
                <w:highlight w:val="none"/>
              </w:rPr>
            </w:pPr>
          </w:p>
        </w:tc>
        <w:tc>
          <w:tcPr>
            <w:tcW w:w="1581" w:type="dxa"/>
            <w:vAlign w:val="center"/>
          </w:tcPr>
          <w:p>
            <w:pPr>
              <w:pStyle w:val="31"/>
              <w:shd w:val="clear"/>
              <w:rPr>
                <w:rFonts w:hAnsi="宋体" w:cs="宋体"/>
                <w:color w:val="auto"/>
                <w:highlight w:val="none"/>
              </w:rPr>
            </w:pPr>
          </w:p>
        </w:tc>
        <w:tc>
          <w:tcPr>
            <w:tcW w:w="2236" w:type="dxa"/>
            <w:vAlign w:val="center"/>
          </w:tcPr>
          <w:p>
            <w:pPr>
              <w:pStyle w:val="31"/>
              <w:shd w:val="clear"/>
              <w:rPr>
                <w:rFonts w:hAnsi="宋体" w:cs="宋体"/>
                <w:color w:val="auto"/>
                <w:highlight w:val="none"/>
              </w:rPr>
            </w:pPr>
          </w:p>
        </w:tc>
        <w:tc>
          <w:tcPr>
            <w:tcW w:w="751" w:type="dxa"/>
            <w:vAlign w:val="center"/>
          </w:tcPr>
          <w:p>
            <w:pPr>
              <w:pStyle w:val="31"/>
              <w:shd w:val="clear"/>
              <w:rPr>
                <w:rFonts w:hAnsi="宋体" w:cs="宋体"/>
                <w:color w:val="auto"/>
                <w:highlight w:val="none"/>
              </w:rPr>
            </w:pPr>
          </w:p>
        </w:tc>
        <w:tc>
          <w:tcPr>
            <w:tcW w:w="1290" w:type="dxa"/>
            <w:vAlign w:val="center"/>
          </w:tcPr>
          <w:p>
            <w:pPr>
              <w:pStyle w:val="31"/>
              <w:shd w:val="clear"/>
              <w:rPr>
                <w:rFonts w:hAnsi="宋体" w:cs="宋体"/>
                <w:color w:val="auto"/>
                <w:highlight w:val="none"/>
              </w:rPr>
            </w:pPr>
          </w:p>
        </w:tc>
        <w:tc>
          <w:tcPr>
            <w:tcW w:w="905" w:type="dxa"/>
            <w:vAlign w:val="center"/>
          </w:tcPr>
          <w:p>
            <w:pPr>
              <w:pStyle w:val="31"/>
              <w:shd w:val="clear"/>
              <w:rPr>
                <w:rFonts w:hAnsi="宋体" w:cs="宋体"/>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762" w:type="dxa"/>
            <w:gridSpan w:val="8"/>
            <w:vAlign w:val="center"/>
          </w:tcPr>
          <w:p>
            <w:pPr>
              <w:pStyle w:val="31"/>
              <w:shd w:val="clear"/>
              <w:rPr>
                <w:rFonts w:hAnsi="宋体" w:cs="宋体"/>
                <w:color w:val="auto"/>
                <w:spacing w:val="-6"/>
                <w:highlight w:val="none"/>
              </w:rPr>
            </w:pPr>
            <w:r>
              <w:rPr>
                <w:rFonts w:hint="eastAsia" w:hAnsi="宋体" w:cs="宋体"/>
                <w:color w:val="auto"/>
                <w:spacing w:val="-6"/>
                <w:highlight w:val="none"/>
              </w:rPr>
              <w:t>总报价（人民币大写）：（￥元）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762" w:type="dxa"/>
            <w:gridSpan w:val="8"/>
            <w:vAlign w:val="center"/>
          </w:tcPr>
          <w:p>
            <w:pPr>
              <w:pStyle w:val="31"/>
              <w:shd w:val="clear"/>
              <w:rPr>
                <w:rFonts w:hAnsi="宋体"/>
                <w:color w:val="auto"/>
                <w:highlight w:val="none"/>
              </w:rPr>
            </w:pPr>
            <w:r>
              <w:rPr>
                <w:rFonts w:hint="eastAsia" w:hAnsi="宋体"/>
                <w:color w:val="auto"/>
                <w:highlight w:val="none"/>
              </w:rPr>
              <w:t>交付使用时间：自合同签订之日</w:t>
            </w:r>
            <w:r>
              <w:rPr>
                <w:rFonts w:hint="eastAsia" w:hAnsi="宋体"/>
                <w:color w:val="auto"/>
                <w:highlight w:val="none"/>
                <w:u w:val="single"/>
              </w:rPr>
              <w:t xml:space="preserve">     </w:t>
            </w:r>
            <w:r>
              <w:rPr>
                <w:rFonts w:hint="eastAsia" w:hAnsi="宋体"/>
                <w:color w:val="auto"/>
                <w:highlight w:val="none"/>
              </w:rPr>
              <w:t>个工作日内供货并按指定位置要求完成安装和调试，投入正常使用。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762" w:type="dxa"/>
            <w:gridSpan w:val="8"/>
            <w:vAlign w:val="center"/>
          </w:tcPr>
          <w:p>
            <w:pPr>
              <w:pStyle w:val="31"/>
              <w:shd w:val="clear"/>
              <w:rPr>
                <w:rFonts w:hAnsi="宋体"/>
                <w:color w:val="auto"/>
                <w:highlight w:val="none"/>
              </w:rPr>
            </w:pPr>
            <w:r>
              <w:rPr>
                <w:rFonts w:hint="eastAsia" w:hAnsi="宋体"/>
                <w:color w:val="auto"/>
                <w:highlight w:val="none"/>
              </w:rPr>
              <w:t>交货地点：南宁市（采购人指定地点）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9762" w:type="dxa"/>
            <w:gridSpan w:val="8"/>
            <w:vAlign w:val="center"/>
          </w:tcPr>
          <w:p>
            <w:pPr>
              <w:pStyle w:val="31"/>
              <w:shd w:val="clear"/>
              <w:rPr>
                <w:color w:val="auto"/>
                <w:spacing w:val="-6"/>
                <w:sz w:val="18"/>
                <w:szCs w:val="18"/>
                <w:highlight w:val="none"/>
              </w:rPr>
            </w:pPr>
            <w:r>
              <w:rPr>
                <w:rFonts w:hint="eastAsia" w:hAnsi="宋体"/>
                <w:color w:val="auto"/>
                <w:highlight w:val="none"/>
              </w:rPr>
              <w:t>质量保证期：</w:t>
            </w:r>
            <w:r>
              <w:rPr>
                <w:rFonts w:hint="eastAsia" w:hAnsi="宋体"/>
                <w:color w:val="auto"/>
                <w:highlight w:val="none"/>
                <w:u w:val="single"/>
              </w:rPr>
              <w:t xml:space="preserve">      </w:t>
            </w:r>
            <w:r>
              <w:rPr>
                <w:rFonts w:hint="eastAsia" w:hAnsi="宋体"/>
                <w:color w:val="auto"/>
                <w:highlight w:val="none"/>
              </w:rPr>
              <w:t>年（自交货并验收合格之日起计）。</w:t>
            </w:r>
          </w:p>
        </w:tc>
      </w:tr>
    </w:tbl>
    <w:p>
      <w:pPr>
        <w:shd w:val="clear"/>
        <w:snapToGrid w:val="0"/>
        <w:spacing w:line="400" w:lineRule="exact"/>
        <w:ind w:firstLine="3360" w:firstLineChars="1600"/>
        <w:rPr>
          <w:rFonts w:ascii="宋体" w:hAnsi="宋体"/>
          <w:color w:val="auto"/>
          <w:szCs w:val="21"/>
          <w:highlight w:val="none"/>
        </w:rPr>
      </w:pPr>
    </w:p>
    <w:p>
      <w:pPr>
        <w:shd w:val="clear"/>
        <w:snapToGrid w:val="0"/>
        <w:spacing w:line="400" w:lineRule="exact"/>
        <w:ind w:firstLine="3360" w:firstLineChars="1600"/>
        <w:rPr>
          <w:rFonts w:ascii="宋体" w:hAns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pStyle w:val="31"/>
        <w:shd w:val="clear"/>
        <w:spacing w:line="480" w:lineRule="exact"/>
        <w:ind w:firstLine="420"/>
        <w:rPr>
          <w:rFonts w:ascii="楷体_GB2312" w:hAnsi="华文楷体" w:eastAsia="楷体_GB2312"/>
          <w:color w:val="auto"/>
          <w:highlight w:val="none"/>
        </w:rPr>
      </w:pPr>
    </w:p>
    <w:p>
      <w:pPr>
        <w:pStyle w:val="31"/>
        <w:shd w:val="clear"/>
        <w:spacing w:line="480" w:lineRule="exact"/>
        <w:ind w:firstLine="420"/>
        <w:rPr>
          <w:rFonts w:ascii="楷体_GB2312" w:hAnsi="华文楷体" w:eastAsia="楷体_GB2312"/>
          <w:color w:val="auto"/>
          <w:highlight w:val="none"/>
        </w:rPr>
      </w:pPr>
      <w:r>
        <w:rPr>
          <w:rFonts w:hint="eastAsia" w:ascii="楷体_GB2312" w:hAnsi="华文楷体" w:eastAsia="楷体_GB2312"/>
          <w:color w:val="auto"/>
          <w:highlight w:val="none"/>
        </w:rPr>
        <w:t>投标说明：</w:t>
      </w:r>
    </w:p>
    <w:p>
      <w:pPr>
        <w:pStyle w:val="31"/>
        <w:shd w:val="clear"/>
        <w:spacing w:line="480" w:lineRule="exact"/>
        <w:ind w:firstLine="420"/>
        <w:rPr>
          <w:rFonts w:ascii="楷体_GB2312" w:hAnsi="华文楷体" w:eastAsia="楷体_GB2312"/>
          <w:color w:val="auto"/>
          <w:highlight w:val="none"/>
        </w:rPr>
      </w:pPr>
      <w:r>
        <w:rPr>
          <w:rFonts w:ascii="楷体_GB2312" w:hAnsi="华文楷体" w:eastAsia="楷体_GB2312"/>
          <w:color w:val="auto"/>
          <w:highlight w:val="none"/>
        </w:rPr>
        <w:t>1</w:t>
      </w:r>
      <w:r>
        <w:rPr>
          <w:rFonts w:hint="eastAsia" w:ascii="楷体_GB2312" w:hAnsi="华文楷体" w:eastAsia="楷体_GB2312"/>
          <w:color w:val="auto"/>
          <w:highlight w:val="none"/>
        </w:rPr>
        <w:t>、投标人必须加盖公章或签字，否则无签字或盖章的投标无效。</w:t>
      </w:r>
    </w:p>
    <w:p>
      <w:pPr>
        <w:pStyle w:val="31"/>
        <w:shd w:val="clear"/>
        <w:spacing w:line="480" w:lineRule="exact"/>
        <w:ind w:firstLine="420"/>
        <w:rPr>
          <w:rFonts w:ascii="楷体_GB2312" w:hAnsi="华文楷体" w:eastAsia="楷体_GB2312"/>
          <w:color w:val="auto"/>
          <w:highlight w:val="none"/>
        </w:rPr>
      </w:pPr>
      <w:r>
        <w:rPr>
          <w:rFonts w:ascii="楷体_GB2312" w:hAnsi="华文楷体" w:eastAsia="楷体_GB2312"/>
          <w:color w:val="auto"/>
          <w:highlight w:val="none"/>
        </w:rPr>
        <w:t>2</w:t>
      </w:r>
      <w:r>
        <w:rPr>
          <w:rFonts w:hint="eastAsia" w:ascii="楷体_GB2312" w:hAnsi="华文楷体" w:eastAsia="楷体_GB2312"/>
          <w:color w:val="auto"/>
          <w:highlight w:val="none"/>
        </w:rPr>
        <w:t>、对于“货物需求一览表”，凡在“技术参数及性能（配置）要求”中表述为“标配”或“标准配置”的设备，投标人应在填写投标报价明细表时将其相应的标配参数详细列明。</w:t>
      </w:r>
    </w:p>
    <w:p>
      <w:pPr>
        <w:pStyle w:val="31"/>
        <w:shd w:val="clear"/>
        <w:ind w:firstLine="602" w:firstLineChars="250"/>
        <w:rPr>
          <w:rFonts w:hAnsi="宋体"/>
          <w:b/>
          <w:bCs/>
          <w:color w:val="auto"/>
          <w:sz w:val="24"/>
          <w:szCs w:val="24"/>
          <w:highlight w:val="none"/>
        </w:rPr>
      </w:pPr>
    </w:p>
    <w:p>
      <w:pPr>
        <w:shd w:val="clear"/>
        <w:tabs>
          <w:tab w:val="left" w:pos="3870"/>
          <w:tab w:val="left" w:pos="4085"/>
        </w:tabs>
        <w:snapToGrid w:val="0"/>
        <w:ind w:firstLine="480" w:firstLineChars="200"/>
        <w:rPr>
          <w:rFonts w:ascii="宋体"/>
          <w:b/>
          <w:color w:val="auto"/>
          <w:sz w:val="24"/>
          <w:highlight w:val="none"/>
        </w:rPr>
      </w:pPr>
      <w:r>
        <w:rPr>
          <w:rFonts w:hAnsi="宋体"/>
          <w:color w:val="auto"/>
          <w:sz w:val="24"/>
          <w:highlight w:val="none"/>
        </w:rPr>
        <w:br w:type="page"/>
      </w:r>
      <w:r>
        <w:rPr>
          <w:rFonts w:hint="eastAsia" w:ascii="宋体" w:hAnsi="宋体"/>
          <w:b/>
          <w:color w:val="auto"/>
          <w:sz w:val="24"/>
          <w:highlight w:val="none"/>
        </w:rPr>
        <w:t>投标声明书格式：</w:t>
      </w:r>
    </w:p>
    <w:p>
      <w:pPr>
        <w:shd w:val="clear"/>
        <w:snapToGrid w:val="0"/>
        <w:jc w:val="left"/>
        <w:rPr>
          <w:rFonts w:ascii="宋体"/>
          <w:color w:val="auto"/>
          <w:sz w:val="24"/>
          <w:highlight w:val="none"/>
        </w:rPr>
      </w:pPr>
    </w:p>
    <w:p>
      <w:pPr>
        <w:shd w:val="clear"/>
        <w:snapToGrid w:val="0"/>
        <w:jc w:val="center"/>
        <w:rPr>
          <w:rFonts w:ascii="宋体"/>
          <w:b/>
          <w:color w:val="auto"/>
          <w:sz w:val="32"/>
          <w:szCs w:val="32"/>
          <w:highlight w:val="none"/>
        </w:rPr>
      </w:pPr>
      <w:r>
        <w:rPr>
          <w:rFonts w:hint="eastAsia" w:ascii="宋体" w:hAnsi="宋体"/>
          <w:b/>
          <w:color w:val="auto"/>
          <w:sz w:val="32"/>
          <w:szCs w:val="32"/>
          <w:highlight w:val="none"/>
        </w:rPr>
        <w:t>投标声明书</w:t>
      </w:r>
    </w:p>
    <w:p>
      <w:pPr>
        <w:shd w:val="clear"/>
        <w:snapToGrid w:val="0"/>
        <w:rPr>
          <w:rFonts w:ascii="宋体"/>
          <w:color w:val="auto"/>
          <w:sz w:val="24"/>
          <w:highlight w:val="none"/>
        </w:rPr>
      </w:pPr>
    </w:p>
    <w:p>
      <w:pPr>
        <w:shd w:val="clear"/>
        <w:snapToGrid w:val="0"/>
        <w:rPr>
          <w:rFonts w:ascii="宋体"/>
          <w:color w:val="auto"/>
          <w:sz w:val="24"/>
          <w:highlight w:val="none"/>
        </w:rPr>
      </w:pPr>
    </w:p>
    <w:p>
      <w:pPr>
        <w:shd w:val="clear"/>
        <w:snapToGrid w:val="0"/>
        <w:spacing w:line="400" w:lineRule="exact"/>
        <w:rPr>
          <w:rFonts w:ascii="宋体"/>
          <w:color w:val="auto"/>
          <w:szCs w:val="21"/>
          <w:highlight w:val="none"/>
        </w:rPr>
      </w:pPr>
      <w:r>
        <w:rPr>
          <w:rFonts w:hint="eastAsia" w:ascii="宋体" w:hAnsi="宋体"/>
          <w:color w:val="auto"/>
          <w:szCs w:val="21"/>
          <w:highlight w:val="none"/>
        </w:rPr>
        <w:t>致：（招标采购单位名称）：</w:t>
      </w:r>
    </w:p>
    <w:p>
      <w:pPr>
        <w:shd w:val="clear"/>
        <w:snapToGrid w:val="0"/>
        <w:spacing w:line="400" w:lineRule="exact"/>
        <w:ind w:firstLine="840" w:firstLineChars="400"/>
        <w:rPr>
          <w:rFonts w:asci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（投标人名称）系中华人民共和国合法企业，经营地址：</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hd w:val="clear"/>
        <w:snapToGrid w:val="0"/>
        <w:spacing w:line="400" w:lineRule="exact"/>
        <w:ind w:firstLine="645"/>
        <w:rPr>
          <w:rFonts w:asci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（投标人名称）的法定代表人，我方愿意参加贵方组织的</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项目的投标，为便于贵方公正、择优地确定中标人及其投标产品和服务，我方就本次投标有关事项郑重声明如下：</w:t>
      </w:r>
    </w:p>
    <w:p>
      <w:pPr>
        <w:shd w:val="clear"/>
        <w:snapToGrid w:val="0"/>
        <w:spacing w:line="40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我方向贵方提交的所有投标文件、资料都是准确的和真实的。</w:t>
      </w:r>
    </w:p>
    <w:p>
      <w:pPr>
        <w:shd w:val="clear"/>
        <w:snapToGrid w:val="0"/>
        <w:spacing w:line="400" w:lineRule="exact"/>
        <w:ind w:firstLine="420" w:firstLineChars="200"/>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我方不是采购人的附属机构；在获知本项目采购信息后，与采购人聘请的为此项目提供咨询服务的公司及其附属机构没有任何联系。</w:t>
      </w:r>
    </w:p>
    <w:p>
      <w:pPr>
        <w:shd w:val="clear"/>
        <w:snapToGrid w:val="0"/>
        <w:spacing w:line="400" w:lineRule="exact"/>
        <w:ind w:firstLine="420" w:firstLineChars="200"/>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我方及由本人担任法定代表人的其他机构最近三年内被通报或者被处罚的违法行为有：</w:t>
      </w:r>
      <w:r>
        <w:rPr>
          <w:rFonts w:hint="eastAsia" w:ascii="宋体" w:hAnsi="宋体"/>
          <w:color w:val="auto"/>
          <w:szCs w:val="21"/>
          <w:highlight w:val="none"/>
          <w:u w:val="single"/>
        </w:rPr>
        <w:t>　　　　　　　　　　　　　　　　　　　　　　</w:t>
      </w:r>
      <w:r>
        <w:rPr>
          <w:rFonts w:hint="eastAsia" w:ascii="宋体" w:hAnsi="宋体"/>
          <w:color w:val="auto"/>
          <w:szCs w:val="21"/>
          <w:highlight w:val="none"/>
        </w:rPr>
        <w:t>。</w:t>
      </w:r>
    </w:p>
    <w:p>
      <w:pPr>
        <w:shd w:val="clear"/>
        <w:snapToGrid w:val="0"/>
        <w:spacing w:line="400" w:lineRule="exact"/>
        <w:ind w:firstLine="420" w:firstLineChars="200"/>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、我方在“信用中国”或“中国政府采购网”的被列为失信被执行人、重大税收违法案件当事人名单、政府采购严重违法失信行为记录名单情况：</w:t>
      </w:r>
      <w:r>
        <w:rPr>
          <w:rFonts w:hint="eastAsia" w:ascii="宋体" w:hAnsi="宋体"/>
          <w:color w:val="auto"/>
          <w:szCs w:val="21"/>
          <w:highlight w:val="none"/>
          <w:u w:val="single"/>
        </w:rPr>
        <w:t xml:space="preserve">                  </w:t>
      </w:r>
      <w:r>
        <w:rPr>
          <w:rFonts w:hint="eastAsia" w:cs="Arial"/>
          <w:bCs/>
          <w:color w:val="auto"/>
          <w:szCs w:val="21"/>
          <w:highlight w:val="none"/>
        </w:rPr>
        <w:t>。</w:t>
      </w:r>
    </w:p>
    <w:p>
      <w:pPr>
        <w:shd w:val="clear"/>
        <w:snapToGrid w:val="0"/>
        <w:spacing w:line="400" w:lineRule="exact"/>
        <w:ind w:firstLine="420" w:firstLineChars="200"/>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以上事项如有虚假或隐瞒，我方愿意承担一切后果，并不再寻求任何旨在减轻或免除法律责任的辩解。</w:t>
      </w:r>
    </w:p>
    <w:p>
      <w:pPr>
        <w:pStyle w:val="26"/>
        <w:shd w:val="clear"/>
        <w:tabs>
          <w:tab w:val="left" w:pos="939"/>
        </w:tabs>
        <w:snapToGrid w:val="0"/>
        <w:spacing w:line="400" w:lineRule="exact"/>
        <w:ind w:left="401" w:leftChars="0" w:hanging="401" w:hangingChars="191"/>
        <w:rPr>
          <w:rFonts w:ascii="宋体"/>
          <w:color w:val="auto"/>
          <w:sz w:val="21"/>
          <w:szCs w:val="21"/>
          <w:highlight w:val="none"/>
        </w:rPr>
      </w:pPr>
    </w:p>
    <w:p>
      <w:pPr>
        <w:pStyle w:val="26"/>
        <w:shd w:val="clear"/>
        <w:tabs>
          <w:tab w:val="left" w:pos="939"/>
        </w:tabs>
        <w:snapToGrid w:val="0"/>
        <w:spacing w:line="400" w:lineRule="exact"/>
        <w:ind w:left="401" w:leftChars="0" w:hanging="401" w:hangingChars="191"/>
        <w:rPr>
          <w:rFonts w:ascii="宋体"/>
          <w:color w:val="auto"/>
          <w:sz w:val="21"/>
          <w:szCs w:val="21"/>
          <w:highlight w:val="none"/>
        </w:rPr>
      </w:pPr>
    </w:p>
    <w:p>
      <w:pPr>
        <w:pStyle w:val="26"/>
        <w:shd w:val="clear"/>
        <w:tabs>
          <w:tab w:val="left" w:pos="939"/>
        </w:tabs>
        <w:snapToGrid w:val="0"/>
        <w:spacing w:line="400" w:lineRule="exact"/>
        <w:ind w:left="401" w:leftChars="0" w:hanging="401" w:hangingChars="191"/>
        <w:rPr>
          <w:rFonts w:ascii="宋体"/>
          <w:color w:val="auto"/>
          <w:sz w:val="21"/>
          <w:szCs w:val="21"/>
          <w:highlight w:val="none"/>
        </w:rPr>
      </w:pPr>
    </w:p>
    <w:p>
      <w:pPr>
        <w:pStyle w:val="26"/>
        <w:shd w:val="clear"/>
        <w:tabs>
          <w:tab w:val="left" w:pos="939"/>
        </w:tabs>
        <w:snapToGrid w:val="0"/>
        <w:spacing w:line="400" w:lineRule="exact"/>
        <w:ind w:left="401" w:leftChars="0" w:hanging="401" w:hangingChars="191"/>
        <w:rPr>
          <w:rFonts w:ascii="宋体"/>
          <w:color w:val="auto"/>
          <w:sz w:val="21"/>
          <w:szCs w:val="21"/>
          <w:highlight w:val="none"/>
        </w:rPr>
      </w:pPr>
    </w:p>
    <w:p>
      <w:pPr>
        <w:pStyle w:val="115"/>
        <w:shd w:val="clear"/>
        <w:snapToGrid w:val="0"/>
        <w:spacing w:line="400" w:lineRule="exact"/>
        <w:ind w:firstLine="200"/>
        <w:rPr>
          <w:rFonts w:ascii="宋体"/>
          <w:color w:val="auto"/>
          <w:sz w:val="21"/>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hd w:val="clear"/>
        <w:snapToGrid w:val="0"/>
        <w:jc w:val="left"/>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rPr>
          <w:rFonts w:ascii="宋体"/>
          <w:color w:val="auto"/>
          <w:highlight w:val="none"/>
        </w:rPr>
      </w:pPr>
    </w:p>
    <w:p>
      <w:pPr>
        <w:shd w:val="clear"/>
        <w:snapToGrid w:val="0"/>
        <w:jc w:val="left"/>
        <w:rPr>
          <w:rFonts w:ascii="宋体"/>
          <w:b/>
          <w:color w:val="auto"/>
          <w:sz w:val="24"/>
          <w:highlight w:val="none"/>
        </w:rPr>
      </w:pPr>
      <w:r>
        <w:rPr>
          <w:rFonts w:ascii="宋体"/>
          <w:color w:val="auto"/>
          <w:highlight w:val="none"/>
        </w:rPr>
        <w:br w:type="page"/>
      </w:r>
      <w:r>
        <w:rPr>
          <w:rFonts w:hint="eastAsia" w:ascii="宋体" w:hAnsi="宋体"/>
          <w:b/>
          <w:color w:val="auto"/>
          <w:sz w:val="24"/>
          <w:highlight w:val="none"/>
        </w:rPr>
        <w:t>商务响应表格式：</w:t>
      </w:r>
    </w:p>
    <w:p>
      <w:pPr>
        <w:shd w:val="clear"/>
        <w:snapToGrid w:val="0"/>
        <w:jc w:val="center"/>
        <w:rPr>
          <w:rFonts w:ascii="宋体"/>
          <w:b/>
          <w:color w:val="auto"/>
          <w:sz w:val="32"/>
          <w:szCs w:val="32"/>
          <w:highlight w:val="none"/>
        </w:rPr>
      </w:pPr>
      <w:r>
        <w:rPr>
          <w:rFonts w:hint="eastAsia" w:ascii="宋体" w:hAnsi="宋体"/>
          <w:b/>
          <w:color w:val="auto"/>
          <w:sz w:val="32"/>
          <w:szCs w:val="32"/>
          <w:highlight w:val="none"/>
        </w:rPr>
        <w:t>商务响应表</w:t>
      </w:r>
    </w:p>
    <w:p>
      <w:pPr>
        <w:shd w:val="clear"/>
        <w:snapToGrid w:val="0"/>
        <w:spacing w:line="420" w:lineRule="exact"/>
        <w:rPr>
          <w:rFonts w:ascii="宋体"/>
          <w:color w:val="auto"/>
          <w:szCs w:val="21"/>
          <w:highlight w:val="none"/>
          <w:u w:val="single"/>
        </w:rPr>
      </w:pPr>
      <w:r>
        <w:rPr>
          <w:rFonts w:hint="eastAsia" w:ascii="宋体" w:hAnsi="宋体"/>
          <w:color w:val="auto"/>
          <w:szCs w:val="21"/>
          <w:highlight w:val="none"/>
        </w:rPr>
        <w:t>项目名称：</w:t>
      </w:r>
    </w:p>
    <w:tbl>
      <w:tblPr>
        <w:tblStyle w:val="74"/>
        <w:tblW w:w="973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0"/>
        <w:gridCol w:w="5206"/>
        <w:gridCol w:w="1172"/>
        <w:gridCol w:w="17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60" w:type="dxa"/>
            <w:tcBorders>
              <w:top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序号</w:t>
            </w: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（商务条款）</w:t>
            </w:r>
          </w:p>
        </w:tc>
        <w:tc>
          <w:tcPr>
            <w:tcW w:w="5206"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hAnsi="宋体"/>
                <w:color w:val="auto"/>
                <w:szCs w:val="21"/>
                <w:highlight w:val="none"/>
              </w:rPr>
            </w:pPr>
            <w:r>
              <w:rPr>
                <w:rFonts w:hint="eastAsia" w:ascii="宋体" w:hAnsi="宋体"/>
                <w:color w:val="auto"/>
                <w:szCs w:val="21"/>
                <w:highlight w:val="none"/>
              </w:rPr>
              <w:t>招标文件要求</w:t>
            </w: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（以第二章《采购需求一览表》商务条款要求内容为准）</w:t>
            </w:r>
          </w:p>
        </w:tc>
        <w:tc>
          <w:tcPr>
            <w:tcW w:w="1172"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是否响应</w:t>
            </w:r>
          </w:p>
        </w:tc>
        <w:tc>
          <w:tcPr>
            <w:tcW w:w="1794" w:type="dxa"/>
            <w:tcBorders>
              <w:top w:val="single" w:color="auto" w:sz="4" w:space="0"/>
              <w:left w:val="single" w:color="auto" w:sz="4" w:space="0"/>
              <w:bottom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r>
              <w:rPr>
                <w:rFonts w:hAnsi="宋体"/>
                <w:color w:val="auto"/>
                <w:highlight w:val="none"/>
              </w:rPr>
              <w:t>1</w:t>
            </w:r>
          </w:p>
        </w:tc>
        <w:tc>
          <w:tcPr>
            <w:tcW w:w="5206" w:type="dxa"/>
            <w:tcBorders>
              <w:top w:val="single" w:color="auto" w:sz="4" w:space="0"/>
              <w:left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r>
              <w:rPr>
                <w:rFonts w:hAnsi="宋体"/>
                <w:color w:val="auto"/>
                <w:highlight w:val="none"/>
              </w:rPr>
              <w:t>2</w:t>
            </w:r>
          </w:p>
        </w:tc>
        <w:tc>
          <w:tcPr>
            <w:tcW w:w="5206" w:type="dxa"/>
            <w:tcBorders>
              <w:top w:val="single" w:color="auto" w:sz="4" w:space="0"/>
              <w:left w:val="single" w:color="auto" w:sz="4" w:space="0"/>
              <w:bottom w:val="single" w:color="auto" w:sz="4" w:space="0"/>
              <w:right w:val="single" w:color="auto" w:sz="4" w:space="0"/>
            </w:tcBorders>
            <w:vAlign w:val="center"/>
          </w:tcPr>
          <w:p>
            <w:pPr>
              <w:pStyle w:val="31"/>
              <w:shd w:val="clear"/>
              <w:snapToGrid w:val="0"/>
              <w:spacing w:line="420" w:lineRule="exact"/>
              <w:rPr>
                <w:rFonts w:hAnsi="宋体"/>
                <w:color w:val="auto"/>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r>
              <w:rPr>
                <w:rFonts w:hAnsi="宋体"/>
                <w:color w:val="auto"/>
                <w:highlight w:val="none"/>
              </w:rPr>
              <w:t>3</w:t>
            </w:r>
          </w:p>
        </w:tc>
        <w:tc>
          <w:tcPr>
            <w:tcW w:w="5206"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rPr>
                <w:rFonts w:ascii="宋体"/>
                <w:color w:val="auto"/>
                <w:szCs w:val="21"/>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r>
              <w:rPr>
                <w:rFonts w:hint="eastAsia" w:hAnsi="宋体" w:cs="宋体"/>
                <w:color w:val="auto"/>
                <w:kern w:val="0"/>
                <w:highlight w:val="none"/>
              </w:rPr>
              <w:t>…</w:t>
            </w:r>
          </w:p>
        </w:tc>
        <w:tc>
          <w:tcPr>
            <w:tcW w:w="5206"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rPr>
                <w:rFonts w:ascii="宋体"/>
                <w:color w:val="auto"/>
                <w:szCs w:val="21"/>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p>
        </w:tc>
        <w:tc>
          <w:tcPr>
            <w:tcW w:w="5206" w:type="dxa"/>
            <w:tcBorders>
              <w:top w:val="single" w:color="auto" w:sz="4" w:space="0"/>
              <w:left w:val="single" w:color="auto" w:sz="4" w:space="0"/>
              <w:bottom w:val="single" w:color="auto" w:sz="4" w:space="0"/>
              <w:right w:val="single" w:color="auto" w:sz="4" w:space="0"/>
            </w:tcBorders>
            <w:vAlign w:val="center"/>
          </w:tcPr>
          <w:p>
            <w:pPr>
              <w:pStyle w:val="31"/>
              <w:shd w:val="clear"/>
              <w:snapToGrid w:val="0"/>
              <w:spacing w:line="420" w:lineRule="exact"/>
              <w:rPr>
                <w:rFonts w:hAnsi="宋体"/>
                <w:color w:val="auto"/>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bottom w:val="single" w:color="auto" w:sz="4" w:space="0"/>
              <w:right w:val="single" w:color="auto" w:sz="4" w:space="0"/>
            </w:tcBorders>
            <w:vAlign w:val="center"/>
          </w:tcPr>
          <w:p>
            <w:pPr>
              <w:pStyle w:val="31"/>
              <w:shd w:val="clear"/>
              <w:snapToGrid w:val="0"/>
              <w:spacing w:line="420" w:lineRule="exact"/>
              <w:jc w:val="center"/>
              <w:rPr>
                <w:rFonts w:hAnsi="宋体"/>
                <w:color w:val="auto"/>
                <w:highlight w:val="none"/>
              </w:rPr>
            </w:pPr>
          </w:p>
        </w:tc>
        <w:tc>
          <w:tcPr>
            <w:tcW w:w="5206" w:type="dxa"/>
            <w:tcBorders>
              <w:top w:val="single" w:color="auto" w:sz="4" w:space="0"/>
              <w:left w:val="single" w:color="auto" w:sz="4" w:space="0"/>
              <w:bottom w:val="single" w:color="auto" w:sz="4" w:space="0"/>
              <w:right w:val="single" w:color="auto" w:sz="4" w:space="0"/>
            </w:tcBorders>
            <w:vAlign w:val="center"/>
          </w:tcPr>
          <w:p>
            <w:pPr>
              <w:shd w:val="clear"/>
              <w:spacing w:line="420" w:lineRule="exact"/>
              <w:ind w:firstLine="105" w:firstLineChars="50"/>
              <w:rPr>
                <w:rFonts w:ascii="宋体"/>
                <w:color w:val="auto"/>
                <w:szCs w:val="21"/>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60" w:type="dxa"/>
            <w:tcBorders>
              <w:top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5206"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172" w:type="dxa"/>
            <w:tcBorders>
              <w:top w:val="single" w:color="auto" w:sz="4" w:space="0"/>
              <w:left w:val="single" w:color="auto" w:sz="4" w:space="0"/>
              <w:bottom w:val="single" w:color="auto" w:sz="4" w:space="0"/>
              <w:right w:val="single" w:color="auto" w:sz="4" w:space="0"/>
            </w:tcBorders>
          </w:tcPr>
          <w:p>
            <w:pPr>
              <w:shd w:val="clear"/>
              <w:snapToGrid w:val="0"/>
              <w:spacing w:line="420" w:lineRule="exact"/>
              <w:rPr>
                <w:rFonts w:ascii="宋体"/>
                <w:color w:val="auto"/>
                <w:szCs w:val="21"/>
                <w:highlight w:val="none"/>
              </w:rPr>
            </w:pPr>
          </w:p>
        </w:tc>
        <w:tc>
          <w:tcPr>
            <w:tcW w:w="1794" w:type="dxa"/>
            <w:tcBorders>
              <w:top w:val="single" w:color="auto" w:sz="4" w:space="0"/>
              <w:left w:val="single" w:color="auto" w:sz="4" w:space="0"/>
              <w:bottom w:val="single" w:color="auto" w:sz="4" w:space="0"/>
            </w:tcBorders>
          </w:tcPr>
          <w:p>
            <w:pPr>
              <w:shd w:val="clear"/>
              <w:snapToGrid w:val="0"/>
              <w:spacing w:line="420" w:lineRule="exact"/>
              <w:rPr>
                <w:rFonts w:ascii="宋体"/>
                <w:color w:val="auto"/>
                <w:szCs w:val="21"/>
                <w:highlight w:val="none"/>
              </w:rPr>
            </w:pPr>
          </w:p>
        </w:tc>
      </w:tr>
    </w:tbl>
    <w:p>
      <w:pPr>
        <w:shd w:val="clear"/>
        <w:snapToGrid w:val="0"/>
        <w:spacing w:line="420" w:lineRule="exact"/>
        <w:ind w:firstLine="200"/>
        <w:rPr>
          <w:rFonts w:ascii="宋体"/>
          <w:color w:val="auto"/>
          <w:szCs w:val="21"/>
          <w:highlight w:val="none"/>
        </w:rPr>
      </w:pPr>
    </w:p>
    <w:p>
      <w:pPr>
        <w:shd w:val="clear"/>
        <w:snapToGrid w:val="0"/>
        <w:spacing w:line="420" w:lineRule="exact"/>
        <w:ind w:firstLine="200"/>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pStyle w:val="31"/>
        <w:shd w:val="clear"/>
        <w:ind w:firstLine="380"/>
        <w:jc w:val="center"/>
        <w:rPr>
          <w:rFonts w:hAnsi="宋体"/>
          <w:color w:val="auto"/>
          <w:highlight w:val="none"/>
        </w:rPr>
      </w:pPr>
      <w:r>
        <w:rPr>
          <w:rFonts w:hAnsi="宋体"/>
          <w:color w:val="auto"/>
          <w:highlight w:val="none"/>
        </w:rPr>
        <w:br w:type="page"/>
      </w:r>
    </w:p>
    <w:p>
      <w:pPr>
        <w:pStyle w:val="31"/>
        <w:shd w:val="clear"/>
        <w:ind w:firstLine="380"/>
        <w:jc w:val="center"/>
        <w:rPr>
          <w:rFonts w:hAnsi="宋体"/>
          <w:color w:val="auto"/>
          <w:highlight w:val="none"/>
        </w:rPr>
      </w:pPr>
    </w:p>
    <w:p>
      <w:pPr>
        <w:pStyle w:val="31"/>
        <w:shd w:val="clear"/>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hd w:val="clear"/>
        <w:snapToGrid w:val="0"/>
        <w:jc w:val="center"/>
        <w:rPr>
          <w:rFonts w:ascii="宋体"/>
          <w:color w:val="auto"/>
          <w:sz w:val="24"/>
          <w:highlight w:val="none"/>
        </w:rPr>
      </w:pPr>
      <w:r>
        <w:rPr>
          <w:rFonts w:ascii="宋体" w:hAnsi="宋体"/>
          <w:color w:val="auto"/>
          <w:sz w:val="24"/>
          <w:highlight w:val="none"/>
        </w:rPr>
        <w:t>(</w:t>
      </w:r>
      <w:r>
        <w:rPr>
          <w:rFonts w:hint="eastAsia" w:ascii="宋体" w:hAnsi="宋体"/>
          <w:color w:val="auto"/>
          <w:sz w:val="24"/>
          <w:highlight w:val="none"/>
        </w:rPr>
        <w:t>由投标人按《采购需求一览表》及评分办法的要求自行分别填写</w:t>
      </w:r>
      <w:r>
        <w:rPr>
          <w:rFonts w:ascii="宋体" w:hAnsi="宋体"/>
          <w:color w:val="auto"/>
          <w:sz w:val="24"/>
          <w:highlight w:val="none"/>
        </w:rPr>
        <w:t>)</w:t>
      </w:r>
    </w:p>
    <w:p>
      <w:pPr>
        <w:shd w:val="clear"/>
        <w:rPr>
          <w:rFonts w:ascii="宋体"/>
          <w:b/>
          <w:color w:val="auto"/>
          <w:sz w:val="24"/>
          <w:highlight w:val="none"/>
        </w:rPr>
      </w:pPr>
      <w:r>
        <w:rPr>
          <w:rFonts w:ascii="宋体"/>
          <w:b/>
          <w:color w:val="auto"/>
          <w:sz w:val="24"/>
          <w:highlight w:val="none"/>
        </w:rPr>
        <w:br w:type="page"/>
      </w:r>
      <w:r>
        <w:rPr>
          <w:rFonts w:hint="eastAsia" w:ascii="宋体" w:hAnsi="宋体"/>
          <w:b/>
          <w:color w:val="auto"/>
          <w:sz w:val="24"/>
          <w:highlight w:val="none"/>
        </w:rPr>
        <w:t>法定代表人身份证明书格式：</w:t>
      </w:r>
    </w:p>
    <w:p>
      <w:pPr>
        <w:shd w:val="clear"/>
        <w:jc w:val="center"/>
        <w:rPr>
          <w:rFonts w:ascii="宋体"/>
          <w:b/>
          <w:color w:val="auto"/>
          <w:sz w:val="32"/>
          <w:highlight w:val="none"/>
        </w:rPr>
      </w:pPr>
    </w:p>
    <w:p>
      <w:pPr>
        <w:shd w:val="clear"/>
        <w:jc w:val="center"/>
        <w:rPr>
          <w:rFonts w:ascii="宋体"/>
          <w:b/>
          <w:color w:val="auto"/>
          <w:sz w:val="32"/>
          <w:highlight w:val="none"/>
        </w:rPr>
      </w:pPr>
      <w:r>
        <w:rPr>
          <w:rFonts w:hint="eastAsia" w:ascii="宋体" w:hAnsi="宋体"/>
          <w:b/>
          <w:color w:val="auto"/>
          <w:sz w:val="32"/>
          <w:highlight w:val="none"/>
        </w:rPr>
        <w:t>法定代表人身份证明书</w:t>
      </w:r>
    </w:p>
    <w:p>
      <w:pPr>
        <w:shd w:val="clear"/>
        <w:jc w:val="center"/>
        <w:rPr>
          <w:rFonts w:ascii="宋体"/>
          <w:b/>
          <w:color w:val="auto"/>
          <w:sz w:val="32"/>
          <w:highlight w:val="none"/>
        </w:rPr>
      </w:pPr>
    </w:p>
    <w:p>
      <w:pPr>
        <w:shd w:val="clear"/>
        <w:spacing w:line="460" w:lineRule="exact"/>
        <w:ind w:firstLine="840" w:firstLineChars="400"/>
        <w:rPr>
          <w:rFonts w:ascii="宋体"/>
          <w:color w:val="auto"/>
          <w:szCs w:val="21"/>
          <w:highlight w:val="none"/>
          <w:u w:val="single"/>
        </w:rPr>
      </w:pPr>
    </w:p>
    <w:p>
      <w:pPr>
        <w:shd w:val="clear"/>
        <w:spacing w:line="460" w:lineRule="exact"/>
        <w:ind w:firstLine="840" w:firstLineChars="400"/>
        <w:rPr>
          <w:rFonts w:ascii="宋体"/>
          <w:color w:val="auto"/>
          <w:szCs w:val="21"/>
          <w:highlight w:val="none"/>
        </w:rPr>
      </w:pPr>
      <w:r>
        <w:rPr>
          <w:rFonts w:hint="eastAsia" w:ascii="宋体" w:hAnsi="宋体"/>
          <w:color w:val="auto"/>
          <w:szCs w:val="21"/>
          <w:highlight w:val="none"/>
          <w:u w:val="single"/>
        </w:rPr>
        <w:t>（法定代表人名字）</w:t>
      </w:r>
      <w:r>
        <w:rPr>
          <w:rFonts w:hint="eastAsia" w:ascii="宋体" w:hAnsi="宋体"/>
          <w:color w:val="auto"/>
          <w:szCs w:val="21"/>
          <w:highlight w:val="none"/>
        </w:rPr>
        <w:t>在</w:t>
      </w:r>
      <w:r>
        <w:rPr>
          <w:rFonts w:hint="eastAsia" w:ascii="宋体" w:hAnsi="宋体"/>
          <w:color w:val="auto"/>
          <w:szCs w:val="21"/>
          <w:highlight w:val="none"/>
          <w:u w:val="single"/>
        </w:rPr>
        <w:t>（单位名称）</w:t>
      </w:r>
      <w:r>
        <w:rPr>
          <w:rFonts w:hint="eastAsia" w:ascii="宋体" w:hAnsi="宋体"/>
          <w:color w:val="auto"/>
          <w:szCs w:val="21"/>
          <w:highlight w:val="none"/>
        </w:rPr>
        <w:t>任职务，是</w:t>
      </w:r>
      <w:r>
        <w:rPr>
          <w:rFonts w:hint="eastAsia" w:ascii="宋体" w:hAnsi="宋体"/>
          <w:color w:val="auto"/>
          <w:szCs w:val="21"/>
          <w:highlight w:val="none"/>
          <w:u w:val="single"/>
        </w:rPr>
        <w:t>（单位名称）</w:t>
      </w:r>
      <w:r>
        <w:rPr>
          <w:rFonts w:hint="eastAsia" w:ascii="宋体" w:hAnsi="宋体"/>
          <w:color w:val="auto"/>
          <w:szCs w:val="21"/>
          <w:highlight w:val="none"/>
        </w:rPr>
        <w:t>的法定代表人。</w:t>
      </w:r>
    </w:p>
    <w:p>
      <w:pPr>
        <w:shd w:val="clear"/>
        <w:spacing w:line="460" w:lineRule="exact"/>
        <w:ind w:firstLine="735" w:firstLineChars="350"/>
        <w:rPr>
          <w:rFonts w:ascii="宋体"/>
          <w:color w:val="auto"/>
          <w:szCs w:val="21"/>
          <w:highlight w:val="none"/>
        </w:rPr>
      </w:pPr>
      <w:r>
        <w:rPr>
          <w:rFonts w:hint="eastAsia" w:ascii="宋体" w:hAnsi="宋体"/>
          <w:color w:val="auto"/>
          <w:szCs w:val="21"/>
          <w:highlight w:val="none"/>
        </w:rPr>
        <w:t>特此证明。</w:t>
      </w:r>
    </w:p>
    <w:p>
      <w:pPr>
        <w:shd w:val="clear"/>
        <w:spacing w:line="460" w:lineRule="exact"/>
        <w:rPr>
          <w:rFonts w:ascii="宋体"/>
          <w:color w:val="auto"/>
          <w:szCs w:val="21"/>
          <w:highlight w:val="none"/>
        </w:rPr>
      </w:pPr>
    </w:p>
    <w:p>
      <w:pPr>
        <w:shd w:val="clear"/>
        <w:spacing w:line="460" w:lineRule="exact"/>
        <w:rPr>
          <w:rFonts w:ascii="宋体"/>
          <w:color w:val="auto"/>
          <w:szCs w:val="21"/>
          <w:highlight w:val="none"/>
        </w:rPr>
      </w:pPr>
    </w:p>
    <w:p>
      <w:pPr>
        <w:shd w:val="clear"/>
        <w:spacing w:line="460" w:lineRule="exact"/>
        <w:rPr>
          <w:rFonts w:ascii="宋体"/>
          <w:color w:val="auto"/>
          <w:szCs w:val="21"/>
          <w:highlight w:val="none"/>
          <w:u w:val="single"/>
        </w:rPr>
      </w:pPr>
      <w:r>
        <w:rPr>
          <w:rFonts w:hint="eastAsia" w:ascii="宋体" w:hAnsi="宋体"/>
          <w:color w:val="auto"/>
          <w:szCs w:val="21"/>
          <w:highlight w:val="none"/>
        </w:rPr>
        <w:t>单位名称：</w:t>
      </w:r>
    </w:p>
    <w:p>
      <w:pPr>
        <w:shd w:val="clear"/>
        <w:spacing w:line="460" w:lineRule="exact"/>
        <w:rPr>
          <w:rFonts w:ascii="宋体"/>
          <w:color w:val="auto"/>
          <w:szCs w:val="21"/>
          <w:highlight w:val="none"/>
        </w:rPr>
      </w:pPr>
      <w:r>
        <w:rPr>
          <w:rFonts w:hint="eastAsia" w:ascii="宋体" w:hAnsi="宋体"/>
          <w:color w:val="auto"/>
          <w:szCs w:val="21"/>
          <w:highlight w:val="none"/>
        </w:rPr>
        <w:t>（单位公章）</w:t>
      </w:r>
    </w:p>
    <w:p>
      <w:pPr>
        <w:shd w:val="clear"/>
        <w:spacing w:line="460" w:lineRule="exact"/>
        <w:rPr>
          <w:rFonts w:ascii="宋体"/>
          <w:color w:val="auto"/>
          <w:szCs w:val="21"/>
          <w:highlight w:val="none"/>
        </w:rPr>
      </w:pPr>
      <w:r>
        <w:rPr>
          <w:rFonts w:hint="eastAsia" w:ascii="宋体" w:hAnsi="宋体"/>
          <w:color w:val="auto"/>
          <w:szCs w:val="21"/>
          <w:highlight w:val="none"/>
        </w:rPr>
        <w:t>年月日</w:t>
      </w:r>
    </w:p>
    <w:p>
      <w:pPr>
        <w:shd w:val="clear"/>
        <w:spacing w:line="460" w:lineRule="exact"/>
        <w:rPr>
          <w:rFonts w:ascii="宋体"/>
          <w:color w:val="auto"/>
          <w:szCs w:val="21"/>
          <w:highlight w:val="none"/>
        </w:rPr>
      </w:pPr>
    </w:p>
    <w:p>
      <w:pPr>
        <w:shd w:val="clear"/>
        <w:spacing w:line="460" w:lineRule="exact"/>
        <w:ind w:firstLine="315" w:firstLineChars="150"/>
        <w:rPr>
          <w:rFonts w:ascii="宋体"/>
          <w:color w:val="auto"/>
          <w:szCs w:val="21"/>
          <w:highlight w:val="none"/>
        </w:rPr>
      </w:pPr>
      <w:r>
        <w:rPr>
          <w:rFonts w:hint="eastAsia" w:ascii="宋体" w:hAnsi="宋体"/>
          <w:color w:val="auto"/>
          <w:szCs w:val="21"/>
          <w:highlight w:val="none"/>
        </w:rPr>
        <w:t>法定代表人身份证号码：</w:t>
      </w:r>
    </w:p>
    <w:p>
      <w:pPr>
        <w:shd w:val="clear"/>
        <w:spacing w:line="460" w:lineRule="exact"/>
        <w:ind w:firstLine="315" w:firstLineChars="150"/>
        <w:rPr>
          <w:rFonts w:ascii="宋体"/>
          <w:color w:val="auto"/>
          <w:szCs w:val="21"/>
          <w:highlight w:val="none"/>
        </w:rPr>
      </w:pPr>
    </w:p>
    <w:p>
      <w:pPr>
        <w:shd w:val="clear"/>
        <w:spacing w:line="460" w:lineRule="exact"/>
        <w:ind w:firstLine="315" w:firstLineChars="150"/>
        <w:rPr>
          <w:rFonts w:ascii="宋体"/>
          <w:color w:val="auto"/>
          <w:szCs w:val="21"/>
          <w:highlight w:val="none"/>
        </w:rPr>
      </w:pPr>
      <w:r>
        <w:rPr>
          <w:rFonts w:hint="eastAsia" w:ascii="宋体" w:hAnsi="宋体"/>
          <w:color w:val="auto"/>
          <w:szCs w:val="21"/>
          <w:highlight w:val="none"/>
        </w:rPr>
        <w:t>住址：</w:t>
      </w:r>
    </w:p>
    <w:p>
      <w:pPr>
        <w:pStyle w:val="31"/>
        <w:shd w:val="clear"/>
        <w:spacing w:line="460" w:lineRule="exact"/>
        <w:jc w:val="center"/>
        <w:rPr>
          <w:rFonts w:hAnsi="宋体"/>
          <w:color w:val="auto"/>
          <w:highlight w:val="none"/>
        </w:rPr>
      </w:pPr>
    </w:p>
    <w:p>
      <w:pPr>
        <w:shd w:val="clear"/>
        <w:snapToGrid w:val="0"/>
        <w:ind w:firstLine="470" w:firstLineChars="196"/>
        <w:jc w:val="center"/>
        <w:rPr>
          <w:rFonts w:ascii="宋体"/>
          <w:b/>
          <w:color w:val="auto"/>
          <w:sz w:val="24"/>
          <w:highlight w:val="none"/>
        </w:rPr>
      </w:pPr>
      <w:r>
        <w:rPr>
          <w:rFonts w:ascii="宋体"/>
          <w:color w:val="auto"/>
          <w:sz w:val="24"/>
          <w:highlight w:val="none"/>
        </w:rPr>
        <w:br w:type="page"/>
      </w:r>
      <w:r>
        <w:rPr>
          <w:rFonts w:hint="eastAsia" w:ascii="宋体" w:hAnsi="宋体"/>
          <w:b/>
          <w:color w:val="auto"/>
          <w:sz w:val="24"/>
          <w:highlight w:val="none"/>
        </w:rPr>
        <w:t>投标人法定代表人身份证复印件</w:t>
      </w:r>
    </w:p>
    <w:p>
      <w:pPr>
        <w:shd w:val="clear"/>
        <w:rPr>
          <w:rFonts w:ascii="宋体"/>
          <w:color w:val="auto"/>
          <w:szCs w:val="21"/>
          <w:highlight w:val="none"/>
        </w:rPr>
      </w:pPr>
    </w:p>
    <w:p>
      <w:pPr>
        <w:shd w:val="clear"/>
        <w:rPr>
          <w:rFonts w:ascii="宋体"/>
          <w:color w:val="auto"/>
          <w:szCs w:val="21"/>
          <w:highlight w:val="none"/>
        </w:rPr>
      </w:pPr>
      <w:r>
        <w:rPr>
          <w:rFonts w:hint="eastAsia" w:ascii="宋体" w:hAnsi="宋体"/>
          <w:color w:val="auto"/>
          <w:szCs w:val="21"/>
          <w:highlight w:val="none"/>
        </w:rPr>
        <w:t>投标人法定代表人身份证复印件：</w:t>
      </w:r>
    </w:p>
    <w:p>
      <w:pPr>
        <w:shd w:val="clear"/>
        <w:rPr>
          <w:rFonts w:ascii="宋体"/>
          <w:color w:val="auto"/>
          <w:szCs w:val="21"/>
          <w:highlight w:val="none"/>
        </w:rPr>
      </w:pPr>
    </w:p>
    <w:tbl>
      <w:tblPr>
        <w:tblStyle w:val="7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shd w:val="clear"/>
              <w:jc w:val="center"/>
              <w:rPr>
                <w:rFonts w:ascii="宋体"/>
                <w:color w:val="auto"/>
                <w:szCs w:val="21"/>
                <w:highlight w:val="none"/>
              </w:rPr>
            </w:pPr>
            <w:r>
              <w:rPr>
                <w:rFonts w:hint="eastAsia" w:ascii="宋体" w:hAnsi="宋体"/>
                <w:color w:val="auto"/>
                <w:szCs w:val="21"/>
                <w:highlight w:val="none"/>
              </w:rPr>
              <w:t>身份证（正面）</w:t>
            </w:r>
          </w:p>
        </w:tc>
      </w:tr>
    </w:tbl>
    <w:p>
      <w:pPr>
        <w:shd w:val="clear"/>
        <w:rPr>
          <w:rFonts w:ascii="宋体"/>
          <w:color w:val="auto"/>
          <w:szCs w:val="21"/>
          <w:highlight w:val="none"/>
        </w:rPr>
      </w:pPr>
    </w:p>
    <w:tbl>
      <w:tblPr>
        <w:tblStyle w:val="7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shd w:val="clear"/>
              <w:jc w:val="center"/>
              <w:rPr>
                <w:rFonts w:ascii="宋体"/>
                <w:color w:val="auto"/>
                <w:szCs w:val="21"/>
                <w:highlight w:val="none"/>
              </w:rPr>
            </w:pPr>
            <w:r>
              <w:rPr>
                <w:rFonts w:hint="eastAsia" w:ascii="宋体" w:hAnsi="宋体"/>
                <w:color w:val="auto"/>
                <w:szCs w:val="21"/>
                <w:highlight w:val="none"/>
              </w:rPr>
              <w:t>身份证（反面）</w:t>
            </w:r>
          </w:p>
          <w:p>
            <w:pPr>
              <w:shd w:val="clear"/>
              <w:jc w:val="center"/>
              <w:rPr>
                <w:rFonts w:ascii="宋体"/>
                <w:color w:val="auto"/>
                <w:szCs w:val="21"/>
                <w:highlight w:val="none"/>
              </w:rPr>
            </w:pPr>
          </w:p>
        </w:tc>
      </w:tr>
    </w:tbl>
    <w:p>
      <w:pPr>
        <w:shd w:val="clear"/>
        <w:rPr>
          <w:rFonts w:ascii="宋体"/>
          <w:color w:val="auto"/>
          <w:szCs w:val="21"/>
          <w:highlight w:val="none"/>
        </w:rPr>
      </w:pPr>
    </w:p>
    <w:p>
      <w:pPr>
        <w:shd w:val="clear"/>
        <w:rPr>
          <w:rFonts w:ascii="宋体"/>
          <w:color w:val="auto"/>
          <w:szCs w:val="21"/>
          <w:highlight w:val="none"/>
        </w:rPr>
      </w:pPr>
    </w:p>
    <w:p>
      <w:pPr>
        <w:shd w:val="clear"/>
        <w:rPr>
          <w:rFonts w:ascii="宋体"/>
          <w:color w:val="auto"/>
          <w:szCs w:val="21"/>
          <w:highlight w:val="none"/>
        </w:rPr>
      </w:pPr>
      <w:r>
        <w:rPr>
          <w:rFonts w:hint="eastAsia" w:ascii="宋体" w:hAnsi="宋体"/>
          <w:color w:val="auto"/>
          <w:szCs w:val="21"/>
          <w:highlight w:val="none"/>
        </w:rPr>
        <w:t>法定代表人签名：</w:t>
      </w:r>
    </w:p>
    <w:p>
      <w:pPr>
        <w:shd w:val="clear"/>
        <w:rPr>
          <w:rFonts w:ascii="宋体"/>
          <w:color w:val="auto"/>
          <w:szCs w:val="21"/>
          <w:highlight w:val="none"/>
        </w:rPr>
      </w:pPr>
    </w:p>
    <w:p>
      <w:pPr>
        <w:shd w:val="clear"/>
        <w:rPr>
          <w:rFonts w:ascii="宋体"/>
          <w:color w:val="auto"/>
          <w:szCs w:val="21"/>
          <w:highlight w:val="none"/>
        </w:rPr>
      </w:pPr>
      <w:r>
        <w:rPr>
          <w:rFonts w:hint="eastAsia" w:ascii="宋体" w:hAnsi="宋体"/>
          <w:color w:val="auto"/>
          <w:szCs w:val="21"/>
          <w:highlight w:val="none"/>
        </w:rPr>
        <w:t>投标单位（公章）：</w:t>
      </w:r>
    </w:p>
    <w:p>
      <w:pPr>
        <w:shd w:val="clear"/>
        <w:rPr>
          <w:rFonts w:ascii="宋体"/>
          <w:b/>
          <w:color w:val="auto"/>
          <w:sz w:val="24"/>
          <w:highlight w:val="none"/>
        </w:rPr>
      </w:pPr>
      <w:r>
        <w:rPr>
          <w:rFonts w:ascii="宋体"/>
          <w:color w:val="auto"/>
          <w:highlight w:val="none"/>
        </w:rPr>
        <w:br w:type="page"/>
      </w:r>
      <w:r>
        <w:rPr>
          <w:rFonts w:hint="eastAsia" w:ascii="宋体" w:hAnsi="宋体"/>
          <w:b/>
          <w:color w:val="auto"/>
          <w:sz w:val="24"/>
          <w:highlight w:val="none"/>
        </w:rPr>
        <w:t>授权委托书格式：</w:t>
      </w:r>
    </w:p>
    <w:p>
      <w:pPr>
        <w:shd w:val="clear"/>
        <w:jc w:val="center"/>
        <w:rPr>
          <w:rFonts w:ascii="宋体"/>
          <w:b/>
          <w:color w:val="auto"/>
          <w:sz w:val="32"/>
          <w:szCs w:val="32"/>
          <w:highlight w:val="none"/>
        </w:rPr>
      </w:pPr>
      <w:r>
        <w:rPr>
          <w:rFonts w:hint="eastAsia" w:ascii="宋体" w:hAnsi="宋体"/>
          <w:b/>
          <w:color w:val="auto"/>
          <w:sz w:val="32"/>
          <w:szCs w:val="32"/>
          <w:highlight w:val="none"/>
        </w:rPr>
        <w:t>投标人法定代表人授权委托书</w:t>
      </w:r>
    </w:p>
    <w:p>
      <w:pPr>
        <w:shd w:val="clear"/>
        <w:snapToGrid w:val="0"/>
        <w:rPr>
          <w:rFonts w:ascii="宋体"/>
          <w:bCs/>
          <w:color w:val="auto"/>
          <w:sz w:val="24"/>
          <w:highlight w:val="none"/>
        </w:rPr>
      </w:pPr>
    </w:p>
    <w:p>
      <w:pPr>
        <w:shd w:val="clear"/>
        <w:snapToGrid w:val="0"/>
        <w:spacing w:line="460" w:lineRule="exact"/>
        <w:rPr>
          <w:rFonts w:ascii="宋体"/>
          <w:b/>
          <w:bCs/>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rPr>
        <w:t>（招标采购单位名称）</w:t>
      </w:r>
    </w:p>
    <w:p>
      <w:pPr>
        <w:shd w:val="clear"/>
        <w:snapToGrid w:val="0"/>
        <w:spacing w:line="460" w:lineRule="exact"/>
        <w:ind w:firstLine="630" w:firstLineChars="300"/>
        <w:rPr>
          <w:rFonts w:ascii="宋体"/>
          <w:color w:val="auto"/>
          <w:szCs w:val="21"/>
          <w:highlight w:val="non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（投标人名称）的法定代表人，现授权委托本单位在职职工</w:t>
      </w:r>
      <w:r>
        <w:rPr>
          <w:rFonts w:hint="eastAsia" w:ascii="宋体" w:hAnsi="宋体"/>
          <w:color w:val="auto"/>
          <w:szCs w:val="21"/>
          <w:highlight w:val="none"/>
          <w:u w:val="single"/>
        </w:rPr>
        <w:t xml:space="preserve">     </w:t>
      </w:r>
      <w:r>
        <w:rPr>
          <w:rFonts w:hint="eastAsia" w:ascii="宋体" w:hAnsi="宋体"/>
          <w:color w:val="auto"/>
          <w:szCs w:val="21"/>
          <w:highlight w:val="none"/>
        </w:rPr>
        <w:t>（姓名）以我方的名义参加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项目的投标活动，并代表我方全权办理针对上述项目的投标、开标、评标、签约等具体事务和签署相关文件。</w:t>
      </w:r>
    </w:p>
    <w:p>
      <w:pPr>
        <w:shd w:val="clear"/>
        <w:snapToGrid w:val="0"/>
        <w:spacing w:line="460" w:lineRule="exact"/>
        <w:rPr>
          <w:rFonts w:ascii="宋体"/>
          <w:color w:val="auto"/>
          <w:szCs w:val="21"/>
          <w:highlight w:val="none"/>
        </w:rPr>
      </w:pPr>
      <w:r>
        <w:rPr>
          <w:rFonts w:hint="eastAsia" w:ascii="宋体" w:hAnsi="宋体"/>
          <w:color w:val="auto"/>
          <w:szCs w:val="21"/>
          <w:highlight w:val="none"/>
        </w:rPr>
        <w:t>我方对被授权人的签名事项负全部责任。</w:t>
      </w:r>
    </w:p>
    <w:p>
      <w:pPr>
        <w:shd w:val="clear"/>
        <w:snapToGrid w:val="0"/>
        <w:spacing w:line="460" w:lineRule="exact"/>
        <w:ind w:firstLine="480"/>
        <w:rPr>
          <w:rFonts w:asci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hd w:val="clear"/>
        <w:snapToGrid w:val="0"/>
        <w:spacing w:line="460" w:lineRule="exact"/>
        <w:ind w:firstLine="480"/>
        <w:rPr>
          <w:rFonts w:ascii="宋体"/>
          <w:color w:val="auto"/>
          <w:szCs w:val="21"/>
          <w:highlight w:val="none"/>
        </w:rPr>
      </w:pPr>
      <w:r>
        <w:rPr>
          <w:rFonts w:hint="eastAsia" w:ascii="宋体" w:hAnsi="宋体"/>
          <w:color w:val="auto"/>
          <w:szCs w:val="21"/>
          <w:highlight w:val="none"/>
        </w:rPr>
        <w:t>被授权人无转委托权，特此委托。</w:t>
      </w:r>
    </w:p>
    <w:p>
      <w:pPr>
        <w:shd w:val="clear"/>
        <w:snapToGrid w:val="0"/>
        <w:spacing w:line="460" w:lineRule="exact"/>
        <w:rPr>
          <w:rFonts w:ascii="宋体"/>
          <w:color w:val="auto"/>
          <w:szCs w:val="21"/>
          <w:highlight w:val="none"/>
        </w:rPr>
      </w:pPr>
    </w:p>
    <w:p>
      <w:pPr>
        <w:shd w:val="clear"/>
        <w:snapToGrid w:val="0"/>
        <w:spacing w:line="460" w:lineRule="exact"/>
        <w:rPr>
          <w:rFonts w:ascii="宋体" w:hAnsi="宋体"/>
          <w:color w:val="auto"/>
          <w:szCs w:val="21"/>
          <w:highlight w:val="none"/>
        </w:rPr>
      </w:pPr>
      <w:r>
        <w:rPr>
          <w:rFonts w:hint="eastAsia" w:ascii="宋体" w:hAnsi="宋体"/>
          <w:color w:val="auto"/>
          <w:szCs w:val="21"/>
          <w:highlight w:val="none"/>
        </w:rPr>
        <w:t>被授权人签名：</w:t>
      </w:r>
    </w:p>
    <w:p>
      <w:pPr>
        <w:shd w:val="clear"/>
        <w:snapToGrid w:val="0"/>
        <w:spacing w:line="460" w:lineRule="exact"/>
        <w:rPr>
          <w:rFonts w:ascii="宋体"/>
          <w:color w:val="auto"/>
          <w:szCs w:val="21"/>
          <w:highlight w:val="none"/>
          <w:u w:val="single"/>
        </w:rPr>
      </w:pPr>
      <w:r>
        <w:rPr>
          <w:rFonts w:hint="eastAsia" w:ascii="宋体" w:hAnsi="宋体"/>
          <w:color w:val="auto"/>
          <w:szCs w:val="21"/>
          <w:highlight w:val="none"/>
        </w:rPr>
        <w:t>法定代表人签名：</w:t>
      </w:r>
    </w:p>
    <w:p>
      <w:pPr>
        <w:shd w:val="clear"/>
        <w:snapToGrid w:val="0"/>
        <w:spacing w:line="460" w:lineRule="exact"/>
        <w:rPr>
          <w:rFonts w:ascii="宋体"/>
          <w:color w:val="auto"/>
          <w:szCs w:val="21"/>
          <w:highlight w:val="none"/>
        </w:rPr>
      </w:pPr>
      <w:r>
        <w:rPr>
          <w:rFonts w:hint="eastAsia" w:ascii="宋体" w:hAnsi="宋体"/>
          <w:color w:val="auto"/>
          <w:szCs w:val="21"/>
          <w:highlight w:val="none"/>
        </w:rPr>
        <w:t>所在部门：</w:t>
      </w:r>
    </w:p>
    <w:p>
      <w:pPr>
        <w:shd w:val="clear"/>
        <w:snapToGrid w:val="0"/>
        <w:spacing w:line="460" w:lineRule="exact"/>
        <w:rPr>
          <w:rFonts w:ascii="宋体"/>
          <w:color w:val="auto"/>
          <w:szCs w:val="21"/>
          <w:highlight w:val="none"/>
        </w:rPr>
      </w:pPr>
      <w:r>
        <w:rPr>
          <w:rFonts w:hint="eastAsia" w:ascii="宋体" w:hAnsi="宋体"/>
          <w:color w:val="auto"/>
          <w:szCs w:val="21"/>
          <w:highlight w:val="none"/>
        </w:rPr>
        <w:t>职务：</w:t>
      </w:r>
    </w:p>
    <w:p>
      <w:pPr>
        <w:shd w:val="clear"/>
        <w:snapToGrid w:val="0"/>
        <w:spacing w:line="460" w:lineRule="exact"/>
        <w:rPr>
          <w:rFonts w:ascii="宋体"/>
          <w:color w:val="auto"/>
          <w:szCs w:val="21"/>
          <w:highlight w:val="none"/>
        </w:rPr>
      </w:pPr>
      <w:r>
        <w:rPr>
          <w:rFonts w:hint="eastAsia" w:ascii="宋体" w:hAnsi="宋体"/>
          <w:color w:val="auto"/>
          <w:szCs w:val="21"/>
          <w:highlight w:val="none"/>
        </w:rPr>
        <w:t>被授权人身份证号码：</w:t>
      </w:r>
    </w:p>
    <w:p>
      <w:pPr>
        <w:shd w:val="clear"/>
        <w:snapToGrid w:val="0"/>
        <w:spacing w:line="460" w:lineRule="exact"/>
        <w:rPr>
          <w:rFonts w:ascii="宋体"/>
          <w:color w:val="auto"/>
          <w:szCs w:val="21"/>
          <w:highlight w:val="none"/>
        </w:rPr>
      </w:pPr>
      <w:r>
        <w:rPr>
          <w:rFonts w:hint="eastAsia" w:ascii="宋体" w:hAnsi="宋体"/>
          <w:color w:val="auto"/>
          <w:szCs w:val="21"/>
          <w:highlight w:val="none"/>
        </w:rPr>
        <w:t>投标人盖章：</w:t>
      </w:r>
    </w:p>
    <w:p>
      <w:pPr>
        <w:shd w:val="clear"/>
        <w:snapToGrid w:val="0"/>
        <w:spacing w:line="460" w:lineRule="exact"/>
        <w:ind w:firstLine="621" w:firstLineChars="296"/>
        <w:jc w:val="left"/>
        <w:rPr>
          <w:rFonts w:ascii="宋体"/>
          <w:color w:val="auto"/>
          <w:szCs w:val="21"/>
          <w:highlight w:val="none"/>
        </w:rPr>
      </w:pPr>
      <w:r>
        <w:rPr>
          <w:rFonts w:hint="eastAsia" w:ascii="宋体" w:hAnsi="宋体"/>
          <w:color w:val="auto"/>
          <w:szCs w:val="21"/>
          <w:highlight w:val="none"/>
        </w:rPr>
        <w:t>年  月  日</w:t>
      </w:r>
    </w:p>
    <w:p>
      <w:pPr>
        <w:shd w:val="clear"/>
        <w:spacing w:line="460" w:lineRule="exact"/>
        <w:rPr>
          <w:rFonts w:ascii="宋体"/>
          <w:color w:val="auto"/>
          <w:szCs w:val="21"/>
          <w:highlight w:val="none"/>
        </w:rPr>
      </w:pPr>
      <w:r>
        <w:rPr>
          <w:rFonts w:ascii="宋体"/>
          <w:color w:val="auto"/>
          <w:szCs w:val="21"/>
          <w:highlight w:val="none"/>
        </w:rPr>
        <w:br w:type="page"/>
      </w:r>
      <w:r>
        <w:rPr>
          <w:rFonts w:hint="eastAsia" w:ascii="宋体" w:hAnsi="宋体"/>
          <w:color w:val="auto"/>
          <w:szCs w:val="21"/>
          <w:highlight w:val="none"/>
        </w:rPr>
        <w:t>委托代理人身份证复印件：</w:t>
      </w:r>
    </w:p>
    <w:p>
      <w:pPr>
        <w:shd w:val="clear"/>
        <w:rPr>
          <w:rFonts w:ascii="宋体"/>
          <w:color w:val="auto"/>
          <w:szCs w:val="21"/>
          <w:highlight w:val="none"/>
        </w:rPr>
      </w:pPr>
    </w:p>
    <w:tbl>
      <w:tblPr>
        <w:tblStyle w:val="7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6" w:hRule="atLeast"/>
        </w:trPr>
        <w:tc>
          <w:tcPr>
            <w:tcW w:w="6948" w:type="dxa"/>
            <w:vAlign w:val="center"/>
          </w:tcPr>
          <w:p>
            <w:pPr>
              <w:shd w:val="clear"/>
              <w:jc w:val="center"/>
              <w:rPr>
                <w:rFonts w:ascii="宋体"/>
                <w:color w:val="auto"/>
                <w:szCs w:val="21"/>
                <w:highlight w:val="none"/>
              </w:rPr>
            </w:pPr>
            <w:r>
              <w:rPr>
                <w:rFonts w:hint="eastAsia" w:ascii="宋体" w:hAnsi="宋体"/>
                <w:color w:val="auto"/>
                <w:szCs w:val="21"/>
                <w:highlight w:val="none"/>
              </w:rPr>
              <w:t>身份证（正面）</w:t>
            </w:r>
          </w:p>
        </w:tc>
      </w:tr>
    </w:tbl>
    <w:p>
      <w:pPr>
        <w:shd w:val="clear"/>
        <w:rPr>
          <w:rFonts w:ascii="宋体"/>
          <w:color w:val="auto"/>
          <w:szCs w:val="21"/>
          <w:highlight w:val="none"/>
        </w:rPr>
      </w:pPr>
    </w:p>
    <w:tbl>
      <w:tblPr>
        <w:tblStyle w:val="74"/>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7" w:hRule="atLeast"/>
        </w:trPr>
        <w:tc>
          <w:tcPr>
            <w:tcW w:w="6948" w:type="dxa"/>
            <w:vAlign w:val="center"/>
          </w:tcPr>
          <w:p>
            <w:pPr>
              <w:shd w:val="clear"/>
              <w:jc w:val="center"/>
              <w:rPr>
                <w:rFonts w:ascii="宋体"/>
                <w:color w:val="auto"/>
                <w:szCs w:val="21"/>
                <w:highlight w:val="none"/>
              </w:rPr>
            </w:pPr>
            <w:r>
              <w:rPr>
                <w:rFonts w:hint="eastAsia" w:ascii="宋体" w:hAnsi="宋体"/>
                <w:color w:val="auto"/>
                <w:szCs w:val="21"/>
                <w:highlight w:val="none"/>
              </w:rPr>
              <w:t>身份证（反面）</w:t>
            </w:r>
          </w:p>
        </w:tc>
      </w:tr>
    </w:tbl>
    <w:p>
      <w:pPr>
        <w:shd w:val="clear"/>
        <w:rPr>
          <w:rFonts w:ascii="宋体"/>
          <w:color w:val="auto"/>
          <w:szCs w:val="21"/>
          <w:highlight w:val="none"/>
        </w:rPr>
      </w:pPr>
    </w:p>
    <w:p>
      <w:pPr>
        <w:shd w:val="clear"/>
        <w:rPr>
          <w:rFonts w:ascii="宋体"/>
          <w:color w:val="auto"/>
          <w:szCs w:val="21"/>
          <w:highlight w:val="none"/>
        </w:rPr>
      </w:pPr>
    </w:p>
    <w:p>
      <w:pPr>
        <w:shd w:val="clear"/>
        <w:rPr>
          <w:rFonts w:ascii="宋体"/>
          <w:color w:val="auto"/>
          <w:szCs w:val="21"/>
          <w:highlight w:val="none"/>
        </w:rPr>
      </w:pPr>
      <w:r>
        <w:rPr>
          <w:rFonts w:hint="eastAsia" w:ascii="宋体" w:hAnsi="宋体"/>
          <w:color w:val="auto"/>
          <w:szCs w:val="21"/>
          <w:highlight w:val="none"/>
        </w:rPr>
        <w:t>委托代理人签名：</w:t>
      </w:r>
    </w:p>
    <w:p>
      <w:pPr>
        <w:shd w:val="clear"/>
        <w:rPr>
          <w:rFonts w:ascii="宋体"/>
          <w:color w:val="auto"/>
          <w:szCs w:val="21"/>
          <w:highlight w:val="none"/>
        </w:rPr>
      </w:pPr>
    </w:p>
    <w:p>
      <w:pPr>
        <w:shd w:val="clear"/>
        <w:rPr>
          <w:rFonts w:ascii="宋体"/>
          <w:color w:val="auto"/>
          <w:szCs w:val="21"/>
          <w:highlight w:val="none"/>
        </w:rPr>
      </w:pPr>
      <w:r>
        <w:rPr>
          <w:rFonts w:hint="eastAsia" w:ascii="宋体" w:hAnsi="宋体"/>
          <w:color w:val="auto"/>
          <w:szCs w:val="21"/>
          <w:highlight w:val="none"/>
        </w:rPr>
        <w:t>委托单位（公章）：</w:t>
      </w:r>
    </w:p>
    <w:p>
      <w:pPr>
        <w:shd w:val="clear"/>
        <w:snapToGrid w:val="0"/>
        <w:ind w:firstLine="411" w:firstLineChars="196"/>
        <w:jc w:val="center"/>
        <w:rPr>
          <w:rFonts w:ascii="宋体"/>
          <w:b/>
          <w:color w:val="auto"/>
          <w:sz w:val="24"/>
          <w:highlight w:val="none"/>
        </w:rPr>
      </w:pPr>
      <w:r>
        <w:rPr>
          <w:rFonts w:ascii="宋体"/>
          <w:color w:val="auto"/>
          <w:highlight w:val="none"/>
        </w:rPr>
        <w:br w:type="page"/>
      </w:r>
    </w:p>
    <w:p>
      <w:pPr>
        <w:shd w:val="clear"/>
        <w:snapToGrid w:val="0"/>
        <w:jc w:val="center"/>
        <w:rPr>
          <w:rFonts w:ascii="宋体"/>
          <w:b/>
          <w:color w:val="auto"/>
          <w:highlight w:val="none"/>
        </w:rPr>
      </w:pPr>
      <w:r>
        <w:rPr>
          <w:rFonts w:hint="eastAsia" w:ascii="宋体" w:hAnsi="宋体"/>
          <w:b/>
          <w:color w:val="auto"/>
          <w:sz w:val="24"/>
          <w:highlight w:val="none"/>
        </w:rPr>
        <w:t>投标人类似项目业绩情况一览表格式：</w:t>
      </w:r>
    </w:p>
    <w:tbl>
      <w:tblPr>
        <w:tblStyle w:val="74"/>
        <w:tblW w:w="928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30" w:hRule="atLeast"/>
        </w:trPr>
        <w:tc>
          <w:tcPr>
            <w:tcW w:w="2107" w:type="dxa"/>
            <w:tcBorders>
              <w:top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采购</w:t>
            </w: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合同</w:t>
            </w: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金额</w:t>
            </w: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（万元）</w:t>
            </w:r>
          </w:p>
        </w:tc>
        <w:tc>
          <w:tcPr>
            <w:tcW w:w="1080" w:type="dxa"/>
            <w:tcBorders>
              <w:top w:val="single" w:color="auto" w:sz="4" w:space="0"/>
              <w:left w:val="single" w:color="auto" w:sz="4" w:space="0"/>
            </w:tcBorders>
          </w:tcPr>
          <w:p>
            <w:pPr>
              <w:shd w:val="clear"/>
              <w:snapToGrid w:val="0"/>
              <w:spacing w:line="420" w:lineRule="exact"/>
              <w:jc w:val="center"/>
              <w:rPr>
                <w:rFonts w:ascii="宋体"/>
                <w:color w:val="auto"/>
                <w:szCs w:val="21"/>
                <w:highlight w:val="none"/>
              </w:rPr>
            </w:pPr>
          </w:p>
          <w:p>
            <w:pPr>
              <w:shd w:val="clear"/>
              <w:snapToGrid w:val="0"/>
              <w:spacing w:line="420" w:lineRule="exact"/>
              <w:jc w:val="center"/>
              <w:rPr>
                <w:rFonts w:ascii="宋体"/>
                <w:color w:val="auto"/>
                <w:szCs w:val="21"/>
                <w:highlight w:val="none"/>
              </w:rPr>
            </w:pPr>
          </w:p>
          <w:p>
            <w:pPr>
              <w:shd w:val="clear"/>
              <w:snapToGrid w:val="0"/>
              <w:spacing w:line="420" w:lineRule="exact"/>
              <w:jc w:val="center"/>
              <w:rPr>
                <w:rFonts w:ascii="宋体"/>
                <w:color w:val="auto"/>
                <w:szCs w:val="21"/>
                <w:highlight w:val="none"/>
              </w:rPr>
            </w:pPr>
            <w:r>
              <w:rPr>
                <w:rFonts w:hint="eastAsia" w:ascii="宋体" w:hAnsi="宋体"/>
                <w:color w:val="auto"/>
                <w:szCs w:val="21"/>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107" w:type="dxa"/>
            <w:tcBorders>
              <w:top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spacing w:line="420" w:lineRule="exact"/>
              <w:jc w:val="left"/>
              <w:rPr>
                <w:rFonts w:ascii="宋体"/>
                <w:color w:val="auto"/>
                <w:szCs w:val="21"/>
                <w:highlight w:val="none"/>
              </w:rPr>
            </w:pPr>
          </w:p>
        </w:tc>
        <w:tc>
          <w:tcPr>
            <w:tcW w:w="1080" w:type="dxa"/>
            <w:tcBorders>
              <w:top w:val="single" w:color="auto" w:sz="4" w:space="0"/>
              <w:left w:val="single" w:color="auto" w:sz="4" w:space="0"/>
              <w:bottom w:val="single" w:color="auto" w:sz="4" w:space="0"/>
            </w:tcBorders>
          </w:tcPr>
          <w:p>
            <w:pPr>
              <w:shd w:val="clear"/>
              <w:snapToGrid w:val="0"/>
              <w:spacing w:line="420" w:lineRule="exact"/>
              <w:jc w:val="left"/>
              <w:rPr>
                <w:rFonts w:ascii="宋体"/>
                <w:color w:val="auto"/>
                <w:szCs w:val="21"/>
                <w:highlight w:val="none"/>
              </w:rPr>
            </w:pPr>
          </w:p>
        </w:tc>
      </w:tr>
    </w:tbl>
    <w:p>
      <w:pPr>
        <w:shd w:val="clear"/>
        <w:snapToGrid w:val="0"/>
        <w:spacing w:line="420" w:lineRule="exact"/>
        <w:rPr>
          <w:rFonts w:ascii="宋体"/>
          <w:color w:val="auto"/>
          <w:szCs w:val="21"/>
          <w:highlight w:val="none"/>
        </w:rPr>
      </w:pPr>
      <w:r>
        <w:rPr>
          <w:rFonts w:hint="eastAsia" w:ascii="宋体" w:hAnsi="宋体"/>
          <w:color w:val="auto"/>
          <w:szCs w:val="21"/>
          <w:highlight w:val="none"/>
        </w:rPr>
        <w:t>附：销售合同等其他证明复印件</w:t>
      </w:r>
    </w:p>
    <w:p>
      <w:pPr>
        <w:shd w:val="clear"/>
        <w:snapToGrid w:val="0"/>
        <w:spacing w:line="420" w:lineRule="exact"/>
        <w:rPr>
          <w:rFonts w:ascii="宋体"/>
          <w:color w:val="auto"/>
          <w:spacing w:val="20"/>
          <w:szCs w:val="21"/>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rPr>
          <w:rFonts w:ascii="宋体"/>
          <w:color w:val="auto"/>
          <w:spacing w:val="20"/>
          <w:sz w:val="24"/>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jc w:val="center"/>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hd w:val="clear"/>
        <w:jc w:val="center"/>
        <w:rPr>
          <w:rFonts w:ascii="宋体"/>
          <w:b/>
          <w:color w:val="auto"/>
          <w:sz w:val="28"/>
          <w:szCs w:val="28"/>
          <w:highlight w:val="none"/>
        </w:rPr>
      </w:pPr>
      <w:r>
        <w:rPr>
          <w:rFonts w:ascii="宋体"/>
          <w:b/>
          <w:color w:val="auto"/>
          <w:sz w:val="24"/>
          <w:highlight w:val="none"/>
        </w:rPr>
        <w:br w:type="page"/>
      </w:r>
      <w:r>
        <w:rPr>
          <w:rFonts w:hint="eastAsia" w:ascii="宋体" w:hAnsi="宋体"/>
          <w:b/>
          <w:color w:val="auto"/>
          <w:sz w:val="28"/>
          <w:szCs w:val="28"/>
          <w:highlight w:val="none"/>
        </w:rPr>
        <w:t>技术响应表</w:t>
      </w:r>
    </w:p>
    <w:p>
      <w:pPr>
        <w:shd w:val="clear"/>
        <w:spacing w:line="420" w:lineRule="exact"/>
        <w:rPr>
          <w:rFonts w:ascii="宋体"/>
          <w:color w:val="auto"/>
          <w:szCs w:val="21"/>
          <w:highlight w:val="none"/>
        </w:rPr>
      </w:pPr>
    </w:p>
    <w:tbl>
      <w:tblPr>
        <w:tblStyle w:val="74"/>
        <w:tblW w:w="97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3917"/>
        <w:gridCol w:w="252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hd w:val="clear"/>
              <w:spacing w:line="420" w:lineRule="exact"/>
              <w:jc w:val="center"/>
              <w:rPr>
                <w:rFonts w:ascii="宋体"/>
                <w:b/>
                <w:color w:val="auto"/>
                <w:szCs w:val="21"/>
                <w:highlight w:val="none"/>
              </w:rPr>
            </w:pPr>
            <w:r>
              <w:rPr>
                <w:rFonts w:hint="eastAsia" w:ascii="宋体" w:hAnsi="宋体"/>
                <w:b/>
                <w:color w:val="auto"/>
                <w:szCs w:val="21"/>
                <w:highlight w:val="none"/>
              </w:rPr>
              <w:t>序号</w:t>
            </w:r>
          </w:p>
        </w:tc>
        <w:tc>
          <w:tcPr>
            <w:tcW w:w="1276" w:type="dxa"/>
            <w:vAlign w:val="center"/>
          </w:tcPr>
          <w:p>
            <w:pPr>
              <w:shd w:val="clear"/>
              <w:spacing w:line="420" w:lineRule="exact"/>
              <w:jc w:val="center"/>
              <w:rPr>
                <w:rFonts w:ascii="宋体"/>
                <w:b/>
                <w:color w:val="auto"/>
                <w:szCs w:val="21"/>
                <w:highlight w:val="none"/>
              </w:rPr>
            </w:pPr>
            <w:r>
              <w:rPr>
                <w:rFonts w:hint="eastAsia" w:ascii="宋体" w:hAnsi="宋体"/>
                <w:b/>
                <w:color w:val="auto"/>
                <w:szCs w:val="21"/>
                <w:highlight w:val="none"/>
              </w:rPr>
              <w:t>货物名称</w:t>
            </w:r>
          </w:p>
        </w:tc>
        <w:tc>
          <w:tcPr>
            <w:tcW w:w="3917" w:type="dxa"/>
            <w:vAlign w:val="center"/>
          </w:tcPr>
          <w:p>
            <w:pPr>
              <w:shd w:val="clear"/>
              <w:spacing w:line="420" w:lineRule="exact"/>
              <w:jc w:val="center"/>
              <w:rPr>
                <w:rFonts w:ascii="宋体" w:hAnsi="宋体"/>
                <w:b/>
                <w:color w:val="auto"/>
                <w:szCs w:val="21"/>
                <w:highlight w:val="none"/>
              </w:rPr>
            </w:pPr>
            <w:r>
              <w:rPr>
                <w:rFonts w:hint="eastAsia" w:ascii="宋体" w:hAnsi="宋体"/>
                <w:b/>
                <w:color w:val="auto"/>
                <w:szCs w:val="21"/>
                <w:highlight w:val="none"/>
              </w:rPr>
              <w:t>招标文件要求</w:t>
            </w:r>
          </w:p>
          <w:p>
            <w:pPr>
              <w:shd w:val="clear"/>
              <w:spacing w:line="420" w:lineRule="exact"/>
              <w:jc w:val="center"/>
              <w:rPr>
                <w:rFonts w:ascii="宋体"/>
                <w:b/>
                <w:color w:val="auto"/>
                <w:szCs w:val="21"/>
                <w:highlight w:val="none"/>
              </w:rPr>
            </w:pPr>
            <w:r>
              <w:rPr>
                <w:rFonts w:hint="eastAsia" w:ascii="宋体" w:hAnsi="宋体"/>
                <w:color w:val="auto"/>
                <w:szCs w:val="21"/>
                <w:highlight w:val="none"/>
              </w:rPr>
              <w:t>（以第二章《采购需求一览表》货物技术参数及性能（配置）要求内容为准）</w:t>
            </w:r>
          </w:p>
        </w:tc>
        <w:tc>
          <w:tcPr>
            <w:tcW w:w="2520" w:type="dxa"/>
            <w:vAlign w:val="center"/>
          </w:tcPr>
          <w:p>
            <w:pPr>
              <w:shd w:val="clear"/>
              <w:spacing w:line="420" w:lineRule="exact"/>
              <w:jc w:val="center"/>
              <w:rPr>
                <w:rFonts w:ascii="宋体"/>
                <w:b/>
                <w:color w:val="auto"/>
                <w:szCs w:val="21"/>
                <w:highlight w:val="none"/>
              </w:rPr>
            </w:pPr>
            <w:r>
              <w:rPr>
                <w:rFonts w:hint="eastAsia" w:ascii="宋体" w:hAnsi="宋体"/>
                <w:b/>
                <w:color w:val="auto"/>
                <w:szCs w:val="21"/>
                <w:highlight w:val="none"/>
              </w:rPr>
              <w:t>投标文件响应</w:t>
            </w:r>
          </w:p>
        </w:tc>
        <w:tc>
          <w:tcPr>
            <w:tcW w:w="1359" w:type="dxa"/>
            <w:vAlign w:val="center"/>
          </w:tcPr>
          <w:p>
            <w:pPr>
              <w:shd w:val="clear"/>
              <w:spacing w:line="420" w:lineRule="exact"/>
              <w:jc w:val="center"/>
              <w:rPr>
                <w:rFonts w:ascii="宋体"/>
                <w:b/>
                <w:color w:val="auto"/>
                <w:szCs w:val="21"/>
                <w:highlight w:val="none"/>
              </w:rPr>
            </w:pPr>
            <w:bookmarkStart w:id="61" w:name="_Toc254970560"/>
            <w:bookmarkStart w:id="62" w:name="_Toc254970701"/>
            <w:r>
              <w:rPr>
                <w:rFonts w:hint="eastAsia" w:ascii="宋体" w:hAnsi="宋体"/>
                <w:b/>
                <w:color w:val="auto"/>
                <w:szCs w:val="21"/>
                <w:highlight w:val="none"/>
              </w:rPr>
              <w:t>偏离情况</w:t>
            </w:r>
            <w:bookmarkEnd w:id="61"/>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b/>
                <w:bCs/>
                <w:color w:val="auto"/>
                <w:kern w:val="0"/>
                <w:szCs w:val="21"/>
                <w:highlight w:val="none"/>
              </w:rPr>
            </w:pPr>
          </w:p>
        </w:tc>
        <w:tc>
          <w:tcPr>
            <w:tcW w:w="1276" w:type="dxa"/>
            <w:vAlign w:val="center"/>
          </w:tcPr>
          <w:p>
            <w:pPr>
              <w:widowControl/>
              <w:shd w:val="clear"/>
              <w:spacing w:line="420" w:lineRule="exact"/>
              <w:jc w:val="left"/>
              <w:rPr>
                <w:rFonts w:ascii="宋体" w:cs="宋体"/>
                <w:b/>
                <w:bCs/>
                <w:color w:val="auto"/>
                <w:kern w:val="0"/>
                <w:szCs w:val="21"/>
                <w:highlight w:val="none"/>
              </w:rPr>
            </w:pPr>
          </w:p>
        </w:tc>
        <w:tc>
          <w:tcPr>
            <w:tcW w:w="3917" w:type="dxa"/>
            <w:vAlign w:val="center"/>
          </w:tcPr>
          <w:p>
            <w:pPr>
              <w:widowControl/>
              <w:shd w:val="clear"/>
              <w:spacing w:line="420" w:lineRule="exact"/>
              <w:jc w:val="left"/>
              <w:rPr>
                <w:rFonts w:ascii="宋体" w:cs="宋体"/>
                <w:b/>
                <w:bCs/>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olor w:val="auto"/>
                <w:kern w:val="0"/>
                <w:szCs w:val="21"/>
                <w:highlight w:val="none"/>
              </w:rPr>
            </w:pPr>
          </w:p>
        </w:tc>
        <w:tc>
          <w:tcPr>
            <w:tcW w:w="1276" w:type="dxa"/>
            <w:vAlign w:val="center"/>
          </w:tcPr>
          <w:p>
            <w:pPr>
              <w:widowControl/>
              <w:shd w:val="clear"/>
              <w:spacing w:line="420" w:lineRule="exact"/>
              <w:jc w:val="left"/>
              <w:rPr>
                <w:rFonts w:ascii="宋体"/>
                <w:color w:val="auto"/>
                <w:kern w:val="0"/>
                <w:szCs w:val="21"/>
                <w:highlight w:val="none"/>
              </w:rPr>
            </w:pPr>
          </w:p>
        </w:tc>
        <w:tc>
          <w:tcPr>
            <w:tcW w:w="3917" w:type="dxa"/>
            <w:vAlign w:val="center"/>
          </w:tcPr>
          <w:p>
            <w:pPr>
              <w:widowControl/>
              <w:shd w:val="clear"/>
              <w:spacing w:line="420" w:lineRule="exact"/>
              <w:jc w:val="left"/>
              <w:rPr>
                <w:rFonts w:ascii="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adjustRightInd w:val="0"/>
              <w:snapToGrid w:val="0"/>
              <w:spacing w:line="420" w:lineRule="exact"/>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hd w:val="clear"/>
              <w:spacing w:line="420" w:lineRule="exact"/>
              <w:jc w:val="left"/>
              <w:rPr>
                <w:rFonts w:ascii="宋体" w:cs="宋体"/>
                <w:color w:val="auto"/>
                <w:kern w:val="0"/>
                <w:szCs w:val="21"/>
                <w:highlight w:val="none"/>
              </w:rPr>
            </w:pPr>
          </w:p>
        </w:tc>
        <w:tc>
          <w:tcPr>
            <w:tcW w:w="1276" w:type="dxa"/>
            <w:vAlign w:val="center"/>
          </w:tcPr>
          <w:p>
            <w:pPr>
              <w:widowControl/>
              <w:shd w:val="clear"/>
              <w:spacing w:line="420" w:lineRule="exact"/>
              <w:jc w:val="left"/>
              <w:rPr>
                <w:rFonts w:ascii="宋体" w:cs="宋体"/>
                <w:color w:val="auto"/>
                <w:kern w:val="0"/>
                <w:szCs w:val="21"/>
                <w:highlight w:val="none"/>
              </w:rPr>
            </w:pPr>
          </w:p>
        </w:tc>
        <w:tc>
          <w:tcPr>
            <w:tcW w:w="3917" w:type="dxa"/>
            <w:vAlign w:val="center"/>
          </w:tcPr>
          <w:p>
            <w:pPr>
              <w:widowControl/>
              <w:shd w:val="clear"/>
              <w:spacing w:line="420" w:lineRule="exact"/>
              <w:jc w:val="left"/>
              <w:rPr>
                <w:rFonts w:ascii="宋体" w:cs="宋体"/>
                <w:color w:val="auto"/>
                <w:kern w:val="0"/>
                <w:szCs w:val="21"/>
                <w:highlight w:val="none"/>
              </w:rPr>
            </w:pPr>
          </w:p>
        </w:tc>
        <w:tc>
          <w:tcPr>
            <w:tcW w:w="2520" w:type="dxa"/>
          </w:tcPr>
          <w:p>
            <w:pPr>
              <w:shd w:val="clear"/>
              <w:spacing w:line="420" w:lineRule="exact"/>
              <w:jc w:val="center"/>
              <w:rPr>
                <w:rFonts w:ascii="宋体"/>
                <w:b/>
                <w:color w:val="auto"/>
                <w:szCs w:val="21"/>
                <w:highlight w:val="none"/>
              </w:rPr>
            </w:pPr>
          </w:p>
        </w:tc>
        <w:tc>
          <w:tcPr>
            <w:tcW w:w="1359" w:type="dxa"/>
          </w:tcPr>
          <w:p>
            <w:pPr>
              <w:shd w:val="clear"/>
              <w:spacing w:line="420" w:lineRule="exact"/>
              <w:jc w:val="center"/>
              <w:rPr>
                <w:rFonts w:ascii="宋体"/>
                <w:b/>
                <w:color w:val="auto"/>
                <w:szCs w:val="21"/>
                <w:highlight w:val="none"/>
              </w:rPr>
            </w:pPr>
          </w:p>
        </w:tc>
      </w:tr>
    </w:tbl>
    <w:p>
      <w:pPr>
        <w:pStyle w:val="23"/>
        <w:shd w:val="clear"/>
        <w:spacing w:line="420" w:lineRule="exact"/>
        <w:rPr>
          <w:rFonts w:ascii="宋体"/>
          <w:color w:val="auto"/>
          <w:spacing w:val="20"/>
          <w:sz w:val="21"/>
          <w:szCs w:val="21"/>
          <w:highlight w:val="none"/>
        </w:rPr>
      </w:pPr>
      <w:r>
        <w:rPr>
          <w:rFonts w:hint="eastAsia" w:ascii="宋体" w:hAnsi="宋体"/>
          <w:color w:val="auto"/>
          <w:sz w:val="21"/>
          <w:szCs w:val="21"/>
          <w:highlight w:val="none"/>
        </w:rPr>
        <w:t>注：</w:t>
      </w:r>
      <w:r>
        <w:rPr>
          <w:rFonts w:ascii="宋体" w:hAnsi="宋体"/>
          <w:color w:val="auto"/>
          <w:sz w:val="21"/>
          <w:szCs w:val="21"/>
          <w:highlight w:val="none"/>
        </w:rPr>
        <w:t>1</w:t>
      </w:r>
      <w:r>
        <w:rPr>
          <w:rFonts w:hint="eastAsia" w:ascii="宋体" w:hAnsi="宋体"/>
          <w:color w:val="auto"/>
          <w:sz w:val="21"/>
          <w:szCs w:val="21"/>
          <w:highlight w:val="none"/>
        </w:rPr>
        <w:t>、投标人应根据投标货物的性能指标、对照招标文件设备的性能指标中的要求在“偏离情况”栏注明“正偏离”、“负偏离”或“无偏离”。</w:t>
      </w:r>
    </w:p>
    <w:p>
      <w:pPr>
        <w:shd w:val="clear"/>
        <w:spacing w:line="420" w:lineRule="exact"/>
        <w:ind w:left="8" w:leftChars="4" w:firstLine="369" w:firstLineChars="147"/>
        <w:rPr>
          <w:rFonts w:ascii="宋体"/>
          <w:b/>
          <w:color w:val="auto"/>
          <w:szCs w:val="21"/>
          <w:highlight w:val="none"/>
        </w:rPr>
      </w:pPr>
      <w:r>
        <w:rPr>
          <w:rFonts w:ascii="宋体" w:hAnsi="宋体"/>
          <w:b/>
          <w:color w:val="auto"/>
          <w:spacing w:val="20"/>
          <w:szCs w:val="21"/>
          <w:highlight w:val="none"/>
        </w:rPr>
        <w:t>2</w:t>
      </w:r>
      <w:r>
        <w:rPr>
          <w:rFonts w:hint="eastAsia" w:ascii="宋体" w:hAnsi="宋体"/>
          <w:b/>
          <w:color w:val="auto"/>
          <w:spacing w:val="20"/>
          <w:szCs w:val="21"/>
          <w:highlight w:val="none"/>
        </w:rPr>
        <w:t>、</w:t>
      </w:r>
      <w:r>
        <w:rPr>
          <w:rFonts w:hint="eastAsia" w:ascii="宋体" w:hAnsi="宋体"/>
          <w:b/>
          <w:color w:val="auto"/>
          <w:szCs w:val="21"/>
          <w:highlight w:val="none"/>
        </w:rPr>
        <w:t>投标人应将投标货物的性能指标中与招标文件要求的性能指标有偏离的地方用明显标识，以便于评委评审，否则如给评审造成困难，其可能导致评委作出不利于投标人的评价，是投标人的责任。</w:t>
      </w:r>
    </w:p>
    <w:p>
      <w:pPr>
        <w:shd w:val="clear"/>
        <w:snapToGrid w:val="0"/>
        <w:spacing w:line="420" w:lineRule="exact"/>
        <w:rPr>
          <w:rFonts w:ascii="宋体"/>
          <w:color w:val="auto"/>
          <w:szCs w:val="21"/>
          <w:highlight w:val="none"/>
        </w:rPr>
      </w:pP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法定代表人或授权代表签字</w:t>
      </w:r>
      <w:r>
        <w:rPr>
          <w:rFonts w:ascii="宋体" w:hAnsi="宋体"/>
          <w:color w:val="auto"/>
          <w:szCs w:val="21"/>
          <w:highlight w:val="none"/>
        </w:rPr>
        <w:t xml:space="preserve">:__________                      </w:t>
      </w:r>
    </w:p>
    <w:p>
      <w:pPr>
        <w:shd w:val="clear"/>
        <w:snapToGrid w:val="0"/>
        <w:spacing w:line="400" w:lineRule="exact"/>
        <w:ind w:firstLine="3360" w:firstLineChars="1600"/>
        <w:rPr>
          <w:rFonts w:ascii="宋体"/>
          <w:color w:val="auto"/>
          <w:szCs w:val="21"/>
          <w:highlight w:val="none"/>
          <w:u w:val="single"/>
        </w:rPr>
      </w:pPr>
      <w:r>
        <w:rPr>
          <w:rFonts w:hint="eastAsia" w:ascii="宋体" w:hAnsi="宋体"/>
          <w:color w:val="auto"/>
          <w:szCs w:val="21"/>
          <w:highlight w:val="none"/>
        </w:rPr>
        <w:t>投标人盖章：</w:t>
      </w:r>
      <w:r>
        <w:rPr>
          <w:rFonts w:hint="eastAsia" w:ascii="宋体" w:hAnsi="宋体"/>
          <w:color w:val="auto"/>
          <w:szCs w:val="21"/>
          <w:highlight w:val="none"/>
          <w:u w:val="single"/>
        </w:rPr>
        <w:t xml:space="preserve">               </w:t>
      </w:r>
    </w:p>
    <w:p>
      <w:pPr>
        <w:shd w:val="clear"/>
        <w:snapToGrid w:val="0"/>
        <w:spacing w:line="400" w:lineRule="exact"/>
        <w:ind w:firstLine="3360" w:firstLineChars="1600"/>
        <w:rPr>
          <w:rFonts w:asci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rPr>
        <w:t>:_____</w:t>
      </w:r>
      <w:r>
        <w:rPr>
          <w:rFonts w:hint="eastAsia" w:ascii="宋体" w:hAnsi="宋体"/>
          <w:color w:val="auto"/>
          <w:szCs w:val="21"/>
          <w:highlight w:val="none"/>
        </w:rPr>
        <w:t>年</w:t>
      </w:r>
      <w:r>
        <w:rPr>
          <w:rFonts w:ascii="宋体" w:hAnsi="宋体"/>
          <w:color w:val="auto"/>
          <w:szCs w:val="21"/>
          <w:highlight w:val="none"/>
        </w:rPr>
        <w:t>___</w:t>
      </w:r>
      <w:r>
        <w:rPr>
          <w:rFonts w:hint="eastAsia" w:ascii="宋体" w:hAnsi="宋体"/>
          <w:color w:val="auto"/>
          <w:szCs w:val="21"/>
          <w:highlight w:val="none"/>
        </w:rPr>
        <w:t>月</w:t>
      </w:r>
      <w:r>
        <w:rPr>
          <w:rFonts w:ascii="宋体" w:hAnsi="宋体"/>
          <w:color w:val="auto"/>
          <w:szCs w:val="21"/>
          <w:highlight w:val="none"/>
        </w:rPr>
        <w:t>___</w:t>
      </w:r>
      <w:r>
        <w:rPr>
          <w:rFonts w:hint="eastAsia" w:ascii="宋体" w:hAnsi="宋体"/>
          <w:color w:val="auto"/>
          <w:szCs w:val="21"/>
          <w:highlight w:val="none"/>
        </w:rPr>
        <w:t>日</w:t>
      </w:r>
    </w:p>
    <w:p>
      <w:pPr>
        <w:shd w:val="clear"/>
        <w:spacing w:line="420" w:lineRule="exact"/>
        <w:jc w:val="center"/>
        <w:rPr>
          <w:rFonts w:ascii="宋体"/>
          <w:color w:val="auto"/>
          <w:szCs w:val="21"/>
          <w:highlight w:val="none"/>
        </w:rPr>
      </w:pPr>
    </w:p>
    <w:p>
      <w:pPr>
        <w:shd w:val="clear"/>
        <w:spacing w:line="420" w:lineRule="exact"/>
        <w:jc w:val="center"/>
        <w:rPr>
          <w:rFonts w:ascii="宋体" w:cs="宋体"/>
          <w:b/>
          <w:color w:val="auto"/>
          <w:kern w:val="0"/>
          <w:sz w:val="28"/>
          <w:szCs w:val="28"/>
          <w:highlight w:val="none"/>
        </w:rPr>
      </w:pPr>
      <w:r>
        <w:rPr>
          <w:rFonts w:ascii="宋体"/>
          <w:color w:val="auto"/>
          <w:szCs w:val="21"/>
          <w:highlight w:val="none"/>
        </w:rPr>
        <w:br w:type="page"/>
      </w:r>
      <w:r>
        <w:rPr>
          <w:rFonts w:hint="eastAsia" w:ascii="宋体" w:hAnsi="宋体" w:cs="宋体"/>
          <w:b/>
          <w:color w:val="auto"/>
          <w:kern w:val="0"/>
          <w:sz w:val="28"/>
          <w:szCs w:val="28"/>
          <w:highlight w:val="none"/>
        </w:rPr>
        <w:t>中小企业声明函</w:t>
      </w:r>
    </w:p>
    <w:p>
      <w:pPr>
        <w:widowControl/>
        <w:shd w:val="clear"/>
        <w:spacing w:line="360" w:lineRule="auto"/>
        <w:ind w:firstLine="480"/>
        <w:jc w:val="left"/>
        <w:rPr>
          <w:rFonts w:ascii="宋体" w:cs="宋体"/>
          <w:color w:val="auto"/>
          <w:kern w:val="0"/>
          <w:sz w:val="24"/>
          <w:highlight w:val="none"/>
        </w:rPr>
      </w:pPr>
    </w:p>
    <w:p>
      <w:pPr>
        <w:widowControl/>
        <w:shd w:val="clear"/>
        <w:spacing w:line="460" w:lineRule="exact"/>
        <w:ind w:firstLine="482"/>
        <w:jc w:val="left"/>
        <w:rPr>
          <w:rFonts w:ascii="宋体"/>
          <w:color w:val="auto"/>
          <w:spacing w:val="6"/>
          <w:szCs w:val="21"/>
          <w:highlight w:val="none"/>
        </w:rPr>
      </w:pPr>
      <w:r>
        <w:rPr>
          <w:rFonts w:hint="eastAsia" w:ascii="宋体" w:hAnsi="宋体"/>
          <w:color w:val="auto"/>
          <w:spacing w:val="6"/>
          <w:szCs w:val="21"/>
          <w:highlight w:val="none"/>
        </w:rPr>
        <w:t>本公司郑重声明，根据《政府采购促进中小企业发展暂行办法》（财库</w:t>
      </w:r>
      <w:r>
        <w:rPr>
          <w:rFonts w:ascii="宋体" w:hAnsi="宋体"/>
          <w:color w:val="auto"/>
          <w:spacing w:val="6"/>
          <w:szCs w:val="21"/>
          <w:highlight w:val="none"/>
        </w:rPr>
        <w:t>[2011]181</w:t>
      </w:r>
      <w:r>
        <w:rPr>
          <w:rFonts w:hint="eastAsia" w:ascii="宋体" w:hAnsi="宋体"/>
          <w:color w:val="auto"/>
          <w:spacing w:val="6"/>
          <w:szCs w:val="21"/>
          <w:highlight w:val="none"/>
        </w:rPr>
        <w:t>号）的规定，本公司为</w:t>
      </w:r>
      <w:r>
        <w:rPr>
          <w:rFonts w:ascii="宋体" w:hAnsi="宋体"/>
          <w:color w:val="auto"/>
          <w:spacing w:val="6"/>
          <w:szCs w:val="21"/>
          <w:highlight w:val="none"/>
        </w:rPr>
        <w:t>______</w:t>
      </w:r>
      <w:r>
        <w:rPr>
          <w:rFonts w:hint="eastAsia" w:ascii="宋体" w:hAnsi="宋体"/>
          <w:color w:val="auto"/>
          <w:spacing w:val="6"/>
          <w:szCs w:val="21"/>
          <w:highlight w:val="none"/>
        </w:rPr>
        <w:t>（请填写：中型、小型、微型）企业。即，本公司同时满足以下条件：</w:t>
      </w:r>
    </w:p>
    <w:p>
      <w:pPr>
        <w:widowControl/>
        <w:shd w:val="clear"/>
        <w:spacing w:line="460" w:lineRule="exact"/>
        <w:ind w:firstLine="482"/>
        <w:jc w:val="left"/>
        <w:rPr>
          <w:rFonts w:ascii="宋体"/>
          <w:color w:val="auto"/>
          <w:spacing w:val="6"/>
          <w:szCs w:val="21"/>
          <w:highlight w:val="none"/>
        </w:rPr>
      </w:pPr>
      <w:r>
        <w:rPr>
          <w:rFonts w:ascii="宋体" w:hAnsi="宋体"/>
          <w:color w:val="auto"/>
          <w:spacing w:val="6"/>
          <w:szCs w:val="21"/>
          <w:highlight w:val="none"/>
        </w:rPr>
        <w:t>1.</w:t>
      </w:r>
      <w:r>
        <w:rPr>
          <w:rFonts w:hint="eastAsia" w:ascii="宋体" w:hAnsi="宋体"/>
          <w:color w:val="auto"/>
          <w:spacing w:val="6"/>
          <w:szCs w:val="21"/>
          <w:highlight w:val="none"/>
        </w:rPr>
        <w:t>根据《工业和信息化部、国家统计局、国家发展和改革委员会、财政部关于印发中小企业划型标准规定的通知》（工信部联企业</w:t>
      </w:r>
      <w:r>
        <w:rPr>
          <w:rFonts w:ascii="宋体" w:hAnsi="宋体"/>
          <w:color w:val="auto"/>
          <w:spacing w:val="6"/>
          <w:szCs w:val="21"/>
          <w:highlight w:val="none"/>
        </w:rPr>
        <w:t>[2011]300</w:t>
      </w:r>
      <w:r>
        <w:rPr>
          <w:rFonts w:hint="eastAsia" w:ascii="宋体" w:hAnsi="宋体"/>
          <w:color w:val="auto"/>
          <w:spacing w:val="6"/>
          <w:szCs w:val="21"/>
          <w:highlight w:val="none"/>
        </w:rPr>
        <w:t>号）规定的划分标准，本公司为</w:t>
      </w:r>
      <w:r>
        <w:rPr>
          <w:rFonts w:ascii="宋体" w:hAnsi="宋体"/>
          <w:color w:val="auto"/>
          <w:spacing w:val="6"/>
          <w:szCs w:val="21"/>
          <w:highlight w:val="none"/>
        </w:rPr>
        <w:t>______</w:t>
      </w:r>
      <w:r>
        <w:rPr>
          <w:rFonts w:hint="eastAsia" w:ascii="宋体" w:hAnsi="宋体"/>
          <w:color w:val="auto"/>
          <w:spacing w:val="6"/>
          <w:szCs w:val="21"/>
          <w:highlight w:val="none"/>
        </w:rPr>
        <w:t>（请填写：中型、小型、微型）企业。</w:t>
      </w:r>
    </w:p>
    <w:p>
      <w:pPr>
        <w:widowControl/>
        <w:shd w:val="clear"/>
        <w:spacing w:line="460" w:lineRule="exact"/>
        <w:ind w:firstLine="482"/>
        <w:jc w:val="left"/>
        <w:rPr>
          <w:rFonts w:ascii="宋体"/>
          <w:color w:val="auto"/>
          <w:spacing w:val="6"/>
          <w:szCs w:val="21"/>
          <w:highlight w:val="none"/>
        </w:rPr>
      </w:pPr>
      <w:r>
        <w:rPr>
          <w:rFonts w:ascii="宋体" w:hAnsi="宋体"/>
          <w:color w:val="auto"/>
          <w:spacing w:val="6"/>
          <w:szCs w:val="21"/>
          <w:highlight w:val="none"/>
        </w:rPr>
        <w:t>2.</w:t>
      </w:r>
      <w:r>
        <w:rPr>
          <w:rFonts w:hint="eastAsia" w:ascii="宋体" w:hAnsi="宋体"/>
          <w:color w:val="auto"/>
          <w:spacing w:val="6"/>
          <w:szCs w:val="21"/>
          <w:highlight w:val="none"/>
        </w:rPr>
        <w:t>本公司参加</w:t>
      </w:r>
      <w:r>
        <w:rPr>
          <w:rFonts w:ascii="宋体" w:hAnsi="宋体"/>
          <w:color w:val="auto"/>
          <w:spacing w:val="6"/>
          <w:szCs w:val="21"/>
          <w:highlight w:val="none"/>
        </w:rPr>
        <w:t>______</w:t>
      </w:r>
      <w:r>
        <w:rPr>
          <w:rFonts w:hint="eastAsia" w:ascii="宋体" w:hAnsi="宋体"/>
          <w:color w:val="auto"/>
          <w:spacing w:val="6"/>
          <w:szCs w:val="21"/>
          <w:highlight w:val="none"/>
        </w:rPr>
        <w:t>单位的</w:t>
      </w:r>
      <w:r>
        <w:rPr>
          <w:rFonts w:ascii="宋体" w:hAnsi="宋体"/>
          <w:color w:val="auto"/>
          <w:spacing w:val="6"/>
          <w:szCs w:val="21"/>
          <w:highlight w:val="none"/>
        </w:rPr>
        <w:t>______</w:t>
      </w:r>
      <w:r>
        <w:rPr>
          <w:rFonts w:hint="eastAsia" w:ascii="宋体" w:hAnsi="宋体"/>
          <w:color w:val="auto"/>
          <w:spacing w:val="6"/>
          <w:szCs w:val="21"/>
          <w:highlight w:val="none"/>
        </w:rPr>
        <w:t>项目采购活动提供本企业制造的货物，由本企业承担工程、提供服务，或者提供其他</w:t>
      </w:r>
      <w:r>
        <w:rPr>
          <w:rFonts w:ascii="宋体" w:hAnsi="宋体"/>
          <w:color w:val="auto"/>
          <w:spacing w:val="6"/>
          <w:szCs w:val="21"/>
          <w:highlight w:val="none"/>
        </w:rPr>
        <w:t>______</w:t>
      </w:r>
      <w:r>
        <w:rPr>
          <w:rFonts w:hint="eastAsia" w:ascii="宋体" w:hAnsi="宋体"/>
          <w:color w:val="auto"/>
          <w:spacing w:val="6"/>
          <w:szCs w:val="21"/>
          <w:highlight w:val="none"/>
        </w:rPr>
        <w:t>（请填写：中型、小型、微型）企业制造的货物。本条所称货物不包括使用大型企业注册商标的货物。</w:t>
      </w:r>
    </w:p>
    <w:p>
      <w:pPr>
        <w:widowControl/>
        <w:shd w:val="clear"/>
        <w:spacing w:line="460" w:lineRule="exact"/>
        <w:ind w:firstLine="482"/>
        <w:jc w:val="left"/>
        <w:rPr>
          <w:rFonts w:ascii="宋体"/>
          <w:color w:val="auto"/>
          <w:spacing w:val="6"/>
          <w:szCs w:val="21"/>
          <w:highlight w:val="none"/>
        </w:rPr>
      </w:pPr>
      <w:r>
        <w:rPr>
          <w:rFonts w:hint="eastAsia" w:ascii="宋体" w:hAnsi="宋体"/>
          <w:color w:val="auto"/>
          <w:spacing w:val="6"/>
          <w:szCs w:val="21"/>
          <w:highlight w:val="none"/>
        </w:rPr>
        <w:t>本公司对上述声明的真实性负责。如有虚假，将依法承担相应责任。</w:t>
      </w:r>
    </w:p>
    <w:p>
      <w:pPr>
        <w:widowControl/>
        <w:shd w:val="clear"/>
        <w:spacing w:line="460" w:lineRule="exact"/>
        <w:ind w:firstLine="482"/>
        <w:jc w:val="left"/>
        <w:rPr>
          <w:rFonts w:ascii="宋体"/>
          <w:color w:val="auto"/>
          <w:spacing w:val="6"/>
          <w:szCs w:val="21"/>
          <w:highlight w:val="none"/>
        </w:rPr>
      </w:pPr>
      <w:r>
        <w:rPr>
          <w:rFonts w:ascii="宋体"/>
          <w:color w:val="auto"/>
          <w:spacing w:val="6"/>
          <w:szCs w:val="21"/>
          <w:highlight w:val="none"/>
        </w:rPr>
        <w:t> </w:t>
      </w:r>
    </w:p>
    <w:p>
      <w:pPr>
        <w:widowControl/>
        <w:shd w:val="clear"/>
        <w:spacing w:line="460" w:lineRule="exact"/>
        <w:ind w:firstLine="482"/>
        <w:jc w:val="left"/>
        <w:rPr>
          <w:rFonts w:ascii="宋体"/>
          <w:color w:val="auto"/>
          <w:spacing w:val="6"/>
          <w:szCs w:val="21"/>
          <w:highlight w:val="none"/>
        </w:rPr>
      </w:pPr>
      <w:r>
        <w:rPr>
          <w:rFonts w:hint="eastAsia" w:ascii="宋体" w:hAnsi="宋体"/>
          <w:color w:val="auto"/>
          <w:spacing w:val="6"/>
          <w:szCs w:val="21"/>
          <w:highlight w:val="none"/>
        </w:rPr>
        <w:t>　　　　　　　　　　　　　　　　　　　　企业名称（盖章）：</w:t>
      </w:r>
    </w:p>
    <w:p>
      <w:pPr>
        <w:widowControl/>
        <w:shd w:val="clear"/>
        <w:spacing w:line="460" w:lineRule="exact"/>
        <w:ind w:firstLine="482"/>
        <w:jc w:val="left"/>
        <w:rPr>
          <w:rFonts w:ascii="宋体"/>
          <w:color w:val="auto"/>
          <w:spacing w:val="6"/>
          <w:szCs w:val="21"/>
          <w:highlight w:val="none"/>
        </w:rPr>
      </w:pPr>
      <w:r>
        <w:rPr>
          <w:rFonts w:ascii="宋体"/>
          <w:color w:val="auto"/>
          <w:spacing w:val="6"/>
          <w:szCs w:val="21"/>
          <w:highlight w:val="none"/>
        </w:rPr>
        <w:t> </w:t>
      </w:r>
    </w:p>
    <w:p>
      <w:pPr>
        <w:widowControl/>
        <w:shd w:val="clear"/>
        <w:spacing w:line="460" w:lineRule="exact"/>
        <w:ind w:firstLine="482"/>
        <w:jc w:val="left"/>
        <w:rPr>
          <w:rFonts w:ascii="宋体"/>
          <w:color w:val="auto"/>
          <w:spacing w:val="6"/>
          <w:szCs w:val="21"/>
          <w:highlight w:val="none"/>
        </w:rPr>
      </w:pPr>
      <w:r>
        <w:rPr>
          <w:rFonts w:hint="eastAsia" w:ascii="宋体" w:hAnsi="宋体"/>
          <w:color w:val="auto"/>
          <w:spacing w:val="6"/>
          <w:szCs w:val="21"/>
          <w:highlight w:val="none"/>
        </w:rPr>
        <w:t>　　　　　　　　　　　　　　　　　　　　日期：</w:t>
      </w: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588" w:lineRule="exact"/>
        <w:jc w:val="center"/>
        <w:rPr>
          <w:rFonts w:ascii="宋体" w:cs="宋体"/>
          <w:b/>
          <w:color w:val="auto"/>
          <w:kern w:val="0"/>
          <w:sz w:val="28"/>
          <w:szCs w:val="28"/>
          <w:highlight w:val="none"/>
        </w:rPr>
      </w:pPr>
      <w:bookmarkStart w:id="63" w:name="OLE_LINK13"/>
      <w:bookmarkStart w:id="64" w:name="OLE_LINK14"/>
      <w:r>
        <w:rPr>
          <w:rFonts w:hint="eastAsia" w:ascii="宋体" w:hAnsi="宋体" w:cs="宋体"/>
          <w:b/>
          <w:color w:val="auto"/>
          <w:kern w:val="0"/>
          <w:sz w:val="28"/>
          <w:szCs w:val="28"/>
          <w:highlight w:val="none"/>
        </w:rPr>
        <w:t>残疾人福利性单位声明函</w:t>
      </w:r>
    </w:p>
    <w:bookmarkEnd w:id="63"/>
    <w:bookmarkEnd w:id="64"/>
    <w:p>
      <w:pPr>
        <w:shd w:val="clear"/>
        <w:spacing w:line="588" w:lineRule="exact"/>
        <w:rPr>
          <w:rFonts w:ascii="宋体"/>
          <w:b/>
          <w:color w:val="auto"/>
          <w:spacing w:val="6"/>
          <w:sz w:val="24"/>
          <w:highlight w:val="none"/>
        </w:rPr>
      </w:pPr>
    </w:p>
    <w:p>
      <w:pPr>
        <w:shd w:val="clear"/>
        <w:spacing w:line="500" w:lineRule="exact"/>
        <w:ind w:firstLine="444" w:firstLineChars="200"/>
        <w:rPr>
          <w:rFonts w:ascii="宋体"/>
          <w:color w:val="auto"/>
          <w:spacing w:val="6"/>
          <w:szCs w:val="21"/>
          <w:highlight w:val="none"/>
        </w:rPr>
      </w:pPr>
      <w:r>
        <w:rPr>
          <w:rFonts w:hint="eastAsia" w:ascii="宋体" w:hAnsi="宋体"/>
          <w:color w:val="auto"/>
          <w:spacing w:val="6"/>
          <w:szCs w:val="21"/>
          <w:highlight w:val="none"/>
        </w:rPr>
        <w:t>本单位郑重声明，根据《财政部民政部中国残疾人联合会关于促进残疾人就业政府采购政策的通知》（财库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 xml:space="preserve"> 141</w:t>
      </w:r>
      <w:r>
        <w:rPr>
          <w:rFonts w:hint="eastAsia" w:ascii="宋体" w:hAnsi="宋体"/>
          <w:color w:val="auto"/>
          <w:spacing w:val="6"/>
          <w:szCs w:val="21"/>
          <w:highlight w:val="none"/>
        </w:rPr>
        <w:t>号）的规定，本单位为符合条件的残疾人福利性单位，且本单位参加</w:t>
      </w:r>
      <w:r>
        <w:rPr>
          <w:rFonts w:ascii="宋体" w:hAnsi="宋体"/>
          <w:color w:val="auto"/>
          <w:spacing w:val="6"/>
          <w:szCs w:val="21"/>
          <w:highlight w:val="none"/>
        </w:rPr>
        <w:t>______</w:t>
      </w:r>
      <w:r>
        <w:rPr>
          <w:rFonts w:hint="eastAsia" w:ascii="宋体" w:hAnsi="宋体"/>
          <w:color w:val="auto"/>
          <w:spacing w:val="6"/>
          <w:szCs w:val="21"/>
          <w:highlight w:val="none"/>
        </w:rPr>
        <w:t>单位的</w:t>
      </w:r>
      <w:r>
        <w:rPr>
          <w:rFonts w:ascii="宋体" w:hAnsi="宋体"/>
          <w:color w:val="auto"/>
          <w:spacing w:val="6"/>
          <w:szCs w:val="21"/>
          <w:highlight w:val="none"/>
        </w:rPr>
        <w:t>______</w:t>
      </w:r>
      <w:r>
        <w:rPr>
          <w:rFonts w:hint="eastAsia" w:ascii="宋体" w:hAnsi="宋体"/>
          <w:color w:val="auto"/>
          <w:spacing w:val="6"/>
          <w:szCs w:val="21"/>
          <w:highlight w:val="none"/>
        </w:rPr>
        <w:t>项目采购活动提供本单位制造的货物（由本单位承担工程</w:t>
      </w:r>
      <w:r>
        <w:rPr>
          <w:rFonts w:ascii="宋体" w:hAnsi="宋体"/>
          <w:color w:val="auto"/>
          <w:spacing w:val="6"/>
          <w:szCs w:val="21"/>
          <w:highlight w:val="none"/>
        </w:rPr>
        <w:t>/</w:t>
      </w:r>
      <w:r>
        <w:rPr>
          <w:rFonts w:hint="eastAsia" w:ascii="宋体" w:hAnsi="宋体"/>
          <w:color w:val="auto"/>
          <w:spacing w:val="6"/>
          <w:szCs w:val="21"/>
          <w:highlight w:val="none"/>
        </w:rPr>
        <w:t>提供服务），或者提供其他残疾人福利性单位制造的货物（不包括使用非残疾人福利性单位注册商标的货物）。</w:t>
      </w:r>
    </w:p>
    <w:p>
      <w:pPr>
        <w:shd w:val="clear"/>
        <w:spacing w:line="500" w:lineRule="exact"/>
        <w:ind w:firstLine="444" w:firstLineChars="200"/>
        <w:rPr>
          <w:rFonts w:asci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hd w:val="clear"/>
        <w:spacing w:line="500" w:lineRule="exact"/>
        <w:ind w:firstLine="444" w:firstLineChars="200"/>
        <w:rPr>
          <w:rFonts w:ascii="宋体"/>
          <w:color w:val="auto"/>
          <w:spacing w:val="6"/>
          <w:szCs w:val="21"/>
          <w:highlight w:val="none"/>
        </w:rPr>
      </w:pPr>
    </w:p>
    <w:p>
      <w:pPr>
        <w:shd w:val="clear"/>
        <w:spacing w:line="500" w:lineRule="exact"/>
        <w:ind w:firstLine="444" w:firstLineChars="200"/>
        <w:rPr>
          <w:rFonts w:ascii="宋体"/>
          <w:color w:val="auto"/>
          <w:spacing w:val="6"/>
          <w:szCs w:val="21"/>
          <w:highlight w:val="none"/>
        </w:rPr>
      </w:pPr>
    </w:p>
    <w:p>
      <w:pPr>
        <w:shd w:val="clear"/>
        <w:tabs>
          <w:tab w:val="left" w:pos="4860"/>
        </w:tabs>
        <w:spacing w:line="500" w:lineRule="exact"/>
        <w:ind w:right="1560" w:firstLine="444" w:firstLineChars="200"/>
        <w:jc w:val="center"/>
        <w:rPr>
          <w:rFonts w:ascii="宋体"/>
          <w:color w:val="auto"/>
          <w:spacing w:val="6"/>
          <w:szCs w:val="21"/>
          <w:highlight w:val="none"/>
        </w:rPr>
      </w:pPr>
      <w:r>
        <w:rPr>
          <w:rFonts w:hint="eastAsia" w:ascii="宋体" w:hAnsi="宋体"/>
          <w:color w:val="auto"/>
          <w:spacing w:val="6"/>
          <w:szCs w:val="21"/>
          <w:highlight w:val="none"/>
        </w:rPr>
        <w:t>单位名称（盖章）：</w:t>
      </w:r>
    </w:p>
    <w:p>
      <w:pPr>
        <w:shd w:val="clear"/>
        <w:tabs>
          <w:tab w:val="left" w:pos="4860"/>
        </w:tabs>
        <w:spacing w:line="500" w:lineRule="exact"/>
        <w:ind w:right="1560" w:firstLine="444" w:firstLineChars="200"/>
        <w:jc w:val="center"/>
        <w:rPr>
          <w:rFonts w:ascii="宋体"/>
          <w:color w:val="auto"/>
          <w:spacing w:val="6"/>
          <w:szCs w:val="21"/>
          <w:highlight w:val="none"/>
        </w:rPr>
      </w:pPr>
      <w:r>
        <w:rPr>
          <w:rFonts w:hint="eastAsia" w:ascii="宋体" w:hAnsi="宋体"/>
          <w:color w:val="auto"/>
          <w:spacing w:val="6"/>
          <w:szCs w:val="21"/>
          <w:highlight w:val="none"/>
        </w:rPr>
        <w:t>日期：</w:t>
      </w: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588" w:lineRule="exact"/>
        <w:jc w:val="center"/>
        <w:rPr>
          <w:rFonts w:ascii="宋体" w:cs="宋体"/>
          <w:b/>
          <w:color w:val="auto"/>
          <w:kern w:val="0"/>
          <w:sz w:val="28"/>
          <w:szCs w:val="28"/>
          <w:highlight w:val="none"/>
        </w:rPr>
      </w:pPr>
      <w:r>
        <w:rPr>
          <w:rFonts w:hint="eastAsia" w:ascii="宋体" w:hAnsi="宋体" w:cs="宋体"/>
          <w:b/>
          <w:color w:val="auto"/>
          <w:kern w:val="0"/>
          <w:sz w:val="28"/>
          <w:szCs w:val="28"/>
          <w:highlight w:val="none"/>
        </w:rPr>
        <w:t>声明</w:t>
      </w:r>
    </w:p>
    <w:p>
      <w:pPr>
        <w:widowControl/>
        <w:shd w:val="clear"/>
        <w:spacing w:line="500" w:lineRule="exact"/>
        <w:jc w:val="left"/>
        <w:rPr>
          <w:rFonts w:ascii="宋体" w:cs="宋体"/>
          <w:color w:val="auto"/>
          <w:kern w:val="0"/>
          <w:szCs w:val="21"/>
          <w:highlight w:val="none"/>
        </w:rPr>
      </w:pPr>
    </w:p>
    <w:p>
      <w:pPr>
        <w:widowControl/>
        <w:shd w:val="clear"/>
        <w:spacing w:line="500" w:lineRule="exact"/>
        <w:jc w:val="left"/>
        <w:rPr>
          <w:rFonts w:ascii="宋体" w:cs="宋体"/>
          <w:color w:val="auto"/>
          <w:kern w:val="0"/>
          <w:szCs w:val="21"/>
          <w:highlight w:val="none"/>
        </w:rPr>
      </w:pPr>
      <w:r>
        <w:rPr>
          <w:rFonts w:hint="eastAsia" w:ascii="宋体" w:hAnsi="宋体" w:cs="宋体"/>
          <w:color w:val="auto"/>
          <w:kern w:val="0"/>
          <w:szCs w:val="21"/>
          <w:highlight w:val="none"/>
        </w:rPr>
        <w:t>致：广西建设工程机电设备招标中心有限公司</w:t>
      </w:r>
    </w:p>
    <w:p>
      <w:pPr>
        <w:widowControl/>
        <w:shd w:val="clear"/>
        <w:spacing w:line="500" w:lineRule="exact"/>
        <w:ind w:firstLine="480"/>
        <w:jc w:val="left"/>
        <w:rPr>
          <w:rFonts w:ascii="宋体" w:cs="宋体"/>
          <w:color w:val="auto"/>
          <w:kern w:val="0"/>
          <w:szCs w:val="21"/>
          <w:highlight w:val="none"/>
        </w:rPr>
      </w:pPr>
      <w:r>
        <w:rPr>
          <w:rFonts w:hint="eastAsia" w:ascii="宋体" w:hAnsi="宋体" w:cs="宋体"/>
          <w:color w:val="auto"/>
          <w:kern w:val="0"/>
          <w:szCs w:val="21"/>
          <w:highlight w:val="none"/>
        </w:rPr>
        <w:t>本公司诚挚参与贵中心组织招标的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项目，我公司通过以下账号向贵中心转入人民币：（大写）元（</w:t>
      </w:r>
      <w:r>
        <w:rPr>
          <w:rFonts w:ascii="宋体" w:cs="宋体"/>
          <w:color w:val="auto"/>
          <w:kern w:val="0"/>
          <w:szCs w:val="21"/>
          <w:highlight w:val="none"/>
        </w:rPr>
        <w:t>¥</w:t>
      </w:r>
      <w:r>
        <w:rPr>
          <w:rFonts w:hint="eastAsia" w:ascii="宋体" w:hAnsi="宋体" w:cs="宋体"/>
          <w:color w:val="auto"/>
          <w:kern w:val="0"/>
          <w:szCs w:val="21"/>
          <w:highlight w:val="none"/>
        </w:rPr>
        <w:t>）作为本项目的投标保证金；请贵中心在本项目招标工作结束后，按该帐号退还我公司的投标保证金，如因此导致出现的任何差错，均由本公司承担：</w:t>
      </w:r>
    </w:p>
    <w:p>
      <w:pPr>
        <w:widowControl/>
        <w:shd w:val="clear"/>
        <w:spacing w:line="500" w:lineRule="exact"/>
        <w:ind w:firstLine="480"/>
        <w:jc w:val="left"/>
        <w:rPr>
          <w:rFonts w:ascii="宋体" w:cs="宋体"/>
          <w:color w:val="auto"/>
          <w:kern w:val="0"/>
          <w:szCs w:val="21"/>
          <w:highlight w:val="none"/>
          <w:u w:val="single"/>
        </w:rPr>
      </w:pPr>
      <w:r>
        <w:rPr>
          <w:rFonts w:hint="eastAsia" w:ascii="宋体" w:hAnsi="宋体" w:cs="宋体"/>
          <w:color w:val="auto"/>
          <w:kern w:val="0"/>
          <w:szCs w:val="21"/>
          <w:highlight w:val="none"/>
        </w:rPr>
        <w:t>投标单位名称：</w:t>
      </w:r>
    </w:p>
    <w:p>
      <w:pPr>
        <w:widowControl/>
        <w:shd w:val="clear"/>
        <w:spacing w:line="500" w:lineRule="exact"/>
        <w:ind w:firstLine="480"/>
        <w:jc w:val="left"/>
        <w:rPr>
          <w:rFonts w:ascii="宋体" w:cs="宋体"/>
          <w:color w:val="auto"/>
          <w:kern w:val="0"/>
          <w:szCs w:val="21"/>
          <w:highlight w:val="none"/>
          <w:u w:val="single"/>
        </w:rPr>
      </w:pPr>
      <w:r>
        <w:rPr>
          <w:rFonts w:hint="eastAsia" w:ascii="宋体" w:hAnsi="宋体" w:cs="宋体"/>
          <w:color w:val="auto"/>
          <w:kern w:val="0"/>
          <w:szCs w:val="21"/>
          <w:highlight w:val="none"/>
        </w:rPr>
        <w:t>开户银行：</w:t>
      </w:r>
    </w:p>
    <w:p>
      <w:pPr>
        <w:widowControl/>
        <w:shd w:val="clear"/>
        <w:spacing w:line="500" w:lineRule="exact"/>
        <w:ind w:firstLine="480"/>
        <w:jc w:val="left"/>
        <w:rPr>
          <w:rFonts w:ascii="宋体" w:cs="宋体"/>
          <w:color w:val="auto"/>
          <w:kern w:val="0"/>
          <w:sz w:val="24"/>
          <w:highlight w:val="none"/>
        </w:rPr>
      </w:pPr>
      <w:r>
        <w:rPr>
          <w:rFonts w:hint="eastAsia" w:ascii="宋体" w:hAnsi="宋体" w:cs="宋体"/>
          <w:color w:val="auto"/>
          <w:kern w:val="0"/>
          <w:szCs w:val="21"/>
          <w:highlight w:val="none"/>
        </w:rPr>
        <w:t>帐号：</w:t>
      </w: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widowControl/>
        <w:shd w:val="clear"/>
        <w:spacing w:line="360" w:lineRule="auto"/>
        <w:ind w:firstLine="480"/>
        <w:jc w:val="left"/>
        <w:rPr>
          <w:rFonts w:ascii="宋体" w:cs="宋体"/>
          <w:color w:val="auto"/>
          <w:kern w:val="0"/>
          <w:sz w:val="24"/>
          <w:highlight w:val="none"/>
        </w:rPr>
      </w:pPr>
    </w:p>
    <w:p>
      <w:pPr>
        <w:shd w:val="clear"/>
        <w:tabs>
          <w:tab w:val="left" w:pos="7710"/>
        </w:tabs>
        <w:spacing w:line="360" w:lineRule="auto"/>
        <w:rPr>
          <w:color w:val="auto"/>
          <w:sz w:val="24"/>
          <w:highlight w:val="none"/>
        </w:rPr>
      </w:pPr>
      <w:r>
        <w:rPr>
          <w:rFonts w:hint="eastAsia"/>
          <w:color w:val="auto"/>
          <w:sz w:val="24"/>
          <w:highlight w:val="none"/>
        </w:rPr>
        <w:tab/>
      </w:r>
    </w:p>
    <w:p>
      <w:pPr>
        <w:shd w:val="clear"/>
        <w:snapToGrid w:val="0"/>
        <w:ind w:firstLine="2760" w:firstLineChars="1150"/>
        <w:rPr>
          <w:rFonts w:ascii="宋体"/>
          <w:color w:val="auto"/>
          <w:sz w:val="24"/>
          <w:highlight w:val="none"/>
        </w:rPr>
      </w:pPr>
      <w:r>
        <w:rPr>
          <w:rFonts w:hint="eastAsia" w:ascii="宋体" w:hAnsi="宋体"/>
          <w:color w:val="auto"/>
          <w:sz w:val="24"/>
          <w:highlight w:val="none"/>
        </w:rPr>
        <w:t>法定代表人或授权代表签字</w:t>
      </w:r>
      <w:r>
        <w:rPr>
          <w:rFonts w:ascii="宋体" w:hAnsi="宋体"/>
          <w:color w:val="auto"/>
          <w:sz w:val="24"/>
          <w:highlight w:val="none"/>
        </w:rPr>
        <w:t xml:space="preserve">:__________                      </w:t>
      </w:r>
    </w:p>
    <w:p>
      <w:pPr>
        <w:shd w:val="clear"/>
        <w:snapToGrid w:val="0"/>
        <w:rPr>
          <w:rFonts w:ascii="宋体"/>
          <w:color w:val="auto"/>
          <w:sz w:val="24"/>
          <w:highlight w:val="none"/>
        </w:rPr>
      </w:pPr>
    </w:p>
    <w:p>
      <w:pPr>
        <w:shd w:val="clear"/>
        <w:snapToGrid w:val="0"/>
        <w:ind w:firstLine="4560" w:firstLineChars="1900"/>
        <w:rPr>
          <w:rFonts w:ascii="宋体"/>
          <w:color w:val="auto"/>
          <w:sz w:val="24"/>
          <w:highlight w:val="none"/>
          <w:u w:val="single"/>
        </w:rPr>
      </w:pPr>
      <w:r>
        <w:rPr>
          <w:rFonts w:hint="eastAsia" w:ascii="宋体" w:hAnsi="宋体"/>
          <w:color w:val="auto"/>
          <w:sz w:val="24"/>
          <w:highlight w:val="none"/>
        </w:rPr>
        <w:t>投标人盖章：</w:t>
      </w: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r>
        <w:rPr>
          <w:rFonts w:ascii="宋体" w:hAnsi="宋体"/>
          <w:color w:val="auto"/>
          <w:sz w:val="24"/>
          <w:highlight w:val="none"/>
        </w:rPr>
        <w:t xml:space="preserve">                 _____</w:t>
      </w:r>
      <w:r>
        <w:rPr>
          <w:rFonts w:hint="eastAsia" w:ascii="宋体" w:hAnsi="宋体"/>
          <w:color w:val="auto"/>
          <w:sz w:val="24"/>
          <w:highlight w:val="none"/>
        </w:rPr>
        <w:t>年</w:t>
      </w:r>
      <w:r>
        <w:rPr>
          <w:rFonts w:ascii="宋体" w:hAnsi="宋体"/>
          <w:color w:val="auto"/>
          <w:sz w:val="24"/>
          <w:highlight w:val="none"/>
        </w:rPr>
        <w:t>___</w:t>
      </w:r>
      <w:r>
        <w:rPr>
          <w:rFonts w:hint="eastAsia" w:ascii="宋体" w:hAnsi="宋体"/>
          <w:color w:val="auto"/>
          <w:sz w:val="24"/>
          <w:highlight w:val="none"/>
        </w:rPr>
        <w:t>月</w:t>
      </w:r>
      <w:r>
        <w:rPr>
          <w:rFonts w:ascii="宋体" w:hAnsi="宋体"/>
          <w:color w:val="auto"/>
          <w:sz w:val="24"/>
          <w:highlight w:val="none"/>
        </w:rPr>
        <w:t>___</w:t>
      </w:r>
      <w:r>
        <w:rPr>
          <w:rFonts w:hint="eastAsia" w:ascii="宋体" w:hAnsi="宋体"/>
          <w:color w:val="auto"/>
          <w:sz w:val="24"/>
          <w:highlight w:val="none"/>
        </w:rPr>
        <w:t>日</w:t>
      </w: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p>
    <w:p>
      <w:pPr>
        <w:shd w:val="clear"/>
        <w:snapToGrid w:val="0"/>
        <w:jc w:val="center"/>
        <w:rPr>
          <w:rFonts w:ascii="宋体"/>
          <w:color w:val="auto"/>
          <w:sz w:val="24"/>
          <w:highlight w:val="none"/>
        </w:rPr>
      </w:pPr>
    </w:p>
    <w:p>
      <w:pPr>
        <w:widowControl/>
        <w:shd w:val="clear"/>
        <w:spacing w:line="360" w:lineRule="auto"/>
        <w:rPr>
          <w:rFonts w:ascii="宋体" w:cs="宋体"/>
          <w:b/>
          <w:color w:val="auto"/>
          <w:kern w:val="0"/>
          <w:sz w:val="36"/>
          <w:szCs w:val="36"/>
          <w:highlight w:val="none"/>
        </w:rPr>
      </w:pPr>
    </w:p>
    <w:sectPr>
      <w:headerReference r:id="rId3" w:type="default"/>
      <w:footerReference r:id="rId4" w:type="default"/>
      <w:footerReference r:id="rId5" w:type="even"/>
      <w:pgSz w:w="11900" w:h="16841"/>
      <w:pgMar w:top="1134" w:right="1134" w:bottom="1134" w:left="1134"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Times New Roman”“">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 w:name="金山简黑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rPr>
      <w:t>33</w:t>
    </w:r>
    <w:r>
      <w:rPr>
        <w:rStyle w:val="61"/>
      </w:rPr>
      <w:fldChar w:fldCharType="end"/>
    </w:r>
  </w:p>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rPr>
      <w:t>5</w:t>
    </w:r>
    <w:r>
      <w:rPr>
        <w:rStyle w:val="61"/>
      </w:rPr>
      <w:fldChar w:fldCharType="end"/>
    </w:r>
  </w:p>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rPr>
        <w:u w:val="single"/>
      </w:rPr>
    </w:pPr>
    <w:r>
      <w:rPr>
        <w:rFonts w:hint="eastAsia"/>
        <w:u w:val="single"/>
      </w:rPr>
      <w:t>广西建设工程机电设备招标中心有限公司GXZC2019-G1-25933-JGJD（重）招标文件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325"/>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8FD0A51"/>
    <w:multiLevelType w:val="multilevel"/>
    <w:tmpl w:val="08FD0A51"/>
    <w:lvl w:ilvl="0" w:tentative="0">
      <w:start w:val="1"/>
      <w:numFmt w:val="decimal"/>
      <w:pStyle w:val="167"/>
      <w:lvlText w:val="（%1）"/>
      <w:lvlJc w:val="left"/>
      <w:pPr>
        <w:tabs>
          <w:tab w:val="left" w:pos="1350"/>
        </w:tabs>
        <w:ind w:left="1350" w:hanging="720"/>
      </w:pPr>
      <w:rPr>
        <w:rFonts w:hint="eastAsia" w:cs="Times New Roman"/>
      </w:rPr>
    </w:lvl>
    <w:lvl w:ilvl="1" w:tentative="0">
      <w:start w:val="1"/>
      <w:numFmt w:val="lowerLetter"/>
      <w:lvlText w:val="%2)"/>
      <w:lvlJc w:val="left"/>
      <w:pPr>
        <w:tabs>
          <w:tab w:val="left" w:pos="1470"/>
        </w:tabs>
        <w:ind w:left="1470" w:hanging="420"/>
      </w:pPr>
      <w:rPr>
        <w:rFonts w:cs="Times New Roman"/>
      </w:rPr>
    </w:lvl>
    <w:lvl w:ilvl="2" w:tentative="0">
      <w:start w:val="1"/>
      <w:numFmt w:val="lowerRoman"/>
      <w:pStyle w:val="294"/>
      <w:lvlText w:val="%3."/>
      <w:lvlJc w:val="right"/>
      <w:pPr>
        <w:tabs>
          <w:tab w:val="left" w:pos="1890"/>
        </w:tabs>
        <w:ind w:left="1890" w:hanging="420"/>
      </w:pPr>
      <w:rPr>
        <w:rFonts w:cs="Times New Roman"/>
      </w:rPr>
    </w:lvl>
    <w:lvl w:ilvl="3" w:tentative="0">
      <w:start w:val="1"/>
      <w:numFmt w:val="decimal"/>
      <w:lvlText w:val="%4."/>
      <w:lvlJc w:val="left"/>
      <w:pPr>
        <w:tabs>
          <w:tab w:val="left" w:pos="2310"/>
        </w:tabs>
        <w:ind w:left="2310" w:hanging="420"/>
      </w:pPr>
      <w:rPr>
        <w:rFonts w:cs="Times New Roman"/>
      </w:rPr>
    </w:lvl>
    <w:lvl w:ilvl="4" w:tentative="0">
      <w:start w:val="1"/>
      <w:numFmt w:val="lowerLetter"/>
      <w:pStyle w:val="289"/>
      <w:lvlText w:val="%5)"/>
      <w:lvlJc w:val="left"/>
      <w:pPr>
        <w:tabs>
          <w:tab w:val="left" w:pos="2730"/>
        </w:tabs>
        <w:ind w:left="2730" w:hanging="420"/>
      </w:pPr>
      <w:rPr>
        <w:rFonts w:cs="Times New Roman"/>
      </w:rPr>
    </w:lvl>
    <w:lvl w:ilvl="5" w:tentative="0">
      <w:start w:val="1"/>
      <w:numFmt w:val="lowerRoman"/>
      <w:lvlText w:val="%6."/>
      <w:lvlJc w:val="right"/>
      <w:pPr>
        <w:tabs>
          <w:tab w:val="left" w:pos="3150"/>
        </w:tabs>
        <w:ind w:left="3150" w:hanging="420"/>
      </w:pPr>
      <w:rPr>
        <w:rFonts w:cs="Times New Roman"/>
      </w:rPr>
    </w:lvl>
    <w:lvl w:ilvl="6" w:tentative="0">
      <w:start w:val="1"/>
      <w:numFmt w:val="decimal"/>
      <w:lvlText w:val="%7."/>
      <w:lvlJc w:val="left"/>
      <w:pPr>
        <w:tabs>
          <w:tab w:val="left" w:pos="3570"/>
        </w:tabs>
        <w:ind w:left="3570" w:hanging="420"/>
      </w:pPr>
      <w:rPr>
        <w:rFonts w:cs="Times New Roman"/>
      </w:rPr>
    </w:lvl>
    <w:lvl w:ilvl="7" w:tentative="0">
      <w:start w:val="1"/>
      <w:numFmt w:val="lowerLetter"/>
      <w:lvlText w:val="%8)"/>
      <w:lvlJc w:val="left"/>
      <w:pPr>
        <w:tabs>
          <w:tab w:val="left" w:pos="3990"/>
        </w:tabs>
        <w:ind w:left="3990" w:hanging="420"/>
      </w:pPr>
      <w:rPr>
        <w:rFonts w:cs="Times New Roman"/>
      </w:rPr>
    </w:lvl>
    <w:lvl w:ilvl="8" w:tentative="0">
      <w:start w:val="1"/>
      <w:numFmt w:val="lowerRoman"/>
      <w:lvlText w:val="%9."/>
      <w:lvlJc w:val="right"/>
      <w:pPr>
        <w:tabs>
          <w:tab w:val="left" w:pos="4410"/>
        </w:tabs>
        <w:ind w:left="4410" w:hanging="420"/>
      </w:pPr>
      <w:rPr>
        <w:rFonts w:cs="Times New Roman"/>
      </w:rPr>
    </w:lvl>
  </w:abstractNum>
  <w:abstractNum w:abstractNumId="2">
    <w:nsid w:val="093C6778"/>
    <w:multiLevelType w:val="multilevel"/>
    <w:tmpl w:val="093C6778"/>
    <w:lvl w:ilvl="0" w:tentative="0">
      <w:start w:val="1"/>
      <w:numFmt w:val="decimal"/>
      <w:suff w:val="nothing"/>
      <w:lvlText w:val="示例%1："/>
      <w:lvlJc w:val="left"/>
      <w:pPr>
        <w:ind w:firstLine="397"/>
      </w:pPr>
      <w:rPr>
        <w:rFonts w:hint="eastAsia" w:ascii="黑体" w:eastAsia="黑体" w:cs="Times New Roman"/>
        <w:sz w:val="18"/>
      </w:rPr>
    </w:lvl>
    <w:lvl w:ilvl="1" w:tentative="0">
      <w:start w:val="1"/>
      <w:numFmt w:val="lowerLetter"/>
      <w:pStyle w:val="133"/>
      <w:lvlText w:val="%2)"/>
      <w:lvlJc w:val="left"/>
      <w:pPr>
        <w:ind w:left="840" w:hanging="420"/>
      </w:pPr>
      <w:rPr>
        <w:rFonts w:hint="eastAsia" w:cs="Times New Roman"/>
      </w:rPr>
    </w:lvl>
    <w:lvl w:ilvl="2" w:tentative="0">
      <w:start w:val="1"/>
      <w:numFmt w:val="lowerRoman"/>
      <w:pStyle w:val="165"/>
      <w:lvlText w:val="%3."/>
      <w:lvlJc w:val="right"/>
      <w:pPr>
        <w:ind w:left="1260" w:hanging="420"/>
      </w:pPr>
      <w:rPr>
        <w:rFonts w:hint="eastAsia" w:cs="Times New Roman"/>
      </w:rPr>
    </w:lvl>
    <w:lvl w:ilvl="3" w:tentative="0">
      <w:start w:val="1"/>
      <w:numFmt w:val="decimal"/>
      <w:pStyle w:val="223"/>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pStyle w:val="224"/>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0D983844"/>
    <w:multiLevelType w:val="multilevel"/>
    <w:tmpl w:val="0D983844"/>
    <w:lvl w:ilvl="0" w:tentative="0">
      <w:start w:val="1"/>
      <w:numFmt w:val="decimal"/>
      <w:pStyle w:val="271"/>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0DDE2B46"/>
    <w:multiLevelType w:val="multilevel"/>
    <w:tmpl w:val="0DDE2B46"/>
    <w:lvl w:ilvl="0" w:tentative="0">
      <w:start w:val="1"/>
      <w:numFmt w:val="lowerLetter"/>
      <w:pStyle w:val="316"/>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pStyle w:val="357"/>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5">
    <w:nsid w:val="1A386E4D"/>
    <w:multiLevelType w:val="singleLevel"/>
    <w:tmpl w:val="1A386E4D"/>
    <w:lvl w:ilvl="0" w:tentative="0">
      <w:start w:val="7"/>
      <w:numFmt w:val="chineseCounting"/>
      <w:suff w:val="nothing"/>
      <w:lvlText w:val="%1、"/>
      <w:lvlJc w:val="left"/>
      <w:rPr>
        <w:rFonts w:hint="eastAsia"/>
      </w:rPr>
    </w:lvl>
  </w:abstractNum>
  <w:abstractNum w:abstractNumId="6">
    <w:nsid w:val="1FC91163"/>
    <w:multiLevelType w:val="multilevel"/>
    <w:tmpl w:val="1FC91163"/>
    <w:lvl w:ilvl="0" w:tentative="0">
      <w:start w:val="1"/>
      <w:numFmt w:val="decimal"/>
      <w:suff w:val="nothing"/>
      <w:lvlText w:val="%1　"/>
      <w:lvlJc w:val="left"/>
      <w:rPr>
        <w:rFonts w:hint="eastAsia" w:ascii="黑体" w:hAnsi="Times New Roman" w:eastAsia="黑体" w:cs="Times New Roman"/>
        <w:b w:val="0"/>
        <w:i w:val="0"/>
        <w:sz w:val="21"/>
        <w:szCs w:val="21"/>
      </w:rPr>
    </w:lvl>
    <w:lvl w:ilvl="1" w:tentative="0">
      <w:start w:val="1"/>
      <w:numFmt w:val="decimal"/>
      <w:pStyle w:val="284"/>
      <w:suff w:val="nothing"/>
      <w:lvlText w:val="%1.%2　"/>
      <w:lvlJc w:val="left"/>
      <w:pPr>
        <w:ind w:left="851"/>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302"/>
      <w:suff w:val="nothing"/>
      <w:lvlText w:val="%1.%2.%3　"/>
      <w:lvlJc w:val="left"/>
      <w:pPr>
        <w:ind w:left="241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7">
    <w:nsid w:val="2C5917C3"/>
    <w:multiLevelType w:val="multilevel"/>
    <w:tmpl w:val="2C5917C3"/>
    <w:lvl w:ilvl="0" w:tentative="0">
      <w:start w:val="1"/>
      <w:numFmt w:val="none"/>
      <w:suff w:val="nothing"/>
      <w:lvlText w:val="%1——"/>
      <w:lvlJc w:val="left"/>
      <w:pPr>
        <w:ind w:left="833" w:hanging="408"/>
      </w:pPr>
      <w:rPr>
        <w:rFonts w:hint="eastAsia" w:cs="Times New Roman"/>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pStyle w:val="227"/>
      <w:lvlText w:val="%8)"/>
      <w:lvlJc w:val="left"/>
      <w:pPr>
        <w:tabs>
          <w:tab w:val="left" w:pos="3319"/>
        </w:tabs>
        <w:ind w:left="3132" w:hanging="528"/>
      </w:pPr>
      <w:rPr>
        <w:rFonts w:hint="eastAsia" w:cs="Times New Roman"/>
      </w:rPr>
    </w:lvl>
    <w:lvl w:ilvl="8" w:tentative="0">
      <w:start w:val="1"/>
      <w:numFmt w:val="lowerRoman"/>
      <w:pStyle w:val="199"/>
      <w:lvlText w:val="%9."/>
      <w:lvlJc w:val="right"/>
      <w:pPr>
        <w:tabs>
          <w:tab w:val="left" w:pos="3631"/>
        </w:tabs>
        <w:ind w:left="3444" w:hanging="528"/>
      </w:pPr>
      <w:rPr>
        <w:rFonts w:hint="eastAsia" w:cs="Times New Roman"/>
      </w:rPr>
    </w:lvl>
  </w:abstractNum>
  <w:abstractNum w:abstractNumId="8">
    <w:nsid w:val="3CD15048"/>
    <w:multiLevelType w:val="multilevel"/>
    <w:tmpl w:val="3CD15048"/>
    <w:lvl w:ilvl="0" w:tentative="0">
      <w:start w:val="8"/>
      <w:numFmt w:val="bullet"/>
      <w:pStyle w:val="183"/>
      <w:lvlText w:val="▲"/>
      <w:lvlJc w:val="left"/>
      <w:pPr>
        <w:tabs>
          <w:tab w:val="left" w:pos="360"/>
        </w:tabs>
        <w:ind w:left="360" w:hanging="360"/>
      </w:pPr>
      <w:rPr>
        <w:rFonts w:hint="eastAsia" w:ascii="宋体" w:hAnsi="宋体" w:eastAsia="宋体"/>
      </w:rPr>
    </w:lvl>
    <w:lvl w:ilvl="1" w:tentative="0">
      <w:start w:val="1"/>
      <w:numFmt w:val="bullet"/>
      <w:pStyle w:val="141"/>
      <w:lvlText w:val=""/>
      <w:lvlJc w:val="left"/>
      <w:pPr>
        <w:tabs>
          <w:tab w:val="left" w:pos="840"/>
        </w:tabs>
        <w:ind w:left="840" w:hanging="420"/>
      </w:pPr>
      <w:rPr>
        <w:rFonts w:hint="default" w:ascii="Wingdings" w:hAnsi="Wingdings"/>
      </w:rPr>
    </w:lvl>
    <w:lvl w:ilvl="2" w:tentative="0">
      <w:start w:val="1"/>
      <w:numFmt w:val="bullet"/>
      <w:pStyle w:val="136"/>
      <w:lvlText w:val=""/>
      <w:lvlJc w:val="left"/>
      <w:pPr>
        <w:tabs>
          <w:tab w:val="left" w:pos="1260"/>
        </w:tabs>
        <w:ind w:left="1260" w:hanging="420"/>
      </w:pPr>
      <w:rPr>
        <w:rFonts w:hint="default" w:ascii="Wingdings" w:hAnsi="Wingdings"/>
      </w:rPr>
    </w:lvl>
    <w:lvl w:ilvl="3" w:tentative="0">
      <w:start w:val="1"/>
      <w:numFmt w:val="bullet"/>
      <w:pStyle w:val="137"/>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3D733618"/>
    <w:multiLevelType w:val="multilevel"/>
    <w:tmpl w:val="3D733618"/>
    <w:lvl w:ilvl="0" w:tentative="0">
      <w:start w:val="1"/>
      <w:numFmt w:val="decimal"/>
      <w:pStyle w:val="258"/>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10">
    <w:nsid w:val="3D7751A5"/>
    <w:multiLevelType w:val="multilevel"/>
    <w:tmpl w:val="3D7751A5"/>
    <w:lvl w:ilvl="0" w:tentative="0">
      <w:start w:val="1"/>
      <w:numFmt w:val="decimal"/>
      <w:pStyle w:val="240"/>
      <w:lvlText w:val="%1)"/>
      <w:lvlJc w:val="left"/>
      <w:pPr>
        <w:ind w:left="420" w:hanging="420"/>
      </w:pPr>
      <w:rPr>
        <w:rFonts w:cs="Times New Roman"/>
      </w:rPr>
    </w:lvl>
    <w:lvl w:ilvl="1" w:tentative="0">
      <w:start w:val="1"/>
      <w:numFmt w:val="lowerLetter"/>
      <w:pStyle w:val="186"/>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28C35A6"/>
    <w:multiLevelType w:val="multilevel"/>
    <w:tmpl w:val="428C35A6"/>
    <w:lvl w:ilvl="0" w:tentative="0">
      <w:start w:val="1"/>
      <w:numFmt w:val="lowerLetter"/>
      <w:pStyle w:val="218"/>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129"/>
      <w:lvlText w:val="%2)"/>
      <w:lvlJc w:val="left"/>
      <w:pPr>
        <w:tabs>
          <w:tab w:val="left" w:pos="1260"/>
        </w:tabs>
        <w:ind w:left="1259" w:hanging="419"/>
      </w:pPr>
      <w:rPr>
        <w:rFonts w:hint="eastAsia" w:cs="Times New Roman"/>
      </w:rPr>
    </w:lvl>
    <w:lvl w:ilvl="2" w:tentative="0">
      <w:start w:val="1"/>
      <w:numFmt w:val="decimal"/>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2">
    <w:nsid w:val="525A3A83"/>
    <w:multiLevelType w:val="singleLevel"/>
    <w:tmpl w:val="525A3A83"/>
    <w:lvl w:ilvl="0" w:tentative="0">
      <w:start w:val="5"/>
      <w:numFmt w:val="chineseCounting"/>
      <w:pStyle w:val="303"/>
      <w:suff w:val="nothing"/>
      <w:lvlText w:val="%1、"/>
      <w:lvlJc w:val="left"/>
      <w:rPr>
        <w:rFonts w:cs="Times New Roman"/>
      </w:rPr>
    </w:lvl>
  </w:abstractNum>
  <w:abstractNum w:abstractNumId="13">
    <w:nsid w:val="59ECB4CE"/>
    <w:multiLevelType w:val="multilevel"/>
    <w:tmpl w:val="59ECB4CE"/>
    <w:lvl w:ilvl="0" w:tentative="0">
      <w:start w:val="1"/>
      <w:numFmt w:val="decimal"/>
      <w:pStyle w:val="332"/>
      <w:suff w:val="nothing"/>
      <w:lvlText w:val="%1."/>
      <w:lvlJc w:val="left"/>
      <w:pPr>
        <w:tabs>
          <w:tab w:val="left" w:pos="0"/>
        </w:tabs>
        <w:ind w:left="425" w:hanging="425"/>
      </w:pPr>
      <w:rPr>
        <w:rFonts w:hint="default" w:ascii="宋体" w:hAnsi="宋体" w:eastAsia="宋体" w:cs="宋体"/>
      </w:rPr>
    </w:lvl>
    <w:lvl w:ilvl="1" w:tentative="0">
      <w:start w:val="1"/>
      <w:numFmt w:val="decimal"/>
      <w:pStyle w:val="174"/>
      <w:suff w:val="space"/>
      <w:lvlText w:val="%1.%2."/>
      <w:lvlJc w:val="left"/>
      <w:pPr>
        <w:tabs>
          <w:tab w:val="left" w:pos="0"/>
        </w:tabs>
        <w:ind w:left="567" w:hanging="567"/>
      </w:pPr>
      <w:rPr>
        <w:rFonts w:hint="default" w:ascii="宋体" w:hAnsi="宋体" w:eastAsia="宋体" w:cs="宋体"/>
      </w:rPr>
    </w:lvl>
    <w:lvl w:ilvl="2" w:tentative="0">
      <w:start w:val="1"/>
      <w:numFmt w:val="decimal"/>
      <w:suff w:val="space"/>
      <w:lvlText w:val="%1.%2.%3."/>
      <w:lvlJc w:val="left"/>
      <w:pPr>
        <w:tabs>
          <w:tab w:val="left" w:pos="0"/>
        </w:tabs>
        <w:ind w:left="709" w:hanging="709"/>
      </w:pPr>
      <w:rPr>
        <w:rFonts w:hint="default" w:ascii="宋体" w:hAnsi="宋体" w:eastAsia="宋体" w:cs="宋体"/>
      </w:rPr>
    </w:lvl>
    <w:lvl w:ilvl="3" w:tentative="0">
      <w:start w:val="1"/>
      <w:numFmt w:val="decimal"/>
      <w:suff w:val="space"/>
      <w:lvlText w:val="%4）"/>
      <w:lvlJc w:val="left"/>
      <w:pPr>
        <w:tabs>
          <w:tab w:val="left" w:pos="0"/>
        </w:tabs>
        <w:ind w:left="851" w:hanging="851"/>
      </w:pPr>
      <w:rPr>
        <w:rFonts w:hint="default" w:ascii="宋体" w:hAnsi="宋体" w:eastAsia="宋体" w:cs="宋体"/>
        <w:b/>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14">
    <w:nsid w:val="60B55DC2"/>
    <w:multiLevelType w:val="multilevel"/>
    <w:tmpl w:val="60B55DC2"/>
    <w:lvl w:ilvl="0" w:tentative="0">
      <w:start w:val="1"/>
      <w:numFmt w:val="upperLetter"/>
      <w:pStyle w:val="190"/>
      <w:lvlText w:val="%1"/>
      <w:lvlJc w:val="left"/>
      <w:pPr>
        <w:tabs>
          <w:tab w:val="left" w:pos="0"/>
        </w:tabs>
        <w:ind w:hanging="425"/>
      </w:pPr>
      <w:rPr>
        <w:rFonts w:hint="eastAsia" w:cs="Times New Roman"/>
      </w:rPr>
    </w:lvl>
    <w:lvl w:ilvl="1" w:tentative="0">
      <w:start w:val="1"/>
      <w:numFmt w:val="decimal"/>
      <w:pStyle w:val="321"/>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5">
    <w:nsid w:val="646260FA"/>
    <w:multiLevelType w:val="multilevel"/>
    <w:tmpl w:val="646260FA"/>
    <w:lvl w:ilvl="0" w:tentative="0">
      <w:start w:val="1"/>
      <w:numFmt w:val="decimal"/>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pStyle w:val="151"/>
      <w:lvlText w:val="%1.%2.%3"/>
      <w:lvlJc w:val="left"/>
      <w:pPr>
        <w:tabs>
          <w:tab w:val="left" w:pos="1418"/>
        </w:tabs>
        <w:ind w:left="1418" w:hanging="567"/>
      </w:pPr>
      <w:rPr>
        <w:rFonts w:hint="eastAsia" w:cs="Times New Roman"/>
      </w:rPr>
    </w:lvl>
    <w:lvl w:ilvl="3" w:tentative="0">
      <w:start w:val="1"/>
      <w:numFmt w:val="decimal"/>
      <w:pStyle w:val="149"/>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6">
    <w:nsid w:val="657D3FBC"/>
    <w:multiLevelType w:val="multilevel"/>
    <w:tmpl w:val="657D3FBC"/>
    <w:lvl w:ilvl="0" w:tentative="0">
      <w:start w:val="1"/>
      <w:numFmt w:val="upperLetter"/>
      <w:pStyle w:val="231"/>
      <w:suff w:val="nothing"/>
      <w:lvlText w:val="附　录　%1"/>
      <w:lvlJc w:val="left"/>
      <w:rPr>
        <w:rFonts w:hint="eastAsia" w:ascii="黑体" w:hAnsi="Times New Roman" w:eastAsia="黑体" w:cs="Times New Roman"/>
        <w:b w:val="0"/>
        <w:i w:val="0"/>
        <w:spacing w:val="0"/>
        <w:w w:val="100"/>
        <w:sz w:val="21"/>
      </w:rPr>
    </w:lvl>
    <w:lvl w:ilvl="1" w:tentative="0">
      <w:start w:val="1"/>
      <w:numFmt w:val="decimal"/>
      <w:suff w:val="nothing"/>
      <w:lvlText w:val="%1.%2　"/>
      <w:lvlJc w:val="left"/>
      <w:rPr>
        <w:rFonts w:hint="eastAsia" w:ascii="黑体" w:hAnsi="Times New Roman" w:eastAsia="黑体" w:cs="Times New Roman"/>
        <w:b w:val="0"/>
        <w:i w:val="0"/>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7">
    <w:nsid w:val="6FD871AE"/>
    <w:multiLevelType w:val="multilevel"/>
    <w:tmpl w:val="6FD871AE"/>
    <w:lvl w:ilvl="0" w:tentative="0">
      <w:start w:val="1"/>
      <w:numFmt w:val="decimal"/>
      <w:pStyle w:val="216"/>
      <w:lvlText w:val="表 A.%1"/>
      <w:lvlJc w:val="left"/>
      <w:pPr>
        <w:ind w:left="420" w:hanging="420"/>
      </w:pPr>
      <w:rPr>
        <w:rFonts w:hint="eastAsia" w:eastAsia="黑体" w:cs="Times New Roman"/>
        <w:b w:val="0"/>
        <w:i w:val="0"/>
        <w:sz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747158B3"/>
    <w:multiLevelType w:val="multilevel"/>
    <w:tmpl w:val="747158B3"/>
    <w:lvl w:ilvl="0" w:tentative="0">
      <w:start w:val="1"/>
      <w:numFmt w:val="decimal"/>
      <w:lvlText w:val="%1."/>
      <w:lvlJc w:val="left"/>
      <w:pPr>
        <w:tabs>
          <w:tab w:val="left" w:pos="786"/>
        </w:tabs>
        <w:ind w:left="786" w:hanging="360"/>
      </w:pPr>
      <w:rPr>
        <w:rFonts w:hint="default" w:cs="Times New Roman"/>
      </w:rPr>
    </w:lvl>
    <w:lvl w:ilvl="1" w:tentative="0">
      <w:start w:val="1"/>
      <w:numFmt w:val="lowerLetter"/>
      <w:pStyle w:val="164"/>
      <w:lvlText w:val="%2)"/>
      <w:lvlJc w:val="left"/>
      <w:pPr>
        <w:tabs>
          <w:tab w:val="left" w:pos="1266"/>
        </w:tabs>
        <w:ind w:left="1266" w:hanging="420"/>
      </w:pPr>
      <w:rPr>
        <w:rFonts w:cs="Times New Roman"/>
      </w:rPr>
    </w:lvl>
    <w:lvl w:ilvl="2" w:tentative="0">
      <w:start w:val="1"/>
      <w:numFmt w:val="lowerRoman"/>
      <w:lvlText w:val="%3."/>
      <w:lvlJc w:val="right"/>
      <w:pPr>
        <w:tabs>
          <w:tab w:val="left" w:pos="1686"/>
        </w:tabs>
        <w:ind w:left="1686" w:hanging="420"/>
      </w:pPr>
      <w:rPr>
        <w:rFonts w:cs="Times New Roman"/>
      </w:rPr>
    </w:lvl>
    <w:lvl w:ilvl="3" w:tentative="0">
      <w:start w:val="1"/>
      <w:numFmt w:val="decimal"/>
      <w:lvlText w:val="%4."/>
      <w:lvlJc w:val="left"/>
      <w:pPr>
        <w:tabs>
          <w:tab w:val="left" w:pos="2106"/>
        </w:tabs>
        <w:ind w:left="2106" w:hanging="420"/>
      </w:pPr>
      <w:rPr>
        <w:rFonts w:cs="Times New Roman"/>
      </w:rPr>
    </w:lvl>
    <w:lvl w:ilvl="4" w:tentative="0">
      <w:start w:val="1"/>
      <w:numFmt w:val="lowerLetter"/>
      <w:lvlText w:val="%5)"/>
      <w:lvlJc w:val="left"/>
      <w:pPr>
        <w:tabs>
          <w:tab w:val="left" w:pos="2526"/>
        </w:tabs>
        <w:ind w:left="2526" w:hanging="420"/>
      </w:pPr>
      <w:rPr>
        <w:rFonts w:cs="Times New Roman"/>
      </w:rPr>
    </w:lvl>
    <w:lvl w:ilvl="5" w:tentative="0">
      <w:start w:val="1"/>
      <w:numFmt w:val="lowerRoman"/>
      <w:lvlText w:val="%6."/>
      <w:lvlJc w:val="right"/>
      <w:pPr>
        <w:tabs>
          <w:tab w:val="left" w:pos="2946"/>
        </w:tabs>
        <w:ind w:left="2946" w:hanging="420"/>
      </w:pPr>
      <w:rPr>
        <w:rFonts w:cs="Times New Roman"/>
      </w:rPr>
    </w:lvl>
    <w:lvl w:ilvl="6" w:tentative="0">
      <w:start w:val="1"/>
      <w:numFmt w:val="decimal"/>
      <w:lvlText w:val="%7."/>
      <w:lvlJc w:val="left"/>
      <w:pPr>
        <w:tabs>
          <w:tab w:val="left" w:pos="3366"/>
        </w:tabs>
        <w:ind w:left="3366" w:hanging="420"/>
      </w:pPr>
      <w:rPr>
        <w:rFonts w:cs="Times New Roman"/>
      </w:rPr>
    </w:lvl>
    <w:lvl w:ilvl="7" w:tentative="0">
      <w:start w:val="1"/>
      <w:numFmt w:val="lowerLetter"/>
      <w:lvlText w:val="%8)"/>
      <w:lvlJc w:val="left"/>
      <w:pPr>
        <w:tabs>
          <w:tab w:val="left" w:pos="3786"/>
        </w:tabs>
        <w:ind w:left="3786" w:hanging="420"/>
      </w:pPr>
      <w:rPr>
        <w:rFonts w:cs="Times New Roman"/>
      </w:rPr>
    </w:lvl>
    <w:lvl w:ilvl="8" w:tentative="0">
      <w:start w:val="1"/>
      <w:numFmt w:val="lowerRoman"/>
      <w:lvlText w:val="%9."/>
      <w:lvlJc w:val="right"/>
      <w:pPr>
        <w:tabs>
          <w:tab w:val="left" w:pos="4206"/>
        </w:tabs>
        <w:ind w:left="4206" w:hanging="420"/>
      </w:pPr>
      <w:rPr>
        <w:rFonts w:cs="Times New Roman"/>
      </w:rPr>
    </w:lvl>
  </w:abstractNum>
  <w:num w:numId="1">
    <w:abstractNumId w:val="11"/>
  </w:num>
  <w:num w:numId="2">
    <w:abstractNumId w:val="2"/>
  </w:num>
  <w:num w:numId="3">
    <w:abstractNumId w:val="8"/>
  </w:num>
  <w:num w:numId="4">
    <w:abstractNumId w:val="15"/>
  </w:num>
  <w:num w:numId="5">
    <w:abstractNumId w:val="18"/>
  </w:num>
  <w:num w:numId="6">
    <w:abstractNumId w:val="1"/>
  </w:num>
  <w:num w:numId="7">
    <w:abstractNumId w:val="13"/>
  </w:num>
  <w:num w:numId="8">
    <w:abstractNumId w:val="10"/>
  </w:num>
  <w:num w:numId="9">
    <w:abstractNumId w:val="14"/>
  </w:num>
  <w:num w:numId="10">
    <w:abstractNumId w:val="7"/>
  </w:num>
  <w:num w:numId="11">
    <w:abstractNumId w:val="17"/>
  </w:num>
  <w:num w:numId="12">
    <w:abstractNumId w:val="16"/>
  </w:num>
  <w:num w:numId="13">
    <w:abstractNumId w:val="9"/>
  </w:num>
  <w:num w:numId="14">
    <w:abstractNumId w:val="3"/>
  </w:num>
  <w:num w:numId="15">
    <w:abstractNumId w:val="6"/>
  </w:num>
  <w:num w:numId="16">
    <w:abstractNumId w:val="12"/>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6634"/>
    <w:rsid w:val="00001EBB"/>
    <w:rsid w:val="00002FA3"/>
    <w:rsid w:val="00012775"/>
    <w:rsid w:val="00013621"/>
    <w:rsid w:val="00013C8E"/>
    <w:rsid w:val="000212C1"/>
    <w:rsid w:val="0002539F"/>
    <w:rsid w:val="00027A92"/>
    <w:rsid w:val="00032202"/>
    <w:rsid w:val="00063E19"/>
    <w:rsid w:val="000725F3"/>
    <w:rsid w:val="000765E2"/>
    <w:rsid w:val="00086634"/>
    <w:rsid w:val="000A1B64"/>
    <w:rsid w:val="000A3E9E"/>
    <w:rsid w:val="000A6B87"/>
    <w:rsid w:val="000B5E82"/>
    <w:rsid w:val="000C0403"/>
    <w:rsid w:val="000D3796"/>
    <w:rsid w:val="000D4A8F"/>
    <w:rsid w:val="000D59EC"/>
    <w:rsid w:val="000E1531"/>
    <w:rsid w:val="000E24DD"/>
    <w:rsid w:val="000E4D60"/>
    <w:rsid w:val="000E5B63"/>
    <w:rsid w:val="000F247A"/>
    <w:rsid w:val="000F28F7"/>
    <w:rsid w:val="000F3FDD"/>
    <w:rsid w:val="000F5808"/>
    <w:rsid w:val="000F6627"/>
    <w:rsid w:val="000F6B88"/>
    <w:rsid w:val="0011389D"/>
    <w:rsid w:val="00126DBB"/>
    <w:rsid w:val="00144C4B"/>
    <w:rsid w:val="00152767"/>
    <w:rsid w:val="001535F8"/>
    <w:rsid w:val="00156EAE"/>
    <w:rsid w:val="00161421"/>
    <w:rsid w:val="00162053"/>
    <w:rsid w:val="0016772F"/>
    <w:rsid w:val="00172931"/>
    <w:rsid w:val="00176EF2"/>
    <w:rsid w:val="0018711D"/>
    <w:rsid w:val="001933A4"/>
    <w:rsid w:val="001B031B"/>
    <w:rsid w:val="001C3EF6"/>
    <w:rsid w:val="001C45C9"/>
    <w:rsid w:val="001C5A51"/>
    <w:rsid w:val="001D6A8F"/>
    <w:rsid w:val="001E52E4"/>
    <w:rsid w:val="001F3667"/>
    <w:rsid w:val="001F388F"/>
    <w:rsid w:val="001F70FF"/>
    <w:rsid w:val="0020037C"/>
    <w:rsid w:val="002008F0"/>
    <w:rsid w:val="00206ECE"/>
    <w:rsid w:val="002110C3"/>
    <w:rsid w:val="00211BF0"/>
    <w:rsid w:val="00221DFA"/>
    <w:rsid w:val="002312E9"/>
    <w:rsid w:val="00245B18"/>
    <w:rsid w:val="002460A2"/>
    <w:rsid w:val="00252502"/>
    <w:rsid w:val="00252F6F"/>
    <w:rsid w:val="002573B5"/>
    <w:rsid w:val="00257A7F"/>
    <w:rsid w:val="0026792D"/>
    <w:rsid w:val="00292D94"/>
    <w:rsid w:val="002A713F"/>
    <w:rsid w:val="002C0F31"/>
    <w:rsid w:val="002C733F"/>
    <w:rsid w:val="002E1829"/>
    <w:rsid w:val="002E36AA"/>
    <w:rsid w:val="002E46AA"/>
    <w:rsid w:val="002E7E64"/>
    <w:rsid w:val="002F07B1"/>
    <w:rsid w:val="002F2C4A"/>
    <w:rsid w:val="002F43F0"/>
    <w:rsid w:val="002F77F2"/>
    <w:rsid w:val="003003A8"/>
    <w:rsid w:val="00300555"/>
    <w:rsid w:val="00303D00"/>
    <w:rsid w:val="00305957"/>
    <w:rsid w:val="00323FB8"/>
    <w:rsid w:val="00326E74"/>
    <w:rsid w:val="00332751"/>
    <w:rsid w:val="003426DD"/>
    <w:rsid w:val="0034313B"/>
    <w:rsid w:val="00351D20"/>
    <w:rsid w:val="00356F4B"/>
    <w:rsid w:val="00361710"/>
    <w:rsid w:val="0037288E"/>
    <w:rsid w:val="0037518E"/>
    <w:rsid w:val="0037639C"/>
    <w:rsid w:val="0038537C"/>
    <w:rsid w:val="00394176"/>
    <w:rsid w:val="003A3EB5"/>
    <w:rsid w:val="003B0A15"/>
    <w:rsid w:val="003B0B03"/>
    <w:rsid w:val="003B76E8"/>
    <w:rsid w:val="003C246F"/>
    <w:rsid w:val="003C5DBB"/>
    <w:rsid w:val="003E5535"/>
    <w:rsid w:val="003F0821"/>
    <w:rsid w:val="003F66AC"/>
    <w:rsid w:val="00400124"/>
    <w:rsid w:val="004064E0"/>
    <w:rsid w:val="004166D3"/>
    <w:rsid w:val="00417FC6"/>
    <w:rsid w:val="00420A0D"/>
    <w:rsid w:val="00433764"/>
    <w:rsid w:val="00450375"/>
    <w:rsid w:val="00461672"/>
    <w:rsid w:val="00462468"/>
    <w:rsid w:val="00464388"/>
    <w:rsid w:val="004746F1"/>
    <w:rsid w:val="00485A5E"/>
    <w:rsid w:val="00485C4C"/>
    <w:rsid w:val="0048787B"/>
    <w:rsid w:val="00490B37"/>
    <w:rsid w:val="00492FA4"/>
    <w:rsid w:val="00495555"/>
    <w:rsid w:val="00496EDA"/>
    <w:rsid w:val="004A3096"/>
    <w:rsid w:val="004B6AA1"/>
    <w:rsid w:val="004C1A2F"/>
    <w:rsid w:val="004C1C40"/>
    <w:rsid w:val="004D0900"/>
    <w:rsid w:val="004E5C7E"/>
    <w:rsid w:val="004F36A2"/>
    <w:rsid w:val="00507638"/>
    <w:rsid w:val="005171E0"/>
    <w:rsid w:val="00524611"/>
    <w:rsid w:val="005374E7"/>
    <w:rsid w:val="00564092"/>
    <w:rsid w:val="00570585"/>
    <w:rsid w:val="0057174A"/>
    <w:rsid w:val="00582642"/>
    <w:rsid w:val="00582E81"/>
    <w:rsid w:val="0059108B"/>
    <w:rsid w:val="0059184F"/>
    <w:rsid w:val="00595DBF"/>
    <w:rsid w:val="005A078D"/>
    <w:rsid w:val="005B4300"/>
    <w:rsid w:val="005B4C0B"/>
    <w:rsid w:val="005B7038"/>
    <w:rsid w:val="005D14BA"/>
    <w:rsid w:val="005D37C8"/>
    <w:rsid w:val="005F0C67"/>
    <w:rsid w:val="005F1E1B"/>
    <w:rsid w:val="005F43F7"/>
    <w:rsid w:val="0060372F"/>
    <w:rsid w:val="00604E22"/>
    <w:rsid w:val="0061047A"/>
    <w:rsid w:val="00615589"/>
    <w:rsid w:val="00615744"/>
    <w:rsid w:val="0062021D"/>
    <w:rsid w:val="006272AB"/>
    <w:rsid w:val="00630F48"/>
    <w:rsid w:val="00635FEA"/>
    <w:rsid w:val="00660642"/>
    <w:rsid w:val="00667984"/>
    <w:rsid w:val="00677D1F"/>
    <w:rsid w:val="00680E69"/>
    <w:rsid w:val="00690851"/>
    <w:rsid w:val="006A24FF"/>
    <w:rsid w:val="006A4309"/>
    <w:rsid w:val="006B0B2E"/>
    <w:rsid w:val="006B7A56"/>
    <w:rsid w:val="006C52F1"/>
    <w:rsid w:val="006E4194"/>
    <w:rsid w:val="006E5241"/>
    <w:rsid w:val="006E732B"/>
    <w:rsid w:val="00705FA8"/>
    <w:rsid w:val="00717035"/>
    <w:rsid w:val="007237EE"/>
    <w:rsid w:val="00724A59"/>
    <w:rsid w:val="00725252"/>
    <w:rsid w:val="00727961"/>
    <w:rsid w:val="007279E4"/>
    <w:rsid w:val="007475E5"/>
    <w:rsid w:val="00752C58"/>
    <w:rsid w:val="007553AA"/>
    <w:rsid w:val="007620E3"/>
    <w:rsid w:val="0076281F"/>
    <w:rsid w:val="00772B65"/>
    <w:rsid w:val="0079282D"/>
    <w:rsid w:val="00792C82"/>
    <w:rsid w:val="00792DA5"/>
    <w:rsid w:val="007A2083"/>
    <w:rsid w:val="007A7214"/>
    <w:rsid w:val="007B1C89"/>
    <w:rsid w:val="007C45EA"/>
    <w:rsid w:val="007C7A3A"/>
    <w:rsid w:val="007E6385"/>
    <w:rsid w:val="007F3945"/>
    <w:rsid w:val="008071A3"/>
    <w:rsid w:val="00807EBD"/>
    <w:rsid w:val="008144A2"/>
    <w:rsid w:val="0082443B"/>
    <w:rsid w:val="00827D7C"/>
    <w:rsid w:val="008328EA"/>
    <w:rsid w:val="008474C2"/>
    <w:rsid w:val="00853174"/>
    <w:rsid w:val="0087463D"/>
    <w:rsid w:val="008747E8"/>
    <w:rsid w:val="008908FF"/>
    <w:rsid w:val="00891786"/>
    <w:rsid w:val="00891AFD"/>
    <w:rsid w:val="00897271"/>
    <w:rsid w:val="008A7584"/>
    <w:rsid w:val="008B0043"/>
    <w:rsid w:val="008B11EF"/>
    <w:rsid w:val="008B7A81"/>
    <w:rsid w:val="008C0F14"/>
    <w:rsid w:val="008C1600"/>
    <w:rsid w:val="008E1FBA"/>
    <w:rsid w:val="008E7A87"/>
    <w:rsid w:val="008F5D8E"/>
    <w:rsid w:val="00901F29"/>
    <w:rsid w:val="00907267"/>
    <w:rsid w:val="00913C1E"/>
    <w:rsid w:val="0092098A"/>
    <w:rsid w:val="00931310"/>
    <w:rsid w:val="00932834"/>
    <w:rsid w:val="00933C3A"/>
    <w:rsid w:val="00942032"/>
    <w:rsid w:val="00946A41"/>
    <w:rsid w:val="00946DB1"/>
    <w:rsid w:val="00953B10"/>
    <w:rsid w:val="00963477"/>
    <w:rsid w:val="00980C7F"/>
    <w:rsid w:val="00980EEF"/>
    <w:rsid w:val="00992C23"/>
    <w:rsid w:val="00995779"/>
    <w:rsid w:val="009A3A8F"/>
    <w:rsid w:val="009B77B6"/>
    <w:rsid w:val="009C754E"/>
    <w:rsid w:val="009D1B36"/>
    <w:rsid w:val="009E7D99"/>
    <w:rsid w:val="009F6EF7"/>
    <w:rsid w:val="00A01FD0"/>
    <w:rsid w:val="00A02DC2"/>
    <w:rsid w:val="00A052D0"/>
    <w:rsid w:val="00A10851"/>
    <w:rsid w:val="00A13D06"/>
    <w:rsid w:val="00A2291F"/>
    <w:rsid w:val="00A31A01"/>
    <w:rsid w:val="00A60709"/>
    <w:rsid w:val="00A704AF"/>
    <w:rsid w:val="00A73829"/>
    <w:rsid w:val="00A831F4"/>
    <w:rsid w:val="00A8370C"/>
    <w:rsid w:val="00A875BB"/>
    <w:rsid w:val="00A904AB"/>
    <w:rsid w:val="00A973F3"/>
    <w:rsid w:val="00AA66A9"/>
    <w:rsid w:val="00AB0A36"/>
    <w:rsid w:val="00AB1CC2"/>
    <w:rsid w:val="00AB3825"/>
    <w:rsid w:val="00AB65CD"/>
    <w:rsid w:val="00AC253B"/>
    <w:rsid w:val="00AC6CAC"/>
    <w:rsid w:val="00AD245B"/>
    <w:rsid w:val="00AF2C48"/>
    <w:rsid w:val="00B028F7"/>
    <w:rsid w:val="00B0611D"/>
    <w:rsid w:val="00B20D0F"/>
    <w:rsid w:val="00B223B8"/>
    <w:rsid w:val="00B23F82"/>
    <w:rsid w:val="00B46F39"/>
    <w:rsid w:val="00B659E0"/>
    <w:rsid w:val="00B70A68"/>
    <w:rsid w:val="00B7261C"/>
    <w:rsid w:val="00B7651B"/>
    <w:rsid w:val="00BB20D3"/>
    <w:rsid w:val="00BC0CE9"/>
    <w:rsid w:val="00BC3BF7"/>
    <w:rsid w:val="00BC765D"/>
    <w:rsid w:val="00BD010D"/>
    <w:rsid w:val="00BD5421"/>
    <w:rsid w:val="00BD7FE6"/>
    <w:rsid w:val="00BE40AE"/>
    <w:rsid w:val="00BE431D"/>
    <w:rsid w:val="00BE5641"/>
    <w:rsid w:val="00C033B8"/>
    <w:rsid w:val="00C0385E"/>
    <w:rsid w:val="00C174C5"/>
    <w:rsid w:val="00C404DF"/>
    <w:rsid w:val="00C45D44"/>
    <w:rsid w:val="00C54F30"/>
    <w:rsid w:val="00C559C2"/>
    <w:rsid w:val="00C67A34"/>
    <w:rsid w:val="00C85DC0"/>
    <w:rsid w:val="00C941D0"/>
    <w:rsid w:val="00C973DE"/>
    <w:rsid w:val="00CB6B21"/>
    <w:rsid w:val="00CC5F19"/>
    <w:rsid w:val="00CD061E"/>
    <w:rsid w:val="00CD5DB0"/>
    <w:rsid w:val="00CD7B52"/>
    <w:rsid w:val="00CF0F96"/>
    <w:rsid w:val="00CF33A0"/>
    <w:rsid w:val="00CF49FC"/>
    <w:rsid w:val="00CF7AB0"/>
    <w:rsid w:val="00D031EB"/>
    <w:rsid w:val="00D143CC"/>
    <w:rsid w:val="00D27571"/>
    <w:rsid w:val="00D27AEE"/>
    <w:rsid w:val="00D3109B"/>
    <w:rsid w:val="00D54AF4"/>
    <w:rsid w:val="00D640B2"/>
    <w:rsid w:val="00D67502"/>
    <w:rsid w:val="00D811F3"/>
    <w:rsid w:val="00D82A4D"/>
    <w:rsid w:val="00D87254"/>
    <w:rsid w:val="00D914CF"/>
    <w:rsid w:val="00D92D8C"/>
    <w:rsid w:val="00D9465F"/>
    <w:rsid w:val="00DA2D9E"/>
    <w:rsid w:val="00DC2FA3"/>
    <w:rsid w:val="00DF0038"/>
    <w:rsid w:val="00DF3598"/>
    <w:rsid w:val="00DF59B0"/>
    <w:rsid w:val="00E00A6A"/>
    <w:rsid w:val="00E22F3E"/>
    <w:rsid w:val="00E2593D"/>
    <w:rsid w:val="00E33DB3"/>
    <w:rsid w:val="00E345BD"/>
    <w:rsid w:val="00E430C4"/>
    <w:rsid w:val="00E569FD"/>
    <w:rsid w:val="00E57C16"/>
    <w:rsid w:val="00E62EA6"/>
    <w:rsid w:val="00E712B0"/>
    <w:rsid w:val="00E8013F"/>
    <w:rsid w:val="00E97AB9"/>
    <w:rsid w:val="00EA1E57"/>
    <w:rsid w:val="00EA3D6C"/>
    <w:rsid w:val="00EA6C42"/>
    <w:rsid w:val="00EA784F"/>
    <w:rsid w:val="00EB2723"/>
    <w:rsid w:val="00EC06EF"/>
    <w:rsid w:val="00EE09DA"/>
    <w:rsid w:val="00EE1505"/>
    <w:rsid w:val="00EF38F4"/>
    <w:rsid w:val="00F010D6"/>
    <w:rsid w:val="00F20660"/>
    <w:rsid w:val="00F34514"/>
    <w:rsid w:val="00F37263"/>
    <w:rsid w:val="00F4014A"/>
    <w:rsid w:val="00F521EE"/>
    <w:rsid w:val="00F53249"/>
    <w:rsid w:val="00F629EF"/>
    <w:rsid w:val="00F62C28"/>
    <w:rsid w:val="00F65DFC"/>
    <w:rsid w:val="00F66642"/>
    <w:rsid w:val="00F723B8"/>
    <w:rsid w:val="00F74FD2"/>
    <w:rsid w:val="00F801B2"/>
    <w:rsid w:val="00F913BE"/>
    <w:rsid w:val="00F93A54"/>
    <w:rsid w:val="00FA19FD"/>
    <w:rsid w:val="00FA5722"/>
    <w:rsid w:val="00FA6A75"/>
    <w:rsid w:val="00FB0E0F"/>
    <w:rsid w:val="00FB12C6"/>
    <w:rsid w:val="00FB1700"/>
    <w:rsid w:val="00FD65AC"/>
    <w:rsid w:val="00FE0515"/>
    <w:rsid w:val="00FE0AC1"/>
    <w:rsid w:val="00FE2723"/>
    <w:rsid w:val="00FE38F1"/>
    <w:rsid w:val="00FE3C49"/>
    <w:rsid w:val="00FE62C2"/>
    <w:rsid w:val="00FE6D9B"/>
    <w:rsid w:val="023B0514"/>
    <w:rsid w:val="030E638D"/>
    <w:rsid w:val="033524A5"/>
    <w:rsid w:val="050F7C0A"/>
    <w:rsid w:val="071E0320"/>
    <w:rsid w:val="072801B9"/>
    <w:rsid w:val="07AF256A"/>
    <w:rsid w:val="07B64D8B"/>
    <w:rsid w:val="08830B1A"/>
    <w:rsid w:val="088C739F"/>
    <w:rsid w:val="092E32A6"/>
    <w:rsid w:val="0AC723A7"/>
    <w:rsid w:val="0AEE49EC"/>
    <w:rsid w:val="0C404A24"/>
    <w:rsid w:val="0CB1004A"/>
    <w:rsid w:val="0F5532B0"/>
    <w:rsid w:val="0FF10723"/>
    <w:rsid w:val="0FF679A2"/>
    <w:rsid w:val="100F4311"/>
    <w:rsid w:val="10EB4B5A"/>
    <w:rsid w:val="117D0ED3"/>
    <w:rsid w:val="128133D0"/>
    <w:rsid w:val="12F02DC3"/>
    <w:rsid w:val="13254ED9"/>
    <w:rsid w:val="13F84D25"/>
    <w:rsid w:val="161F0FBF"/>
    <w:rsid w:val="16F6524B"/>
    <w:rsid w:val="170F5DA5"/>
    <w:rsid w:val="18201314"/>
    <w:rsid w:val="18C30EF4"/>
    <w:rsid w:val="18F02F3D"/>
    <w:rsid w:val="19A3135B"/>
    <w:rsid w:val="1A807414"/>
    <w:rsid w:val="1C2A5480"/>
    <w:rsid w:val="1D171EC6"/>
    <w:rsid w:val="1D810E51"/>
    <w:rsid w:val="1E851233"/>
    <w:rsid w:val="1EE92FE5"/>
    <w:rsid w:val="1F430EF0"/>
    <w:rsid w:val="1FCB6015"/>
    <w:rsid w:val="1FFC0BFB"/>
    <w:rsid w:val="20AB72F3"/>
    <w:rsid w:val="225C78ED"/>
    <w:rsid w:val="22BB4301"/>
    <w:rsid w:val="241A688E"/>
    <w:rsid w:val="24957477"/>
    <w:rsid w:val="24C430D6"/>
    <w:rsid w:val="252243D9"/>
    <w:rsid w:val="25992B1F"/>
    <w:rsid w:val="26AA7AA0"/>
    <w:rsid w:val="270E57E6"/>
    <w:rsid w:val="273E22A9"/>
    <w:rsid w:val="28AB5DB9"/>
    <w:rsid w:val="29995302"/>
    <w:rsid w:val="29BE4336"/>
    <w:rsid w:val="2A087F0D"/>
    <w:rsid w:val="2A9B1576"/>
    <w:rsid w:val="2B7C37A4"/>
    <w:rsid w:val="2C105492"/>
    <w:rsid w:val="2C3D5DAD"/>
    <w:rsid w:val="2CBA648F"/>
    <w:rsid w:val="2E404B5C"/>
    <w:rsid w:val="2FD610F4"/>
    <w:rsid w:val="300051D8"/>
    <w:rsid w:val="316264B8"/>
    <w:rsid w:val="32DC403C"/>
    <w:rsid w:val="332C342B"/>
    <w:rsid w:val="33527F0A"/>
    <w:rsid w:val="34475FBB"/>
    <w:rsid w:val="346B6E96"/>
    <w:rsid w:val="34704D50"/>
    <w:rsid w:val="36007779"/>
    <w:rsid w:val="36284EE6"/>
    <w:rsid w:val="363B2C18"/>
    <w:rsid w:val="36625EF3"/>
    <w:rsid w:val="36ED3E0B"/>
    <w:rsid w:val="37A22A53"/>
    <w:rsid w:val="38406D52"/>
    <w:rsid w:val="38CC6803"/>
    <w:rsid w:val="39084505"/>
    <w:rsid w:val="39706701"/>
    <w:rsid w:val="3ACC3D5C"/>
    <w:rsid w:val="3B282482"/>
    <w:rsid w:val="3B7F714A"/>
    <w:rsid w:val="3BAB5D1D"/>
    <w:rsid w:val="3C0E279B"/>
    <w:rsid w:val="3C4E4462"/>
    <w:rsid w:val="3C74268D"/>
    <w:rsid w:val="3CDB2141"/>
    <w:rsid w:val="3D156B31"/>
    <w:rsid w:val="3E0F2C62"/>
    <w:rsid w:val="3E0F525E"/>
    <w:rsid w:val="3FA62F38"/>
    <w:rsid w:val="40DF798D"/>
    <w:rsid w:val="41945E32"/>
    <w:rsid w:val="428B4BC0"/>
    <w:rsid w:val="4557698B"/>
    <w:rsid w:val="45C650A8"/>
    <w:rsid w:val="46114EAC"/>
    <w:rsid w:val="46F05C6C"/>
    <w:rsid w:val="47AF30C3"/>
    <w:rsid w:val="47DA3447"/>
    <w:rsid w:val="48FB3450"/>
    <w:rsid w:val="49295B2B"/>
    <w:rsid w:val="49827575"/>
    <w:rsid w:val="49A2721E"/>
    <w:rsid w:val="4A0A61D8"/>
    <w:rsid w:val="4A341C35"/>
    <w:rsid w:val="4A962804"/>
    <w:rsid w:val="4B0E0634"/>
    <w:rsid w:val="4B5535B9"/>
    <w:rsid w:val="4B91378A"/>
    <w:rsid w:val="4BE233C2"/>
    <w:rsid w:val="4D656847"/>
    <w:rsid w:val="4EA41051"/>
    <w:rsid w:val="4EBB55F5"/>
    <w:rsid w:val="4F1D3E30"/>
    <w:rsid w:val="4F9F2874"/>
    <w:rsid w:val="4FDD6A95"/>
    <w:rsid w:val="50E964AC"/>
    <w:rsid w:val="516D07F5"/>
    <w:rsid w:val="517A06BE"/>
    <w:rsid w:val="51E13321"/>
    <w:rsid w:val="51E95B33"/>
    <w:rsid w:val="52610DD9"/>
    <w:rsid w:val="52713AE5"/>
    <w:rsid w:val="53187AD8"/>
    <w:rsid w:val="539853A9"/>
    <w:rsid w:val="53EA5F27"/>
    <w:rsid w:val="540A23C9"/>
    <w:rsid w:val="54B90237"/>
    <w:rsid w:val="5613047D"/>
    <w:rsid w:val="57F850FF"/>
    <w:rsid w:val="5816715F"/>
    <w:rsid w:val="58BF0B90"/>
    <w:rsid w:val="59477922"/>
    <w:rsid w:val="5B53011F"/>
    <w:rsid w:val="5BE41954"/>
    <w:rsid w:val="5C165A6C"/>
    <w:rsid w:val="5CCD6CD6"/>
    <w:rsid w:val="5DDE4852"/>
    <w:rsid w:val="5E9D06F4"/>
    <w:rsid w:val="5ED91223"/>
    <w:rsid w:val="5F050216"/>
    <w:rsid w:val="5F2A41CF"/>
    <w:rsid w:val="617F1886"/>
    <w:rsid w:val="61E5141D"/>
    <w:rsid w:val="638304CE"/>
    <w:rsid w:val="63EF3494"/>
    <w:rsid w:val="64E21514"/>
    <w:rsid w:val="6508365B"/>
    <w:rsid w:val="65374A78"/>
    <w:rsid w:val="65524C6C"/>
    <w:rsid w:val="66F32890"/>
    <w:rsid w:val="6786233D"/>
    <w:rsid w:val="69261E55"/>
    <w:rsid w:val="69A4537C"/>
    <w:rsid w:val="69A65A48"/>
    <w:rsid w:val="69BF6D5D"/>
    <w:rsid w:val="6A043E6F"/>
    <w:rsid w:val="6A0B3C70"/>
    <w:rsid w:val="6A8A5614"/>
    <w:rsid w:val="6BB530DD"/>
    <w:rsid w:val="6C614BE2"/>
    <w:rsid w:val="6CA54A3E"/>
    <w:rsid w:val="6CEA0E50"/>
    <w:rsid w:val="6D31291E"/>
    <w:rsid w:val="6EF40672"/>
    <w:rsid w:val="6FB800F2"/>
    <w:rsid w:val="70020C27"/>
    <w:rsid w:val="70066587"/>
    <w:rsid w:val="70AE5EFB"/>
    <w:rsid w:val="70BB10FC"/>
    <w:rsid w:val="72E6576D"/>
    <w:rsid w:val="73DB793D"/>
    <w:rsid w:val="74D76653"/>
    <w:rsid w:val="754C41EA"/>
    <w:rsid w:val="75A47A01"/>
    <w:rsid w:val="75BC3B64"/>
    <w:rsid w:val="76C421EE"/>
    <w:rsid w:val="77175D8F"/>
    <w:rsid w:val="778A75EB"/>
    <w:rsid w:val="780E6DD8"/>
    <w:rsid w:val="78BA5486"/>
    <w:rsid w:val="78F76208"/>
    <w:rsid w:val="7AD767AB"/>
    <w:rsid w:val="7B4B1F71"/>
    <w:rsid w:val="7C007A4A"/>
    <w:rsid w:val="7C713EE2"/>
    <w:rsid w:val="7CFE1194"/>
    <w:rsid w:val="7DC25106"/>
    <w:rsid w:val="7F124F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uiPriority="0" w:name="envelope address" w:locked="1"/>
    <w:lsdException w:uiPriority="0" w:name="envelope return" w:locked="1"/>
    <w:lsdException w:uiPriority="0" w:name="footnote reference" w:locked="1"/>
    <w:lsdException w:qFormat="1" w:unhideWhenUsed="0" w:uiPriority="0" w:semiHidden="0" w:name="annotation reference"/>
    <w:lsdException w:uiPriority="0" w:name="line number" w:locked="1"/>
    <w:lsdException w:qFormat="1" w:unhideWhenUsed="0" w:uiPriority="99" w:semiHidden="0" w:name="page number"/>
    <w:lsdException w:uiPriority="0" w:name="endnote reference" w:locked="1"/>
    <w:lsdException w:qFormat="1" w:unhideWhenUsed="0" w:uiPriority="99" w:semiHidden="0" w:name="endnote text"/>
    <w:lsdException w:uiPriority="0" w:name="table of authorities" w:locked="1"/>
    <w:lsdException w:uiPriority="0" w:name="macro" w:locked="1"/>
    <w:lsdException w:uiPriority="0" w:name="toa heading" w:locked="1"/>
    <w:lsdException w:qFormat="1" w:unhideWhenUsed="0" w:uiPriority="99" w:semiHidden="0" w:name="List"/>
    <w:lsdException w:uiPriority="0" w:name="List Bullet" w:locked="1"/>
    <w:lsdException w:qFormat="1" w:unhideWhenUsed="0" w:uiPriority="99" w:semiHidden="0" w:name="List Number"/>
    <w:lsdException w:qFormat="1" w:unhideWhenUsed="0" w:uiPriority="99" w:semiHidden="0" w:name="List 2"/>
    <w:lsdException w:uiPriority="0" w:name="List 3" w:locked="1"/>
    <w:lsdException w:unhideWhenUsed="0" w:uiPriority="0" w:semiHidden="0" w:name="List 4"/>
    <w:lsdException w:unhideWhenUsed="0" w:uiPriority="0" w:semiHidden="0" w:name="List 5"/>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qFormat="1" w:unhideWhenUsed="0" w:uiPriority="99" w:semiHidden="0" w:name="List Number 3"/>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iPriority="0" w:name="Body Text First Indent 2" w:locked="1"/>
    <w:lsdException w:uiPriority="0"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0" w:name="E-mail Signature" w:locked="1"/>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8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2"/>
    <w:qFormat/>
    <w:uiPriority w:val="99"/>
    <w:pPr>
      <w:keepNext/>
      <w:keepLines/>
      <w:spacing w:before="260" w:after="260" w:line="416" w:lineRule="auto"/>
      <w:outlineLvl w:val="2"/>
    </w:pPr>
    <w:rPr>
      <w:b/>
      <w:bCs/>
      <w:sz w:val="32"/>
      <w:szCs w:val="32"/>
    </w:rPr>
  </w:style>
  <w:style w:type="paragraph" w:styleId="5">
    <w:name w:val="heading 4"/>
    <w:basedOn w:val="1"/>
    <w:next w:val="1"/>
    <w:link w:val="383"/>
    <w:qFormat/>
    <w:uiPriority w:val="99"/>
    <w:pPr>
      <w:keepNext/>
      <w:keepLines/>
      <w:adjustRightInd w:val="0"/>
      <w:snapToGrid w:val="0"/>
      <w:spacing w:before="120" w:after="120"/>
      <w:outlineLvl w:val="3"/>
    </w:pPr>
    <w:rPr>
      <w:rFonts w:ascii="Arial" w:hAnsi="Arial"/>
      <w:b/>
      <w:bCs/>
      <w:sz w:val="28"/>
      <w:szCs w:val="28"/>
    </w:rPr>
  </w:style>
  <w:style w:type="paragraph" w:styleId="6">
    <w:name w:val="heading 5"/>
    <w:basedOn w:val="1"/>
    <w:next w:val="7"/>
    <w:link w:val="384"/>
    <w:qFormat/>
    <w:uiPriority w:val="99"/>
    <w:pPr>
      <w:keepNext/>
      <w:keepLines/>
      <w:spacing w:before="280" w:after="290" w:line="376" w:lineRule="auto"/>
      <w:outlineLvl w:val="4"/>
    </w:pPr>
    <w:rPr>
      <w:b/>
      <w:sz w:val="28"/>
    </w:rPr>
  </w:style>
  <w:style w:type="paragraph" w:styleId="8">
    <w:name w:val="heading 6"/>
    <w:basedOn w:val="1"/>
    <w:next w:val="7"/>
    <w:link w:val="385"/>
    <w:qFormat/>
    <w:uiPriority w:val="99"/>
    <w:pPr>
      <w:keepNext/>
      <w:keepLines/>
      <w:spacing w:before="240" w:after="64" w:line="320" w:lineRule="auto"/>
      <w:outlineLvl w:val="5"/>
    </w:pPr>
    <w:rPr>
      <w:rFonts w:ascii="Arial" w:hAnsi="Arial" w:eastAsia="黑体"/>
      <w:b/>
      <w:sz w:val="24"/>
    </w:rPr>
  </w:style>
  <w:style w:type="paragraph" w:styleId="9">
    <w:name w:val="heading 7"/>
    <w:basedOn w:val="1"/>
    <w:next w:val="7"/>
    <w:link w:val="386"/>
    <w:qFormat/>
    <w:uiPriority w:val="99"/>
    <w:pPr>
      <w:keepNext/>
      <w:keepLines/>
      <w:spacing w:before="240" w:after="64" w:line="320" w:lineRule="auto"/>
      <w:outlineLvl w:val="6"/>
    </w:pPr>
    <w:rPr>
      <w:b/>
      <w:sz w:val="24"/>
    </w:rPr>
  </w:style>
  <w:style w:type="paragraph" w:styleId="10">
    <w:name w:val="heading 8"/>
    <w:basedOn w:val="1"/>
    <w:next w:val="7"/>
    <w:link w:val="387"/>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7"/>
    <w:link w:val="388"/>
    <w:qFormat/>
    <w:uiPriority w:val="99"/>
    <w:pPr>
      <w:keepNext/>
      <w:keepLines/>
      <w:spacing w:before="240" w:after="64" w:line="320" w:lineRule="auto"/>
      <w:outlineLvl w:val="8"/>
    </w:pPr>
    <w:rPr>
      <w:rFonts w:ascii="Arial" w:hAnsi="Arial" w:eastAsia="黑体"/>
    </w:rPr>
  </w:style>
  <w:style w:type="character" w:default="1" w:styleId="59">
    <w:name w:val="Default Paragraph Font"/>
    <w:semiHidden/>
    <w:unhideWhenUsed/>
    <w:qFormat/>
    <w:uiPriority w:val="1"/>
  </w:style>
  <w:style w:type="table" w:default="1" w:styleId="74">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410"/>
    <w:qFormat/>
    <w:uiPriority w:val="99"/>
    <w:pPr>
      <w:ind w:firstLine="420"/>
    </w:pPr>
    <w:rPr>
      <w:szCs w:val="20"/>
    </w:rPr>
  </w:style>
  <w:style w:type="paragraph" w:styleId="12">
    <w:name w:val="annotation subject"/>
    <w:basedOn w:val="13"/>
    <w:next w:val="13"/>
    <w:link w:val="390"/>
    <w:qFormat/>
    <w:uiPriority w:val="99"/>
    <w:rPr>
      <w:b/>
      <w:bCs/>
    </w:rPr>
  </w:style>
  <w:style w:type="paragraph" w:styleId="13">
    <w:name w:val="annotation text"/>
    <w:basedOn w:val="1"/>
    <w:link w:val="389"/>
    <w:qFormat/>
    <w:uiPriority w:val="0"/>
    <w:pPr>
      <w:jc w:val="left"/>
    </w:pPr>
  </w:style>
  <w:style w:type="paragraph" w:styleId="14">
    <w:name w:val="toc 7"/>
    <w:basedOn w:val="1"/>
    <w:next w:val="1"/>
    <w:qFormat/>
    <w:uiPriority w:val="99"/>
    <w:pPr>
      <w:tabs>
        <w:tab w:val="right" w:leader="dot" w:pos="9241"/>
      </w:tabs>
      <w:ind w:firstLine="505" w:firstLineChars="500"/>
      <w:jc w:val="left"/>
    </w:pPr>
    <w:rPr>
      <w:rFonts w:ascii="宋体"/>
      <w:szCs w:val="21"/>
    </w:rPr>
  </w:style>
  <w:style w:type="paragraph" w:styleId="15">
    <w:name w:val="Body Text First Indent"/>
    <w:basedOn w:val="16"/>
    <w:link w:val="392"/>
    <w:qFormat/>
    <w:uiPriority w:val="99"/>
    <w:pPr>
      <w:spacing w:after="120" w:line="240" w:lineRule="auto"/>
      <w:ind w:firstLine="420" w:firstLineChars="100"/>
    </w:pPr>
    <w:rPr>
      <w:kern w:val="0"/>
      <w:sz w:val="20"/>
    </w:rPr>
  </w:style>
  <w:style w:type="paragraph" w:styleId="16">
    <w:name w:val="Body Text"/>
    <w:basedOn w:val="1"/>
    <w:link w:val="391"/>
    <w:qFormat/>
    <w:uiPriority w:val="99"/>
    <w:pPr>
      <w:spacing w:line="380" w:lineRule="exact"/>
    </w:pPr>
    <w:rPr>
      <w:sz w:val="24"/>
    </w:rPr>
  </w:style>
  <w:style w:type="paragraph" w:styleId="17">
    <w:name w:val="index 8"/>
    <w:basedOn w:val="1"/>
    <w:next w:val="1"/>
    <w:qFormat/>
    <w:uiPriority w:val="99"/>
    <w:pPr>
      <w:ind w:left="1680" w:hanging="210"/>
      <w:jc w:val="left"/>
    </w:pPr>
    <w:rPr>
      <w:rFonts w:ascii="Calibri" w:hAnsi="Calibri"/>
      <w:sz w:val="20"/>
      <w:szCs w:val="20"/>
    </w:rPr>
  </w:style>
  <w:style w:type="paragraph" w:styleId="18">
    <w:name w:val="List Number"/>
    <w:basedOn w:val="1"/>
    <w:qFormat/>
    <w:uiPriority w:val="99"/>
    <w:pPr>
      <w:widowControl/>
      <w:tabs>
        <w:tab w:val="left" w:pos="454"/>
        <w:tab w:val="left" w:pos="720"/>
        <w:tab w:val="left" w:pos="840"/>
        <w:tab w:val="left" w:pos="900"/>
      </w:tabs>
      <w:spacing w:afterLines="50"/>
      <w:ind w:left="454" w:hanging="284"/>
      <w:jc w:val="left"/>
    </w:pPr>
    <w:rPr>
      <w:kern w:val="0"/>
      <w:sz w:val="24"/>
      <w:szCs w:val="20"/>
    </w:rPr>
  </w:style>
  <w:style w:type="paragraph" w:styleId="19">
    <w:name w:val="caption"/>
    <w:basedOn w:val="1"/>
    <w:next w:val="1"/>
    <w:link w:val="424"/>
    <w:qFormat/>
    <w:uiPriority w:val="99"/>
    <w:pPr>
      <w:spacing w:before="152" w:after="160"/>
    </w:pPr>
    <w:rPr>
      <w:rFonts w:ascii="Arial" w:hAnsi="Arial" w:eastAsia="黑体"/>
      <w:sz w:val="20"/>
      <w:szCs w:val="20"/>
    </w:rPr>
  </w:style>
  <w:style w:type="paragraph" w:styleId="20">
    <w:name w:val="index 5"/>
    <w:basedOn w:val="1"/>
    <w:next w:val="1"/>
    <w:qFormat/>
    <w:uiPriority w:val="99"/>
    <w:pPr>
      <w:ind w:left="1050" w:hanging="210"/>
      <w:jc w:val="left"/>
    </w:pPr>
    <w:rPr>
      <w:rFonts w:ascii="Calibri" w:hAnsi="Calibri"/>
      <w:sz w:val="20"/>
      <w:szCs w:val="20"/>
    </w:rPr>
  </w:style>
  <w:style w:type="paragraph" w:styleId="21">
    <w:name w:val="Document Map"/>
    <w:basedOn w:val="1"/>
    <w:link w:val="393"/>
    <w:qFormat/>
    <w:uiPriority w:val="99"/>
    <w:pPr>
      <w:shd w:val="clear" w:color="auto" w:fill="000080"/>
    </w:pPr>
  </w:style>
  <w:style w:type="paragraph" w:styleId="22">
    <w:name w:val="index 6"/>
    <w:basedOn w:val="1"/>
    <w:next w:val="1"/>
    <w:qFormat/>
    <w:uiPriority w:val="99"/>
    <w:pPr>
      <w:ind w:left="1260" w:hanging="210"/>
      <w:jc w:val="left"/>
    </w:pPr>
    <w:rPr>
      <w:rFonts w:ascii="Calibri" w:hAnsi="Calibri"/>
      <w:sz w:val="20"/>
      <w:szCs w:val="20"/>
    </w:rPr>
  </w:style>
  <w:style w:type="paragraph" w:styleId="23">
    <w:name w:val="Body Text 3"/>
    <w:basedOn w:val="1"/>
    <w:link w:val="394"/>
    <w:qFormat/>
    <w:uiPriority w:val="99"/>
    <w:pPr>
      <w:spacing w:line="500" w:lineRule="exact"/>
    </w:pPr>
    <w:rPr>
      <w:b/>
      <w:bCs/>
      <w:sz w:val="24"/>
    </w:rPr>
  </w:style>
  <w:style w:type="paragraph" w:styleId="24">
    <w:name w:val="Body Text Indent"/>
    <w:basedOn w:val="1"/>
    <w:link w:val="395"/>
    <w:qFormat/>
    <w:uiPriority w:val="99"/>
    <w:pPr>
      <w:ind w:firstLine="830" w:firstLineChars="352"/>
    </w:pPr>
    <w:rPr>
      <w:rFonts w:ascii="仿宋_GB2312" w:eastAsia="仿宋_GB2312"/>
      <w:sz w:val="32"/>
      <w:szCs w:val="20"/>
    </w:rPr>
  </w:style>
  <w:style w:type="paragraph" w:styleId="25">
    <w:name w:val="List Number 3"/>
    <w:basedOn w:val="1"/>
    <w:qFormat/>
    <w:uiPriority w:val="99"/>
  </w:style>
  <w:style w:type="paragraph" w:styleId="26">
    <w:name w:val="List 2"/>
    <w:basedOn w:val="1"/>
    <w:qFormat/>
    <w:uiPriority w:val="99"/>
    <w:pPr>
      <w:ind w:left="100" w:leftChars="200" w:hanging="200" w:hangingChars="200"/>
    </w:pPr>
    <w:rPr>
      <w:sz w:val="28"/>
    </w:rPr>
  </w:style>
  <w:style w:type="paragraph" w:styleId="27">
    <w:name w:val="HTML Address"/>
    <w:basedOn w:val="1"/>
    <w:link w:val="396"/>
    <w:qFormat/>
    <w:uiPriority w:val="99"/>
    <w:rPr>
      <w:i/>
      <w:iCs/>
      <w:kern w:val="0"/>
      <w:sz w:val="24"/>
    </w:rPr>
  </w:style>
  <w:style w:type="paragraph" w:styleId="28">
    <w:name w:val="index 4"/>
    <w:basedOn w:val="1"/>
    <w:next w:val="1"/>
    <w:qFormat/>
    <w:uiPriority w:val="99"/>
    <w:pPr>
      <w:ind w:left="840" w:hanging="210"/>
      <w:jc w:val="left"/>
    </w:pPr>
    <w:rPr>
      <w:rFonts w:ascii="Calibri" w:hAnsi="Calibri"/>
      <w:sz w:val="20"/>
      <w:szCs w:val="20"/>
    </w:rPr>
  </w:style>
  <w:style w:type="paragraph" w:styleId="29">
    <w:name w:val="toc 5"/>
    <w:basedOn w:val="1"/>
    <w:next w:val="1"/>
    <w:qFormat/>
    <w:uiPriority w:val="99"/>
    <w:pPr>
      <w:tabs>
        <w:tab w:val="right" w:leader="dot" w:pos="9241"/>
      </w:tabs>
      <w:ind w:firstLine="300" w:firstLineChars="300"/>
      <w:jc w:val="left"/>
    </w:pPr>
    <w:rPr>
      <w:rFonts w:ascii="宋体"/>
      <w:szCs w:val="21"/>
    </w:rPr>
  </w:style>
  <w:style w:type="paragraph" w:styleId="30">
    <w:name w:val="toc 3"/>
    <w:basedOn w:val="1"/>
    <w:next w:val="1"/>
    <w:qFormat/>
    <w:uiPriority w:val="99"/>
    <w:pPr>
      <w:ind w:left="840" w:leftChars="400"/>
    </w:pPr>
  </w:style>
  <w:style w:type="paragraph" w:styleId="31">
    <w:name w:val="Plain Text"/>
    <w:basedOn w:val="1"/>
    <w:link w:val="413"/>
    <w:qFormat/>
    <w:uiPriority w:val="0"/>
    <w:rPr>
      <w:rFonts w:ascii="宋体" w:hAnsi="Courier New" w:cs="Courier New"/>
      <w:szCs w:val="21"/>
    </w:rPr>
  </w:style>
  <w:style w:type="paragraph" w:styleId="32">
    <w:name w:val="toc 8"/>
    <w:basedOn w:val="1"/>
    <w:next w:val="1"/>
    <w:qFormat/>
    <w:uiPriority w:val="99"/>
    <w:pPr>
      <w:tabs>
        <w:tab w:val="right" w:leader="dot" w:pos="9241"/>
      </w:tabs>
      <w:ind w:firstLine="607" w:firstLineChars="600"/>
      <w:jc w:val="left"/>
    </w:pPr>
    <w:rPr>
      <w:rFonts w:ascii="宋体"/>
      <w:szCs w:val="21"/>
    </w:rPr>
  </w:style>
  <w:style w:type="paragraph" w:styleId="33">
    <w:name w:val="index 3"/>
    <w:basedOn w:val="1"/>
    <w:next w:val="1"/>
    <w:qFormat/>
    <w:uiPriority w:val="99"/>
    <w:pPr>
      <w:ind w:left="630" w:hanging="210"/>
      <w:jc w:val="left"/>
    </w:pPr>
    <w:rPr>
      <w:rFonts w:ascii="Calibri" w:hAnsi="Calibri"/>
      <w:sz w:val="20"/>
      <w:szCs w:val="20"/>
    </w:rPr>
  </w:style>
  <w:style w:type="paragraph" w:styleId="34">
    <w:name w:val="Date"/>
    <w:basedOn w:val="1"/>
    <w:next w:val="1"/>
    <w:link w:val="398"/>
    <w:qFormat/>
    <w:uiPriority w:val="99"/>
    <w:pPr>
      <w:ind w:left="100" w:leftChars="2500"/>
    </w:pPr>
    <w:rPr>
      <w:rFonts w:ascii="宋体" w:hAnsi="Courier New"/>
      <w:szCs w:val="21"/>
    </w:rPr>
  </w:style>
  <w:style w:type="paragraph" w:styleId="35">
    <w:name w:val="Body Text Indent 2"/>
    <w:basedOn w:val="1"/>
    <w:link w:val="399"/>
    <w:qFormat/>
    <w:uiPriority w:val="99"/>
    <w:pPr>
      <w:ind w:firstLine="630"/>
    </w:pPr>
    <w:rPr>
      <w:sz w:val="32"/>
      <w:szCs w:val="20"/>
    </w:rPr>
  </w:style>
  <w:style w:type="paragraph" w:styleId="36">
    <w:name w:val="endnote text"/>
    <w:basedOn w:val="1"/>
    <w:link w:val="400"/>
    <w:qFormat/>
    <w:uiPriority w:val="99"/>
    <w:pPr>
      <w:snapToGrid w:val="0"/>
      <w:jc w:val="left"/>
    </w:pPr>
    <w:rPr>
      <w:kern w:val="0"/>
      <w:sz w:val="20"/>
    </w:rPr>
  </w:style>
  <w:style w:type="paragraph" w:styleId="37">
    <w:name w:val="Balloon Text"/>
    <w:basedOn w:val="1"/>
    <w:link w:val="401"/>
    <w:qFormat/>
    <w:uiPriority w:val="99"/>
    <w:rPr>
      <w:sz w:val="18"/>
      <w:szCs w:val="18"/>
    </w:rPr>
  </w:style>
  <w:style w:type="paragraph" w:styleId="38">
    <w:name w:val="footer"/>
    <w:basedOn w:val="1"/>
    <w:link w:val="402"/>
    <w:qFormat/>
    <w:uiPriority w:val="99"/>
    <w:pPr>
      <w:tabs>
        <w:tab w:val="center" w:pos="4153"/>
        <w:tab w:val="right" w:pos="8306"/>
      </w:tabs>
      <w:snapToGrid w:val="0"/>
      <w:jc w:val="left"/>
    </w:pPr>
    <w:rPr>
      <w:sz w:val="18"/>
      <w:szCs w:val="18"/>
    </w:rPr>
  </w:style>
  <w:style w:type="paragraph" w:styleId="39">
    <w:name w:val="header"/>
    <w:basedOn w:val="1"/>
    <w:link w:val="403"/>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99"/>
    <w:pPr>
      <w:tabs>
        <w:tab w:val="right" w:leader="dot" w:pos="8398"/>
      </w:tabs>
      <w:spacing w:before="120" w:after="120"/>
      <w:ind w:firstLine="240" w:firstLineChars="100"/>
      <w:jc w:val="left"/>
    </w:pPr>
    <w:rPr>
      <w:rFonts w:ascii="宋体" w:hAnsi="宋体"/>
      <w:b/>
      <w:bCs/>
      <w:caps/>
      <w:sz w:val="24"/>
    </w:rPr>
  </w:style>
  <w:style w:type="paragraph" w:styleId="41">
    <w:name w:val="toc 4"/>
    <w:basedOn w:val="1"/>
    <w:next w:val="1"/>
    <w:qFormat/>
    <w:uiPriority w:val="99"/>
    <w:pPr>
      <w:tabs>
        <w:tab w:val="right" w:leader="dot" w:pos="9241"/>
      </w:tabs>
      <w:ind w:firstLine="198" w:firstLineChars="200"/>
      <w:jc w:val="left"/>
    </w:pPr>
    <w:rPr>
      <w:rFonts w:ascii="宋体"/>
      <w:szCs w:val="21"/>
    </w:rPr>
  </w:style>
  <w:style w:type="paragraph" w:styleId="42">
    <w:name w:val="index heading"/>
    <w:basedOn w:val="1"/>
    <w:next w:val="43"/>
    <w:qFormat/>
    <w:uiPriority w:val="99"/>
    <w:pPr>
      <w:spacing w:before="120" w:after="120"/>
      <w:jc w:val="center"/>
    </w:pPr>
    <w:rPr>
      <w:rFonts w:ascii="Calibri" w:hAnsi="Calibri"/>
      <w:b/>
      <w:bCs/>
      <w:iCs/>
      <w:szCs w:val="20"/>
    </w:rPr>
  </w:style>
  <w:style w:type="paragraph" w:styleId="43">
    <w:name w:val="index 1"/>
    <w:basedOn w:val="1"/>
    <w:next w:val="1"/>
    <w:qFormat/>
    <w:uiPriority w:val="99"/>
    <w:pPr>
      <w:spacing w:line="400" w:lineRule="exact"/>
      <w:ind w:firstLine="420" w:firstLineChars="200"/>
    </w:pPr>
    <w:rPr>
      <w:rFonts w:ascii="宋体" w:hAnsi="Courier New"/>
      <w:b/>
      <w:szCs w:val="20"/>
    </w:rPr>
  </w:style>
  <w:style w:type="paragraph" w:styleId="44">
    <w:name w:val="Subtitle"/>
    <w:basedOn w:val="1"/>
    <w:link w:val="404"/>
    <w:qFormat/>
    <w:uiPriority w:val="99"/>
    <w:pPr>
      <w:widowControl/>
      <w:spacing w:after="60"/>
      <w:jc w:val="center"/>
    </w:pPr>
    <w:rPr>
      <w:rFonts w:ascii="Arial" w:hAnsi="Arial"/>
      <w:bCs/>
      <w:color w:val="000000"/>
      <w:kern w:val="0"/>
      <w:sz w:val="24"/>
      <w:lang w:eastAsia="en-US"/>
    </w:rPr>
  </w:style>
  <w:style w:type="paragraph" w:styleId="45">
    <w:name w:val="List"/>
    <w:basedOn w:val="1"/>
    <w:qFormat/>
    <w:uiPriority w:val="99"/>
    <w:pPr>
      <w:ind w:left="200" w:hanging="200" w:hangingChars="200"/>
    </w:pPr>
    <w:rPr>
      <w:sz w:val="28"/>
    </w:rPr>
  </w:style>
  <w:style w:type="paragraph" w:styleId="46">
    <w:name w:val="footnote text"/>
    <w:basedOn w:val="1"/>
    <w:link w:val="405"/>
    <w:qFormat/>
    <w:uiPriority w:val="99"/>
    <w:pPr>
      <w:tabs>
        <w:tab w:val="left" w:pos="839"/>
      </w:tabs>
      <w:snapToGrid w:val="0"/>
      <w:ind w:left="839" w:hanging="419"/>
      <w:jc w:val="left"/>
    </w:pPr>
    <w:rPr>
      <w:rFonts w:ascii="宋体"/>
      <w:kern w:val="0"/>
      <w:sz w:val="18"/>
      <w:szCs w:val="18"/>
    </w:rPr>
  </w:style>
  <w:style w:type="paragraph" w:styleId="47">
    <w:name w:val="toc 6"/>
    <w:basedOn w:val="1"/>
    <w:next w:val="1"/>
    <w:qFormat/>
    <w:uiPriority w:val="99"/>
    <w:pPr>
      <w:tabs>
        <w:tab w:val="right" w:leader="dot" w:pos="9241"/>
      </w:tabs>
      <w:ind w:firstLine="403" w:firstLineChars="400"/>
      <w:jc w:val="left"/>
    </w:pPr>
    <w:rPr>
      <w:rFonts w:ascii="宋体"/>
      <w:szCs w:val="21"/>
    </w:rPr>
  </w:style>
  <w:style w:type="paragraph" w:styleId="48">
    <w:name w:val="Body Text Indent 3"/>
    <w:basedOn w:val="1"/>
    <w:link w:val="406"/>
    <w:qFormat/>
    <w:uiPriority w:val="99"/>
    <w:pPr>
      <w:spacing w:after="120"/>
      <w:ind w:left="420" w:leftChars="200"/>
    </w:pPr>
    <w:rPr>
      <w:sz w:val="16"/>
      <w:szCs w:val="16"/>
    </w:rPr>
  </w:style>
  <w:style w:type="paragraph" w:styleId="49">
    <w:name w:val="index 7"/>
    <w:basedOn w:val="1"/>
    <w:next w:val="1"/>
    <w:qFormat/>
    <w:uiPriority w:val="99"/>
    <w:pPr>
      <w:ind w:left="1470" w:hanging="210"/>
      <w:jc w:val="left"/>
    </w:pPr>
    <w:rPr>
      <w:rFonts w:ascii="Calibri" w:hAnsi="Calibri"/>
      <w:sz w:val="20"/>
      <w:szCs w:val="20"/>
    </w:rPr>
  </w:style>
  <w:style w:type="paragraph" w:styleId="50">
    <w:name w:val="index 9"/>
    <w:basedOn w:val="1"/>
    <w:next w:val="1"/>
    <w:qFormat/>
    <w:uiPriority w:val="99"/>
    <w:pPr>
      <w:ind w:left="1890" w:hanging="210"/>
      <w:jc w:val="left"/>
    </w:pPr>
    <w:rPr>
      <w:rFonts w:ascii="Calibri" w:hAnsi="Calibri"/>
      <w:sz w:val="20"/>
      <w:szCs w:val="20"/>
    </w:rPr>
  </w:style>
  <w:style w:type="paragraph" w:styleId="51">
    <w:name w:val="table of figures"/>
    <w:basedOn w:val="1"/>
    <w:next w:val="1"/>
    <w:qFormat/>
    <w:uiPriority w:val="99"/>
    <w:pPr>
      <w:ind w:left="200" w:leftChars="200" w:hanging="200" w:hangingChars="200"/>
    </w:pPr>
    <w:rPr>
      <w:sz w:val="24"/>
    </w:rPr>
  </w:style>
  <w:style w:type="paragraph" w:styleId="52">
    <w:name w:val="toc 2"/>
    <w:basedOn w:val="1"/>
    <w:next w:val="1"/>
    <w:qFormat/>
    <w:uiPriority w:val="99"/>
    <w:pPr>
      <w:ind w:left="420" w:leftChars="200"/>
    </w:pPr>
  </w:style>
  <w:style w:type="paragraph" w:styleId="53">
    <w:name w:val="toc 9"/>
    <w:basedOn w:val="1"/>
    <w:next w:val="1"/>
    <w:qFormat/>
    <w:uiPriority w:val="99"/>
    <w:pPr>
      <w:ind w:left="1470"/>
      <w:jc w:val="left"/>
    </w:pPr>
    <w:rPr>
      <w:sz w:val="20"/>
      <w:szCs w:val="20"/>
    </w:rPr>
  </w:style>
  <w:style w:type="paragraph" w:styleId="54">
    <w:name w:val="Body Text 2"/>
    <w:basedOn w:val="1"/>
    <w:link w:val="407"/>
    <w:qFormat/>
    <w:uiPriority w:val="99"/>
    <w:pPr>
      <w:spacing w:after="120" w:line="480" w:lineRule="auto"/>
    </w:pPr>
  </w:style>
  <w:style w:type="paragraph" w:styleId="55">
    <w:name w:val="HTML Preformatted"/>
    <w:basedOn w:val="1"/>
    <w:link w:val="4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6">
    <w:name w:val="Normal (Web)"/>
    <w:basedOn w:val="1"/>
    <w:link w:val="414"/>
    <w:qFormat/>
    <w:uiPriority w:val="0"/>
    <w:pPr>
      <w:widowControl/>
      <w:spacing w:before="100" w:beforeAutospacing="1" w:after="100" w:afterAutospacing="1"/>
      <w:jc w:val="left"/>
    </w:pPr>
    <w:rPr>
      <w:rFonts w:ascii="宋体" w:hAnsi="宋体"/>
      <w:kern w:val="0"/>
      <w:sz w:val="24"/>
    </w:rPr>
  </w:style>
  <w:style w:type="paragraph" w:styleId="57">
    <w:name w:val="index 2"/>
    <w:basedOn w:val="1"/>
    <w:next w:val="1"/>
    <w:qFormat/>
    <w:uiPriority w:val="99"/>
    <w:pPr>
      <w:ind w:left="420" w:hanging="210"/>
      <w:jc w:val="left"/>
    </w:pPr>
    <w:rPr>
      <w:rFonts w:ascii="Calibri" w:hAnsi="Calibri"/>
      <w:sz w:val="20"/>
      <w:szCs w:val="20"/>
    </w:rPr>
  </w:style>
  <w:style w:type="paragraph" w:styleId="58">
    <w:name w:val="Title"/>
    <w:basedOn w:val="1"/>
    <w:next w:val="1"/>
    <w:link w:val="409"/>
    <w:qFormat/>
    <w:uiPriority w:val="99"/>
    <w:pPr>
      <w:spacing w:before="240" w:after="60"/>
      <w:jc w:val="center"/>
      <w:outlineLvl w:val="0"/>
    </w:pPr>
    <w:rPr>
      <w:rFonts w:ascii="Cambria" w:hAnsi="Cambria"/>
      <w:b/>
      <w:bCs/>
      <w:sz w:val="32"/>
      <w:szCs w:val="32"/>
    </w:rPr>
  </w:style>
  <w:style w:type="character" w:styleId="60">
    <w:name w:val="Strong"/>
    <w:qFormat/>
    <w:uiPriority w:val="99"/>
    <w:rPr>
      <w:rFonts w:cs="Times New Roman"/>
      <w:b/>
    </w:rPr>
  </w:style>
  <w:style w:type="character" w:styleId="61">
    <w:name w:val="page number"/>
    <w:qFormat/>
    <w:uiPriority w:val="99"/>
    <w:rPr>
      <w:rFonts w:cs="Times New Roman"/>
    </w:rPr>
  </w:style>
  <w:style w:type="character" w:styleId="62">
    <w:name w:val="FollowedHyperlink"/>
    <w:qFormat/>
    <w:uiPriority w:val="99"/>
    <w:rPr>
      <w:rFonts w:cs="Times New Roman"/>
      <w:color w:val="800080"/>
      <w:u w:val="single"/>
    </w:rPr>
  </w:style>
  <w:style w:type="character" w:styleId="63">
    <w:name w:val="Emphasis"/>
    <w:qFormat/>
    <w:uiPriority w:val="99"/>
    <w:rPr>
      <w:rFonts w:cs="Times New Roman"/>
      <w:i/>
    </w:rPr>
  </w:style>
  <w:style w:type="character" w:styleId="64">
    <w:name w:val="HTML Definition"/>
    <w:qFormat/>
    <w:uiPriority w:val="99"/>
    <w:rPr>
      <w:rFonts w:cs="Times New Roman"/>
      <w:i/>
    </w:rPr>
  </w:style>
  <w:style w:type="character" w:styleId="65">
    <w:name w:val="HTML Typewriter"/>
    <w:qFormat/>
    <w:uiPriority w:val="99"/>
    <w:rPr>
      <w:rFonts w:ascii="Courier New" w:hAnsi="Courier New" w:cs="Times New Roman"/>
      <w:sz w:val="20"/>
    </w:rPr>
  </w:style>
  <w:style w:type="character" w:styleId="66">
    <w:name w:val="HTML Acronym"/>
    <w:qFormat/>
    <w:uiPriority w:val="99"/>
    <w:rPr>
      <w:rFonts w:cs="Times New Roman"/>
    </w:rPr>
  </w:style>
  <w:style w:type="character" w:styleId="67">
    <w:name w:val="HTML Variable"/>
    <w:qFormat/>
    <w:uiPriority w:val="99"/>
    <w:rPr>
      <w:rFonts w:cs="Times New Roman"/>
      <w:i/>
    </w:rPr>
  </w:style>
  <w:style w:type="character" w:styleId="68">
    <w:name w:val="Hyperlink"/>
    <w:qFormat/>
    <w:uiPriority w:val="99"/>
    <w:rPr>
      <w:rFonts w:cs="Times New Roman"/>
      <w:color w:val="0000FF"/>
      <w:u w:val="single"/>
    </w:rPr>
  </w:style>
  <w:style w:type="character" w:styleId="69">
    <w:name w:val="HTML Code"/>
    <w:qFormat/>
    <w:uiPriority w:val="99"/>
    <w:rPr>
      <w:rFonts w:ascii="宋体" w:hAnsi="宋体" w:eastAsia="宋体" w:cs="Times New Roman"/>
      <w:sz w:val="24"/>
    </w:rPr>
  </w:style>
  <w:style w:type="character" w:styleId="70">
    <w:name w:val="annotation reference"/>
    <w:basedOn w:val="59"/>
    <w:qFormat/>
    <w:uiPriority w:val="0"/>
    <w:rPr>
      <w:rFonts w:cs="Times New Roman"/>
      <w:sz w:val="21"/>
    </w:rPr>
  </w:style>
  <w:style w:type="character" w:styleId="71">
    <w:name w:val="HTML Cite"/>
    <w:qFormat/>
    <w:uiPriority w:val="99"/>
    <w:rPr>
      <w:rFonts w:cs="Times New Roman"/>
      <w:i/>
    </w:rPr>
  </w:style>
  <w:style w:type="character" w:styleId="72">
    <w:name w:val="HTML Keyboard"/>
    <w:qFormat/>
    <w:uiPriority w:val="99"/>
    <w:rPr>
      <w:rFonts w:ascii="Courier New" w:hAnsi="Courier New" w:cs="Times New Roman"/>
      <w:sz w:val="20"/>
    </w:rPr>
  </w:style>
  <w:style w:type="character" w:styleId="73">
    <w:name w:val="HTML Sample"/>
    <w:qFormat/>
    <w:uiPriority w:val="99"/>
    <w:rPr>
      <w:rFonts w:ascii="Courier New" w:hAnsi="Courier New" w:cs="Times New Roman"/>
    </w:rPr>
  </w:style>
  <w:style w:type="table" w:styleId="75">
    <w:name w:val="Table Grid"/>
    <w:basedOn w:val="74"/>
    <w:qFormat/>
    <w:locked/>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6">
    <w:name w:val="无间隔1"/>
    <w:link w:val="417"/>
    <w:qFormat/>
    <w:uiPriority w:val="99"/>
    <w:rPr>
      <w:rFonts w:ascii="Calibri" w:hAnsi="Calibri" w:eastAsia="宋体" w:cs="Times New Roman"/>
      <w:sz w:val="22"/>
      <w:szCs w:val="22"/>
      <w:lang w:val="en-US" w:eastAsia="zh-CN" w:bidi="ar-SA"/>
    </w:rPr>
  </w:style>
  <w:style w:type="paragraph" w:customStyle="1" w:styleId="77">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0">
    <w:name w:val="正文段"/>
    <w:basedOn w:val="1"/>
    <w:qFormat/>
    <w:uiPriority w:val="99"/>
    <w:pPr>
      <w:widowControl/>
      <w:snapToGrid w:val="0"/>
      <w:spacing w:afterLines="50"/>
      <w:ind w:firstLine="200" w:firstLineChars="200"/>
    </w:pPr>
    <w:rPr>
      <w:kern w:val="0"/>
      <w:sz w:val="24"/>
      <w:szCs w:val="20"/>
    </w:rPr>
  </w:style>
  <w:style w:type="paragraph" w:customStyle="1" w:styleId="8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82">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83">
    <w:name w:val="正文首行缩进两字符"/>
    <w:basedOn w:val="1"/>
    <w:qFormat/>
    <w:uiPriority w:val="99"/>
    <w:pPr>
      <w:spacing w:line="360" w:lineRule="auto"/>
      <w:ind w:firstLine="200" w:firstLineChars="200"/>
    </w:pPr>
  </w:style>
  <w:style w:type="paragraph" w:customStyle="1" w:styleId="84">
    <w:name w:val="font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85">
    <w:name w:val="Char2"/>
    <w:basedOn w:val="21"/>
    <w:semiHidden/>
    <w:qFormat/>
    <w:uiPriority w:val="99"/>
    <w:rPr>
      <w:rFonts w:ascii="Tahoma" w:hAnsi="Tahoma" w:cs="Tahoma"/>
      <w:kern w:val="0"/>
      <w:sz w:val="18"/>
    </w:rPr>
  </w:style>
  <w:style w:type="paragraph" w:customStyle="1" w:styleId="86">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87">
    <w:name w:val="样式 标题 1第A章标题 1 Char Char CharH1h1Level 1 Topic HeadingH11..."/>
    <w:basedOn w:val="2"/>
    <w:qFormat/>
    <w:uiPriority w:val="99"/>
    <w:pPr>
      <w:spacing w:before="0" w:after="0" w:line="460" w:lineRule="exact"/>
      <w:ind w:left="-4"/>
      <w:jc w:val="left"/>
    </w:pPr>
    <w:rPr>
      <w:rFonts w:ascii="仿宋_GB2312" w:hAnsi="宋体" w:eastAsia="仿宋_GB2312" w:cs="宋体"/>
      <w:sz w:val="32"/>
      <w:szCs w:val="32"/>
    </w:rPr>
  </w:style>
  <w:style w:type="paragraph" w:customStyle="1" w:styleId="88">
    <w:name w:val="表格"/>
    <w:basedOn w:val="1"/>
    <w:qFormat/>
    <w:uiPriority w:val="99"/>
    <w:pPr>
      <w:spacing w:line="400" w:lineRule="exact"/>
    </w:pPr>
    <w:rPr>
      <w:sz w:val="24"/>
    </w:rPr>
  </w:style>
  <w:style w:type="paragraph" w:customStyle="1" w:styleId="89">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0">
    <w:name w:val="_Style 81"/>
    <w:basedOn w:val="21"/>
    <w:qFormat/>
    <w:uiPriority w:val="99"/>
    <w:pPr>
      <w:widowControl/>
      <w:ind w:firstLine="454"/>
      <w:jc w:val="left"/>
    </w:pPr>
  </w:style>
  <w:style w:type="paragraph" w:customStyle="1" w:styleId="91">
    <w:name w:val="样式 首行缩进:  2 字符"/>
    <w:basedOn w:val="1"/>
    <w:qFormat/>
    <w:uiPriority w:val="99"/>
    <w:pPr>
      <w:spacing w:line="400" w:lineRule="exact"/>
      <w:ind w:firstLine="200" w:firstLineChars="200"/>
    </w:pPr>
    <w:rPr>
      <w:rFonts w:cs="宋体"/>
      <w:sz w:val="24"/>
    </w:rPr>
  </w:style>
  <w:style w:type="paragraph" w:customStyle="1" w:styleId="92">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93">
    <w:name w:val="Char1"/>
    <w:basedOn w:val="1"/>
    <w:qFormat/>
    <w:uiPriority w:val="99"/>
    <w:rPr>
      <w:szCs w:val="21"/>
    </w:rPr>
  </w:style>
  <w:style w:type="paragraph" w:customStyle="1" w:styleId="94">
    <w:name w:val="样式 标题 2 + Times New Roman 四号 非加粗 段前: 5 磅 段后: 0 磅 行距: 固定值 20..."/>
    <w:basedOn w:val="3"/>
    <w:qFormat/>
    <w:uiPriority w:val="99"/>
    <w:pPr>
      <w:spacing w:before="100" w:after="0" w:line="400" w:lineRule="exact"/>
    </w:pPr>
    <w:rPr>
      <w:rFonts w:ascii="Times New Roman" w:hAnsi="Times New Roman" w:cs="宋体"/>
      <w:b w:val="0"/>
      <w:bCs w:val="0"/>
      <w:sz w:val="28"/>
      <w:szCs w:val="20"/>
    </w:rPr>
  </w:style>
  <w:style w:type="paragraph" w:customStyle="1" w:styleId="95">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96">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97">
    <w:name w:val="xl31"/>
    <w:basedOn w:val="1"/>
    <w:qFormat/>
    <w:uiPriority w:val="99"/>
    <w:pPr>
      <w:widowControl/>
      <w:spacing w:before="100" w:beforeAutospacing="1" w:after="100" w:afterAutospacing="1"/>
      <w:jc w:val="center"/>
    </w:pPr>
    <w:rPr>
      <w:rFonts w:ascii="Arial Unicode MS" w:hAnsi="Arial Unicode MS"/>
      <w:kern w:val="0"/>
      <w:sz w:val="24"/>
    </w:rPr>
  </w:style>
  <w:style w:type="paragraph" w:customStyle="1" w:styleId="98">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9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0">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1">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2">
    <w:name w:val="Char Char Char Char Char Char"/>
    <w:basedOn w:val="1"/>
    <w:qFormat/>
    <w:uiPriority w:val="99"/>
  </w:style>
  <w:style w:type="paragraph" w:customStyle="1" w:styleId="103">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4">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105">
    <w:name w:val="修订1"/>
    <w:qFormat/>
    <w:uiPriority w:val="99"/>
    <w:rPr>
      <w:rFonts w:ascii="Times New Roman" w:hAnsi="Times New Roman" w:eastAsia="宋体" w:cs="Times New Roman"/>
      <w:kern w:val="2"/>
      <w:sz w:val="21"/>
      <w:szCs w:val="24"/>
      <w:lang w:val="en-US" w:eastAsia="zh-CN" w:bidi="ar-SA"/>
    </w:rPr>
  </w:style>
  <w:style w:type="paragraph" w:customStyle="1" w:styleId="10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7">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08">
    <w:name w:val="font7"/>
    <w:basedOn w:val="1"/>
    <w:qFormat/>
    <w:uiPriority w:val="99"/>
    <w:pPr>
      <w:widowControl/>
      <w:spacing w:before="100" w:beforeAutospacing="1" w:after="100" w:afterAutospacing="1"/>
      <w:jc w:val="left"/>
    </w:pPr>
    <w:rPr>
      <w:kern w:val="0"/>
      <w:sz w:val="16"/>
      <w:szCs w:val="16"/>
    </w:rPr>
  </w:style>
  <w:style w:type="paragraph" w:customStyle="1" w:styleId="109">
    <w:name w:val="Char"/>
    <w:basedOn w:val="1"/>
    <w:qFormat/>
    <w:uiPriority w:val="99"/>
  </w:style>
  <w:style w:type="paragraph" w:customStyle="1" w:styleId="110">
    <w:name w:val="默认段落字体 Para Char"/>
    <w:basedOn w:val="1"/>
    <w:qFormat/>
    <w:uiPriority w:val="99"/>
    <w:pPr>
      <w:adjustRightInd w:val="0"/>
      <w:spacing w:line="360" w:lineRule="auto"/>
    </w:pPr>
    <w:rPr>
      <w:kern w:val="0"/>
      <w:sz w:val="24"/>
      <w:szCs w:val="20"/>
    </w:rPr>
  </w:style>
  <w:style w:type="paragraph" w:customStyle="1" w:styleId="111">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112">
    <w:name w:val="Char3"/>
    <w:basedOn w:val="21"/>
    <w:qFormat/>
    <w:uiPriority w:val="99"/>
    <w:pPr>
      <w:widowControl/>
      <w:ind w:firstLine="454"/>
      <w:jc w:val="left"/>
    </w:pPr>
    <w:rPr>
      <w:rFonts w:ascii="Tahoma" w:hAnsi="Tahoma" w:cs="宋体"/>
      <w:kern w:val="0"/>
      <w:sz w:val="24"/>
      <w:szCs w:val="20"/>
    </w:rPr>
  </w:style>
  <w:style w:type="paragraph" w:customStyle="1" w:styleId="11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4">
    <w:name w:val="列出段落2"/>
    <w:basedOn w:val="1"/>
    <w:qFormat/>
    <w:uiPriority w:val="34"/>
    <w:pPr>
      <w:widowControl/>
      <w:ind w:firstLine="420" w:firstLineChars="200"/>
      <w:jc w:val="left"/>
    </w:pPr>
    <w:rPr>
      <w:rFonts w:ascii="宋体" w:hAnsi="宋体" w:cs="宋体"/>
      <w:kern w:val="0"/>
      <w:sz w:val="24"/>
    </w:rPr>
  </w:style>
  <w:style w:type="paragraph" w:customStyle="1" w:styleId="115">
    <w:name w:val="默认段落字体 Para Char Char Char Char Char Char Char Char Char1 Char Char Char Char"/>
    <w:basedOn w:val="1"/>
    <w:qFormat/>
    <w:uiPriority w:val="99"/>
    <w:rPr>
      <w:rFonts w:ascii="Tahoma" w:hAnsi="Tahoma"/>
      <w:sz w:val="24"/>
      <w:szCs w:val="20"/>
    </w:rPr>
  </w:style>
  <w:style w:type="paragraph" w:customStyle="1" w:styleId="116">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7">
    <w:name w:val="表内文字"/>
    <w:basedOn w:val="1"/>
    <w:qFormat/>
    <w:uiPriority w:val="99"/>
    <w:pPr>
      <w:snapToGrid w:val="0"/>
      <w:jc w:val="center"/>
    </w:pPr>
    <w:rPr>
      <w:rFonts w:ascii="宋体" w:hAnsi="宋体"/>
      <w:color w:val="FF0000"/>
      <w:sz w:val="24"/>
    </w:rPr>
  </w:style>
  <w:style w:type="paragraph" w:customStyle="1" w:styleId="118">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19">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0">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1">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2">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3">
    <w:name w:val="char"/>
    <w:basedOn w:val="1"/>
    <w:qFormat/>
    <w:uiPriority w:val="99"/>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124">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25">
    <w:name w:val="p18"/>
    <w:basedOn w:val="1"/>
    <w:qFormat/>
    <w:uiPriority w:val="99"/>
    <w:pPr>
      <w:widowControl/>
    </w:pPr>
    <w:rPr>
      <w:rFonts w:ascii="宋体" w:hAnsi="宋体" w:cs="宋体"/>
      <w:kern w:val="0"/>
      <w:szCs w:val="21"/>
    </w:rPr>
  </w:style>
  <w:style w:type="paragraph" w:customStyle="1" w:styleId="126">
    <w:name w:val="列出段落3"/>
    <w:basedOn w:val="1"/>
    <w:qFormat/>
    <w:uiPriority w:val="99"/>
    <w:pPr>
      <w:ind w:firstLine="420" w:firstLineChars="200"/>
    </w:pPr>
  </w:style>
  <w:style w:type="paragraph" w:customStyle="1" w:styleId="127">
    <w:name w:val="列出段落4"/>
    <w:basedOn w:val="1"/>
    <w:qFormat/>
    <w:uiPriority w:val="99"/>
    <w:pPr>
      <w:ind w:firstLine="420" w:firstLineChars="200"/>
    </w:pPr>
    <w:rPr>
      <w:szCs w:val="20"/>
    </w:rPr>
  </w:style>
  <w:style w:type="paragraph" w:customStyle="1" w:styleId="128">
    <w:name w:val="正文 + 宋体"/>
    <w:basedOn w:val="35"/>
    <w:link w:val="425"/>
    <w:qFormat/>
    <w:uiPriority w:val="99"/>
    <w:pPr>
      <w:spacing w:after="120" w:line="480" w:lineRule="exact"/>
      <w:ind w:firstLine="0"/>
    </w:pPr>
    <w:rPr>
      <w:rFonts w:ascii="宋体" w:hAnsi="宋体"/>
      <w:b/>
      <w:kern w:val="0"/>
      <w:sz w:val="24"/>
    </w:rPr>
  </w:style>
  <w:style w:type="paragraph" w:customStyle="1" w:styleId="129">
    <w:name w:val="2级标题"/>
    <w:basedOn w:val="104"/>
    <w:link w:val="426"/>
    <w:qFormat/>
    <w:uiPriority w:val="99"/>
    <w:pPr>
      <w:keepLines/>
      <w:widowControl w:val="0"/>
      <w:numPr>
        <w:ilvl w:val="1"/>
        <w:numId w:val="1"/>
      </w:numPr>
      <w:tabs>
        <w:tab w:val="left" w:pos="840"/>
        <w:tab w:val="left" w:pos="1140"/>
      </w:tabs>
      <w:spacing w:before="240" w:after="120" w:line="360" w:lineRule="auto"/>
      <w:outlineLvl w:val="1"/>
    </w:pPr>
    <w:rPr>
      <w:rFonts w:ascii="黑体" w:hAnsi="黑体" w:eastAsia="黑体"/>
      <w:sz w:val="20"/>
      <w:szCs w:val="36"/>
      <w:lang w:eastAsia="en-US"/>
    </w:rPr>
  </w:style>
  <w:style w:type="paragraph" w:customStyle="1" w:styleId="130">
    <w:name w:val="正文四号"/>
    <w:basedOn w:val="1"/>
    <w:link w:val="429"/>
    <w:qFormat/>
    <w:uiPriority w:val="99"/>
    <w:pPr>
      <w:spacing w:line="360" w:lineRule="auto"/>
      <w:ind w:firstLine="200" w:firstLineChars="200"/>
    </w:pPr>
    <w:rPr>
      <w:rFonts w:eastAsia="仿宋"/>
      <w:kern w:val="0"/>
      <w:sz w:val="28"/>
      <w:szCs w:val="20"/>
    </w:rPr>
  </w:style>
  <w:style w:type="paragraph" w:customStyle="1" w:styleId="131">
    <w:name w:val="段"/>
    <w:link w:val="43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2">
    <w:name w:val="标题2新"/>
    <w:basedOn w:val="133"/>
    <w:link w:val="436"/>
    <w:qFormat/>
    <w:uiPriority w:val="99"/>
    <w:pPr>
      <w:numPr>
        <w:numId w:val="0"/>
      </w:numPr>
    </w:pPr>
    <w:rPr>
      <w:rFonts w:hAnsi="黑体"/>
      <w:sz w:val="20"/>
      <w:szCs w:val="20"/>
    </w:rPr>
  </w:style>
  <w:style w:type="paragraph" w:customStyle="1" w:styleId="133">
    <w:name w:val="一级条标题"/>
    <w:next w:val="131"/>
    <w:link w:val="437"/>
    <w:qFormat/>
    <w:uiPriority w:val="99"/>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134">
    <w:name w:val="z-窗体底端1"/>
    <w:basedOn w:val="1"/>
    <w:next w:val="1"/>
    <w:link w:val="440"/>
    <w:qFormat/>
    <w:uiPriority w:val="99"/>
    <w:pPr>
      <w:widowControl/>
      <w:pBdr>
        <w:top w:val="single" w:color="auto" w:sz="6" w:space="1"/>
      </w:pBdr>
      <w:jc w:val="center"/>
    </w:pPr>
    <w:rPr>
      <w:rFonts w:ascii="Arial" w:hAnsi="Arial"/>
      <w:vanish/>
      <w:kern w:val="0"/>
      <w:sz w:val="16"/>
      <w:szCs w:val="16"/>
    </w:rPr>
  </w:style>
  <w:style w:type="paragraph" w:customStyle="1" w:styleId="135">
    <w:name w:val="样式1"/>
    <w:basedOn w:val="1"/>
    <w:link w:val="451"/>
    <w:qFormat/>
    <w:uiPriority w:val="99"/>
    <w:pPr>
      <w:ind w:left="3360" w:firstLine="420"/>
    </w:pPr>
    <w:rPr>
      <w:kern w:val="0"/>
      <w:sz w:val="20"/>
    </w:rPr>
  </w:style>
  <w:style w:type="paragraph" w:customStyle="1" w:styleId="136">
    <w:name w:val="自创3级"/>
    <w:basedOn w:val="4"/>
    <w:link w:val="453"/>
    <w:qFormat/>
    <w:uiPriority w:val="99"/>
    <w:pPr>
      <w:numPr>
        <w:ilvl w:val="2"/>
        <w:numId w:val="3"/>
      </w:numPr>
      <w:tabs>
        <w:tab w:val="left" w:pos="0"/>
        <w:tab w:val="left" w:pos="360"/>
      </w:tabs>
      <w:spacing w:before="0" w:after="0" w:line="360" w:lineRule="auto"/>
      <w:ind w:left="0" w:firstLine="0"/>
    </w:pPr>
    <w:rPr>
      <w:rFonts w:ascii="黑体" w:hAnsi="黑体" w:eastAsia="黑体"/>
      <w:bCs w:val="0"/>
      <w:kern w:val="0"/>
      <w:sz w:val="28"/>
      <w:szCs w:val="28"/>
    </w:rPr>
  </w:style>
  <w:style w:type="paragraph" w:customStyle="1" w:styleId="137">
    <w:name w:val="自创4级"/>
    <w:basedOn w:val="5"/>
    <w:link w:val="454"/>
    <w:qFormat/>
    <w:uiPriority w:val="99"/>
    <w:pPr>
      <w:widowControl/>
      <w:numPr>
        <w:ilvl w:val="3"/>
        <w:numId w:val="3"/>
      </w:numPr>
      <w:tabs>
        <w:tab w:val="left" w:pos="0"/>
        <w:tab w:val="left" w:pos="360"/>
      </w:tabs>
      <w:spacing w:before="0" w:after="0"/>
      <w:ind w:left="928" w:hanging="360"/>
      <w:textAlignment w:val="baseline"/>
    </w:pPr>
    <w:rPr>
      <w:rFonts w:ascii="黑体" w:hAnsi="黑体" w:eastAsia="黑体"/>
      <w:b w:val="0"/>
      <w:kern w:val="0"/>
      <w:sz w:val="24"/>
      <w:szCs w:val="24"/>
    </w:rPr>
  </w:style>
  <w:style w:type="paragraph" w:customStyle="1" w:styleId="138">
    <w:name w:val="并列项-点"/>
    <w:basedOn w:val="1"/>
    <w:link w:val="455"/>
    <w:qFormat/>
    <w:uiPriority w:val="99"/>
    <w:pPr>
      <w:widowControl/>
      <w:tabs>
        <w:tab w:val="left" w:pos="851"/>
        <w:tab w:val="left" w:pos="927"/>
      </w:tabs>
      <w:adjustRightInd w:val="0"/>
      <w:snapToGrid w:val="0"/>
      <w:spacing w:line="360" w:lineRule="atLeast"/>
      <w:ind w:left="851" w:hanging="284"/>
      <w:textAlignment w:val="baseline"/>
    </w:pPr>
    <w:rPr>
      <w:kern w:val="0"/>
      <w:sz w:val="24"/>
    </w:rPr>
  </w:style>
  <w:style w:type="paragraph" w:customStyle="1" w:styleId="139">
    <w:name w:val="二级条标题"/>
    <w:basedOn w:val="133"/>
    <w:next w:val="131"/>
    <w:link w:val="456"/>
    <w:qFormat/>
    <w:uiPriority w:val="99"/>
    <w:pPr>
      <w:numPr>
        <w:numId w:val="0"/>
      </w:numPr>
      <w:ind w:left="2411"/>
      <w:outlineLvl w:val="3"/>
    </w:pPr>
  </w:style>
  <w:style w:type="paragraph" w:customStyle="1" w:styleId="140">
    <w:name w:val="标题 31"/>
    <w:basedOn w:val="1"/>
    <w:next w:val="1"/>
    <w:link w:val="458"/>
    <w:qFormat/>
    <w:uiPriority w:val="99"/>
    <w:pPr>
      <w:keepNext/>
      <w:keepLines/>
      <w:spacing w:before="260" w:after="260" w:line="415" w:lineRule="auto"/>
      <w:outlineLvl w:val="2"/>
    </w:pPr>
    <w:rPr>
      <w:rFonts w:ascii="Calibri" w:hAnsi="Calibri"/>
      <w:b/>
      <w:bCs/>
      <w:kern w:val="0"/>
      <w:sz w:val="32"/>
      <w:szCs w:val="32"/>
    </w:rPr>
  </w:style>
  <w:style w:type="paragraph" w:customStyle="1" w:styleId="141">
    <w:name w:val="自创2级"/>
    <w:basedOn w:val="3"/>
    <w:link w:val="459"/>
    <w:qFormat/>
    <w:uiPriority w:val="99"/>
    <w:pPr>
      <w:numPr>
        <w:ilvl w:val="1"/>
        <w:numId w:val="3"/>
      </w:numPr>
      <w:tabs>
        <w:tab w:val="left" w:pos="0"/>
        <w:tab w:val="left" w:pos="360"/>
      </w:tabs>
      <w:spacing w:before="0" w:after="0" w:line="360" w:lineRule="auto"/>
      <w:ind w:left="0" w:firstLine="0"/>
    </w:pPr>
    <w:rPr>
      <w:rFonts w:ascii="黑体" w:hAnsi="黑体"/>
      <w:kern w:val="0"/>
      <w:sz w:val="30"/>
      <w:szCs w:val="30"/>
    </w:rPr>
  </w:style>
  <w:style w:type="paragraph" w:customStyle="1" w:styleId="142">
    <w:name w:val="z-窗体顶端1"/>
    <w:basedOn w:val="1"/>
    <w:next w:val="1"/>
    <w:link w:val="464"/>
    <w:qFormat/>
    <w:uiPriority w:val="99"/>
    <w:pPr>
      <w:widowControl/>
      <w:pBdr>
        <w:bottom w:val="single" w:color="auto" w:sz="6" w:space="1"/>
      </w:pBdr>
      <w:jc w:val="center"/>
    </w:pPr>
    <w:rPr>
      <w:rFonts w:ascii="Arial" w:hAnsi="Arial"/>
      <w:vanish/>
      <w:kern w:val="0"/>
      <w:sz w:val="16"/>
      <w:szCs w:val="16"/>
    </w:rPr>
  </w:style>
  <w:style w:type="paragraph" w:customStyle="1" w:styleId="143">
    <w:name w:val="自创表"/>
    <w:basedOn w:val="16"/>
    <w:link w:val="466"/>
    <w:qFormat/>
    <w:uiPriority w:val="99"/>
    <w:pPr>
      <w:spacing w:line="240" w:lineRule="auto"/>
      <w:jc w:val="center"/>
    </w:pPr>
    <w:rPr>
      <w:kern w:val="0"/>
    </w:rPr>
  </w:style>
  <w:style w:type="paragraph" w:customStyle="1" w:styleId="144">
    <w:name w:val="仿宋三号正文"/>
    <w:basedOn w:val="1"/>
    <w:link w:val="469"/>
    <w:qFormat/>
    <w:uiPriority w:val="99"/>
    <w:pPr>
      <w:ind w:firstLine="739" w:firstLineChars="231"/>
    </w:pPr>
    <w:rPr>
      <w:rFonts w:ascii="仿宋_GB2312" w:hAnsi="仿宋_GB2312" w:eastAsia="仿宋_GB2312"/>
      <w:bCs/>
      <w:kern w:val="0"/>
      <w:sz w:val="32"/>
      <w:szCs w:val="32"/>
    </w:rPr>
  </w:style>
  <w:style w:type="paragraph" w:customStyle="1" w:styleId="145">
    <w:name w:val="自创英"/>
    <w:basedOn w:val="1"/>
    <w:link w:val="472"/>
    <w:qFormat/>
    <w:uiPriority w:val="99"/>
    <w:pPr>
      <w:widowControl/>
      <w:pBdr>
        <w:top w:val="dotted" w:color="778855" w:sz="6" w:space="8"/>
        <w:left w:val="dotted" w:color="778855" w:sz="6" w:space="8"/>
        <w:bottom w:val="dotted" w:color="778855" w:sz="6" w:space="8"/>
        <w:right w:val="dotted" w:color="778855" w:sz="6" w:space="8"/>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kern w:val="0"/>
      <w:sz w:val="24"/>
      <w:shd w:val="clear" w:color="auto" w:fill="F5F5F5"/>
    </w:rPr>
  </w:style>
  <w:style w:type="paragraph" w:customStyle="1" w:styleId="146">
    <w:name w:val="七章格式正文"/>
    <w:basedOn w:val="1"/>
    <w:link w:val="473"/>
    <w:qFormat/>
    <w:uiPriority w:val="99"/>
    <w:pPr>
      <w:ind w:firstLine="566" w:firstLineChars="202"/>
    </w:pPr>
    <w:rPr>
      <w:kern w:val="0"/>
      <w:sz w:val="28"/>
    </w:rPr>
  </w:style>
  <w:style w:type="paragraph" w:customStyle="1" w:styleId="147">
    <w:name w:val="首示例"/>
    <w:next w:val="131"/>
    <w:link w:val="475"/>
    <w:qFormat/>
    <w:uiPriority w:val="99"/>
    <w:pPr>
      <w:tabs>
        <w:tab w:val="left" w:pos="360"/>
      </w:tabs>
    </w:pPr>
    <w:rPr>
      <w:rFonts w:ascii="宋体" w:hAnsi="宋体" w:eastAsia="宋体" w:cs="Times New Roman"/>
      <w:sz w:val="18"/>
      <w:szCs w:val="18"/>
      <w:lang w:val="en-US" w:eastAsia="zh-CN" w:bidi="ar-SA"/>
    </w:rPr>
  </w:style>
  <w:style w:type="paragraph" w:customStyle="1" w:styleId="148">
    <w:name w:val="样式1正文"/>
    <w:basedOn w:val="1"/>
    <w:link w:val="478"/>
    <w:qFormat/>
    <w:uiPriority w:val="99"/>
    <w:pPr>
      <w:spacing w:line="300" w:lineRule="auto"/>
      <w:ind w:left="210" w:right="210" w:firstLine="420"/>
    </w:pPr>
    <w:rPr>
      <w:rFonts w:ascii="仿宋_GB2312" w:eastAsia="仿宋_GB2312"/>
      <w:kern w:val="0"/>
      <w:sz w:val="24"/>
    </w:rPr>
  </w:style>
  <w:style w:type="paragraph" w:customStyle="1" w:styleId="149">
    <w:name w:val="4级标题"/>
    <w:basedOn w:val="1"/>
    <w:link w:val="483"/>
    <w:qFormat/>
    <w:uiPriority w:val="99"/>
    <w:pPr>
      <w:keepLines/>
      <w:numPr>
        <w:ilvl w:val="3"/>
        <w:numId w:val="4"/>
      </w:numPr>
      <w:tabs>
        <w:tab w:val="left" w:pos="0"/>
      </w:tabs>
      <w:spacing w:line="360" w:lineRule="auto"/>
      <w:contextualSpacing/>
      <w:jc w:val="left"/>
      <w:outlineLvl w:val="3"/>
    </w:pPr>
    <w:rPr>
      <w:rFonts w:ascii="黑体" w:hAnsi="黑体" w:eastAsia="黑体"/>
      <w:kern w:val="0"/>
      <w:sz w:val="20"/>
      <w:lang w:eastAsia="en-US"/>
    </w:rPr>
  </w:style>
  <w:style w:type="paragraph" w:customStyle="1" w:styleId="150">
    <w:name w:val="列出段落11"/>
    <w:basedOn w:val="1"/>
    <w:link w:val="485"/>
    <w:qFormat/>
    <w:uiPriority w:val="99"/>
    <w:pPr>
      <w:ind w:firstLine="420" w:firstLineChars="200"/>
    </w:pPr>
    <w:rPr>
      <w:rFonts w:ascii="Calibri" w:hAnsi="Calibri"/>
      <w:kern w:val="0"/>
      <w:sz w:val="20"/>
      <w:szCs w:val="20"/>
    </w:rPr>
  </w:style>
  <w:style w:type="paragraph" w:customStyle="1" w:styleId="151">
    <w:name w:val="3级标题"/>
    <w:basedOn w:val="1"/>
    <w:link w:val="488"/>
    <w:qFormat/>
    <w:uiPriority w:val="99"/>
    <w:pPr>
      <w:keepLines/>
      <w:numPr>
        <w:ilvl w:val="2"/>
        <w:numId w:val="4"/>
      </w:numPr>
      <w:tabs>
        <w:tab w:val="left" w:pos="0"/>
      </w:tabs>
      <w:spacing w:before="120" w:after="120" w:line="360" w:lineRule="auto"/>
      <w:contextualSpacing/>
      <w:jc w:val="left"/>
      <w:outlineLvl w:val="2"/>
    </w:pPr>
    <w:rPr>
      <w:rFonts w:ascii="黑体" w:hAnsi="黑体" w:eastAsia="黑体"/>
      <w:kern w:val="0"/>
      <w:sz w:val="20"/>
      <w:szCs w:val="36"/>
      <w:lang w:eastAsia="en-US"/>
    </w:rPr>
  </w:style>
  <w:style w:type="paragraph" w:customStyle="1" w:styleId="152">
    <w:name w:val="正文缩进体"/>
    <w:basedOn w:val="1"/>
    <w:link w:val="489"/>
    <w:qFormat/>
    <w:uiPriority w:val="99"/>
    <w:pPr>
      <w:tabs>
        <w:tab w:val="left" w:pos="840"/>
      </w:tabs>
      <w:adjustRightInd w:val="0"/>
      <w:ind w:right="-107" w:rightChars="-51" w:firstLine="420" w:firstLineChars="200"/>
      <w:jc w:val="left"/>
      <w:textAlignment w:val="baseline"/>
    </w:pPr>
    <w:rPr>
      <w:kern w:val="0"/>
      <w:sz w:val="20"/>
      <w:szCs w:val="21"/>
    </w:rPr>
  </w:style>
  <w:style w:type="paragraph" w:customStyle="1" w:styleId="153">
    <w:name w:val="标题3新"/>
    <w:basedOn w:val="139"/>
    <w:link w:val="490"/>
    <w:qFormat/>
    <w:uiPriority w:val="99"/>
    <w:pPr>
      <w:ind w:left="0" w:firstLine="284"/>
    </w:pPr>
    <w:rPr>
      <w:rFonts w:hAnsi="黑体"/>
      <w:sz w:val="20"/>
      <w:szCs w:val="20"/>
    </w:rPr>
  </w:style>
  <w:style w:type="paragraph" w:customStyle="1" w:styleId="154">
    <w:name w:val="重庆_正文样式"/>
    <w:basedOn w:val="1"/>
    <w:link w:val="491"/>
    <w:qFormat/>
    <w:uiPriority w:val="99"/>
    <w:pPr>
      <w:widowControl/>
      <w:tabs>
        <w:tab w:val="left" w:pos="840"/>
      </w:tabs>
      <w:autoSpaceDE w:val="0"/>
      <w:autoSpaceDN w:val="0"/>
      <w:adjustRightInd w:val="0"/>
      <w:spacing w:line="360" w:lineRule="auto"/>
      <w:ind w:firstLine="538" w:firstLineChars="192"/>
      <w:jc w:val="left"/>
    </w:pPr>
    <w:rPr>
      <w:kern w:val="0"/>
      <w:sz w:val="28"/>
      <w:szCs w:val="28"/>
    </w:rPr>
  </w:style>
  <w:style w:type="paragraph" w:customStyle="1" w:styleId="155">
    <w:name w:val="附录公式"/>
    <w:basedOn w:val="131"/>
    <w:next w:val="131"/>
    <w:link w:val="495"/>
    <w:qFormat/>
    <w:uiPriority w:val="99"/>
    <w:rPr>
      <w:sz w:val="20"/>
    </w:rPr>
  </w:style>
  <w:style w:type="paragraph" w:customStyle="1" w:styleId="156">
    <w:name w:val="自创英文"/>
    <w:basedOn w:val="157"/>
    <w:link w:val="496"/>
    <w:qFormat/>
    <w:uiPriority w:val="99"/>
    <w:pPr>
      <w:tabs>
        <w:tab w:val="left" w:pos="360"/>
        <w:tab w:val="left" w:pos="1680"/>
      </w:tabs>
    </w:pPr>
    <w:rPr>
      <w:rFonts w:ascii="Times New Roman" w:hAnsi="Times New Roman"/>
    </w:rPr>
  </w:style>
  <w:style w:type="paragraph" w:customStyle="1" w:styleId="157">
    <w:name w:val="自创5级"/>
    <w:basedOn w:val="137"/>
    <w:link w:val="497"/>
    <w:qFormat/>
    <w:uiPriority w:val="99"/>
    <w:pPr>
      <w:tabs>
        <w:tab w:val="clear" w:pos="0"/>
      </w:tabs>
      <w:ind w:left="0" w:firstLine="480" w:firstLineChars="200"/>
    </w:pPr>
  </w:style>
  <w:style w:type="paragraph" w:customStyle="1" w:styleId="158">
    <w:name w:val="标准正文"/>
    <w:basedOn w:val="1"/>
    <w:link w:val="505"/>
    <w:qFormat/>
    <w:uiPriority w:val="99"/>
    <w:pPr>
      <w:spacing w:before="156" w:after="156" w:line="360" w:lineRule="auto"/>
      <w:ind w:firstLine="480" w:firstLineChars="200"/>
    </w:pPr>
    <w:rPr>
      <w:kern w:val="0"/>
      <w:sz w:val="24"/>
      <w:szCs w:val="20"/>
    </w:rPr>
  </w:style>
  <w:style w:type="paragraph" w:customStyle="1" w:styleId="159">
    <w:name w:val="自创正文"/>
    <w:basedOn w:val="1"/>
    <w:link w:val="511"/>
    <w:qFormat/>
    <w:uiPriority w:val="99"/>
    <w:pPr>
      <w:spacing w:line="360" w:lineRule="auto"/>
      <w:ind w:firstLine="480" w:firstLineChars="200"/>
    </w:pPr>
    <w:rPr>
      <w:rFonts w:ascii="宋体" w:hAnsi="宋体"/>
      <w:kern w:val="0"/>
      <w:sz w:val="24"/>
    </w:rPr>
  </w:style>
  <w:style w:type="paragraph" w:customStyle="1" w:styleId="160">
    <w:name w:val="*正文"/>
    <w:basedOn w:val="1"/>
    <w:link w:val="512"/>
    <w:qFormat/>
    <w:uiPriority w:val="99"/>
    <w:pPr>
      <w:spacing w:line="300" w:lineRule="auto"/>
      <w:ind w:firstLine="420" w:firstLineChars="200"/>
    </w:pPr>
    <w:rPr>
      <w:rFonts w:ascii="宋体" w:hAnsi="宋体"/>
      <w:kern w:val="0"/>
      <w:sz w:val="20"/>
      <w:szCs w:val="21"/>
    </w:rPr>
  </w:style>
  <w:style w:type="paragraph" w:customStyle="1" w:styleId="161">
    <w:name w:val="样式 标题 5 + 左  0 字符"/>
    <w:basedOn w:val="6"/>
    <w:qFormat/>
    <w:uiPriority w:val="99"/>
    <w:pPr>
      <w:ind w:right="210" w:rightChars="100"/>
    </w:pPr>
    <w:rPr>
      <w:rFonts w:ascii="黑体" w:hAnsi="宋体" w:eastAsia="黑体" w:cs="宋体"/>
      <w:bCs/>
      <w:sz w:val="24"/>
      <w:szCs w:val="20"/>
    </w:rPr>
  </w:style>
  <w:style w:type="paragraph" w:customStyle="1" w:styleId="162">
    <w:name w:val="图编号"/>
    <w:basedOn w:val="1"/>
    <w:qFormat/>
    <w:uiPriority w:val="99"/>
    <w:pPr>
      <w:keepLines/>
      <w:widowControl/>
      <w:tabs>
        <w:tab w:val="left" w:pos="851"/>
      </w:tabs>
      <w:adjustRightInd w:val="0"/>
      <w:snapToGrid w:val="0"/>
      <w:spacing w:beforeLines="50" w:afterLines="50"/>
      <w:jc w:val="center"/>
      <w:textAlignment w:val="baseline"/>
    </w:pPr>
    <w:rPr>
      <w:rFonts w:ascii="宋体" w:hAnsi="宋体"/>
      <w:bCs/>
      <w:kern w:val="0"/>
      <w:szCs w:val="21"/>
    </w:rPr>
  </w:style>
  <w:style w:type="paragraph" w:customStyle="1" w:styleId="163">
    <w:name w:val="msonormalcxspmidd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164">
    <w:name w:val="样式 章标题 + 段前: 0.5 行 段后: 0.5 行"/>
    <w:basedOn w:val="165"/>
    <w:qFormat/>
    <w:uiPriority w:val="99"/>
    <w:pPr>
      <w:numPr>
        <w:ilvl w:val="1"/>
        <w:numId w:val="5"/>
      </w:numPr>
      <w:tabs>
        <w:tab w:val="left" w:pos="786"/>
        <w:tab w:val="left" w:pos="840"/>
        <w:tab w:val="left" w:pos="1200"/>
      </w:tabs>
      <w:spacing w:beforeLines="50" w:afterLines="50"/>
    </w:pPr>
    <w:rPr>
      <w:rFonts w:cs="宋体"/>
    </w:rPr>
  </w:style>
  <w:style w:type="paragraph" w:customStyle="1" w:styleId="165">
    <w:name w:val="章标题"/>
    <w:next w:val="131"/>
    <w:qFormat/>
    <w:uiPriority w:val="99"/>
    <w:pPr>
      <w:numPr>
        <w:ilvl w:val="2"/>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166">
    <w:name w:val="图的脚注"/>
    <w:next w:val="131"/>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67">
    <w:name w:val="一级无"/>
    <w:basedOn w:val="133"/>
    <w:qFormat/>
    <w:uiPriority w:val="99"/>
    <w:pPr>
      <w:numPr>
        <w:ilvl w:val="0"/>
        <w:numId w:val="6"/>
      </w:numPr>
      <w:tabs>
        <w:tab w:val="left" w:pos="57"/>
        <w:tab w:val="left" w:pos="1259"/>
      </w:tabs>
      <w:spacing w:beforeLines="0" w:afterLines="0"/>
      <w:ind w:left="363" w:hanging="363"/>
    </w:pPr>
    <w:rPr>
      <w:rFonts w:ascii="宋体" w:eastAsia="宋体"/>
    </w:rPr>
  </w:style>
  <w:style w:type="paragraph" w:customStyle="1" w:styleId="168">
    <w:name w:val="封面标准英文名称2"/>
    <w:basedOn w:val="169"/>
    <w:qFormat/>
    <w:uiPriority w:val="99"/>
  </w:style>
  <w:style w:type="paragraph" w:customStyle="1" w:styleId="169">
    <w:name w:val="封面标准英文名称"/>
    <w:basedOn w:val="170"/>
    <w:qFormat/>
    <w:uiPriority w:val="99"/>
    <w:pPr>
      <w:spacing w:before="370" w:line="400" w:lineRule="exact"/>
    </w:pPr>
    <w:rPr>
      <w:rFonts w:ascii="Times New Roman"/>
      <w:sz w:val="28"/>
      <w:szCs w:val="28"/>
    </w:rPr>
  </w:style>
  <w:style w:type="paragraph" w:customStyle="1" w:styleId="170">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1">
    <w:name w:val="表格内文"/>
    <w:basedOn w:val="1"/>
    <w:qFormat/>
    <w:uiPriority w:val="99"/>
    <w:pPr>
      <w:spacing w:line="400" w:lineRule="exact"/>
    </w:pPr>
    <w:rPr>
      <w:rFonts w:ascii="Arial" w:hAnsi="Arial" w:cs="宋体"/>
      <w:szCs w:val="20"/>
    </w:rPr>
  </w:style>
  <w:style w:type="paragraph" w:customStyle="1" w:styleId="172">
    <w:name w:val="附录一级无"/>
    <w:basedOn w:val="173"/>
    <w:qFormat/>
    <w:uiPriority w:val="99"/>
    <w:pPr>
      <w:tabs>
        <w:tab w:val="left" w:pos="0"/>
        <w:tab w:val="left" w:pos="360"/>
      </w:tabs>
      <w:spacing w:beforeLines="0" w:afterLines="0"/>
    </w:pPr>
    <w:rPr>
      <w:rFonts w:ascii="宋体" w:eastAsia="宋体"/>
      <w:szCs w:val="21"/>
    </w:rPr>
  </w:style>
  <w:style w:type="paragraph" w:customStyle="1" w:styleId="173">
    <w:name w:val="附录一级条标题"/>
    <w:basedOn w:val="174"/>
    <w:next w:val="131"/>
    <w:qFormat/>
    <w:uiPriority w:val="99"/>
    <w:pPr>
      <w:numPr>
        <w:numId w:val="0"/>
      </w:numPr>
      <w:tabs>
        <w:tab w:val="left" w:pos="0"/>
        <w:tab w:val="left" w:pos="360"/>
      </w:tabs>
      <w:autoSpaceDN w:val="0"/>
      <w:spacing w:beforeLines="50" w:afterLines="50"/>
      <w:outlineLvl w:val="2"/>
    </w:pPr>
  </w:style>
  <w:style w:type="paragraph" w:customStyle="1" w:styleId="174">
    <w:name w:val="附录章标题"/>
    <w:next w:val="131"/>
    <w:qFormat/>
    <w:uiPriority w:val="99"/>
    <w:pPr>
      <w:numPr>
        <w:ilvl w:val="1"/>
        <w:numId w:val="7"/>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75">
    <w:name w:val="msonormalcxsplas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6">
    <w:name w:val="Char Char1 Char Char Char Char Char Char Char Char Char Char Char Char Char Char Char Char Char1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77">
    <w:name w:val="附录二级条标题"/>
    <w:basedOn w:val="1"/>
    <w:next w:val="131"/>
    <w:qFormat/>
    <w:uiPriority w:val="99"/>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78">
    <w:name w:val="附录公式编号制表符"/>
    <w:basedOn w:val="1"/>
    <w:next w:val="131"/>
    <w:qFormat/>
    <w:uiPriority w:val="99"/>
    <w:pPr>
      <w:widowControl/>
      <w:tabs>
        <w:tab w:val="center" w:pos="4201"/>
        <w:tab w:val="right" w:leader="dot" w:pos="9298"/>
      </w:tabs>
      <w:autoSpaceDE w:val="0"/>
      <w:autoSpaceDN w:val="0"/>
    </w:pPr>
    <w:rPr>
      <w:rFonts w:ascii="宋体"/>
      <w:kern w:val="0"/>
      <w:szCs w:val="20"/>
    </w:rPr>
  </w:style>
  <w:style w:type="paragraph" w:customStyle="1" w:styleId="179">
    <w:name w:val="附录五级无"/>
    <w:basedOn w:val="180"/>
    <w:qFormat/>
    <w:uiPriority w:val="99"/>
    <w:pPr>
      <w:tabs>
        <w:tab w:val="left" w:pos="360"/>
      </w:tabs>
      <w:spacing w:beforeLines="0" w:afterLines="0"/>
    </w:pPr>
    <w:rPr>
      <w:rFonts w:ascii="宋体" w:eastAsia="宋体"/>
      <w:szCs w:val="21"/>
    </w:rPr>
  </w:style>
  <w:style w:type="paragraph" w:customStyle="1" w:styleId="180">
    <w:name w:val="附录五级条标题"/>
    <w:basedOn w:val="181"/>
    <w:next w:val="131"/>
    <w:qFormat/>
    <w:uiPriority w:val="99"/>
    <w:pPr>
      <w:tabs>
        <w:tab w:val="left" w:pos="360"/>
      </w:tabs>
      <w:ind w:left="2940" w:hanging="420"/>
      <w:outlineLvl w:val="6"/>
    </w:pPr>
  </w:style>
  <w:style w:type="paragraph" w:customStyle="1" w:styleId="181">
    <w:name w:val="附录四级条标题"/>
    <w:basedOn w:val="182"/>
    <w:next w:val="131"/>
    <w:qFormat/>
    <w:uiPriority w:val="99"/>
    <w:pPr>
      <w:tabs>
        <w:tab w:val="left" w:pos="360"/>
      </w:tabs>
      <w:outlineLvl w:val="5"/>
    </w:pPr>
  </w:style>
  <w:style w:type="paragraph" w:customStyle="1" w:styleId="182">
    <w:name w:val="附录三级条标题"/>
    <w:basedOn w:val="177"/>
    <w:next w:val="131"/>
    <w:qFormat/>
    <w:uiPriority w:val="99"/>
    <w:pPr>
      <w:outlineLvl w:val="4"/>
    </w:pPr>
  </w:style>
  <w:style w:type="paragraph" w:customStyle="1" w:styleId="183">
    <w:name w:val="TOC 标题1"/>
    <w:basedOn w:val="2"/>
    <w:next w:val="1"/>
    <w:qFormat/>
    <w:uiPriority w:val="99"/>
    <w:pPr>
      <w:widowControl/>
      <w:numPr>
        <w:ilvl w:val="0"/>
        <w:numId w:val="3"/>
      </w:numPr>
      <w:spacing w:before="480" w:after="0" w:line="276" w:lineRule="auto"/>
      <w:ind w:left="0" w:firstLine="0"/>
      <w:jc w:val="left"/>
      <w:outlineLvl w:val="9"/>
    </w:pPr>
    <w:rPr>
      <w:rFonts w:ascii="Cambria" w:hAnsi="Cambria"/>
      <w:bCs w:val="0"/>
      <w:color w:val="365F91"/>
      <w:kern w:val="0"/>
      <w:sz w:val="28"/>
      <w:szCs w:val="28"/>
    </w:rPr>
  </w:style>
  <w:style w:type="paragraph" w:customStyle="1" w:styleId="184">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5">
    <w:name w:val="四级无标题条"/>
    <w:basedOn w:val="1"/>
    <w:qFormat/>
    <w:uiPriority w:val="99"/>
    <w:rPr>
      <w:sz w:val="24"/>
      <w:szCs w:val="20"/>
    </w:rPr>
  </w:style>
  <w:style w:type="paragraph" w:customStyle="1" w:styleId="186">
    <w:name w:val="附录图标题"/>
    <w:basedOn w:val="1"/>
    <w:next w:val="131"/>
    <w:qFormat/>
    <w:uiPriority w:val="99"/>
    <w:pPr>
      <w:numPr>
        <w:ilvl w:val="1"/>
        <w:numId w:val="8"/>
      </w:numPr>
      <w:tabs>
        <w:tab w:val="left" w:pos="363"/>
      </w:tabs>
      <w:spacing w:beforeLines="50" w:afterLines="50"/>
      <w:ind w:left="0" w:firstLine="0"/>
      <w:jc w:val="center"/>
    </w:pPr>
    <w:rPr>
      <w:rFonts w:ascii="黑体" w:eastAsia="黑体"/>
      <w:szCs w:val="21"/>
    </w:rPr>
  </w:style>
  <w:style w:type="paragraph" w:customStyle="1" w:styleId="187">
    <w:name w:val="z-窗体顶端2"/>
    <w:basedOn w:val="1"/>
    <w:next w:val="1"/>
    <w:qFormat/>
    <w:uiPriority w:val="99"/>
    <w:pPr>
      <w:widowControl/>
      <w:pBdr>
        <w:bottom w:val="single" w:color="auto" w:sz="6" w:space="1"/>
      </w:pBdr>
      <w:jc w:val="center"/>
    </w:pPr>
    <w:rPr>
      <w:rFonts w:ascii="Arial" w:hAnsi="Arial"/>
      <w:vanish/>
      <w:kern w:val="0"/>
      <w:sz w:val="16"/>
      <w:szCs w:val="16"/>
    </w:rPr>
  </w:style>
  <w:style w:type="paragraph" w:customStyle="1" w:styleId="188">
    <w:name w:val="Char11"/>
    <w:basedOn w:val="1"/>
    <w:qFormat/>
    <w:uiPriority w:val="99"/>
    <w:rPr>
      <w:rFonts w:ascii="Tahoma" w:hAnsi="Tahoma"/>
      <w:sz w:val="24"/>
      <w:szCs w:val="20"/>
    </w:rPr>
  </w:style>
  <w:style w:type="paragraph" w:customStyle="1" w:styleId="189">
    <w:name w:val="表格标题2"/>
    <w:basedOn w:val="171"/>
    <w:qFormat/>
    <w:uiPriority w:val="99"/>
    <w:rPr>
      <w:b/>
    </w:rPr>
  </w:style>
  <w:style w:type="paragraph" w:customStyle="1" w:styleId="190">
    <w:name w:val="附录字母编号列项（一级）"/>
    <w:qFormat/>
    <w:uiPriority w:val="99"/>
    <w:pPr>
      <w:numPr>
        <w:ilvl w:val="0"/>
        <w:numId w:val="9"/>
      </w:numPr>
      <w:tabs>
        <w:tab w:val="left" w:pos="839"/>
      </w:tabs>
    </w:pPr>
    <w:rPr>
      <w:rFonts w:ascii="宋体" w:hAnsi="Times New Roman" w:eastAsia="宋体" w:cs="Times New Roman"/>
      <w:sz w:val="21"/>
      <w:lang w:val="en-US" w:eastAsia="zh-CN" w:bidi="ar-SA"/>
    </w:rPr>
  </w:style>
  <w:style w:type="paragraph" w:customStyle="1" w:styleId="191">
    <w:name w:val="封面一致性程度标识"/>
    <w:basedOn w:val="169"/>
    <w:qFormat/>
    <w:uiPriority w:val="99"/>
    <w:pPr>
      <w:spacing w:before="440"/>
    </w:pPr>
    <w:rPr>
      <w:rFonts w:ascii="宋体" w:eastAsia="宋体"/>
    </w:rPr>
  </w:style>
  <w:style w:type="paragraph" w:customStyle="1" w:styleId="192">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3">
    <w:name w:val="条文脚注"/>
    <w:basedOn w:val="46"/>
    <w:qFormat/>
    <w:uiPriority w:val="99"/>
    <w:pPr>
      <w:tabs>
        <w:tab w:val="clear" w:pos="839"/>
      </w:tabs>
      <w:ind w:left="0" w:firstLine="0"/>
      <w:jc w:val="both"/>
    </w:pPr>
  </w:style>
  <w:style w:type="paragraph" w:customStyle="1" w:styleId="194">
    <w:name w:val="列出段落111"/>
    <w:basedOn w:val="1"/>
    <w:qFormat/>
    <w:uiPriority w:val="99"/>
    <w:pPr>
      <w:spacing w:before="100" w:beforeAutospacing="1" w:after="100" w:afterAutospacing="1" w:line="400" w:lineRule="exact"/>
      <w:ind w:firstLine="420" w:firstLineChars="200"/>
    </w:pPr>
    <w:rPr>
      <w:rFonts w:ascii="Arial" w:hAnsi="Arial"/>
    </w:rPr>
  </w:style>
  <w:style w:type="paragraph" w:customStyle="1" w:styleId="195">
    <w:name w:val="font11"/>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196">
    <w:name w:val="_Style 2"/>
    <w:basedOn w:val="1"/>
    <w:qFormat/>
    <w:uiPriority w:val="99"/>
    <w:pPr>
      <w:ind w:firstLine="420" w:firstLineChars="200"/>
    </w:pPr>
    <w:rPr>
      <w:rFonts w:ascii="Calibri" w:hAnsi="Calibri"/>
      <w:szCs w:val="22"/>
    </w:rPr>
  </w:style>
  <w:style w:type="paragraph" w:customStyle="1" w:styleId="197">
    <w:name w:val="Char2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98">
    <w:name w:val="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199">
    <w:name w:val="文档标题"/>
    <w:basedOn w:val="1"/>
    <w:qFormat/>
    <w:uiPriority w:val="99"/>
    <w:pPr>
      <w:numPr>
        <w:ilvl w:val="8"/>
        <w:numId w:val="10"/>
      </w:numPr>
      <w:tabs>
        <w:tab w:val="left" w:pos="0"/>
        <w:tab w:val="left" w:pos="4200"/>
      </w:tabs>
      <w:autoSpaceDE w:val="0"/>
      <w:autoSpaceDN w:val="0"/>
      <w:adjustRightInd w:val="0"/>
      <w:spacing w:before="300" w:after="300"/>
      <w:jc w:val="center"/>
    </w:pPr>
    <w:rPr>
      <w:rFonts w:ascii="Arial" w:hAnsi="Arial" w:eastAsia="黑体"/>
      <w:kern w:val="0"/>
      <w:sz w:val="32"/>
      <w:szCs w:val="32"/>
    </w:rPr>
  </w:style>
  <w:style w:type="paragraph" w:customStyle="1" w:styleId="200">
    <w:name w:val="实施日期"/>
    <w:basedOn w:val="201"/>
    <w:qFormat/>
    <w:uiPriority w:val="99"/>
    <w:pPr>
      <w:jc w:val="right"/>
    </w:pPr>
  </w:style>
  <w:style w:type="paragraph" w:customStyle="1" w:styleId="201">
    <w:name w:val="发布日期"/>
    <w:qFormat/>
    <w:uiPriority w:val="99"/>
    <w:rPr>
      <w:rFonts w:ascii="Times New Roman" w:hAnsi="Times New Roman" w:eastAsia="黑体" w:cs="Times New Roman"/>
      <w:sz w:val="28"/>
      <w:lang w:val="en-US" w:eastAsia="zh-CN" w:bidi="ar-SA"/>
    </w:rPr>
  </w:style>
  <w:style w:type="paragraph" w:customStyle="1" w:styleId="202">
    <w:name w:val="Char Char Char Char Char Char Char Char Char Char"/>
    <w:basedOn w:val="1"/>
    <w:qFormat/>
    <w:uiPriority w:val="99"/>
    <w:pPr>
      <w:widowControl/>
      <w:spacing w:line="400" w:lineRule="exact"/>
      <w:jc w:val="center"/>
    </w:pPr>
    <w:rPr>
      <w:rFonts w:ascii="Verdana" w:hAnsi="Verdana"/>
      <w:kern w:val="0"/>
      <w:szCs w:val="20"/>
      <w:lang w:eastAsia="en-US"/>
    </w:rPr>
  </w:style>
  <w:style w:type="paragraph" w:customStyle="1" w:styleId="203">
    <w:name w:val="封面一致性程度标识2"/>
    <w:basedOn w:val="191"/>
    <w:qFormat/>
    <w:uiPriority w:val="99"/>
  </w:style>
  <w:style w:type="paragraph" w:customStyle="1" w:styleId="204">
    <w:name w:val="封面标准号2"/>
    <w:qFormat/>
    <w:uiPriority w:val="99"/>
    <w:pPr>
      <w:spacing w:before="357" w:line="280" w:lineRule="exact"/>
      <w:jc w:val="right"/>
    </w:pPr>
    <w:rPr>
      <w:rFonts w:ascii="黑体" w:hAnsi="Times New Roman" w:eastAsia="黑体" w:cs="Times New Roman"/>
      <w:sz w:val="28"/>
      <w:szCs w:val="28"/>
      <w:lang w:val="en-US" w:eastAsia="zh-CN" w:bidi="ar-SA"/>
    </w:rPr>
  </w:style>
  <w:style w:type="paragraph" w:customStyle="1" w:styleId="205">
    <w:name w:val="No Spacing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06">
    <w:name w:val="封面标准文稿编辑信息"/>
    <w:basedOn w:val="207"/>
    <w:qFormat/>
    <w:uiPriority w:val="99"/>
    <w:pPr>
      <w:spacing w:before="180" w:line="180" w:lineRule="exact"/>
    </w:pPr>
    <w:rPr>
      <w:sz w:val="21"/>
    </w:rPr>
  </w:style>
  <w:style w:type="paragraph" w:customStyle="1" w:styleId="207">
    <w:name w:val="封面标准文稿类别"/>
    <w:basedOn w:val="191"/>
    <w:qFormat/>
    <w:uiPriority w:val="99"/>
    <w:pPr>
      <w:spacing w:after="160" w:line="240" w:lineRule="auto"/>
    </w:pPr>
    <w:rPr>
      <w:sz w:val="24"/>
    </w:rPr>
  </w:style>
  <w:style w:type="paragraph" w:customStyle="1" w:styleId="208">
    <w:name w:val="三级无标题条"/>
    <w:basedOn w:val="1"/>
    <w:qFormat/>
    <w:uiPriority w:val="99"/>
    <w:rPr>
      <w:sz w:val="24"/>
      <w:szCs w:val="20"/>
    </w:rPr>
  </w:style>
  <w:style w:type="paragraph" w:customStyle="1" w:styleId="209">
    <w:name w:val="标准标志"/>
    <w:next w:val="1"/>
    <w:qFormat/>
    <w:uiPriority w:val="99"/>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210">
    <w:name w:val="其他发布日期"/>
    <w:basedOn w:val="201"/>
    <w:qFormat/>
    <w:uiPriority w:val="99"/>
  </w:style>
  <w:style w:type="paragraph" w:customStyle="1" w:styleId="211">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212">
    <w:name w:val="xl74"/>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13">
    <w:name w:val="目次、标准名称标题"/>
    <w:basedOn w:val="1"/>
    <w:next w:val="131"/>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4">
    <w:name w:val="其他标准称谓"/>
    <w:next w:val="1"/>
    <w:qFormat/>
    <w:uiPriority w:val="99"/>
    <w:pPr>
      <w:spacing w:line="240" w:lineRule="atLeast"/>
      <w:jc w:val="distribute"/>
    </w:pPr>
    <w:rPr>
      <w:rFonts w:ascii="黑体" w:hAnsi="宋体" w:eastAsia="黑体" w:cs="Times New Roman"/>
      <w:spacing w:val="-40"/>
      <w:sz w:val="48"/>
      <w:szCs w:val="52"/>
      <w:lang w:val="en-US" w:eastAsia="zh-CN" w:bidi="ar-SA"/>
    </w:rPr>
  </w:style>
  <w:style w:type="paragraph" w:customStyle="1" w:styleId="215">
    <w:name w:val="封面标准文稿类别2"/>
    <w:basedOn w:val="207"/>
    <w:qFormat/>
    <w:uiPriority w:val="99"/>
  </w:style>
  <w:style w:type="paragraph" w:customStyle="1" w:styleId="216">
    <w:name w:val="正文表标题"/>
    <w:next w:val="131"/>
    <w:qFormat/>
    <w:uiPriority w:val="99"/>
    <w:pPr>
      <w:numPr>
        <w:ilvl w:val="0"/>
        <w:numId w:val="11"/>
      </w:numPr>
      <w:spacing w:beforeLines="50" w:afterLines="50"/>
      <w:jc w:val="center"/>
    </w:pPr>
    <w:rPr>
      <w:rFonts w:ascii="黑体" w:hAnsi="Times New Roman" w:eastAsia="黑体" w:cs="Times New Roman"/>
      <w:sz w:val="21"/>
      <w:lang w:val="en-US" w:eastAsia="zh-CN" w:bidi="ar-SA"/>
    </w:rPr>
  </w:style>
  <w:style w:type="paragraph" w:customStyle="1" w:styleId="217">
    <w:name w:val="Body"/>
    <w:basedOn w:val="1"/>
    <w:qFormat/>
    <w:uiPriority w:val="99"/>
    <w:pPr>
      <w:widowControl/>
      <w:tabs>
        <w:tab w:val="left" w:pos="1980"/>
      </w:tabs>
      <w:spacing w:before="80" w:after="80" w:line="288" w:lineRule="auto"/>
      <w:ind w:left="1259" w:firstLine="225"/>
      <w:jc w:val="left"/>
    </w:pPr>
    <w:rPr>
      <w:color w:val="000000"/>
      <w:kern w:val="0"/>
      <w:szCs w:val="21"/>
    </w:rPr>
  </w:style>
  <w:style w:type="paragraph" w:customStyle="1" w:styleId="218">
    <w:name w:val="注："/>
    <w:next w:val="131"/>
    <w:qFormat/>
    <w:uiPriority w:val="99"/>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219">
    <w:name w:val="附录标题"/>
    <w:basedOn w:val="131"/>
    <w:next w:val="131"/>
    <w:qFormat/>
    <w:uiPriority w:val="99"/>
    <w:pPr>
      <w:ind w:firstLine="0" w:firstLineChars="0"/>
      <w:jc w:val="center"/>
    </w:pPr>
    <w:rPr>
      <w:rFonts w:ascii="黑体" w:eastAsia="黑体"/>
    </w:rPr>
  </w:style>
  <w:style w:type="paragraph" w:customStyle="1" w:styleId="220">
    <w:name w:val="示例后文字"/>
    <w:basedOn w:val="131"/>
    <w:next w:val="131"/>
    <w:qFormat/>
    <w:uiPriority w:val="99"/>
    <w:pPr>
      <w:ind w:firstLine="360"/>
    </w:pPr>
    <w:rPr>
      <w:sz w:val="18"/>
    </w:rPr>
  </w:style>
  <w:style w:type="paragraph" w:customStyle="1" w:styleId="221">
    <w:name w:val="标题1"/>
    <w:basedOn w:val="2"/>
    <w:qFormat/>
    <w:uiPriority w:val="99"/>
    <w:pPr>
      <w:widowControl/>
      <w:pBdr>
        <w:bottom w:val="single" w:color="auto" w:sz="8" w:space="6"/>
      </w:pBdr>
      <w:tabs>
        <w:tab w:val="left" w:pos="360"/>
        <w:tab w:val="left" w:pos="1247"/>
      </w:tabs>
      <w:spacing w:before="480" w:after="240" w:line="240" w:lineRule="auto"/>
      <w:ind w:left="1247" w:hanging="1247"/>
      <w:jc w:val="left"/>
    </w:pPr>
    <w:rPr>
      <w:rFonts w:ascii="Arial" w:hAnsi="Arial" w:eastAsia="黑体"/>
      <w:smallCaps/>
      <w:spacing w:val="10"/>
      <w:kern w:val="20"/>
      <w:sz w:val="32"/>
      <w:szCs w:val="32"/>
    </w:rPr>
  </w:style>
  <w:style w:type="paragraph" w:customStyle="1" w:styleId="222">
    <w:name w:val="Char Char2 Char"/>
    <w:basedOn w:val="1"/>
    <w:qFormat/>
    <w:uiPriority w:val="99"/>
    <w:pPr>
      <w:keepNext/>
      <w:keepLines/>
      <w:pageBreakBefore/>
      <w:tabs>
        <w:tab w:val="left" w:pos="845"/>
      </w:tabs>
      <w:ind w:left="845" w:hanging="420"/>
    </w:pPr>
    <w:rPr>
      <w:rFonts w:ascii="Tahoma" w:hAnsi="Tahoma"/>
      <w:sz w:val="24"/>
      <w:szCs w:val="20"/>
    </w:rPr>
  </w:style>
  <w:style w:type="paragraph" w:customStyle="1" w:styleId="223">
    <w:name w:val="三级条标题"/>
    <w:basedOn w:val="139"/>
    <w:next w:val="131"/>
    <w:qFormat/>
    <w:uiPriority w:val="99"/>
    <w:pPr>
      <w:numPr>
        <w:ilvl w:val="3"/>
        <w:numId w:val="2"/>
      </w:numPr>
      <w:tabs>
        <w:tab w:val="left" w:pos="1200"/>
      </w:tabs>
      <w:ind w:left="1200"/>
      <w:outlineLvl w:val="4"/>
    </w:pPr>
  </w:style>
  <w:style w:type="paragraph" w:customStyle="1" w:styleId="224">
    <w:name w:val="四级条标题"/>
    <w:basedOn w:val="223"/>
    <w:next w:val="131"/>
    <w:qFormat/>
    <w:uiPriority w:val="99"/>
    <w:pPr>
      <w:numPr>
        <w:ilvl w:val="5"/>
      </w:numPr>
      <w:ind w:hanging="360"/>
      <w:outlineLvl w:val="5"/>
    </w:pPr>
  </w:style>
  <w:style w:type="paragraph" w:customStyle="1" w:styleId="225">
    <w:name w:val="表格文本居中 +加重"/>
    <w:basedOn w:val="1"/>
    <w:qFormat/>
    <w:uiPriority w:val="99"/>
    <w:pPr>
      <w:jc w:val="center"/>
    </w:pPr>
    <w:rPr>
      <w:rFonts w:ascii="Calibri" w:hAnsi="Calibri"/>
      <w:b/>
      <w:szCs w:val="22"/>
    </w:rPr>
  </w:style>
  <w:style w:type="paragraph" w:customStyle="1" w:styleId="226">
    <w:name w:val="_Style 20"/>
    <w:basedOn w:val="1"/>
    <w:qFormat/>
    <w:uiPriority w:val="99"/>
  </w:style>
  <w:style w:type="paragraph" w:customStyle="1" w:styleId="227">
    <w:name w:val="图号"/>
    <w:basedOn w:val="1"/>
    <w:qFormat/>
    <w:uiPriority w:val="99"/>
    <w:pPr>
      <w:numPr>
        <w:ilvl w:val="7"/>
        <w:numId w:val="10"/>
      </w:numPr>
      <w:tabs>
        <w:tab w:val="left" w:pos="3780"/>
      </w:tabs>
      <w:autoSpaceDE w:val="0"/>
      <w:autoSpaceDN w:val="0"/>
      <w:adjustRightInd w:val="0"/>
      <w:spacing w:before="105" w:line="360" w:lineRule="auto"/>
      <w:jc w:val="center"/>
    </w:pPr>
    <w:rPr>
      <w:rFonts w:ascii="Arial" w:hAnsi="Arial"/>
      <w:kern w:val="0"/>
      <w:sz w:val="18"/>
      <w:szCs w:val="18"/>
    </w:rPr>
  </w:style>
  <w:style w:type="paragraph" w:customStyle="1" w:styleId="228">
    <w:name w:val="font12"/>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29">
    <w:name w:val="列项◆（三级）"/>
    <w:basedOn w:val="1"/>
    <w:qFormat/>
    <w:uiPriority w:val="99"/>
    <w:pPr>
      <w:tabs>
        <w:tab w:val="left" w:pos="0"/>
        <w:tab w:val="left" w:pos="1678"/>
      </w:tabs>
      <w:ind w:left="1678" w:hanging="419"/>
    </w:pPr>
    <w:rPr>
      <w:rFonts w:ascii="宋体"/>
      <w:szCs w:val="21"/>
    </w:rPr>
  </w:style>
  <w:style w:type="paragraph" w:customStyle="1" w:styleId="230">
    <w:name w:val="项目符号"/>
    <w:basedOn w:val="1"/>
    <w:qFormat/>
    <w:uiPriority w:val="99"/>
    <w:pPr>
      <w:widowControl/>
      <w:tabs>
        <w:tab w:val="left" w:pos="550"/>
      </w:tabs>
      <w:snapToGrid w:val="0"/>
      <w:spacing w:before="120" w:after="120" w:line="276" w:lineRule="auto"/>
      <w:ind w:left="550" w:hanging="550"/>
    </w:pPr>
    <w:rPr>
      <w:rFonts w:ascii="Courier New" w:hAnsi="宋体"/>
      <w:sz w:val="20"/>
      <w:szCs w:val="20"/>
    </w:rPr>
  </w:style>
  <w:style w:type="paragraph" w:customStyle="1" w:styleId="231">
    <w:name w:val="五级条标题"/>
    <w:basedOn w:val="224"/>
    <w:next w:val="131"/>
    <w:qFormat/>
    <w:uiPriority w:val="99"/>
    <w:pPr>
      <w:numPr>
        <w:ilvl w:val="0"/>
        <w:numId w:val="12"/>
      </w:numPr>
      <w:ind w:left="0" w:firstLine="0"/>
      <w:outlineLvl w:val="6"/>
    </w:pPr>
  </w:style>
  <w:style w:type="paragraph" w:customStyle="1" w:styleId="232">
    <w:name w:val="TOC 标题2"/>
    <w:basedOn w:val="2"/>
    <w:next w:val="1"/>
    <w:qFormat/>
    <w:uiPriority w:val="99"/>
    <w:pPr>
      <w:widowControl/>
      <w:tabs>
        <w:tab w:val="left" w:pos="360"/>
      </w:tabs>
      <w:spacing w:before="480" w:after="0" w:line="276" w:lineRule="auto"/>
      <w:jc w:val="left"/>
      <w:outlineLvl w:val="9"/>
    </w:pPr>
    <w:rPr>
      <w:rFonts w:ascii="Cambria" w:hAnsi="Cambria"/>
      <w:bCs w:val="0"/>
      <w:color w:val="365F91"/>
      <w:kern w:val="0"/>
      <w:sz w:val="28"/>
      <w:szCs w:val="28"/>
    </w:rPr>
  </w:style>
  <w:style w:type="paragraph" w:customStyle="1" w:styleId="233">
    <w:name w:val="表头文本"/>
    <w:qFormat/>
    <w:uiPriority w:val="99"/>
    <w:pPr>
      <w:jc w:val="center"/>
    </w:pPr>
    <w:rPr>
      <w:rFonts w:ascii="Arial" w:hAnsi="Arial" w:eastAsia="宋体" w:cs="Times New Roman"/>
      <w:b/>
      <w:sz w:val="21"/>
      <w:szCs w:val="21"/>
      <w:lang w:val="en-US" w:eastAsia="zh-CN" w:bidi="ar-SA"/>
    </w:rPr>
  </w:style>
  <w:style w:type="paragraph" w:customStyle="1" w:styleId="234">
    <w:name w:val="无间隔11"/>
    <w:qFormat/>
    <w:uiPriority w:val="99"/>
    <w:pPr>
      <w:widowControl w:val="0"/>
      <w:jc w:val="both"/>
    </w:pPr>
    <w:rPr>
      <w:rFonts w:ascii="Times New Roman" w:hAnsi="Times New Roman" w:eastAsia="宋体" w:cs="Times New Roman"/>
      <w:lang w:val="en-US" w:eastAsia="zh-CN" w:bidi="ar-SA"/>
    </w:rPr>
  </w:style>
  <w:style w:type="paragraph" w:customStyle="1" w:styleId="235">
    <w:name w:val="标准书眉一"/>
    <w:qFormat/>
    <w:uiPriority w:val="99"/>
    <w:pPr>
      <w:jc w:val="both"/>
    </w:pPr>
    <w:rPr>
      <w:rFonts w:ascii="Times New Roman" w:hAnsi="Times New Roman" w:eastAsia="宋体" w:cs="Times New Roman"/>
      <w:lang w:val="en-US" w:eastAsia="zh-CN" w:bidi="ar-SA"/>
    </w:rPr>
  </w:style>
  <w:style w:type="paragraph" w:customStyle="1" w:styleId="236">
    <w:name w:val="样式 标题 2 + 非加粗 首行缩进:  2 字符"/>
    <w:basedOn w:val="3"/>
    <w:qFormat/>
    <w:uiPriority w:val="99"/>
    <w:pPr>
      <w:tabs>
        <w:tab w:val="left" w:pos="0"/>
        <w:tab w:val="left" w:pos="840"/>
      </w:tabs>
      <w:spacing w:before="0" w:after="0" w:line="600" w:lineRule="exact"/>
      <w:ind w:firstLine="640" w:firstLineChars="200"/>
      <w:jc w:val="left"/>
    </w:pPr>
    <w:rPr>
      <w:rFonts w:eastAsia="宋体" w:cs="宋体"/>
      <w:b w:val="0"/>
      <w:bCs w:val="0"/>
      <w:kern w:val="0"/>
      <w:sz w:val="21"/>
      <w:szCs w:val="20"/>
    </w:rPr>
  </w:style>
  <w:style w:type="paragraph" w:customStyle="1" w:styleId="237">
    <w:name w:val="Char Char Char Char"/>
    <w:basedOn w:val="21"/>
    <w:qFormat/>
    <w:uiPriority w:val="99"/>
    <w:rPr>
      <w:rFonts w:ascii="Tahoma" w:hAnsi="Tahoma"/>
      <w:sz w:val="24"/>
    </w:rPr>
  </w:style>
  <w:style w:type="paragraph" w:customStyle="1" w:styleId="23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9">
    <w:name w:val="样式3"/>
    <w:basedOn w:val="217"/>
    <w:qFormat/>
    <w:uiPriority w:val="99"/>
    <w:pPr>
      <w:tabs>
        <w:tab w:val="left" w:pos="1781"/>
        <w:tab w:val="clear" w:pos="1980"/>
      </w:tabs>
      <w:spacing w:before="60" w:after="60"/>
      <w:ind w:left="1781" w:hanging="420"/>
    </w:pPr>
  </w:style>
  <w:style w:type="paragraph" w:customStyle="1" w:styleId="240">
    <w:name w:val="附录图标号"/>
    <w:basedOn w:val="1"/>
    <w:qFormat/>
    <w:uiPriority w:val="99"/>
    <w:pPr>
      <w:keepNext/>
      <w:pageBreakBefore/>
      <w:widowControl/>
      <w:numPr>
        <w:ilvl w:val="0"/>
        <w:numId w:val="8"/>
      </w:numPr>
      <w:tabs>
        <w:tab w:val="left" w:pos="840"/>
      </w:tabs>
      <w:spacing w:line="14" w:lineRule="exact"/>
      <w:ind w:left="0" w:firstLine="363"/>
      <w:jc w:val="center"/>
      <w:outlineLvl w:val="0"/>
    </w:pPr>
    <w:rPr>
      <w:color w:val="FFFFFF"/>
    </w:rPr>
  </w:style>
  <w:style w:type="paragraph" w:customStyle="1" w:styleId="241">
    <w:name w:val="附录四级无"/>
    <w:basedOn w:val="181"/>
    <w:qFormat/>
    <w:uiPriority w:val="99"/>
    <w:pPr>
      <w:spacing w:beforeLines="0" w:afterLines="0"/>
    </w:pPr>
    <w:rPr>
      <w:rFonts w:ascii="宋体" w:eastAsia="宋体"/>
      <w:szCs w:val="21"/>
    </w:rPr>
  </w:style>
  <w:style w:type="paragraph" w:customStyle="1" w:styleId="242">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3">
    <w:name w:val="五级无"/>
    <w:basedOn w:val="231"/>
    <w:qFormat/>
    <w:uiPriority w:val="99"/>
    <w:pPr>
      <w:numPr>
        <w:numId w:val="0"/>
      </w:numPr>
      <w:spacing w:beforeLines="0" w:afterLines="0"/>
    </w:pPr>
    <w:rPr>
      <w:rFonts w:ascii="宋体" w:eastAsia="宋体"/>
    </w:rPr>
  </w:style>
  <w:style w:type="paragraph" w:customStyle="1" w:styleId="244">
    <w:name w:val="封面公司名"/>
    <w:qFormat/>
    <w:uiPriority w:val="99"/>
    <w:pPr>
      <w:jc w:val="center"/>
    </w:pPr>
    <w:rPr>
      <w:rFonts w:ascii="Arial" w:hAnsi="Arial" w:eastAsia="楷体_GB2312" w:cs="宋体"/>
      <w:bCs/>
      <w:kern w:val="2"/>
      <w:sz w:val="28"/>
      <w:lang w:val="en-US" w:eastAsia="zh-CN" w:bidi="ar-SA"/>
    </w:rPr>
  </w:style>
  <w:style w:type="paragraph" w:customStyle="1" w:styleId="245">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246">
    <w:name w:val="附录二级无"/>
    <w:basedOn w:val="177"/>
    <w:qFormat/>
    <w:uiPriority w:val="99"/>
    <w:pPr>
      <w:tabs>
        <w:tab w:val="clear" w:pos="360"/>
      </w:tabs>
      <w:spacing w:beforeLines="0" w:afterLines="0"/>
    </w:pPr>
    <w:rPr>
      <w:rFonts w:ascii="宋体" w:eastAsia="宋体"/>
      <w:szCs w:val="21"/>
    </w:rPr>
  </w:style>
  <w:style w:type="paragraph" w:customStyle="1" w:styleId="247">
    <w:name w:val="有符号正文"/>
    <w:basedOn w:val="1"/>
    <w:qFormat/>
    <w:uiPriority w:val="99"/>
    <w:pPr>
      <w:spacing w:line="400" w:lineRule="exact"/>
      <w:ind w:firstLine="200" w:firstLineChars="200"/>
    </w:pPr>
    <w:rPr>
      <w:rFonts w:ascii="Arial" w:hAnsi="Arial"/>
    </w:rPr>
  </w:style>
  <w:style w:type="paragraph" w:customStyle="1" w:styleId="248">
    <w:name w:val="列出段落5"/>
    <w:basedOn w:val="1"/>
    <w:qFormat/>
    <w:uiPriority w:val="99"/>
    <w:pPr>
      <w:ind w:firstLine="420" w:firstLineChars="200"/>
    </w:pPr>
  </w:style>
  <w:style w:type="paragraph" w:customStyle="1" w:styleId="249">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0">
    <w:name w:val="Char1 Char Char2"/>
    <w:basedOn w:val="1"/>
    <w:qFormat/>
    <w:uiPriority w:val="99"/>
    <w:pPr>
      <w:widowControl/>
      <w:spacing w:after="160" w:line="240" w:lineRule="exact"/>
      <w:jc w:val="left"/>
    </w:pPr>
    <w:rPr>
      <w:kern w:val="0"/>
      <w:sz w:val="24"/>
    </w:rPr>
  </w:style>
  <w:style w:type="paragraph" w:customStyle="1" w:styleId="251">
    <w:name w:val="插图题注"/>
    <w:qFormat/>
    <w:uiPriority w:val="99"/>
    <w:pPr>
      <w:spacing w:after="240"/>
      <w:jc w:val="center"/>
    </w:pPr>
    <w:rPr>
      <w:rFonts w:ascii="Courier New" w:hAnsi="Courier New" w:eastAsia="黑体" w:cs="Times New Roman"/>
      <w:sz w:val="17"/>
      <w:lang w:val="en-US" w:eastAsia="zh-CN" w:bidi="ar-SA"/>
    </w:rPr>
  </w:style>
  <w:style w:type="paragraph" w:customStyle="1" w:styleId="252">
    <w:name w:val="标题3"/>
    <w:basedOn w:val="4"/>
    <w:qFormat/>
    <w:uiPriority w:val="99"/>
    <w:pPr>
      <w:widowControl/>
      <w:tabs>
        <w:tab w:val="left" w:pos="1247"/>
      </w:tabs>
      <w:spacing w:before="240" w:after="120" w:line="240" w:lineRule="auto"/>
      <w:ind w:left="1247" w:hanging="1247"/>
      <w:jc w:val="left"/>
    </w:pPr>
    <w:rPr>
      <w:rFonts w:ascii="Arial" w:hAnsi="Arial" w:eastAsia="黑体"/>
      <w:b w:val="0"/>
      <w:kern w:val="0"/>
      <w:sz w:val="24"/>
      <w:szCs w:val="24"/>
    </w:rPr>
  </w:style>
  <w:style w:type="paragraph" w:customStyle="1" w:styleId="253">
    <w:name w:val="acxspmiddle"/>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4">
    <w:name w:val="编号列项（三级）"/>
    <w:qFormat/>
    <w:uiPriority w:val="99"/>
    <w:pPr>
      <w:tabs>
        <w:tab w:val="left" w:pos="0"/>
      </w:tabs>
      <w:ind w:left="1678" w:hanging="419"/>
    </w:pPr>
    <w:rPr>
      <w:rFonts w:ascii="宋体" w:hAnsi="Times New Roman" w:eastAsia="宋体" w:cs="Times New Roman"/>
      <w:sz w:val="21"/>
      <w:lang w:val="en-US" w:eastAsia="zh-CN" w:bidi="ar-SA"/>
    </w:rPr>
  </w:style>
  <w:style w:type="paragraph" w:customStyle="1" w:styleId="255">
    <w:name w:val="Char Char Char1 Char"/>
    <w:basedOn w:val="21"/>
    <w:qFormat/>
    <w:uiPriority w:val="99"/>
    <w:rPr>
      <w:rFonts w:ascii="Tahoma" w:hAnsi="Tahoma"/>
      <w:sz w:val="24"/>
    </w:rPr>
  </w:style>
  <w:style w:type="paragraph" w:customStyle="1" w:styleId="256">
    <w:name w:val="列出段落21"/>
    <w:basedOn w:val="1"/>
    <w:qFormat/>
    <w:uiPriority w:val="99"/>
    <w:pPr>
      <w:ind w:firstLine="420" w:firstLineChars="200"/>
    </w:pPr>
    <w:rPr>
      <w:rFonts w:ascii="Calibri" w:hAnsi="Calibri"/>
      <w:szCs w:val="22"/>
    </w:rPr>
  </w:style>
  <w:style w:type="paragraph" w:customStyle="1" w:styleId="257">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58">
    <w:name w:val="正文图标题"/>
    <w:next w:val="131"/>
    <w:qFormat/>
    <w:uiPriority w:val="99"/>
    <w:pPr>
      <w:numPr>
        <w:ilvl w:val="0"/>
        <w:numId w:val="13"/>
      </w:numPr>
      <w:spacing w:beforeLines="50" w:afterLines="50"/>
      <w:jc w:val="center"/>
    </w:pPr>
    <w:rPr>
      <w:rFonts w:ascii="黑体" w:hAnsi="Times New Roman" w:eastAsia="黑体" w:cs="Times New Roman"/>
      <w:sz w:val="21"/>
      <w:lang w:val="en-US" w:eastAsia="zh-CN" w:bidi="ar-SA"/>
    </w:rPr>
  </w:style>
  <w:style w:type="paragraph" w:customStyle="1" w:styleId="259">
    <w:name w:val="附录三级无"/>
    <w:basedOn w:val="182"/>
    <w:qFormat/>
    <w:uiPriority w:val="99"/>
    <w:pPr>
      <w:tabs>
        <w:tab w:val="clear" w:pos="360"/>
      </w:tabs>
      <w:spacing w:beforeLines="0" w:afterLines="0"/>
    </w:pPr>
    <w:rPr>
      <w:rFonts w:ascii="宋体" w:eastAsia="宋体"/>
      <w:szCs w:val="21"/>
    </w:rPr>
  </w:style>
  <w:style w:type="paragraph" w:customStyle="1" w:styleId="260">
    <w:name w:val="表格文本"/>
    <w:qFormat/>
    <w:uiPriority w:val="99"/>
    <w:pPr>
      <w:tabs>
        <w:tab w:val="decimal" w:pos="0"/>
      </w:tabs>
    </w:pPr>
    <w:rPr>
      <w:rFonts w:ascii="Arial" w:hAnsi="Arial" w:eastAsia="宋体" w:cs="Times New Roman"/>
      <w:sz w:val="21"/>
      <w:szCs w:val="21"/>
      <w:lang w:val="en-US" w:eastAsia="zh-CN" w:bidi="ar-SA"/>
    </w:rPr>
  </w:style>
  <w:style w:type="paragraph" w:customStyle="1" w:styleId="261">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62">
    <w:name w:val="图标脚注说明"/>
    <w:basedOn w:val="131"/>
    <w:qFormat/>
    <w:uiPriority w:val="99"/>
    <w:pPr>
      <w:ind w:left="840" w:hanging="420" w:firstLineChars="0"/>
    </w:pPr>
    <w:rPr>
      <w:sz w:val="18"/>
      <w:szCs w:val="18"/>
    </w:rPr>
  </w:style>
  <w:style w:type="paragraph" w:customStyle="1" w:styleId="263">
    <w:name w:val="批注框文本 Char Char"/>
    <w:basedOn w:val="1"/>
    <w:qFormat/>
    <w:uiPriority w:val="99"/>
    <w:rPr>
      <w:sz w:val="18"/>
      <w:szCs w:val="20"/>
    </w:rPr>
  </w:style>
  <w:style w:type="paragraph" w:customStyle="1" w:styleId="264">
    <w:name w:val="Char Char"/>
    <w:basedOn w:val="1"/>
    <w:qFormat/>
    <w:uiPriority w:val="99"/>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265">
    <w:name w:val="Char Char Char Char Char"/>
    <w:basedOn w:val="1"/>
    <w:qFormat/>
    <w:uiPriority w:val="99"/>
    <w:pPr>
      <w:widowControl/>
      <w:spacing w:after="160" w:line="240" w:lineRule="exact"/>
      <w:jc w:val="left"/>
    </w:pPr>
  </w:style>
  <w:style w:type="paragraph" w:customStyle="1" w:styleId="266">
    <w:name w:val="修订2"/>
    <w:qFormat/>
    <w:uiPriority w:val="99"/>
    <w:rPr>
      <w:rFonts w:ascii="Times New Roman" w:hAnsi="Times New Roman" w:eastAsia="宋体" w:cs="Times New Roman"/>
      <w:kern w:val="2"/>
      <w:sz w:val="21"/>
      <w:szCs w:val="24"/>
      <w:lang w:val="en-US" w:eastAsia="zh-CN" w:bidi="ar-SA"/>
    </w:rPr>
  </w:style>
  <w:style w:type="paragraph" w:customStyle="1" w:styleId="267">
    <w:name w:val="其他标准标志"/>
    <w:basedOn w:val="209"/>
    <w:qFormat/>
    <w:uiPriority w:val="99"/>
    <w:rPr>
      <w:w w:val="130"/>
    </w:rPr>
  </w:style>
  <w:style w:type="paragraph" w:customStyle="1" w:styleId="268">
    <w:name w:val="封面标准文稿编辑信息2"/>
    <w:basedOn w:val="206"/>
    <w:qFormat/>
    <w:uiPriority w:val="99"/>
  </w:style>
  <w:style w:type="paragraph" w:customStyle="1" w:styleId="269">
    <w:name w:val="封面标准名称2"/>
    <w:basedOn w:val="170"/>
    <w:qFormat/>
    <w:uiPriority w:val="99"/>
    <w:pPr>
      <w:spacing w:beforeLines="630"/>
    </w:pPr>
  </w:style>
  <w:style w:type="paragraph" w:customStyle="1" w:styleId="270">
    <w:name w:val="font10"/>
    <w:basedOn w:val="1"/>
    <w:qFormat/>
    <w:uiPriority w:val="99"/>
    <w:pPr>
      <w:widowControl/>
      <w:spacing w:before="100" w:beforeAutospacing="1" w:after="100" w:afterAutospacing="1"/>
      <w:jc w:val="left"/>
    </w:pPr>
    <w:rPr>
      <w:color w:val="000000"/>
      <w:kern w:val="0"/>
      <w:sz w:val="20"/>
      <w:szCs w:val="20"/>
    </w:rPr>
  </w:style>
  <w:style w:type="paragraph" w:customStyle="1" w:styleId="271">
    <w:name w:val="图表脚注说明"/>
    <w:basedOn w:val="1"/>
    <w:qFormat/>
    <w:uiPriority w:val="99"/>
    <w:pPr>
      <w:numPr>
        <w:ilvl w:val="0"/>
        <w:numId w:val="14"/>
      </w:numPr>
    </w:pPr>
    <w:rPr>
      <w:rFonts w:ascii="宋体"/>
      <w:sz w:val="18"/>
      <w:szCs w:val="18"/>
    </w:rPr>
  </w:style>
  <w:style w:type="paragraph" w:customStyle="1" w:styleId="272">
    <w:name w:val="封面正文"/>
    <w:qFormat/>
    <w:uiPriority w:val="99"/>
    <w:pPr>
      <w:jc w:val="both"/>
    </w:pPr>
    <w:rPr>
      <w:rFonts w:ascii="Times New Roman" w:hAnsi="Times New Roman" w:eastAsia="宋体" w:cs="Times New Roman"/>
      <w:lang w:val="en-US" w:eastAsia="zh-CN" w:bidi="ar-SA"/>
    </w:rPr>
  </w:style>
  <w:style w:type="paragraph" w:customStyle="1" w:styleId="273">
    <w:name w:val="WW-正文（首行缩进两字）"/>
    <w:basedOn w:val="1"/>
    <w:qFormat/>
    <w:uiPriority w:val="99"/>
    <w:pPr>
      <w:suppressAutoHyphens/>
      <w:ind w:firstLine="420"/>
    </w:pPr>
    <w:rPr>
      <w:kern w:val="1"/>
      <w:szCs w:val="20"/>
    </w:rPr>
  </w:style>
  <w:style w:type="paragraph" w:customStyle="1" w:styleId="274">
    <w:name w:val="正文（缩进）"/>
    <w:basedOn w:val="1"/>
    <w:qFormat/>
    <w:uiPriority w:val="99"/>
    <w:pPr>
      <w:spacing w:beforeLines="50" w:afterLines="50" w:line="360" w:lineRule="auto"/>
      <w:ind w:firstLine="480" w:firstLineChars="200"/>
    </w:pPr>
    <w:rPr>
      <w:sz w:val="24"/>
    </w:rPr>
  </w:style>
  <w:style w:type="paragraph" w:customStyle="1" w:styleId="275">
    <w:name w:val="Char2 Char Char Char Char Char Char1"/>
    <w:basedOn w:val="1"/>
    <w:qFormat/>
    <w:uiPriority w:val="99"/>
    <w:pPr>
      <w:widowControl/>
      <w:spacing w:after="160" w:line="240" w:lineRule="exact"/>
      <w:jc w:val="left"/>
    </w:pPr>
    <w:rPr>
      <w:rFonts w:ascii="Verdana" w:hAnsi="Verdana"/>
      <w:kern w:val="0"/>
      <w:sz w:val="20"/>
      <w:lang w:eastAsia="en-US"/>
    </w:rPr>
  </w:style>
  <w:style w:type="paragraph" w:customStyle="1" w:styleId="27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7">
    <w:name w:val="默认段落字体 Para Char Char Char Char Char Char Char Char Char1 Char Char Char Char Char Char Char"/>
    <w:basedOn w:val="1"/>
    <w:qFormat/>
    <w:uiPriority w:val="99"/>
    <w:rPr>
      <w:rFonts w:ascii="宋体" w:hAnsi="宋体"/>
      <w:szCs w:val="20"/>
    </w:rPr>
  </w:style>
  <w:style w:type="paragraph" w:customStyle="1" w:styleId="278">
    <w:name w:val="示例×："/>
    <w:basedOn w:val="165"/>
    <w:qFormat/>
    <w:uiPriority w:val="99"/>
    <w:pPr>
      <w:numPr>
        <w:numId w:val="0"/>
      </w:numPr>
      <w:spacing w:beforeLines="0" w:afterLines="0"/>
      <w:outlineLvl w:val="9"/>
    </w:pPr>
    <w:rPr>
      <w:rFonts w:ascii="宋体" w:eastAsia="宋体"/>
      <w:sz w:val="18"/>
      <w:szCs w:val="18"/>
    </w:rPr>
  </w:style>
  <w:style w:type="paragraph" w:customStyle="1" w:styleId="279">
    <w:name w:val="acxsplast"/>
    <w:basedOn w:val="1"/>
    <w:qFormat/>
    <w:uiPriority w:val="99"/>
    <w:pPr>
      <w:widowControl/>
      <w:spacing w:before="100" w:beforeAutospacing="1" w:after="100" w:afterAutospacing="1"/>
      <w:jc w:val="left"/>
    </w:pPr>
    <w:rPr>
      <w:rFonts w:ascii="宋体" w:hAnsi="宋体" w:cs="宋体"/>
      <w:kern w:val="0"/>
      <w:sz w:val="24"/>
    </w:rPr>
  </w:style>
  <w:style w:type="paragraph" w:customStyle="1" w:styleId="280">
    <w:name w:val="TOC 标题11"/>
    <w:basedOn w:val="2"/>
    <w:next w:val="1"/>
    <w:qFormat/>
    <w:uiPriority w:val="99"/>
    <w:pPr>
      <w:widowControl/>
      <w:tabs>
        <w:tab w:val="left" w:pos="360"/>
      </w:tabs>
      <w:spacing w:before="480" w:after="0" w:line="276" w:lineRule="auto"/>
      <w:jc w:val="left"/>
      <w:outlineLvl w:val="9"/>
    </w:pPr>
    <w:rPr>
      <w:rFonts w:ascii="Cambria" w:hAnsi="Cambria"/>
      <w:bCs w:val="0"/>
      <w:color w:val="365F91"/>
      <w:kern w:val="0"/>
      <w:sz w:val="28"/>
      <w:szCs w:val="28"/>
    </w:rPr>
  </w:style>
  <w:style w:type="paragraph" w:customStyle="1" w:styleId="281">
    <w:name w:val="列项·"/>
    <w:qFormat/>
    <w:uiPriority w:val="99"/>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82">
    <w:name w:val="缺省文本"/>
    <w:basedOn w:val="1"/>
    <w:qFormat/>
    <w:uiPriority w:val="99"/>
    <w:pPr>
      <w:autoSpaceDE w:val="0"/>
      <w:autoSpaceDN w:val="0"/>
      <w:adjustRightInd w:val="0"/>
      <w:jc w:val="left"/>
    </w:pPr>
    <w:rPr>
      <w:rFonts w:ascii="仿宋_GB2312" w:eastAsia="仿宋_GB2312"/>
      <w:kern w:val="0"/>
      <w:sz w:val="24"/>
      <w:szCs w:val="20"/>
    </w:rPr>
  </w:style>
  <w:style w:type="paragraph" w:customStyle="1" w:styleId="283">
    <w:name w:val="修订11"/>
    <w:qFormat/>
    <w:uiPriority w:val="99"/>
    <w:rPr>
      <w:rFonts w:ascii="Times New Roman" w:hAnsi="Times New Roman" w:eastAsia="宋体" w:cs="Times New Roman"/>
      <w:kern w:val="2"/>
      <w:sz w:val="21"/>
      <w:szCs w:val="24"/>
      <w:lang w:val="en-US" w:eastAsia="zh-CN" w:bidi="ar-SA"/>
    </w:rPr>
  </w:style>
  <w:style w:type="paragraph" w:customStyle="1" w:styleId="284">
    <w:name w:val="数字编号列项（二级）"/>
    <w:qFormat/>
    <w:uiPriority w:val="99"/>
    <w:pPr>
      <w:numPr>
        <w:ilvl w:val="1"/>
        <w:numId w:val="15"/>
      </w:numPr>
      <w:tabs>
        <w:tab w:val="left" w:pos="1259"/>
      </w:tabs>
      <w:jc w:val="both"/>
    </w:pPr>
    <w:rPr>
      <w:rFonts w:ascii="宋体" w:hAnsi="Times New Roman" w:eastAsia="宋体" w:cs="Times New Roman"/>
      <w:sz w:val="21"/>
      <w:lang w:val="en-US" w:eastAsia="zh-CN" w:bidi="ar-SA"/>
    </w:rPr>
  </w:style>
  <w:style w:type="paragraph" w:customStyle="1" w:styleId="285">
    <w:name w:val="Char Char Char Char Char Char Char"/>
    <w:basedOn w:val="1"/>
    <w:qFormat/>
    <w:uiPriority w:val="99"/>
  </w:style>
  <w:style w:type="paragraph" w:customStyle="1" w:styleId="286">
    <w:name w:val="无标题条"/>
    <w:next w:val="131"/>
    <w:qFormat/>
    <w:uiPriority w:val="99"/>
    <w:pPr>
      <w:jc w:val="both"/>
    </w:pPr>
    <w:rPr>
      <w:rFonts w:ascii="Times New Roman" w:hAnsi="Times New Roman" w:eastAsia="宋体" w:cs="Times New Roman"/>
      <w:sz w:val="21"/>
      <w:lang w:val="en-US" w:eastAsia="zh-CN" w:bidi="ar-SA"/>
    </w:rPr>
  </w:style>
  <w:style w:type="paragraph" w:customStyle="1" w:styleId="287">
    <w:name w:val="编号1-2"/>
    <w:basedOn w:val="1"/>
    <w:next w:val="1"/>
    <w:qFormat/>
    <w:uiPriority w:val="99"/>
    <w:pPr>
      <w:tabs>
        <w:tab w:val="left" w:pos="720"/>
      </w:tabs>
      <w:spacing w:line="360" w:lineRule="auto"/>
      <w:ind w:left="726" w:hanging="363"/>
    </w:pPr>
    <w:rPr>
      <w:rFonts w:eastAsia="仿宋_GB2312" w:cs="宋体"/>
      <w:sz w:val="28"/>
      <w:szCs w:val="20"/>
    </w:rPr>
  </w:style>
  <w:style w:type="paragraph" w:customStyle="1" w:styleId="288">
    <w:name w:val="表格题注"/>
    <w:next w:val="1"/>
    <w:qFormat/>
    <w:uiPriority w:val="99"/>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289">
    <w:name w:val="四级无"/>
    <w:basedOn w:val="224"/>
    <w:qFormat/>
    <w:uiPriority w:val="99"/>
    <w:pPr>
      <w:numPr>
        <w:ilvl w:val="4"/>
        <w:numId w:val="6"/>
      </w:numPr>
      <w:tabs>
        <w:tab w:val="left" w:pos="57"/>
        <w:tab w:val="left" w:pos="1350"/>
        <w:tab w:val="left" w:pos="2517"/>
        <w:tab w:val="left" w:pos="2551"/>
        <w:tab w:val="clear" w:pos="1200"/>
      </w:tabs>
      <w:spacing w:beforeLines="0" w:afterLines="0"/>
      <w:ind w:left="363" w:hanging="363"/>
    </w:pPr>
    <w:rPr>
      <w:rFonts w:ascii="宋体" w:eastAsia="宋体"/>
    </w:rPr>
  </w:style>
  <w:style w:type="paragraph" w:customStyle="1" w:styleId="290">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291">
    <w:name w:val="标题2"/>
    <w:basedOn w:val="3"/>
    <w:qFormat/>
    <w:uiPriority w:val="99"/>
    <w:pPr>
      <w:widowControl/>
      <w:tabs>
        <w:tab w:val="left" w:pos="0"/>
        <w:tab w:val="left" w:pos="840"/>
      </w:tabs>
      <w:spacing w:before="240" w:after="160" w:line="240" w:lineRule="auto"/>
      <w:jc w:val="left"/>
    </w:pPr>
    <w:rPr>
      <w:rFonts w:ascii="黑体" w:eastAsia="宋体" w:cs="Arial"/>
      <w:b w:val="0"/>
      <w:spacing w:val="10"/>
      <w:kern w:val="28"/>
      <w:sz w:val="28"/>
      <w:szCs w:val="28"/>
      <w:lang w:eastAsia="en-US"/>
    </w:rPr>
  </w:style>
  <w:style w:type="paragraph" w:customStyle="1" w:styleId="292">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3">
    <w:name w:val="Char12"/>
    <w:basedOn w:val="1"/>
    <w:qFormat/>
    <w:uiPriority w:val="99"/>
    <w:pPr>
      <w:widowControl/>
      <w:spacing w:after="160" w:line="240" w:lineRule="exact"/>
      <w:jc w:val="left"/>
    </w:pPr>
    <w:rPr>
      <w:kern w:val="0"/>
      <w:sz w:val="24"/>
    </w:rPr>
  </w:style>
  <w:style w:type="paragraph" w:customStyle="1" w:styleId="294">
    <w:name w:val="二级无"/>
    <w:basedOn w:val="139"/>
    <w:qFormat/>
    <w:uiPriority w:val="99"/>
    <w:pPr>
      <w:numPr>
        <w:ilvl w:val="2"/>
        <w:numId w:val="6"/>
      </w:numPr>
      <w:tabs>
        <w:tab w:val="left" w:pos="0"/>
        <w:tab w:val="left" w:pos="57"/>
        <w:tab w:val="left" w:pos="1350"/>
        <w:tab w:val="left" w:pos="1418"/>
      </w:tabs>
      <w:spacing w:beforeLines="0" w:afterLines="0"/>
      <w:ind w:left="363" w:hanging="363"/>
    </w:pPr>
    <w:rPr>
      <w:rFonts w:ascii="宋体" w:eastAsia="宋体"/>
    </w:rPr>
  </w:style>
  <w:style w:type="paragraph" w:customStyle="1" w:styleId="295">
    <w:name w:val="正文公式编号制表符"/>
    <w:basedOn w:val="131"/>
    <w:next w:val="131"/>
    <w:qFormat/>
    <w:uiPriority w:val="99"/>
    <w:pPr>
      <w:ind w:firstLine="0" w:firstLineChars="0"/>
    </w:pPr>
  </w:style>
  <w:style w:type="paragraph" w:customStyle="1" w:styleId="296">
    <w:name w:val="注：（正文）"/>
    <w:basedOn w:val="218"/>
    <w:next w:val="131"/>
    <w:qFormat/>
    <w:uiPriority w:val="99"/>
    <w:pPr>
      <w:numPr>
        <w:numId w:val="0"/>
      </w:numPr>
    </w:pPr>
  </w:style>
  <w:style w:type="paragraph" w:customStyle="1" w:styleId="297">
    <w:name w:val="编号，四号"/>
    <w:basedOn w:val="1"/>
    <w:qFormat/>
    <w:uiPriority w:val="99"/>
    <w:pPr>
      <w:spacing w:line="360" w:lineRule="auto"/>
    </w:pPr>
    <w:rPr>
      <w:rFonts w:eastAsia="仿宋" w:cs="宋体"/>
      <w:kern w:val="0"/>
      <w:sz w:val="28"/>
      <w:szCs w:val="20"/>
    </w:rPr>
  </w:style>
  <w:style w:type="paragraph" w:customStyle="1" w:styleId="298">
    <w:name w:val="标准书眉_偶数页"/>
    <w:basedOn w:val="299"/>
    <w:next w:val="1"/>
    <w:qFormat/>
    <w:uiPriority w:val="99"/>
    <w:pPr>
      <w:tabs>
        <w:tab w:val="center" w:pos="4154"/>
        <w:tab w:val="right" w:pos="8306"/>
      </w:tabs>
      <w:jc w:val="left"/>
    </w:pPr>
  </w:style>
  <w:style w:type="paragraph" w:customStyle="1" w:styleId="299">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0">
    <w:name w:val="List Paragraph1"/>
    <w:basedOn w:val="1"/>
    <w:qFormat/>
    <w:uiPriority w:val="99"/>
    <w:pPr>
      <w:ind w:firstLine="420" w:firstLineChars="200"/>
    </w:pPr>
    <w:rPr>
      <w:rFonts w:ascii="Calibri" w:hAnsi="Calibri"/>
      <w:szCs w:val="22"/>
    </w:rPr>
  </w:style>
  <w:style w:type="paragraph" w:customStyle="1" w:styleId="301">
    <w:name w:val="前言、引言标题"/>
    <w:next w:val="131"/>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2">
    <w:name w:val="字母编号列项（一级）"/>
    <w:qFormat/>
    <w:uiPriority w:val="99"/>
    <w:pPr>
      <w:numPr>
        <w:ilvl w:val="2"/>
        <w:numId w:val="15"/>
      </w:numPr>
      <w:tabs>
        <w:tab w:val="left" w:pos="839"/>
      </w:tabs>
      <w:ind w:left="839"/>
      <w:jc w:val="both"/>
    </w:pPr>
    <w:rPr>
      <w:rFonts w:ascii="宋体" w:hAnsi="Times New Roman" w:eastAsia="宋体" w:cs="Times New Roman"/>
      <w:sz w:val="21"/>
      <w:lang w:val="en-US" w:eastAsia="zh-CN" w:bidi="ar-SA"/>
    </w:rPr>
  </w:style>
  <w:style w:type="paragraph" w:customStyle="1" w:styleId="303">
    <w:name w:val="注×：（正文）"/>
    <w:qFormat/>
    <w:uiPriority w:val="99"/>
    <w:pPr>
      <w:numPr>
        <w:ilvl w:val="0"/>
        <w:numId w:val="16"/>
      </w:numPr>
      <w:tabs>
        <w:tab w:val="left" w:pos="839"/>
      </w:tabs>
      <w:jc w:val="both"/>
    </w:pPr>
    <w:rPr>
      <w:rFonts w:ascii="宋体" w:hAnsi="Times New Roman" w:eastAsia="宋体" w:cs="Times New Roman"/>
      <w:sz w:val="18"/>
      <w:szCs w:val="18"/>
      <w:lang w:val="en-US" w:eastAsia="zh-CN" w:bidi="ar-SA"/>
    </w:rPr>
  </w:style>
  <w:style w:type="paragraph" w:customStyle="1" w:styleId="304">
    <w:name w:val="二级无标题条"/>
    <w:basedOn w:val="1"/>
    <w:qFormat/>
    <w:uiPriority w:val="99"/>
    <w:rPr>
      <w:sz w:val="24"/>
      <w:szCs w:val="20"/>
    </w:rPr>
  </w:style>
  <w:style w:type="paragraph" w:customStyle="1" w:styleId="305">
    <w:name w:val="列项——"/>
    <w:qFormat/>
    <w:uiPriority w:val="99"/>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306">
    <w:name w:val="终结线"/>
    <w:basedOn w:val="1"/>
    <w:qFormat/>
    <w:uiPriority w:val="99"/>
  </w:style>
  <w:style w:type="paragraph" w:customStyle="1" w:styleId="307">
    <w:name w:val="列项●（二级）"/>
    <w:qFormat/>
    <w:uiPriority w:val="99"/>
    <w:pPr>
      <w:tabs>
        <w:tab w:val="left" w:pos="760"/>
        <w:tab w:val="left" w:pos="840"/>
        <w:tab w:val="left" w:pos="1259"/>
      </w:tabs>
      <w:ind w:left="1259" w:hanging="420"/>
      <w:jc w:val="both"/>
    </w:pPr>
    <w:rPr>
      <w:rFonts w:ascii="宋体" w:hAnsi="Times New Roman" w:eastAsia="宋体" w:cs="Times New Roman"/>
      <w:sz w:val="21"/>
      <w:lang w:val="en-US" w:eastAsia="zh-CN" w:bidi="ar-SA"/>
    </w:rPr>
  </w:style>
  <w:style w:type="paragraph" w:customStyle="1" w:styleId="308">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0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0">
    <w:name w:val="CM11"/>
    <w:basedOn w:val="1"/>
    <w:next w:val="1"/>
    <w:qFormat/>
    <w:uiPriority w:val="99"/>
    <w:pPr>
      <w:autoSpaceDE w:val="0"/>
      <w:autoSpaceDN w:val="0"/>
      <w:adjustRightInd w:val="0"/>
      <w:spacing w:line="313" w:lineRule="atLeast"/>
      <w:jc w:val="left"/>
    </w:pPr>
    <w:rPr>
      <w:kern w:val="0"/>
      <w:sz w:val="24"/>
    </w:rPr>
  </w:style>
  <w:style w:type="paragraph" w:customStyle="1" w:styleId="311">
    <w:name w:val="表格文字"/>
    <w:basedOn w:val="1"/>
    <w:qFormat/>
    <w:uiPriority w:val="99"/>
    <w:rPr>
      <w:rFonts w:ascii="宋体" w:hAnsi="宋体"/>
      <w:bCs/>
      <w:kern w:val="0"/>
      <w:szCs w:val="18"/>
    </w:rPr>
  </w:style>
  <w:style w:type="paragraph" w:customStyle="1" w:styleId="312">
    <w:name w:val="图表脚注"/>
    <w:next w:val="131"/>
    <w:qFormat/>
    <w:uiPriority w:val="99"/>
    <w:pPr>
      <w:ind w:left="200" w:leftChars="200" w:hanging="100" w:hangingChars="100"/>
      <w:jc w:val="both"/>
    </w:pPr>
    <w:rPr>
      <w:rFonts w:ascii="宋体" w:hAnsi="Times New Roman" w:eastAsia="宋体" w:cs="Times New Roman"/>
      <w:sz w:val="18"/>
      <w:lang w:val="en-US" w:eastAsia="zh-CN" w:bidi="ar-SA"/>
    </w:rPr>
  </w:style>
  <w:style w:type="paragraph" w:customStyle="1" w:styleId="313">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314">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5">
    <w:name w:val="五级无标题条"/>
    <w:basedOn w:val="1"/>
    <w:qFormat/>
    <w:uiPriority w:val="99"/>
    <w:rPr>
      <w:sz w:val="24"/>
      <w:szCs w:val="20"/>
    </w:rPr>
  </w:style>
  <w:style w:type="paragraph" w:customStyle="1" w:styleId="316">
    <w:name w:val="附录表标号"/>
    <w:basedOn w:val="1"/>
    <w:next w:val="131"/>
    <w:qFormat/>
    <w:uiPriority w:val="99"/>
    <w:pPr>
      <w:numPr>
        <w:ilvl w:val="0"/>
        <w:numId w:val="17"/>
      </w:numPr>
      <w:spacing w:line="14" w:lineRule="exact"/>
      <w:ind w:left="811" w:hanging="448"/>
      <w:jc w:val="center"/>
      <w:outlineLvl w:val="0"/>
    </w:pPr>
    <w:rPr>
      <w:color w:val="FFFFFF"/>
    </w:rPr>
  </w:style>
  <w:style w:type="paragraph" w:customStyle="1" w:styleId="317">
    <w:name w:val="其它"/>
    <w:basedOn w:val="1"/>
    <w:qFormat/>
    <w:uiPriority w:val="99"/>
    <w:pPr>
      <w:widowControl/>
      <w:spacing w:before="160" w:after="140" w:line="440" w:lineRule="atLeast"/>
      <w:ind w:firstLine="480"/>
    </w:pPr>
    <w:rPr>
      <w:kern w:val="0"/>
      <w:sz w:val="24"/>
      <w:szCs w:val="20"/>
    </w:rPr>
  </w:style>
  <w:style w:type="paragraph" w:customStyle="1" w:styleId="318">
    <w:name w:val="Char Char1 Char Char"/>
    <w:basedOn w:val="1"/>
    <w:qFormat/>
    <w:uiPriority w:val="99"/>
    <w:rPr>
      <w:rFonts w:ascii="宋体" w:hAnsi="宋体"/>
      <w:kern w:val="0"/>
      <w:sz w:val="24"/>
      <w:szCs w:val="20"/>
    </w:rPr>
  </w:style>
  <w:style w:type="paragraph" w:customStyle="1" w:styleId="319">
    <w:name w:val="参考文献、索引标题"/>
    <w:basedOn w:val="1"/>
    <w:next w:val="131"/>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320">
    <w:name w:val="5 Char Char Char Char Char Char Char Char Char Char"/>
    <w:basedOn w:val="1"/>
    <w:qFormat/>
    <w:uiPriority w:val="99"/>
    <w:rPr>
      <w:rFonts w:ascii="宋体" w:hAnsi="宋体"/>
      <w:szCs w:val="20"/>
    </w:rPr>
  </w:style>
  <w:style w:type="paragraph" w:customStyle="1" w:styleId="321">
    <w:name w:val="附录数字编号列项（二级）"/>
    <w:qFormat/>
    <w:uiPriority w:val="99"/>
    <w:pPr>
      <w:numPr>
        <w:ilvl w:val="1"/>
        <w:numId w:val="9"/>
      </w:numPr>
      <w:tabs>
        <w:tab w:val="left" w:pos="0"/>
        <w:tab w:val="left" w:pos="840"/>
      </w:tabs>
    </w:pPr>
    <w:rPr>
      <w:rFonts w:ascii="宋体" w:hAnsi="Times New Roman" w:eastAsia="宋体" w:cs="Times New Roman"/>
      <w:sz w:val="21"/>
      <w:lang w:val="en-US" w:eastAsia="zh-CN" w:bidi="ar-SA"/>
    </w:rPr>
  </w:style>
  <w:style w:type="paragraph" w:customStyle="1" w:styleId="322">
    <w:name w:val="Char Char Char Char Char Char Char Char Char Char Char Char"/>
    <w:basedOn w:val="1"/>
    <w:qFormat/>
    <w:uiPriority w:val="99"/>
    <w:pPr>
      <w:widowControl/>
      <w:spacing w:after="160" w:line="240" w:lineRule="exact"/>
      <w:jc w:val="left"/>
    </w:pPr>
  </w:style>
  <w:style w:type="paragraph" w:customStyle="1" w:styleId="323">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4">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325">
    <w:name w:val="示例"/>
    <w:next w:val="324"/>
    <w:qFormat/>
    <w:uiPriority w:val="99"/>
    <w:pPr>
      <w:widowControl w:val="0"/>
      <w:numPr>
        <w:ilvl w:val="0"/>
        <w:numId w:val="18"/>
      </w:numPr>
      <w:tabs>
        <w:tab w:val="left" w:pos="420"/>
      </w:tabs>
      <w:jc w:val="both"/>
    </w:pPr>
    <w:rPr>
      <w:rFonts w:ascii="宋体" w:hAnsi="Times New Roman" w:eastAsia="宋体" w:cs="Times New Roman"/>
      <w:sz w:val="18"/>
      <w:szCs w:val="18"/>
      <w:lang w:val="en-US" w:eastAsia="zh-CN" w:bidi="ar-SA"/>
    </w:rPr>
  </w:style>
  <w:style w:type="paragraph" w:customStyle="1" w:styleId="326">
    <w:name w:val="文章标题"/>
    <w:next w:val="244"/>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327">
    <w:name w:val="1"/>
    <w:basedOn w:val="1"/>
    <w:next w:val="31"/>
    <w:qFormat/>
    <w:uiPriority w:val="99"/>
    <w:rPr>
      <w:rFonts w:ascii="宋体" w:hAnsi="宋体"/>
      <w:szCs w:val="20"/>
    </w:rPr>
  </w:style>
  <w:style w:type="paragraph" w:customStyle="1" w:styleId="328">
    <w:name w:val="表格(五号)"/>
    <w:basedOn w:val="1"/>
    <w:qFormat/>
    <w:uiPriority w:val="99"/>
    <w:pPr>
      <w:snapToGrid w:val="0"/>
      <w:spacing w:before="60" w:after="60"/>
      <w:ind w:left="11"/>
      <w:jc w:val="center"/>
    </w:pPr>
  </w:style>
  <w:style w:type="paragraph" w:customStyle="1" w:styleId="329">
    <w:name w:val="图1"/>
    <w:basedOn w:val="1"/>
    <w:next w:val="1"/>
    <w:qFormat/>
    <w:uiPriority w:val="99"/>
    <w:pPr>
      <w:tabs>
        <w:tab w:val="left" w:pos="690"/>
      </w:tabs>
      <w:spacing w:beforeLines="50" w:afterLines="100" w:line="360" w:lineRule="auto"/>
      <w:ind w:left="1105" w:hanging="748"/>
      <w:jc w:val="center"/>
    </w:pPr>
    <w:rPr>
      <w:kern w:val="0"/>
      <w:sz w:val="24"/>
    </w:rPr>
  </w:style>
  <w:style w:type="paragraph" w:customStyle="1" w:styleId="330">
    <w:name w:val="表格标题1"/>
    <w:basedOn w:val="1"/>
    <w:qFormat/>
    <w:uiPriority w:val="99"/>
    <w:pPr>
      <w:jc w:val="center"/>
    </w:pPr>
    <w:rPr>
      <w:rFonts w:ascii="Calibri" w:hAnsi="Calibri" w:cs="宋体"/>
      <w:b/>
      <w:bCs/>
      <w:szCs w:val="21"/>
    </w:rPr>
  </w:style>
  <w:style w:type="paragraph" w:customStyle="1" w:styleId="331">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6"/>
      <w:szCs w:val="36"/>
    </w:rPr>
  </w:style>
  <w:style w:type="paragraph" w:customStyle="1" w:styleId="332">
    <w:name w:val="注×："/>
    <w:qFormat/>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333">
    <w:name w:val="xl82"/>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334">
    <w:name w:val="我的正文"/>
    <w:basedOn w:val="1"/>
    <w:qFormat/>
    <w:uiPriority w:val="99"/>
    <w:pPr>
      <w:spacing w:line="520" w:lineRule="exact"/>
      <w:ind w:firstLine="192" w:firstLineChars="192"/>
    </w:pPr>
    <w:rPr>
      <w:sz w:val="28"/>
      <w:szCs w:val="28"/>
    </w:rPr>
  </w:style>
  <w:style w:type="paragraph" w:customStyle="1" w:styleId="335">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336">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37">
    <w:name w:val="文档正文1"/>
    <w:basedOn w:val="160"/>
    <w:qFormat/>
    <w:uiPriority w:val="99"/>
    <w:pPr>
      <w:spacing w:line="360" w:lineRule="auto"/>
      <w:ind w:firstLine="200"/>
    </w:pPr>
  </w:style>
  <w:style w:type="paragraph" w:customStyle="1" w:styleId="33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339">
    <w:name w:val="Char Char Char1 Char Char Char Char Char Char Char"/>
    <w:basedOn w:val="1"/>
    <w:qFormat/>
    <w:uiPriority w:val="99"/>
  </w:style>
  <w:style w:type="paragraph" w:customStyle="1" w:styleId="340">
    <w:name w:val="一级无标题条"/>
    <w:basedOn w:val="1"/>
    <w:qFormat/>
    <w:uiPriority w:val="99"/>
    <w:rPr>
      <w:sz w:val="24"/>
      <w:szCs w:val="20"/>
    </w:rPr>
  </w:style>
  <w:style w:type="paragraph" w:customStyle="1" w:styleId="341">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3">
    <w:name w:val="参考文献"/>
    <w:basedOn w:val="1"/>
    <w:next w:val="131"/>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344">
    <w:name w:val="样式 标题 1 + 居中 段前: 0 磅 段后: 0 磅 行距: 固定值 30 磅"/>
    <w:basedOn w:val="2"/>
    <w:qFormat/>
    <w:uiPriority w:val="99"/>
    <w:pPr>
      <w:tabs>
        <w:tab w:val="left" w:pos="360"/>
      </w:tabs>
      <w:spacing w:before="0" w:after="0" w:line="600" w:lineRule="exact"/>
      <w:jc w:val="center"/>
    </w:pPr>
    <w:rPr>
      <w:rFonts w:cs="宋体"/>
      <w:szCs w:val="20"/>
    </w:rPr>
  </w:style>
  <w:style w:type="paragraph" w:customStyle="1" w:styleId="345">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46">
    <w:name w:val="CM39"/>
    <w:basedOn w:val="1"/>
    <w:next w:val="1"/>
    <w:qFormat/>
    <w:uiPriority w:val="99"/>
    <w:pPr>
      <w:autoSpaceDE w:val="0"/>
      <w:autoSpaceDN w:val="0"/>
      <w:adjustRightInd w:val="0"/>
      <w:spacing w:after="160"/>
      <w:jc w:val="left"/>
    </w:pPr>
    <w:rPr>
      <w:kern w:val="0"/>
      <w:sz w:val="24"/>
    </w:rPr>
  </w:style>
  <w:style w:type="paragraph" w:customStyle="1" w:styleId="347">
    <w:name w:val="样式2"/>
    <w:basedOn w:val="348"/>
    <w:qFormat/>
    <w:uiPriority w:val="99"/>
    <w:pPr>
      <w:tabs>
        <w:tab w:val="left" w:pos="360"/>
        <w:tab w:val="left" w:pos="6405"/>
      </w:tabs>
      <w:spacing w:after="200"/>
      <w:ind w:left="4140"/>
    </w:pPr>
  </w:style>
  <w:style w:type="paragraph" w:customStyle="1" w:styleId="348">
    <w:name w:val="附录标识"/>
    <w:basedOn w:val="1"/>
    <w:next w:val="131"/>
    <w:qFormat/>
    <w:uiPriority w:val="99"/>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49">
    <w:name w:val="xl9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ascii="宋体" w:hAnsi="宋体" w:cs="宋体"/>
      <w:kern w:val="0"/>
      <w:sz w:val="20"/>
      <w:szCs w:val="20"/>
    </w:rPr>
  </w:style>
  <w:style w:type="paragraph" w:customStyle="1" w:styleId="350">
    <w:name w:val="编号，小四"/>
    <w:basedOn w:val="1"/>
    <w:qFormat/>
    <w:uiPriority w:val="99"/>
    <w:pPr>
      <w:spacing w:line="360" w:lineRule="auto"/>
    </w:pPr>
    <w:rPr>
      <w:rFonts w:eastAsia="仿宋" w:cs="宋体"/>
      <w:sz w:val="24"/>
      <w:szCs w:val="20"/>
    </w:rPr>
  </w:style>
  <w:style w:type="paragraph" w:customStyle="1" w:styleId="351">
    <w:name w:val="CM8"/>
    <w:basedOn w:val="1"/>
    <w:next w:val="1"/>
    <w:qFormat/>
    <w:uiPriority w:val="99"/>
    <w:pPr>
      <w:autoSpaceDE w:val="0"/>
      <w:autoSpaceDN w:val="0"/>
      <w:adjustRightInd w:val="0"/>
      <w:spacing w:line="313" w:lineRule="atLeast"/>
      <w:jc w:val="left"/>
    </w:pPr>
    <w:rPr>
      <w:kern w:val="0"/>
      <w:sz w:val="24"/>
    </w:rPr>
  </w:style>
  <w:style w:type="paragraph" w:customStyle="1" w:styleId="352">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5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4">
    <w:name w:val="Char Char Char Char1"/>
    <w:basedOn w:val="1"/>
    <w:qFormat/>
    <w:uiPriority w:val="99"/>
    <w:pPr>
      <w:widowControl/>
      <w:spacing w:after="160" w:line="240" w:lineRule="exact"/>
      <w:jc w:val="left"/>
    </w:pPr>
  </w:style>
  <w:style w:type="paragraph" w:customStyle="1" w:styleId="355">
    <w:name w:val="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56">
    <w:name w:val="CM3"/>
    <w:basedOn w:val="1"/>
    <w:next w:val="1"/>
    <w:qFormat/>
    <w:uiPriority w:val="99"/>
    <w:pPr>
      <w:autoSpaceDE w:val="0"/>
      <w:autoSpaceDN w:val="0"/>
      <w:adjustRightInd w:val="0"/>
      <w:spacing w:line="313" w:lineRule="atLeast"/>
      <w:jc w:val="left"/>
    </w:pPr>
    <w:rPr>
      <w:kern w:val="0"/>
      <w:sz w:val="24"/>
    </w:rPr>
  </w:style>
  <w:style w:type="paragraph" w:customStyle="1" w:styleId="357">
    <w:name w:val="附录表标题"/>
    <w:basedOn w:val="1"/>
    <w:next w:val="131"/>
    <w:qFormat/>
    <w:uiPriority w:val="99"/>
    <w:pPr>
      <w:numPr>
        <w:ilvl w:val="1"/>
        <w:numId w:val="17"/>
      </w:numPr>
      <w:tabs>
        <w:tab w:val="left" w:pos="180"/>
      </w:tabs>
      <w:spacing w:beforeLines="50" w:afterLines="50"/>
      <w:ind w:left="0" w:firstLine="0"/>
      <w:jc w:val="center"/>
    </w:pPr>
    <w:rPr>
      <w:rFonts w:ascii="黑体" w:eastAsia="黑体"/>
      <w:szCs w:val="21"/>
    </w:rPr>
  </w:style>
  <w:style w:type="paragraph" w:customStyle="1" w:styleId="358">
    <w:name w:val="1级标题"/>
    <w:basedOn w:val="104"/>
    <w:qFormat/>
    <w:uiPriority w:val="99"/>
    <w:pPr>
      <w:keepLines/>
      <w:pageBreakBefore/>
      <w:widowControl w:val="0"/>
      <w:tabs>
        <w:tab w:val="left" w:pos="360"/>
      </w:tabs>
      <w:spacing w:before="240" w:after="240" w:line="360" w:lineRule="auto"/>
      <w:ind w:left="726"/>
      <w:jc w:val="center"/>
      <w:outlineLvl w:val="0"/>
    </w:pPr>
    <w:rPr>
      <w:rFonts w:ascii="黑体" w:hAnsi="黑体" w:eastAsia="黑体"/>
      <w:sz w:val="36"/>
      <w:szCs w:val="36"/>
      <w:lang w:eastAsia="en-US"/>
    </w:rPr>
  </w:style>
  <w:style w:type="paragraph" w:customStyle="1" w:styleId="359">
    <w:name w:val="xl81"/>
    <w:basedOn w:val="1"/>
    <w:qFormat/>
    <w:uiPriority w:val="99"/>
    <w:pPr>
      <w:widowControl/>
      <w:spacing w:before="100" w:beforeAutospacing="1" w:after="100" w:afterAutospacing="1"/>
      <w:jc w:val="center"/>
    </w:pPr>
    <w:rPr>
      <w:rFonts w:ascii="宋体" w:hAnsi="宋体" w:cs="宋体"/>
      <w:color w:val="000000"/>
      <w:kern w:val="0"/>
      <w:sz w:val="20"/>
      <w:szCs w:val="20"/>
    </w:rPr>
  </w:style>
  <w:style w:type="paragraph" w:customStyle="1" w:styleId="360">
    <w:name w:val="发布部门"/>
    <w:next w:val="131"/>
    <w:qFormat/>
    <w:uiPriority w:val="99"/>
    <w:pPr>
      <w:jc w:val="center"/>
    </w:pPr>
    <w:rPr>
      <w:rFonts w:ascii="宋体" w:hAnsi="Times New Roman" w:eastAsia="宋体" w:cs="Times New Roman"/>
      <w:b/>
      <w:spacing w:val="20"/>
      <w:w w:val="135"/>
      <w:sz w:val="28"/>
      <w:lang w:val="en-US" w:eastAsia="zh-CN" w:bidi="ar-SA"/>
    </w:rPr>
  </w:style>
  <w:style w:type="paragraph" w:customStyle="1" w:styleId="361">
    <w:name w:val="样式 宋体 行距: 1.5 倍行距2"/>
    <w:basedOn w:val="1"/>
    <w:qFormat/>
    <w:uiPriority w:val="99"/>
    <w:pPr>
      <w:spacing w:line="360" w:lineRule="auto"/>
      <w:ind w:firstLine="420" w:firstLineChars="200"/>
    </w:pPr>
    <w:rPr>
      <w:rFonts w:cs="宋体"/>
      <w:szCs w:val="21"/>
    </w:rPr>
  </w:style>
  <w:style w:type="paragraph" w:customStyle="1" w:styleId="362">
    <w:name w:val="列项——（一级）"/>
    <w:qFormat/>
    <w:uiPriority w:val="99"/>
    <w:pPr>
      <w:widowControl w:val="0"/>
      <w:tabs>
        <w:tab w:val="left" w:pos="839"/>
      </w:tabs>
      <w:ind w:left="839" w:hanging="419"/>
      <w:jc w:val="both"/>
    </w:pPr>
    <w:rPr>
      <w:rFonts w:ascii="宋体" w:hAnsi="Times New Roman" w:eastAsia="宋体" w:cs="Times New Roman"/>
      <w:sz w:val="21"/>
      <w:lang w:val="en-US" w:eastAsia="zh-CN" w:bidi="ar-SA"/>
    </w:rPr>
  </w:style>
  <w:style w:type="paragraph" w:customStyle="1" w:styleId="363">
    <w:name w:val="文献分类号"/>
    <w:qFormat/>
    <w:uiPriority w:val="99"/>
    <w:pPr>
      <w:widowControl w:val="0"/>
      <w:textAlignment w:val="center"/>
    </w:pPr>
    <w:rPr>
      <w:rFonts w:ascii="黑体" w:hAnsi="Times New Roman" w:eastAsia="黑体" w:cs="Times New Roman"/>
      <w:sz w:val="21"/>
      <w:szCs w:val="21"/>
      <w:lang w:val="en-US" w:eastAsia="zh-CN" w:bidi="ar-SA"/>
    </w:rPr>
  </w:style>
  <w:style w:type="paragraph" w:customStyle="1" w:styleId="364">
    <w:name w:val="p0"/>
    <w:basedOn w:val="1"/>
    <w:qFormat/>
    <w:uiPriority w:val="99"/>
    <w:pPr>
      <w:widowControl/>
    </w:pPr>
    <w:rPr>
      <w:kern w:val="0"/>
      <w:szCs w:val="21"/>
    </w:rPr>
  </w:style>
  <w:style w:type="paragraph" w:customStyle="1" w:styleId="365">
    <w:name w:val="其他实施日期"/>
    <w:basedOn w:val="200"/>
    <w:qFormat/>
    <w:uiPriority w:val="99"/>
  </w:style>
  <w:style w:type="paragraph" w:customStyle="1" w:styleId="366">
    <w:name w:val="无间隔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67">
    <w:name w:val="Char Char1 Char Char Char Char Char Char Char Char"/>
    <w:basedOn w:val="1"/>
    <w:qFormat/>
    <w:uiPriority w:val="99"/>
  </w:style>
  <w:style w:type="paragraph" w:customStyle="1" w:styleId="368">
    <w:name w:val="z-窗体底端2"/>
    <w:basedOn w:val="1"/>
    <w:next w:val="1"/>
    <w:qFormat/>
    <w:uiPriority w:val="99"/>
    <w:pPr>
      <w:widowControl/>
      <w:pBdr>
        <w:top w:val="single" w:color="auto" w:sz="6" w:space="1"/>
      </w:pBdr>
      <w:jc w:val="center"/>
    </w:pPr>
    <w:rPr>
      <w:rFonts w:ascii="Arial" w:hAnsi="Arial"/>
      <w:vanish/>
      <w:kern w:val="0"/>
      <w:sz w:val="16"/>
      <w:szCs w:val="16"/>
    </w:rPr>
  </w:style>
  <w:style w:type="paragraph" w:customStyle="1" w:styleId="369">
    <w:name w:val="p16"/>
    <w:basedOn w:val="1"/>
    <w:qFormat/>
    <w:uiPriority w:val="99"/>
    <w:pPr>
      <w:widowControl/>
    </w:pPr>
    <w:rPr>
      <w:rFonts w:ascii="宋体" w:hAnsi="宋体" w:cs="宋体"/>
      <w:kern w:val="0"/>
      <w:szCs w:val="21"/>
    </w:rPr>
  </w:style>
  <w:style w:type="paragraph" w:customStyle="1" w:styleId="370">
    <w:name w:val="三级无"/>
    <w:basedOn w:val="223"/>
    <w:qFormat/>
    <w:uiPriority w:val="99"/>
    <w:pPr>
      <w:numPr>
        <w:numId w:val="0"/>
      </w:numPr>
      <w:spacing w:beforeLines="0" w:afterLines="0"/>
    </w:pPr>
    <w:rPr>
      <w:rFonts w:ascii="宋体" w:eastAsia="宋体"/>
    </w:rPr>
  </w:style>
  <w:style w:type="paragraph" w:customStyle="1" w:styleId="371">
    <w:name w:val="目录"/>
    <w:next w:val="1"/>
    <w:qFormat/>
    <w:uiPriority w:val="99"/>
    <w:pPr>
      <w:spacing w:beforeLines="200"/>
      <w:jc w:val="center"/>
    </w:pPr>
    <w:rPr>
      <w:rFonts w:ascii="Arial" w:hAnsi="Arial" w:eastAsia="黑体" w:cs="宋体"/>
      <w:bCs/>
      <w:kern w:val="2"/>
      <w:sz w:val="48"/>
      <w:lang w:val="en-US" w:eastAsia="zh-CN" w:bidi="ar-SA"/>
    </w:rPr>
  </w:style>
  <w:style w:type="paragraph" w:customStyle="1" w:styleId="372">
    <w:name w:val="封面标准代替信息"/>
    <w:qFormat/>
    <w:uiPriority w:val="99"/>
    <w:pPr>
      <w:spacing w:before="57" w:line="280" w:lineRule="exact"/>
      <w:jc w:val="right"/>
    </w:pPr>
    <w:rPr>
      <w:rFonts w:ascii="宋体" w:hAnsi="Times New Roman" w:eastAsia="宋体" w:cs="Times New Roman"/>
      <w:sz w:val="21"/>
      <w:szCs w:val="21"/>
      <w:lang w:val="en-US" w:eastAsia="zh-CN" w:bidi="ar-SA"/>
    </w:rPr>
  </w:style>
  <w:style w:type="paragraph" w:customStyle="1" w:styleId="373">
    <w:name w:val="其他发布部门"/>
    <w:basedOn w:val="360"/>
    <w:qFormat/>
    <w:uiPriority w:val="99"/>
    <w:pPr>
      <w:spacing w:line="240" w:lineRule="atLeast"/>
    </w:pPr>
    <w:rPr>
      <w:rFonts w:ascii="黑体" w:eastAsia="黑体"/>
      <w:b w:val="0"/>
    </w:rPr>
  </w:style>
  <w:style w:type="paragraph" w:customStyle="1" w:styleId="374">
    <w:name w:val="p21"/>
    <w:basedOn w:val="1"/>
    <w:qFormat/>
    <w:uiPriority w:val="99"/>
    <w:pPr>
      <w:widowControl/>
      <w:pBdr>
        <w:bottom w:val="single" w:color="000000" w:sz="6" w:space="1"/>
      </w:pBdr>
      <w:jc w:val="center"/>
    </w:pPr>
    <w:rPr>
      <w:kern w:val="0"/>
      <w:sz w:val="18"/>
      <w:szCs w:val="18"/>
    </w:rPr>
  </w:style>
  <w:style w:type="paragraph" w:customStyle="1" w:styleId="375">
    <w:name w:val="p22"/>
    <w:basedOn w:val="1"/>
    <w:qFormat/>
    <w:uiPriority w:val="99"/>
    <w:pPr>
      <w:widowControl/>
    </w:pPr>
    <w:rPr>
      <w:kern w:val="0"/>
      <w:szCs w:val="21"/>
    </w:rPr>
  </w:style>
  <w:style w:type="paragraph" w:customStyle="1" w:styleId="376">
    <w:name w:val="p23"/>
    <w:basedOn w:val="1"/>
    <w:qFormat/>
    <w:uiPriority w:val="99"/>
    <w:pPr>
      <w:widowControl/>
      <w:spacing w:before="100" w:after="100"/>
      <w:jc w:val="left"/>
    </w:pPr>
    <w:rPr>
      <w:rFonts w:ascii="宋体" w:hAnsi="宋体" w:cs="宋体"/>
      <w:kern w:val="0"/>
      <w:sz w:val="24"/>
    </w:rPr>
  </w:style>
  <w:style w:type="paragraph" w:customStyle="1" w:styleId="377">
    <w:name w:val="p24"/>
    <w:basedOn w:val="1"/>
    <w:qFormat/>
    <w:uiPriority w:val="99"/>
    <w:pPr>
      <w:widowControl/>
      <w:jc w:val="left"/>
    </w:pPr>
    <w:rPr>
      <w:kern w:val="0"/>
      <w:sz w:val="18"/>
      <w:szCs w:val="18"/>
    </w:rPr>
  </w:style>
  <w:style w:type="paragraph" w:customStyle="1" w:styleId="37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79">
    <w:name w:val="列表段落1"/>
    <w:basedOn w:val="1"/>
    <w:qFormat/>
    <w:uiPriority w:val="34"/>
    <w:pPr>
      <w:ind w:firstLine="420" w:firstLineChars="200"/>
    </w:pPr>
  </w:style>
  <w:style w:type="character" w:customStyle="1" w:styleId="380">
    <w:name w:val="标题 1 Char"/>
    <w:link w:val="2"/>
    <w:qFormat/>
    <w:locked/>
    <w:uiPriority w:val="99"/>
    <w:rPr>
      <w:b/>
      <w:kern w:val="44"/>
      <w:sz w:val="44"/>
    </w:rPr>
  </w:style>
  <w:style w:type="character" w:customStyle="1" w:styleId="381">
    <w:name w:val="标题 2 Char"/>
    <w:link w:val="3"/>
    <w:qFormat/>
    <w:locked/>
    <w:uiPriority w:val="99"/>
    <w:rPr>
      <w:rFonts w:ascii="Arial" w:hAnsi="Arial" w:eastAsia="黑体"/>
      <w:b/>
      <w:kern w:val="2"/>
      <w:sz w:val="32"/>
    </w:rPr>
  </w:style>
  <w:style w:type="character" w:customStyle="1" w:styleId="382">
    <w:name w:val="标题 3 Char"/>
    <w:link w:val="4"/>
    <w:qFormat/>
    <w:locked/>
    <w:uiPriority w:val="99"/>
    <w:rPr>
      <w:b/>
      <w:kern w:val="2"/>
      <w:sz w:val="32"/>
    </w:rPr>
  </w:style>
  <w:style w:type="character" w:customStyle="1" w:styleId="383">
    <w:name w:val="标题 4 Char"/>
    <w:link w:val="5"/>
    <w:qFormat/>
    <w:locked/>
    <w:uiPriority w:val="99"/>
    <w:rPr>
      <w:rFonts w:ascii="Arial" w:hAnsi="Arial"/>
      <w:b/>
      <w:kern w:val="2"/>
      <w:sz w:val="28"/>
    </w:rPr>
  </w:style>
  <w:style w:type="character" w:customStyle="1" w:styleId="384">
    <w:name w:val="标题 5 Char"/>
    <w:link w:val="6"/>
    <w:qFormat/>
    <w:locked/>
    <w:uiPriority w:val="99"/>
    <w:rPr>
      <w:b/>
      <w:kern w:val="2"/>
      <w:sz w:val="24"/>
    </w:rPr>
  </w:style>
  <w:style w:type="character" w:customStyle="1" w:styleId="385">
    <w:name w:val="标题 6 Char"/>
    <w:link w:val="8"/>
    <w:qFormat/>
    <w:locked/>
    <w:uiPriority w:val="99"/>
    <w:rPr>
      <w:rFonts w:ascii="Arial" w:hAnsi="Arial" w:eastAsia="黑体"/>
      <w:b/>
      <w:kern w:val="2"/>
      <w:sz w:val="24"/>
    </w:rPr>
  </w:style>
  <w:style w:type="character" w:customStyle="1" w:styleId="386">
    <w:name w:val="标题 7 Char"/>
    <w:link w:val="9"/>
    <w:qFormat/>
    <w:locked/>
    <w:uiPriority w:val="99"/>
    <w:rPr>
      <w:b/>
      <w:kern w:val="2"/>
      <w:sz w:val="24"/>
    </w:rPr>
  </w:style>
  <w:style w:type="character" w:customStyle="1" w:styleId="387">
    <w:name w:val="标题 8 Char"/>
    <w:link w:val="10"/>
    <w:qFormat/>
    <w:locked/>
    <w:uiPriority w:val="99"/>
    <w:rPr>
      <w:rFonts w:ascii="Arial" w:hAnsi="Arial" w:eastAsia="黑体"/>
      <w:kern w:val="2"/>
      <w:sz w:val="24"/>
    </w:rPr>
  </w:style>
  <w:style w:type="character" w:customStyle="1" w:styleId="388">
    <w:name w:val="标题 9 Char"/>
    <w:link w:val="11"/>
    <w:qFormat/>
    <w:locked/>
    <w:uiPriority w:val="99"/>
    <w:rPr>
      <w:rFonts w:ascii="Arial" w:hAnsi="Arial" w:eastAsia="黑体"/>
      <w:kern w:val="2"/>
      <w:sz w:val="24"/>
    </w:rPr>
  </w:style>
  <w:style w:type="character" w:customStyle="1" w:styleId="389">
    <w:name w:val="批注文字 Char"/>
    <w:link w:val="13"/>
    <w:qFormat/>
    <w:locked/>
    <w:uiPriority w:val="99"/>
    <w:rPr>
      <w:kern w:val="2"/>
      <w:sz w:val="24"/>
    </w:rPr>
  </w:style>
  <w:style w:type="character" w:customStyle="1" w:styleId="390">
    <w:name w:val="批注主题 Char"/>
    <w:link w:val="12"/>
    <w:qFormat/>
    <w:locked/>
    <w:uiPriority w:val="99"/>
    <w:rPr>
      <w:b/>
      <w:kern w:val="2"/>
      <w:sz w:val="24"/>
    </w:rPr>
  </w:style>
  <w:style w:type="character" w:customStyle="1" w:styleId="391">
    <w:name w:val="正文文本 Char2"/>
    <w:link w:val="16"/>
    <w:qFormat/>
    <w:locked/>
    <w:uiPriority w:val="99"/>
    <w:rPr>
      <w:kern w:val="2"/>
      <w:sz w:val="24"/>
    </w:rPr>
  </w:style>
  <w:style w:type="character" w:customStyle="1" w:styleId="392">
    <w:name w:val="正文首行缩进 Char"/>
    <w:link w:val="15"/>
    <w:qFormat/>
    <w:locked/>
    <w:uiPriority w:val="99"/>
    <w:rPr>
      <w:kern w:val="2"/>
      <w:sz w:val="24"/>
    </w:rPr>
  </w:style>
  <w:style w:type="character" w:customStyle="1" w:styleId="393">
    <w:name w:val="文档结构图 Char"/>
    <w:link w:val="21"/>
    <w:qFormat/>
    <w:locked/>
    <w:uiPriority w:val="99"/>
    <w:rPr>
      <w:kern w:val="2"/>
      <w:sz w:val="24"/>
      <w:shd w:val="clear" w:color="auto" w:fill="000080"/>
    </w:rPr>
  </w:style>
  <w:style w:type="character" w:customStyle="1" w:styleId="394">
    <w:name w:val="正文文本 3 Char"/>
    <w:link w:val="23"/>
    <w:qFormat/>
    <w:locked/>
    <w:uiPriority w:val="99"/>
    <w:rPr>
      <w:b/>
      <w:kern w:val="2"/>
      <w:sz w:val="24"/>
    </w:rPr>
  </w:style>
  <w:style w:type="character" w:customStyle="1" w:styleId="395">
    <w:name w:val="正文文本缩进 Char"/>
    <w:link w:val="24"/>
    <w:qFormat/>
    <w:locked/>
    <w:uiPriority w:val="99"/>
    <w:rPr>
      <w:rFonts w:ascii="仿宋_GB2312" w:eastAsia="仿宋_GB2312"/>
      <w:kern w:val="2"/>
      <w:sz w:val="32"/>
    </w:rPr>
  </w:style>
  <w:style w:type="character" w:customStyle="1" w:styleId="396">
    <w:name w:val="HTML 地址 Char"/>
    <w:link w:val="27"/>
    <w:qFormat/>
    <w:locked/>
    <w:uiPriority w:val="99"/>
    <w:rPr>
      <w:i/>
      <w:sz w:val="24"/>
    </w:rPr>
  </w:style>
  <w:style w:type="character" w:customStyle="1" w:styleId="397">
    <w:name w:val="Plain Text Char"/>
    <w:qFormat/>
    <w:locked/>
    <w:uiPriority w:val="99"/>
    <w:rPr>
      <w:rFonts w:ascii="宋体" w:hAnsi="Courier New" w:eastAsia="宋体"/>
      <w:kern w:val="2"/>
      <w:sz w:val="21"/>
      <w:lang w:val="en-US" w:eastAsia="zh-CN"/>
    </w:rPr>
  </w:style>
  <w:style w:type="character" w:customStyle="1" w:styleId="398">
    <w:name w:val="日期 Char"/>
    <w:link w:val="34"/>
    <w:qFormat/>
    <w:locked/>
    <w:uiPriority w:val="99"/>
    <w:rPr>
      <w:rFonts w:ascii="宋体" w:hAnsi="Courier New"/>
      <w:kern w:val="2"/>
      <w:sz w:val="21"/>
    </w:rPr>
  </w:style>
  <w:style w:type="character" w:customStyle="1" w:styleId="399">
    <w:name w:val="正文文本缩进 2 Char"/>
    <w:link w:val="35"/>
    <w:qFormat/>
    <w:locked/>
    <w:uiPriority w:val="99"/>
    <w:rPr>
      <w:kern w:val="2"/>
      <w:sz w:val="32"/>
    </w:rPr>
  </w:style>
  <w:style w:type="character" w:customStyle="1" w:styleId="400">
    <w:name w:val="尾注文本 Char"/>
    <w:link w:val="36"/>
    <w:qFormat/>
    <w:locked/>
    <w:uiPriority w:val="99"/>
    <w:rPr>
      <w:sz w:val="24"/>
    </w:rPr>
  </w:style>
  <w:style w:type="character" w:customStyle="1" w:styleId="401">
    <w:name w:val="批注框文本 Char"/>
    <w:link w:val="37"/>
    <w:qFormat/>
    <w:locked/>
    <w:uiPriority w:val="99"/>
    <w:rPr>
      <w:kern w:val="2"/>
      <w:sz w:val="18"/>
    </w:rPr>
  </w:style>
  <w:style w:type="character" w:customStyle="1" w:styleId="402">
    <w:name w:val="页脚 Char"/>
    <w:link w:val="38"/>
    <w:qFormat/>
    <w:locked/>
    <w:uiPriority w:val="99"/>
    <w:rPr>
      <w:kern w:val="2"/>
      <w:sz w:val="18"/>
    </w:rPr>
  </w:style>
  <w:style w:type="character" w:customStyle="1" w:styleId="403">
    <w:name w:val="页眉 Char"/>
    <w:link w:val="39"/>
    <w:qFormat/>
    <w:locked/>
    <w:uiPriority w:val="99"/>
    <w:rPr>
      <w:kern w:val="2"/>
      <w:sz w:val="18"/>
    </w:rPr>
  </w:style>
  <w:style w:type="character" w:customStyle="1" w:styleId="404">
    <w:name w:val="副标题 Char"/>
    <w:link w:val="44"/>
    <w:qFormat/>
    <w:locked/>
    <w:uiPriority w:val="99"/>
    <w:rPr>
      <w:rFonts w:ascii="Arial" w:hAnsi="Arial"/>
      <w:color w:val="000000"/>
      <w:sz w:val="24"/>
      <w:lang w:eastAsia="en-US"/>
    </w:rPr>
  </w:style>
  <w:style w:type="character" w:customStyle="1" w:styleId="405">
    <w:name w:val="脚注文本 Char"/>
    <w:link w:val="46"/>
    <w:qFormat/>
    <w:locked/>
    <w:uiPriority w:val="99"/>
    <w:rPr>
      <w:rFonts w:ascii="宋体"/>
      <w:sz w:val="18"/>
    </w:rPr>
  </w:style>
  <w:style w:type="character" w:customStyle="1" w:styleId="406">
    <w:name w:val="正文文本缩进 3 Char"/>
    <w:link w:val="48"/>
    <w:qFormat/>
    <w:locked/>
    <w:uiPriority w:val="99"/>
    <w:rPr>
      <w:kern w:val="2"/>
      <w:sz w:val="16"/>
    </w:rPr>
  </w:style>
  <w:style w:type="character" w:customStyle="1" w:styleId="407">
    <w:name w:val="正文文本 2 Char"/>
    <w:link w:val="54"/>
    <w:qFormat/>
    <w:locked/>
    <w:uiPriority w:val="99"/>
    <w:rPr>
      <w:kern w:val="2"/>
      <w:sz w:val="24"/>
    </w:rPr>
  </w:style>
  <w:style w:type="character" w:customStyle="1" w:styleId="408">
    <w:name w:val="HTML 预设格式 Char"/>
    <w:link w:val="55"/>
    <w:qFormat/>
    <w:locked/>
    <w:uiPriority w:val="99"/>
    <w:rPr>
      <w:rFonts w:ascii="宋体" w:eastAsia="宋体"/>
      <w:sz w:val="24"/>
    </w:rPr>
  </w:style>
  <w:style w:type="character" w:customStyle="1" w:styleId="409">
    <w:name w:val="标题 Char"/>
    <w:link w:val="58"/>
    <w:qFormat/>
    <w:locked/>
    <w:uiPriority w:val="99"/>
    <w:rPr>
      <w:rFonts w:ascii="Cambria" w:hAnsi="Cambria"/>
      <w:b/>
      <w:kern w:val="2"/>
      <w:sz w:val="32"/>
    </w:rPr>
  </w:style>
  <w:style w:type="character" w:customStyle="1" w:styleId="410">
    <w:name w:val="正文缩进 Char"/>
    <w:link w:val="7"/>
    <w:qFormat/>
    <w:locked/>
    <w:uiPriority w:val="99"/>
    <w:rPr>
      <w:kern w:val="2"/>
      <w:sz w:val="21"/>
    </w:rPr>
  </w:style>
  <w:style w:type="character" w:customStyle="1" w:styleId="411">
    <w:name w:val="普通文字 Char Char2"/>
    <w:qFormat/>
    <w:uiPriority w:val="99"/>
    <w:rPr>
      <w:rFonts w:ascii="宋体" w:hAnsi="Courier New" w:eastAsia="宋体"/>
      <w:b/>
      <w:i/>
      <w:color w:val="000000"/>
      <w:kern w:val="2"/>
      <w:sz w:val="21"/>
      <w:lang w:val="en-US" w:eastAsia="zh-CN"/>
    </w:rPr>
  </w:style>
  <w:style w:type="character" w:customStyle="1" w:styleId="412">
    <w:name w:val="Char Char4"/>
    <w:qFormat/>
    <w:uiPriority w:val="99"/>
    <w:rPr>
      <w:rFonts w:ascii="宋体" w:hAnsi="Courier New" w:eastAsia="宋体"/>
      <w:kern w:val="2"/>
      <w:sz w:val="21"/>
      <w:lang w:val="en-US" w:eastAsia="zh-CN"/>
    </w:rPr>
  </w:style>
  <w:style w:type="character" w:customStyle="1" w:styleId="413">
    <w:name w:val="纯文本 Char"/>
    <w:link w:val="31"/>
    <w:qFormat/>
    <w:locked/>
    <w:uiPriority w:val="0"/>
    <w:rPr>
      <w:rFonts w:ascii="宋体" w:hAnsi="Courier New" w:eastAsia="宋体"/>
      <w:kern w:val="2"/>
      <w:sz w:val="21"/>
      <w:lang w:val="en-US" w:eastAsia="zh-CN"/>
    </w:rPr>
  </w:style>
  <w:style w:type="character" w:customStyle="1" w:styleId="414">
    <w:name w:val="普通(网站) Char"/>
    <w:link w:val="56"/>
    <w:qFormat/>
    <w:locked/>
    <w:uiPriority w:val="99"/>
    <w:rPr>
      <w:rFonts w:ascii="宋体" w:eastAsia="宋体"/>
      <w:sz w:val="24"/>
    </w:rPr>
  </w:style>
  <w:style w:type="character" w:customStyle="1" w:styleId="415">
    <w:name w:val="apple-converted-space"/>
    <w:qFormat/>
    <w:uiPriority w:val="99"/>
    <w:rPr>
      <w:rFonts w:cs="Times New Roman"/>
    </w:rPr>
  </w:style>
  <w:style w:type="character" w:customStyle="1" w:styleId="416">
    <w:name w:val="Char Char2"/>
    <w:qFormat/>
    <w:uiPriority w:val="99"/>
    <w:rPr>
      <w:rFonts w:ascii="宋体" w:hAnsi="宋体" w:eastAsia="宋体"/>
      <w:kern w:val="2"/>
      <w:sz w:val="24"/>
      <w:lang w:val="en-US" w:eastAsia="zh-CN"/>
    </w:rPr>
  </w:style>
  <w:style w:type="character" w:customStyle="1" w:styleId="417">
    <w:name w:val="无间隔 Char"/>
    <w:link w:val="76"/>
    <w:qFormat/>
    <w:locked/>
    <w:uiPriority w:val="99"/>
    <w:rPr>
      <w:rFonts w:ascii="Calibri" w:hAnsi="Calibri"/>
      <w:sz w:val="22"/>
      <w:lang w:val="en-US" w:eastAsia="zh-CN"/>
    </w:rPr>
  </w:style>
  <w:style w:type="character" w:customStyle="1" w:styleId="418">
    <w:name w:val="case31"/>
    <w:qFormat/>
    <w:uiPriority w:val="99"/>
    <w:rPr>
      <w:sz w:val="21"/>
    </w:rPr>
  </w:style>
  <w:style w:type="character" w:customStyle="1" w:styleId="419">
    <w:name w:val="样式 body + 仿宋_GB2312 三号"/>
    <w:qFormat/>
    <w:uiPriority w:val="99"/>
    <w:rPr>
      <w:rFonts w:ascii="宋体" w:eastAsia="宋体"/>
      <w:kern w:val="0"/>
      <w:sz w:val="24"/>
      <w:lang w:val="en-US" w:eastAsia="zh-CN"/>
    </w:rPr>
  </w:style>
  <w:style w:type="character" w:customStyle="1" w:styleId="420">
    <w:name w:val="14"/>
    <w:qFormat/>
    <w:uiPriority w:val="99"/>
    <w:rPr>
      <w:rFonts w:cs="Times New Roman"/>
    </w:rPr>
  </w:style>
  <w:style w:type="character" w:customStyle="1" w:styleId="421">
    <w:name w:val="lb1"/>
    <w:qFormat/>
    <w:uiPriority w:val="99"/>
    <w:rPr>
      <w:b/>
      <w:color w:val="0851A5"/>
      <w:sz w:val="27"/>
    </w:rPr>
  </w:style>
  <w:style w:type="character" w:customStyle="1" w:styleId="422">
    <w:name w:val="textcontents"/>
    <w:qFormat/>
    <w:uiPriority w:val="99"/>
    <w:rPr>
      <w:rFonts w:cs="Times New Roman"/>
    </w:rPr>
  </w:style>
  <w:style w:type="character" w:customStyle="1" w:styleId="423">
    <w:name w:val="Char Char Char"/>
    <w:qFormat/>
    <w:uiPriority w:val="99"/>
    <w:rPr>
      <w:rFonts w:ascii="宋体" w:hAnsi="Courier New" w:eastAsia="宋体"/>
      <w:kern w:val="2"/>
      <w:sz w:val="21"/>
      <w:lang w:val="en-US" w:eastAsia="zh-CN"/>
    </w:rPr>
  </w:style>
  <w:style w:type="character" w:customStyle="1" w:styleId="424">
    <w:name w:val="题注 Char"/>
    <w:link w:val="19"/>
    <w:qFormat/>
    <w:locked/>
    <w:uiPriority w:val="99"/>
    <w:rPr>
      <w:rFonts w:ascii="Arial" w:hAnsi="Arial" w:eastAsia="黑体"/>
      <w:kern w:val="2"/>
    </w:rPr>
  </w:style>
  <w:style w:type="character" w:customStyle="1" w:styleId="425">
    <w:name w:val="正文 + 宋体 Char"/>
    <w:link w:val="128"/>
    <w:qFormat/>
    <w:locked/>
    <w:uiPriority w:val="99"/>
    <w:rPr>
      <w:rFonts w:ascii="宋体" w:eastAsia="宋体"/>
      <w:b/>
      <w:sz w:val="24"/>
    </w:rPr>
  </w:style>
  <w:style w:type="character" w:customStyle="1" w:styleId="426">
    <w:name w:val="2级标题 Char"/>
    <w:link w:val="129"/>
    <w:qFormat/>
    <w:locked/>
    <w:uiPriority w:val="99"/>
    <w:rPr>
      <w:rFonts w:ascii="黑体" w:hAnsi="黑体" w:eastAsia="黑体"/>
      <w:kern w:val="0"/>
      <w:sz w:val="20"/>
      <w:szCs w:val="36"/>
      <w:lang w:eastAsia="en-US"/>
    </w:rPr>
  </w:style>
  <w:style w:type="character" w:customStyle="1" w:styleId="427">
    <w:name w:val="font51"/>
    <w:qFormat/>
    <w:uiPriority w:val="99"/>
    <w:rPr>
      <w:rFonts w:ascii="宋体" w:hAnsi="宋体" w:eastAsia="宋体"/>
      <w:color w:val="000000"/>
      <w:sz w:val="18"/>
      <w:vertAlign w:val="superscript"/>
    </w:rPr>
  </w:style>
  <w:style w:type="character" w:customStyle="1" w:styleId="428">
    <w:name w:val="页眉 Char1"/>
    <w:semiHidden/>
    <w:qFormat/>
    <w:uiPriority w:val="99"/>
    <w:rPr>
      <w:kern w:val="2"/>
      <w:sz w:val="18"/>
    </w:rPr>
  </w:style>
  <w:style w:type="character" w:customStyle="1" w:styleId="429">
    <w:name w:val="正文四号 Char"/>
    <w:link w:val="130"/>
    <w:qFormat/>
    <w:locked/>
    <w:uiPriority w:val="99"/>
    <w:rPr>
      <w:rFonts w:eastAsia="仿宋"/>
      <w:sz w:val="28"/>
    </w:rPr>
  </w:style>
  <w:style w:type="character" w:customStyle="1" w:styleId="430">
    <w:name w:val="font01"/>
    <w:qFormat/>
    <w:uiPriority w:val="99"/>
    <w:rPr>
      <w:rFonts w:ascii="Helvetica" w:hAnsi="Helvetica" w:eastAsia="Times New Roman"/>
      <w:color w:val="000000"/>
      <w:sz w:val="20"/>
    </w:rPr>
  </w:style>
  <w:style w:type="character" w:customStyle="1" w:styleId="431">
    <w:name w:val="hps"/>
    <w:qFormat/>
    <w:uiPriority w:val="99"/>
  </w:style>
  <w:style w:type="character" w:customStyle="1" w:styleId="432">
    <w:name w:val="段 Char"/>
    <w:link w:val="131"/>
    <w:qFormat/>
    <w:locked/>
    <w:uiPriority w:val="99"/>
    <w:rPr>
      <w:rFonts w:ascii="宋体"/>
      <w:sz w:val="21"/>
    </w:rPr>
  </w:style>
  <w:style w:type="character" w:customStyle="1" w:styleId="433">
    <w:name w:val="3zw"/>
    <w:qFormat/>
    <w:uiPriority w:val="99"/>
    <w:rPr>
      <w:rFonts w:cs="Times New Roman"/>
    </w:rPr>
  </w:style>
  <w:style w:type="character" w:customStyle="1" w:styleId="434">
    <w:name w:val="op_dict_text2"/>
    <w:qFormat/>
    <w:uiPriority w:val="99"/>
  </w:style>
  <w:style w:type="character" w:customStyle="1" w:styleId="435">
    <w:name w:val="font41"/>
    <w:qFormat/>
    <w:uiPriority w:val="99"/>
    <w:rPr>
      <w:rFonts w:ascii="宋体" w:hAnsi="宋体" w:eastAsia="宋体"/>
      <w:color w:val="000000"/>
      <w:sz w:val="18"/>
      <w:vertAlign w:val="superscript"/>
    </w:rPr>
  </w:style>
  <w:style w:type="character" w:customStyle="1" w:styleId="436">
    <w:name w:val="标题2新 Char"/>
    <w:link w:val="132"/>
    <w:qFormat/>
    <w:locked/>
    <w:uiPriority w:val="99"/>
    <w:rPr>
      <w:rFonts w:ascii="黑体" w:hAnsi="黑体" w:eastAsia="黑体"/>
    </w:rPr>
  </w:style>
  <w:style w:type="character" w:customStyle="1" w:styleId="437">
    <w:name w:val="一级条标题 Char"/>
    <w:link w:val="133"/>
    <w:qFormat/>
    <w:locked/>
    <w:uiPriority w:val="99"/>
    <w:rPr>
      <w:rFonts w:ascii="黑体" w:eastAsia="黑体"/>
      <w:kern w:val="0"/>
      <w:szCs w:val="21"/>
    </w:rPr>
  </w:style>
  <w:style w:type="character" w:customStyle="1" w:styleId="438">
    <w:name w:val="content3"/>
    <w:qFormat/>
    <w:uiPriority w:val="99"/>
  </w:style>
  <w:style w:type="character" w:customStyle="1" w:styleId="439">
    <w:name w:val="ast"/>
    <w:qFormat/>
    <w:uiPriority w:val="99"/>
  </w:style>
  <w:style w:type="character" w:customStyle="1" w:styleId="440">
    <w:name w:val="z-窗体底端 Char"/>
    <w:link w:val="134"/>
    <w:qFormat/>
    <w:locked/>
    <w:uiPriority w:val="99"/>
    <w:rPr>
      <w:rFonts w:ascii="Arial" w:hAnsi="Arial" w:eastAsia="Times New Roman"/>
      <w:vanish/>
      <w:sz w:val="16"/>
    </w:rPr>
  </w:style>
  <w:style w:type="character" w:customStyle="1" w:styleId="441">
    <w:name w:val="HTML 预设格式 Char1"/>
    <w:qFormat/>
    <w:uiPriority w:val="99"/>
    <w:rPr>
      <w:rFonts w:ascii="Courier New" w:hAnsi="Courier New"/>
      <w:kern w:val="2"/>
    </w:rPr>
  </w:style>
  <w:style w:type="character" w:customStyle="1" w:styleId="442">
    <w:name w:val="content1"/>
    <w:qFormat/>
    <w:uiPriority w:val="99"/>
    <w:rPr>
      <w:sz w:val="18"/>
    </w:rPr>
  </w:style>
  <w:style w:type="character" w:customStyle="1" w:styleId="443">
    <w:name w:val="f111"/>
    <w:qFormat/>
    <w:uiPriority w:val="99"/>
    <w:rPr>
      <w:sz w:val="22"/>
    </w:rPr>
  </w:style>
  <w:style w:type="character" w:customStyle="1" w:styleId="444">
    <w:name w:val="正文文本 Char1"/>
    <w:qFormat/>
    <w:uiPriority w:val="99"/>
    <w:rPr>
      <w:rFonts w:ascii="金山简黑体" w:hAnsi="Courier New" w:eastAsia="金山简黑体"/>
      <w:b/>
      <w:spacing w:val="-8"/>
      <w:kern w:val="2"/>
      <w:sz w:val="44"/>
    </w:rPr>
  </w:style>
  <w:style w:type="character" w:customStyle="1" w:styleId="445">
    <w:name w:val="个人答复风格"/>
    <w:qFormat/>
    <w:uiPriority w:val="99"/>
    <w:rPr>
      <w:rFonts w:ascii="Arial" w:hAnsi="Arial" w:eastAsia="宋体"/>
      <w:color w:val="auto"/>
      <w:sz w:val="20"/>
    </w:rPr>
  </w:style>
  <w:style w:type="character" w:customStyle="1" w:styleId="446">
    <w:name w:val="number"/>
    <w:qFormat/>
    <w:uiPriority w:val="99"/>
  </w:style>
  <w:style w:type="character" w:customStyle="1" w:styleId="447">
    <w:name w:val="font21"/>
    <w:qFormat/>
    <w:uiPriority w:val="99"/>
    <w:rPr>
      <w:rFonts w:ascii="宋体" w:hAnsi="宋体" w:eastAsia="宋体"/>
      <w:color w:val="000000"/>
      <w:sz w:val="18"/>
      <w:vertAlign w:val="superscript"/>
    </w:rPr>
  </w:style>
  <w:style w:type="character" w:customStyle="1" w:styleId="448">
    <w:name w:val="脚注文本 Char1"/>
    <w:qFormat/>
    <w:uiPriority w:val="99"/>
    <w:rPr>
      <w:rFonts w:ascii="宋体" w:hAnsi="Courier New"/>
      <w:kern w:val="2"/>
      <w:sz w:val="18"/>
    </w:rPr>
  </w:style>
  <w:style w:type="character" w:customStyle="1" w:styleId="449">
    <w:name w:val="h11"/>
    <w:qFormat/>
    <w:uiPriority w:val="99"/>
    <w:rPr>
      <w:rFonts w:ascii="Courier New" w:hAnsi="Courier New" w:eastAsia="宋体"/>
      <w:b/>
      <w:sz w:val="24"/>
      <w:lang w:val="en-US" w:eastAsia="zh-CN"/>
    </w:rPr>
  </w:style>
  <w:style w:type="character" w:customStyle="1" w:styleId="450">
    <w:name w:val="个人撰写风格"/>
    <w:qFormat/>
    <w:uiPriority w:val="99"/>
    <w:rPr>
      <w:rFonts w:ascii="Arial" w:hAnsi="Arial" w:eastAsia="宋体"/>
      <w:color w:val="auto"/>
      <w:sz w:val="20"/>
    </w:rPr>
  </w:style>
  <w:style w:type="character" w:customStyle="1" w:styleId="451">
    <w:name w:val="样式1 Char"/>
    <w:link w:val="135"/>
    <w:qFormat/>
    <w:locked/>
    <w:uiPriority w:val="99"/>
    <w:rPr>
      <w:sz w:val="24"/>
    </w:rPr>
  </w:style>
  <w:style w:type="character" w:customStyle="1" w:styleId="452">
    <w:name w:val="main5"/>
    <w:qFormat/>
    <w:uiPriority w:val="99"/>
    <w:rPr>
      <w:color w:val="000000"/>
      <w:sz w:val="20"/>
    </w:rPr>
  </w:style>
  <w:style w:type="character" w:customStyle="1" w:styleId="453">
    <w:name w:val="自创3级 Char"/>
    <w:link w:val="136"/>
    <w:qFormat/>
    <w:locked/>
    <w:uiPriority w:val="99"/>
    <w:rPr>
      <w:rFonts w:ascii="黑体" w:hAnsi="黑体" w:eastAsia="黑体"/>
      <w:b/>
      <w:kern w:val="0"/>
      <w:sz w:val="28"/>
      <w:szCs w:val="28"/>
    </w:rPr>
  </w:style>
  <w:style w:type="character" w:customStyle="1" w:styleId="454">
    <w:name w:val="自创4级 Char"/>
    <w:link w:val="137"/>
    <w:qFormat/>
    <w:locked/>
    <w:uiPriority w:val="99"/>
    <w:rPr>
      <w:rFonts w:ascii="黑体" w:hAnsi="黑体" w:eastAsia="黑体"/>
      <w:bCs/>
      <w:kern w:val="0"/>
      <w:sz w:val="24"/>
      <w:szCs w:val="24"/>
    </w:rPr>
  </w:style>
  <w:style w:type="character" w:customStyle="1" w:styleId="455">
    <w:name w:val="并列项-点 Char"/>
    <w:link w:val="138"/>
    <w:qFormat/>
    <w:locked/>
    <w:uiPriority w:val="99"/>
    <w:rPr>
      <w:sz w:val="24"/>
    </w:rPr>
  </w:style>
  <w:style w:type="character" w:customStyle="1" w:styleId="456">
    <w:name w:val="二级条标题 Char"/>
    <w:link w:val="139"/>
    <w:qFormat/>
    <w:locked/>
    <w:uiPriority w:val="99"/>
    <w:rPr>
      <w:rFonts w:ascii="黑体" w:eastAsia="黑体"/>
      <w:sz w:val="21"/>
    </w:rPr>
  </w:style>
  <w:style w:type="character" w:customStyle="1" w:styleId="457">
    <w:name w:val="text11"/>
    <w:qFormat/>
    <w:uiPriority w:val="99"/>
    <w:rPr>
      <w:rFonts w:ascii="Verdana" w:hAnsi="Verdana"/>
      <w:color w:val="4E4E4E"/>
      <w:sz w:val="18"/>
    </w:rPr>
  </w:style>
  <w:style w:type="character" w:customStyle="1" w:styleId="458">
    <w:name w:val="标题 3 Char1"/>
    <w:link w:val="140"/>
    <w:qFormat/>
    <w:locked/>
    <w:uiPriority w:val="99"/>
    <w:rPr>
      <w:rFonts w:ascii="Calibri" w:hAnsi="Calibri"/>
      <w:b/>
      <w:sz w:val="32"/>
    </w:rPr>
  </w:style>
  <w:style w:type="character" w:customStyle="1" w:styleId="459">
    <w:name w:val="自创2级 Char"/>
    <w:link w:val="141"/>
    <w:qFormat/>
    <w:locked/>
    <w:uiPriority w:val="99"/>
    <w:rPr>
      <w:rFonts w:ascii="黑体" w:hAnsi="黑体" w:eastAsia="黑体"/>
      <w:b/>
      <w:bCs/>
      <w:kern w:val="0"/>
      <w:sz w:val="30"/>
      <w:szCs w:val="30"/>
    </w:rPr>
  </w:style>
  <w:style w:type="character" w:customStyle="1" w:styleId="460">
    <w:name w:val="def"/>
    <w:qFormat/>
    <w:uiPriority w:val="99"/>
  </w:style>
  <w:style w:type="character" w:customStyle="1" w:styleId="461">
    <w:name w:val="apple-style-span"/>
    <w:qFormat/>
    <w:uiPriority w:val="99"/>
    <w:rPr>
      <w:rFonts w:cs="Times New Roman"/>
    </w:rPr>
  </w:style>
  <w:style w:type="character" w:customStyle="1" w:styleId="462">
    <w:name w:val="Char Char5"/>
    <w:qFormat/>
    <w:locked/>
    <w:uiPriority w:val="99"/>
    <w:rPr>
      <w:rFonts w:ascii="宋体" w:hAnsi="Courier New" w:eastAsia="宋体"/>
      <w:spacing w:val="-4"/>
      <w:kern w:val="2"/>
      <w:sz w:val="18"/>
    </w:rPr>
  </w:style>
  <w:style w:type="character" w:customStyle="1" w:styleId="463">
    <w:name w:val="段 Char Char"/>
    <w:qFormat/>
    <w:uiPriority w:val="99"/>
    <w:rPr>
      <w:rFonts w:ascii="宋体"/>
      <w:sz w:val="21"/>
      <w:lang w:val="en-US" w:eastAsia="zh-CN"/>
    </w:rPr>
  </w:style>
  <w:style w:type="character" w:customStyle="1" w:styleId="464">
    <w:name w:val="z-窗体顶端 Char"/>
    <w:link w:val="142"/>
    <w:qFormat/>
    <w:locked/>
    <w:uiPriority w:val="99"/>
    <w:rPr>
      <w:rFonts w:ascii="Arial" w:hAnsi="Arial" w:eastAsia="Times New Roman"/>
      <w:vanish/>
      <w:sz w:val="16"/>
    </w:rPr>
  </w:style>
  <w:style w:type="character" w:customStyle="1" w:styleId="465">
    <w:name w:val="txt"/>
    <w:qFormat/>
    <w:uiPriority w:val="99"/>
    <w:rPr>
      <w:rFonts w:eastAsia="宋体"/>
      <w:sz w:val="24"/>
      <w:lang w:val="en-US" w:eastAsia="zh-CN"/>
    </w:rPr>
  </w:style>
  <w:style w:type="character" w:customStyle="1" w:styleId="466">
    <w:name w:val="自创表 Char"/>
    <w:link w:val="143"/>
    <w:qFormat/>
    <w:locked/>
    <w:uiPriority w:val="99"/>
    <w:rPr>
      <w:sz w:val="24"/>
    </w:rPr>
  </w:style>
  <w:style w:type="character" w:customStyle="1" w:styleId="467">
    <w:name w:val="orange_size1"/>
    <w:qFormat/>
    <w:uiPriority w:val="99"/>
    <w:rPr>
      <w:rFonts w:ascii="??" w:hAnsi="??"/>
      <w:color w:val="FF6600"/>
      <w:sz w:val="17"/>
    </w:rPr>
  </w:style>
  <w:style w:type="character" w:customStyle="1" w:styleId="468">
    <w:name w:val="纯文本 Char2"/>
    <w:qFormat/>
    <w:uiPriority w:val="99"/>
    <w:rPr>
      <w:rFonts w:ascii="宋体" w:hAnsi="Courier New" w:eastAsia="宋体"/>
      <w:kern w:val="2"/>
      <w:sz w:val="21"/>
      <w:lang w:val="en-US" w:eastAsia="zh-CN"/>
    </w:rPr>
  </w:style>
  <w:style w:type="character" w:customStyle="1" w:styleId="469">
    <w:name w:val="仿宋三号正文 Char"/>
    <w:link w:val="144"/>
    <w:qFormat/>
    <w:locked/>
    <w:uiPriority w:val="99"/>
    <w:rPr>
      <w:rFonts w:ascii="仿宋_GB2312" w:hAnsi="仿宋_GB2312" w:eastAsia="仿宋_GB2312"/>
      <w:sz w:val="32"/>
    </w:rPr>
  </w:style>
  <w:style w:type="character" w:customStyle="1" w:styleId="470">
    <w:name w:val="正文文本 Char"/>
    <w:qFormat/>
    <w:uiPriority w:val="99"/>
    <w:rPr>
      <w:rFonts w:ascii="金山简黑体" w:hAnsi="Courier New" w:eastAsia="金山简黑体"/>
      <w:b/>
      <w:spacing w:val="-8"/>
      <w:kern w:val="2"/>
      <w:sz w:val="44"/>
    </w:rPr>
  </w:style>
  <w:style w:type="character" w:customStyle="1" w:styleId="471">
    <w:name w:val="Char Char1"/>
    <w:qFormat/>
    <w:uiPriority w:val="99"/>
    <w:rPr>
      <w:rFonts w:ascii="宋体" w:hAnsi="Courier New" w:eastAsia="宋体"/>
      <w:kern w:val="2"/>
      <w:sz w:val="21"/>
      <w:lang w:val="en-US" w:eastAsia="zh-CN"/>
    </w:rPr>
  </w:style>
  <w:style w:type="character" w:customStyle="1" w:styleId="472">
    <w:name w:val="自创英 Char"/>
    <w:link w:val="145"/>
    <w:qFormat/>
    <w:locked/>
    <w:uiPriority w:val="99"/>
    <w:rPr>
      <w:sz w:val="24"/>
      <w:shd w:val="clear" w:color="auto" w:fill="F5F5F5"/>
    </w:rPr>
  </w:style>
  <w:style w:type="character" w:customStyle="1" w:styleId="473">
    <w:name w:val="七章格式正文 Char"/>
    <w:link w:val="146"/>
    <w:qFormat/>
    <w:locked/>
    <w:uiPriority w:val="99"/>
    <w:rPr>
      <w:sz w:val="24"/>
    </w:rPr>
  </w:style>
  <w:style w:type="character" w:customStyle="1" w:styleId="474">
    <w:name w:val="标题 Char1"/>
    <w:qFormat/>
    <w:uiPriority w:val="99"/>
    <w:rPr>
      <w:rFonts w:ascii="Calibri Light" w:hAnsi="Calibri Light"/>
      <w:b/>
      <w:kern w:val="2"/>
      <w:sz w:val="32"/>
    </w:rPr>
  </w:style>
  <w:style w:type="character" w:customStyle="1" w:styleId="475">
    <w:name w:val="首示例 Char"/>
    <w:link w:val="147"/>
    <w:qFormat/>
    <w:locked/>
    <w:uiPriority w:val="99"/>
    <w:rPr>
      <w:rFonts w:ascii="宋体" w:eastAsia="宋体"/>
      <w:sz w:val="18"/>
    </w:rPr>
  </w:style>
  <w:style w:type="character" w:customStyle="1" w:styleId="476">
    <w:name w:val="font61"/>
    <w:qFormat/>
    <w:uiPriority w:val="99"/>
    <w:rPr>
      <w:rFonts w:ascii="宋体" w:hAnsi="宋体" w:eastAsia="宋体"/>
      <w:color w:val="000000"/>
      <w:sz w:val="18"/>
    </w:rPr>
  </w:style>
  <w:style w:type="character" w:customStyle="1" w:styleId="477">
    <w:name w:val="标准正文 Char"/>
    <w:qFormat/>
    <w:uiPriority w:val="99"/>
    <w:rPr>
      <w:sz w:val="24"/>
    </w:rPr>
  </w:style>
  <w:style w:type="character" w:customStyle="1" w:styleId="478">
    <w:name w:val="样式1正文 Char"/>
    <w:link w:val="148"/>
    <w:qFormat/>
    <w:locked/>
    <w:uiPriority w:val="99"/>
    <w:rPr>
      <w:rFonts w:ascii="仿宋_GB2312" w:eastAsia="仿宋_GB2312"/>
      <w:sz w:val="24"/>
    </w:rPr>
  </w:style>
  <w:style w:type="character" w:customStyle="1" w:styleId="479">
    <w:name w:val="访问过的超链接1"/>
    <w:qFormat/>
    <w:uiPriority w:val="99"/>
    <w:rPr>
      <w:color w:val="800080"/>
      <w:u w:val="single"/>
    </w:rPr>
  </w:style>
  <w:style w:type="character" w:customStyle="1" w:styleId="480">
    <w:name w:val="publishtime"/>
    <w:qFormat/>
    <w:uiPriority w:val="99"/>
  </w:style>
  <w:style w:type="character" w:customStyle="1" w:styleId="481">
    <w:name w:val="发布"/>
    <w:qFormat/>
    <w:uiPriority w:val="99"/>
    <w:rPr>
      <w:rFonts w:ascii="黑体" w:eastAsia="黑体"/>
      <w:spacing w:val="85"/>
      <w:w w:val="100"/>
      <w:position w:val="3"/>
      <w:sz w:val="28"/>
    </w:rPr>
  </w:style>
  <w:style w:type="character" w:customStyle="1" w:styleId="482">
    <w:name w:val="px14"/>
    <w:qFormat/>
    <w:uiPriority w:val="99"/>
  </w:style>
  <w:style w:type="character" w:customStyle="1" w:styleId="483">
    <w:name w:val="4级标题 Char"/>
    <w:link w:val="149"/>
    <w:qFormat/>
    <w:locked/>
    <w:uiPriority w:val="99"/>
    <w:rPr>
      <w:rFonts w:ascii="黑体" w:hAnsi="黑体" w:eastAsia="黑体"/>
      <w:kern w:val="0"/>
      <w:sz w:val="20"/>
      <w:szCs w:val="24"/>
      <w:lang w:eastAsia="en-US"/>
    </w:rPr>
  </w:style>
  <w:style w:type="character" w:customStyle="1" w:styleId="484">
    <w:name w:val="style81"/>
    <w:qFormat/>
    <w:uiPriority w:val="99"/>
    <w:rPr>
      <w:rFonts w:ascii="Arial" w:hAnsi="Arial"/>
      <w:color w:val="333333"/>
      <w:sz w:val="31"/>
    </w:rPr>
  </w:style>
  <w:style w:type="character" w:customStyle="1" w:styleId="485">
    <w:name w:val="列出段落 Char"/>
    <w:link w:val="150"/>
    <w:qFormat/>
    <w:locked/>
    <w:uiPriority w:val="99"/>
    <w:rPr>
      <w:rFonts w:ascii="Calibri" w:hAnsi="Calibri"/>
    </w:rPr>
  </w:style>
  <w:style w:type="character" w:customStyle="1" w:styleId="486">
    <w:name w:val="标题 Char2"/>
    <w:qFormat/>
    <w:uiPriority w:val="99"/>
    <w:rPr>
      <w:rFonts w:ascii="Calibri Light" w:hAnsi="Calibri Light" w:eastAsia="宋体"/>
      <w:b/>
      <w:sz w:val="32"/>
    </w:rPr>
  </w:style>
  <w:style w:type="character" w:customStyle="1" w:styleId="487">
    <w:name w:val="HTML 地址 Char1"/>
    <w:qFormat/>
    <w:uiPriority w:val="99"/>
    <w:rPr>
      <w:rFonts w:ascii="宋体" w:hAnsi="Courier New"/>
      <w:i/>
      <w:kern w:val="2"/>
      <w:sz w:val="21"/>
    </w:rPr>
  </w:style>
  <w:style w:type="character" w:customStyle="1" w:styleId="488">
    <w:name w:val="3级标题 Char"/>
    <w:link w:val="151"/>
    <w:qFormat/>
    <w:locked/>
    <w:uiPriority w:val="99"/>
    <w:rPr>
      <w:rFonts w:ascii="黑体" w:hAnsi="黑体" w:eastAsia="黑体"/>
      <w:kern w:val="0"/>
      <w:sz w:val="20"/>
      <w:szCs w:val="36"/>
      <w:lang w:eastAsia="en-US"/>
    </w:rPr>
  </w:style>
  <w:style w:type="character" w:customStyle="1" w:styleId="489">
    <w:name w:val="正文缩进体 Char"/>
    <w:link w:val="152"/>
    <w:qFormat/>
    <w:locked/>
    <w:uiPriority w:val="99"/>
    <w:rPr>
      <w:sz w:val="21"/>
    </w:rPr>
  </w:style>
  <w:style w:type="character" w:customStyle="1" w:styleId="490">
    <w:name w:val="标题3新 Char"/>
    <w:link w:val="153"/>
    <w:qFormat/>
    <w:locked/>
    <w:uiPriority w:val="99"/>
    <w:rPr>
      <w:rFonts w:ascii="黑体" w:hAnsi="黑体" w:eastAsia="黑体"/>
    </w:rPr>
  </w:style>
  <w:style w:type="character" w:customStyle="1" w:styleId="491">
    <w:name w:val="重庆_正文样式 Char"/>
    <w:link w:val="154"/>
    <w:qFormat/>
    <w:locked/>
    <w:uiPriority w:val="99"/>
    <w:rPr>
      <w:sz w:val="28"/>
    </w:rPr>
  </w:style>
  <w:style w:type="character" w:customStyle="1" w:styleId="492">
    <w:name w:val="projectnumber"/>
    <w:qFormat/>
    <w:uiPriority w:val="99"/>
  </w:style>
  <w:style w:type="character" w:customStyle="1" w:styleId="493">
    <w:name w:val="已访问的超链接11"/>
    <w:qFormat/>
    <w:uiPriority w:val="99"/>
    <w:rPr>
      <w:color w:val="800080"/>
      <w:u w:val="single"/>
    </w:rPr>
  </w:style>
  <w:style w:type="character" w:customStyle="1" w:styleId="494">
    <w:name w:val="style6"/>
    <w:qFormat/>
    <w:uiPriority w:val="99"/>
    <w:rPr>
      <w:rFonts w:cs="Times New Roman"/>
    </w:rPr>
  </w:style>
  <w:style w:type="character" w:customStyle="1" w:styleId="495">
    <w:name w:val="附录公式 Char"/>
    <w:link w:val="155"/>
    <w:qFormat/>
    <w:locked/>
    <w:uiPriority w:val="99"/>
    <w:rPr>
      <w:rFonts w:ascii="宋体"/>
    </w:rPr>
  </w:style>
  <w:style w:type="character" w:customStyle="1" w:styleId="496">
    <w:name w:val="自创英文 Char"/>
    <w:link w:val="156"/>
    <w:qFormat/>
    <w:locked/>
    <w:uiPriority w:val="99"/>
    <w:rPr>
      <w:rFonts w:eastAsia="黑体"/>
      <w:sz w:val="24"/>
    </w:rPr>
  </w:style>
  <w:style w:type="character" w:customStyle="1" w:styleId="497">
    <w:name w:val="自创5级 Char"/>
    <w:link w:val="157"/>
    <w:qFormat/>
    <w:locked/>
    <w:uiPriority w:val="99"/>
    <w:rPr>
      <w:rFonts w:ascii="黑体" w:hAnsi="黑体" w:eastAsia="黑体"/>
      <w:sz w:val="24"/>
    </w:rPr>
  </w:style>
  <w:style w:type="character" w:customStyle="1" w:styleId="498">
    <w:name w:val="正文首行缩进 Char1"/>
    <w:qFormat/>
    <w:uiPriority w:val="99"/>
    <w:rPr>
      <w:rFonts w:ascii="宋体" w:hAnsi="Courier New" w:eastAsia="金山简黑体"/>
      <w:spacing w:val="-8"/>
      <w:kern w:val="2"/>
      <w:sz w:val="21"/>
    </w:rPr>
  </w:style>
  <w:style w:type="character" w:customStyle="1" w:styleId="499">
    <w:name w:val="style351"/>
    <w:qFormat/>
    <w:uiPriority w:val="99"/>
    <w:rPr>
      <w:sz w:val="15"/>
    </w:rPr>
  </w:style>
  <w:style w:type="character" w:customStyle="1" w:styleId="500">
    <w:name w:val="三级条标题 Char"/>
    <w:qFormat/>
    <w:uiPriority w:val="99"/>
    <w:rPr>
      <w:rFonts w:ascii="黑体" w:eastAsia="黑体"/>
      <w:sz w:val="21"/>
      <w:lang w:val="en-US" w:eastAsia="zh-CN"/>
    </w:rPr>
  </w:style>
  <w:style w:type="character" w:customStyle="1" w:styleId="501">
    <w:name w:val="尾注文本 Char1"/>
    <w:qFormat/>
    <w:uiPriority w:val="99"/>
    <w:rPr>
      <w:rFonts w:ascii="宋体" w:hAnsi="Courier New"/>
      <w:kern w:val="2"/>
      <w:sz w:val="21"/>
    </w:rPr>
  </w:style>
  <w:style w:type="character" w:customStyle="1" w:styleId="502">
    <w:name w:val="副标题 Char1"/>
    <w:qFormat/>
    <w:uiPriority w:val="99"/>
    <w:rPr>
      <w:rFonts w:ascii="Cambria" w:hAnsi="Cambria"/>
      <w:b/>
      <w:kern w:val="28"/>
      <w:sz w:val="32"/>
    </w:rPr>
  </w:style>
  <w:style w:type="character" w:customStyle="1" w:styleId="503">
    <w:name w:val="long_text1"/>
    <w:qFormat/>
    <w:uiPriority w:val="99"/>
    <w:rPr>
      <w:sz w:val="20"/>
    </w:rPr>
  </w:style>
  <w:style w:type="character" w:customStyle="1" w:styleId="504">
    <w:name w:val="atitle"/>
    <w:qFormat/>
    <w:uiPriority w:val="99"/>
  </w:style>
  <w:style w:type="character" w:customStyle="1" w:styleId="505">
    <w:name w:val="标准正文 Char Char"/>
    <w:link w:val="158"/>
    <w:qFormat/>
    <w:locked/>
    <w:uiPriority w:val="99"/>
    <w:rPr>
      <w:sz w:val="24"/>
    </w:rPr>
  </w:style>
  <w:style w:type="character" w:customStyle="1" w:styleId="506">
    <w:name w:val="书籍标题1"/>
    <w:qFormat/>
    <w:uiPriority w:val="99"/>
    <w:rPr>
      <w:b/>
      <w:smallCaps/>
      <w:spacing w:val="5"/>
    </w:rPr>
  </w:style>
  <w:style w:type="character" w:customStyle="1" w:styleId="507">
    <w:name w:val="一级条标题 Char Char"/>
    <w:qFormat/>
    <w:uiPriority w:val="99"/>
    <w:rPr>
      <w:rFonts w:ascii="黑体" w:eastAsia="黑体"/>
      <w:sz w:val="21"/>
    </w:rPr>
  </w:style>
  <w:style w:type="character" w:customStyle="1" w:styleId="508">
    <w:name w:val="填写内容说明"/>
    <w:qFormat/>
    <w:uiPriority w:val="99"/>
    <w:rPr>
      <w:i/>
      <w:color w:val="0000FF"/>
    </w:rPr>
  </w:style>
  <w:style w:type="character" w:customStyle="1" w:styleId="509">
    <w:name w:val="已访问的超链接1"/>
    <w:qFormat/>
    <w:uiPriority w:val="99"/>
    <w:rPr>
      <w:color w:val="800080"/>
      <w:u w:val="single"/>
    </w:rPr>
  </w:style>
  <w:style w:type="character" w:customStyle="1" w:styleId="510">
    <w:name w:val="样式6 Char"/>
    <w:qFormat/>
    <w:uiPriority w:val="99"/>
    <w:rPr>
      <w:rFonts w:ascii="宋体" w:eastAsia="宋体"/>
      <w:sz w:val="24"/>
    </w:rPr>
  </w:style>
  <w:style w:type="character" w:customStyle="1" w:styleId="511">
    <w:name w:val="自创正文 Char"/>
    <w:link w:val="159"/>
    <w:qFormat/>
    <w:locked/>
    <w:uiPriority w:val="99"/>
    <w:rPr>
      <w:rFonts w:ascii="宋体" w:eastAsia="宋体"/>
      <w:sz w:val="24"/>
    </w:rPr>
  </w:style>
  <w:style w:type="character" w:customStyle="1" w:styleId="512">
    <w:name w:val="*正文 Char"/>
    <w:link w:val="160"/>
    <w:qFormat/>
    <w:locked/>
    <w:uiPriority w:val="99"/>
    <w:rPr>
      <w:rFonts w:ascii="宋体" w:eastAsia="宋体"/>
      <w:sz w:val="21"/>
    </w:rPr>
  </w:style>
  <w:style w:type="character" w:customStyle="1" w:styleId="513">
    <w:name w:val="脚注文本 Char2"/>
    <w:semiHidden/>
    <w:qFormat/>
    <w:uiPriority w:val="99"/>
    <w:rPr>
      <w:kern w:val="2"/>
      <w:sz w:val="18"/>
    </w:rPr>
  </w:style>
  <w:style w:type="character" w:customStyle="1" w:styleId="514">
    <w:name w:val="正文首行缩进 Char2"/>
    <w:qFormat/>
    <w:uiPriority w:val="99"/>
    <w:rPr>
      <w:kern w:val="2"/>
      <w:sz w:val="24"/>
    </w:rPr>
  </w:style>
  <w:style w:type="character" w:customStyle="1" w:styleId="515">
    <w:name w:val="HTML 预设格式 Char2"/>
    <w:semiHidden/>
    <w:qFormat/>
    <w:uiPriority w:val="99"/>
    <w:rPr>
      <w:rFonts w:ascii="Courier New" w:hAnsi="Courier New"/>
      <w:kern w:val="2"/>
    </w:rPr>
  </w:style>
  <w:style w:type="character" w:customStyle="1" w:styleId="516">
    <w:name w:val="HTML 地址 Char2"/>
    <w:semiHidden/>
    <w:qFormat/>
    <w:uiPriority w:val="99"/>
    <w:rPr>
      <w:i/>
      <w:kern w:val="2"/>
      <w:sz w:val="24"/>
    </w:rPr>
  </w:style>
  <w:style w:type="character" w:customStyle="1" w:styleId="517">
    <w:name w:val="副标题 Char2"/>
    <w:qFormat/>
    <w:uiPriority w:val="99"/>
    <w:rPr>
      <w:rFonts w:ascii="Cambria" w:hAnsi="Cambria"/>
      <w:b/>
      <w:kern w:val="28"/>
      <w:sz w:val="32"/>
    </w:rPr>
  </w:style>
  <w:style w:type="character" w:customStyle="1" w:styleId="518">
    <w:name w:val="尾注文本 Char2"/>
    <w:semiHidden/>
    <w:qFormat/>
    <w:uiPriority w:val="99"/>
    <w:rPr>
      <w:kern w:val="2"/>
      <w:sz w:val="24"/>
    </w:rPr>
  </w:style>
  <w:style w:type="character" w:customStyle="1" w:styleId="519">
    <w:name w:val="标题 Char3"/>
    <w:qFormat/>
    <w:uiPriority w:val="99"/>
    <w:rPr>
      <w:rFonts w:ascii="Cambria" w:hAnsi="Cambria"/>
      <w:b/>
      <w:kern w:val="2"/>
      <w:sz w:val="32"/>
    </w:rPr>
  </w:style>
  <w:style w:type="character" w:customStyle="1" w:styleId="520">
    <w:name w:val="10"/>
    <w:qFormat/>
    <w:uiPriority w:val="99"/>
    <w:rPr>
      <w:rFonts w:ascii="Times New Roman" w:hAnsi="Times New Roman"/>
    </w:rPr>
  </w:style>
  <w:style w:type="character" w:customStyle="1" w:styleId="521">
    <w:name w:val="15"/>
    <w:qFormat/>
    <w:uiPriority w:val="99"/>
    <w:rPr>
      <w:rFonts w:ascii="宋体" w:hAnsi="宋体" w:eastAsia="宋体"/>
      <w:color w:val="000000"/>
      <w:sz w:val="18"/>
    </w:rPr>
  </w:style>
  <w:style w:type="character" w:customStyle="1" w:styleId="522">
    <w:name w:val="16"/>
    <w:qFormat/>
    <w:uiPriority w:val="99"/>
    <w:rPr>
      <w:rFonts w:ascii="宋体" w:hAnsi="宋体" w:eastAsia="宋体"/>
      <w:color w:val="000000"/>
      <w:sz w:val="18"/>
      <w:vertAlign w:val="superscript"/>
    </w:rPr>
  </w:style>
  <w:style w:type="character" w:customStyle="1" w:styleId="523">
    <w:name w:val="17"/>
    <w:qFormat/>
    <w:uiPriority w:val="99"/>
    <w:rPr>
      <w:rFonts w:ascii="Arial" w:hAnsi="Arial"/>
      <w:b/>
      <w:sz w:val="28"/>
    </w:rPr>
  </w:style>
  <w:style w:type="character" w:customStyle="1" w:styleId="524">
    <w:name w:val="18"/>
    <w:qFormat/>
    <w:uiPriority w:val="99"/>
    <w:rPr>
      <w:rFonts w:ascii="Helvetica" w:hAnsi="Helvetica"/>
      <w:color w:val="000000"/>
      <w:sz w:val="20"/>
    </w:rPr>
  </w:style>
  <w:style w:type="character" w:customStyle="1" w:styleId="525">
    <w:name w:val="19"/>
    <w:qFormat/>
    <w:uiPriority w:val="99"/>
    <w:rPr>
      <w:rFonts w:ascii="宋体" w:hAnsi="宋体" w:eastAsia="宋体"/>
      <w:color w:val="000000"/>
      <w:sz w:val="18"/>
      <w:vertAlign w:val="superscript"/>
    </w:rPr>
  </w:style>
  <w:style w:type="character" w:customStyle="1" w:styleId="526">
    <w:name w:val="20"/>
    <w:qFormat/>
    <w:uiPriority w:val="99"/>
    <w:rPr>
      <w:rFonts w:ascii="Times New Roman" w:hAnsi="Times New Roman"/>
    </w:rPr>
  </w:style>
  <w:style w:type="character" w:customStyle="1" w:styleId="527">
    <w:name w:val="纯文本 Char1"/>
    <w:qFormat/>
    <w:uiPriority w:val="99"/>
    <w:rPr>
      <w:rFonts w:ascii="宋体" w:hAnsi="Courier New" w:eastAsia="宋体"/>
      <w:sz w:val="20"/>
    </w:rPr>
  </w:style>
  <w:style w:type="character" w:customStyle="1" w:styleId="528">
    <w:name w:val="edui-clickable2"/>
    <w:basedOn w:val="59"/>
    <w:uiPriority w:val="0"/>
    <w:rPr>
      <w:color w:val="0000FF"/>
      <w:u w:val="single"/>
    </w:rPr>
  </w:style>
  <w:style w:type="character" w:customStyle="1" w:styleId="529">
    <w:name w:val="edui-unclickable"/>
    <w:basedOn w:val="59"/>
    <w:qFormat/>
    <w:uiPriority w:val="0"/>
    <w:rPr>
      <w:color w:val="808080"/>
    </w:rPr>
  </w:style>
  <w:style w:type="character" w:customStyle="1" w:styleId="530">
    <w:name w:val="first-child"/>
    <w:basedOn w:val="59"/>
    <w:uiPriority w:val="0"/>
    <w:rPr>
      <w:vanish/>
    </w:rPr>
  </w:style>
  <w:style w:type="character" w:customStyle="1" w:styleId="531">
    <w:name w:val="wuidatespan"/>
    <w:basedOn w:val="59"/>
    <w:qFormat/>
    <w:uiPriority w:val="0"/>
  </w:style>
  <w:style w:type="character" w:customStyle="1" w:styleId="532">
    <w:name w:val="href"/>
    <w:basedOn w:val="59"/>
    <w:qFormat/>
    <w:uiPriority w:val="0"/>
    <w:rPr>
      <w:color w:val="0000FF"/>
      <w:u w:val="single"/>
    </w:rPr>
  </w:style>
  <w:style w:type="paragraph" w:styleId="53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8CC7E-8432-4740-B55F-A21A615B564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5771</Words>
  <Characters>32901</Characters>
  <Lines>274</Lines>
  <Paragraphs>77</Paragraphs>
  <TotalTime>47</TotalTime>
  <ScaleCrop>false</ScaleCrop>
  <LinksUpToDate>false</LinksUpToDate>
  <CharactersWithSpaces>38595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2019-04-28T09:00:00Z</dcterms:created>
  <dc:creator>User</dc:creator>
  <cp:lastModifiedBy>wiki</cp:lastModifiedBy>
  <cp:lastPrinted>2019-05-07T03:16:00Z</cp:lastPrinted>
  <dcterms:modified xsi:type="dcterms:W3CDTF">2019-10-16T10:24:56Z</dcterms:modified>
  <dc:title>广西壮族自治区建设工程机电设备招标中心</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