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9214"/>
        </w:tabs>
        <w:kinsoku/>
        <w:wordWrap w:val="0"/>
        <w:overflowPunct/>
        <w:topLinePunct w:val="0"/>
        <w:autoSpaceDE/>
        <w:autoSpaceDN/>
        <w:bidi w:val="0"/>
        <w:adjustRightInd w:val="0"/>
        <w:snapToGrid w:val="0"/>
        <w:spacing w:line="360" w:lineRule="exact"/>
        <w:ind w:right="425"/>
        <w:jc w:val="center"/>
        <w:textAlignment w:val="auto"/>
        <w:rPr>
          <w:rFonts w:hint="eastAsia" w:ascii="宋体" w:hAnsi="宋体" w:eastAsia="宋体" w:cs="宋体"/>
          <w:b/>
          <w:sz w:val="36"/>
          <w:szCs w:val="36"/>
        </w:rPr>
      </w:pPr>
      <w:r>
        <w:rPr>
          <w:rFonts w:hint="eastAsia" w:ascii="宋体" w:hAnsi="宋体" w:eastAsia="宋体" w:cs="宋体"/>
          <w:b/>
          <w:sz w:val="36"/>
          <w:szCs w:val="36"/>
        </w:rPr>
        <w:t>竞争性谈判公告</w:t>
      </w:r>
    </w:p>
    <w:p>
      <w:pPr>
        <w:keepNext w:val="0"/>
        <w:keepLines w:val="0"/>
        <w:pageBreakBefore w:val="0"/>
        <w:widowControl/>
        <w:tabs>
          <w:tab w:val="left" w:pos="9214"/>
        </w:tabs>
        <w:kinsoku/>
        <w:wordWrap w:val="0"/>
        <w:overflowPunct/>
        <w:topLinePunct w:val="0"/>
        <w:autoSpaceDE/>
        <w:autoSpaceDN/>
        <w:bidi w:val="0"/>
        <w:adjustRightInd w:val="0"/>
        <w:snapToGrid w:val="0"/>
        <w:spacing w:line="360" w:lineRule="exact"/>
        <w:ind w:right="425" w:firstLine="1800" w:firstLineChars="500"/>
        <w:jc w:val="both"/>
        <w:textAlignment w:val="auto"/>
        <w:rPr>
          <w:rFonts w:hint="eastAsia" w:ascii="宋体" w:hAnsi="宋体" w:eastAsia="宋体" w:cs="宋体"/>
          <w:sz w:val="36"/>
          <w:szCs w:val="36"/>
          <w:lang w:eastAsia="zh-CN"/>
        </w:rPr>
      </w:pPr>
      <w:r>
        <w:rPr>
          <w:rFonts w:hint="eastAsia" w:ascii="宋体" w:hAnsi="宋体" w:eastAsia="宋体" w:cs="宋体"/>
          <w:sz w:val="36"/>
          <w:szCs w:val="36"/>
          <w:lang w:eastAsia="zh-CN"/>
        </w:rPr>
        <w:t>超声经颅多普勒血流分析仪采购</w:t>
      </w:r>
    </w:p>
    <w:p>
      <w:pPr>
        <w:keepNext w:val="0"/>
        <w:keepLines w:val="0"/>
        <w:pageBreakBefore w:val="0"/>
        <w:widowControl/>
        <w:tabs>
          <w:tab w:val="left" w:pos="9214"/>
        </w:tabs>
        <w:kinsoku/>
        <w:wordWrap w:val="0"/>
        <w:overflowPunct/>
        <w:topLinePunct w:val="0"/>
        <w:autoSpaceDE/>
        <w:autoSpaceDN/>
        <w:bidi w:val="0"/>
        <w:adjustRightInd w:val="0"/>
        <w:snapToGrid w:val="0"/>
        <w:spacing w:line="360" w:lineRule="exact"/>
        <w:ind w:right="425" w:firstLine="843" w:firstLineChars="300"/>
        <w:jc w:val="center"/>
        <w:textAlignment w:val="auto"/>
        <w:rPr>
          <w:rFonts w:hint="eastAsia" w:ascii="宋体" w:hAnsi="宋体" w:eastAsia="宋体" w:cs="宋体"/>
          <w:b/>
          <w:sz w:val="28"/>
          <w:szCs w:val="28"/>
        </w:rPr>
      </w:pPr>
      <w:r>
        <w:rPr>
          <w:rFonts w:hint="eastAsia" w:ascii="宋体" w:hAnsi="宋体" w:eastAsia="宋体" w:cs="宋体"/>
          <w:b/>
          <w:sz w:val="28"/>
          <w:szCs w:val="28"/>
        </w:rPr>
        <w:t>（项目编号：</w:t>
      </w:r>
      <w:r>
        <w:rPr>
          <w:rFonts w:hint="eastAsia" w:ascii="宋体" w:hAnsi="宋体" w:eastAsia="宋体" w:cs="宋体"/>
          <w:b/>
          <w:sz w:val="28"/>
          <w:szCs w:val="28"/>
          <w:lang w:val="en-US" w:eastAsia="zh-CN"/>
        </w:rPr>
        <w:t>WZZC</w:t>
      </w:r>
      <w:r>
        <w:rPr>
          <w:rFonts w:hint="eastAsia" w:ascii="宋体" w:hAnsi="宋体" w:eastAsia="宋体" w:cs="宋体"/>
          <w:b/>
          <w:sz w:val="28"/>
          <w:szCs w:val="28"/>
          <w:lang w:eastAsia="zh-CN"/>
        </w:rPr>
        <w:t>20</w:t>
      </w:r>
      <w:r>
        <w:rPr>
          <w:rFonts w:hint="eastAsia" w:ascii="宋体" w:hAnsi="宋体" w:eastAsia="宋体" w:cs="宋体"/>
          <w:b/>
          <w:sz w:val="28"/>
          <w:szCs w:val="28"/>
          <w:lang w:val="en-US" w:eastAsia="zh-CN"/>
        </w:rPr>
        <w:t>20</w:t>
      </w:r>
      <w:r>
        <w:rPr>
          <w:rFonts w:hint="eastAsia" w:ascii="宋体" w:hAnsi="宋体" w:eastAsia="宋体" w:cs="宋体"/>
          <w:b/>
          <w:sz w:val="28"/>
          <w:szCs w:val="28"/>
          <w:lang w:eastAsia="zh-CN"/>
        </w:rPr>
        <w:t>-J</w:t>
      </w:r>
      <w:r>
        <w:rPr>
          <w:rFonts w:hint="eastAsia" w:ascii="宋体" w:hAnsi="宋体" w:eastAsia="宋体" w:cs="宋体"/>
          <w:b/>
          <w:sz w:val="28"/>
          <w:szCs w:val="28"/>
          <w:lang w:val="en-US" w:eastAsia="zh-CN"/>
        </w:rPr>
        <w:t>1</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8</w:t>
      </w:r>
      <w:r>
        <w:rPr>
          <w:rFonts w:hint="eastAsia" w:ascii="宋体" w:hAnsi="宋体" w:eastAsia="宋体" w:cs="宋体"/>
          <w:b/>
          <w:sz w:val="28"/>
          <w:szCs w:val="28"/>
          <w:lang w:eastAsia="zh-CN"/>
        </w:rPr>
        <w:t>000</w:t>
      </w:r>
      <w:r>
        <w:rPr>
          <w:rFonts w:hint="eastAsia" w:ascii="宋体" w:hAnsi="宋体" w:eastAsia="宋体" w:cs="宋体"/>
          <w:b/>
          <w:sz w:val="28"/>
          <w:szCs w:val="28"/>
          <w:lang w:val="en-US" w:eastAsia="zh-CN"/>
        </w:rPr>
        <w:t>1</w:t>
      </w:r>
      <w:r>
        <w:rPr>
          <w:rFonts w:hint="eastAsia" w:ascii="宋体" w:hAnsi="宋体" w:eastAsia="宋体" w:cs="宋体"/>
          <w:b/>
          <w:sz w:val="28"/>
          <w:szCs w:val="28"/>
          <w:lang w:eastAsia="zh-CN"/>
        </w:rPr>
        <w:t>-GXJR</w:t>
      </w:r>
      <w:r>
        <w:rPr>
          <w:rFonts w:hint="eastAsia" w:ascii="宋体" w:hAnsi="宋体" w:eastAsia="宋体" w:cs="宋体"/>
          <w:b/>
          <w:sz w:val="28"/>
          <w:szCs w:val="28"/>
          <w:lang w:val="en-US" w:eastAsia="zh-CN"/>
        </w:rPr>
        <w:t>(重)</w:t>
      </w:r>
      <w:r>
        <w:rPr>
          <w:rFonts w:hint="eastAsia" w:ascii="宋体" w:hAnsi="宋体" w:eastAsia="宋体" w:cs="宋体"/>
          <w:b/>
          <w:sz w:val="28"/>
          <w:szCs w:val="28"/>
        </w:rPr>
        <w:t>）</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lang w:eastAsia="zh-CN"/>
        </w:rPr>
        <w:t>广西建荣工程项目管理有限公司</w:t>
      </w:r>
      <w:r>
        <w:rPr>
          <w:rFonts w:hint="eastAsia" w:ascii="宋体" w:hAnsi="宋体" w:eastAsia="宋体" w:cs="宋体"/>
          <w:bCs/>
          <w:sz w:val="24"/>
          <w:szCs w:val="24"/>
        </w:rPr>
        <w:t>受</w:t>
      </w:r>
      <w:r>
        <w:rPr>
          <w:rFonts w:hint="eastAsia" w:ascii="宋体" w:hAnsi="宋体" w:eastAsia="宋体" w:cs="宋体"/>
          <w:sz w:val="24"/>
          <w:szCs w:val="24"/>
          <w:lang w:val="en-US" w:eastAsia="zh-CN"/>
        </w:rPr>
        <w:t>梧州市龙圩区龙城社区卫生服务中心</w:t>
      </w:r>
      <w:r>
        <w:rPr>
          <w:rFonts w:hint="eastAsia" w:ascii="宋体" w:hAnsi="宋体" w:eastAsia="宋体" w:cs="宋体"/>
          <w:bCs/>
          <w:sz w:val="24"/>
          <w:szCs w:val="24"/>
        </w:rPr>
        <w:t>的委托</w:t>
      </w:r>
      <w:r>
        <w:rPr>
          <w:rFonts w:hint="eastAsia" w:ascii="宋体" w:hAnsi="宋体" w:eastAsia="宋体" w:cs="宋体"/>
          <w:sz w:val="24"/>
          <w:szCs w:val="24"/>
        </w:rPr>
        <w:t>，根据《中华人民共和国政府采购法》、《中华人民共和国政府采购法实施条例》、《政府采购非招标采购方式管理办法》等有关规定，拟对</w:t>
      </w:r>
      <w:r>
        <w:rPr>
          <w:rFonts w:hint="eastAsia" w:ascii="宋体" w:hAnsi="宋体" w:eastAsia="宋体" w:cs="宋体"/>
          <w:sz w:val="24"/>
          <w:szCs w:val="24"/>
          <w:lang w:eastAsia="zh-CN"/>
        </w:rPr>
        <w:t>超声经颅多普勒血流分析仪</w:t>
      </w:r>
      <w:r>
        <w:rPr>
          <w:rFonts w:hint="eastAsia" w:ascii="宋体" w:hAnsi="宋体" w:eastAsia="宋体" w:cs="宋体"/>
          <w:sz w:val="24"/>
          <w:szCs w:val="24"/>
        </w:rPr>
        <w:t>进行竞争性谈判采购，现将有关事项公告如下：</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rPr>
        <w:t>一、采购项目名称：</w:t>
      </w:r>
      <w:r>
        <w:rPr>
          <w:rFonts w:hint="eastAsia" w:ascii="宋体" w:hAnsi="宋体" w:eastAsia="宋体" w:cs="宋体"/>
          <w:sz w:val="24"/>
          <w:szCs w:val="24"/>
          <w:lang w:eastAsia="zh-CN"/>
        </w:rPr>
        <w:t>超声经颅多普勒血流分析仪采购</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sz w:val="24"/>
          <w:szCs w:val="24"/>
        </w:rPr>
        <w:t>二、采购项目编号：</w:t>
      </w:r>
      <w:r>
        <w:rPr>
          <w:rFonts w:hint="eastAsia" w:ascii="宋体" w:hAnsi="宋体" w:eastAsia="宋体" w:cs="宋体"/>
          <w:sz w:val="24"/>
          <w:szCs w:val="24"/>
          <w:lang w:val="en-US" w:eastAsia="zh-CN"/>
        </w:rPr>
        <w:t>WZZC</w:t>
      </w:r>
      <w:r>
        <w:rPr>
          <w:rFonts w:hint="eastAsia" w:ascii="宋体" w:hAnsi="宋体" w:eastAsia="宋体" w:cs="宋体"/>
          <w:sz w:val="24"/>
          <w:szCs w:val="24"/>
          <w:lang w:eastAsia="zh-CN"/>
        </w:rPr>
        <w:t>2020-J</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000</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-GXJR</w:t>
      </w:r>
      <w:r>
        <w:rPr>
          <w:rFonts w:hint="eastAsia" w:ascii="宋体" w:hAnsi="宋体" w:eastAsia="宋体" w:cs="宋体"/>
          <w:sz w:val="24"/>
          <w:szCs w:val="24"/>
          <w:lang w:val="en-US" w:eastAsia="zh-CN"/>
        </w:rPr>
        <w:t>(重)</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三、项目基本概况：</w:t>
      </w:r>
      <w:r>
        <w:rPr>
          <w:rFonts w:hint="eastAsia" w:ascii="宋体" w:hAnsi="宋体" w:eastAsia="宋体" w:cs="宋体"/>
          <w:sz w:val="24"/>
          <w:szCs w:val="24"/>
        </w:rPr>
        <w:t>本项目为</w:t>
      </w:r>
      <w:r>
        <w:rPr>
          <w:rFonts w:hint="eastAsia" w:ascii="宋体" w:hAnsi="宋体" w:eastAsia="宋体" w:cs="宋体"/>
          <w:sz w:val="24"/>
          <w:szCs w:val="24"/>
          <w:lang w:eastAsia="zh-CN"/>
        </w:rPr>
        <w:t>购买超声经颅多普勒血流分析仪</w:t>
      </w:r>
      <w:r>
        <w:rPr>
          <w:rFonts w:hint="eastAsia" w:ascii="宋体" w:hAnsi="宋体" w:eastAsia="宋体" w:cs="宋体"/>
          <w:sz w:val="24"/>
          <w:szCs w:val="24"/>
          <w:lang w:val="en-US" w:eastAsia="zh-CN"/>
        </w:rPr>
        <w:t>1台</w:t>
      </w:r>
      <w:r>
        <w:rPr>
          <w:rFonts w:hint="eastAsia" w:ascii="宋体" w:hAnsi="宋体" w:eastAsia="宋体" w:cs="宋体"/>
          <w:sz w:val="24"/>
          <w:szCs w:val="24"/>
        </w:rPr>
        <w:t>。如需进一步了解详细内容，详见竞争性谈判文件。</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四、预算金额</w:t>
      </w:r>
      <w:r>
        <w:rPr>
          <w:rFonts w:hint="eastAsia" w:ascii="宋体" w:hAnsi="宋体" w:eastAsia="宋体" w:cs="宋体"/>
          <w:b/>
          <w:sz w:val="24"/>
          <w:szCs w:val="24"/>
          <w:lang w:eastAsia="zh-CN"/>
        </w:rPr>
        <w:t>（人民币）</w:t>
      </w:r>
      <w:r>
        <w:rPr>
          <w:rFonts w:hint="eastAsia" w:ascii="宋体" w:hAnsi="宋体" w:eastAsia="宋体" w:cs="宋体"/>
          <w:b/>
          <w:sz w:val="24"/>
          <w:szCs w:val="24"/>
        </w:rPr>
        <w:t>：</w:t>
      </w:r>
      <w:r>
        <w:rPr>
          <w:rFonts w:hint="eastAsia" w:ascii="宋体" w:hAnsi="宋体" w:eastAsia="宋体" w:cs="宋体"/>
          <w:sz w:val="24"/>
          <w:szCs w:val="24"/>
          <w:lang w:eastAsia="zh-CN"/>
        </w:rPr>
        <w:t>叁拾贰万元整（¥</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2</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000.00元）</w:t>
      </w:r>
      <w:r>
        <w:rPr>
          <w:rFonts w:hint="eastAsia" w:ascii="宋体" w:hAnsi="宋体" w:eastAsia="宋体" w:cs="宋体"/>
          <w:sz w:val="24"/>
          <w:szCs w:val="24"/>
        </w:rPr>
        <w:t>。</w:t>
      </w:r>
    </w:p>
    <w:p>
      <w:pPr>
        <w:pStyle w:val="3"/>
        <w:keepNext w:val="0"/>
        <w:keepLines w:val="0"/>
        <w:widowControl/>
        <w:suppressLineNumbers w:val="0"/>
        <w:spacing w:before="120" w:beforeAutospacing="0" w:after="0" w:afterAutospacing="0" w:line="400" w:lineRule="exact"/>
        <w:ind w:left="0" w:right="0" w:firstLine="480"/>
      </w:pPr>
      <w:r>
        <w:rPr>
          <w:rFonts w:hint="eastAsia" w:ascii="宋体" w:hAnsi="宋体" w:eastAsia="宋体" w:cs="宋体"/>
          <w:b/>
          <w:sz w:val="24"/>
          <w:szCs w:val="24"/>
        </w:rPr>
        <w:t>五、本项目需要落实的政府采购政策：</w:t>
      </w:r>
      <w:r>
        <w:rPr>
          <w:rFonts w:hint="eastAsia" w:ascii="宋体" w:hAnsi="宋体" w:eastAsia="宋体" w:cs="宋体"/>
          <w:color w:val="000000"/>
          <w:kern w:val="2"/>
          <w:sz w:val="24"/>
          <w:szCs w:val="24"/>
        </w:rPr>
        <w:t>《中华人民共和国政府采购法》、《中华人民共和国政府采购法实施条例》、《政府采购货物和服务招标投标管理办法》、《政府采购非招标采购方式管理办法》、《政府采购促进中小企业发展暂行办法》（财库[2011]181号）</w:t>
      </w:r>
      <w:r>
        <w:rPr>
          <w:rFonts w:hint="eastAsia" w:ascii="宋体" w:hAnsi="宋体" w:eastAsia="宋体" w:cs="宋体"/>
          <w:color w:val="000000"/>
          <w:kern w:val="0"/>
          <w:sz w:val="24"/>
          <w:szCs w:val="24"/>
        </w:rPr>
        <w:t>、《财政部、司法部关于政府采购支持监狱企业发展有关问题的通知》（财库[2014]68号）以及《三部门联合发布关于促进残疾人就业政府采购政策的通知》（财库〔2017〕141号）。</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六、供应商资格：</w:t>
      </w:r>
    </w:p>
    <w:p>
      <w:pPr>
        <w:pStyle w:val="3"/>
        <w:keepNext w:val="0"/>
        <w:keepLines w:val="0"/>
        <w:widowControl/>
        <w:suppressLineNumbers w:val="0"/>
        <w:spacing w:before="120" w:beforeAutospacing="0" w:after="0" w:afterAutospacing="0" w:line="400" w:lineRule="exact"/>
        <w:ind w:left="0" w:right="0" w:firstLine="480"/>
      </w:pPr>
      <w:r>
        <w:rPr>
          <w:rFonts w:hint="eastAsia" w:ascii="宋体" w:hAnsi="宋体" w:eastAsia="宋体" w:cs="宋体"/>
          <w:color w:val="000000"/>
          <w:kern w:val="2"/>
          <w:sz w:val="24"/>
          <w:szCs w:val="24"/>
        </w:rPr>
        <w:t>1.符合《中华人民共和国政府采购法》第二十二条规定的条件，国内注册（指按国家有关规定要求注册的）生产或经营本次采购货物的法人供应商。</w:t>
      </w:r>
    </w:p>
    <w:p>
      <w:pPr>
        <w:pStyle w:val="3"/>
        <w:keepNext w:val="0"/>
        <w:keepLines w:val="0"/>
        <w:widowControl/>
        <w:suppressLineNumbers w:val="0"/>
        <w:spacing w:before="120" w:beforeAutospacing="0" w:after="0" w:afterAutospacing="0" w:line="400" w:lineRule="exact"/>
        <w:ind w:left="0" w:right="0" w:firstLine="480" w:firstLineChars="200"/>
      </w:pPr>
      <w:r>
        <w:rPr>
          <w:rFonts w:hint="eastAsia" w:ascii="宋体" w:hAnsi="宋体" w:eastAsia="宋体" w:cs="宋体"/>
          <w:color w:val="000000"/>
          <w:kern w:val="2"/>
          <w:sz w:val="24"/>
          <w:szCs w:val="24"/>
        </w:rPr>
        <w:t>2.</w:t>
      </w:r>
      <w:r>
        <w:rPr>
          <w:rFonts w:hint="eastAsia" w:ascii="宋体" w:hAnsi="宋体" w:eastAsia="宋体" w:cs="宋体"/>
          <w:color w:val="000000"/>
          <w:kern w:val="0"/>
          <w:sz w:val="24"/>
          <w:szCs w:val="24"/>
        </w:rPr>
        <w:t>参加政府采购活动前三年内，在经营活动中没有重大违法记录和不良信用记录〔在“信用中国”网站（www.creditchina.gov.cn）、中国政府采购网（www.ccgp.gov.cn）等渠道未被列入失信被执行人、重大税收违法案件当事人名单、政府采购严重违法失信行为记录名单及无其他不符合《中华人民共和国政府采购法》第二十二条规定条件〕。</w:t>
      </w:r>
    </w:p>
    <w:p>
      <w:pPr>
        <w:pStyle w:val="3"/>
        <w:keepNext w:val="0"/>
        <w:keepLines w:val="0"/>
        <w:widowControl/>
        <w:suppressLineNumbers w:val="0"/>
        <w:spacing w:before="120" w:beforeAutospacing="0" w:after="0" w:afterAutospacing="0" w:line="400" w:lineRule="exact"/>
        <w:ind w:left="0" w:right="0" w:firstLine="480" w:firstLineChars="200"/>
        <w:rPr>
          <w:color w:val="auto"/>
        </w:rPr>
      </w:pPr>
      <w:r>
        <w:rPr>
          <w:rFonts w:hint="eastAsia" w:ascii="宋体" w:hAnsi="宋体" w:eastAsia="宋体" w:cs="宋体"/>
          <w:color w:val="auto"/>
          <w:kern w:val="2"/>
          <w:sz w:val="24"/>
          <w:szCs w:val="24"/>
        </w:rPr>
        <w:t>3.供应商必须具备行业主管部门颁发的中华人民共和国医疗器械经营企业许可证（若谈判供应商为竞标产品生产厂家，仅须具备医疗器械生产许可证）。</w:t>
      </w:r>
    </w:p>
    <w:p>
      <w:pPr>
        <w:pStyle w:val="3"/>
        <w:keepNext w:val="0"/>
        <w:keepLines w:val="0"/>
        <w:widowControl/>
        <w:suppressLineNumbers w:val="0"/>
        <w:spacing w:before="120" w:beforeAutospacing="0" w:after="0" w:afterAutospacing="0" w:line="400" w:lineRule="exact"/>
        <w:ind w:left="0" w:right="0" w:firstLine="480" w:firstLineChars="200"/>
      </w:pPr>
      <w:r>
        <w:rPr>
          <w:rFonts w:hint="eastAsia" w:ascii="宋体" w:hAnsi="宋体" w:eastAsia="宋体" w:cs="宋体"/>
          <w:color w:val="000000"/>
          <w:kern w:val="2"/>
          <w:sz w:val="24"/>
          <w:szCs w:val="24"/>
        </w:rPr>
        <w:t>4.本项目不接受联合体竞标。</w:t>
      </w:r>
    </w:p>
    <w:p>
      <w:pPr>
        <w:pStyle w:val="3"/>
        <w:keepNext w:val="0"/>
        <w:keepLines w:val="0"/>
        <w:widowControl/>
        <w:suppressLineNumbers w:val="0"/>
        <w:spacing w:before="120" w:beforeAutospacing="0" w:after="0" w:afterAutospacing="0" w:line="400" w:lineRule="exact"/>
        <w:ind w:left="0" w:right="0" w:firstLine="480" w:firstLineChars="200"/>
      </w:pPr>
      <w:r>
        <w:rPr>
          <w:rFonts w:hint="eastAsia" w:ascii="宋体" w:hAnsi="宋体" w:eastAsia="宋体" w:cs="宋体"/>
          <w:color w:val="000000"/>
          <w:kern w:val="2"/>
          <w:sz w:val="24"/>
          <w:szCs w:val="24"/>
        </w:rPr>
        <w:t>5.本项目不接受未购买本采购文件的供应商竞标</w:t>
      </w:r>
    </w:p>
    <w:p>
      <w:pPr>
        <w:pStyle w:val="3"/>
        <w:keepNext w:val="0"/>
        <w:keepLines w:val="0"/>
        <w:widowControl/>
        <w:suppressLineNumbers w:val="0"/>
        <w:spacing w:before="120" w:beforeAutospacing="0" w:after="0" w:afterAutospacing="0" w:line="400" w:lineRule="exact"/>
        <w:ind w:left="0" w:right="0" w:firstLine="482" w:firstLineChars="200"/>
        <w:rPr>
          <w:rFonts w:hint="eastAsia" w:eastAsia="宋体"/>
          <w:lang w:eastAsia="zh-CN"/>
        </w:rPr>
      </w:pPr>
      <w:r>
        <w:rPr>
          <w:rFonts w:hint="eastAsia" w:ascii="宋体" w:hAnsi="宋体" w:eastAsia="宋体" w:cs="宋体"/>
          <w:b/>
          <w:sz w:val="24"/>
          <w:szCs w:val="24"/>
        </w:rPr>
        <w:t>七、</w:t>
      </w:r>
      <w:r>
        <w:rPr>
          <w:rFonts w:hint="eastAsia" w:ascii="宋体" w:hAnsi="宋体" w:eastAsia="宋体" w:cs="宋体"/>
          <w:b/>
          <w:color w:val="000000"/>
          <w:kern w:val="2"/>
          <w:sz w:val="24"/>
          <w:szCs w:val="24"/>
        </w:rPr>
        <w:t>竞争性谈判文件的获取</w:t>
      </w:r>
      <w:r>
        <w:rPr>
          <w:rFonts w:hint="eastAsia" w:ascii="宋体" w:hAnsi="宋体" w:eastAsia="宋体" w:cs="宋体"/>
          <w:b/>
          <w:color w:val="000000"/>
          <w:kern w:val="2"/>
          <w:sz w:val="24"/>
          <w:szCs w:val="24"/>
          <w:lang w:eastAsia="zh-CN"/>
        </w:rPr>
        <w:t>：</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发售时间</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u w:val="single"/>
        </w:rPr>
        <w:t>20</w:t>
      </w:r>
      <w:r>
        <w:rPr>
          <w:rFonts w:hint="eastAsia" w:ascii="宋体" w:hAnsi="宋体" w:eastAsia="宋体" w:cs="宋体"/>
          <w:b/>
          <w:bCs/>
          <w:color w:val="auto"/>
          <w:sz w:val="24"/>
          <w:szCs w:val="24"/>
          <w:u w:val="single"/>
          <w:lang w:val="en-US" w:eastAsia="zh-CN"/>
        </w:rPr>
        <w:t>20</w:t>
      </w:r>
      <w:r>
        <w:rPr>
          <w:rFonts w:hint="eastAsia" w:ascii="宋体" w:hAnsi="宋体" w:eastAsia="宋体" w:cs="宋体"/>
          <w:b/>
          <w:bCs/>
          <w:color w:val="auto"/>
          <w:sz w:val="24"/>
          <w:szCs w:val="24"/>
          <w:u w:val="single"/>
        </w:rPr>
        <w:t>年</w:t>
      </w:r>
      <w:r>
        <w:rPr>
          <w:rFonts w:hint="eastAsia" w:ascii="宋体" w:hAnsi="宋体" w:eastAsia="宋体" w:cs="宋体"/>
          <w:b/>
          <w:bCs/>
          <w:color w:val="auto"/>
          <w:sz w:val="24"/>
          <w:szCs w:val="24"/>
          <w:u w:val="single"/>
          <w:lang w:val="en-US" w:eastAsia="zh-CN"/>
        </w:rPr>
        <w:t>1</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 xml:space="preserve"> 19</w:t>
      </w:r>
      <w:r>
        <w:rPr>
          <w:rFonts w:hint="eastAsia" w:ascii="宋体" w:hAnsi="宋体" w:eastAsia="宋体" w:cs="宋体"/>
          <w:b/>
          <w:bCs/>
          <w:color w:val="auto"/>
          <w:sz w:val="24"/>
          <w:szCs w:val="24"/>
          <w:u w:val="single"/>
        </w:rPr>
        <w:t>日至20</w:t>
      </w:r>
      <w:r>
        <w:rPr>
          <w:rFonts w:hint="eastAsia" w:ascii="宋体" w:hAnsi="宋体" w:eastAsia="宋体" w:cs="宋体"/>
          <w:b/>
          <w:bCs/>
          <w:color w:val="auto"/>
          <w:sz w:val="24"/>
          <w:szCs w:val="24"/>
          <w:u w:val="single"/>
          <w:lang w:val="en-US" w:eastAsia="zh-CN"/>
        </w:rPr>
        <w:t>20</w:t>
      </w:r>
      <w:r>
        <w:rPr>
          <w:rFonts w:hint="eastAsia" w:ascii="宋体" w:hAnsi="宋体" w:eastAsia="宋体" w:cs="宋体"/>
          <w:b/>
          <w:bCs/>
          <w:color w:val="auto"/>
          <w:sz w:val="24"/>
          <w:szCs w:val="24"/>
          <w:u w:val="single"/>
        </w:rPr>
        <w:t>年</w:t>
      </w:r>
      <w:r>
        <w:rPr>
          <w:rFonts w:hint="eastAsia" w:ascii="宋体" w:hAnsi="宋体" w:eastAsia="宋体" w:cs="宋体"/>
          <w:b/>
          <w:bCs/>
          <w:color w:val="auto"/>
          <w:sz w:val="24"/>
          <w:szCs w:val="24"/>
          <w:u w:val="single"/>
          <w:lang w:val="en-US" w:eastAsia="zh-CN"/>
        </w:rPr>
        <w:t>1</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 xml:space="preserve"> 21</w:t>
      </w:r>
      <w:r>
        <w:rPr>
          <w:rFonts w:hint="eastAsia" w:ascii="宋体" w:hAnsi="宋体" w:eastAsia="宋体" w:cs="宋体"/>
          <w:b/>
          <w:bCs/>
          <w:color w:val="auto"/>
          <w:sz w:val="24"/>
          <w:szCs w:val="24"/>
          <w:u w:val="single"/>
        </w:rPr>
        <w:t>日，</w:t>
      </w:r>
      <w:r>
        <w:rPr>
          <w:rFonts w:hint="eastAsia" w:ascii="宋体" w:hAnsi="宋体" w:eastAsia="宋体" w:cs="宋体"/>
          <w:color w:val="auto"/>
          <w:sz w:val="24"/>
          <w:szCs w:val="24"/>
        </w:rPr>
        <w:t>(北京时间0</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:00-12:00，</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0法定公休日、法定节假日除外）</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color w:val="000000"/>
          <w:kern w:val="2"/>
          <w:sz w:val="24"/>
          <w:szCs w:val="24"/>
          <w:lang w:val="en-US" w:eastAsia="zh-CN" w:bidi="ar-SA"/>
        </w:rPr>
        <w:t>2.发售地点：</w:t>
      </w:r>
      <w:r>
        <w:rPr>
          <w:rFonts w:hint="eastAsia" w:ascii="宋体" w:hAnsi="宋体" w:eastAsia="宋体" w:cs="宋体"/>
          <w:sz w:val="24"/>
          <w:szCs w:val="24"/>
          <w:lang w:eastAsia="zh-CN"/>
        </w:rPr>
        <w:t>广西建荣工程项目管理有限公司</w:t>
      </w:r>
      <w:r>
        <w:rPr>
          <w:rFonts w:hint="eastAsia" w:ascii="宋体" w:hAnsi="宋体" w:eastAsia="宋体" w:cs="宋体"/>
          <w:sz w:val="24"/>
          <w:szCs w:val="24"/>
        </w:rPr>
        <w:t>（</w:t>
      </w:r>
      <w:r>
        <w:rPr>
          <w:rFonts w:hint="eastAsia" w:ascii="宋体" w:hAnsi="宋体" w:eastAsia="宋体" w:cs="宋体"/>
          <w:sz w:val="24"/>
          <w:szCs w:val="24"/>
          <w:lang w:eastAsia="zh-CN"/>
        </w:rPr>
        <w:t>梧州市龙圩区政贤六路</w:t>
      </w:r>
      <w:r>
        <w:rPr>
          <w:rFonts w:hint="eastAsia" w:ascii="宋体" w:hAnsi="宋体" w:eastAsia="宋体" w:cs="宋体"/>
          <w:sz w:val="24"/>
          <w:szCs w:val="24"/>
          <w:lang w:val="en-US" w:eastAsia="zh-CN"/>
        </w:rPr>
        <w:t>88号</w:t>
      </w:r>
      <w:r>
        <w:rPr>
          <w:rFonts w:hint="eastAsia" w:ascii="宋体" w:hAnsi="宋体" w:eastAsia="宋体" w:cs="宋体"/>
          <w:sz w:val="24"/>
          <w:szCs w:val="24"/>
        </w:rPr>
        <w:t>）</w:t>
      </w:r>
      <w:r>
        <w:rPr>
          <w:rFonts w:hint="eastAsia" w:ascii="宋体" w:hAnsi="宋体" w:eastAsia="宋体" w:cs="宋体"/>
          <w:sz w:val="24"/>
          <w:szCs w:val="24"/>
          <w:lang w:eastAsia="zh-CN"/>
        </w:rPr>
        <w:t>。</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480" w:firstLineChars="200"/>
        <w:textAlignment w:val="auto"/>
      </w:pPr>
      <w:r>
        <w:rPr>
          <w:rFonts w:hint="eastAsia" w:ascii="宋体" w:hAnsi="宋体" w:eastAsia="宋体" w:cs="宋体"/>
          <w:color w:val="000000"/>
          <w:kern w:val="2"/>
          <w:sz w:val="24"/>
          <w:szCs w:val="24"/>
          <w:lang w:val="en-US" w:eastAsia="zh-CN" w:bidi="ar-SA"/>
        </w:rPr>
        <w:t>3.售价：</w:t>
      </w:r>
      <w:r>
        <w:rPr>
          <w:rFonts w:hint="eastAsia" w:ascii="宋体" w:hAnsi="宋体" w:eastAsia="宋体" w:cs="宋体"/>
          <w:color w:val="000000"/>
          <w:kern w:val="2"/>
          <w:sz w:val="24"/>
          <w:szCs w:val="24"/>
        </w:rPr>
        <w:t>工本费每本250元，售后不退。</w:t>
      </w:r>
    </w:p>
    <w:p>
      <w:pPr>
        <w:pStyle w:val="3"/>
        <w:keepNext w:val="0"/>
        <w:keepLines w:val="0"/>
        <w:widowControl/>
        <w:suppressLineNumbers w:val="0"/>
        <w:snapToGrid w:val="0"/>
        <w:spacing w:before="120" w:beforeAutospacing="0" w:after="0" w:afterAutospacing="0" w:line="380" w:lineRule="exact"/>
        <w:ind w:left="0" w:right="0" w:firstLine="480" w:firstLineChars="200"/>
      </w:pPr>
      <w:r>
        <w:rPr>
          <w:rFonts w:hint="eastAsia" w:ascii="宋体" w:hAnsi="宋体" w:eastAsia="宋体" w:cs="宋体"/>
          <w:color w:val="000000"/>
          <w:kern w:val="2"/>
          <w:sz w:val="24"/>
          <w:szCs w:val="24"/>
        </w:rPr>
        <w:t>4.获取采购文件的方式：由潜在供应商的法定代表人（持法人身份证明书原件、本人二代身份证原件及复印件）或其授权委托人（持本人二代身份证原件及复印件、法人授权委托书原件）携带企业营业执照复印件接受报名。</w:t>
      </w:r>
    </w:p>
    <w:p>
      <w:pPr>
        <w:pStyle w:val="3"/>
        <w:keepNext w:val="0"/>
        <w:keepLines w:val="0"/>
        <w:widowControl/>
        <w:suppressLineNumbers w:val="0"/>
        <w:spacing w:before="120" w:beforeAutospacing="0" w:after="0" w:afterAutospacing="0" w:line="400" w:lineRule="exact"/>
        <w:ind w:left="0" w:right="0" w:firstLine="480" w:firstLineChars="200"/>
        <w:jc w:val="left"/>
      </w:pPr>
      <w:r>
        <w:rPr>
          <w:rFonts w:hint="eastAsia" w:ascii="宋体" w:hAnsi="宋体" w:eastAsia="宋体" w:cs="宋体"/>
          <w:color w:val="000000"/>
          <w:kern w:val="2"/>
          <w:sz w:val="24"/>
          <w:szCs w:val="24"/>
        </w:rPr>
        <w:t>注：以上提及的证件或资料复印件均须提供加盖单位公章，报名后留下存档。</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八、竞标保证金</w:t>
      </w: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u w:val="single"/>
          <w:lang w:eastAsia="zh-CN"/>
          <w14:textFill>
            <w14:solidFill>
              <w14:schemeClr w14:val="tx1"/>
            </w14:solidFill>
          </w14:textFill>
        </w:rPr>
        <w:t>人民币叁仟贰佰元整（¥</w:t>
      </w:r>
      <w:r>
        <w:rPr>
          <w:rFonts w:hint="eastAsia" w:ascii="宋体" w:hAnsi="宋体" w:eastAsia="宋体" w:cs="宋体"/>
          <w:b/>
          <w:bCs/>
          <w:color w:val="000000" w:themeColor="text1"/>
          <w:sz w:val="24"/>
          <w:szCs w:val="24"/>
          <w:u w:val="single"/>
          <w:lang w:val="en-US" w:eastAsia="zh-CN"/>
          <w14:textFill>
            <w14:solidFill>
              <w14:schemeClr w14:val="tx1"/>
            </w14:solidFill>
          </w14:textFill>
        </w:rPr>
        <w:t>32</w:t>
      </w:r>
      <w:r>
        <w:rPr>
          <w:rFonts w:hint="eastAsia" w:ascii="宋体" w:hAnsi="宋体" w:eastAsia="宋体" w:cs="宋体"/>
          <w:b/>
          <w:bCs/>
          <w:color w:val="000000" w:themeColor="text1"/>
          <w:sz w:val="24"/>
          <w:szCs w:val="24"/>
          <w:u w:val="single"/>
          <w:lang w:eastAsia="zh-CN"/>
          <w14:textFill>
            <w14:solidFill>
              <w14:schemeClr w14:val="tx1"/>
            </w14:solidFill>
          </w14:textFill>
        </w:rPr>
        <w:t>00.00元）</w:t>
      </w:r>
      <w:r>
        <w:rPr>
          <w:rFonts w:hint="eastAsia" w:ascii="宋体" w:hAnsi="宋体" w:eastAsia="宋体" w:cs="宋体"/>
          <w:b/>
          <w:bCs/>
          <w:color w:val="000000" w:themeColor="text1"/>
          <w:sz w:val="24"/>
          <w:szCs w:val="24"/>
          <w:u w:val="single"/>
          <w14:textFill>
            <w14:solidFill>
              <w14:schemeClr w14:val="tx1"/>
            </w14:solidFill>
          </w14:textFill>
        </w:rPr>
        <w:t>）(须足额交纳)。</w:t>
      </w:r>
      <w:r>
        <w:rPr>
          <w:rFonts w:hint="eastAsia" w:ascii="宋体" w:hAnsi="宋体" w:eastAsia="宋体" w:cs="宋体"/>
          <w:sz w:val="24"/>
          <w:szCs w:val="24"/>
        </w:rPr>
        <w:t>供应商必须于截标前将竞标保证金从供应商基本账户转账或电汇至以下账户：</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开户名称：广西建荣工程项目管理有限公司梧州</w:t>
      </w:r>
      <w:r>
        <w:rPr>
          <w:rFonts w:hint="eastAsia" w:ascii="宋体" w:hAnsi="宋体" w:eastAsia="宋体" w:cs="宋体"/>
          <w:sz w:val="24"/>
          <w:szCs w:val="24"/>
        </w:rPr>
        <w:t>第</w:t>
      </w:r>
      <w:r>
        <w:rPr>
          <w:rFonts w:hint="eastAsia" w:ascii="宋体" w:hAnsi="宋体" w:eastAsia="宋体" w:cs="宋体"/>
          <w:sz w:val="24"/>
          <w:szCs w:val="24"/>
          <w:lang w:eastAsia="zh-CN"/>
        </w:rPr>
        <w:t>一</w:t>
      </w:r>
      <w:r>
        <w:rPr>
          <w:rFonts w:hint="eastAsia" w:ascii="宋体" w:hAnsi="宋体" w:eastAsia="宋体" w:cs="宋体"/>
          <w:sz w:val="24"/>
          <w:szCs w:val="24"/>
        </w:rPr>
        <w:t>分公司</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开户银行：中国建设银行</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银行账号：4505 </w:t>
      </w:r>
      <w:r>
        <w:rPr>
          <w:rFonts w:hint="eastAsia" w:ascii="宋体" w:hAnsi="宋体" w:eastAsia="宋体" w:cs="宋体"/>
          <w:sz w:val="24"/>
          <w:szCs w:val="24"/>
        </w:rPr>
        <w:t>0</w:t>
      </w:r>
      <w:r>
        <w:rPr>
          <w:rFonts w:hint="eastAsia" w:ascii="宋体" w:hAnsi="宋体" w:eastAsia="宋体" w:cs="宋体"/>
          <w:sz w:val="24"/>
          <w:szCs w:val="24"/>
          <w:lang w:val="en-US" w:eastAsia="zh-CN"/>
        </w:rPr>
        <w:t xml:space="preserve">164 8662 </w:t>
      </w:r>
      <w:r>
        <w:rPr>
          <w:rFonts w:hint="eastAsia" w:ascii="宋体" w:hAnsi="宋体" w:eastAsia="宋体" w:cs="宋体"/>
          <w:sz w:val="24"/>
          <w:szCs w:val="24"/>
        </w:rPr>
        <w:t>0000</w:t>
      </w:r>
      <w:r>
        <w:rPr>
          <w:rFonts w:hint="eastAsia" w:ascii="宋体" w:hAnsi="宋体" w:eastAsia="宋体" w:cs="宋体"/>
          <w:sz w:val="24"/>
          <w:szCs w:val="24"/>
          <w:lang w:val="en-US" w:eastAsia="zh-CN"/>
        </w:rPr>
        <w:t xml:space="preserve"> 066</w:t>
      </w:r>
      <w:r>
        <w:rPr>
          <w:rFonts w:hint="eastAsia" w:ascii="宋体" w:hAnsi="宋体" w:eastAsia="宋体" w:cs="宋体"/>
          <w:sz w:val="24"/>
          <w:szCs w:val="24"/>
        </w:rPr>
        <w:t>6</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（转账时应在“用途”栏里写上项目名称或编号）。</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482" w:firstLineChars="200"/>
        <w:textAlignment w:val="auto"/>
        <w:rPr>
          <w:rFonts w:hint="eastAsia" w:ascii="宋体" w:hAnsi="宋体" w:eastAsia="宋体" w:cs="宋体"/>
          <w:b/>
          <w:bCs/>
          <w:color w:val="auto"/>
          <w:sz w:val="24"/>
          <w:szCs w:val="24"/>
          <w:u w:val="single"/>
          <w:lang w:val="en-US" w:eastAsia="zh-CN"/>
        </w:rPr>
      </w:pPr>
      <w:r>
        <w:rPr>
          <w:rFonts w:hint="eastAsia" w:ascii="宋体" w:hAnsi="宋体" w:eastAsia="宋体" w:cs="宋体"/>
          <w:b/>
          <w:sz w:val="24"/>
          <w:szCs w:val="24"/>
        </w:rPr>
        <w:t>九、响应文件递交截止时间和地点：</w:t>
      </w:r>
      <w:r>
        <w:rPr>
          <w:rFonts w:hint="eastAsia" w:ascii="宋体" w:hAnsi="宋体" w:eastAsia="宋体" w:cs="宋体"/>
          <w:sz w:val="24"/>
          <w:szCs w:val="24"/>
        </w:rPr>
        <w:t>供应商应于</w:t>
      </w:r>
      <w:r>
        <w:rPr>
          <w:rFonts w:hint="eastAsia" w:ascii="宋体" w:hAnsi="宋体" w:eastAsia="宋体" w:cs="宋体"/>
          <w:b/>
          <w:bCs/>
          <w:color w:val="auto"/>
          <w:sz w:val="24"/>
          <w:szCs w:val="24"/>
          <w:u w:val="single"/>
        </w:rPr>
        <w:t>20</w:t>
      </w:r>
      <w:r>
        <w:rPr>
          <w:rFonts w:hint="eastAsia" w:ascii="宋体" w:hAnsi="宋体" w:eastAsia="宋体" w:cs="宋体"/>
          <w:b/>
          <w:bCs/>
          <w:color w:val="auto"/>
          <w:sz w:val="24"/>
          <w:szCs w:val="24"/>
          <w:u w:val="single"/>
          <w:lang w:val="en-US" w:eastAsia="zh-CN"/>
        </w:rPr>
        <w:t>20</w:t>
      </w:r>
      <w:r>
        <w:rPr>
          <w:rFonts w:hint="eastAsia" w:ascii="宋体" w:hAnsi="宋体" w:eastAsia="宋体" w:cs="宋体"/>
          <w:b/>
          <w:bCs/>
          <w:color w:val="auto"/>
          <w:sz w:val="24"/>
          <w:szCs w:val="24"/>
          <w:u w:val="single"/>
        </w:rPr>
        <w:t>年</w:t>
      </w:r>
      <w:r>
        <w:rPr>
          <w:rFonts w:hint="eastAsia" w:ascii="宋体" w:hAnsi="宋体" w:eastAsia="宋体" w:cs="宋体"/>
          <w:b/>
          <w:bCs/>
          <w:color w:val="auto"/>
          <w:sz w:val="24"/>
          <w:szCs w:val="24"/>
          <w:u w:val="single"/>
          <w:lang w:val="en-US" w:eastAsia="zh-CN"/>
        </w:rPr>
        <w:t>1</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 xml:space="preserve"> 22</w:t>
      </w:r>
      <w:r>
        <w:rPr>
          <w:rFonts w:hint="eastAsia" w:ascii="宋体" w:hAnsi="宋体" w:eastAsia="宋体" w:cs="宋体"/>
          <w:b/>
          <w:bCs/>
          <w:color w:val="auto"/>
          <w:sz w:val="24"/>
          <w:szCs w:val="24"/>
          <w:u w:val="single"/>
        </w:rPr>
        <w:t>日</w:t>
      </w:r>
      <w:r>
        <w:rPr>
          <w:rFonts w:hint="eastAsia" w:ascii="宋体" w:hAnsi="宋体" w:eastAsia="宋体" w:cs="宋体"/>
          <w:b/>
          <w:bCs/>
          <w:color w:val="auto"/>
          <w:sz w:val="24"/>
          <w:szCs w:val="24"/>
          <w:u w:val="single"/>
          <w:lang w:val="en-US" w:eastAsia="zh-CN"/>
        </w:rPr>
        <w:t>9</w:t>
      </w:r>
      <w:r>
        <w:rPr>
          <w:rFonts w:hint="eastAsia" w:ascii="宋体" w:hAnsi="宋体" w:eastAsia="宋体" w:cs="宋体"/>
          <w:b/>
          <w:bCs/>
          <w:color w:val="auto"/>
          <w:sz w:val="24"/>
          <w:szCs w:val="24"/>
          <w:u w:val="single"/>
        </w:rPr>
        <w:t>时</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482"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u w:val="single"/>
          <w:lang w:val="en-US" w:eastAsia="zh-CN"/>
        </w:rPr>
        <w:t>30</w:t>
      </w:r>
      <w:r>
        <w:rPr>
          <w:rFonts w:hint="eastAsia" w:ascii="宋体" w:hAnsi="宋体" w:eastAsia="宋体" w:cs="宋体"/>
          <w:b/>
          <w:bCs/>
          <w:color w:val="auto"/>
          <w:sz w:val="24"/>
          <w:szCs w:val="24"/>
          <w:u w:val="single"/>
        </w:rPr>
        <w:t>分</w:t>
      </w:r>
      <w:r>
        <w:rPr>
          <w:rFonts w:hint="eastAsia" w:ascii="宋体" w:hAnsi="宋体" w:eastAsia="宋体" w:cs="宋体"/>
          <w:color w:val="auto"/>
          <w:sz w:val="24"/>
          <w:szCs w:val="24"/>
        </w:rPr>
        <w:t>前将响应文件密封送交到</w:t>
      </w:r>
      <w:r>
        <w:rPr>
          <w:rFonts w:hint="eastAsia" w:ascii="宋体" w:hAnsi="宋体" w:eastAsia="宋体" w:cs="宋体"/>
          <w:color w:val="auto"/>
          <w:sz w:val="24"/>
          <w:szCs w:val="24"/>
          <w:lang w:eastAsia="zh-CN"/>
        </w:rPr>
        <w:t>广西建荣工程项目管理有限公司（梧州市龙圩区政贤六路</w:t>
      </w:r>
      <w:r>
        <w:rPr>
          <w:rFonts w:hint="eastAsia" w:ascii="宋体" w:hAnsi="宋体" w:eastAsia="宋体" w:cs="宋体"/>
          <w:color w:val="auto"/>
          <w:sz w:val="24"/>
          <w:szCs w:val="24"/>
          <w:lang w:val="en-US" w:eastAsia="zh-CN"/>
        </w:rPr>
        <w:t>88号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，逾期送达或未密封将予以拒收。</w:t>
      </w:r>
      <w:r>
        <w:rPr>
          <w:rFonts w:hint="eastAsia" w:ascii="宋体" w:hAnsi="宋体" w:eastAsia="宋体" w:cs="宋体"/>
          <w:color w:val="auto"/>
          <w:sz w:val="24"/>
          <w:szCs w:val="24"/>
          <w:lang w:val="en-US" w:eastAsia="zh-CN"/>
        </w:rPr>
        <w:t xml:space="preserve"> </w:t>
      </w:r>
    </w:p>
    <w:p>
      <w:pPr>
        <w:keepNext w:val="0"/>
        <w:keepLines w:val="0"/>
        <w:widowControl/>
        <w:numPr>
          <w:ilvl w:val="0"/>
          <w:numId w:val="0"/>
        </w:numPr>
        <w:suppressLineNumbers w:val="0"/>
        <w:spacing w:before="242" w:beforeAutospacing="0" w:after="0" w:afterAutospacing="0"/>
        <w:ind w:left="480" w:leftChars="218" w:right="0" w:rightChars="0" w:firstLine="0" w:firstLineChars="0"/>
        <w:rPr>
          <w:rFonts w:hint="eastAsia" w:ascii="宋体" w:hAnsi="宋体" w:eastAsia="宋体" w:cs="宋体"/>
          <w:b/>
          <w:i w:val="0"/>
          <w:sz w:val="24"/>
          <w:szCs w:val="24"/>
        </w:rPr>
      </w:pPr>
      <w:r>
        <w:rPr>
          <w:rFonts w:hint="eastAsia" w:ascii="宋体" w:hAnsi="宋体" w:eastAsia="宋体" w:cs="宋体"/>
          <w:b/>
          <w:color w:val="auto"/>
          <w:sz w:val="24"/>
          <w:szCs w:val="24"/>
        </w:rPr>
        <w:t>十、谈判时间及地点：</w:t>
      </w:r>
      <w:r>
        <w:rPr>
          <w:rFonts w:hint="eastAsia" w:ascii="宋体" w:hAnsi="宋体" w:eastAsia="宋体" w:cs="宋体"/>
          <w:bCs/>
          <w:color w:val="auto"/>
          <w:sz w:val="24"/>
          <w:szCs w:val="24"/>
        </w:rPr>
        <w:t>本次谈判将于</w:t>
      </w:r>
      <w:r>
        <w:rPr>
          <w:rFonts w:hint="eastAsia" w:ascii="宋体" w:hAnsi="宋体" w:eastAsia="宋体" w:cs="宋体"/>
          <w:b/>
          <w:bCs/>
          <w:color w:val="auto"/>
          <w:sz w:val="24"/>
          <w:szCs w:val="24"/>
          <w:u w:val="single"/>
        </w:rPr>
        <w:t>20</w:t>
      </w:r>
      <w:r>
        <w:rPr>
          <w:rFonts w:hint="eastAsia" w:ascii="宋体" w:hAnsi="宋体" w:eastAsia="宋体" w:cs="宋体"/>
          <w:b/>
          <w:bCs/>
          <w:color w:val="auto"/>
          <w:sz w:val="24"/>
          <w:szCs w:val="24"/>
          <w:u w:val="single"/>
          <w:lang w:val="en-US" w:eastAsia="zh-CN"/>
        </w:rPr>
        <w:t>20</w:t>
      </w:r>
      <w:r>
        <w:rPr>
          <w:rFonts w:hint="eastAsia" w:ascii="宋体" w:hAnsi="宋体" w:eastAsia="宋体" w:cs="宋体"/>
          <w:b/>
          <w:bCs/>
          <w:color w:val="auto"/>
          <w:sz w:val="24"/>
          <w:szCs w:val="24"/>
          <w:u w:val="single"/>
        </w:rPr>
        <w:t>年</w:t>
      </w:r>
      <w:r>
        <w:rPr>
          <w:rFonts w:hint="eastAsia" w:ascii="宋体" w:hAnsi="宋体" w:eastAsia="宋体" w:cs="宋体"/>
          <w:b/>
          <w:bCs/>
          <w:color w:val="auto"/>
          <w:sz w:val="24"/>
          <w:szCs w:val="24"/>
          <w:u w:val="single"/>
          <w:lang w:val="en-US" w:eastAsia="zh-CN"/>
        </w:rPr>
        <w:t>1</w:t>
      </w:r>
      <w:r>
        <w:rPr>
          <w:rFonts w:hint="eastAsia" w:ascii="宋体" w:hAnsi="宋体" w:eastAsia="宋体" w:cs="宋体"/>
          <w:b/>
          <w:bCs/>
          <w:color w:val="auto"/>
          <w:sz w:val="24"/>
          <w:szCs w:val="24"/>
          <w:u w:val="single"/>
        </w:rPr>
        <w:t>月</w:t>
      </w:r>
      <w:r>
        <w:rPr>
          <w:rFonts w:hint="eastAsia" w:ascii="宋体" w:hAnsi="宋体" w:eastAsia="宋体" w:cs="宋体"/>
          <w:b/>
          <w:bCs/>
          <w:color w:val="auto"/>
          <w:sz w:val="24"/>
          <w:szCs w:val="24"/>
          <w:u w:val="single"/>
          <w:lang w:val="en-US" w:eastAsia="zh-CN"/>
        </w:rPr>
        <w:t>22</w:t>
      </w:r>
      <w:r>
        <w:rPr>
          <w:rFonts w:hint="eastAsia" w:ascii="宋体" w:hAnsi="宋体" w:eastAsia="宋体" w:cs="宋体"/>
          <w:b/>
          <w:bCs/>
          <w:color w:val="auto"/>
          <w:sz w:val="24"/>
          <w:szCs w:val="24"/>
          <w:u w:val="single"/>
        </w:rPr>
        <w:t>日</w:t>
      </w:r>
      <w:r>
        <w:rPr>
          <w:rFonts w:hint="eastAsia" w:ascii="宋体" w:hAnsi="宋体" w:eastAsia="宋体" w:cs="宋体"/>
          <w:b/>
          <w:bCs/>
          <w:color w:val="auto"/>
          <w:sz w:val="24"/>
          <w:szCs w:val="24"/>
          <w:u w:val="single"/>
          <w:lang w:val="en-US" w:eastAsia="zh-CN"/>
        </w:rPr>
        <w:t>9</w:t>
      </w:r>
      <w:r>
        <w:rPr>
          <w:rFonts w:hint="eastAsia" w:ascii="宋体" w:hAnsi="宋体" w:eastAsia="宋体" w:cs="宋体"/>
          <w:b/>
          <w:bCs/>
          <w:color w:val="auto"/>
          <w:sz w:val="24"/>
          <w:szCs w:val="24"/>
          <w:u w:val="single"/>
        </w:rPr>
        <w:t>时</w:t>
      </w:r>
      <w:r>
        <w:rPr>
          <w:rFonts w:hint="eastAsia" w:ascii="宋体" w:hAnsi="宋体" w:eastAsia="宋体" w:cs="宋体"/>
          <w:b/>
          <w:bCs/>
          <w:color w:val="auto"/>
          <w:sz w:val="24"/>
          <w:szCs w:val="24"/>
          <w:u w:val="single"/>
          <w:lang w:val="en-US" w:eastAsia="zh-CN"/>
        </w:rPr>
        <w:t>30</w:t>
      </w:r>
      <w:r>
        <w:rPr>
          <w:rFonts w:hint="eastAsia" w:ascii="宋体" w:hAnsi="宋体" w:eastAsia="宋体" w:cs="宋体"/>
          <w:b/>
          <w:bCs/>
          <w:color w:val="auto"/>
          <w:sz w:val="24"/>
          <w:szCs w:val="24"/>
          <w:u w:val="single"/>
        </w:rPr>
        <w:t>分</w:t>
      </w:r>
      <w:r>
        <w:rPr>
          <w:rFonts w:hint="eastAsia" w:ascii="宋体" w:hAnsi="宋体" w:eastAsia="宋体" w:cs="宋体"/>
          <w:color w:val="auto"/>
          <w:sz w:val="24"/>
          <w:szCs w:val="24"/>
        </w:rPr>
        <w:t>在</w:t>
      </w:r>
      <w:r>
        <w:rPr>
          <w:rFonts w:hint="eastAsia" w:ascii="宋体" w:hAnsi="宋体" w:eastAsia="宋体" w:cs="宋体"/>
          <w:color w:val="auto"/>
          <w:sz w:val="24"/>
          <w:szCs w:val="24"/>
          <w:lang w:eastAsia="zh-CN"/>
        </w:rPr>
        <w:t>广</w:t>
      </w:r>
      <w:r>
        <w:rPr>
          <w:rFonts w:hint="eastAsia" w:ascii="宋体" w:hAnsi="宋体" w:eastAsia="宋体" w:cs="宋体"/>
          <w:sz w:val="24"/>
          <w:szCs w:val="24"/>
          <w:lang w:eastAsia="zh-CN"/>
        </w:rPr>
        <w:t>西建荣工程项目管理有限公司（梧州市龙圩区政贤六路</w:t>
      </w:r>
      <w:r>
        <w:rPr>
          <w:rFonts w:hint="eastAsia" w:ascii="宋体" w:hAnsi="宋体" w:eastAsia="宋体" w:cs="宋体"/>
          <w:sz w:val="24"/>
          <w:szCs w:val="24"/>
          <w:lang w:val="en-US" w:eastAsia="zh-CN"/>
        </w:rPr>
        <w:t>88号</w:t>
      </w:r>
      <w:r>
        <w:rPr>
          <w:rFonts w:hint="eastAsia" w:ascii="宋体" w:hAnsi="宋体" w:eastAsia="宋体" w:cs="宋体"/>
          <w:sz w:val="24"/>
          <w:szCs w:val="24"/>
          <w:lang w:eastAsia="zh-CN"/>
        </w:rPr>
        <w:t>）</w:t>
      </w:r>
      <w:r>
        <w:rPr>
          <w:rFonts w:hint="eastAsia" w:ascii="宋体" w:hAnsi="宋体" w:eastAsia="宋体" w:cs="宋体"/>
          <w:sz w:val="24"/>
          <w:szCs w:val="24"/>
        </w:rPr>
        <w:t>开标，</w:t>
      </w:r>
    </w:p>
    <w:p>
      <w:pPr>
        <w:pStyle w:val="3"/>
        <w:keepNext w:val="0"/>
        <w:keepLines w:val="0"/>
        <w:widowControl/>
        <w:suppressLineNumbers w:val="0"/>
        <w:spacing w:before="120" w:beforeAutospacing="0" w:after="0" w:afterAutospacing="0" w:line="400" w:lineRule="exact"/>
        <w:ind w:left="720" w:right="0" w:firstLine="480" w:firstLineChars="200"/>
        <w:rPr>
          <w:rFonts w:ascii="Calibri" w:hAnsi="Calibri" w:cs="Calibri"/>
          <w:b w:val="0"/>
          <w:i w:val="0"/>
          <w:color w:val="000000"/>
          <w:sz w:val="21"/>
          <w:szCs w:val="21"/>
        </w:rPr>
      </w:pPr>
      <w:r>
        <w:rPr>
          <w:rFonts w:hint="eastAsia" w:ascii="宋体" w:hAnsi="宋体" w:eastAsia="宋体" w:cs="宋体"/>
          <w:b w:val="0"/>
          <w:i w:val="0"/>
          <w:color w:val="000000"/>
          <w:kern w:val="2"/>
          <w:sz w:val="24"/>
          <w:szCs w:val="24"/>
        </w:rPr>
        <w:t>参加谈判的法定代表人（负责人）或授权委托代理人必须持有效证件【法定代表人（负责人）凭本人二代身份证原件和法人身份证明书原件或授权委托代理人凭本人二代身份证原件和法人授权委托书原件】及竞标单位开户许可证复印件、工本费收据</w:t>
      </w:r>
      <w:r>
        <w:rPr>
          <w:rFonts w:hint="eastAsia" w:hAnsi="宋体" w:cs="宋体"/>
          <w:b w:val="0"/>
          <w:i w:val="0"/>
          <w:color w:val="000000"/>
          <w:kern w:val="2"/>
          <w:sz w:val="24"/>
          <w:szCs w:val="24"/>
          <w:lang w:eastAsia="zh-CN"/>
        </w:rPr>
        <w:t>、</w:t>
      </w:r>
      <w:r>
        <w:rPr>
          <w:rFonts w:hint="eastAsia" w:ascii="宋体" w:hAnsi="宋体" w:eastAsia="宋体" w:cs="宋体"/>
          <w:b w:val="0"/>
          <w:i w:val="0"/>
          <w:color w:val="000000"/>
          <w:kern w:val="2"/>
          <w:sz w:val="24"/>
          <w:szCs w:val="24"/>
        </w:rPr>
        <w:t>保证金底单复印件；依时到达指定地点等候当面谈判。</w:t>
      </w:r>
    </w:p>
    <w:p>
      <w:pPr>
        <w:keepNext w:val="0"/>
        <w:keepLines w:val="0"/>
        <w:widowControl/>
        <w:numPr>
          <w:ilvl w:val="0"/>
          <w:numId w:val="1"/>
        </w:numPr>
        <w:suppressLineNumbers w:val="0"/>
        <w:spacing w:before="242" w:beforeAutospacing="0" w:after="0" w:afterAutospacing="0"/>
        <w:ind w:left="1440" w:right="0" w:hanging="360"/>
        <w:rPr>
          <w:rFonts w:hint="eastAsia" w:ascii="宋体" w:hAnsi="宋体" w:eastAsia="宋体" w:cs="宋体"/>
          <w:b/>
          <w:i w:val="0"/>
          <w:sz w:val="24"/>
          <w:szCs w:val="24"/>
        </w:rPr>
      </w:pPr>
    </w:p>
    <w:p>
      <w:pPr>
        <w:keepNext w:val="0"/>
        <w:keepLines w:val="0"/>
        <w:pageBreakBefore w:val="0"/>
        <w:widowControl/>
        <w:kinsoku/>
        <w:wordWrap w:val="0"/>
        <w:overflowPunct/>
        <w:topLinePunct w:val="0"/>
        <w:autoSpaceDE/>
        <w:autoSpaceDN/>
        <w:bidi w:val="0"/>
        <w:adjustRightInd w:val="0"/>
        <w:snapToGrid w:val="0"/>
        <w:spacing w:after="0" w:line="336"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十一、联系事项：</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720" w:firstLineChars="300"/>
        <w:textAlignment w:val="auto"/>
        <w:rPr>
          <w:rFonts w:hint="eastAsia" w:ascii="宋体" w:hAnsi="宋体" w:eastAsia="宋体" w:cs="宋体"/>
          <w:sz w:val="24"/>
          <w:szCs w:val="24"/>
          <w:lang w:eastAsia="zh-CN"/>
        </w:rPr>
      </w:pPr>
      <w:r>
        <w:rPr>
          <w:rFonts w:hint="eastAsia" w:ascii="宋体" w:hAnsi="宋体" w:eastAsia="宋体" w:cs="宋体"/>
          <w:sz w:val="24"/>
          <w:szCs w:val="24"/>
        </w:rPr>
        <w:t>1.采购单位：</w:t>
      </w:r>
      <w:r>
        <w:rPr>
          <w:rFonts w:hint="eastAsia" w:ascii="宋体" w:hAnsi="宋体" w:eastAsia="宋体" w:cs="宋体"/>
          <w:sz w:val="24"/>
          <w:szCs w:val="24"/>
          <w:lang w:val="en-US" w:eastAsia="zh-CN"/>
        </w:rPr>
        <w:t>梧州市龙圩区龙城社区卫生服务中心</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840" w:firstLineChars="35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联系人及电话：</w:t>
      </w:r>
      <w:r>
        <w:rPr>
          <w:rFonts w:hint="eastAsia" w:ascii="宋体" w:hAnsi="宋体" w:eastAsia="宋体" w:cs="宋体"/>
          <w:sz w:val="24"/>
          <w:szCs w:val="24"/>
          <w:lang w:eastAsia="zh-CN"/>
        </w:rPr>
        <w:t>聂智雄</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13737841866</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840" w:firstLineChars="35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地址：</w:t>
      </w:r>
      <w:r>
        <w:rPr>
          <w:rFonts w:hint="eastAsia" w:ascii="宋体" w:hAnsi="宋体" w:eastAsia="宋体" w:cs="宋体"/>
          <w:sz w:val="24"/>
          <w:szCs w:val="24"/>
          <w:lang w:eastAsia="zh-CN"/>
        </w:rPr>
        <w:t>梧州市龙圩区京塘三路</w:t>
      </w:r>
      <w:r>
        <w:rPr>
          <w:rFonts w:hint="eastAsia" w:ascii="宋体" w:hAnsi="宋体" w:eastAsia="宋体" w:cs="宋体"/>
          <w:sz w:val="24"/>
          <w:szCs w:val="24"/>
          <w:lang w:val="en-US" w:eastAsia="zh-CN"/>
        </w:rPr>
        <w:t>62-1号</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720" w:firstLineChars="300"/>
        <w:textAlignment w:val="auto"/>
        <w:rPr>
          <w:rFonts w:hint="eastAsia" w:ascii="宋体" w:hAnsi="宋体" w:eastAsia="宋体" w:cs="宋体"/>
          <w:sz w:val="24"/>
          <w:szCs w:val="24"/>
          <w:lang w:eastAsia="zh-CN"/>
        </w:rPr>
      </w:pPr>
      <w:r>
        <w:rPr>
          <w:rFonts w:hint="eastAsia" w:ascii="宋体" w:hAnsi="宋体" w:eastAsia="宋体" w:cs="宋体"/>
          <w:sz w:val="24"/>
          <w:szCs w:val="24"/>
        </w:rPr>
        <w:t>2.采购代理机构：</w:t>
      </w:r>
      <w:r>
        <w:rPr>
          <w:rFonts w:hint="eastAsia" w:ascii="宋体" w:hAnsi="宋体" w:eastAsia="宋体" w:cs="宋体"/>
          <w:sz w:val="24"/>
          <w:szCs w:val="24"/>
          <w:lang w:eastAsia="zh-CN"/>
        </w:rPr>
        <w:t>广西建荣工程项目管理有限公司</w:t>
      </w:r>
      <w:bookmarkStart w:id="0" w:name="_GoBack"/>
      <w:bookmarkEnd w:id="0"/>
    </w:p>
    <w:p>
      <w:pPr>
        <w:keepNext w:val="0"/>
        <w:keepLines w:val="0"/>
        <w:pageBreakBefore w:val="0"/>
        <w:widowControl/>
        <w:kinsoku/>
        <w:wordWrap w:val="0"/>
        <w:overflowPunct/>
        <w:topLinePunct w:val="0"/>
        <w:autoSpaceDE/>
        <w:autoSpaceDN/>
        <w:bidi w:val="0"/>
        <w:adjustRightInd w:val="0"/>
        <w:snapToGrid w:val="0"/>
        <w:spacing w:after="0" w:line="336" w:lineRule="auto"/>
        <w:ind w:firstLine="840" w:firstLineChars="35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联系人及电话：</w:t>
      </w:r>
      <w:r>
        <w:rPr>
          <w:rFonts w:hint="eastAsia" w:ascii="宋体" w:hAnsi="宋体" w:eastAsia="宋体" w:cs="宋体"/>
          <w:sz w:val="24"/>
          <w:szCs w:val="24"/>
          <w:lang w:eastAsia="zh-CN"/>
        </w:rPr>
        <w:t>谢靖佳</w:t>
      </w:r>
      <w:r>
        <w:rPr>
          <w:rFonts w:hint="eastAsia" w:ascii="宋体" w:hAnsi="宋体" w:eastAsia="宋体" w:cs="宋体"/>
          <w:sz w:val="24"/>
          <w:szCs w:val="24"/>
        </w:rPr>
        <w:t xml:space="preserve"> </w:t>
      </w: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3397840207</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840" w:firstLineChars="35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地址：</w:t>
      </w:r>
      <w:r>
        <w:rPr>
          <w:rFonts w:hint="eastAsia" w:ascii="宋体" w:hAnsi="宋体" w:eastAsia="宋体" w:cs="宋体"/>
          <w:sz w:val="24"/>
          <w:szCs w:val="24"/>
          <w:lang w:eastAsia="zh-CN"/>
        </w:rPr>
        <w:t>梧州市龙圩区政贤六路8</w:t>
      </w:r>
      <w:r>
        <w:rPr>
          <w:rFonts w:hint="eastAsia" w:ascii="宋体" w:hAnsi="宋体" w:eastAsia="宋体" w:cs="宋体"/>
          <w:sz w:val="24"/>
          <w:szCs w:val="24"/>
          <w:lang w:val="en-US" w:eastAsia="zh-CN"/>
        </w:rPr>
        <w:t>8号</w:t>
      </w:r>
    </w:p>
    <w:p>
      <w:pPr>
        <w:keepNext w:val="0"/>
        <w:keepLines w:val="0"/>
        <w:pageBreakBefore w:val="0"/>
        <w:widowControl/>
        <w:kinsoku/>
        <w:wordWrap w:val="0"/>
        <w:overflowPunct/>
        <w:topLinePunct w:val="0"/>
        <w:autoSpaceDE/>
        <w:autoSpaceDN/>
        <w:bidi w:val="0"/>
        <w:adjustRightInd w:val="0"/>
        <w:snapToGrid w:val="0"/>
        <w:spacing w:after="0" w:line="336" w:lineRule="auto"/>
        <w:ind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监督部门：</w:t>
      </w:r>
      <w:r>
        <w:rPr>
          <w:rFonts w:hint="eastAsia" w:ascii="宋体" w:hAnsi="宋体" w:eastAsia="宋体" w:cs="宋体"/>
          <w:sz w:val="24"/>
          <w:szCs w:val="24"/>
          <w:lang w:eastAsia="zh-CN"/>
        </w:rPr>
        <w:t>龙圩区</w:t>
      </w:r>
      <w:r>
        <w:rPr>
          <w:rFonts w:hint="eastAsia" w:ascii="宋体" w:hAnsi="宋体" w:eastAsia="宋体" w:cs="宋体"/>
          <w:sz w:val="24"/>
          <w:szCs w:val="24"/>
        </w:rPr>
        <w:t>政府采购管理办公室   联系电话：</w:t>
      </w:r>
      <w:r>
        <w:rPr>
          <w:rFonts w:hint="eastAsia" w:ascii="宋体" w:hAnsi="宋体" w:eastAsia="宋体" w:cs="宋体"/>
          <w:sz w:val="24"/>
          <w:szCs w:val="24"/>
          <w:lang w:val="en-US" w:eastAsia="zh-CN"/>
        </w:rPr>
        <w:t>2722719</w:t>
      </w:r>
    </w:p>
    <w:p>
      <w:pPr>
        <w:pStyle w:val="3"/>
        <w:keepNext w:val="0"/>
        <w:keepLines w:val="0"/>
        <w:widowControl/>
        <w:suppressLineNumbers w:val="0"/>
        <w:spacing w:before="346" w:beforeAutospacing="0" w:after="0" w:afterAutospacing="0" w:line="375" w:lineRule="atLeast"/>
        <w:ind w:left="0" w:right="0" w:firstLine="420"/>
        <w:rPr>
          <w:rFonts w:hint="eastAsia" w:ascii="宋体" w:hAnsi="宋体" w:eastAsia="宋体" w:cs="宋体"/>
          <w:sz w:val="24"/>
          <w:szCs w:val="24"/>
          <w:lang w:val="en-US" w:eastAsia="zh-CN" w:bidi="ar-SA"/>
        </w:rPr>
      </w:pPr>
      <w:r>
        <w:rPr>
          <w:rFonts w:hint="eastAsia" w:ascii="宋体" w:hAnsi="宋体" w:eastAsia="宋体" w:cs="宋体"/>
          <w:b/>
          <w:sz w:val="24"/>
          <w:szCs w:val="24"/>
        </w:rPr>
        <w:t>十二、网上查询：</w:t>
      </w:r>
      <w:r>
        <w:rPr>
          <w:rFonts w:hint="eastAsia" w:ascii="宋体" w:hAnsi="宋体" w:eastAsia="宋体" w:cs="宋体"/>
          <w:sz w:val="24"/>
          <w:szCs w:val="24"/>
          <w:lang w:val="en-US" w:eastAsia="zh-CN" w:bidi="ar-SA"/>
        </w:rPr>
        <w:t>广西壮族自治区政府采购网（zfcg.gxzf.gov.cn）、梧州市政府采购网（http://www.wuzhou.gov.cn:8090/zfcgw）、梧州市龙圩区人民政府网（http://www.wzlxq.gov.cn）。</w:t>
      </w:r>
    </w:p>
    <w:p>
      <w:pPr>
        <w:keepNext w:val="0"/>
        <w:keepLines w:val="0"/>
        <w:widowControl/>
        <w:numPr>
          <w:ilvl w:val="0"/>
          <w:numId w:val="0"/>
        </w:numPr>
        <w:suppressLineNumbers w:val="0"/>
        <w:spacing w:before="242" w:beforeAutospacing="0" w:after="0" w:afterAutospacing="0"/>
        <w:ind w:left="1200" w:leftChars="218" w:right="0" w:rightChars="0" w:hanging="720" w:hangingChars="300"/>
        <w:rPr>
          <w:rFonts w:hint="eastAsia" w:ascii="宋体" w:hAnsi="宋体" w:eastAsia="宋体" w:cs="宋体"/>
          <w:color w:val="0000FF"/>
          <w:sz w:val="24"/>
          <w:szCs w:val="24"/>
          <w:lang w:eastAsia="zh-CN"/>
        </w:rPr>
      </w:pPr>
    </w:p>
    <w:p>
      <w:pPr>
        <w:pStyle w:val="2"/>
        <w:rPr>
          <w:rFonts w:hint="eastAsia"/>
          <w:lang w:eastAsia="zh-CN"/>
        </w:rPr>
      </w:pPr>
    </w:p>
    <w:p>
      <w:pPr>
        <w:keepNext w:val="0"/>
        <w:keepLines w:val="0"/>
        <w:widowControl/>
        <w:numPr>
          <w:ilvl w:val="0"/>
          <w:numId w:val="0"/>
        </w:numPr>
        <w:suppressLineNumbers w:val="0"/>
        <w:spacing w:before="242" w:beforeAutospacing="0" w:after="0" w:afterAutospacing="0"/>
        <w:ind w:left="5638" w:leftChars="490" w:right="0" w:rightChars="0" w:hanging="4560" w:hangingChars="1900"/>
        <w:rPr>
          <w:rFonts w:hint="eastAsia" w:ascii="宋体" w:hAnsi="宋体" w:eastAsia="宋体" w:cs="宋体"/>
          <w:sz w:val="24"/>
          <w:szCs w:val="24"/>
        </w:rPr>
      </w:pPr>
      <w:r>
        <w:rPr>
          <w:rFonts w:hint="eastAsia" w:ascii="宋体" w:hAnsi="宋体" w:eastAsia="宋体" w:cs="宋体"/>
          <w:b w:val="0"/>
          <w:bCs/>
          <w:sz w:val="24"/>
          <w:szCs w:val="24"/>
          <w:lang w:val="en-US" w:eastAsia="zh-CN"/>
        </w:rPr>
        <w:t xml:space="preserve">                               </w:t>
      </w:r>
      <w:r>
        <w:rPr>
          <w:rFonts w:hint="eastAsia" w:ascii="宋体" w:hAnsi="宋体" w:eastAsia="宋体" w:cs="宋体"/>
          <w:sz w:val="24"/>
          <w:szCs w:val="24"/>
          <w:lang w:eastAsia="zh-CN"/>
        </w:rPr>
        <w:t>广西建荣工程项目管理有限公司</w:t>
      </w: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1</w:t>
      </w:r>
      <w:r>
        <w:rPr>
          <w:rFonts w:hint="eastAsia" w:ascii="宋体" w:hAnsi="宋体" w:eastAsia="宋体" w:cs="宋体"/>
          <w:sz w:val="24"/>
          <w:szCs w:val="24"/>
        </w:rPr>
        <w:t>月</w:t>
      </w:r>
      <w:r>
        <w:rPr>
          <w:rFonts w:hint="eastAsia" w:ascii="宋体" w:hAnsi="宋体" w:eastAsia="宋体" w:cs="宋体"/>
          <w:sz w:val="24"/>
          <w:szCs w:val="24"/>
          <w:lang w:val="en-US" w:eastAsia="zh-CN"/>
        </w:rPr>
        <w:t>18</w:t>
      </w:r>
      <w:r>
        <w:rPr>
          <w:rFonts w:hint="eastAsia" w:ascii="宋体" w:hAnsi="宋体" w:eastAsia="宋体" w:cs="宋体"/>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DA1BA"/>
    <w:multiLevelType w:val="multilevel"/>
    <w:tmpl w:val="5FFDA1BA"/>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25DE2"/>
    <w:rsid w:val="01BC605C"/>
    <w:rsid w:val="16C7462D"/>
    <w:rsid w:val="19E25DE2"/>
    <w:rsid w:val="374B19E7"/>
    <w:rsid w:val="53770441"/>
    <w:rsid w:val="57AD5A6C"/>
    <w:rsid w:val="706807E3"/>
    <w:rsid w:val="766B0E04"/>
    <w:rsid w:val="7CB423D9"/>
    <w:rsid w:val="7D351BF6"/>
    <w:rsid w:val="7E152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widowControl w:val="0"/>
      <w:adjustRightInd/>
      <w:snapToGrid/>
      <w:spacing w:after="0"/>
      <w:jc w:val="center"/>
    </w:pPr>
    <w:rPr>
      <w:rFonts w:ascii="Times New Roman" w:hAnsi="Times New Roman" w:eastAsia="宋体"/>
      <w:sz w:val="52"/>
      <w:szCs w:val="20"/>
    </w:rPr>
  </w:style>
  <w:style w:type="paragraph" w:styleId="3">
    <w:name w:val="Normal (Web)"/>
    <w:basedOn w:val="1"/>
    <w:next w:val="1"/>
    <w:qFormat/>
    <w:uiPriority w:val="99"/>
    <w:pPr>
      <w:adjustRightInd/>
      <w:snapToGrid/>
      <w:spacing w:before="280" w:after="280"/>
      <w:jc w:val="both"/>
    </w:pPr>
    <w:rPr>
      <w:rFonts w:ascii="宋体" w:hAnsi="Times New Roman" w:eastAsia="宋体"/>
      <w:sz w:val="24"/>
      <w:szCs w:val="20"/>
    </w:rPr>
  </w:style>
  <w:style w:type="paragraph" w:customStyle="1" w:styleId="6">
    <w:name w:val="目录样式1"/>
    <w:basedOn w:val="1"/>
    <w:qFormat/>
    <w:uiPriority w:val="0"/>
    <w:pPr>
      <w:tabs>
        <w:tab w:val="left" w:pos="9214"/>
      </w:tabs>
      <w:spacing w:line="312" w:lineRule="auto"/>
      <w:ind w:right="423"/>
      <w:jc w:val="center"/>
    </w:pPr>
    <w:rPr>
      <w:rFonts w:ascii="宋体" w:hAnsi="宋体" w:eastAsia="宋体" w:cs="宋体"/>
      <w:b/>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2020-01-09T08:06:00Z</dcterms:created>
  <dc:creator>辛</dc:creator>
  <cp:lastModifiedBy>辛</cp:lastModifiedBy>
  <dcterms:modified xsi:type="dcterms:W3CDTF">2020-01-18T08:31:43Z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