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pacing w:val="29"/>
          <w:kern w:val="1"/>
          <w:sz w:val="48"/>
          <w:szCs w:val="48"/>
          <w:lang w:eastAsia="zh-CN"/>
        </w:rPr>
      </w:pPr>
      <w:r>
        <w:rPr>
          <w:rFonts w:hint="eastAsia" w:ascii="宋体" w:hAnsi="宋体"/>
          <w:b/>
          <w:spacing w:val="29"/>
          <w:kern w:val="1"/>
          <w:sz w:val="48"/>
          <w:szCs w:val="48"/>
          <w:lang w:val="en-US" w:eastAsia="zh-CN"/>
        </w:rPr>
        <w:drawing>
          <wp:inline distT="0" distB="0" distL="114300" distR="114300">
            <wp:extent cx="6117590" cy="8637270"/>
            <wp:effectExtent l="0" t="0" r="16510" b="11430"/>
            <wp:docPr id="1" name="图片 1" descr="2007021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702120006"/>
                    <pic:cNvPicPr>
                      <a:picLocks noChangeAspect="1"/>
                    </pic:cNvPicPr>
                  </pic:nvPicPr>
                  <pic:blipFill>
                    <a:blip r:embed="rId9"/>
                    <a:stretch>
                      <a:fillRect/>
                    </a:stretch>
                  </pic:blipFill>
                  <pic:spPr>
                    <a:xfrm>
                      <a:off x="0" y="0"/>
                      <a:ext cx="6117590" cy="8637270"/>
                    </a:xfrm>
                    <a:prstGeom prst="rect">
                      <a:avLst/>
                    </a:prstGeom>
                  </pic:spPr>
                </pic:pic>
              </a:graphicData>
            </a:graphic>
          </wp:inline>
        </w:drawing>
      </w:r>
      <w:r>
        <w:rPr>
          <w:rFonts w:hint="eastAsia" w:ascii="宋体" w:hAnsi="宋体"/>
          <w:b/>
          <w:spacing w:val="29"/>
          <w:kern w:val="1"/>
          <w:sz w:val="48"/>
          <w:szCs w:val="48"/>
          <w:lang w:val="en-US" w:eastAsia="zh-CN"/>
        </w:rPr>
        <w:t xml:space="preserve"> </w:t>
      </w:r>
    </w:p>
    <w:p>
      <w:pPr>
        <w:pStyle w:val="2"/>
        <w:rPr>
          <w:rFonts w:hint="eastAsia"/>
          <w:lang w:eastAsia="zh-CN"/>
        </w:rPr>
      </w:pPr>
    </w:p>
    <w:p>
      <w:pPr>
        <w:spacing w:line="360" w:lineRule="auto"/>
        <w:jc w:val="center"/>
        <w:rPr>
          <w:rFonts w:ascii="宋体" w:hAnsi="宋体"/>
          <w:b/>
          <w:spacing w:val="29"/>
          <w:kern w:val="1"/>
          <w:sz w:val="48"/>
          <w:szCs w:val="48"/>
        </w:rPr>
      </w:pPr>
      <w:r>
        <w:rPr>
          <w:rFonts w:ascii="宋体" w:hAnsi="宋体"/>
          <w:b/>
          <w:color w:val="00FFFF"/>
          <w:spacing w:val="61"/>
          <w:kern w:val="1"/>
          <w:sz w:val="60"/>
        </w:rPr>
        <w:drawing>
          <wp:anchor distT="0" distB="0" distL="114300" distR="114300" simplePos="0" relativeHeight="251659264" behindDoc="0" locked="0" layoutInCell="0" allowOverlap="1">
            <wp:simplePos x="0" y="0"/>
            <wp:positionH relativeFrom="column">
              <wp:posOffset>-267970</wp:posOffset>
            </wp:positionH>
            <wp:positionV relativeFrom="paragraph">
              <wp:posOffset>6985</wp:posOffset>
            </wp:positionV>
            <wp:extent cx="883920" cy="1024255"/>
            <wp:effectExtent l="0" t="0" r="11430" b="4445"/>
            <wp:wrapThrough wrapText="bothSides">
              <wp:wrapPolygon>
                <wp:start x="0" y="0"/>
                <wp:lineTo x="0" y="21292"/>
                <wp:lineTo x="20948" y="21292"/>
                <wp:lineTo x="20948" y="0"/>
                <wp:lineTo x="0" y="0"/>
              </wp:wrapPolygon>
            </wp:wrapThrough>
            <wp:docPr id="3" name="图片模式95" descr="恒基标志副本2"/>
            <wp:cNvGraphicFramePr/>
            <a:graphic xmlns:a="http://schemas.openxmlformats.org/drawingml/2006/main">
              <a:graphicData uri="http://schemas.openxmlformats.org/drawingml/2006/picture">
                <pic:pic xmlns:pic="http://schemas.openxmlformats.org/drawingml/2006/picture">
                  <pic:nvPicPr>
                    <pic:cNvPr id="3" name="图片模式95" descr="恒基标志副本2"/>
                    <pic:cNvPicPr/>
                  </pic:nvPicPr>
                  <pic:blipFill>
                    <a:blip r:embed="rId10"/>
                    <a:stretch>
                      <a:fillRect/>
                    </a:stretch>
                  </pic:blipFill>
                  <pic:spPr>
                    <a:xfrm>
                      <a:off x="0" y="0"/>
                      <a:ext cx="883920" cy="1024255"/>
                    </a:xfrm>
                    <a:prstGeom prst="rect">
                      <a:avLst/>
                    </a:prstGeom>
                    <a:noFill/>
                    <a:ln w="9525">
                      <a:noFill/>
                    </a:ln>
                  </pic:spPr>
                </pic:pic>
              </a:graphicData>
            </a:graphic>
          </wp:anchor>
        </w:drawing>
      </w:r>
      <w:r>
        <w:rPr>
          <w:rFonts w:ascii="宋体" w:hAnsi="宋体"/>
          <w:b/>
          <w:spacing w:val="29"/>
          <w:kern w:val="1"/>
          <w:sz w:val="48"/>
          <w:szCs w:val="48"/>
        </w:rPr>
        <w:t>广西恒基建设工程咨询有限公司</w:t>
      </w:r>
    </w:p>
    <w:p>
      <w:pPr>
        <w:spacing w:line="336" w:lineRule="auto"/>
        <w:jc w:val="center"/>
        <w:rPr>
          <w:rFonts w:hint="eastAsia" w:ascii="宋体" w:hAnsi="宋体" w:cs="宋体"/>
          <w:sz w:val="52"/>
          <w:szCs w:val="52"/>
          <w:u w:val="single"/>
        </w:rPr>
      </w:pPr>
      <w:r>
        <w:rPr>
          <w:rFonts w:ascii="宋体" w:hAnsi="宋体"/>
          <w:b/>
          <w:spacing w:val="30"/>
          <w:kern w:val="1"/>
          <w:szCs w:val="30"/>
        </w:rPr>
        <w:t>Guangxi Hengji Construction Engineering Consult</w:t>
      </w:r>
      <w:r>
        <w:rPr>
          <w:rFonts w:hint="eastAsia" w:ascii="宋体" w:hAnsi="宋体"/>
          <w:b/>
          <w:spacing w:val="30"/>
          <w:kern w:val="1"/>
          <w:szCs w:val="30"/>
          <w:lang w:val="en-US" w:eastAsia="zh-CN"/>
        </w:rPr>
        <w:t>ing</w:t>
      </w:r>
      <w:r>
        <w:rPr>
          <w:rFonts w:ascii="宋体" w:hAnsi="宋体"/>
          <w:b/>
          <w:spacing w:val="30"/>
          <w:kern w:val="1"/>
          <w:szCs w:val="30"/>
        </w:rPr>
        <w:t xml:space="preserve"> Co.,Ltd</w:t>
      </w:r>
    </w:p>
    <w:p>
      <w:pPr>
        <w:adjustRightInd w:val="0"/>
        <w:spacing w:before="33" w:beforeLines="10" w:line="400" w:lineRule="exact"/>
        <w:rPr>
          <w:rFonts w:hint="eastAsia" w:eastAsia="华康简魏碑"/>
          <w:b/>
          <w:bCs/>
          <w:spacing w:val="80"/>
          <w:sz w:val="30"/>
        </w:rPr>
      </w:pPr>
    </w:p>
    <w:p>
      <w:pPr>
        <w:pStyle w:val="2"/>
        <w:rPr>
          <w:rFonts w:hint="eastAsia" w:ascii="楷体_GB2312" w:eastAsia="楷体_GB2312"/>
          <w:b/>
          <w:bCs/>
          <w:sz w:val="10"/>
          <w:szCs w:val="10"/>
        </w:rPr>
      </w:pPr>
    </w:p>
    <w:p>
      <w:pPr>
        <w:pStyle w:val="2"/>
        <w:rPr>
          <w:rFonts w:hint="eastAsia" w:ascii="宋体" w:hAnsi="宋体" w:eastAsia="宋体" w:cs="宋体"/>
          <w:b/>
          <w:bCs/>
          <w:sz w:val="44"/>
          <w:szCs w:val="44"/>
        </w:rPr>
      </w:pPr>
      <w:r>
        <w:drawing>
          <wp:inline distT="0" distB="0" distL="114300" distR="114300">
            <wp:extent cx="5981065" cy="40005"/>
            <wp:effectExtent l="0" t="0" r="635" b="17145"/>
            <wp:docPr id="5" name="图片 2" descr="C:\Users\DELL\AppData\Local\Temp\ksohtml\wps45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DELL\AppData\Local\Temp\ksohtml\wps450E.tmp.png"/>
                    <pic:cNvPicPr>
                      <a:picLocks noChangeAspect="1"/>
                    </pic:cNvPicPr>
                  </pic:nvPicPr>
                  <pic:blipFill>
                    <a:blip r:embed="rId11"/>
                    <a:stretch>
                      <a:fillRect/>
                    </a:stretch>
                  </pic:blipFill>
                  <pic:spPr>
                    <a:xfrm>
                      <a:off x="0" y="0"/>
                      <a:ext cx="5981065" cy="40005"/>
                    </a:xfrm>
                    <a:prstGeom prst="rect">
                      <a:avLst/>
                    </a:prstGeom>
                    <a:noFill/>
                    <a:ln w="9525">
                      <a:noFill/>
                    </a:ln>
                  </pic:spPr>
                </pic:pic>
              </a:graphicData>
            </a:graphic>
          </wp:inline>
        </w:drawing>
      </w:r>
    </w:p>
    <w:p>
      <w:pPr>
        <w:pStyle w:val="14"/>
        <w:jc w:val="center"/>
        <w:rPr>
          <w:rFonts w:hint="eastAsia" w:ascii="楷体_GB2312" w:eastAsia="楷体_GB2312"/>
          <w:b/>
          <w:bCs/>
          <w:sz w:val="72"/>
        </w:rPr>
      </w:pPr>
      <w:r>
        <w:rPr>
          <w:rFonts w:hint="eastAsia"/>
          <w:sz w:val="96"/>
          <w:szCs w:val="96"/>
        </w:rPr>
        <w:t>公开招标文件</w:t>
      </w:r>
    </w:p>
    <w:p>
      <w:pPr>
        <w:jc w:val="center"/>
        <w:rPr>
          <w:rFonts w:ascii="宋体" w:hAnsi="宋体"/>
          <w:sz w:val="48"/>
          <w:szCs w:val="48"/>
        </w:rPr>
      </w:pPr>
      <w:r>
        <w:rPr>
          <w:rFonts w:hint="eastAsia" w:ascii="宋体" w:hAnsi="宋体"/>
          <w:sz w:val="48"/>
          <w:szCs w:val="48"/>
        </w:rPr>
        <w:t>(</w:t>
      </w:r>
      <w:r>
        <w:rPr>
          <w:rFonts w:hint="eastAsia" w:ascii="宋体" w:hAnsi="宋体"/>
          <w:sz w:val="48"/>
          <w:szCs w:val="48"/>
          <w:lang w:eastAsia="zh-CN"/>
        </w:rPr>
        <w:t>货物</w:t>
      </w:r>
      <w:r>
        <w:rPr>
          <w:rFonts w:hint="eastAsia" w:ascii="宋体" w:hAnsi="宋体"/>
          <w:sz w:val="48"/>
          <w:szCs w:val="48"/>
        </w:rPr>
        <w:t>类)</w:t>
      </w:r>
    </w:p>
    <w:p>
      <w:pPr>
        <w:pStyle w:val="14"/>
        <w:rPr>
          <w:rFonts w:hint="eastAsia" w:ascii="宋体" w:hAnsi="宋体" w:eastAsia="宋体" w:cs="宋体"/>
        </w:rPr>
      </w:pPr>
    </w:p>
    <w:p>
      <w:pPr>
        <w:tabs>
          <w:tab w:val="left" w:pos="7665"/>
        </w:tabs>
        <w:rPr>
          <w:rFonts w:hint="eastAsia" w:ascii="宋体" w:hAnsi="宋体" w:cs="宋体"/>
          <w:b/>
          <w:sz w:val="36"/>
          <w:szCs w:val="36"/>
          <w:lang w:eastAsia="zh-CN"/>
        </w:rPr>
      </w:pPr>
    </w:p>
    <w:p>
      <w:pPr>
        <w:tabs>
          <w:tab w:val="left" w:pos="7665"/>
        </w:tabs>
        <w:rPr>
          <w:rFonts w:hint="eastAsia" w:ascii="宋体" w:hAnsi="宋体" w:cs="宋体"/>
          <w:b/>
          <w:sz w:val="36"/>
          <w:szCs w:val="36"/>
          <w:lang w:eastAsia="zh-CN"/>
        </w:rPr>
      </w:pPr>
    </w:p>
    <w:p>
      <w:pPr>
        <w:tabs>
          <w:tab w:val="left" w:pos="7665"/>
        </w:tabs>
        <w:rPr>
          <w:rFonts w:hint="eastAsia" w:ascii="宋体" w:hAnsi="宋体" w:eastAsia="宋体" w:cs="宋体"/>
          <w:b/>
          <w:bCs/>
          <w:sz w:val="36"/>
          <w:szCs w:val="36"/>
          <w:lang w:eastAsia="zh-CN"/>
        </w:rPr>
      </w:pPr>
      <w:r>
        <w:rPr>
          <w:rFonts w:hint="eastAsia" w:ascii="宋体" w:hAnsi="宋体" w:cs="宋体"/>
          <w:b/>
          <w:sz w:val="36"/>
          <w:szCs w:val="36"/>
          <w:lang w:eastAsia="zh-CN"/>
        </w:rPr>
        <w:t>项目名称：四害密度控制药械采购</w:t>
      </w:r>
    </w:p>
    <w:p>
      <w:pPr>
        <w:tabs>
          <w:tab w:val="left" w:pos="7922"/>
        </w:tabs>
        <w:rPr>
          <w:rFonts w:hint="eastAsia" w:ascii="宋体" w:hAnsi="宋体" w:cs="宋体"/>
          <w:b/>
          <w:sz w:val="36"/>
          <w:szCs w:val="36"/>
          <w:lang w:val="en-US" w:eastAsia="zh-CN"/>
        </w:rPr>
      </w:pPr>
      <w:r>
        <w:rPr>
          <w:rFonts w:hint="eastAsia" w:ascii="宋体" w:hAnsi="宋体" w:cs="宋体"/>
          <w:b/>
          <w:sz w:val="36"/>
          <w:szCs w:val="36"/>
          <w:lang w:eastAsia="zh-CN"/>
        </w:rPr>
        <w:t>项目编号：NNZC2020-G1-00013-HJZB</w:t>
      </w:r>
    </w:p>
    <w:p>
      <w:pPr>
        <w:pStyle w:val="2"/>
        <w:rPr>
          <w:rFonts w:hint="default" w:ascii="宋体" w:hAnsi="宋体" w:cs="宋体"/>
          <w:b/>
          <w:sz w:val="36"/>
          <w:szCs w:val="36"/>
          <w:lang w:val="en-US" w:eastAsia="zh-CN"/>
        </w:rPr>
      </w:pPr>
      <w:r>
        <w:rPr>
          <w:rFonts w:hint="eastAsia" w:ascii="宋体" w:hAnsi="宋体" w:cs="宋体"/>
          <w:b/>
          <w:sz w:val="36"/>
          <w:szCs w:val="36"/>
          <w:lang w:eastAsia="zh-CN"/>
        </w:rPr>
        <w:t>审批编号：[2020]NCCSH089/1</w:t>
      </w:r>
      <w:r>
        <w:rPr>
          <w:rFonts w:hint="eastAsia" w:ascii="宋体" w:hAnsi="宋体" w:cs="宋体"/>
          <w:b/>
          <w:sz w:val="36"/>
          <w:szCs w:val="36"/>
          <w:lang w:val="en-US" w:eastAsia="zh-CN"/>
        </w:rPr>
        <w:t xml:space="preserve">   </w:t>
      </w:r>
    </w:p>
    <w:p>
      <w:pPr>
        <w:rPr>
          <w:rFonts w:hint="eastAsia" w:ascii="宋体" w:hAnsi="宋体" w:eastAsia="宋体" w:cs="宋体"/>
          <w:b/>
          <w:sz w:val="36"/>
          <w:szCs w:val="36"/>
        </w:rPr>
      </w:pPr>
      <w:r>
        <w:drawing>
          <wp:inline distT="0" distB="0" distL="114300" distR="114300">
            <wp:extent cx="5933440" cy="40005"/>
            <wp:effectExtent l="0" t="0" r="10160" b="17145"/>
            <wp:docPr id="6" name="图片 6" descr="C:\Users\DELL\AppData\Local\Temp\ksohtml\wps450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DELL\AppData\Local\Temp\ksohtml\wps450F.tmp.png"/>
                    <pic:cNvPicPr>
                      <a:picLocks noChangeAspect="1"/>
                    </pic:cNvPicPr>
                  </pic:nvPicPr>
                  <pic:blipFill>
                    <a:blip r:embed="rId12"/>
                    <a:stretch>
                      <a:fillRect/>
                    </a:stretch>
                  </pic:blipFill>
                  <pic:spPr>
                    <a:xfrm>
                      <a:off x="0" y="0"/>
                      <a:ext cx="5933440" cy="40005"/>
                    </a:xfrm>
                    <a:prstGeom prst="rect">
                      <a:avLst/>
                    </a:prstGeom>
                    <a:noFill/>
                    <a:ln w="9525">
                      <a:noFill/>
                    </a:ln>
                  </pic:spPr>
                </pic:pic>
              </a:graphicData>
            </a:graphic>
          </wp:inline>
        </w:drawing>
      </w:r>
      <w:r>
        <w:rPr>
          <w:rFonts w:hint="eastAsia"/>
          <w:b/>
          <w:bCs/>
          <w:sz w:val="36"/>
          <w:szCs w:val="36"/>
        </w:rPr>
        <w:t xml:space="preserve"> </w:t>
      </w:r>
    </w:p>
    <w:p>
      <w:pPr>
        <w:tabs>
          <w:tab w:val="left" w:pos="7665"/>
        </w:tabs>
        <w:jc w:val="center"/>
        <w:rPr>
          <w:rFonts w:hint="eastAsia" w:ascii="宋体" w:hAnsi="宋体" w:eastAsia="宋体" w:cs="宋体"/>
          <w:b/>
          <w:sz w:val="36"/>
          <w:szCs w:val="36"/>
        </w:rPr>
      </w:pPr>
    </w:p>
    <w:p>
      <w:pPr>
        <w:tabs>
          <w:tab w:val="left" w:pos="5565"/>
          <w:tab w:val="left" w:pos="7560"/>
        </w:tabs>
        <w:rPr>
          <w:rFonts w:hint="eastAsia" w:ascii="宋体" w:hAnsi="宋体" w:eastAsia="宋体" w:cs="宋体"/>
          <w:b/>
          <w:sz w:val="36"/>
          <w:szCs w:val="36"/>
        </w:rPr>
      </w:pPr>
      <w:r>
        <w:rPr>
          <w:rFonts w:hint="eastAsia" w:ascii="宋体" w:hAnsi="宋体" w:eastAsia="宋体" w:cs="宋体"/>
          <w:b/>
          <w:sz w:val="36"/>
          <w:szCs w:val="36"/>
        </w:rPr>
        <w:t>采购人：</w:t>
      </w:r>
      <w:r>
        <w:rPr>
          <w:rFonts w:hint="eastAsia" w:ascii="宋体" w:hAnsi="宋体" w:cs="宋体"/>
          <w:b/>
          <w:bCs/>
          <w:sz w:val="36"/>
          <w:szCs w:val="36"/>
        </w:rPr>
        <w:t>南宁市卫生健康委员会</w:t>
      </w:r>
    </w:p>
    <w:p>
      <w:pPr>
        <w:tabs>
          <w:tab w:val="left" w:pos="5565"/>
          <w:tab w:val="left" w:pos="7560"/>
        </w:tabs>
        <w:rPr>
          <w:rFonts w:hint="eastAsia" w:ascii="宋体" w:hAnsi="宋体" w:eastAsia="宋体" w:cs="宋体"/>
          <w:b/>
          <w:color w:val="FF0000"/>
          <w:sz w:val="36"/>
          <w:szCs w:val="36"/>
          <w:lang w:eastAsia="zh-CN"/>
        </w:rPr>
      </w:pPr>
      <w:r>
        <w:rPr>
          <w:rFonts w:hint="eastAsia" w:ascii="宋体" w:hAnsi="宋体" w:cs="宋体"/>
          <w:b/>
          <w:sz w:val="36"/>
          <w:szCs w:val="36"/>
          <w:lang w:eastAsia="zh-CN"/>
        </w:rPr>
        <w:t>采购代理机构：广西恒基建设工程咨询有限公司</w:t>
      </w:r>
    </w:p>
    <w:p>
      <w:pPr>
        <w:jc w:val="center"/>
        <w:rPr>
          <w:rFonts w:hint="eastAsia" w:ascii="宋体" w:hAnsi="宋体" w:eastAsia="宋体" w:cs="宋体"/>
          <w:b/>
          <w:sz w:val="36"/>
          <w:szCs w:val="36"/>
        </w:rPr>
      </w:pPr>
    </w:p>
    <w:p>
      <w:pPr>
        <w:tabs>
          <w:tab w:val="left" w:pos="7665"/>
        </w:tabs>
        <w:jc w:val="center"/>
        <w:rPr>
          <w:rFonts w:hint="eastAsia" w:ascii="宋体" w:hAnsi="宋体" w:eastAsia="宋体" w:cs="宋体"/>
          <w:b/>
          <w:sz w:val="48"/>
          <w:szCs w:val="48"/>
        </w:rPr>
        <w:sectPr>
          <w:headerReference r:id="rId4" w:type="first"/>
          <w:headerReference r:id="rId3" w:type="default"/>
          <w:footerReference r:id="rId5" w:type="default"/>
          <w:pgSz w:w="11906" w:h="16838"/>
          <w:pgMar w:top="1134" w:right="1134" w:bottom="1134" w:left="1134" w:header="720" w:footer="720" w:gutter="0"/>
          <w:pgNumType w:start="0"/>
          <w:cols w:space="720" w:num="1"/>
          <w:titlePg/>
          <w:docGrid w:type="lines" w:linePitch="331" w:charSpace="0"/>
        </w:sectPr>
      </w:pPr>
      <w:r>
        <w:rPr>
          <w:rFonts w:hint="eastAsia" w:ascii="宋体" w:hAnsi="宋体" w:cs="宋体"/>
          <w:b/>
          <w:sz w:val="36"/>
          <w:szCs w:val="36"/>
          <w:lang w:val="en-US" w:eastAsia="zh-CN"/>
        </w:rPr>
        <w:t>2020年7月</w:t>
      </w:r>
      <w:r>
        <w:rPr>
          <w:rFonts w:hint="eastAsia" w:ascii="宋体" w:hAnsi="宋体" w:cs="华康简魏碑"/>
          <w:b/>
          <w:spacing w:val="80"/>
          <w:sz w:val="70"/>
          <w:szCs w:val="70"/>
          <w:lang w:val="en-US" w:eastAsia="zh-CN" w:bidi="ar"/>
        </w:rPr>
        <w:t xml:space="preserve">              </w:t>
      </w:r>
    </w:p>
    <w:p>
      <w:pPr>
        <w:spacing w:line="440" w:lineRule="exact"/>
        <w:ind w:firstLine="643" w:firstLineChars="200"/>
        <w:jc w:val="center"/>
        <w:rPr>
          <w:rFonts w:hint="eastAsia" w:ascii="宋体" w:hAnsi="宋体" w:eastAsia="宋体" w:cs="宋体"/>
          <w:b/>
          <w:bCs/>
          <w:color w:val="000000" w:themeColor="text1"/>
          <w:sz w:val="32"/>
          <w:szCs w:val="32"/>
          <w14:textFill>
            <w14:solidFill>
              <w14:schemeClr w14:val="tx1"/>
            </w14:solidFill>
          </w14:textFill>
        </w:rPr>
      </w:pPr>
      <w:bookmarkStart w:id="0" w:name="_Toc139967210"/>
      <w:bookmarkStart w:id="1" w:name="_Toc139966426"/>
      <w:r>
        <w:rPr>
          <w:rFonts w:hint="eastAsia" w:ascii="宋体" w:hAnsi="宋体" w:eastAsia="宋体" w:cs="宋体"/>
          <w:b/>
          <w:bCs/>
          <w:color w:val="000000" w:themeColor="text1"/>
          <w:sz w:val="32"/>
          <w:szCs w:val="32"/>
          <w14:textFill>
            <w14:solidFill>
              <w14:schemeClr w14:val="tx1"/>
            </w14:solidFill>
          </w14:textFill>
        </w:rPr>
        <w:t>关于投标文件邮寄形式的通知</w:t>
      </w:r>
    </w:p>
    <w:p>
      <w:pPr>
        <w:spacing w:line="440" w:lineRule="exact"/>
        <w:ind w:firstLine="480" w:firstLineChars="200"/>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（一）本项目投标截止（开标）时间为：</w:t>
      </w:r>
      <w:r>
        <w:rPr>
          <w:rFonts w:hint="eastAsia" w:ascii="宋体" w:hAnsi="宋体" w:eastAsia="宋体"/>
          <w:b/>
          <w:bCs/>
          <w:color w:val="000000" w:themeColor="text1"/>
          <w:sz w:val="24"/>
          <w:szCs w:val="24"/>
          <w:highlight w:val="none"/>
          <w14:textFill>
            <w14:solidFill>
              <w14:schemeClr w14:val="tx1"/>
            </w14:solidFill>
          </w14:textFill>
        </w:rPr>
        <w:t>2020年</w:t>
      </w:r>
      <w:r>
        <w:rPr>
          <w:rFonts w:hint="eastAsia" w:ascii="宋体" w:hAnsi="宋体"/>
          <w:b/>
          <w:bCs/>
          <w:color w:val="000000" w:themeColor="text1"/>
          <w:sz w:val="24"/>
          <w:szCs w:val="24"/>
          <w:highlight w:val="none"/>
          <w:lang w:val="en-US" w:eastAsia="zh-CN"/>
          <w14:textFill>
            <w14:solidFill>
              <w14:schemeClr w14:val="tx1"/>
            </w14:solidFill>
          </w14:textFill>
        </w:rPr>
        <w:t>7</w:t>
      </w:r>
      <w:r>
        <w:rPr>
          <w:rFonts w:hint="eastAsia" w:ascii="宋体" w:hAnsi="宋体" w:eastAsia="宋体"/>
          <w:b/>
          <w:bCs/>
          <w:color w:val="000000" w:themeColor="text1"/>
          <w:sz w:val="24"/>
          <w:szCs w:val="24"/>
          <w:highlight w:val="none"/>
          <w14:textFill>
            <w14:solidFill>
              <w14:schemeClr w14:val="tx1"/>
            </w14:solidFill>
          </w14:textFill>
        </w:rPr>
        <w:t>月</w:t>
      </w:r>
      <w:r>
        <w:rPr>
          <w:rFonts w:hint="eastAsia" w:ascii="宋体" w:hAnsi="宋体"/>
          <w:b/>
          <w:bCs/>
          <w:color w:val="000000" w:themeColor="text1"/>
          <w:sz w:val="24"/>
          <w:szCs w:val="24"/>
          <w:highlight w:val="none"/>
          <w:lang w:val="en-US" w:eastAsia="zh-CN"/>
          <w14:textFill>
            <w14:solidFill>
              <w14:schemeClr w14:val="tx1"/>
            </w14:solidFill>
          </w14:textFill>
        </w:rPr>
        <w:t>23</w:t>
      </w:r>
      <w:r>
        <w:rPr>
          <w:rFonts w:hint="eastAsia" w:ascii="宋体" w:hAnsi="宋体" w:eastAsia="宋体"/>
          <w:b/>
          <w:bCs/>
          <w:color w:val="000000" w:themeColor="text1"/>
          <w:sz w:val="24"/>
          <w:szCs w:val="24"/>
          <w:highlight w:val="none"/>
          <w14:textFill>
            <w14:solidFill>
              <w14:schemeClr w14:val="tx1"/>
            </w14:solidFill>
          </w14:textFill>
        </w:rPr>
        <w:t>日09时30分。</w:t>
      </w:r>
    </w:p>
    <w:p>
      <w:pPr>
        <w:spacing w:line="440" w:lineRule="exact"/>
        <w:ind w:firstLine="482" w:firstLineChars="2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（二）本项目的投标文件通过邮寄快递的方式送达。</w:t>
      </w:r>
    </w:p>
    <w:p>
      <w:pPr>
        <w:spacing w:line="440" w:lineRule="exact"/>
        <w:ind w:firstLine="723" w:firstLineChars="3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1、接收邮寄快递包裹的时间为工作日上午9：00～12：00，下午</w:t>
      </w:r>
      <w:r>
        <w:rPr>
          <w:rFonts w:hint="eastAsia" w:ascii="宋体" w:hAnsi="宋体"/>
          <w:b/>
          <w:color w:val="000000" w:themeColor="text1"/>
          <w:sz w:val="24"/>
          <w:szCs w:val="24"/>
          <w:lang w:val="en-US" w:eastAsia="zh-CN"/>
          <w14:textFill>
            <w14:solidFill>
              <w14:schemeClr w14:val="tx1"/>
            </w14:solidFill>
          </w14:textFill>
        </w:rPr>
        <w:t>14</w:t>
      </w:r>
      <w:r>
        <w:rPr>
          <w:rFonts w:hint="eastAsia" w:ascii="宋体" w:hAnsi="宋体" w:eastAsia="宋体"/>
          <w:b/>
          <w:color w:val="000000" w:themeColor="text1"/>
          <w:sz w:val="24"/>
          <w:szCs w:val="24"/>
          <w14:textFill>
            <w14:solidFill>
              <w14:schemeClr w14:val="tx1"/>
            </w14:solidFill>
          </w14:textFill>
        </w:rPr>
        <w:t>：</w:t>
      </w:r>
      <w:r>
        <w:rPr>
          <w:rFonts w:hint="eastAsia" w:ascii="宋体" w:hAnsi="宋体"/>
          <w:b/>
          <w:color w:val="000000" w:themeColor="text1"/>
          <w:sz w:val="24"/>
          <w:szCs w:val="24"/>
          <w:lang w:val="en-US" w:eastAsia="zh-CN"/>
          <w14:textFill>
            <w14:solidFill>
              <w14:schemeClr w14:val="tx1"/>
            </w14:solidFill>
          </w14:textFill>
        </w:rPr>
        <w:t>30</w:t>
      </w:r>
      <w:r>
        <w:rPr>
          <w:rFonts w:hint="eastAsia" w:ascii="宋体" w:hAnsi="宋体" w:eastAsia="宋体"/>
          <w:b/>
          <w:color w:val="000000" w:themeColor="text1"/>
          <w:sz w:val="24"/>
          <w:szCs w:val="24"/>
          <w14:textFill>
            <w14:solidFill>
              <w14:schemeClr w14:val="tx1"/>
            </w14:solidFill>
          </w14:textFill>
        </w:rPr>
        <w:t>～1</w:t>
      </w:r>
      <w:r>
        <w:rPr>
          <w:rFonts w:hint="eastAsia" w:ascii="宋体" w:hAnsi="宋体"/>
          <w:b/>
          <w:color w:val="000000" w:themeColor="text1"/>
          <w:sz w:val="24"/>
          <w:szCs w:val="24"/>
          <w:lang w:val="en-US" w:eastAsia="zh-CN"/>
          <w14:textFill>
            <w14:solidFill>
              <w14:schemeClr w14:val="tx1"/>
            </w14:solidFill>
          </w14:textFill>
        </w:rPr>
        <w:t>7</w:t>
      </w:r>
      <w:r>
        <w:rPr>
          <w:rFonts w:hint="eastAsia" w:ascii="宋体" w:hAnsi="宋体" w:eastAsia="宋体"/>
          <w:b/>
          <w:color w:val="000000" w:themeColor="text1"/>
          <w:sz w:val="24"/>
          <w:szCs w:val="24"/>
          <w14:textFill>
            <w14:solidFill>
              <w14:schemeClr w14:val="tx1"/>
            </w14:solidFill>
          </w14:textFill>
        </w:rPr>
        <w:t>:</w:t>
      </w:r>
      <w:r>
        <w:rPr>
          <w:rFonts w:hint="eastAsia" w:ascii="宋体" w:hAnsi="宋体"/>
          <w:b/>
          <w:color w:val="000000" w:themeColor="text1"/>
          <w:sz w:val="24"/>
          <w:szCs w:val="24"/>
          <w:lang w:val="en-US" w:eastAsia="zh-CN"/>
          <w14:textFill>
            <w14:solidFill>
              <w14:schemeClr w14:val="tx1"/>
            </w14:solidFill>
          </w14:textFill>
        </w:rPr>
        <w:t>3</w:t>
      </w:r>
      <w:r>
        <w:rPr>
          <w:rFonts w:hint="eastAsia" w:ascii="宋体" w:hAnsi="宋体" w:eastAsia="宋体"/>
          <w:b/>
          <w:color w:val="000000" w:themeColor="text1"/>
          <w:sz w:val="24"/>
          <w:szCs w:val="24"/>
          <w14:textFill>
            <w14:solidFill>
              <w14:schemeClr w14:val="tx1"/>
            </w14:solidFill>
          </w14:textFill>
        </w:rPr>
        <w:t>0，投标人应对自己的投标文件的快递包封和密封性负责，如送达的快递包裹出现破损导致投标文件密封性包封破损的，后果由投标人自行承担。</w:t>
      </w:r>
    </w:p>
    <w:p>
      <w:pPr>
        <w:spacing w:line="440" w:lineRule="exact"/>
        <w:ind w:firstLine="720" w:firstLineChars="3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b/>
          <w:bCs/>
          <w:color w:val="000000" w:themeColor="text1"/>
          <w:sz w:val="24"/>
          <w:szCs w:val="24"/>
          <w14:textFill>
            <w14:solidFill>
              <w14:schemeClr w14:val="tx1"/>
            </w14:solidFill>
          </w14:textFill>
        </w:rPr>
        <w:t>投标文件必须在投标截止时间前</w:t>
      </w:r>
      <w:r>
        <w:rPr>
          <w:rFonts w:hint="eastAsia" w:ascii="宋体" w:hAnsi="宋体" w:eastAsia="宋体"/>
          <w:b/>
          <w:bCs/>
          <w:color w:val="000000" w:themeColor="text1"/>
          <w:sz w:val="24"/>
          <w:szCs w:val="24"/>
          <w:lang w:val="en-US" w:eastAsia="zh-CN"/>
          <w14:textFill>
            <w14:solidFill>
              <w14:schemeClr w14:val="tx1"/>
            </w14:solidFill>
          </w14:textFill>
        </w:rPr>
        <w:t>一小时</w:t>
      </w:r>
      <w:r>
        <w:rPr>
          <w:rFonts w:hint="eastAsia" w:ascii="宋体" w:hAnsi="宋体" w:eastAsia="宋体"/>
          <w:b/>
          <w:bCs/>
          <w:color w:val="000000" w:themeColor="text1"/>
          <w:sz w:val="24"/>
          <w:szCs w:val="24"/>
          <w:lang w:eastAsia="zh-CN"/>
          <w14:textFill>
            <w14:solidFill>
              <w14:schemeClr w14:val="tx1"/>
            </w14:solidFill>
          </w14:textFill>
        </w:rPr>
        <w:t>（</w:t>
      </w:r>
      <w:r>
        <w:rPr>
          <w:rFonts w:hint="eastAsia" w:ascii="宋体" w:hAnsi="宋体" w:eastAsia="宋体"/>
          <w:b/>
          <w:bCs/>
          <w:color w:val="000000" w:themeColor="text1"/>
          <w:sz w:val="24"/>
          <w:szCs w:val="24"/>
          <w:lang w:val="en-US" w:eastAsia="zh-CN"/>
          <w14:textFill>
            <w14:solidFill>
              <w14:schemeClr w14:val="tx1"/>
            </w14:solidFill>
          </w14:textFill>
        </w:rPr>
        <w:t>即08时30分</w:t>
      </w:r>
      <w:r>
        <w:rPr>
          <w:rFonts w:hint="eastAsia" w:ascii="宋体" w:hAnsi="宋体" w:eastAsia="宋体"/>
          <w:b/>
          <w:bCs/>
          <w:color w:val="000000" w:themeColor="text1"/>
          <w:sz w:val="24"/>
          <w:szCs w:val="24"/>
          <w:lang w:eastAsia="zh-CN"/>
          <w14:textFill>
            <w14:solidFill>
              <w14:schemeClr w14:val="tx1"/>
            </w14:solidFill>
          </w14:textFill>
        </w:rPr>
        <w:t>）</w:t>
      </w:r>
      <w:r>
        <w:rPr>
          <w:rFonts w:hint="eastAsia" w:ascii="宋体" w:hAnsi="宋体" w:eastAsia="宋体"/>
          <w:b/>
          <w:bCs/>
          <w:color w:val="000000" w:themeColor="text1"/>
          <w:sz w:val="24"/>
          <w:szCs w:val="24"/>
          <w14:textFill>
            <w14:solidFill>
              <w14:schemeClr w14:val="tx1"/>
            </w14:solidFill>
          </w14:textFill>
        </w:rPr>
        <w:t>送达。</w:t>
      </w:r>
      <w:r>
        <w:rPr>
          <w:rFonts w:hint="eastAsia" w:ascii="宋体" w:hAnsi="宋体" w:eastAsia="宋体"/>
          <w:color w:val="000000" w:themeColor="text1"/>
          <w:sz w:val="24"/>
          <w:szCs w:val="24"/>
          <w14:textFill>
            <w14:solidFill>
              <w14:schemeClr w14:val="tx1"/>
            </w14:solidFill>
          </w14:textFill>
        </w:rPr>
        <w:t>采购代理机构工作人员签收邮寄包裹的时间即为投标人投标文件的送达时间，逾期送达的投标文件无效，后果由投标人自行承担。</w:t>
      </w:r>
    </w:p>
    <w:p>
      <w:pPr>
        <w:spacing w:line="440" w:lineRule="exact"/>
        <w:ind w:firstLine="720" w:firstLineChars="3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w:t>
      </w:r>
      <w:r>
        <w:rPr>
          <w:rFonts w:ascii="宋体" w:hAnsi="宋体" w:eastAsia="宋体"/>
          <w:color w:val="000000" w:themeColor="text1"/>
          <w:sz w:val="24"/>
          <w:szCs w:val="24"/>
          <w14:textFill>
            <w14:solidFill>
              <w14:schemeClr w14:val="tx1"/>
            </w14:solidFill>
          </w14:textFill>
        </w:rPr>
        <w:t>投标人应充分预留投标文件邮寄、送达所需要的时间。为确保疫情防控期间邮寄包裹能及时送达，</w:t>
      </w:r>
      <w:r>
        <w:rPr>
          <w:rFonts w:ascii="宋体" w:hAnsi="宋体" w:eastAsia="宋体"/>
          <w:b/>
          <w:color w:val="000000" w:themeColor="text1"/>
          <w:sz w:val="24"/>
          <w:szCs w:val="24"/>
          <w14:textFill>
            <w14:solidFill>
              <w14:schemeClr w14:val="tx1"/>
            </w14:solidFill>
          </w14:textFill>
        </w:rPr>
        <w:t>应选择邮寄运送时间有保障的快递公司寄送投标文件。</w:t>
      </w:r>
    </w:p>
    <w:p>
      <w:pPr>
        <w:spacing w:line="440" w:lineRule="exact"/>
        <w:ind w:firstLine="720" w:firstLineChars="3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投标人在按照</w:t>
      </w:r>
      <w:r>
        <w:rPr>
          <w:rFonts w:ascii="宋体" w:hAnsi="宋体" w:eastAsia="宋体"/>
          <w:b/>
          <w:color w:val="000000" w:themeColor="text1"/>
          <w:sz w:val="24"/>
          <w:szCs w:val="24"/>
          <w14:textFill>
            <w14:solidFill>
              <w14:schemeClr w14:val="tx1"/>
            </w14:solidFill>
          </w14:textFill>
        </w:rPr>
        <w:t>招标文件的要求</w:t>
      </w:r>
      <w:r>
        <w:rPr>
          <w:rFonts w:ascii="宋体" w:hAnsi="宋体" w:eastAsia="宋体"/>
          <w:color w:val="000000" w:themeColor="text1"/>
          <w:sz w:val="24"/>
          <w:szCs w:val="24"/>
          <w14:textFill>
            <w14:solidFill>
              <w14:schemeClr w14:val="tx1"/>
            </w14:solidFill>
          </w14:textFill>
        </w:rPr>
        <w:t>装订、密封好投标文件后，应使用不透明、防水的邮寄袋（或箱）再次包裹已密封好的投标文件，并在邮寄袋（或箱）上粘牢注明项目名称、项目编号、</w:t>
      </w:r>
      <w:r>
        <w:rPr>
          <w:rFonts w:hint="eastAsia" w:ascii="宋体" w:hAnsi="宋体" w:eastAsia="宋体"/>
          <w:color w:val="000000" w:themeColor="text1"/>
          <w:sz w:val="24"/>
          <w:szCs w:val="24"/>
          <w14:textFill>
            <w14:solidFill>
              <w14:schemeClr w14:val="tx1"/>
            </w14:solidFill>
          </w14:textFill>
        </w:rPr>
        <w:t>项目开标日期、</w:t>
      </w:r>
      <w:r>
        <w:rPr>
          <w:rFonts w:ascii="宋体" w:hAnsi="宋体" w:eastAsia="宋体"/>
          <w:color w:val="000000" w:themeColor="text1"/>
          <w:sz w:val="24"/>
          <w:szCs w:val="24"/>
          <w14:textFill>
            <w14:solidFill>
              <w14:schemeClr w14:val="tx1"/>
            </w14:solidFill>
          </w14:textFill>
        </w:rPr>
        <w:t>有效的电子邮箱等内容的纸质表格</w:t>
      </w:r>
      <w:r>
        <w:rPr>
          <w:rFonts w:ascii="宋体" w:hAnsi="宋体" w:eastAsia="宋体"/>
          <w:b/>
          <w:color w:val="000000" w:themeColor="text1"/>
          <w:sz w:val="24"/>
          <w:szCs w:val="24"/>
          <w14:textFill>
            <w14:solidFill>
              <w14:schemeClr w14:val="tx1"/>
            </w14:solidFill>
          </w14:textFill>
        </w:rPr>
        <w:t>（表格格式详见附件）</w:t>
      </w:r>
      <w:r>
        <w:rPr>
          <w:rFonts w:ascii="宋体" w:hAnsi="宋体" w:eastAsia="宋体"/>
          <w:color w:val="000000" w:themeColor="text1"/>
          <w:sz w:val="24"/>
          <w:szCs w:val="24"/>
          <w14:textFill>
            <w14:solidFill>
              <w14:schemeClr w14:val="tx1"/>
            </w14:solidFill>
          </w14:textFill>
        </w:rPr>
        <w:t>。</w:t>
      </w:r>
    </w:p>
    <w:p>
      <w:pPr>
        <w:spacing w:line="440" w:lineRule="exact"/>
        <w:ind w:firstLine="723" w:firstLineChars="300"/>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5、</w:t>
      </w:r>
      <w:r>
        <w:rPr>
          <w:rFonts w:ascii="宋体" w:hAnsi="宋体" w:eastAsia="宋体"/>
          <w:b/>
          <w:color w:val="000000" w:themeColor="text1"/>
          <w:sz w:val="24"/>
          <w:szCs w:val="24"/>
          <w14:textFill>
            <w14:solidFill>
              <w14:schemeClr w14:val="tx1"/>
            </w14:solidFill>
          </w14:textFill>
        </w:rPr>
        <w:t>采购代理机构在收到投标文件的邮寄包裹后，第一时间按照投标人在邮寄包裹上所预留的电子邮箱告知</w:t>
      </w:r>
      <w:r>
        <w:rPr>
          <w:rFonts w:hint="eastAsia" w:ascii="宋体" w:hAnsi="宋体" w:eastAsia="宋体"/>
          <w:b/>
          <w:color w:val="000000" w:themeColor="text1"/>
          <w:sz w:val="24"/>
          <w:szCs w:val="24"/>
          <w14:textFill>
            <w14:solidFill>
              <w14:schemeClr w14:val="tx1"/>
            </w14:solidFill>
          </w14:textFill>
        </w:rPr>
        <w:t>投标</w:t>
      </w:r>
      <w:r>
        <w:rPr>
          <w:rFonts w:ascii="宋体" w:hAnsi="宋体" w:eastAsia="宋体"/>
          <w:b/>
          <w:color w:val="000000" w:themeColor="text1"/>
          <w:sz w:val="24"/>
          <w:szCs w:val="24"/>
          <w14:textFill>
            <w14:solidFill>
              <w14:schemeClr w14:val="tx1"/>
            </w14:solidFill>
          </w14:textFill>
        </w:rPr>
        <w:t>文件收件情况，请投标人务必确保所预留的电子邮箱的有效性，并注意查收邮件。</w:t>
      </w:r>
    </w:p>
    <w:p>
      <w:pPr>
        <w:spacing w:line="440" w:lineRule="exact"/>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6、</w:t>
      </w:r>
      <w:r>
        <w:rPr>
          <w:rFonts w:ascii="宋体" w:hAnsi="宋体" w:eastAsia="宋体"/>
          <w:color w:val="000000" w:themeColor="text1"/>
          <w:sz w:val="24"/>
          <w:szCs w:val="24"/>
          <w14:textFill>
            <w14:solidFill>
              <w14:schemeClr w14:val="tx1"/>
            </w14:solidFill>
          </w14:textFill>
        </w:rPr>
        <w:t>投标文件邮寄地址：</w:t>
      </w:r>
      <w:r>
        <w:rPr>
          <w:rFonts w:hint="eastAsia" w:ascii="宋体" w:hAnsi="宋体" w:eastAsia="宋体"/>
          <w:color w:val="000000" w:themeColor="text1"/>
          <w:sz w:val="24"/>
          <w:szCs w:val="24"/>
          <w14:textFill>
            <w14:solidFill>
              <w14:schemeClr w14:val="tx1"/>
            </w14:solidFill>
          </w14:textFill>
        </w:rPr>
        <w:t>南宁市青秀区云景路69号南宁市轨道交通运营控制中心B楼14层。</w:t>
      </w:r>
    </w:p>
    <w:p>
      <w:pPr>
        <w:spacing w:line="440" w:lineRule="exact"/>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收件人：廖欣蕾   </w:t>
      </w:r>
      <w:r>
        <w:rPr>
          <w:rFonts w:hint="eastAsia" w:ascii="宋体" w:hAnsi="宋体" w:eastAsia="宋体"/>
          <w:color w:val="000000" w:themeColor="text1"/>
          <w:sz w:val="24"/>
          <w:szCs w:val="24"/>
          <w:lang w:val="en-US" w:eastAsia="zh-CN"/>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 xml:space="preserve"> 联系电话：0771-2756880 </w:t>
      </w:r>
    </w:p>
    <w:p>
      <w:pPr>
        <w:spacing w:line="440" w:lineRule="exact"/>
        <w:ind w:firstLine="480"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（三）</w:t>
      </w:r>
      <w:r>
        <w:rPr>
          <w:rFonts w:hint="eastAsia" w:ascii="宋体" w:hAnsi="宋体" w:eastAsia="宋体"/>
          <w:b/>
          <w:color w:val="000000" w:themeColor="text1"/>
          <w:sz w:val="24"/>
          <w:szCs w:val="24"/>
          <w14:textFill>
            <w14:solidFill>
              <w14:schemeClr w14:val="tx1"/>
            </w14:solidFill>
          </w14:textFill>
        </w:rPr>
        <w:t>投标人不参加现场开标活动。</w:t>
      </w:r>
      <w:r>
        <w:rPr>
          <w:rFonts w:hint="eastAsia" w:ascii="宋体" w:hAnsi="宋体" w:eastAsia="宋体"/>
          <w:color w:val="000000" w:themeColor="text1"/>
          <w:sz w:val="24"/>
          <w:szCs w:val="24"/>
          <w14:textFill>
            <w14:solidFill>
              <w14:schemeClr w14:val="tx1"/>
            </w14:solidFill>
          </w14:textFill>
        </w:rPr>
        <w:t>取消招标文件“第四章投标人须知”中</w:t>
      </w:r>
      <w:r>
        <w:rPr>
          <w:rFonts w:hint="eastAsia" w:ascii="宋体" w:hAnsi="宋体" w:eastAsia="宋体"/>
          <w:color w:val="000000" w:themeColor="text1"/>
          <w:sz w:val="24"/>
          <w:szCs w:val="24"/>
          <w:lang w:val="en-US" w:eastAsia="zh-CN"/>
          <w14:textFill>
            <w14:solidFill>
              <w14:schemeClr w14:val="tx1"/>
            </w14:solidFill>
          </w14:textFill>
        </w:rPr>
        <w:t>“15 开标中的15.3  开标程序”</w:t>
      </w:r>
      <w:r>
        <w:rPr>
          <w:rFonts w:hint="eastAsia" w:ascii="宋体" w:hAnsi="宋体" w:eastAsia="宋体"/>
          <w:color w:val="000000" w:themeColor="text1"/>
          <w:sz w:val="24"/>
          <w:szCs w:val="24"/>
          <w14:textFill>
            <w14:solidFill>
              <w14:schemeClr w14:val="tx1"/>
            </w14:solidFill>
          </w14:textFill>
        </w:rPr>
        <w:t>的所有内容。</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（四）投标文件拆封及密封性检查。</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截标后，采购代理机构工作人员在公共资源交易中心工作人员和采购人的见证下拆开投标文件包封，采购人对投标文件密封性和投标文件正副本数量进行签字确认。</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（五）关于投标人的报价。</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由采购代理机构在投标文件商务技术符合性审查结束后，根据投标人的投标报价情况填写开标记录表，交由评标委员会对投标人的报价、服务时限等内容进行签字确认。</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（六）关于投标文件澄清的有关要求</w:t>
      </w:r>
    </w:p>
    <w:p>
      <w:pPr>
        <w:spacing w:line="440" w:lineRule="exact"/>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联系方式一定要提供至少一个手机号码）；落款处的“电子邮箱”请预留法定代表人或委托代理人的电子邮箱号。</w:t>
      </w:r>
    </w:p>
    <w:p>
      <w:pPr>
        <w:spacing w:line="440" w:lineRule="exact"/>
        <w:ind w:firstLine="480"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w:t>
      </w:r>
      <w:r>
        <w:rPr>
          <w:rFonts w:hint="eastAsia" w:ascii="宋体" w:hAnsi="宋体" w:eastAsia="宋体"/>
          <w:b/>
          <w:color w:val="000000" w:themeColor="text1"/>
          <w:sz w:val="24"/>
          <w:szCs w:val="24"/>
          <w14:textFill>
            <w14:solidFill>
              <w14:schemeClr w14:val="tx1"/>
            </w14:solidFill>
          </w14:textFill>
        </w:rPr>
        <w:t>开标当天投标人务必保持电话畅通。</w:t>
      </w:r>
      <w:r>
        <w:rPr>
          <w:rFonts w:hint="eastAsia" w:ascii="宋体" w:hAnsi="宋体" w:eastAsia="宋体"/>
          <w:color w:val="000000" w:themeColor="text1"/>
          <w:sz w:val="24"/>
          <w:szCs w:val="24"/>
          <w14:textFill>
            <w14:solidFill>
              <w14:schemeClr w14:val="tx1"/>
            </w14:solidFill>
          </w14:textFill>
        </w:rPr>
        <w:t>如果评标过程中需要投标人对投标文件作出澄清、说明或者补正的，评标委员会会通知投标人在规定的时间内通过电子邮件、传真等方式提交。</w:t>
      </w:r>
      <w:r>
        <w:rPr>
          <w:rFonts w:hint="eastAsia" w:ascii="宋体" w:hAnsi="宋体" w:eastAsia="宋体"/>
          <w:b/>
          <w:color w:val="000000" w:themeColor="text1"/>
          <w:sz w:val="24"/>
          <w:szCs w:val="24"/>
          <w14:textFill>
            <w14:solidFill>
              <w14:schemeClr w14:val="tx1"/>
            </w14:solidFill>
          </w14:textFill>
        </w:rPr>
        <w:t>投标人所提交的澄清、说明或者补正等材料必须加盖投标人的公章确认。</w:t>
      </w:r>
    </w:p>
    <w:p>
      <w:pPr>
        <w:spacing w:line="440" w:lineRule="exact"/>
        <w:ind w:firstLine="482" w:firstLineChars="20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（七）请按通知内容执行，招标文件其余内容不变。</w:t>
      </w:r>
    </w:p>
    <w:p>
      <w:pPr>
        <w:pStyle w:val="97"/>
        <w:spacing w:line="601" w:lineRule="atLeast"/>
        <w:ind w:firstLine="482"/>
        <w:rPr>
          <w:rFonts w:hint="eastAsia"/>
          <w:color w:val="000000" w:themeColor="text1"/>
          <w14:textFill>
            <w14:solidFill>
              <w14:schemeClr w14:val="tx1"/>
            </w14:solidFill>
          </w14:textFill>
        </w:rPr>
      </w:pPr>
      <w:r>
        <w:rPr>
          <w:color w:val="000000" w:themeColor="text1"/>
          <w14:textFill>
            <w14:solidFill>
              <w14:schemeClr w14:val="tx1"/>
            </w14:solidFill>
          </w14:textFill>
        </w:rPr>
        <w:t>特此通知。</w:t>
      </w:r>
    </w:p>
    <w:p>
      <w:pPr>
        <w:spacing w:line="440" w:lineRule="exact"/>
        <w:ind w:firstLine="4440" w:firstLineChars="1850"/>
        <w:rPr>
          <w:rFonts w:hint="eastAsia" w:ascii="宋体" w:hAnsi="宋体" w:eastAsia="宋体" w:cs="宋体"/>
          <w:color w:val="000000" w:themeColor="text1"/>
          <w:sz w:val="24"/>
          <w14:textFill>
            <w14:solidFill>
              <w14:schemeClr w14:val="tx1"/>
            </w14:solidFill>
          </w14:textFill>
        </w:rPr>
      </w:pPr>
    </w:p>
    <w:p>
      <w:pPr>
        <w:spacing w:line="440" w:lineRule="exact"/>
        <w:ind w:firstLine="4440" w:firstLineChars="185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采购代理机构：广西恒基建设工程咨询有限公司</w:t>
      </w:r>
    </w:p>
    <w:p>
      <w:pPr>
        <w:spacing w:line="276" w:lineRule="auto"/>
        <w:ind w:firstLine="5520" w:firstLineChars="2300"/>
        <w:rPr>
          <w:rFonts w:hint="eastAsia" w:ascii="宋体" w:hAnsi="宋体" w:eastAsia="宋体" w:cs="宋体"/>
          <w:color w:val="auto"/>
          <w:sz w:val="24"/>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auto"/>
          <w:sz w:val="24"/>
        </w:rPr>
        <w:t>2020年</w:t>
      </w:r>
      <w:r>
        <w:rPr>
          <w:rFonts w:hint="eastAsia" w:ascii="宋体" w:hAnsi="宋体" w:cs="宋体"/>
          <w:color w:val="auto"/>
          <w:sz w:val="24"/>
          <w:lang w:val="en-US" w:eastAsia="zh-CN"/>
        </w:rPr>
        <w:t>7</w:t>
      </w:r>
      <w:r>
        <w:rPr>
          <w:rFonts w:hint="eastAsia" w:ascii="宋体" w:hAnsi="宋体" w:eastAsia="宋体" w:cs="宋体"/>
          <w:color w:val="auto"/>
          <w:sz w:val="24"/>
        </w:rPr>
        <w:t>月</w:t>
      </w:r>
      <w:r>
        <w:rPr>
          <w:rFonts w:hint="eastAsia" w:ascii="宋体" w:hAnsi="宋体" w:cs="宋体"/>
          <w:color w:val="auto"/>
          <w:sz w:val="24"/>
          <w:lang w:val="en-US" w:eastAsia="zh-CN"/>
        </w:rPr>
        <w:t>2</w:t>
      </w:r>
      <w:r>
        <w:rPr>
          <w:rFonts w:hint="eastAsia" w:ascii="宋体" w:hAnsi="宋体" w:eastAsia="宋体" w:cs="宋体"/>
          <w:color w:val="auto"/>
          <w:sz w:val="24"/>
        </w:rPr>
        <w:t>日</w:t>
      </w:r>
    </w:p>
    <w:p>
      <w:pPr>
        <w:pStyle w:val="2"/>
        <w:rPr>
          <w:rFonts w:hint="eastAsia" w:ascii="宋体" w:hAnsi="宋体" w:eastAsia="宋体" w:cs="宋体"/>
          <w:color w:val="000000" w:themeColor="text1"/>
          <w:sz w:val="24"/>
          <w14:textFill>
            <w14:solidFill>
              <w14:schemeClr w14:val="tx1"/>
            </w14:solidFill>
          </w14:textFill>
        </w:rPr>
      </w:pPr>
    </w:p>
    <w:p>
      <w:pPr>
        <w:pStyle w:val="2"/>
        <w:rPr>
          <w:rFonts w:hint="eastAsia" w:ascii="宋体" w:hAnsi="宋体" w:eastAsia="宋体" w:cs="宋体"/>
          <w:color w:val="000000" w:themeColor="text1"/>
          <w:sz w:val="24"/>
          <w14:textFill>
            <w14:solidFill>
              <w14:schemeClr w14:val="tx1"/>
            </w14:solidFill>
          </w14:textFill>
        </w:rPr>
      </w:pPr>
    </w:p>
    <w:p>
      <w:pPr>
        <w:spacing w:line="276"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7"/>
          <w:szCs w:val="27"/>
          <w14:textFill>
            <w14:solidFill>
              <w14:schemeClr w14:val="tx1"/>
            </w14:solidFill>
          </w14:textFill>
        </w:rPr>
        <w:t>附件：</w:t>
      </w:r>
    </w:p>
    <w:p>
      <w:pPr>
        <w:pStyle w:val="97"/>
        <w:jc w:val="center"/>
        <w:rPr>
          <w:color w:val="000000" w:themeColor="text1"/>
          <w:sz w:val="18"/>
          <w:szCs w:val="18"/>
          <w14:textFill>
            <w14:solidFill>
              <w14:schemeClr w14:val="tx1"/>
            </w14:solidFill>
          </w14:textFill>
        </w:rPr>
      </w:pPr>
      <w:r>
        <w:rPr>
          <w:b/>
          <w:bCs/>
          <w:color w:val="000000" w:themeColor="text1"/>
          <w:sz w:val="36"/>
          <w:szCs w:val="36"/>
          <w14:textFill>
            <w14:solidFill>
              <w14:schemeClr w14:val="tx1"/>
            </w14:solidFill>
          </w14:textFill>
        </w:rPr>
        <w:t>邮件外包粘贴表格（格式）</w:t>
      </w:r>
    </w:p>
    <w:p>
      <w:pPr>
        <w:pStyle w:val="97"/>
        <w:rPr>
          <w:rFonts w:hint="eastAsia"/>
          <w:color w:val="000000" w:themeColor="text1"/>
          <w:sz w:val="18"/>
          <w:szCs w:val="18"/>
          <w14:textFill>
            <w14:solidFill>
              <w14:schemeClr w14:val="tx1"/>
            </w14:solidFill>
          </w14:textFill>
        </w:rPr>
      </w:pPr>
    </w:p>
    <w:p>
      <w:pPr>
        <w:pStyle w:val="97"/>
        <w:spacing w:line="360" w:lineRule="auto"/>
        <w:rPr>
          <w:color w:val="000000" w:themeColor="text1"/>
          <w:sz w:val="18"/>
          <w:szCs w:val="18"/>
          <w14:textFill>
            <w14:solidFill>
              <w14:schemeClr w14:val="tx1"/>
            </w14:solidFill>
          </w14:textFill>
        </w:rPr>
      </w:pPr>
      <w:r>
        <w:rPr>
          <w:b/>
          <w:bCs/>
          <w:color w:val="000000" w:themeColor="text1"/>
          <w:sz w:val="27"/>
          <w:szCs w:val="27"/>
          <w14:textFill>
            <w14:solidFill>
              <w14:schemeClr w14:val="tx1"/>
            </w14:solidFill>
          </w14:textFill>
        </w:rPr>
        <w:t>项目名称：</w:t>
      </w:r>
    </w:p>
    <w:p>
      <w:pPr>
        <w:pStyle w:val="97"/>
        <w:spacing w:line="360" w:lineRule="auto"/>
        <w:rPr>
          <w:color w:val="000000" w:themeColor="text1"/>
          <w:sz w:val="18"/>
          <w:szCs w:val="18"/>
          <w14:textFill>
            <w14:solidFill>
              <w14:schemeClr w14:val="tx1"/>
            </w14:solidFill>
          </w14:textFill>
        </w:rPr>
      </w:pPr>
      <w:r>
        <w:rPr>
          <w:b/>
          <w:bCs/>
          <w:color w:val="000000" w:themeColor="text1"/>
          <w:sz w:val="27"/>
          <w:szCs w:val="27"/>
          <w14:textFill>
            <w14:solidFill>
              <w14:schemeClr w14:val="tx1"/>
            </w14:solidFill>
          </w14:textFill>
        </w:rPr>
        <w:t>项目编号：</w:t>
      </w:r>
    </w:p>
    <w:p>
      <w:pPr>
        <w:pStyle w:val="97"/>
        <w:spacing w:line="360" w:lineRule="auto"/>
        <w:rPr>
          <w:b/>
          <w:bCs/>
          <w:color w:val="000000" w:themeColor="text1"/>
          <w:sz w:val="27"/>
          <w:szCs w:val="27"/>
          <w14:textFill>
            <w14:solidFill>
              <w14:schemeClr w14:val="tx1"/>
            </w14:solidFill>
          </w14:textFill>
        </w:rPr>
      </w:pPr>
      <w:r>
        <w:rPr>
          <w:b/>
          <w:bCs/>
          <w:color w:val="000000" w:themeColor="text1"/>
          <w:sz w:val="27"/>
          <w:szCs w:val="27"/>
          <w14:textFill>
            <w14:solidFill>
              <w14:schemeClr w14:val="tx1"/>
            </w14:solidFill>
          </w14:textFill>
        </w:rPr>
        <w:t>项目开标日期：</w:t>
      </w:r>
    </w:p>
    <w:p>
      <w:pPr>
        <w:pStyle w:val="97"/>
        <w:spacing w:line="360" w:lineRule="auto"/>
        <w:rPr>
          <w:b/>
          <w:bCs/>
          <w:color w:val="000000" w:themeColor="text1"/>
          <w:sz w:val="27"/>
          <w:szCs w:val="27"/>
          <w14:textFill>
            <w14:solidFill>
              <w14:schemeClr w14:val="tx1"/>
            </w14:solidFill>
          </w14:textFill>
        </w:rPr>
      </w:pPr>
      <w:r>
        <w:rPr>
          <w:b/>
          <w:bCs/>
          <w:color w:val="000000" w:themeColor="text1"/>
          <w:sz w:val="27"/>
          <w:szCs w:val="27"/>
          <w14:textFill>
            <w14:solidFill>
              <w14:schemeClr w14:val="tx1"/>
            </w14:solidFill>
          </w14:textFill>
        </w:rPr>
        <w:t>联系</w:t>
      </w:r>
      <w:r>
        <w:rPr>
          <w:rFonts w:hint="eastAsia"/>
          <w:b/>
          <w:bCs/>
          <w:color w:val="000000" w:themeColor="text1"/>
          <w:sz w:val="27"/>
          <w:szCs w:val="27"/>
          <w14:textFill>
            <w14:solidFill>
              <w14:schemeClr w14:val="tx1"/>
            </w14:solidFill>
          </w14:textFill>
        </w:rPr>
        <w:t>方式</w:t>
      </w:r>
      <w:r>
        <w:rPr>
          <w:b/>
          <w:bCs/>
          <w:color w:val="000000" w:themeColor="text1"/>
          <w:sz w:val="27"/>
          <w:szCs w:val="27"/>
          <w14:textFill>
            <w14:solidFill>
              <w14:schemeClr w14:val="tx1"/>
            </w14:solidFill>
          </w14:textFill>
        </w:rPr>
        <w:t>：</w:t>
      </w:r>
    </w:p>
    <w:p>
      <w:pPr>
        <w:pStyle w:val="97"/>
        <w:spacing w:line="360" w:lineRule="auto"/>
        <w:rPr>
          <w:rFonts w:hint="eastAsia" w:ascii="宋体" w:hAnsi="宋体" w:eastAsia="宋体" w:cs="宋体"/>
          <w:color w:val="000000" w:themeColor="text1"/>
          <w:sz w:val="24"/>
          <w:lang w:eastAsia="zh-CN"/>
          <w14:textFill>
            <w14:solidFill>
              <w14:schemeClr w14:val="tx1"/>
            </w14:solidFill>
          </w14:textFill>
        </w:rPr>
        <w:sectPr>
          <w:pgSz w:w="11906" w:h="16838"/>
          <w:pgMar w:top="1440" w:right="946" w:bottom="1440" w:left="851" w:header="851" w:footer="907" w:gutter="0"/>
          <w:cols w:space="720" w:num="1"/>
          <w:titlePg/>
          <w:docGrid w:type="lines" w:linePitch="312" w:charSpace="0"/>
        </w:sectPr>
      </w:pPr>
      <w:r>
        <w:rPr>
          <w:b/>
          <w:bCs/>
          <w:color w:val="000000" w:themeColor="text1"/>
          <w:sz w:val="27"/>
          <w:szCs w:val="27"/>
          <w14:textFill>
            <w14:solidFill>
              <w14:schemeClr w14:val="tx1"/>
            </w14:solidFill>
          </w14:textFill>
        </w:rPr>
        <w:t>联系电子邮箱</w:t>
      </w:r>
      <w:r>
        <w:rPr>
          <w:rFonts w:hint="eastAsia"/>
          <w:b/>
          <w:bCs/>
          <w:color w:val="000000" w:themeColor="text1"/>
          <w:sz w:val="27"/>
          <w:szCs w:val="27"/>
          <w:lang w:eastAsia="zh-CN"/>
          <w14:textFill>
            <w14:solidFill>
              <w14:schemeClr w14:val="tx1"/>
            </w14:solidFill>
          </w14:textFill>
        </w:rPr>
        <w:t>：</w:t>
      </w:r>
    </w:p>
    <w:p>
      <w:pPr>
        <w:pStyle w:val="14"/>
        <w:rPr>
          <w:rFonts w:ascii="Times New Roman" w:hAnsi="Times New Roman"/>
          <w:color w:val="auto"/>
          <w:highlight w:val="none"/>
        </w:rPr>
      </w:pPr>
    </w:p>
    <w:p>
      <w:pPr>
        <w:pStyle w:val="14"/>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     录</w:t>
      </w:r>
    </w:p>
    <w:p>
      <w:pPr>
        <w:pStyle w:val="19"/>
        <w:rPr>
          <w:bCs w:val="0"/>
          <w:caps w:val="0"/>
          <w:color w:val="auto"/>
          <w:sz w:val="48"/>
          <w:szCs w:val="48"/>
          <w:highlight w:val="none"/>
        </w:rPr>
      </w:pPr>
    </w:p>
    <w:p>
      <w:pPr>
        <w:pStyle w:val="19"/>
        <w:tabs>
          <w:tab w:val="right" w:leader="dot" w:pos="9628"/>
        </w:tabs>
        <w:rPr>
          <w:rFonts w:hint="eastAsia" w:ascii="Calibri" w:hAnsi="Calibri" w:eastAsia="宋体"/>
          <w:b w:val="0"/>
          <w:bCs w:val="0"/>
          <w:caps w:val="0"/>
          <w:color w:val="auto"/>
          <w:sz w:val="28"/>
          <w:szCs w:val="28"/>
          <w:highlight w:val="none"/>
          <w:lang w:eastAsia="zh-CN"/>
        </w:rPr>
      </w:pPr>
      <w:r>
        <w:rPr>
          <w:b w:val="0"/>
          <w:bCs w:val="0"/>
          <w:caps w:val="0"/>
          <w:color w:val="auto"/>
          <w:sz w:val="30"/>
          <w:szCs w:val="30"/>
          <w:highlight w:val="none"/>
        </w:rPr>
        <w:fldChar w:fldCharType="begin"/>
      </w:r>
      <w:r>
        <w:rPr>
          <w:b w:val="0"/>
          <w:bCs w:val="0"/>
          <w:caps w:val="0"/>
          <w:color w:val="auto"/>
          <w:sz w:val="30"/>
          <w:szCs w:val="30"/>
          <w:highlight w:val="none"/>
        </w:rPr>
        <w:instrText xml:space="preserve"> TOC \o "1-3" \h \z \u </w:instrText>
      </w:r>
      <w:r>
        <w:rPr>
          <w:b w:val="0"/>
          <w:bCs w:val="0"/>
          <w:caps w:val="0"/>
          <w:color w:val="auto"/>
          <w:sz w:val="30"/>
          <w:szCs w:val="30"/>
          <w:highlight w:val="none"/>
        </w:rPr>
        <w:fldChar w:fldCharType="separate"/>
      </w: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"_Toc1654622"</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第一章</w:t>
      </w:r>
      <w:r>
        <w:rPr>
          <w:rStyle w:val="34"/>
          <w:color w:val="auto"/>
          <w:sz w:val="28"/>
          <w:szCs w:val="28"/>
          <w:highlight w:val="none"/>
        </w:rPr>
        <w:t xml:space="preserve">  </w:t>
      </w:r>
      <w:r>
        <w:rPr>
          <w:rStyle w:val="34"/>
          <w:rFonts w:hint="eastAsia"/>
          <w:color w:val="auto"/>
          <w:sz w:val="28"/>
          <w:szCs w:val="28"/>
          <w:highlight w:val="none"/>
        </w:rPr>
        <w:t>招标公告</w:t>
      </w:r>
      <w:r>
        <w:rPr>
          <w:color w:val="auto"/>
          <w:sz w:val="28"/>
          <w:szCs w:val="28"/>
          <w:highlight w:val="none"/>
        </w:rPr>
        <w:tab/>
      </w:r>
      <w:r>
        <w:rPr>
          <w:color w:val="auto"/>
          <w:sz w:val="28"/>
          <w:szCs w:val="28"/>
          <w:highlight w:val="none"/>
        </w:rPr>
        <w:fldChar w:fldCharType="end"/>
      </w:r>
      <w:r>
        <w:rPr>
          <w:rFonts w:hint="eastAsia"/>
          <w:color w:val="auto"/>
          <w:sz w:val="28"/>
          <w:szCs w:val="28"/>
          <w:highlight w:val="none"/>
          <w:lang w:val="en-US" w:eastAsia="zh-CN"/>
        </w:rPr>
        <w:t>3</w:t>
      </w:r>
    </w:p>
    <w:p>
      <w:pPr>
        <w:pStyle w:val="19"/>
        <w:tabs>
          <w:tab w:val="right" w:leader="dot" w:pos="9628"/>
        </w:tabs>
        <w:rPr>
          <w:rFonts w:ascii="Calibri" w:hAnsi="Calibri"/>
          <w:b w:val="0"/>
          <w:bCs w:val="0"/>
          <w: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"_Toc1654624"</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第二章</w:t>
      </w:r>
      <w:r>
        <w:rPr>
          <w:rStyle w:val="34"/>
          <w:color w:val="auto"/>
          <w:sz w:val="28"/>
          <w:szCs w:val="28"/>
          <w:highlight w:val="none"/>
        </w:rPr>
        <w:t xml:space="preserve">  </w:t>
      </w:r>
      <w:r>
        <w:rPr>
          <w:rStyle w:val="34"/>
          <w:rFonts w:hint="eastAsia"/>
          <w:color w:val="auto"/>
          <w:sz w:val="28"/>
          <w:szCs w:val="28"/>
          <w:highlight w:val="none"/>
          <w:lang w:val="en-US" w:eastAsia="zh-CN"/>
        </w:rPr>
        <w:t>货物</w:t>
      </w:r>
      <w:r>
        <w:rPr>
          <w:rStyle w:val="34"/>
          <w:rFonts w:hint="eastAsia"/>
          <w:color w:val="auto"/>
          <w:sz w:val="28"/>
          <w:szCs w:val="28"/>
          <w:highlight w:val="none"/>
        </w:rPr>
        <w:t>需求一览表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_Toc1654624 \h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19"/>
        <w:tabs>
          <w:tab w:val="right" w:leader="dot" w:pos="9628"/>
        </w:tabs>
        <w:rPr>
          <w:rFonts w:ascii="Calibri" w:hAnsi="Calibri"/>
          <w:b w:val="0"/>
          <w:bCs w:val="0"/>
          <w: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"_Toc1654625"</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第三章</w:t>
      </w:r>
      <w:r>
        <w:rPr>
          <w:rStyle w:val="34"/>
          <w:color w:val="auto"/>
          <w:sz w:val="28"/>
          <w:szCs w:val="28"/>
          <w:highlight w:val="none"/>
        </w:rPr>
        <w:t xml:space="preserve">  </w:t>
      </w:r>
      <w:r>
        <w:rPr>
          <w:rStyle w:val="34"/>
          <w:rFonts w:hint="eastAsia"/>
          <w:color w:val="auto"/>
          <w:sz w:val="28"/>
          <w:szCs w:val="28"/>
          <w:highlight w:val="none"/>
        </w:rPr>
        <w:t>评标方法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_Toc1654625 \h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color w:val="auto"/>
          <w:sz w:val="28"/>
          <w:szCs w:val="28"/>
          <w:highlight w:val="none"/>
        </w:rPr>
        <w:fldChar w:fldCharType="end"/>
      </w:r>
    </w:p>
    <w:p>
      <w:pPr>
        <w:pStyle w:val="19"/>
        <w:tabs>
          <w:tab w:val="right" w:leader="dot" w:pos="9628"/>
        </w:tabs>
        <w:rPr>
          <w:rFonts w:ascii="Calibri" w:hAnsi="Calibri"/>
          <w:b w:val="0"/>
          <w:bCs w:val="0"/>
          <w: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"_Toc1654626"</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第四章</w:t>
      </w:r>
      <w:r>
        <w:rPr>
          <w:rStyle w:val="34"/>
          <w:color w:val="auto"/>
          <w:sz w:val="28"/>
          <w:szCs w:val="28"/>
          <w:highlight w:val="none"/>
        </w:rPr>
        <w:t xml:space="preserve">  </w:t>
      </w:r>
      <w:r>
        <w:rPr>
          <w:rStyle w:val="34"/>
          <w:rFonts w:hint="eastAsia"/>
          <w:color w:val="auto"/>
          <w:sz w:val="28"/>
          <w:szCs w:val="28"/>
          <w:highlight w:val="none"/>
        </w:rPr>
        <w:t>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_Toc1654626 \h </w:instrText>
      </w:r>
      <w:r>
        <w:rPr>
          <w:color w:val="auto"/>
          <w:sz w:val="28"/>
          <w:szCs w:val="28"/>
          <w:highlight w:val="none"/>
        </w:rPr>
        <w:fldChar w:fldCharType="separate"/>
      </w:r>
      <w:r>
        <w:rPr>
          <w:color w:val="auto"/>
          <w:sz w:val="28"/>
          <w:szCs w:val="28"/>
          <w:highlight w:val="none"/>
        </w:rPr>
        <w:t>20</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"_Toc1654627"</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一</w:t>
      </w:r>
      <w:r>
        <w:rPr>
          <w:rStyle w:val="34"/>
          <w:b/>
          <w:color w:val="auto"/>
          <w:sz w:val="28"/>
          <w:szCs w:val="28"/>
          <w:highlight w:val="none"/>
        </w:rPr>
        <w:t xml:space="preserve">    </w:t>
      </w:r>
      <w:r>
        <w:rPr>
          <w:rStyle w:val="34"/>
          <w:rFonts w:hint="eastAsia"/>
          <w:b/>
          <w:color w:val="auto"/>
          <w:sz w:val="28"/>
          <w:szCs w:val="28"/>
          <w:highlight w:val="none"/>
        </w:rPr>
        <w:t>总</w:t>
      </w:r>
      <w:r>
        <w:rPr>
          <w:rStyle w:val="34"/>
          <w:b/>
          <w:color w:val="auto"/>
          <w:sz w:val="28"/>
          <w:szCs w:val="28"/>
          <w:highlight w:val="none"/>
        </w:rPr>
        <w:t xml:space="preserve">  </w:t>
      </w:r>
      <w:r>
        <w:rPr>
          <w:rStyle w:val="34"/>
          <w:rFonts w:hint="eastAsia"/>
          <w:b/>
          <w:color w:val="auto"/>
          <w:sz w:val="28"/>
          <w:szCs w:val="28"/>
          <w:highlight w:val="none"/>
        </w:rPr>
        <w:t>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_Toc1654627 \h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"_Toc1654628"</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二</w:t>
      </w:r>
      <w:r>
        <w:rPr>
          <w:rStyle w:val="34"/>
          <w:b/>
          <w:color w:val="auto"/>
          <w:sz w:val="28"/>
          <w:szCs w:val="28"/>
          <w:highlight w:val="none"/>
        </w:rPr>
        <w:t xml:space="preserve">    </w:t>
      </w:r>
      <w:r>
        <w:rPr>
          <w:rStyle w:val="34"/>
          <w:rFonts w:hint="eastAsia"/>
          <w:b/>
          <w:color w:val="auto"/>
          <w:sz w:val="28"/>
          <w:szCs w:val="28"/>
          <w:highlight w:val="none"/>
        </w:rPr>
        <w:t>公开招标文件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_Toc1654628 \h </w:instrText>
      </w:r>
      <w:r>
        <w:rPr>
          <w:color w:val="auto"/>
          <w:sz w:val="28"/>
          <w:szCs w:val="28"/>
          <w:highlight w:val="none"/>
        </w:rPr>
        <w:fldChar w:fldCharType="separate"/>
      </w:r>
      <w:r>
        <w:rPr>
          <w:color w:val="auto"/>
          <w:sz w:val="28"/>
          <w:szCs w:val="28"/>
          <w:highlight w:val="none"/>
        </w:rPr>
        <w:t>26</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"_Toc1654629"</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三</w:t>
      </w:r>
      <w:r>
        <w:rPr>
          <w:rStyle w:val="34"/>
          <w:b/>
          <w:color w:val="auto"/>
          <w:sz w:val="28"/>
          <w:szCs w:val="28"/>
          <w:highlight w:val="none"/>
        </w:rPr>
        <w:t xml:space="preserve">    </w:t>
      </w:r>
      <w:r>
        <w:rPr>
          <w:rStyle w:val="34"/>
          <w:rFonts w:hint="eastAsia"/>
          <w:b/>
          <w:color w:val="auto"/>
          <w:sz w:val="28"/>
          <w:szCs w:val="28"/>
          <w:highlight w:val="none"/>
        </w:rPr>
        <w:t>投标文件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_Toc1654629 \h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"_Toc1654630"</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四</w:t>
      </w:r>
      <w:r>
        <w:rPr>
          <w:rStyle w:val="34"/>
          <w:b/>
          <w:color w:val="auto"/>
          <w:sz w:val="28"/>
          <w:szCs w:val="28"/>
          <w:highlight w:val="none"/>
        </w:rPr>
        <w:t xml:space="preserve">    </w:t>
      </w:r>
      <w:r>
        <w:rPr>
          <w:rStyle w:val="34"/>
          <w:rFonts w:hint="eastAsia"/>
          <w:b/>
          <w:color w:val="auto"/>
          <w:sz w:val="28"/>
          <w:szCs w:val="28"/>
          <w:highlight w:val="none"/>
        </w:rPr>
        <w:t>投标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_Toc1654630 \h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"_Toc1654631"</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五</w:t>
      </w:r>
      <w:r>
        <w:rPr>
          <w:rStyle w:val="34"/>
          <w:b/>
          <w:color w:val="auto"/>
          <w:sz w:val="28"/>
          <w:szCs w:val="28"/>
          <w:highlight w:val="none"/>
        </w:rPr>
        <w:t xml:space="preserve">    </w:t>
      </w:r>
      <w:r>
        <w:rPr>
          <w:rStyle w:val="34"/>
          <w:rFonts w:hint="eastAsia"/>
          <w:b/>
          <w:color w:val="auto"/>
          <w:sz w:val="28"/>
          <w:szCs w:val="28"/>
          <w:highlight w:val="none"/>
        </w:rPr>
        <w:t>开标与评标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_Toc1654631 \h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"_Toc1654632"</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六</w:t>
      </w:r>
      <w:r>
        <w:rPr>
          <w:rStyle w:val="34"/>
          <w:b/>
          <w:color w:val="auto"/>
          <w:sz w:val="28"/>
          <w:szCs w:val="28"/>
          <w:highlight w:val="none"/>
        </w:rPr>
        <w:t xml:space="preserve">    </w:t>
      </w:r>
      <w:r>
        <w:rPr>
          <w:rStyle w:val="34"/>
          <w:rFonts w:hint="eastAsia"/>
          <w:b/>
          <w:color w:val="auto"/>
          <w:sz w:val="28"/>
          <w:szCs w:val="28"/>
          <w:highlight w:val="none"/>
        </w:rPr>
        <w:t>合同授予</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_Toc1654632 \h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20"/>
        <w:rPr>
          <w:rFonts w:ascii="Calibri" w:hAnsi="Calibri"/>
          <w:small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"_Toc1654633"</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b/>
          <w:color w:val="auto"/>
          <w:sz w:val="28"/>
          <w:szCs w:val="28"/>
          <w:highlight w:val="none"/>
        </w:rPr>
        <w:t>七</w:t>
      </w:r>
      <w:r>
        <w:rPr>
          <w:rStyle w:val="34"/>
          <w:b/>
          <w:color w:val="auto"/>
          <w:sz w:val="28"/>
          <w:szCs w:val="28"/>
          <w:highlight w:val="none"/>
        </w:rPr>
        <w:t xml:space="preserve">    </w:t>
      </w:r>
      <w:r>
        <w:rPr>
          <w:rStyle w:val="34"/>
          <w:rFonts w:hint="eastAsia"/>
          <w:b/>
          <w:color w:val="auto"/>
          <w:sz w:val="28"/>
          <w:szCs w:val="28"/>
          <w:highlight w:val="none"/>
        </w:rPr>
        <w:t>其他事项</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_Toc1654633 \h </w:instrText>
      </w:r>
      <w:r>
        <w:rPr>
          <w:color w:val="auto"/>
          <w:sz w:val="28"/>
          <w:szCs w:val="28"/>
          <w:highlight w:val="none"/>
        </w:rPr>
        <w:fldChar w:fldCharType="separate"/>
      </w:r>
      <w:r>
        <w:rPr>
          <w:color w:val="auto"/>
          <w:sz w:val="28"/>
          <w:szCs w:val="28"/>
          <w:highlight w:val="none"/>
        </w:rPr>
        <w:t>36</w:t>
      </w:r>
      <w:r>
        <w:rPr>
          <w:color w:val="auto"/>
          <w:sz w:val="28"/>
          <w:szCs w:val="28"/>
          <w:highlight w:val="none"/>
        </w:rPr>
        <w:fldChar w:fldCharType="end"/>
      </w:r>
      <w:r>
        <w:rPr>
          <w:color w:val="auto"/>
          <w:sz w:val="28"/>
          <w:szCs w:val="28"/>
          <w:highlight w:val="none"/>
        </w:rPr>
        <w:fldChar w:fldCharType="end"/>
      </w:r>
    </w:p>
    <w:p>
      <w:pPr>
        <w:pStyle w:val="19"/>
        <w:tabs>
          <w:tab w:val="right" w:leader="dot" w:pos="9628"/>
        </w:tabs>
        <w:rPr>
          <w:rFonts w:ascii="Calibri" w:hAnsi="Calibri"/>
          <w:b w:val="0"/>
          <w:bCs w:val="0"/>
          <w: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"_Toc1654634"</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第五章</w:t>
      </w:r>
      <w:r>
        <w:rPr>
          <w:rStyle w:val="34"/>
          <w:color w:val="auto"/>
          <w:sz w:val="28"/>
          <w:szCs w:val="28"/>
          <w:highlight w:val="none"/>
        </w:rPr>
        <w:t xml:space="preserve">  </w:t>
      </w:r>
      <w:r>
        <w:rPr>
          <w:rStyle w:val="34"/>
          <w:rFonts w:hint="eastAsia"/>
          <w:color w:val="auto"/>
          <w:sz w:val="28"/>
          <w:szCs w:val="28"/>
          <w:highlight w:val="none"/>
        </w:rPr>
        <w:t>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_Toc1654634 \h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color w:val="auto"/>
          <w:sz w:val="28"/>
          <w:szCs w:val="28"/>
          <w:highlight w:val="none"/>
        </w:rPr>
        <w:fldChar w:fldCharType="end"/>
      </w:r>
    </w:p>
    <w:p>
      <w:pPr>
        <w:pStyle w:val="19"/>
        <w:tabs>
          <w:tab w:val="right" w:leader="dot" w:pos="9628"/>
        </w:tabs>
        <w:rPr>
          <w:rFonts w:ascii="Calibri" w:hAnsi="Calibri"/>
          <w:b w:val="0"/>
          <w:bCs w:val="0"/>
          <w:caps w:val="0"/>
          <w:color w:val="auto"/>
          <w:sz w:val="28"/>
          <w:szCs w:val="28"/>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"_Toc1654635"</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第六章</w:t>
      </w:r>
      <w:r>
        <w:rPr>
          <w:rStyle w:val="34"/>
          <w:color w:val="auto"/>
          <w:sz w:val="28"/>
          <w:szCs w:val="28"/>
          <w:highlight w:val="none"/>
        </w:rPr>
        <w:t xml:space="preserve">  </w:t>
      </w:r>
      <w:r>
        <w:rPr>
          <w:rStyle w:val="34"/>
          <w:rFonts w:hint="eastAsia"/>
          <w:color w:val="auto"/>
          <w:sz w:val="28"/>
          <w:szCs w:val="28"/>
          <w:highlight w:val="none"/>
        </w:rPr>
        <w:t>合同条款及格式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_Toc1654635 \h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color w:val="auto"/>
          <w:sz w:val="28"/>
          <w:szCs w:val="28"/>
          <w:highlight w:val="none"/>
        </w:rPr>
        <w:fldChar w:fldCharType="end"/>
      </w:r>
    </w:p>
    <w:p>
      <w:pPr>
        <w:pStyle w:val="19"/>
        <w:tabs>
          <w:tab w:val="right" w:leader="dot" w:pos="9628"/>
        </w:tabs>
        <w:rPr>
          <w:rFonts w:ascii="Calibri" w:hAnsi="Calibri"/>
          <w:b w:val="0"/>
          <w:bCs w:val="0"/>
          <w:caps w:val="0"/>
          <w:color w:val="auto"/>
          <w:sz w:val="21"/>
          <w:szCs w:val="22"/>
          <w:highlight w:val="none"/>
        </w:rPr>
      </w:pPr>
      <w:r>
        <w:rPr>
          <w:color w:val="auto"/>
          <w:sz w:val="28"/>
          <w:szCs w:val="28"/>
          <w:highlight w:val="none"/>
        </w:rPr>
        <w:fldChar w:fldCharType="begin"/>
      </w:r>
      <w:r>
        <w:rPr>
          <w:rStyle w:val="34"/>
          <w:color w:val="auto"/>
          <w:sz w:val="28"/>
          <w:szCs w:val="28"/>
          <w:highlight w:val="none"/>
        </w:rPr>
        <w:instrText xml:space="preserve"> </w:instrText>
      </w:r>
      <w:r>
        <w:rPr>
          <w:color w:val="auto"/>
          <w:sz w:val="28"/>
          <w:szCs w:val="28"/>
          <w:highlight w:val="none"/>
        </w:rPr>
        <w:instrText xml:space="preserve">HYPERLINK \l "_Toc1654636"</w:instrText>
      </w:r>
      <w:r>
        <w:rPr>
          <w:rStyle w:val="34"/>
          <w:color w:val="auto"/>
          <w:sz w:val="28"/>
          <w:szCs w:val="28"/>
          <w:highlight w:val="none"/>
        </w:rPr>
        <w:instrText xml:space="preserve"> </w:instrText>
      </w:r>
      <w:r>
        <w:rPr>
          <w:color w:val="auto"/>
          <w:sz w:val="28"/>
          <w:szCs w:val="28"/>
          <w:highlight w:val="none"/>
        </w:rPr>
        <w:fldChar w:fldCharType="separate"/>
      </w:r>
      <w:r>
        <w:rPr>
          <w:rStyle w:val="34"/>
          <w:rFonts w:hint="eastAsia"/>
          <w:color w:val="auto"/>
          <w:sz w:val="28"/>
          <w:szCs w:val="28"/>
          <w:highlight w:val="none"/>
        </w:rPr>
        <w:t>第七章</w:t>
      </w:r>
      <w:r>
        <w:rPr>
          <w:rStyle w:val="34"/>
          <w:color w:val="auto"/>
          <w:sz w:val="28"/>
          <w:szCs w:val="28"/>
          <w:highlight w:val="none"/>
        </w:rPr>
        <w:t xml:space="preserve">  </w:t>
      </w:r>
      <w:r>
        <w:rPr>
          <w:rStyle w:val="34"/>
          <w:rFonts w:hint="eastAsia"/>
          <w:color w:val="auto"/>
          <w:sz w:val="28"/>
          <w:szCs w:val="28"/>
          <w:highlight w:val="none"/>
        </w:rPr>
        <w:t>质疑材料格式</w:t>
      </w:r>
      <w:r>
        <w:rPr>
          <w:color w:val="auto"/>
          <w:sz w:val="28"/>
          <w:szCs w:val="28"/>
          <w:highlight w:val="none"/>
        </w:rPr>
        <w:tab/>
      </w:r>
      <w:bookmarkStart w:id="2" w:name="_Hlt2929867"/>
      <w:bookmarkStart w:id="3" w:name="_Hlt2929866"/>
      <w:r>
        <w:rPr>
          <w:color w:val="auto"/>
          <w:sz w:val="28"/>
          <w:szCs w:val="28"/>
          <w:highlight w:val="none"/>
        </w:rPr>
        <w:fldChar w:fldCharType="begin"/>
      </w:r>
      <w:r>
        <w:rPr>
          <w:color w:val="auto"/>
          <w:sz w:val="28"/>
          <w:szCs w:val="28"/>
          <w:highlight w:val="none"/>
        </w:rPr>
        <w:instrText xml:space="preserve"> PAGEREF _Toc1654636 \h </w:instrText>
      </w:r>
      <w:r>
        <w:rPr>
          <w:color w:val="auto"/>
          <w:sz w:val="28"/>
          <w:szCs w:val="28"/>
          <w:highlight w:val="none"/>
        </w:rPr>
        <w:fldChar w:fldCharType="separate"/>
      </w:r>
      <w:r>
        <w:rPr>
          <w:color w:val="auto"/>
          <w:sz w:val="28"/>
          <w:szCs w:val="28"/>
          <w:highlight w:val="none"/>
        </w:rPr>
        <w:t>55</w:t>
      </w:r>
      <w:r>
        <w:rPr>
          <w:color w:val="auto"/>
          <w:sz w:val="28"/>
          <w:szCs w:val="28"/>
          <w:highlight w:val="none"/>
        </w:rPr>
        <w:fldChar w:fldCharType="end"/>
      </w:r>
      <w:bookmarkEnd w:id="2"/>
      <w:bookmarkEnd w:id="3"/>
      <w:r>
        <w:rPr>
          <w:color w:val="auto"/>
          <w:sz w:val="28"/>
          <w:szCs w:val="28"/>
          <w:highlight w:val="none"/>
        </w:rPr>
        <w:fldChar w:fldCharType="end"/>
      </w:r>
    </w:p>
    <w:p>
      <w:pPr>
        <w:rPr>
          <w:rFonts w:eastAsiaTheme="majorEastAsia"/>
        </w:rPr>
      </w:pPr>
      <w:r>
        <w:rPr>
          <w:b w:val="0"/>
          <w:bCs w:val="0"/>
          <w:caps w:val="0"/>
          <w:color w:val="auto"/>
          <w:sz w:val="30"/>
          <w:szCs w:val="30"/>
          <w:highlight w:val="none"/>
        </w:rPr>
        <w:fldChar w:fldCharType="end"/>
      </w:r>
      <w:bookmarkStart w:id="4" w:name="_Toc485920200"/>
      <w:bookmarkStart w:id="5" w:name="_Toc460253689"/>
    </w:p>
    <w:p>
      <w:pPr>
        <w:rPr>
          <w:rFonts w:eastAsiaTheme="majorEastAsia"/>
        </w:rPr>
      </w:pPr>
    </w:p>
    <w:bookmarkEnd w:id="4"/>
    <w:bookmarkEnd w:id="5"/>
    <w:p>
      <w:pPr>
        <w:widowControl/>
        <w:jc w:val="center"/>
        <w:rPr>
          <w:rFonts w:hint="eastAsia" w:asciiTheme="minorEastAsia" w:hAnsiTheme="minorEastAsia" w:eastAsiaTheme="minorEastAsia" w:cstheme="minorEastAsia"/>
          <w:b/>
          <w:bCs/>
          <w:kern w:val="0"/>
          <w:sz w:val="30"/>
          <w:szCs w:val="30"/>
          <w:lang w:val="en-US" w:eastAsia="zh-CN"/>
        </w:rPr>
      </w:pPr>
    </w:p>
    <w:bookmarkEnd w:id="0"/>
    <w:bookmarkEnd w:id="1"/>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r>
        <w:rPr>
          <w:rFonts w:hint="eastAsia" w:ascii="Times New Roman" w:hAnsi="Times New Roman"/>
          <w:b/>
          <w:color w:val="auto"/>
          <w:sz w:val="36"/>
          <w:highlight w:val="none"/>
        </w:rPr>
        <w:t xml:space="preserve">第一章 </w:t>
      </w:r>
      <w:bookmarkStart w:id="6" w:name="_Toc28359001"/>
      <w:bookmarkStart w:id="7" w:name="_Toc35393789"/>
      <w:r>
        <w:rPr>
          <w:rFonts w:hint="eastAsia" w:ascii="华文中宋" w:hAnsi="华文中宋" w:eastAsia="华文中宋"/>
        </w:rPr>
        <w:t>招标公告</w:t>
      </w:r>
      <w:bookmarkEnd w:id="6"/>
      <w:bookmarkEnd w:id="7"/>
    </w:p>
    <w:p>
      <w:pPr>
        <w:widowControl/>
        <w:jc w:val="both"/>
        <w:rPr>
          <w:rFonts w:hAnsi="宋体"/>
          <w:b/>
          <w:color w:val="auto"/>
          <w:sz w:val="36"/>
          <w:szCs w:val="36"/>
          <w:highlight w:val="none"/>
        </w:rPr>
      </w:pPr>
      <w:r>
        <w:rPr>
          <w:rFonts w:hint="eastAsia" w:ascii="Times New Roman" w:hAnsi="Times New Roman"/>
          <w:b/>
          <w:color w:val="auto"/>
          <w:sz w:val="36"/>
          <w:highlight w:val="none"/>
        </w:rPr>
        <w:t xml:space="preserve"> </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u w:val="single"/>
        </w:rPr>
        <w:t xml:space="preserve"> 四害密度控制药械采购</w:t>
      </w:r>
      <w:r>
        <w:rPr>
          <w:rFonts w:hint="eastAsia" w:asciiTheme="minorEastAsia" w:hAnsiTheme="minorEastAsia" w:eastAsiaTheme="minorEastAsia" w:cstheme="minorEastAsia"/>
          <w:sz w:val="21"/>
          <w:szCs w:val="21"/>
        </w:rPr>
        <w:t xml:space="preserve"> 招标项目的潜在投标人应在</w:t>
      </w:r>
      <w:r>
        <w:rPr>
          <w:rFonts w:hint="eastAsia" w:asciiTheme="minorEastAsia" w:hAnsiTheme="minorEastAsia" w:eastAsiaTheme="minorEastAsia" w:cstheme="minorEastAsia"/>
          <w:sz w:val="21"/>
          <w:szCs w:val="21"/>
          <w:u w:val="single"/>
        </w:rPr>
        <w:t>（本项目不提供纸质版招标文件，供应商在南宁市公共资源交易平台（www.nnggzy.org.cn）免费下载招标（采购）文件）</w:t>
      </w:r>
      <w:r>
        <w:rPr>
          <w:rFonts w:hint="eastAsia" w:asciiTheme="minorEastAsia" w:hAnsiTheme="minorEastAsia" w:eastAsiaTheme="minorEastAsia" w:cstheme="minorEastAsia"/>
          <w:sz w:val="21"/>
          <w:szCs w:val="21"/>
        </w:rPr>
        <w:t>获取招标文件，并于</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2020</w:t>
      </w:r>
      <w:r>
        <w:rPr>
          <w:rFonts w:hint="eastAsia" w:asciiTheme="minorEastAsia" w:hAnsiTheme="minorEastAsia" w:eastAsiaTheme="minorEastAsia" w:cstheme="minorEastAsia"/>
          <w:bCs/>
          <w:color w:val="auto"/>
          <w:sz w:val="21"/>
          <w:szCs w:val="21"/>
          <w:u w:val="single"/>
        </w:rPr>
        <w:t>年</w:t>
      </w:r>
      <w:r>
        <w:rPr>
          <w:rFonts w:hint="eastAsia" w:asciiTheme="minorEastAsia" w:hAnsiTheme="minorEastAsia" w:eastAsiaTheme="minorEastAsia" w:cstheme="minorEastAsia"/>
          <w:bCs/>
          <w:color w:val="auto"/>
          <w:sz w:val="21"/>
          <w:szCs w:val="21"/>
          <w:u w:val="single"/>
          <w:lang w:val="en-US" w:eastAsia="zh-CN"/>
        </w:rPr>
        <w:t>7</w:t>
      </w:r>
      <w:r>
        <w:rPr>
          <w:rFonts w:hint="eastAsia" w:asciiTheme="minorEastAsia" w:hAnsiTheme="minorEastAsia" w:eastAsiaTheme="minorEastAsia" w:cstheme="minorEastAsia"/>
          <w:bCs/>
          <w:color w:val="auto"/>
          <w:sz w:val="21"/>
          <w:szCs w:val="21"/>
          <w:u w:val="single"/>
        </w:rPr>
        <w:t>月</w:t>
      </w:r>
      <w:r>
        <w:rPr>
          <w:rFonts w:hint="eastAsia" w:asciiTheme="minorEastAsia" w:hAnsiTheme="minorEastAsia" w:eastAsiaTheme="minorEastAsia" w:cstheme="minorEastAsia"/>
          <w:bCs/>
          <w:color w:val="auto"/>
          <w:sz w:val="21"/>
          <w:szCs w:val="21"/>
          <w:u w:val="single"/>
          <w:lang w:val="en-US" w:eastAsia="zh-CN"/>
        </w:rPr>
        <w:t>23</w:t>
      </w:r>
      <w:r>
        <w:rPr>
          <w:rFonts w:hint="eastAsia" w:asciiTheme="minorEastAsia" w:hAnsiTheme="minorEastAsia" w:eastAsiaTheme="minorEastAsia" w:cstheme="minorEastAsia"/>
          <w:bCs/>
          <w:color w:val="auto"/>
          <w:sz w:val="21"/>
          <w:szCs w:val="21"/>
          <w:u w:val="single"/>
        </w:rPr>
        <w:t xml:space="preserve">日 </w:t>
      </w:r>
      <w:r>
        <w:rPr>
          <w:rFonts w:hint="eastAsia" w:asciiTheme="minorEastAsia" w:hAnsiTheme="minorEastAsia" w:eastAsiaTheme="minorEastAsia" w:cstheme="minorEastAsia"/>
          <w:bCs/>
          <w:color w:val="auto"/>
          <w:sz w:val="21"/>
          <w:szCs w:val="21"/>
          <w:u w:val="single"/>
          <w:lang w:val="en-US" w:eastAsia="zh-CN"/>
        </w:rPr>
        <w:t>09</w:t>
      </w:r>
      <w:r>
        <w:rPr>
          <w:rFonts w:hint="eastAsia" w:asciiTheme="minorEastAsia" w:hAnsiTheme="minorEastAsia" w:eastAsiaTheme="minorEastAsia" w:cstheme="minorEastAsia"/>
          <w:bCs/>
          <w:color w:val="auto"/>
          <w:sz w:val="21"/>
          <w:szCs w:val="21"/>
          <w:u w:val="single"/>
        </w:rPr>
        <w:t>点</w:t>
      </w:r>
      <w:r>
        <w:rPr>
          <w:rFonts w:hint="eastAsia" w:asciiTheme="minorEastAsia" w:hAnsiTheme="minorEastAsia" w:eastAsiaTheme="minorEastAsia" w:cstheme="minorEastAsia"/>
          <w:bCs/>
          <w:color w:val="auto"/>
          <w:sz w:val="21"/>
          <w:szCs w:val="21"/>
          <w:u w:val="single"/>
          <w:lang w:val="en-US" w:eastAsia="zh-CN"/>
        </w:rPr>
        <w:t>30</w:t>
      </w:r>
      <w:r>
        <w:rPr>
          <w:rFonts w:hint="eastAsia" w:asciiTheme="minorEastAsia" w:hAnsiTheme="minorEastAsia" w:eastAsiaTheme="minorEastAsia" w:cstheme="minorEastAsia"/>
          <w:bCs/>
          <w:color w:val="auto"/>
          <w:sz w:val="21"/>
          <w:szCs w:val="21"/>
          <w:u w:val="single"/>
        </w:rPr>
        <w:t>分（</w:t>
      </w:r>
      <w:r>
        <w:rPr>
          <w:rFonts w:hint="eastAsia" w:asciiTheme="minorEastAsia" w:hAnsiTheme="minorEastAsia" w:eastAsiaTheme="minorEastAsia" w:cstheme="minorEastAsia"/>
          <w:bCs/>
          <w:color w:val="auto"/>
          <w:sz w:val="21"/>
          <w:szCs w:val="21"/>
        </w:rPr>
        <w:t>北京时间）前递交投标文件</w:t>
      </w:r>
      <w:r>
        <w:rPr>
          <w:rFonts w:hint="eastAsia" w:asciiTheme="minorEastAsia" w:hAnsiTheme="minorEastAsia" w:eastAsiaTheme="minorEastAsia" w:cstheme="minorEastAsia"/>
          <w:color w:val="auto"/>
          <w:sz w:val="21"/>
          <w:szCs w:val="21"/>
        </w:rPr>
        <w:t>。</w:t>
      </w:r>
    </w:p>
    <w:p>
      <w:pPr>
        <w:rPr>
          <w:sz w:val="28"/>
          <w:szCs w:val="28"/>
        </w:rPr>
      </w:pPr>
    </w:p>
    <w:p>
      <w:pPr>
        <w:pStyle w:val="4"/>
        <w:keepLines w:val="0"/>
        <w:pageBreakBefore w:val="0"/>
        <w:widowControl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bookmarkStart w:id="8" w:name="_Toc28359079"/>
      <w:bookmarkStart w:id="9" w:name="_Toc35393621"/>
      <w:bookmarkStart w:id="10" w:name="_Toc28359002"/>
      <w:bookmarkStart w:id="11" w:name="_Toc35393790"/>
      <w:bookmarkStart w:id="12" w:name="_Hlk24379207"/>
      <w:r>
        <w:rPr>
          <w:rFonts w:hint="eastAsia" w:asciiTheme="majorEastAsia" w:hAnsiTheme="majorEastAsia" w:eastAsiaTheme="majorEastAsia" w:cstheme="majorEastAsia"/>
          <w:b w:val="0"/>
          <w:sz w:val="21"/>
          <w:szCs w:val="21"/>
        </w:rPr>
        <w:t>一</w:t>
      </w:r>
      <w:r>
        <w:rPr>
          <w:rFonts w:hint="eastAsia" w:asciiTheme="minorEastAsia" w:hAnsiTheme="minorEastAsia" w:eastAsiaTheme="minorEastAsia" w:cstheme="minorEastAsia"/>
          <w:b w:val="0"/>
          <w:bCs/>
          <w:i w:val="0"/>
          <w:iCs w:val="0"/>
          <w:sz w:val="21"/>
          <w:szCs w:val="21"/>
        </w:rPr>
        <w:t>、项目基本情况</w:t>
      </w:r>
      <w:bookmarkEnd w:id="8"/>
      <w:bookmarkEnd w:id="9"/>
      <w:bookmarkEnd w:id="10"/>
      <w:bookmarkEnd w:id="11"/>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val="en-US" w:eastAsia="zh-CN"/>
        </w:rPr>
        <w:t>1.</w:t>
      </w:r>
      <w:r>
        <w:rPr>
          <w:rFonts w:hint="eastAsia" w:asciiTheme="minorEastAsia" w:hAnsiTheme="minorEastAsia" w:eastAsiaTheme="minorEastAsia" w:cstheme="minorEastAsia"/>
          <w:b w:val="0"/>
          <w:bCs/>
          <w:i w:val="0"/>
          <w:iCs w:val="0"/>
          <w:sz w:val="21"/>
          <w:szCs w:val="21"/>
        </w:rPr>
        <w:t>项目编号</w:t>
      </w:r>
      <w:r>
        <w:rPr>
          <w:rFonts w:hint="eastAsia" w:asciiTheme="minorEastAsia" w:hAnsiTheme="minorEastAsia" w:eastAsiaTheme="minorEastAsia" w:cstheme="minorEastAsia"/>
          <w:b w:val="0"/>
          <w:bCs/>
          <w:i w:val="0"/>
          <w:iCs w:val="0"/>
          <w:sz w:val="21"/>
          <w:szCs w:val="21"/>
          <w:lang w:eastAsia="zh-CN"/>
        </w:rPr>
        <w:t>：NNZC2020-G1-00013-HJZB</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val="en-US" w:eastAsia="zh-CN"/>
        </w:rPr>
        <w:t>2.</w:t>
      </w:r>
      <w:r>
        <w:rPr>
          <w:rFonts w:hint="eastAsia" w:asciiTheme="minorEastAsia" w:hAnsiTheme="minorEastAsia" w:eastAsiaTheme="minorEastAsia" w:cstheme="minorEastAsia"/>
          <w:b w:val="0"/>
          <w:bCs/>
          <w:i w:val="0"/>
          <w:iCs w:val="0"/>
          <w:sz w:val="21"/>
          <w:szCs w:val="21"/>
        </w:rPr>
        <w:t xml:space="preserve">审批编号：[2020]NCCSH089/1   </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val="en-US" w:eastAsia="zh-CN"/>
        </w:rPr>
        <w:t>3.</w:t>
      </w:r>
      <w:r>
        <w:rPr>
          <w:rFonts w:hint="eastAsia" w:asciiTheme="minorEastAsia" w:hAnsiTheme="minorEastAsia" w:eastAsiaTheme="minorEastAsia" w:cstheme="minorEastAsia"/>
          <w:b w:val="0"/>
          <w:bCs/>
          <w:i w:val="0"/>
          <w:iCs w:val="0"/>
          <w:sz w:val="21"/>
          <w:szCs w:val="21"/>
        </w:rPr>
        <w:t>项目名称：四害密度控制药械采购</w:t>
      </w:r>
    </w:p>
    <w:bookmarkEnd w:id="12"/>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lang w:val="en-US" w:eastAsia="zh-CN"/>
        </w:rPr>
      </w:pPr>
      <w:r>
        <w:rPr>
          <w:rFonts w:hint="eastAsia" w:asciiTheme="minorEastAsia" w:hAnsiTheme="minorEastAsia" w:eastAsiaTheme="minorEastAsia" w:cstheme="minorEastAsia"/>
          <w:b w:val="0"/>
          <w:bCs/>
          <w:i w:val="0"/>
          <w:iCs w:val="0"/>
          <w:sz w:val="21"/>
          <w:szCs w:val="21"/>
          <w:lang w:val="en-US" w:eastAsia="zh-CN"/>
        </w:rPr>
        <w:t>4.</w:t>
      </w:r>
      <w:r>
        <w:rPr>
          <w:rFonts w:hint="eastAsia" w:asciiTheme="minorEastAsia" w:hAnsiTheme="minorEastAsia" w:eastAsiaTheme="minorEastAsia" w:cstheme="minorEastAsia"/>
          <w:b w:val="0"/>
          <w:bCs/>
          <w:i w:val="0"/>
          <w:iCs w:val="0"/>
          <w:sz w:val="21"/>
          <w:szCs w:val="21"/>
        </w:rPr>
        <w:t>预算金额：</w:t>
      </w:r>
      <w:r>
        <w:rPr>
          <w:rFonts w:hint="eastAsia" w:asciiTheme="minorEastAsia" w:hAnsiTheme="minorEastAsia" w:eastAsiaTheme="minorEastAsia" w:cstheme="minorEastAsia"/>
          <w:b w:val="0"/>
          <w:bCs/>
          <w:i w:val="0"/>
          <w:iCs w:val="0"/>
          <w:sz w:val="21"/>
          <w:szCs w:val="21"/>
          <w:lang w:val="en-US" w:eastAsia="zh-CN"/>
        </w:rPr>
        <w:t>204万元</w:t>
      </w:r>
    </w:p>
    <w:p>
      <w:pPr>
        <w:pStyle w:val="2"/>
        <w:ind w:firstLine="420" w:firstLineChars="200"/>
        <w:rPr>
          <w:rFonts w:hint="eastAsia"/>
          <w:lang w:val="en-US" w:eastAsia="zh-CN"/>
        </w:rPr>
      </w:pPr>
      <w:r>
        <w:rPr>
          <w:rFonts w:hint="eastAsia"/>
          <w:lang w:val="en-US" w:eastAsia="zh-CN"/>
        </w:rPr>
        <w:t>5.最高限价（如有）：与预算金额一致</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lang w:val="en-US" w:eastAsia="zh-CN"/>
        </w:rPr>
        <w:t>6.</w:t>
      </w:r>
      <w:r>
        <w:rPr>
          <w:rFonts w:hint="eastAsia" w:asciiTheme="minorEastAsia" w:hAnsiTheme="minorEastAsia" w:eastAsiaTheme="minorEastAsia" w:cstheme="minorEastAsia"/>
          <w:b w:val="0"/>
          <w:bCs/>
          <w:i w:val="0"/>
          <w:iCs w:val="0"/>
          <w:sz w:val="21"/>
          <w:szCs w:val="21"/>
        </w:rPr>
        <w:t>采购需求：四害密度控制药械一批，具体详见货物需求一览表。</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lang w:val="en-US" w:eastAsia="zh-CN"/>
        </w:rPr>
        <w:t>7.</w:t>
      </w:r>
      <w:r>
        <w:rPr>
          <w:rFonts w:hint="eastAsia" w:asciiTheme="minorEastAsia" w:hAnsiTheme="minorEastAsia" w:eastAsiaTheme="minorEastAsia" w:cstheme="minorEastAsia"/>
          <w:b w:val="0"/>
          <w:bCs/>
          <w:i w:val="0"/>
          <w:iCs w:val="0"/>
          <w:sz w:val="21"/>
          <w:szCs w:val="21"/>
        </w:rPr>
        <w:t>合同履行期限：自合同签定之日起15个工作日内,中标供应商延期交货，采购人有权取消合同，同时要求赔偿损失，并报政府采购监督管理部门按有关规定处理。</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val="en-US" w:eastAsia="zh-CN"/>
        </w:rPr>
        <w:t>8.</w:t>
      </w:r>
      <w:r>
        <w:rPr>
          <w:rFonts w:hint="eastAsia" w:asciiTheme="minorEastAsia" w:hAnsiTheme="minorEastAsia" w:eastAsiaTheme="minorEastAsia" w:cstheme="minorEastAsia"/>
          <w:b w:val="0"/>
          <w:bCs/>
          <w:i w:val="0"/>
          <w:iCs w:val="0"/>
          <w:sz w:val="21"/>
          <w:szCs w:val="21"/>
        </w:rPr>
        <w:t>本项目</w:t>
      </w:r>
      <w:r>
        <w:rPr>
          <w:rFonts w:hint="eastAsia" w:asciiTheme="minorEastAsia" w:hAnsiTheme="minorEastAsia" w:eastAsiaTheme="minorEastAsia" w:cstheme="minorEastAsia"/>
          <w:b w:val="0"/>
          <w:bCs/>
          <w:i w:val="0"/>
          <w:iCs w:val="0"/>
          <w:sz w:val="21"/>
          <w:szCs w:val="21"/>
          <w:lang w:eastAsia="zh-CN"/>
        </w:rPr>
        <w:t>不</w:t>
      </w:r>
      <w:r>
        <w:rPr>
          <w:rFonts w:hint="eastAsia" w:asciiTheme="minorEastAsia" w:hAnsiTheme="minorEastAsia" w:eastAsiaTheme="minorEastAsia" w:cstheme="minorEastAsia"/>
          <w:b w:val="0"/>
          <w:bCs/>
          <w:i w:val="0"/>
          <w:iCs w:val="0"/>
          <w:sz w:val="21"/>
          <w:szCs w:val="21"/>
        </w:rPr>
        <w:t>接受联合体投标。</w:t>
      </w:r>
    </w:p>
    <w:p>
      <w:pPr>
        <w:pStyle w:val="4"/>
        <w:keepLines w:val="0"/>
        <w:pageBreakBefore w:val="0"/>
        <w:widowControl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bookmarkStart w:id="13" w:name="_Toc28359003"/>
      <w:bookmarkStart w:id="14" w:name="_Toc35393791"/>
      <w:bookmarkStart w:id="15" w:name="_Toc35393622"/>
      <w:bookmarkStart w:id="16" w:name="_Toc28359080"/>
      <w:r>
        <w:rPr>
          <w:rFonts w:hint="eastAsia" w:asciiTheme="minorEastAsia" w:hAnsiTheme="minorEastAsia" w:eastAsiaTheme="minorEastAsia" w:cstheme="minorEastAsia"/>
          <w:b w:val="0"/>
          <w:bCs/>
          <w:i w:val="0"/>
          <w:iCs w:val="0"/>
          <w:sz w:val="21"/>
          <w:szCs w:val="21"/>
        </w:rPr>
        <w:t>二、申请人的资格要求：</w:t>
      </w:r>
      <w:bookmarkEnd w:id="13"/>
      <w:bookmarkEnd w:id="14"/>
      <w:bookmarkEnd w:id="15"/>
      <w:bookmarkEnd w:id="16"/>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1.满足《中华人民共和国政府采购法》第二十二条规定；</w:t>
      </w:r>
    </w:p>
    <w:p>
      <w:pPr>
        <w:keepLines w:val="0"/>
        <w:pageBreakBefore w:val="0"/>
        <w:widowControl w:val="0"/>
        <w:kinsoku/>
        <w:wordWrap/>
        <w:overflowPunct/>
        <w:topLinePunct w:val="0"/>
        <w:autoSpaceDE/>
        <w:autoSpaceDN/>
        <w:bidi w:val="0"/>
        <w:snapToGrid/>
        <w:spacing w:line="360" w:lineRule="auto"/>
        <w:ind w:firstLine="420" w:firstLineChars="200"/>
        <w:rPr>
          <w:rFonts w:hint="default" w:asciiTheme="minorEastAsia" w:hAnsiTheme="minorEastAsia" w:eastAsiaTheme="minorEastAsia" w:cstheme="minorEastAsia"/>
          <w:b w:val="0"/>
          <w:bCs/>
          <w:i w:val="0"/>
          <w:iCs w:val="0"/>
          <w:sz w:val="21"/>
          <w:szCs w:val="21"/>
          <w:lang w:val="en-US" w:eastAsia="zh-CN"/>
        </w:rPr>
      </w:pPr>
      <w:bookmarkStart w:id="17" w:name="_Toc28359081"/>
      <w:bookmarkStart w:id="18" w:name="_Toc28359004"/>
      <w:r>
        <w:rPr>
          <w:rFonts w:hint="eastAsia" w:asciiTheme="minorEastAsia" w:hAnsiTheme="minorEastAsia" w:eastAsiaTheme="minorEastAsia" w:cstheme="minorEastAsia"/>
          <w:b w:val="0"/>
          <w:bCs/>
          <w:i w:val="0"/>
          <w:iCs w:val="0"/>
          <w:sz w:val="21"/>
          <w:szCs w:val="21"/>
        </w:rPr>
        <w:t>2.落实政府采购政策需满足的资格要求：本项目属于非专门面向中小企业采购的项目。</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3.本项目的特定资格要求：</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lang w:eastAsia="zh-CN"/>
        </w:rPr>
      </w:pP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lang w:val="en-US" w:eastAsia="zh-CN"/>
        </w:rPr>
        <w:t>1</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国内注册（指按国家有关规定要求注册的），生产或经营本次招标采购内容，具备法人资格的企业或事业单位</w:t>
      </w:r>
      <w:r>
        <w:rPr>
          <w:rFonts w:hint="eastAsia" w:asciiTheme="minorEastAsia" w:hAnsiTheme="minorEastAsia" w:eastAsiaTheme="minorEastAsia" w:cstheme="minorEastAsia"/>
          <w:b w:val="0"/>
          <w:bCs/>
          <w:i w:val="0"/>
          <w:iCs w:val="0"/>
          <w:sz w:val="21"/>
          <w:szCs w:val="21"/>
          <w:lang w:eastAsia="zh-CN"/>
        </w:rPr>
        <w:t>；</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lang w:val="en-US" w:eastAsia="zh-CN"/>
        </w:rPr>
        <w:t>2</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w:t>
      </w:r>
    </w:p>
    <w:p>
      <w:pPr>
        <w:keepLines w:val="0"/>
        <w:pageBreakBefore w:val="0"/>
        <w:widowControl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lang w:val="en-US" w:eastAsia="zh-CN"/>
        </w:rPr>
        <w:t>4.</w:t>
      </w:r>
      <w:r>
        <w:rPr>
          <w:rFonts w:hint="eastAsia" w:asciiTheme="minorEastAsia" w:hAnsiTheme="minorEastAsia" w:eastAsiaTheme="minorEastAsia" w:cstheme="minorEastAsia"/>
          <w:b w:val="0"/>
          <w:bCs/>
          <w:i w:val="0"/>
          <w:iCs w:val="0"/>
          <w:sz w:val="21"/>
          <w:szCs w:val="21"/>
        </w:rPr>
        <w:t>投标人为企业的，如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Lines w:val="0"/>
        <w:pageBreakBefore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bookmarkStart w:id="19" w:name="_Toc35393792"/>
      <w:bookmarkStart w:id="20" w:name="_Toc35393623"/>
      <w:r>
        <w:rPr>
          <w:rFonts w:hint="eastAsia" w:asciiTheme="minorEastAsia" w:hAnsiTheme="minorEastAsia" w:eastAsiaTheme="minorEastAsia" w:cstheme="minorEastAsia"/>
          <w:b w:val="0"/>
          <w:bCs/>
          <w:i w:val="0"/>
          <w:iCs w:val="0"/>
          <w:sz w:val="21"/>
          <w:szCs w:val="21"/>
        </w:rPr>
        <w:t>三、获取招标文件</w:t>
      </w:r>
      <w:bookmarkEnd w:id="17"/>
      <w:bookmarkEnd w:id="18"/>
      <w:bookmarkEnd w:id="19"/>
      <w:bookmarkEnd w:id="20"/>
    </w:p>
    <w:p>
      <w:pPr>
        <w:keepLines w:val="0"/>
        <w:pageBreakBefore w:val="0"/>
        <w:kinsoku/>
        <w:wordWrap/>
        <w:overflowPunct/>
        <w:topLinePunct w:val="0"/>
        <w:autoSpaceDE/>
        <w:autoSpaceDN/>
        <w:bidi w:val="0"/>
        <w:snapToGrid/>
        <w:spacing w:line="360" w:lineRule="auto"/>
        <w:ind w:firstLine="540"/>
        <w:rPr>
          <w:rFonts w:hint="eastAsia" w:asciiTheme="minorEastAsia" w:hAnsiTheme="minorEastAsia" w:eastAsiaTheme="minorEastAsia" w:cstheme="minorEastAsia"/>
          <w:b w:val="0"/>
          <w:bCs/>
          <w:i w:val="0"/>
          <w:iCs w:val="0"/>
          <w:color w:val="auto"/>
          <w:sz w:val="21"/>
          <w:szCs w:val="21"/>
        </w:rPr>
      </w:pPr>
      <w:r>
        <w:rPr>
          <w:rFonts w:hint="eastAsia" w:asciiTheme="minorEastAsia" w:hAnsiTheme="minorEastAsia" w:eastAsiaTheme="minorEastAsia" w:cstheme="minorEastAsia"/>
          <w:b w:val="0"/>
          <w:bCs/>
          <w:i w:val="0"/>
          <w:iCs w:val="0"/>
          <w:sz w:val="21"/>
          <w:szCs w:val="21"/>
        </w:rPr>
        <w:t>时间：</w:t>
      </w:r>
      <w:r>
        <w:rPr>
          <w:rFonts w:hint="eastAsia" w:asciiTheme="minorEastAsia" w:hAnsiTheme="minorEastAsia" w:eastAsiaTheme="minorEastAsia" w:cstheme="minorEastAsia"/>
          <w:b w:val="0"/>
          <w:bCs/>
          <w:i w:val="0"/>
          <w:iCs w:val="0"/>
          <w:color w:val="auto"/>
          <w:sz w:val="21"/>
          <w:szCs w:val="21"/>
          <w:u w:val="single"/>
          <w:lang w:val="en-US" w:eastAsia="zh-CN"/>
        </w:rPr>
        <w:t>2020</w:t>
      </w:r>
      <w:r>
        <w:rPr>
          <w:rFonts w:hint="eastAsia" w:asciiTheme="minorEastAsia" w:hAnsiTheme="minorEastAsia" w:eastAsiaTheme="minorEastAsia" w:cstheme="minorEastAsia"/>
          <w:b w:val="0"/>
          <w:bCs/>
          <w:i w:val="0"/>
          <w:iCs w:val="0"/>
          <w:color w:val="auto"/>
          <w:sz w:val="21"/>
          <w:szCs w:val="21"/>
          <w:u w:val="single"/>
        </w:rPr>
        <w:t>年</w:t>
      </w:r>
      <w:r>
        <w:rPr>
          <w:rFonts w:hint="eastAsia" w:asciiTheme="minorEastAsia" w:hAnsiTheme="minorEastAsia" w:eastAsiaTheme="minorEastAsia" w:cstheme="minorEastAsia"/>
          <w:b w:val="0"/>
          <w:bCs/>
          <w:i w:val="0"/>
          <w:iCs w:val="0"/>
          <w:color w:val="auto"/>
          <w:sz w:val="21"/>
          <w:szCs w:val="21"/>
          <w:u w:val="single"/>
          <w:lang w:val="en-US" w:eastAsia="zh-CN"/>
        </w:rPr>
        <w:t>7</w:t>
      </w:r>
      <w:r>
        <w:rPr>
          <w:rFonts w:hint="eastAsia" w:asciiTheme="minorEastAsia" w:hAnsiTheme="minorEastAsia" w:eastAsiaTheme="minorEastAsia" w:cstheme="minorEastAsia"/>
          <w:b w:val="0"/>
          <w:bCs/>
          <w:i w:val="0"/>
          <w:iCs w:val="0"/>
          <w:color w:val="auto"/>
          <w:sz w:val="21"/>
          <w:szCs w:val="21"/>
          <w:u w:val="single"/>
        </w:rPr>
        <w:t xml:space="preserve">月 </w:t>
      </w:r>
      <w:r>
        <w:rPr>
          <w:rFonts w:hint="eastAsia" w:asciiTheme="minorEastAsia" w:hAnsiTheme="minorEastAsia" w:eastAsiaTheme="minorEastAsia" w:cstheme="minorEastAsia"/>
          <w:b w:val="0"/>
          <w:bCs/>
          <w:i w:val="0"/>
          <w:iCs w:val="0"/>
          <w:color w:val="auto"/>
          <w:sz w:val="21"/>
          <w:szCs w:val="21"/>
          <w:u w:val="single"/>
          <w:lang w:val="en-US" w:eastAsia="zh-CN"/>
        </w:rPr>
        <w:t>2</w:t>
      </w:r>
      <w:r>
        <w:rPr>
          <w:rFonts w:hint="eastAsia" w:asciiTheme="minorEastAsia" w:hAnsiTheme="minorEastAsia" w:eastAsiaTheme="minorEastAsia" w:cstheme="minorEastAsia"/>
          <w:b w:val="0"/>
          <w:bCs/>
          <w:i w:val="0"/>
          <w:iCs w:val="0"/>
          <w:color w:val="auto"/>
          <w:sz w:val="21"/>
          <w:szCs w:val="21"/>
          <w:u w:val="single"/>
        </w:rPr>
        <w:t>日</w:t>
      </w:r>
      <w:r>
        <w:rPr>
          <w:rFonts w:hint="eastAsia" w:asciiTheme="minorEastAsia" w:hAnsiTheme="minorEastAsia" w:eastAsiaTheme="minorEastAsia" w:cstheme="minorEastAsia"/>
          <w:b w:val="0"/>
          <w:bCs/>
          <w:i w:val="0"/>
          <w:iCs w:val="0"/>
          <w:color w:val="auto"/>
          <w:sz w:val="21"/>
          <w:szCs w:val="21"/>
        </w:rPr>
        <w:t>至</w:t>
      </w:r>
      <w:r>
        <w:rPr>
          <w:rFonts w:hint="eastAsia" w:asciiTheme="minorEastAsia" w:hAnsiTheme="minorEastAsia" w:eastAsiaTheme="minorEastAsia" w:cstheme="minorEastAsia"/>
          <w:b w:val="0"/>
          <w:bCs/>
          <w:i w:val="0"/>
          <w:iCs w:val="0"/>
          <w:color w:val="auto"/>
          <w:sz w:val="21"/>
          <w:szCs w:val="21"/>
          <w:u w:val="single"/>
          <w:lang w:val="en-US" w:eastAsia="zh-CN"/>
        </w:rPr>
        <w:t>2020</w:t>
      </w:r>
      <w:r>
        <w:rPr>
          <w:rFonts w:hint="eastAsia" w:asciiTheme="minorEastAsia" w:hAnsiTheme="minorEastAsia" w:eastAsiaTheme="minorEastAsia" w:cstheme="minorEastAsia"/>
          <w:b w:val="0"/>
          <w:bCs/>
          <w:i w:val="0"/>
          <w:iCs w:val="0"/>
          <w:color w:val="auto"/>
          <w:sz w:val="21"/>
          <w:szCs w:val="21"/>
          <w:u w:val="single"/>
        </w:rPr>
        <w:t>年</w:t>
      </w:r>
      <w:r>
        <w:rPr>
          <w:rFonts w:hint="eastAsia" w:asciiTheme="minorEastAsia" w:hAnsiTheme="minorEastAsia" w:eastAsiaTheme="minorEastAsia" w:cstheme="minorEastAsia"/>
          <w:b w:val="0"/>
          <w:bCs/>
          <w:i w:val="0"/>
          <w:iCs w:val="0"/>
          <w:color w:val="auto"/>
          <w:sz w:val="21"/>
          <w:szCs w:val="21"/>
          <w:u w:val="single"/>
          <w:lang w:val="en-US" w:eastAsia="zh-CN"/>
        </w:rPr>
        <w:t>7</w:t>
      </w:r>
      <w:r>
        <w:rPr>
          <w:rFonts w:hint="eastAsia" w:asciiTheme="minorEastAsia" w:hAnsiTheme="minorEastAsia" w:eastAsiaTheme="minorEastAsia" w:cstheme="minorEastAsia"/>
          <w:b w:val="0"/>
          <w:bCs/>
          <w:i w:val="0"/>
          <w:iCs w:val="0"/>
          <w:color w:val="auto"/>
          <w:sz w:val="21"/>
          <w:szCs w:val="21"/>
          <w:u w:val="single"/>
        </w:rPr>
        <w:t>月</w:t>
      </w:r>
      <w:r>
        <w:rPr>
          <w:rFonts w:hint="eastAsia" w:asciiTheme="minorEastAsia" w:hAnsiTheme="minorEastAsia" w:eastAsiaTheme="minorEastAsia" w:cstheme="minorEastAsia"/>
          <w:b w:val="0"/>
          <w:bCs/>
          <w:i w:val="0"/>
          <w:iCs w:val="0"/>
          <w:color w:val="auto"/>
          <w:sz w:val="21"/>
          <w:szCs w:val="21"/>
          <w:u w:val="single"/>
          <w:lang w:val="en-US" w:eastAsia="zh-CN"/>
        </w:rPr>
        <w:t>9</w:t>
      </w:r>
      <w:r>
        <w:rPr>
          <w:rFonts w:hint="eastAsia" w:asciiTheme="minorEastAsia" w:hAnsiTheme="minorEastAsia" w:eastAsiaTheme="minorEastAsia" w:cstheme="minorEastAsia"/>
          <w:b w:val="0"/>
          <w:bCs/>
          <w:i w:val="0"/>
          <w:iCs w:val="0"/>
          <w:color w:val="auto"/>
          <w:sz w:val="21"/>
          <w:szCs w:val="21"/>
          <w:u w:val="single"/>
        </w:rPr>
        <w:t>日（提供期限自本公告发布之日起不得少于5个工作日）</w:t>
      </w:r>
      <w:r>
        <w:rPr>
          <w:rFonts w:hint="eastAsia" w:asciiTheme="minorEastAsia" w:hAnsiTheme="minorEastAsia" w:eastAsiaTheme="minorEastAsia" w:cstheme="minorEastAsia"/>
          <w:b w:val="0"/>
          <w:bCs/>
          <w:i w:val="0"/>
          <w:iCs w:val="0"/>
          <w:color w:val="auto"/>
          <w:sz w:val="21"/>
          <w:szCs w:val="21"/>
        </w:rPr>
        <w:t>，每天上午</w:t>
      </w:r>
      <w:r>
        <w:rPr>
          <w:rFonts w:hint="eastAsia" w:asciiTheme="minorEastAsia" w:hAnsiTheme="minorEastAsia" w:eastAsiaTheme="minorEastAsia" w:cstheme="minorEastAsia"/>
          <w:b w:val="0"/>
          <w:bCs/>
          <w:i w:val="0"/>
          <w:iCs w:val="0"/>
          <w:color w:val="auto"/>
          <w:sz w:val="21"/>
          <w:szCs w:val="21"/>
          <w:u w:val="single"/>
          <w:lang w:val="en-US" w:eastAsia="zh-CN"/>
        </w:rPr>
        <w:t>09：00</w:t>
      </w:r>
      <w:r>
        <w:rPr>
          <w:rFonts w:hint="eastAsia" w:asciiTheme="minorEastAsia" w:hAnsiTheme="minorEastAsia" w:eastAsiaTheme="minorEastAsia" w:cstheme="minorEastAsia"/>
          <w:b w:val="0"/>
          <w:bCs/>
          <w:i w:val="0"/>
          <w:iCs w:val="0"/>
          <w:color w:val="auto"/>
          <w:sz w:val="21"/>
          <w:szCs w:val="21"/>
        </w:rPr>
        <w:t>至</w:t>
      </w:r>
      <w:r>
        <w:rPr>
          <w:rFonts w:hint="eastAsia" w:asciiTheme="minorEastAsia" w:hAnsiTheme="minorEastAsia" w:eastAsiaTheme="minorEastAsia" w:cstheme="minorEastAsia"/>
          <w:b w:val="0"/>
          <w:bCs/>
          <w:i w:val="0"/>
          <w:iCs w:val="0"/>
          <w:color w:val="auto"/>
          <w:sz w:val="21"/>
          <w:szCs w:val="21"/>
          <w:u w:val="single"/>
          <w:lang w:val="en-US" w:eastAsia="zh-CN"/>
        </w:rPr>
        <w:t xml:space="preserve">12：00 </w:t>
      </w:r>
      <w:r>
        <w:rPr>
          <w:rFonts w:hint="eastAsia" w:asciiTheme="minorEastAsia" w:hAnsiTheme="minorEastAsia" w:eastAsiaTheme="minorEastAsia" w:cstheme="minorEastAsia"/>
          <w:b w:val="0"/>
          <w:bCs/>
          <w:i w:val="0"/>
          <w:iCs w:val="0"/>
          <w:color w:val="auto"/>
          <w:sz w:val="21"/>
          <w:szCs w:val="21"/>
        </w:rPr>
        <w:t>，下午</w:t>
      </w:r>
      <w:r>
        <w:rPr>
          <w:rFonts w:hint="eastAsia" w:asciiTheme="minorEastAsia" w:hAnsiTheme="minorEastAsia" w:eastAsiaTheme="minorEastAsia" w:cstheme="minorEastAsia"/>
          <w:b w:val="0"/>
          <w:bCs/>
          <w:i w:val="0"/>
          <w:iCs w:val="0"/>
          <w:color w:val="auto"/>
          <w:sz w:val="21"/>
          <w:szCs w:val="21"/>
          <w:u w:val="single"/>
          <w:lang w:val="en-US" w:eastAsia="zh-CN"/>
        </w:rPr>
        <w:t>13：00</w:t>
      </w:r>
      <w:r>
        <w:rPr>
          <w:rFonts w:hint="eastAsia" w:asciiTheme="minorEastAsia" w:hAnsiTheme="minorEastAsia" w:eastAsiaTheme="minorEastAsia" w:cstheme="minorEastAsia"/>
          <w:b w:val="0"/>
          <w:bCs/>
          <w:i w:val="0"/>
          <w:iCs w:val="0"/>
          <w:color w:val="auto"/>
          <w:sz w:val="21"/>
          <w:szCs w:val="21"/>
        </w:rPr>
        <w:t>至</w:t>
      </w:r>
      <w:r>
        <w:rPr>
          <w:rFonts w:hint="eastAsia" w:asciiTheme="minorEastAsia" w:hAnsiTheme="minorEastAsia" w:eastAsiaTheme="minorEastAsia" w:cstheme="minorEastAsia"/>
          <w:b w:val="0"/>
          <w:bCs/>
          <w:i w:val="0"/>
          <w:iCs w:val="0"/>
          <w:color w:val="auto"/>
          <w:sz w:val="21"/>
          <w:szCs w:val="21"/>
          <w:u w:val="single"/>
          <w:lang w:val="en-US" w:eastAsia="zh-CN"/>
        </w:rPr>
        <w:t>17：00</w:t>
      </w:r>
      <w:r>
        <w:rPr>
          <w:rFonts w:hint="eastAsia" w:asciiTheme="minorEastAsia" w:hAnsiTheme="minorEastAsia" w:eastAsiaTheme="minorEastAsia" w:cstheme="minorEastAsia"/>
          <w:b w:val="0"/>
          <w:bCs/>
          <w:i w:val="0"/>
          <w:iCs w:val="0"/>
          <w:color w:val="auto"/>
          <w:sz w:val="21"/>
          <w:szCs w:val="21"/>
          <w:u w:val="single"/>
        </w:rPr>
        <w:t>　</w:t>
      </w:r>
      <w:r>
        <w:rPr>
          <w:rFonts w:hint="eastAsia" w:asciiTheme="minorEastAsia" w:hAnsiTheme="minorEastAsia" w:eastAsiaTheme="minorEastAsia" w:cstheme="minorEastAsia"/>
          <w:b w:val="0"/>
          <w:bCs/>
          <w:i w:val="0"/>
          <w:iCs w:val="0"/>
          <w:color w:val="auto"/>
          <w:sz w:val="21"/>
          <w:szCs w:val="21"/>
        </w:rPr>
        <w:t>（北京时间，法定节假日除外）</w:t>
      </w:r>
    </w:p>
    <w:p>
      <w:pPr>
        <w:keepLines w:val="0"/>
        <w:pageBreakBefore w:val="0"/>
        <w:kinsoku/>
        <w:wordWrap/>
        <w:overflowPunct/>
        <w:topLinePunct w:val="0"/>
        <w:autoSpaceDE/>
        <w:autoSpaceDN/>
        <w:bidi w:val="0"/>
        <w:snapToGrid/>
        <w:spacing w:line="360" w:lineRule="auto"/>
        <w:ind w:firstLine="540"/>
        <w:rPr>
          <w:rFonts w:hint="eastAsia" w:asciiTheme="minorEastAsia" w:hAnsiTheme="minorEastAsia" w:eastAsiaTheme="minorEastAsia" w:cstheme="minorEastAsia"/>
          <w:b w:val="0"/>
          <w:bCs/>
          <w:i w:val="0"/>
          <w:iCs w:val="0"/>
          <w:color w:val="auto"/>
          <w:sz w:val="21"/>
          <w:szCs w:val="21"/>
          <w:u w:val="single"/>
        </w:rPr>
      </w:pPr>
      <w:r>
        <w:rPr>
          <w:rFonts w:hint="eastAsia" w:asciiTheme="minorEastAsia" w:hAnsiTheme="minorEastAsia" w:eastAsiaTheme="minorEastAsia" w:cstheme="minorEastAsia"/>
          <w:b w:val="0"/>
          <w:bCs/>
          <w:i w:val="0"/>
          <w:iCs w:val="0"/>
          <w:color w:val="auto"/>
          <w:sz w:val="21"/>
          <w:szCs w:val="21"/>
        </w:rPr>
        <w:t>地点：南宁市公共资源交易平台（www.nnggzy.org.cn）</w:t>
      </w:r>
    </w:p>
    <w:p>
      <w:pPr>
        <w:keepLines w:val="0"/>
        <w:pageBreakBefore w:val="0"/>
        <w:kinsoku/>
        <w:wordWrap/>
        <w:overflowPunct/>
        <w:topLinePunct w:val="0"/>
        <w:autoSpaceDE/>
        <w:autoSpaceDN/>
        <w:bidi w:val="0"/>
        <w:snapToGrid/>
        <w:spacing w:line="360" w:lineRule="auto"/>
        <w:ind w:firstLine="540"/>
        <w:rPr>
          <w:rFonts w:hint="eastAsia" w:asciiTheme="minorEastAsia" w:hAnsiTheme="minorEastAsia" w:eastAsiaTheme="minorEastAsia" w:cstheme="minorEastAsia"/>
          <w:b w:val="0"/>
          <w:bCs/>
          <w:i w:val="0"/>
          <w:iCs w:val="0"/>
          <w:color w:val="auto"/>
          <w:sz w:val="21"/>
          <w:szCs w:val="21"/>
          <w:u w:val="single"/>
        </w:rPr>
      </w:pPr>
      <w:r>
        <w:rPr>
          <w:rFonts w:hint="eastAsia" w:asciiTheme="minorEastAsia" w:hAnsiTheme="minorEastAsia" w:eastAsiaTheme="minorEastAsia" w:cstheme="minorEastAsia"/>
          <w:b w:val="0"/>
          <w:bCs/>
          <w:i w:val="0"/>
          <w:iCs w:val="0"/>
          <w:color w:val="auto"/>
          <w:sz w:val="21"/>
          <w:szCs w:val="21"/>
        </w:rPr>
        <w:t>方式：本项目不提供纸质版招标文件，供应商在南宁市公共资源交易平台（www.nnggzy.org.cn）免费下载招标（采购）文件。</w:t>
      </w:r>
    </w:p>
    <w:p>
      <w:pPr>
        <w:keepLines w:val="0"/>
        <w:pageBreakBefore w:val="0"/>
        <w:kinsoku/>
        <w:wordWrap/>
        <w:overflowPunct/>
        <w:topLinePunct w:val="0"/>
        <w:autoSpaceDE/>
        <w:autoSpaceDN/>
        <w:bidi w:val="0"/>
        <w:snapToGrid/>
        <w:spacing w:line="360" w:lineRule="auto"/>
        <w:ind w:firstLine="540"/>
        <w:rPr>
          <w:rFonts w:hint="eastAsia" w:asciiTheme="minorEastAsia" w:hAnsiTheme="minorEastAsia" w:eastAsiaTheme="minorEastAsia" w:cstheme="minorEastAsia"/>
          <w:b w:val="0"/>
          <w:bCs/>
          <w:i w:val="0"/>
          <w:iCs w:val="0"/>
          <w:color w:val="auto"/>
          <w:sz w:val="21"/>
          <w:szCs w:val="21"/>
          <w:lang w:val="en-US" w:eastAsia="zh-CN"/>
        </w:rPr>
      </w:pPr>
      <w:r>
        <w:rPr>
          <w:rFonts w:hint="eastAsia" w:asciiTheme="minorEastAsia" w:hAnsiTheme="minorEastAsia" w:eastAsiaTheme="minorEastAsia" w:cstheme="minorEastAsia"/>
          <w:b w:val="0"/>
          <w:bCs/>
          <w:i w:val="0"/>
          <w:iCs w:val="0"/>
          <w:color w:val="auto"/>
          <w:sz w:val="21"/>
          <w:szCs w:val="21"/>
        </w:rPr>
        <w:t>售价：</w:t>
      </w:r>
      <w:r>
        <w:rPr>
          <w:rFonts w:hint="eastAsia" w:asciiTheme="minorEastAsia" w:hAnsiTheme="minorEastAsia" w:eastAsiaTheme="minorEastAsia" w:cstheme="minorEastAsia"/>
          <w:b w:val="0"/>
          <w:bCs/>
          <w:i w:val="0"/>
          <w:iCs w:val="0"/>
          <w:color w:val="auto"/>
          <w:sz w:val="21"/>
          <w:szCs w:val="21"/>
          <w:lang w:val="en-US" w:eastAsia="zh-CN"/>
        </w:rPr>
        <w:t>0元</w:t>
      </w:r>
    </w:p>
    <w:p>
      <w:pPr>
        <w:pStyle w:val="4"/>
        <w:keepLines w:val="0"/>
        <w:pageBreakBefore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color w:val="auto"/>
          <w:sz w:val="21"/>
          <w:szCs w:val="21"/>
        </w:rPr>
      </w:pPr>
      <w:bookmarkStart w:id="21" w:name="_Toc28359082"/>
      <w:bookmarkStart w:id="22" w:name="_Toc28359005"/>
      <w:bookmarkStart w:id="23" w:name="_Toc35393793"/>
      <w:bookmarkStart w:id="24" w:name="_Toc35393624"/>
      <w:r>
        <w:rPr>
          <w:rFonts w:hint="eastAsia" w:asciiTheme="minorEastAsia" w:hAnsiTheme="minorEastAsia" w:eastAsiaTheme="minorEastAsia" w:cstheme="minorEastAsia"/>
          <w:b w:val="0"/>
          <w:bCs/>
          <w:i w:val="0"/>
          <w:iCs w:val="0"/>
          <w:color w:val="auto"/>
          <w:sz w:val="21"/>
          <w:szCs w:val="21"/>
        </w:rPr>
        <w:t>四、提交投标文件</w:t>
      </w:r>
      <w:bookmarkEnd w:id="21"/>
      <w:bookmarkEnd w:id="22"/>
      <w:r>
        <w:rPr>
          <w:rFonts w:hint="eastAsia" w:asciiTheme="minorEastAsia" w:hAnsiTheme="minorEastAsia" w:eastAsiaTheme="minorEastAsia" w:cstheme="minorEastAsia"/>
          <w:b w:val="0"/>
          <w:bCs/>
          <w:i w:val="0"/>
          <w:iCs w:val="0"/>
          <w:color w:val="auto"/>
          <w:sz w:val="21"/>
          <w:szCs w:val="21"/>
        </w:rPr>
        <w:t>截止时间、开标时间和地点</w:t>
      </w:r>
      <w:bookmarkEnd w:id="23"/>
      <w:bookmarkEnd w:id="24"/>
    </w:p>
    <w:p>
      <w:pPr>
        <w:keepLines w:val="0"/>
        <w:pageBreakBefore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color w:val="auto"/>
          <w:sz w:val="21"/>
          <w:szCs w:val="21"/>
          <w:u w:val="single"/>
          <w:lang w:val="en-US" w:eastAsia="zh-CN"/>
        </w:rPr>
        <w:t>2020</w:t>
      </w:r>
      <w:r>
        <w:rPr>
          <w:rFonts w:hint="eastAsia" w:asciiTheme="minorEastAsia" w:hAnsiTheme="minorEastAsia" w:eastAsiaTheme="minorEastAsia" w:cstheme="minorEastAsia"/>
          <w:b w:val="0"/>
          <w:bCs/>
          <w:i w:val="0"/>
          <w:iCs w:val="0"/>
          <w:color w:val="auto"/>
          <w:sz w:val="21"/>
          <w:szCs w:val="21"/>
          <w:u w:val="single"/>
        </w:rPr>
        <w:t>年</w:t>
      </w:r>
      <w:r>
        <w:rPr>
          <w:rFonts w:hint="eastAsia" w:asciiTheme="minorEastAsia" w:hAnsiTheme="minorEastAsia" w:eastAsiaTheme="minorEastAsia" w:cstheme="minorEastAsia"/>
          <w:b w:val="0"/>
          <w:bCs/>
          <w:i w:val="0"/>
          <w:iCs w:val="0"/>
          <w:color w:val="auto"/>
          <w:sz w:val="21"/>
          <w:szCs w:val="21"/>
          <w:u w:val="single"/>
          <w:lang w:val="en-US" w:eastAsia="zh-CN"/>
        </w:rPr>
        <w:t xml:space="preserve"> 7</w:t>
      </w:r>
      <w:r>
        <w:rPr>
          <w:rFonts w:hint="eastAsia" w:asciiTheme="minorEastAsia" w:hAnsiTheme="minorEastAsia" w:eastAsiaTheme="minorEastAsia" w:cstheme="minorEastAsia"/>
          <w:b w:val="0"/>
          <w:bCs/>
          <w:i w:val="0"/>
          <w:iCs w:val="0"/>
          <w:color w:val="auto"/>
          <w:sz w:val="21"/>
          <w:szCs w:val="21"/>
          <w:u w:val="single"/>
        </w:rPr>
        <w:t>月</w:t>
      </w:r>
      <w:r>
        <w:rPr>
          <w:rFonts w:hint="eastAsia" w:asciiTheme="minorEastAsia" w:hAnsiTheme="minorEastAsia" w:eastAsiaTheme="minorEastAsia" w:cstheme="minorEastAsia"/>
          <w:b w:val="0"/>
          <w:bCs/>
          <w:i w:val="0"/>
          <w:iCs w:val="0"/>
          <w:color w:val="auto"/>
          <w:sz w:val="21"/>
          <w:szCs w:val="21"/>
          <w:u w:val="single"/>
          <w:lang w:val="en-US" w:eastAsia="zh-CN"/>
        </w:rPr>
        <w:t>23</w:t>
      </w:r>
      <w:r>
        <w:rPr>
          <w:rFonts w:hint="eastAsia" w:asciiTheme="minorEastAsia" w:hAnsiTheme="minorEastAsia" w:eastAsiaTheme="minorEastAsia" w:cstheme="minorEastAsia"/>
          <w:b w:val="0"/>
          <w:bCs/>
          <w:i w:val="0"/>
          <w:iCs w:val="0"/>
          <w:color w:val="auto"/>
          <w:sz w:val="21"/>
          <w:szCs w:val="21"/>
          <w:u w:val="single"/>
        </w:rPr>
        <w:t xml:space="preserve">日 </w:t>
      </w:r>
      <w:r>
        <w:rPr>
          <w:rFonts w:hint="eastAsia" w:asciiTheme="minorEastAsia" w:hAnsiTheme="minorEastAsia" w:eastAsiaTheme="minorEastAsia" w:cstheme="minorEastAsia"/>
          <w:b w:val="0"/>
          <w:bCs/>
          <w:i w:val="0"/>
          <w:iCs w:val="0"/>
          <w:color w:val="auto"/>
          <w:sz w:val="21"/>
          <w:szCs w:val="21"/>
          <w:u w:val="single"/>
          <w:lang w:val="en-US" w:eastAsia="zh-CN"/>
        </w:rPr>
        <w:t>09</w:t>
      </w:r>
      <w:r>
        <w:rPr>
          <w:rFonts w:hint="eastAsia" w:asciiTheme="minorEastAsia" w:hAnsiTheme="minorEastAsia" w:eastAsiaTheme="minorEastAsia" w:cstheme="minorEastAsia"/>
          <w:b w:val="0"/>
          <w:bCs/>
          <w:i w:val="0"/>
          <w:iCs w:val="0"/>
          <w:color w:val="auto"/>
          <w:sz w:val="21"/>
          <w:szCs w:val="21"/>
          <w:u w:val="single"/>
        </w:rPr>
        <w:t xml:space="preserve"> 点 </w:t>
      </w:r>
      <w:r>
        <w:rPr>
          <w:rFonts w:hint="eastAsia" w:asciiTheme="minorEastAsia" w:hAnsiTheme="minorEastAsia" w:eastAsiaTheme="minorEastAsia" w:cstheme="minorEastAsia"/>
          <w:b w:val="0"/>
          <w:bCs/>
          <w:i w:val="0"/>
          <w:iCs w:val="0"/>
          <w:color w:val="auto"/>
          <w:sz w:val="21"/>
          <w:szCs w:val="21"/>
          <w:u w:val="single"/>
          <w:lang w:val="en-US" w:eastAsia="zh-CN"/>
        </w:rPr>
        <w:t>30</w:t>
      </w:r>
      <w:r>
        <w:rPr>
          <w:rFonts w:hint="eastAsia" w:asciiTheme="minorEastAsia" w:hAnsiTheme="minorEastAsia" w:eastAsiaTheme="minorEastAsia" w:cstheme="minorEastAsia"/>
          <w:b w:val="0"/>
          <w:bCs/>
          <w:i w:val="0"/>
          <w:iCs w:val="0"/>
          <w:color w:val="auto"/>
          <w:sz w:val="21"/>
          <w:szCs w:val="21"/>
          <w:u w:val="single"/>
        </w:rPr>
        <w:t>分</w:t>
      </w:r>
      <w:r>
        <w:rPr>
          <w:rFonts w:hint="eastAsia" w:asciiTheme="minorEastAsia" w:hAnsiTheme="minorEastAsia" w:eastAsiaTheme="minorEastAsia" w:cstheme="minorEastAsia"/>
          <w:b w:val="0"/>
          <w:bCs/>
          <w:i w:val="0"/>
          <w:iCs w:val="0"/>
          <w:color w:val="auto"/>
          <w:sz w:val="21"/>
          <w:szCs w:val="21"/>
        </w:rPr>
        <w:t>（北京时</w:t>
      </w:r>
      <w:r>
        <w:rPr>
          <w:rFonts w:hint="eastAsia" w:asciiTheme="minorEastAsia" w:hAnsiTheme="minorEastAsia" w:eastAsiaTheme="minorEastAsia" w:cstheme="minorEastAsia"/>
          <w:b w:val="0"/>
          <w:bCs/>
          <w:i w:val="0"/>
          <w:iCs w:val="0"/>
          <w:sz w:val="21"/>
          <w:szCs w:val="21"/>
        </w:rPr>
        <w:t>间）</w:t>
      </w:r>
      <w:r>
        <w:rPr>
          <w:rFonts w:hint="eastAsia" w:asciiTheme="minorEastAsia" w:hAnsiTheme="minorEastAsia" w:eastAsiaTheme="minorEastAsia" w:cstheme="minorEastAsia"/>
          <w:b w:val="0"/>
          <w:bCs/>
          <w:i w:val="0"/>
          <w:iCs w:val="0"/>
          <w:sz w:val="21"/>
          <w:szCs w:val="21"/>
          <w:u w:val="single"/>
        </w:rPr>
        <w:t>（自招标文件开始发出之日起至投标人提交投标文件截止之日止，不得少于20日）</w:t>
      </w:r>
    </w:p>
    <w:p>
      <w:pPr>
        <w:keepLines w:val="0"/>
        <w:pageBreakBefore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rPr>
        <w:t>地点：南宁市良庆区玉洞大道33号（市青少年活动中心旁）南宁市市民中心9楼南宁市公共资源交易中心（具体详见9楼电子显示屏场地安排），为做好疫情防控工作，本项目的投标文件通过邮寄快递的方式送达，具体要求详见邮寄形式详见“关于投标文件邮寄形式的通知”。</w:t>
      </w:r>
    </w:p>
    <w:p>
      <w:pPr>
        <w:pStyle w:val="4"/>
        <w:keepLines w:val="0"/>
        <w:pageBreakBefore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bookmarkStart w:id="25" w:name="_Toc28359084"/>
      <w:bookmarkStart w:id="26" w:name="_Toc35393625"/>
      <w:bookmarkStart w:id="27" w:name="_Toc35393794"/>
      <w:bookmarkStart w:id="28" w:name="_Toc28359007"/>
      <w:r>
        <w:rPr>
          <w:rFonts w:hint="eastAsia" w:asciiTheme="minorEastAsia" w:hAnsiTheme="minorEastAsia" w:eastAsiaTheme="minorEastAsia" w:cstheme="minorEastAsia"/>
          <w:b w:val="0"/>
          <w:bCs/>
          <w:i w:val="0"/>
          <w:iCs w:val="0"/>
          <w:sz w:val="21"/>
          <w:szCs w:val="21"/>
        </w:rPr>
        <w:t>五、公告期限</w:t>
      </w:r>
      <w:bookmarkEnd w:id="25"/>
      <w:bookmarkEnd w:id="26"/>
      <w:bookmarkEnd w:id="27"/>
      <w:bookmarkEnd w:id="28"/>
    </w:p>
    <w:p>
      <w:pPr>
        <w:keepLines w:val="0"/>
        <w:pageBreakBefore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val="0"/>
          <w:bCs/>
          <w:i w:val="0"/>
          <w:iCs w:val="0"/>
          <w:kern w:val="0"/>
          <w:sz w:val="21"/>
          <w:szCs w:val="21"/>
        </w:rPr>
      </w:pPr>
      <w:r>
        <w:rPr>
          <w:rFonts w:hint="eastAsia" w:asciiTheme="minorEastAsia" w:hAnsiTheme="minorEastAsia" w:eastAsiaTheme="minorEastAsia" w:cstheme="minorEastAsia"/>
          <w:b w:val="0"/>
          <w:bCs/>
          <w:i w:val="0"/>
          <w:iCs w:val="0"/>
          <w:kern w:val="0"/>
          <w:sz w:val="21"/>
          <w:szCs w:val="21"/>
        </w:rPr>
        <w:t>自本公告发布之日起5个工作日。</w:t>
      </w:r>
    </w:p>
    <w:p>
      <w:pPr>
        <w:pStyle w:val="4"/>
        <w:keepLines w:val="0"/>
        <w:pageBreakBefore w:val="0"/>
        <w:numPr>
          <w:ilvl w:val="0"/>
          <w:numId w:val="3"/>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bookmarkStart w:id="29" w:name="_Toc35393795"/>
      <w:bookmarkStart w:id="30" w:name="_Toc35393626"/>
      <w:r>
        <w:rPr>
          <w:rFonts w:hint="eastAsia" w:asciiTheme="minorEastAsia" w:hAnsiTheme="minorEastAsia" w:eastAsiaTheme="minorEastAsia" w:cstheme="minorEastAsia"/>
          <w:b w:val="0"/>
          <w:bCs/>
          <w:i w:val="0"/>
          <w:iCs w:val="0"/>
          <w:sz w:val="21"/>
          <w:szCs w:val="21"/>
        </w:rPr>
        <w:t>其他补充事宜</w:t>
      </w:r>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项目需要落实的政府采购政策：《政府采购促进中小企业发展暂行办法》（财库〔2011〕181号）、《关于政府采购支持监狱企业发展有关问题的通知》(财库〔2014〕68号)、《关于促进残疾人就业政府采购政策的通知》（财库〔2017〕141号)等。</w:t>
      </w:r>
    </w:p>
    <w:p>
      <w:pPr>
        <w:pStyle w:val="14"/>
        <w:keepLines w:val="0"/>
        <w:pageBreakBefore w:val="0"/>
        <w:kinsoku/>
        <w:wordWrap/>
        <w:overflowPunct/>
        <w:topLinePunct w:val="0"/>
        <w:autoSpaceDE/>
        <w:autoSpaceDN/>
        <w:bidi w:val="0"/>
        <w:snapToGrid/>
        <w:spacing w:line="360" w:lineRule="auto"/>
        <w:ind w:right="420" w:firstLine="444" w:firstLineChars="200"/>
        <w:rPr>
          <w:rFonts w:hint="eastAsia" w:asciiTheme="minorEastAsia" w:hAnsiTheme="minorEastAsia" w:eastAsiaTheme="minorEastAsia" w:cstheme="minorEastAsia"/>
          <w:b w:val="0"/>
          <w:bCs/>
          <w:i w:val="0"/>
          <w:iCs w:val="0"/>
          <w:color w:val="auto"/>
          <w:spacing w:val="6"/>
          <w:kern w:val="48"/>
          <w:sz w:val="21"/>
          <w:szCs w:val="21"/>
          <w:highlight w:val="none"/>
        </w:rPr>
      </w:pPr>
      <w:bookmarkStart w:id="31" w:name="_Toc35393627"/>
      <w:bookmarkStart w:id="32" w:name="_Toc35393796"/>
      <w:bookmarkStart w:id="33" w:name="_Toc28359085"/>
      <w:bookmarkStart w:id="34" w:name="_Toc28359008"/>
      <w:r>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t>2.发布公告的媒介</w:t>
      </w:r>
      <w:r>
        <w:rPr>
          <w:rFonts w:hint="eastAsia" w:asciiTheme="minorEastAsia" w:hAnsiTheme="minorEastAsia" w:eastAsiaTheme="minorEastAsia" w:cstheme="minorEastAsia"/>
          <w:b w:val="0"/>
          <w:bCs/>
          <w:i w:val="0"/>
          <w:iCs w:val="0"/>
          <w:color w:val="auto"/>
          <w:spacing w:val="6"/>
          <w:kern w:val="48"/>
          <w:sz w:val="21"/>
          <w:szCs w:val="21"/>
          <w:highlight w:val="none"/>
        </w:rPr>
        <w:t>：www.ccgp.gov.cn（中国政府采购网）， zfcg.gxzf.gov.cn/（广西壮族自治区政府采购网），www.nnggzy.org.cn （南宁市公共资源交易中心网）。</w:t>
      </w:r>
    </w:p>
    <w:p>
      <w:pPr>
        <w:pStyle w:val="4"/>
        <w:keepLines w:val="0"/>
        <w:pageBreakBefore w:val="0"/>
        <w:numPr>
          <w:ilvl w:val="1"/>
          <w:numId w:val="0"/>
        </w:numPr>
        <w:kinsoku/>
        <w:wordWrap/>
        <w:overflowPunct/>
        <w:topLinePunct w:val="0"/>
        <w:autoSpaceDE/>
        <w:autoSpaceDN/>
        <w:bidi w:val="0"/>
        <w:snapToGrid/>
        <w:spacing w:line="360" w:lineRule="auto"/>
        <w:ind w:left="425" w:leftChars="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七、对本次招标提出询问，请按以下方式联系。</w:t>
      </w:r>
      <w:bookmarkEnd w:id="31"/>
      <w:bookmarkEnd w:id="32"/>
      <w:bookmarkEnd w:id="33"/>
      <w:bookmarkEnd w:id="34"/>
    </w:p>
    <w:p>
      <w:pPr>
        <w:keepLines w:val="0"/>
        <w:pageBreakBefore w:val="0"/>
        <w:widowControl/>
        <w:kinsoku/>
        <w:wordWrap/>
        <w:overflowPunct/>
        <w:topLinePunct w:val="0"/>
        <w:autoSpaceDE/>
        <w:autoSpaceDN/>
        <w:bidi w:val="0"/>
        <w:snapToGrid/>
        <w:spacing w:line="360" w:lineRule="auto"/>
        <w:jc w:val="left"/>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　　　1.采购人信息</w:t>
      </w:r>
    </w:p>
    <w:p>
      <w:pPr>
        <w:keepLines w:val="0"/>
        <w:pageBreakBefore w:val="0"/>
        <w:kinsoku/>
        <w:wordWrap/>
        <w:overflowPunct/>
        <w:topLinePunct w:val="0"/>
        <w:autoSpaceDE/>
        <w:autoSpaceDN/>
        <w:bidi w:val="0"/>
        <w:snapToGrid/>
        <w:spacing w:line="360" w:lineRule="auto"/>
        <w:ind w:left="1041" w:leftChars="371" w:hanging="262" w:hangingChars="125"/>
        <w:jc w:val="left"/>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名 称：</w:t>
      </w:r>
      <w:r>
        <w:rPr>
          <w:rFonts w:hint="eastAsia" w:asciiTheme="minorEastAsia" w:hAnsiTheme="minorEastAsia" w:eastAsiaTheme="minorEastAsia" w:cstheme="minorEastAsia"/>
          <w:b w:val="0"/>
          <w:bCs/>
          <w:i w:val="0"/>
          <w:iCs w:val="0"/>
          <w:sz w:val="21"/>
          <w:szCs w:val="21"/>
          <w:u w:val="single"/>
        </w:rPr>
        <w:t>南宁市卫生健康委员会　</w:t>
      </w:r>
    </w:p>
    <w:p>
      <w:pPr>
        <w:keepLines w:val="0"/>
        <w:pageBreakBefore w:val="0"/>
        <w:kinsoku/>
        <w:wordWrap/>
        <w:overflowPunct/>
        <w:topLinePunct w:val="0"/>
        <w:autoSpaceDE/>
        <w:autoSpaceDN/>
        <w:bidi w:val="0"/>
        <w:snapToGrid/>
        <w:spacing w:line="360" w:lineRule="auto"/>
        <w:ind w:left="1041" w:leftChars="371" w:hanging="262" w:hangingChars="125"/>
        <w:jc w:val="left"/>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地址：</w:t>
      </w:r>
      <w:r>
        <w:rPr>
          <w:rFonts w:hint="eastAsia" w:asciiTheme="minorEastAsia" w:hAnsiTheme="minorEastAsia" w:eastAsiaTheme="minorEastAsia" w:cstheme="minorEastAsia"/>
          <w:b w:val="0"/>
          <w:bCs/>
          <w:i w:val="0"/>
          <w:iCs w:val="0"/>
          <w:sz w:val="21"/>
          <w:szCs w:val="21"/>
          <w:u w:val="single"/>
        </w:rPr>
        <w:t>南宁市长湖路26号</w:t>
      </w:r>
    </w:p>
    <w:p>
      <w:pPr>
        <w:keepLines w:val="0"/>
        <w:pageBreakBefore w:val="0"/>
        <w:kinsoku/>
        <w:wordWrap/>
        <w:overflowPunct/>
        <w:topLinePunct w:val="0"/>
        <w:autoSpaceDE/>
        <w:autoSpaceDN/>
        <w:bidi w:val="0"/>
        <w:snapToGrid/>
        <w:spacing w:line="360" w:lineRule="auto"/>
        <w:ind w:left="1041" w:leftChars="371" w:hanging="262" w:hangingChars="125"/>
        <w:jc w:val="left"/>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rPr>
        <w:t>联系方式：</w:t>
      </w:r>
      <w:r>
        <w:rPr>
          <w:rFonts w:hint="eastAsia" w:asciiTheme="minorEastAsia" w:hAnsiTheme="minorEastAsia" w:eastAsiaTheme="minorEastAsia" w:cstheme="minorEastAsia"/>
          <w:b w:val="0"/>
          <w:bCs/>
          <w:i w:val="0"/>
          <w:iCs w:val="0"/>
          <w:sz w:val="21"/>
          <w:szCs w:val="21"/>
          <w:u w:val="single"/>
        </w:rPr>
        <w:t xml:space="preserve">郭俊坤  0771-5389161　 </w:t>
      </w:r>
      <w:bookmarkStart w:id="35" w:name="_Toc28359086"/>
      <w:bookmarkStart w:id="36" w:name="_Toc28359009"/>
    </w:p>
    <w:p>
      <w:pPr>
        <w:keepLines w:val="0"/>
        <w:pageBreakBefore w:val="0"/>
        <w:kinsoku/>
        <w:wordWrap/>
        <w:overflowPunct/>
        <w:topLinePunct w:val="0"/>
        <w:autoSpaceDE/>
        <w:autoSpaceDN/>
        <w:bidi w:val="0"/>
        <w:snapToGrid/>
        <w:spacing w:line="360" w:lineRule="auto"/>
        <w:ind w:left="1041" w:leftChars="371" w:hanging="262" w:hangingChars="125"/>
        <w:jc w:val="left"/>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2.采购代理机构信息</w:t>
      </w:r>
      <w:bookmarkEnd w:id="35"/>
      <w:bookmarkEnd w:id="36"/>
    </w:p>
    <w:p>
      <w:pPr>
        <w:keepLines w:val="0"/>
        <w:pageBreakBefore w:val="0"/>
        <w:kinsoku/>
        <w:wordWrap/>
        <w:overflowPunct/>
        <w:topLinePunct w:val="0"/>
        <w:autoSpaceDE/>
        <w:autoSpaceDN/>
        <w:bidi w:val="0"/>
        <w:snapToGrid/>
        <w:spacing w:line="360" w:lineRule="auto"/>
        <w:ind w:firstLine="840" w:firstLineChars="4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名 称：</w:t>
      </w:r>
      <w:r>
        <w:rPr>
          <w:rFonts w:hint="eastAsia" w:asciiTheme="minorEastAsia" w:hAnsiTheme="minorEastAsia" w:eastAsiaTheme="minorEastAsia" w:cstheme="minorEastAsia"/>
          <w:b w:val="0"/>
          <w:bCs/>
          <w:i w:val="0"/>
          <w:iCs w:val="0"/>
          <w:sz w:val="21"/>
          <w:szCs w:val="21"/>
          <w:u w:val="single"/>
        </w:rPr>
        <w:t>广西恒基建设工程咨询有限公司 </w:t>
      </w:r>
    </w:p>
    <w:p>
      <w:pPr>
        <w:keepLines w:val="0"/>
        <w:pageBreakBefore w:val="0"/>
        <w:kinsoku/>
        <w:wordWrap/>
        <w:overflowPunct/>
        <w:topLinePunct w:val="0"/>
        <w:autoSpaceDE/>
        <w:autoSpaceDN/>
        <w:bidi w:val="0"/>
        <w:snapToGrid/>
        <w:spacing w:line="360" w:lineRule="auto"/>
        <w:ind w:firstLine="840" w:firstLineChars="4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地　址：</w:t>
      </w:r>
      <w:r>
        <w:rPr>
          <w:rFonts w:hint="eastAsia" w:asciiTheme="minorEastAsia" w:hAnsiTheme="minorEastAsia" w:eastAsiaTheme="minorEastAsia" w:cstheme="minorEastAsia"/>
          <w:b w:val="0"/>
          <w:bCs/>
          <w:i w:val="0"/>
          <w:iCs w:val="0"/>
          <w:sz w:val="21"/>
          <w:szCs w:val="21"/>
          <w:u w:val="single"/>
        </w:rPr>
        <w:t>南宁市青秀区云景路69号南宁市轨道交通运营控制中心B楼14层 </w:t>
      </w:r>
    </w:p>
    <w:p>
      <w:pPr>
        <w:keepLines w:val="0"/>
        <w:pageBreakBefore w:val="0"/>
        <w:kinsoku/>
        <w:wordWrap/>
        <w:overflowPunct/>
        <w:topLinePunct w:val="0"/>
        <w:autoSpaceDE/>
        <w:autoSpaceDN/>
        <w:bidi w:val="0"/>
        <w:snapToGrid/>
        <w:spacing w:line="360" w:lineRule="auto"/>
        <w:ind w:firstLine="840" w:firstLineChars="4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rPr>
        <w:t>联系方式：</w:t>
      </w:r>
      <w:bookmarkStart w:id="37" w:name="_Toc28359087"/>
      <w:bookmarkStart w:id="38" w:name="_Toc28359010"/>
      <w:r>
        <w:rPr>
          <w:rFonts w:hint="eastAsia" w:asciiTheme="minorEastAsia" w:hAnsiTheme="minorEastAsia" w:eastAsiaTheme="minorEastAsia" w:cstheme="minorEastAsia"/>
          <w:b w:val="0"/>
          <w:bCs/>
          <w:i w:val="0"/>
          <w:iCs w:val="0"/>
          <w:sz w:val="21"/>
          <w:szCs w:val="21"/>
          <w:u w:val="single"/>
          <w:lang w:eastAsia="zh-CN"/>
        </w:rPr>
        <w:t>廖欣蕾、</w:t>
      </w:r>
      <w:r>
        <w:rPr>
          <w:rFonts w:hint="eastAsia" w:asciiTheme="minorEastAsia" w:hAnsiTheme="minorEastAsia" w:eastAsiaTheme="minorEastAsia" w:cstheme="minorEastAsia"/>
          <w:b w:val="0"/>
          <w:bCs/>
          <w:i w:val="0"/>
          <w:iCs w:val="0"/>
          <w:sz w:val="21"/>
          <w:szCs w:val="21"/>
          <w:u w:val="single"/>
        </w:rPr>
        <w:t>0771-2756880　</w:t>
      </w:r>
    </w:p>
    <w:p>
      <w:pPr>
        <w:keepLines w:val="0"/>
        <w:pageBreakBefore w:val="0"/>
        <w:kinsoku/>
        <w:wordWrap/>
        <w:overflowPunct/>
        <w:topLinePunct w:val="0"/>
        <w:autoSpaceDE/>
        <w:autoSpaceDN/>
        <w:bidi w:val="0"/>
        <w:snapToGrid/>
        <w:spacing w:line="360" w:lineRule="auto"/>
        <w:ind w:firstLine="630" w:firstLineChars="3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rPr>
        <w:t>3.项目联系方式</w:t>
      </w:r>
      <w:bookmarkEnd w:id="37"/>
      <w:bookmarkEnd w:id="38"/>
    </w:p>
    <w:p>
      <w:pPr>
        <w:pStyle w:val="14"/>
        <w:keepLines w:val="0"/>
        <w:pageBreakBefore w:val="0"/>
        <w:kinsoku/>
        <w:wordWrap/>
        <w:overflowPunct/>
        <w:topLinePunct w:val="0"/>
        <w:autoSpaceDE/>
        <w:autoSpaceDN/>
        <w:bidi w:val="0"/>
        <w:snapToGrid/>
        <w:spacing w:line="360" w:lineRule="auto"/>
        <w:ind w:firstLine="840" w:firstLineChars="40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项目联系人：</w:t>
      </w:r>
      <w:r>
        <w:rPr>
          <w:rFonts w:hint="eastAsia" w:asciiTheme="minorEastAsia" w:hAnsiTheme="minorEastAsia" w:eastAsiaTheme="minorEastAsia" w:cstheme="minorEastAsia"/>
          <w:b w:val="0"/>
          <w:bCs/>
          <w:i w:val="0"/>
          <w:iCs w:val="0"/>
          <w:sz w:val="21"/>
          <w:szCs w:val="21"/>
          <w:u w:val="single"/>
          <w:lang w:eastAsia="zh-CN"/>
        </w:rPr>
        <w:t>廖欣蕾</w:t>
      </w:r>
    </w:p>
    <w:p>
      <w:pPr>
        <w:keepLines w:val="0"/>
        <w:pageBreakBefore w:val="0"/>
        <w:kinsoku/>
        <w:wordWrap/>
        <w:overflowPunct/>
        <w:topLinePunct w:val="0"/>
        <w:autoSpaceDE/>
        <w:autoSpaceDN/>
        <w:bidi w:val="0"/>
        <w:snapToGrid/>
        <w:spacing w:line="360" w:lineRule="auto"/>
        <w:ind w:firstLine="840" w:firstLineChars="400"/>
        <w:rPr>
          <w:rFonts w:hint="eastAsia" w:asciiTheme="minorEastAsia" w:hAnsiTheme="minorEastAsia" w:eastAsiaTheme="minorEastAsia" w:cstheme="minorEastAsia"/>
          <w:b w:val="0"/>
          <w:bCs/>
          <w:i w:val="0"/>
          <w:iCs w:val="0"/>
          <w:sz w:val="21"/>
          <w:szCs w:val="21"/>
          <w:u w:val="single"/>
        </w:rPr>
      </w:pPr>
      <w:r>
        <w:rPr>
          <w:rFonts w:hint="eastAsia" w:asciiTheme="minorEastAsia" w:hAnsiTheme="minorEastAsia" w:eastAsiaTheme="minorEastAsia" w:cstheme="minorEastAsia"/>
          <w:b w:val="0"/>
          <w:bCs/>
          <w:i w:val="0"/>
          <w:iCs w:val="0"/>
          <w:sz w:val="21"/>
          <w:szCs w:val="21"/>
        </w:rPr>
        <w:t>电　话</w:t>
      </w:r>
      <w:r>
        <w:rPr>
          <w:rFonts w:hint="eastAsia" w:asciiTheme="minorEastAsia" w:hAnsiTheme="minorEastAsia" w:eastAsiaTheme="minorEastAsia" w:cstheme="minorEastAsia"/>
          <w:b w:val="0"/>
          <w:bCs/>
          <w:i w:val="0"/>
          <w:iCs w:val="0"/>
          <w:sz w:val="21"/>
          <w:szCs w:val="21"/>
          <w:u w:val="none"/>
        </w:rPr>
        <w:t>：</w:t>
      </w:r>
      <w:r>
        <w:rPr>
          <w:rFonts w:hint="eastAsia" w:asciiTheme="minorEastAsia" w:hAnsiTheme="minorEastAsia" w:eastAsiaTheme="minorEastAsia" w:cstheme="minorEastAsia"/>
          <w:b w:val="0"/>
          <w:bCs/>
          <w:i w:val="0"/>
          <w:iCs w:val="0"/>
          <w:sz w:val="21"/>
          <w:szCs w:val="21"/>
          <w:u w:val="single"/>
          <w:lang w:val="en-US" w:eastAsia="zh-CN"/>
        </w:rPr>
        <w:t xml:space="preserve"> </w:t>
      </w:r>
      <w:r>
        <w:rPr>
          <w:rFonts w:hint="eastAsia" w:asciiTheme="minorEastAsia" w:hAnsiTheme="minorEastAsia" w:eastAsiaTheme="minorEastAsia" w:cstheme="minorEastAsia"/>
          <w:b w:val="0"/>
          <w:bCs/>
          <w:i w:val="0"/>
          <w:iCs w:val="0"/>
          <w:sz w:val="21"/>
          <w:szCs w:val="21"/>
          <w:u w:val="single"/>
        </w:rPr>
        <w:t>0771-2756880　</w:t>
      </w:r>
    </w:p>
    <w:p>
      <w:pPr>
        <w:keepLines w:val="0"/>
        <w:pageBreakBefore w:val="0"/>
        <w:widowControl/>
        <w:kinsoku/>
        <w:wordWrap/>
        <w:overflowPunct/>
        <w:topLinePunct w:val="0"/>
        <w:autoSpaceDE/>
        <w:autoSpaceDN/>
        <w:bidi w:val="0"/>
        <w:snapToGrid/>
        <w:spacing w:line="360" w:lineRule="auto"/>
        <w:jc w:val="left"/>
        <w:rPr>
          <w:rFonts w:hint="eastAsia" w:asciiTheme="minorEastAsia" w:hAnsiTheme="minorEastAsia" w:eastAsiaTheme="minorEastAsia" w:cstheme="minorEastAsia"/>
          <w:b w:val="0"/>
          <w:bCs/>
          <w:i w:val="0"/>
          <w:iCs w:val="0"/>
          <w:sz w:val="21"/>
          <w:szCs w:val="21"/>
        </w:rPr>
      </w:pPr>
    </w:p>
    <w:p>
      <w:pPr>
        <w:pStyle w:val="14"/>
        <w:keepLines w:val="0"/>
        <w:pageBreakBefore w:val="0"/>
        <w:kinsoku/>
        <w:wordWrap/>
        <w:overflowPunct/>
        <w:topLinePunct w:val="0"/>
        <w:autoSpaceDE/>
        <w:autoSpaceDN/>
        <w:bidi w:val="0"/>
        <w:snapToGrid/>
        <w:spacing w:line="360" w:lineRule="auto"/>
        <w:ind w:right="420" w:firstLine="666" w:firstLineChars="300"/>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pPr>
      <w:r>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t>4.监督部门：南宁市财政局政府采购监督管理部门</w:t>
      </w:r>
    </w:p>
    <w:p>
      <w:pPr>
        <w:pStyle w:val="14"/>
        <w:keepLines w:val="0"/>
        <w:pageBreakBefore w:val="0"/>
        <w:kinsoku/>
        <w:wordWrap/>
        <w:overflowPunct/>
        <w:topLinePunct w:val="0"/>
        <w:autoSpaceDE/>
        <w:autoSpaceDN/>
        <w:bidi w:val="0"/>
        <w:snapToGrid/>
        <w:spacing w:line="360" w:lineRule="auto"/>
        <w:ind w:right="420" w:firstLine="888" w:firstLineChars="400"/>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pPr>
      <w:r>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t>电话：0771-2189091</w:t>
      </w:r>
    </w:p>
    <w:p>
      <w:pPr>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b w:val="0"/>
          <w:bCs/>
          <w:i w:val="0"/>
          <w:iCs w:val="0"/>
          <w:sz w:val="21"/>
          <w:szCs w:val="21"/>
        </w:rPr>
      </w:pPr>
    </w:p>
    <w:p>
      <w:pPr>
        <w:pStyle w:val="14"/>
        <w:spacing w:line="360" w:lineRule="auto"/>
        <w:jc w:val="center"/>
        <w:outlineLvl w:val="0"/>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pPr>
      <w:r>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t>广西恒基建设工程咨询有限公司</w:t>
      </w:r>
    </w:p>
    <w:p>
      <w:pPr>
        <w:pStyle w:val="14"/>
        <w:spacing w:line="360" w:lineRule="auto"/>
        <w:jc w:val="center"/>
        <w:outlineLvl w:val="0"/>
        <w:rPr>
          <w:rFonts w:ascii="Times New Roman" w:hAnsi="Times New Roman"/>
          <w:b/>
          <w:color w:val="auto"/>
          <w:sz w:val="36"/>
          <w:highlight w:val="none"/>
        </w:rPr>
      </w:pPr>
      <w:r>
        <w:rPr>
          <w:rFonts w:hint="eastAsia" w:asciiTheme="minorEastAsia" w:hAnsiTheme="minorEastAsia" w:eastAsiaTheme="minorEastAsia" w:cstheme="minorEastAsia"/>
          <w:b w:val="0"/>
          <w:bCs/>
          <w:i w:val="0"/>
          <w:iCs w:val="0"/>
          <w:color w:val="auto"/>
          <w:spacing w:val="6"/>
          <w:kern w:val="48"/>
          <w:sz w:val="21"/>
          <w:szCs w:val="21"/>
          <w:highlight w:val="none"/>
          <w:lang w:val="en-US" w:eastAsia="zh-CN"/>
        </w:rPr>
        <w:t>2020年7月2日</w:t>
      </w:r>
      <w:r>
        <w:rPr>
          <w:rFonts w:hint="eastAsia" w:ascii="Times New Roman" w:hAnsi="Times New Roman"/>
          <w:b/>
          <w:color w:val="auto"/>
          <w:sz w:val="36"/>
          <w:highlight w:val="none"/>
        </w:rPr>
        <w:br w:type="page"/>
      </w:r>
      <w:bookmarkStart w:id="39" w:name="_Toc1654624"/>
      <w:r>
        <w:rPr>
          <w:rFonts w:hint="eastAsia" w:ascii="Times New Roman" w:hAnsi="Times New Roman"/>
          <w:b/>
          <w:color w:val="auto"/>
          <w:sz w:val="36"/>
          <w:highlight w:val="none"/>
        </w:rPr>
        <w:t xml:space="preserve">第二章  </w:t>
      </w:r>
      <w:r>
        <w:rPr>
          <w:rFonts w:hint="eastAsia" w:ascii="Times New Roman" w:hAnsi="Times New Roman"/>
          <w:b/>
          <w:color w:val="auto"/>
          <w:sz w:val="36"/>
          <w:highlight w:val="none"/>
          <w:lang w:eastAsia="zh-CN"/>
        </w:rPr>
        <w:t>货物</w:t>
      </w:r>
      <w:r>
        <w:rPr>
          <w:rFonts w:hint="eastAsia" w:ascii="Times New Roman" w:hAnsi="Times New Roman"/>
          <w:b/>
          <w:color w:val="auto"/>
          <w:sz w:val="36"/>
          <w:highlight w:val="none"/>
        </w:rPr>
        <w:t>需求一览表</w:t>
      </w:r>
      <w:bookmarkEnd w:id="39"/>
    </w:p>
    <w:p>
      <w:pPr>
        <w:adjustRightInd w:val="0"/>
        <w:spacing w:line="340" w:lineRule="exact"/>
        <w:rPr>
          <w:rFonts w:hAnsi="宋体"/>
          <w:b/>
          <w:color w:val="auto"/>
          <w:szCs w:val="21"/>
          <w:highlight w:val="none"/>
        </w:rPr>
      </w:pPr>
    </w:p>
    <w:p>
      <w:pPr>
        <w:adjustRightInd w:val="0"/>
        <w:spacing w:line="360" w:lineRule="exact"/>
        <w:rPr>
          <w:rFonts w:hAnsi="宋体"/>
          <w:b/>
          <w:color w:val="auto"/>
          <w:szCs w:val="21"/>
        </w:rPr>
      </w:pPr>
      <w:r>
        <w:rPr>
          <w:rFonts w:hint="eastAsia" w:hAnsi="宋体"/>
          <w:b/>
          <w:color w:val="auto"/>
          <w:szCs w:val="21"/>
        </w:rPr>
        <w:t>说明：</w:t>
      </w:r>
    </w:p>
    <w:p>
      <w:pPr>
        <w:spacing w:line="360" w:lineRule="exact"/>
        <w:ind w:firstLine="420" w:firstLineChars="200"/>
        <w:rPr>
          <w:rFonts w:ascii="宋体" w:hAnsi="宋体"/>
          <w:color w:val="auto"/>
          <w:szCs w:val="21"/>
        </w:rPr>
      </w:pPr>
      <w:r>
        <w:rPr>
          <w:rFonts w:hint="eastAsia" w:ascii="宋体" w:hAnsi="宋体"/>
          <w:color w:val="auto"/>
          <w:szCs w:val="21"/>
        </w:rPr>
        <w:t>1、本项目需求中的货物品牌型号、技术参数及其性能（配置）仅起参考作用，投标人可选用其他品牌型号替代，但这些替代的产品要实质上相当于或优于参考品牌型号及其技术参数性能（配置）要求。</w:t>
      </w:r>
    </w:p>
    <w:p>
      <w:pPr>
        <w:spacing w:line="360" w:lineRule="exact"/>
        <w:ind w:firstLine="420" w:firstLineChars="200"/>
        <w:rPr>
          <w:rFonts w:ascii="宋体" w:hAnsi="宋体"/>
          <w:color w:val="auto"/>
          <w:szCs w:val="21"/>
        </w:rPr>
      </w:pPr>
      <w:r>
        <w:rPr>
          <w:rFonts w:hint="eastAsia" w:ascii="宋体" w:hAnsi="宋体"/>
          <w:color w:val="auto"/>
          <w:szCs w:val="21"/>
        </w:rPr>
        <w:t>2、本需求中参考品牌型号规格及技术参数不明确或有误的，或投标人选用其他品牌型号替代的，请以详细、正确的品牌型号、技术参数（配置）同时填写投标报价明细表和技术规格偏离表。</w:t>
      </w:r>
    </w:p>
    <w:p>
      <w:pPr>
        <w:spacing w:line="360" w:lineRule="exact"/>
        <w:ind w:firstLine="420" w:firstLineChars="200"/>
        <w:rPr>
          <w:rFonts w:ascii="宋体" w:hAnsi="宋体"/>
          <w:color w:val="auto"/>
          <w:szCs w:val="21"/>
        </w:rPr>
      </w:pPr>
      <w:r>
        <w:rPr>
          <w:rFonts w:hint="eastAsia" w:ascii="宋体" w:hAnsi="宋体"/>
          <w:color w:val="auto"/>
          <w:szCs w:val="21"/>
        </w:rPr>
        <w:t>3、凡在技术参数及其性能（配置）要求中表述为“标配”或“标准配置”的设备，投标人应在技术响应表中将其标配参数详细列明。</w:t>
      </w:r>
    </w:p>
    <w:p>
      <w:pPr>
        <w:spacing w:line="360" w:lineRule="exact"/>
        <w:ind w:firstLine="420" w:firstLineChars="200"/>
        <w:rPr>
          <w:rFonts w:ascii="宋体" w:hAnsi="宋体"/>
          <w:color w:val="auto"/>
          <w:szCs w:val="21"/>
        </w:rPr>
      </w:pPr>
      <w:r>
        <w:rPr>
          <w:rFonts w:hint="eastAsia" w:ascii="宋体" w:hAnsi="宋体"/>
          <w:color w:val="auto"/>
          <w:szCs w:val="21"/>
        </w:rPr>
        <w:t>4、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360" w:lineRule="exact"/>
        <w:ind w:firstLine="420" w:firstLineChars="200"/>
        <w:rPr>
          <w:rFonts w:hint="eastAsia" w:ascii="宋体" w:hAnsi="宋体"/>
          <w:b w:val="0"/>
          <w:bCs w:val="0"/>
          <w:color w:val="auto"/>
          <w:szCs w:val="21"/>
        </w:rPr>
      </w:pPr>
      <w:r>
        <w:rPr>
          <w:rFonts w:hint="eastAsia" w:ascii="宋体" w:hAnsi="宋体"/>
          <w:b w:val="0"/>
          <w:bCs w:val="0"/>
          <w:color w:val="auto"/>
          <w:szCs w:val="21"/>
        </w:rPr>
        <w:t>5、根据《关于调整优化节能产品、环境标志产品政府采购执行机制的通知》（财库〔2019〕9号），对政府采购节能产品、环境标志产品实施品目清单管理，依据品目清单和认证证书实施政府优先采购和强制采购。若本项目拟采购的货物属于强制采购的品目清单范围的，投标人在投标文件中必须提供所投产品经国家确定的认证机构出具的、处于有效期之内的节能产品、环境标志产品认证证书复印件（加盖投标人公章），否则其投标无效。</w:t>
      </w:r>
    </w:p>
    <w:p>
      <w:pPr>
        <w:widowControl/>
        <w:shd w:val="clear" w:color="auto" w:fill="FFFFFF"/>
        <w:snapToGrid w:val="0"/>
        <w:spacing w:line="360" w:lineRule="auto"/>
        <w:ind w:firstLine="442"/>
        <w:jc w:val="left"/>
        <w:rPr>
          <w:rFonts w:hint="eastAsia" w:ascii="宋体" w:hAnsi="宋体" w:eastAsia="宋体" w:cs="宋体"/>
          <w:b/>
          <w:bCs/>
          <w:kern w:val="0"/>
          <w:szCs w:val="21"/>
        </w:rPr>
      </w:pPr>
      <w:r>
        <w:rPr>
          <w:rFonts w:hint="eastAsia" w:ascii="宋体" w:hAnsi="宋体" w:eastAsia="宋体" w:cs="宋体"/>
          <w:b/>
          <w:bCs/>
          <w:kern w:val="0"/>
          <w:szCs w:val="21"/>
          <w:lang w:val="en-US" w:eastAsia="zh-CN"/>
        </w:rPr>
        <w:t>6</w:t>
      </w:r>
      <w:r>
        <w:rPr>
          <w:rFonts w:hint="eastAsia" w:ascii="宋体" w:hAnsi="宋体" w:eastAsia="宋体" w:cs="宋体"/>
          <w:b/>
          <w:bCs/>
          <w:kern w:val="0"/>
          <w:szCs w:val="21"/>
        </w:rPr>
        <w:t>、本</w:t>
      </w:r>
      <w:r>
        <w:rPr>
          <w:rFonts w:hint="eastAsia" w:ascii="宋体" w:hAnsi="宋体" w:eastAsia="宋体" w:cs="宋体"/>
          <w:b/>
          <w:bCs/>
          <w:kern w:val="0"/>
          <w:szCs w:val="21"/>
          <w:lang w:eastAsia="zh-CN"/>
        </w:rPr>
        <w:t>货物</w:t>
      </w:r>
      <w:r>
        <w:rPr>
          <w:rFonts w:hint="eastAsia" w:ascii="宋体" w:hAnsi="宋体" w:eastAsia="宋体" w:cs="宋体"/>
          <w:b/>
          <w:bCs/>
          <w:kern w:val="0"/>
          <w:szCs w:val="21"/>
        </w:rPr>
        <w:t>需求一览表中标注“★”号的内容为本次采购的实质性要求和条件。</w:t>
      </w:r>
    </w:p>
    <w:p>
      <w:pPr>
        <w:widowControl/>
        <w:shd w:val="clear" w:color="auto" w:fill="FFFFFF"/>
        <w:snapToGrid w:val="0"/>
        <w:spacing w:line="360" w:lineRule="auto"/>
        <w:ind w:firstLine="442"/>
        <w:jc w:val="left"/>
      </w:pPr>
      <w:r>
        <w:rPr>
          <w:rFonts w:hint="eastAsia" w:ascii="宋体" w:hAnsi="宋体" w:eastAsia="宋体" w:cs="宋体"/>
          <w:b/>
          <w:bCs/>
          <w:kern w:val="0"/>
          <w:szCs w:val="21"/>
          <w:lang w:val="en-US" w:eastAsia="zh-CN"/>
        </w:rPr>
        <w:t>7</w:t>
      </w:r>
      <w:r>
        <w:rPr>
          <w:rFonts w:hint="eastAsia" w:ascii="宋体" w:hAnsi="宋体" w:eastAsia="宋体" w:cs="宋体"/>
          <w:b/>
          <w:bCs/>
          <w:kern w:val="0"/>
          <w:szCs w:val="21"/>
        </w:rPr>
        <w:t>、本货物需求一览表中“序号”栏的序号前标注</w:t>
      </w:r>
      <w:r>
        <w:rPr>
          <w:rFonts w:hint="eastAsia" w:ascii="Times New Roman" w:hAnsi="Times New Roman"/>
          <w:color w:val="auto"/>
          <w:szCs w:val="21"/>
          <w:highlight w:val="none"/>
          <w:lang w:val="en-US" w:eastAsia="zh-CN"/>
        </w:rPr>
        <w:t>▲</w:t>
      </w:r>
      <w:r>
        <w:rPr>
          <w:rFonts w:hint="eastAsia" w:ascii="宋体" w:hAnsi="宋体" w:eastAsia="宋体" w:cs="宋体"/>
          <w:b/>
          <w:bCs/>
          <w:kern w:val="0"/>
          <w:szCs w:val="21"/>
        </w:rPr>
        <w:t>号的为核心产品。</w:t>
      </w:r>
    </w:p>
    <w:p>
      <w:pPr>
        <w:spacing w:line="320" w:lineRule="exact"/>
        <w:ind w:firstLine="422" w:firstLineChars="200"/>
        <w:rPr>
          <w:rFonts w:hint="eastAsia" w:ascii="Times New Roman" w:hAnsi="Times New Roman" w:eastAsia="宋体"/>
          <w:color w:val="auto"/>
          <w:szCs w:val="21"/>
          <w:lang w:eastAsia="zh-CN"/>
        </w:rPr>
      </w:pPr>
      <w:r>
        <w:rPr>
          <w:rFonts w:hint="eastAsia" w:ascii="宋体" w:hAnsi="宋体"/>
          <w:b/>
          <w:color w:val="auto"/>
          <w:szCs w:val="21"/>
          <w:lang w:val="en-US" w:eastAsia="zh-CN"/>
        </w:rPr>
        <w:t>8</w:t>
      </w:r>
      <w:r>
        <w:rPr>
          <w:rFonts w:hint="eastAsia" w:ascii="宋体" w:hAnsi="宋体"/>
          <w:b/>
          <w:color w:val="auto"/>
          <w:szCs w:val="21"/>
        </w:rPr>
        <w:t>、本次采购的最高限价为</w:t>
      </w:r>
      <w:r>
        <w:rPr>
          <w:rFonts w:hint="eastAsia" w:ascii="宋体" w:hAnsi="宋体"/>
          <w:b/>
          <w:color w:val="auto"/>
          <w:szCs w:val="21"/>
          <w:u w:val="single"/>
          <w:lang w:val="en-US" w:eastAsia="zh-CN"/>
        </w:rPr>
        <w:t xml:space="preserve"> </w:t>
      </w:r>
      <w:r>
        <w:rPr>
          <w:rFonts w:hint="eastAsia" w:ascii="宋体" w:hAnsi="宋体"/>
          <w:b/>
          <w:color w:val="auto"/>
          <w:szCs w:val="21"/>
          <w:highlight w:val="none"/>
          <w:u w:val="single"/>
          <w:lang w:val="en-US" w:eastAsia="zh-CN"/>
        </w:rPr>
        <w:t>204万元</w:t>
      </w:r>
      <w:r>
        <w:rPr>
          <w:rFonts w:hint="eastAsia" w:ascii="宋体" w:hAnsi="宋体"/>
          <w:b/>
          <w:color w:val="auto"/>
          <w:szCs w:val="21"/>
          <w:highlight w:val="none"/>
          <w:u w:val="none"/>
        </w:rPr>
        <w:t>。</w:t>
      </w:r>
      <w:r>
        <w:rPr>
          <w:rFonts w:hint="eastAsia" w:ascii="宋体" w:hAnsi="宋体"/>
          <w:b/>
          <w:color w:val="auto"/>
          <w:szCs w:val="21"/>
        </w:rPr>
        <w:t>分项最高限价详见表格</w:t>
      </w:r>
      <w:r>
        <w:rPr>
          <w:rFonts w:hint="eastAsia" w:ascii="宋体" w:hAnsi="宋体"/>
          <w:b/>
          <w:color w:val="auto"/>
          <w:szCs w:val="21"/>
          <w:lang w:eastAsia="zh-CN"/>
        </w:rPr>
        <w:t>；</w:t>
      </w:r>
      <w:r>
        <w:rPr>
          <w:rFonts w:hint="eastAsia" w:ascii="宋体" w:hAnsi="宋体"/>
          <w:b/>
          <w:bCs w:val="0"/>
          <w:color w:val="auto"/>
          <w:szCs w:val="21"/>
          <w:u w:val="none"/>
          <w:lang w:val="en-US" w:eastAsia="zh-CN"/>
        </w:rPr>
        <w:t>本项目所有项号的货物都有分项预算价（元），投标人报价的单项报价不能超出</w:t>
      </w:r>
      <w:r>
        <w:rPr>
          <w:rFonts w:hint="eastAsia" w:ascii="宋体" w:hAnsi="宋体"/>
          <w:b/>
          <w:bCs w:val="0"/>
          <w:color w:val="auto"/>
          <w:szCs w:val="21"/>
        </w:rPr>
        <w:t>分项预算合价（元）</w:t>
      </w:r>
      <w:r>
        <w:rPr>
          <w:rFonts w:hint="eastAsia" w:ascii="宋体" w:hAnsi="宋体"/>
          <w:b/>
          <w:bCs w:val="0"/>
          <w:color w:val="auto"/>
          <w:szCs w:val="21"/>
          <w:lang w:eastAsia="zh-CN"/>
        </w:rPr>
        <w:t>，</w:t>
      </w:r>
      <w:r>
        <w:rPr>
          <w:rFonts w:hint="eastAsia" w:ascii="宋体" w:hAnsi="宋体" w:eastAsia="宋体" w:cs="宋体"/>
          <w:b/>
          <w:bCs w:val="0"/>
          <w:kern w:val="0"/>
          <w:szCs w:val="21"/>
        </w:rPr>
        <w:t>否则相应标段投标无效</w:t>
      </w:r>
      <w:r>
        <w:rPr>
          <w:rFonts w:hint="eastAsia" w:ascii="宋体" w:hAnsi="宋体"/>
          <w:b/>
          <w:bCs w:val="0"/>
          <w:color w:val="auto"/>
          <w:szCs w:val="21"/>
          <w:lang w:eastAsia="zh-CN"/>
        </w:rPr>
        <w:t>。</w:t>
      </w:r>
    </w:p>
    <w:tbl>
      <w:tblPr>
        <w:tblStyle w:val="24"/>
        <w:tblW w:w="9786" w:type="dxa"/>
        <w:jc w:val="center"/>
        <w:tblLayout w:type="fixed"/>
        <w:tblCellMar>
          <w:top w:w="0" w:type="dxa"/>
          <w:left w:w="0" w:type="dxa"/>
          <w:bottom w:w="0" w:type="dxa"/>
          <w:right w:w="0" w:type="dxa"/>
        </w:tblCellMar>
      </w:tblPr>
      <w:tblGrid>
        <w:gridCol w:w="603"/>
        <w:gridCol w:w="1317"/>
        <w:gridCol w:w="809"/>
        <w:gridCol w:w="5658"/>
        <w:gridCol w:w="1399"/>
      </w:tblGrid>
      <w:tr>
        <w:tblPrEx>
          <w:tblCellMar>
            <w:top w:w="0" w:type="dxa"/>
            <w:left w:w="0" w:type="dxa"/>
            <w:bottom w:w="0" w:type="dxa"/>
            <w:right w:w="0" w:type="dxa"/>
          </w:tblCellMar>
        </w:tblPrEx>
        <w:trPr>
          <w:trHeight w:val="285"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b/>
                <w:color w:val="auto"/>
                <w:szCs w:val="21"/>
                <w:highlight w:val="none"/>
              </w:rPr>
            </w:pPr>
            <w:r>
              <w:rPr>
                <w:rFonts w:hint="default" w:hAnsi="宋体"/>
                <w:b/>
                <w:color w:val="auto"/>
                <w:szCs w:val="21"/>
                <w:highlight w:val="none"/>
              </w:rPr>
              <w:t>序号</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right="0"/>
              <w:jc w:val="center"/>
              <w:rPr>
                <w:rFonts w:hint="default" w:ascii="Times New Roman" w:hAnsi="Times New Roman"/>
                <w:b/>
                <w:color w:val="auto"/>
                <w:szCs w:val="21"/>
                <w:highlight w:val="none"/>
              </w:rPr>
            </w:pPr>
            <w:r>
              <w:rPr>
                <w:rFonts w:hint="eastAsia" w:hAnsi="宋体"/>
                <w:b/>
                <w:color w:val="auto"/>
                <w:szCs w:val="21"/>
                <w:highlight w:val="none"/>
                <w:lang w:val="en-US" w:eastAsia="zh-CN"/>
              </w:rPr>
              <w:t>货物</w:t>
            </w:r>
            <w:r>
              <w:rPr>
                <w:rFonts w:hint="default" w:hAnsi="宋体"/>
                <w:b/>
                <w:color w:val="auto"/>
                <w:szCs w:val="21"/>
                <w:highlight w:val="none"/>
              </w:rPr>
              <w:t>名称</w:t>
            </w:r>
          </w:p>
        </w:tc>
        <w:tc>
          <w:tcPr>
            <w:tcW w:w="80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right="0"/>
              <w:jc w:val="center"/>
              <w:rPr>
                <w:rFonts w:hint="default" w:ascii="Times New Roman" w:hAnsi="Times New Roman"/>
                <w:b/>
                <w:color w:val="auto"/>
                <w:szCs w:val="21"/>
                <w:highlight w:val="none"/>
              </w:rPr>
            </w:pPr>
            <w:r>
              <w:rPr>
                <w:rFonts w:hint="default" w:ascii="Times New Roman" w:hAnsi="宋体"/>
                <w:b/>
                <w:color w:val="auto"/>
                <w:szCs w:val="21"/>
                <w:highlight w:val="none"/>
              </w:rPr>
              <w:t>数量</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line="360" w:lineRule="exact"/>
              <w:ind w:left="0" w:right="0"/>
              <w:jc w:val="center"/>
              <w:rPr>
                <w:rFonts w:hint="default"/>
                <w:b/>
                <w:color w:val="auto"/>
                <w:szCs w:val="21"/>
                <w:highlight w:val="none"/>
              </w:rPr>
            </w:pPr>
            <w:r>
              <w:rPr>
                <w:rFonts w:hint="eastAsia" w:hAnsi="宋体"/>
                <w:b/>
              </w:rPr>
              <w:t>技术参数要求</w:t>
            </w:r>
          </w:p>
        </w:tc>
        <w:tc>
          <w:tcPr>
            <w:tcW w:w="139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b/>
                <w:color w:val="auto"/>
                <w:szCs w:val="21"/>
                <w:highlight w:val="none"/>
              </w:rPr>
            </w:pPr>
            <w:r>
              <w:rPr>
                <w:rFonts w:hint="default" w:hAnsi="宋体"/>
                <w:b/>
                <w:color w:val="auto"/>
                <w:szCs w:val="21"/>
                <w:highlight w:val="none"/>
              </w:rPr>
              <w:t>分项最高限价（元）</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right="0"/>
              <w:jc w:val="center"/>
              <w:rPr>
                <w:rFonts w:hint="eastAsia" w:eastAsia="宋体"/>
                <w:b/>
                <w:color w:val="auto"/>
                <w:szCs w:val="21"/>
                <w:highlight w:val="none"/>
                <w:lang w:val="en-US" w:eastAsia="zh-CN"/>
              </w:rPr>
            </w:pPr>
            <w:r>
              <w:rPr>
                <w:rFonts w:hint="eastAsia"/>
                <w:b/>
                <w:color w:val="auto"/>
                <w:szCs w:val="21"/>
                <w:highlight w:val="none"/>
                <w:lang w:val="en-US" w:eastAsia="zh-CN"/>
              </w:rPr>
              <w:t>1</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宋体" w:hAnsi="宋体"/>
                <w:color w:val="auto"/>
                <w:szCs w:val="21"/>
                <w:highlight w:val="none"/>
              </w:rPr>
            </w:pPr>
            <w:r>
              <w:rPr>
                <w:rFonts w:hint="default" w:ascii="宋体" w:hAnsi="宋体"/>
                <w:color w:val="auto"/>
                <w:szCs w:val="21"/>
                <w:highlight w:val="none"/>
              </w:rPr>
              <w:t>溴敌隆毒谷</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宋体" w:hAnsi="宋体"/>
                <w:color w:val="auto"/>
                <w:szCs w:val="21"/>
                <w:highlight w:val="none"/>
              </w:rPr>
            </w:pPr>
            <w:r>
              <w:rPr>
                <w:rFonts w:hint="default" w:ascii="宋体" w:hAnsi="宋体"/>
                <w:color w:val="auto"/>
                <w:szCs w:val="21"/>
                <w:highlight w:val="none"/>
              </w:rPr>
              <w:t>50吨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4"/>
              </w:numPr>
              <w:suppressLineNumbers w:val="0"/>
              <w:spacing w:before="0" w:beforeAutospacing="0" w:afterAutospacing="0"/>
              <w:ind w:left="0" w:right="0"/>
              <w:rPr>
                <w:rFonts w:hint="eastAsia"/>
                <w:lang w:eastAsia="zh-CN"/>
              </w:rPr>
            </w:pPr>
            <w:r>
              <w:rPr>
                <w:rFonts w:hint="eastAsia"/>
                <w:lang w:eastAsia="zh-CN"/>
              </w:rPr>
              <w:t>主要用途：灭鼠，控制鼠类密度。</w:t>
            </w:r>
          </w:p>
          <w:p>
            <w:pPr>
              <w:pStyle w:val="2"/>
              <w:keepNext w:val="0"/>
              <w:keepLines w:val="0"/>
              <w:numPr>
                <w:ilvl w:val="0"/>
                <w:numId w:val="4"/>
              </w:numPr>
              <w:suppressLineNumbers w:val="0"/>
              <w:spacing w:before="0" w:beforeAutospacing="0" w:afterAutospacing="0"/>
              <w:ind w:left="0" w:right="0"/>
              <w:rPr>
                <w:rFonts w:hint="eastAsia"/>
                <w:lang w:eastAsia="zh-CN"/>
              </w:rPr>
            </w:pPr>
            <w:r>
              <w:rPr>
                <w:rFonts w:hint="eastAsia"/>
                <w:lang w:eastAsia="zh-CN"/>
              </w:rPr>
              <w:t>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1.适用于外环境公共区域；</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2.安全高效，二代抗凝血灭鼠剂。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三、技术参数：</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val="en-US" w:eastAsia="zh-CN"/>
              </w:rPr>
              <w:t>1、</w:t>
            </w:r>
            <w:r>
              <w:rPr>
                <w:rFonts w:hint="default" w:ascii="宋体" w:hAnsi="宋体"/>
                <w:color w:val="auto"/>
                <w:szCs w:val="21"/>
                <w:highlight w:val="none"/>
              </w:rPr>
              <w:t>≧</w:t>
            </w:r>
            <w:r>
              <w:rPr>
                <w:rFonts w:hint="eastAsia"/>
                <w:lang w:eastAsia="zh-CN"/>
              </w:rPr>
              <w:t>0.005%溴敌隆毒谷；</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规格与包装：1kg/包×20包/袋。</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400000.00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eastAsia"/>
                <w:b/>
                <w:color w:val="auto"/>
                <w:szCs w:val="21"/>
                <w:highlight w:val="none"/>
                <w:lang w:val="en-US" w:eastAsia="zh-CN"/>
              </w:rPr>
            </w:pPr>
            <w:r>
              <w:rPr>
                <w:rFonts w:hint="eastAsia"/>
                <w:b/>
                <w:color w:val="auto"/>
                <w:szCs w:val="21"/>
                <w:highlight w:val="none"/>
                <w:lang w:val="en-US" w:eastAsia="zh-CN"/>
              </w:rPr>
              <w:t>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rightChars="0"/>
              <w:jc w:val="center"/>
              <w:rPr>
                <w:rFonts w:hint="default" w:ascii="宋体" w:hAnsi="宋体"/>
                <w:color w:val="auto"/>
                <w:szCs w:val="21"/>
                <w:highlight w:val="none"/>
              </w:rPr>
            </w:pPr>
            <w:r>
              <w:rPr>
                <w:rFonts w:hint="default" w:ascii="宋体" w:hAnsi="宋体"/>
                <w:color w:val="auto"/>
                <w:szCs w:val="21"/>
                <w:highlight w:val="none"/>
              </w:rPr>
              <w:t>除四害套装</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13000套</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一、主要用途：适合居民家庭灭鼠、灭蚊、灭蝇、灭蟑，安全、高效、经济，易于操作。</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1.灭蟑胶饵制剂；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2.灭蚊、蝇类药物小包装，适宜家庭使用；</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3.提供便于居民使用的施药配件；</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4.简便易操作的灭鼠药械；</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5.可直接用于身体的驱蚊液。</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val="en-US" w:eastAsia="zh-CN"/>
              </w:rPr>
              <w:t>1、</w:t>
            </w:r>
            <w:r>
              <w:rPr>
                <w:rFonts w:hint="eastAsia"/>
                <w:lang w:eastAsia="zh-CN"/>
              </w:rPr>
              <w:t>除四害套装包含：</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（1)12%氯氰•氯氟醚可湿性粉剂1袋（20克/袋）</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（2）0.05%氟虫腈胶饵1支（5克/支）</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（3）喷头1个</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（4）粘鼠板一张</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（5）5%避蚊胺驱蚊花露水1瓶（大于50毫升）。</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val="en-US" w:eastAsia="zh-CN"/>
              </w:rPr>
              <w:t>2、</w:t>
            </w:r>
            <w:r>
              <w:rPr>
                <w:rFonts w:hint="eastAsia"/>
                <w:lang w:eastAsia="zh-CN"/>
              </w:rPr>
              <w:t>规格与包装：100套/箱。</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325000.00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eastAsia"/>
                <w:b/>
                <w:color w:val="auto"/>
                <w:szCs w:val="21"/>
                <w:highlight w:val="none"/>
                <w:lang w:val="en-US" w:eastAsia="zh-CN"/>
              </w:rPr>
            </w:pPr>
            <w:r>
              <w:rPr>
                <w:rFonts w:hint="eastAsia"/>
                <w:b/>
                <w:color w:val="auto"/>
                <w:szCs w:val="21"/>
                <w:highlight w:val="none"/>
                <w:lang w:val="en-US" w:eastAsia="zh-CN"/>
              </w:rPr>
              <w:t>3</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氟虫腈杀蟑颗粒</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100000袋/10克</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一、主要用途：灭蟑，控制蟑螂密度。</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default"/>
                <w:lang w:val="en-US" w:eastAsia="zh-CN"/>
              </w:rPr>
            </w:pPr>
            <w:r>
              <w:rPr>
                <w:rFonts w:hint="eastAsia"/>
                <w:lang w:eastAsia="zh-CN"/>
              </w:rPr>
              <w:t>1.用于不适宜喷洒的区域的药物投放；</w:t>
            </w:r>
            <w:r>
              <w:rPr>
                <w:rFonts w:hint="eastAsia"/>
                <w:lang w:val="en-US" w:eastAsia="zh-CN"/>
              </w:rPr>
              <w:t xml:space="preserve"> </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2.具有连锁杀灭效果。</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1、</w:t>
            </w:r>
            <w:r>
              <w:rPr>
                <w:rFonts w:hint="default" w:ascii="宋体" w:hAnsi="宋体"/>
                <w:color w:val="auto"/>
                <w:szCs w:val="21"/>
                <w:highlight w:val="none"/>
              </w:rPr>
              <w:t>≧</w:t>
            </w:r>
            <w:r>
              <w:rPr>
                <w:rFonts w:hint="default"/>
                <w:lang w:val="en-US" w:eastAsia="zh-CN"/>
              </w:rPr>
              <w:t>0.05%氟虫腈杀蟑颗粒</w:t>
            </w:r>
            <w:r>
              <w:rPr>
                <w:rFonts w:hint="eastAsia"/>
                <w:lang w:val="en-US" w:eastAsia="zh-CN"/>
              </w:rPr>
              <w:t>；</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2、</w:t>
            </w:r>
            <w:r>
              <w:rPr>
                <w:rFonts w:hint="default"/>
                <w:lang w:val="en-US" w:eastAsia="zh-CN"/>
              </w:rPr>
              <w:t>规格与包装：</w:t>
            </w:r>
            <w:r>
              <w:rPr>
                <w:rFonts w:hint="eastAsia"/>
                <w:lang w:val="en-US" w:eastAsia="zh-CN"/>
              </w:rPr>
              <w:t>10</w:t>
            </w:r>
            <w:r>
              <w:rPr>
                <w:rFonts w:hint="default"/>
                <w:lang w:val="en-US" w:eastAsia="zh-CN"/>
              </w:rPr>
              <w:t>克*1000袋/箱</w:t>
            </w:r>
            <w:r>
              <w:rPr>
                <w:rFonts w:hint="eastAsia"/>
                <w:lang w:val="en-US" w:eastAsia="zh-CN"/>
              </w:rPr>
              <w:t>。</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eastAsia="宋体"/>
                <w:color w:val="auto"/>
                <w:szCs w:val="21"/>
                <w:highlight w:val="none"/>
                <w:lang w:val="en-US" w:eastAsia="zh-CN"/>
              </w:rPr>
            </w:pPr>
            <w:r>
              <w:rPr>
                <w:rFonts w:hint="default" w:ascii="宋体" w:hAnsi="宋体"/>
                <w:color w:val="auto"/>
                <w:szCs w:val="21"/>
                <w:highlight w:val="none"/>
              </w:rPr>
              <w:t>100000</w:t>
            </w:r>
            <w:r>
              <w:rPr>
                <w:rFonts w:hint="eastAsia" w:hAnsi="宋体"/>
                <w:color w:val="auto"/>
                <w:szCs w:val="21"/>
                <w:highlight w:val="none"/>
                <w:lang w:val="en-US" w:eastAsia="zh-CN"/>
              </w:rPr>
              <w:t>.00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4</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氯氰菊酯或高效氯氰菊酯复配水乳剂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2吨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一、主要用途：快速灭成蚊。</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1.扩散弥散性能好；</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2.对登革热等蚊媒击杀效果好。</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1、≧6%氯氰菊酯或高效氯氰菊酯复配水乳剂；</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2、</w:t>
            </w:r>
            <w:r>
              <w:rPr>
                <w:rFonts w:hint="default"/>
                <w:lang w:val="en-US" w:eastAsia="zh-CN"/>
              </w:rPr>
              <w:t>规格与包装：1000ml/瓶×10瓶/箱</w:t>
            </w:r>
            <w:r>
              <w:rPr>
                <w:rFonts w:hint="eastAsia"/>
                <w:lang w:val="en-US" w:eastAsia="zh-CN"/>
              </w:rPr>
              <w:t>。</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170000.00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吡丙醚颗粒剂（含复配剂）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1吨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一、主要用途：灭蚊幼，用于蚊蝇幼虫密度控制。</w:t>
            </w:r>
          </w:p>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二、功能要求：</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eastAsia="zh-CN"/>
              </w:rPr>
            </w:pPr>
            <w:r>
              <w:rPr>
                <w:rFonts w:hint="eastAsia"/>
                <w:color w:val="auto"/>
                <w:lang w:eastAsia="zh-CN"/>
              </w:rPr>
              <w:t>1.昆虫生长调节剂。</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eastAsia="zh-CN"/>
              </w:rPr>
            </w:pPr>
            <w:r>
              <w:rPr>
                <w:rFonts w:hint="eastAsia"/>
                <w:color w:val="auto"/>
                <w:lang w:eastAsia="zh-CN"/>
              </w:rPr>
              <w:t>2.适用于蚊蝇幼虫处理。</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eastAsia="zh-CN"/>
              </w:rPr>
            </w:pPr>
            <w:r>
              <w:rPr>
                <w:rFonts w:hint="eastAsia"/>
                <w:color w:val="auto"/>
                <w:lang w:eastAsia="zh-CN"/>
              </w:rPr>
              <w:t>3.使用便捷，安全。</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eastAsia="zh-CN"/>
              </w:rPr>
            </w:pPr>
            <w:r>
              <w:rPr>
                <w:rFonts w:hint="eastAsia"/>
                <w:color w:val="auto"/>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val="en-US" w:eastAsia="zh-CN"/>
              </w:rPr>
            </w:pPr>
            <w:r>
              <w:rPr>
                <w:rFonts w:hint="eastAsia"/>
                <w:color w:val="auto"/>
                <w:lang w:val="en-US" w:eastAsia="zh-CN"/>
              </w:rPr>
              <w:t>1、</w:t>
            </w:r>
            <w:r>
              <w:rPr>
                <w:rFonts w:hint="default" w:ascii="宋体" w:hAnsi="宋体"/>
                <w:color w:val="auto"/>
                <w:szCs w:val="21"/>
                <w:highlight w:val="none"/>
              </w:rPr>
              <w:t>≧</w:t>
            </w:r>
            <w:r>
              <w:rPr>
                <w:rFonts w:hint="eastAsia"/>
                <w:color w:val="auto"/>
                <w:lang w:val="en-US" w:eastAsia="zh-CN"/>
              </w:rPr>
              <w:t>0.5%吡丙醚颗粒剂</w:t>
            </w:r>
            <w:r>
              <w:rPr>
                <w:rFonts w:hint="default" w:ascii="宋体" w:hAnsi="宋体"/>
                <w:color w:val="auto"/>
                <w:szCs w:val="21"/>
                <w:highlight w:val="none"/>
              </w:rPr>
              <w:t>（含复配剂）</w:t>
            </w:r>
            <w:r>
              <w:rPr>
                <w:rFonts w:hint="eastAsia"/>
                <w:color w:val="auto"/>
                <w:lang w:val="en-US" w:eastAsia="zh-CN"/>
              </w:rPr>
              <w:t>；</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eastAsia="宋体"/>
                <w:color w:val="auto"/>
                <w:lang w:val="en-US" w:eastAsia="zh-CN"/>
              </w:rPr>
            </w:pPr>
            <w:r>
              <w:rPr>
                <w:rFonts w:hint="eastAsia"/>
                <w:color w:val="auto"/>
                <w:lang w:val="en-US" w:eastAsia="zh-CN"/>
              </w:rPr>
              <w:t>2、规格与包装：500克/包，20包/箱。</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135000.00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6</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顺式氯氰菊酯可湿性粉剂（含复配剂）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1吨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一、主要用途：蚊蝇蟑敏感药物。</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1.蚊蝇蟑广谱杀灭效果；</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2.用于滞留喷洒。</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1.</w:t>
            </w:r>
            <w:r>
              <w:rPr>
                <w:rFonts w:hint="default" w:ascii="宋体" w:hAnsi="宋体"/>
                <w:color w:val="auto"/>
                <w:szCs w:val="21"/>
                <w:highlight w:val="none"/>
              </w:rPr>
              <w:t>≧</w:t>
            </w:r>
            <w:r>
              <w:rPr>
                <w:rFonts w:hint="eastAsia"/>
                <w:lang w:eastAsia="zh-CN"/>
              </w:rPr>
              <w:t>8%顺式氯氰菊酯可湿性粉剂</w:t>
            </w:r>
            <w:r>
              <w:rPr>
                <w:rFonts w:hint="default" w:ascii="宋体" w:hAnsi="宋体"/>
                <w:color w:val="auto"/>
                <w:szCs w:val="21"/>
                <w:highlight w:val="none"/>
              </w:rPr>
              <w:t>（含复配剂）</w:t>
            </w:r>
            <w:r>
              <w:rPr>
                <w:rFonts w:hint="eastAsia"/>
                <w:lang w:eastAsia="zh-CN"/>
              </w:rPr>
              <w:t>；</w:t>
            </w:r>
            <w:r>
              <w:rPr>
                <w:rFonts w:hint="eastAsia"/>
                <w:lang w:val="en-US" w:eastAsia="zh-CN"/>
              </w:rPr>
              <w:t xml:space="preserve"> </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2、</w:t>
            </w:r>
            <w:r>
              <w:rPr>
                <w:rFonts w:hint="eastAsia"/>
                <w:lang w:eastAsia="zh-CN"/>
              </w:rPr>
              <w:t>规格与包装：50克/袋×100袋。</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default" w:ascii="Times New Roman" w:hAnsi="Times New Roman"/>
                <w:color w:val="auto"/>
                <w:szCs w:val="21"/>
                <w:highlight w:val="none"/>
                <w:lang w:val="en-US" w:eastAsia="zh-CN"/>
              </w:rPr>
              <w:t>175000</w:t>
            </w:r>
            <w:r>
              <w:rPr>
                <w:rFonts w:hint="eastAsia" w:ascii="Times New Roman" w:hAnsi="Times New Roman"/>
                <w:color w:val="auto"/>
                <w:szCs w:val="21"/>
                <w:highlight w:val="none"/>
                <w:lang w:val="en-US" w:eastAsia="zh-CN"/>
              </w:rPr>
              <w:t>.00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ascii="Times New Roman" w:hAnsi="Times New Roman" w:eastAsia="宋体" w:cs="Times New Roman"/>
                <w:b/>
                <w:color w:val="auto"/>
                <w:kern w:val="2"/>
                <w:sz w:val="21"/>
                <w:szCs w:val="21"/>
                <w:highlight w:val="none"/>
                <w:lang w:val="en-US" w:eastAsia="zh-CN" w:bidi="ar-SA"/>
              </w:rPr>
            </w:pPr>
            <w:r>
              <w:rPr>
                <w:rFonts w:hint="eastAsia" w:cs="Times New Roman"/>
                <w:b/>
                <w:color w:val="auto"/>
                <w:kern w:val="2"/>
                <w:sz w:val="21"/>
                <w:szCs w:val="21"/>
                <w:highlight w:val="none"/>
                <w:lang w:val="en-US" w:eastAsia="zh-CN" w:bidi="ar-SA"/>
              </w:rPr>
              <w:t>7</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eastAsia="宋体" w:cs="Times New Roman"/>
                <w:color w:val="auto"/>
                <w:kern w:val="2"/>
                <w:sz w:val="21"/>
                <w:szCs w:val="21"/>
                <w:highlight w:val="none"/>
                <w:lang w:val="en-US" w:eastAsia="zh-CN" w:bidi="ar-SA"/>
              </w:rPr>
            </w:pPr>
            <w:r>
              <w:rPr>
                <w:rFonts w:hint="default" w:ascii="宋体" w:hAnsi="宋体"/>
                <w:color w:val="auto"/>
                <w:szCs w:val="21"/>
                <w:highlight w:val="none"/>
              </w:rPr>
              <w:t>氯菊</w:t>
            </w:r>
            <w:r>
              <w:rPr>
                <w:rFonts w:hint="default"/>
                <w:color w:val="auto"/>
                <w:lang w:val="en-US" w:eastAsia="zh-CN"/>
              </w:rPr>
              <w:t>酯</w:t>
            </w:r>
            <w:r>
              <w:rPr>
                <w:rFonts w:hint="default" w:ascii="宋体" w:hAnsi="宋体"/>
                <w:color w:val="auto"/>
                <w:szCs w:val="21"/>
                <w:highlight w:val="none"/>
              </w:rPr>
              <w:t>-S生物烯丙水乳剂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eastAsia="宋体" w:cs="Times New Roman"/>
                <w:color w:val="auto"/>
                <w:kern w:val="2"/>
                <w:sz w:val="21"/>
                <w:szCs w:val="21"/>
                <w:highlight w:val="none"/>
                <w:lang w:val="en-US" w:eastAsia="zh-CN" w:bidi="ar-SA"/>
              </w:rPr>
            </w:pPr>
            <w:r>
              <w:rPr>
                <w:rFonts w:hint="default" w:ascii="宋体" w:hAnsi="宋体"/>
                <w:color w:val="auto"/>
                <w:szCs w:val="21"/>
                <w:highlight w:val="none"/>
              </w:rPr>
              <w:t>1吨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一、主要用途：用于控制蚊蝇蟑密度。</w:t>
            </w:r>
          </w:p>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1.广谱杀虫剂；</w:t>
            </w:r>
          </w:p>
          <w:p>
            <w:pPr>
              <w:pStyle w:val="2"/>
              <w:keepNext w:val="0"/>
              <w:keepLines w:val="0"/>
              <w:numPr>
                <w:ilvl w:val="0"/>
                <w:numId w:val="0"/>
              </w:numPr>
              <w:suppressLineNumbers w:val="0"/>
              <w:spacing w:before="0" w:beforeAutospacing="0" w:afterAutospacing="0"/>
              <w:ind w:left="0" w:right="0" w:rightChars="0"/>
              <w:rPr>
                <w:rFonts w:hint="eastAsia"/>
                <w:color w:val="auto"/>
                <w:lang w:eastAsia="zh-CN"/>
              </w:rPr>
            </w:pPr>
            <w:r>
              <w:rPr>
                <w:rFonts w:hint="eastAsia"/>
                <w:color w:val="auto"/>
                <w:lang w:eastAsia="zh-CN"/>
              </w:rPr>
              <w:t>2.安全性好。</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color w:val="auto"/>
                <w:lang w:eastAsia="zh-CN"/>
              </w:rPr>
            </w:pPr>
            <w:r>
              <w:rPr>
                <w:rFonts w:hint="eastAsia"/>
                <w:color w:val="auto"/>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color w:val="auto"/>
                <w:lang w:val="en-US" w:eastAsia="zh-CN"/>
              </w:rPr>
            </w:pPr>
            <w:r>
              <w:rPr>
                <w:rFonts w:hint="eastAsia"/>
                <w:color w:val="auto"/>
                <w:lang w:val="en-US" w:eastAsia="zh-CN"/>
              </w:rPr>
              <w:t>1、</w:t>
            </w:r>
            <w:r>
              <w:rPr>
                <w:rFonts w:hint="default" w:ascii="宋体" w:hAnsi="宋体"/>
                <w:color w:val="auto"/>
                <w:szCs w:val="21"/>
                <w:highlight w:val="none"/>
              </w:rPr>
              <w:t>≧104克/升</w:t>
            </w:r>
            <w:r>
              <w:rPr>
                <w:rFonts w:hint="default"/>
                <w:color w:val="auto"/>
                <w:lang w:val="en-US" w:eastAsia="zh-CN"/>
              </w:rPr>
              <w:t>氯菊酯·S-生物烯丙菊酯水乳剂</w:t>
            </w:r>
            <w:r>
              <w:rPr>
                <w:rFonts w:hint="eastAsia"/>
                <w:color w:val="auto"/>
                <w:lang w:val="en-US" w:eastAsia="zh-CN"/>
              </w:rPr>
              <w:t>；</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2、</w:t>
            </w:r>
            <w:r>
              <w:rPr>
                <w:rFonts w:hint="default"/>
                <w:color w:val="auto"/>
                <w:lang w:val="en-US" w:eastAsia="zh-CN"/>
              </w:rPr>
              <w:t>规格与包装：1千克/瓶，10瓶/箱</w:t>
            </w:r>
            <w:r>
              <w:rPr>
                <w:rFonts w:hint="eastAsia"/>
                <w:color w:val="auto"/>
                <w:lang w:val="en-US" w:eastAsia="zh-CN"/>
              </w:rPr>
              <w:t>。</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lang w:val="en-US" w:eastAsia="zh-CN"/>
              </w:rPr>
              <w:t>150000.00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8</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高效氯氰*残杀威悬浮剂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2吨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一、主要用途：用于控制蚊蝇蟑密度。</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1.广谱杀虫剂；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2.安全性好；</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3.可用于滞留喷洒。</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val="en-US" w:eastAsia="zh-CN"/>
              </w:rPr>
              <w:t>1、</w:t>
            </w:r>
            <w:r>
              <w:rPr>
                <w:rFonts w:hint="default" w:ascii="宋体" w:hAnsi="宋体"/>
                <w:color w:val="auto"/>
                <w:szCs w:val="21"/>
                <w:highlight w:val="none"/>
              </w:rPr>
              <w:t>≧</w:t>
            </w:r>
            <w:r>
              <w:rPr>
                <w:rFonts w:hint="eastAsia"/>
                <w:lang w:eastAsia="zh-CN"/>
              </w:rPr>
              <w:t>15%高效氯氰*残杀威悬浮剂；</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2、</w:t>
            </w:r>
            <w:r>
              <w:rPr>
                <w:rFonts w:hint="eastAsia"/>
                <w:lang w:eastAsia="zh-CN"/>
              </w:rPr>
              <w:t>规格与包装：500克/瓶，20瓶/箱。</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270000.00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9</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高效氯氰菊酯烟剂（含复配剂）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2吨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一、主要用途：灭蟑，用于控制蟑密度。</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1.用于下水道、化粪池灭蟑；</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2.安全高效。</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val="en-US" w:eastAsia="zh-CN"/>
              </w:rPr>
              <w:t>1、</w:t>
            </w:r>
            <w:r>
              <w:rPr>
                <w:rFonts w:hint="default" w:ascii="宋体" w:hAnsi="宋体"/>
                <w:color w:val="auto"/>
                <w:szCs w:val="21"/>
                <w:highlight w:val="none"/>
              </w:rPr>
              <w:t>≧</w:t>
            </w:r>
            <w:r>
              <w:rPr>
                <w:rFonts w:hint="eastAsia"/>
                <w:lang w:eastAsia="zh-CN"/>
              </w:rPr>
              <w:t>1%高效氯氰菊酯烟剂</w:t>
            </w:r>
            <w:r>
              <w:rPr>
                <w:rFonts w:hint="default" w:ascii="宋体" w:hAnsi="宋体"/>
                <w:color w:val="auto"/>
                <w:szCs w:val="21"/>
                <w:highlight w:val="none"/>
              </w:rPr>
              <w:t>（含复配剂）</w:t>
            </w:r>
            <w:r>
              <w:rPr>
                <w:rFonts w:hint="eastAsia"/>
                <w:lang w:eastAsia="zh-CN"/>
              </w:rPr>
              <w:t>；</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val="en-US" w:eastAsia="zh-CN"/>
              </w:rPr>
              <w:t>2、</w:t>
            </w:r>
            <w:r>
              <w:rPr>
                <w:rFonts w:hint="eastAsia"/>
                <w:lang w:eastAsia="zh-CN"/>
              </w:rPr>
              <w:t>规格与包装：5升/桶，4桶/箱。</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140000.00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spacing w:before="0" w:beforeAutospacing="0" w:after="0" w:afterAutospacing="0" w:line="360" w:lineRule="exact"/>
              <w:ind w:left="0" w:leftChars="0" w:right="0" w:rightChars="0"/>
              <w:jc w:val="center"/>
              <w:rPr>
                <w:rFonts w:hint="default"/>
                <w:b/>
                <w:color w:val="auto"/>
                <w:szCs w:val="21"/>
                <w:highlight w:val="none"/>
                <w:lang w:val="en-US" w:eastAsia="zh-CN"/>
              </w:rPr>
            </w:pPr>
            <w:r>
              <w:rPr>
                <w:rFonts w:hint="eastAsia"/>
                <w:b/>
                <w:color w:val="auto"/>
                <w:szCs w:val="21"/>
                <w:highlight w:val="none"/>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rPr>
                <w:rFonts w:hint="default" w:ascii="宋体" w:hAnsi="宋体"/>
                <w:color w:val="auto"/>
                <w:szCs w:val="21"/>
                <w:highlight w:val="none"/>
              </w:rPr>
            </w:pPr>
            <w:r>
              <w:rPr>
                <w:rFonts w:hint="default" w:ascii="宋体" w:hAnsi="宋体"/>
                <w:color w:val="auto"/>
                <w:szCs w:val="21"/>
                <w:highlight w:val="none"/>
              </w:rPr>
              <w:t>高效氯氟氰菊酯微囊悬浮剂</w:t>
            </w:r>
          </w:p>
        </w:tc>
        <w:tc>
          <w:tcPr>
            <w:tcW w:w="80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leftChars="0" w:right="0" w:rightChars="0"/>
              <w:jc w:val="center"/>
              <w:rPr>
                <w:rFonts w:hint="default" w:ascii="宋体" w:hAnsi="宋体"/>
                <w:color w:val="auto"/>
                <w:szCs w:val="21"/>
                <w:highlight w:val="none"/>
              </w:rPr>
            </w:pPr>
            <w:r>
              <w:rPr>
                <w:rFonts w:hint="default" w:ascii="宋体" w:hAnsi="宋体"/>
                <w:color w:val="auto"/>
                <w:szCs w:val="21"/>
                <w:highlight w:val="none"/>
              </w:rPr>
              <w:t>1吨</w:t>
            </w:r>
          </w:p>
        </w:tc>
        <w:tc>
          <w:tcPr>
            <w:tcW w:w="56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一、主要用途：用于控制蚊蝇蟑密度。</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二、功能要求：1.广谱杀虫剂。</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2.对抗性害虫有良好的防治效果。</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3.击倒速度快，击倒力强，具有缓释作用，持效期打1-3个月。</w:t>
            </w:r>
          </w:p>
          <w:p>
            <w:pPr>
              <w:pStyle w:val="2"/>
              <w:keepNext w:val="0"/>
              <w:keepLines w:val="0"/>
              <w:numPr>
                <w:ilvl w:val="0"/>
                <w:numId w:val="0"/>
              </w:numPr>
              <w:suppressLineNumbers w:val="0"/>
              <w:spacing w:before="0" w:beforeAutospacing="0" w:afterAutospacing="0"/>
              <w:ind w:left="0" w:right="0" w:rightChars="0"/>
              <w:rPr>
                <w:rFonts w:hint="eastAsia"/>
                <w:lang w:eastAsia="zh-CN"/>
              </w:rPr>
            </w:pPr>
            <w:r>
              <w:rPr>
                <w:rFonts w:hint="eastAsia"/>
                <w:lang w:eastAsia="zh-CN"/>
              </w:rPr>
              <w:t>4.无刺激性气味，主要用于室内环境蚊蝇蟑滞留杀灭。</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eastAsia="zh-CN"/>
              </w:rPr>
            </w:pPr>
            <w:r>
              <w:rPr>
                <w:rFonts w:hint="eastAsia"/>
                <w:lang w:eastAsia="zh-CN"/>
              </w:rPr>
              <w:t>三、技术参数：</w:t>
            </w:r>
          </w:p>
          <w:p>
            <w:pPr>
              <w:pStyle w:val="2"/>
              <w:keepNext w:val="0"/>
              <w:keepLines w:val="0"/>
              <w:numPr>
                <w:ilvl w:val="-1"/>
                <w:numId w:val="0"/>
              </w:numPr>
              <w:suppressLineNumbers w:val="0"/>
              <w:spacing w:before="0" w:beforeAutospacing="0" w:afterAutospacing="0"/>
              <w:ind w:left="0" w:leftChars="0" w:right="0" w:rightChars="0" w:firstLine="0" w:firstLineChars="0"/>
              <w:rPr>
                <w:rFonts w:hint="eastAsia"/>
                <w:lang w:val="en-US" w:eastAsia="zh-CN"/>
              </w:rPr>
            </w:pPr>
            <w:r>
              <w:rPr>
                <w:rFonts w:hint="eastAsia"/>
                <w:lang w:val="en-US" w:eastAsia="zh-CN"/>
              </w:rPr>
              <w:t>1、</w:t>
            </w:r>
            <w:r>
              <w:rPr>
                <w:rFonts w:hint="default" w:ascii="宋体" w:hAnsi="宋体"/>
                <w:color w:val="auto"/>
                <w:szCs w:val="21"/>
                <w:highlight w:val="none"/>
              </w:rPr>
              <w:t>≥</w:t>
            </w:r>
            <w:r>
              <w:rPr>
                <w:rFonts w:hint="eastAsia"/>
                <w:lang w:val="en-US" w:eastAsia="zh-CN"/>
              </w:rPr>
              <w:t>10%高效氯氟氰菊酯微囊悬浮剂；</w:t>
            </w:r>
          </w:p>
          <w:p>
            <w:pPr>
              <w:pStyle w:val="2"/>
              <w:keepNext w:val="0"/>
              <w:keepLines w:val="0"/>
              <w:numPr>
                <w:ilvl w:val="-1"/>
                <w:numId w:val="0"/>
              </w:numPr>
              <w:suppressLineNumbers w:val="0"/>
              <w:spacing w:before="0" w:beforeAutospacing="0" w:afterAutospacing="0"/>
              <w:ind w:left="0" w:leftChars="0" w:right="0" w:rightChars="0" w:firstLine="0" w:firstLineChars="0"/>
              <w:rPr>
                <w:rFonts w:hint="default"/>
                <w:lang w:val="en-US" w:eastAsia="zh-CN"/>
              </w:rPr>
            </w:pPr>
            <w:r>
              <w:rPr>
                <w:rFonts w:hint="eastAsia"/>
                <w:lang w:val="en-US" w:eastAsia="zh-CN"/>
              </w:rPr>
              <w:t>2、规格与包装：500克/瓶，20瓶/箱。</w:t>
            </w:r>
          </w:p>
        </w:tc>
        <w:tc>
          <w:tcPr>
            <w:tcW w:w="1399" w:type="dxa"/>
            <w:tcBorders>
              <w:top w:val="single" w:color="auto" w:sz="4" w:space="0"/>
              <w:left w:val="nil"/>
              <w:bottom w:val="single" w:color="auto" w:sz="4" w:space="0"/>
              <w:right w:val="single" w:color="auto" w:sz="4" w:space="0"/>
            </w:tcBorders>
            <w:noWrap w:val="0"/>
            <w:vAlign w:val="center"/>
          </w:tcPr>
          <w:p>
            <w:pPr>
              <w:pStyle w:val="14"/>
              <w:keepNext w:val="0"/>
              <w:keepLines w:val="0"/>
              <w:suppressLineNumbers w:val="0"/>
              <w:snapToGrid w:val="0"/>
              <w:spacing w:before="0" w:beforeAutospacing="0" w:after="0" w:afterAutospacing="0" w:line="360" w:lineRule="exact"/>
              <w:ind w:left="0" w:leftChars="0" w:right="19" w:rightChars="9"/>
              <w:jc w:val="cente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175000.00</w:t>
            </w:r>
          </w:p>
        </w:tc>
      </w:tr>
      <w:tr>
        <w:tblPrEx>
          <w:tblCellMar>
            <w:top w:w="0" w:type="dxa"/>
            <w:left w:w="0" w:type="dxa"/>
            <w:bottom w:w="0" w:type="dxa"/>
            <w:right w:w="0" w:type="dxa"/>
          </w:tblCellMar>
        </w:tblPrEx>
        <w:trPr>
          <w:trHeight w:val="577" w:hRule="atLeast"/>
          <w:jc w:val="center"/>
        </w:trPr>
        <w:tc>
          <w:tcPr>
            <w:tcW w:w="978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19" w:rightChars="9"/>
              <w:rPr>
                <w:rFonts w:hint="default" w:eastAsia="宋体"/>
                <w:color w:val="auto"/>
                <w:szCs w:val="21"/>
                <w:highlight w:val="none"/>
                <w:lang w:val="en-US" w:eastAsia="zh-CN"/>
              </w:rPr>
            </w:pPr>
            <w:r>
              <w:rPr>
                <w:rFonts w:hint="eastAsia"/>
                <w:color w:val="auto"/>
                <w:szCs w:val="21"/>
                <w:highlight w:val="none"/>
              </w:rPr>
              <w:t>分项最高限价合计（元）：</w:t>
            </w:r>
            <w:r>
              <w:rPr>
                <w:rFonts w:hint="eastAsia"/>
                <w:color w:val="auto"/>
                <w:szCs w:val="21"/>
                <w:highlight w:val="none"/>
                <w:lang w:eastAsia="zh-CN"/>
              </w:rPr>
              <w:t>贰佰零肆万</w:t>
            </w:r>
            <w:r>
              <w:rPr>
                <w:rFonts w:hint="eastAsia"/>
                <w:color w:val="auto"/>
                <w:szCs w:val="21"/>
                <w:highlight w:val="none"/>
                <w:lang w:val="en-US" w:eastAsia="zh-CN"/>
              </w:rPr>
              <w:t>元整 (</w:t>
            </w:r>
            <w:r>
              <w:rPr>
                <w:rFonts w:hint="eastAsia" w:ascii="Times New Roman" w:hAnsi="Times New Roman"/>
                <w:color w:val="auto"/>
                <w:szCs w:val="21"/>
                <w:highlight w:val="none"/>
              </w:rPr>
              <w:t>￥</w:t>
            </w:r>
            <w:r>
              <w:rPr>
                <w:rFonts w:hint="eastAsia"/>
                <w:color w:val="auto"/>
                <w:szCs w:val="21"/>
                <w:highlight w:val="none"/>
                <w:lang w:val="en-US" w:eastAsia="zh-CN"/>
              </w:rPr>
              <w:t>2040000.00)</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19" w:rightChars="9"/>
              <w:jc w:val="center"/>
              <w:rPr>
                <w:rFonts w:hint="default"/>
                <w:color w:val="auto"/>
                <w:szCs w:val="21"/>
                <w:highlight w:val="none"/>
              </w:rPr>
            </w:pPr>
            <w:r>
              <w:rPr>
                <w:rFonts w:hint="eastAsia" w:hAnsi="Times New Roman"/>
                <w:color w:val="auto"/>
                <w:szCs w:val="21"/>
                <w:highlight w:val="none"/>
              </w:rPr>
              <w:t>商</w:t>
            </w:r>
          </w:p>
          <w:p>
            <w:pPr>
              <w:keepNext w:val="0"/>
              <w:keepLines w:val="0"/>
              <w:suppressLineNumbers w:val="0"/>
              <w:spacing w:before="0" w:beforeAutospacing="0" w:after="0" w:afterAutospacing="0" w:line="360" w:lineRule="exact"/>
              <w:ind w:left="0" w:right="19" w:rightChars="9"/>
              <w:jc w:val="center"/>
              <w:rPr>
                <w:rFonts w:hint="default"/>
                <w:color w:val="auto"/>
                <w:szCs w:val="21"/>
                <w:highlight w:val="none"/>
              </w:rPr>
            </w:pPr>
            <w:r>
              <w:rPr>
                <w:rFonts w:hint="eastAsia" w:hAnsi="Times New Roman"/>
                <w:color w:val="auto"/>
                <w:szCs w:val="21"/>
                <w:highlight w:val="none"/>
              </w:rPr>
              <w:t>务</w:t>
            </w:r>
          </w:p>
          <w:p>
            <w:pPr>
              <w:keepNext w:val="0"/>
              <w:keepLines w:val="0"/>
              <w:suppressLineNumbers w:val="0"/>
              <w:spacing w:before="0" w:beforeAutospacing="0" w:after="0" w:afterAutospacing="0" w:line="360" w:lineRule="exact"/>
              <w:ind w:left="0" w:right="19" w:rightChars="9"/>
              <w:jc w:val="center"/>
              <w:rPr>
                <w:rFonts w:hint="default"/>
                <w:color w:val="auto"/>
                <w:szCs w:val="21"/>
                <w:highlight w:val="none"/>
              </w:rPr>
            </w:pPr>
            <w:r>
              <w:rPr>
                <w:rFonts w:hint="eastAsia" w:hAnsi="Times New Roman"/>
                <w:color w:val="auto"/>
                <w:szCs w:val="21"/>
                <w:highlight w:val="none"/>
              </w:rPr>
              <w:t>条</w:t>
            </w:r>
          </w:p>
          <w:p>
            <w:pPr>
              <w:keepNext w:val="0"/>
              <w:keepLines w:val="0"/>
              <w:suppressLineNumbers w:val="0"/>
              <w:spacing w:before="0" w:beforeAutospacing="0" w:after="0" w:afterAutospacing="0" w:line="360" w:lineRule="exact"/>
              <w:ind w:left="0" w:right="19" w:rightChars="9"/>
              <w:jc w:val="center"/>
              <w:rPr>
                <w:rFonts w:hint="default"/>
                <w:color w:val="auto"/>
                <w:szCs w:val="21"/>
                <w:highlight w:val="none"/>
              </w:rPr>
            </w:pPr>
            <w:r>
              <w:rPr>
                <w:rFonts w:hint="eastAsia" w:hAnsi="Times New Roman"/>
                <w:color w:val="auto"/>
                <w:szCs w:val="21"/>
                <w:highlight w:val="none"/>
              </w:rPr>
              <w:t>款</w:t>
            </w:r>
          </w:p>
        </w:tc>
        <w:tc>
          <w:tcPr>
            <w:tcW w:w="918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sz w:val="21"/>
                <w:szCs w:val="21"/>
              </w:rPr>
              <w:t>一、</w:t>
            </w:r>
            <w:r>
              <w:rPr>
                <w:rFonts w:hint="eastAsia" w:ascii="宋体" w:hAnsi="宋体"/>
                <w:color w:val="auto"/>
                <w:sz w:val="21"/>
                <w:szCs w:val="21"/>
              </w:rPr>
              <w:t>签定合同日期：自中标公告发出之日起</w:t>
            </w:r>
            <w:r>
              <w:rPr>
                <w:rFonts w:hint="eastAsia" w:ascii="宋体" w:hAnsi="宋体"/>
                <w:color w:val="auto"/>
                <w:sz w:val="21"/>
                <w:szCs w:val="21"/>
                <w:lang w:val="en-US" w:eastAsia="zh-CN"/>
              </w:rPr>
              <w:t>25</w:t>
            </w:r>
            <w:r>
              <w:rPr>
                <w:rFonts w:hint="eastAsia" w:ascii="宋体" w:hAnsi="宋体"/>
                <w:color w:val="auto"/>
                <w:sz w:val="21"/>
                <w:szCs w:val="21"/>
              </w:rPr>
              <w:t>日内</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color w:val="0000FF"/>
                <w:sz w:val="21"/>
                <w:szCs w:val="21"/>
              </w:rPr>
            </w:pPr>
            <w:r>
              <w:rPr>
                <w:rFonts w:hint="eastAsia" w:ascii="宋体" w:hAnsi="宋体"/>
                <w:color w:val="auto"/>
                <w:sz w:val="21"/>
                <w:szCs w:val="21"/>
              </w:rPr>
              <w:t>二、交货期：</w:t>
            </w:r>
            <w:r>
              <w:rPr>
                <w:rFonts w:hint="eastAsia" w:ascii="宋体" w:hAnsi="宋体"/>
                <w:color w:val="auto"/>
                <w:szCs w:val="21"/>
              </w:rPr>
              <w:t>自合同签定之日起15个工作日内,中标供应商延期交货，采购人有权取消合同，同时要求赔偿损失，并报政府采购监督管理部门按有关规定处理。</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三、交货地点：南宁市内</w:t>
            </w:r>
            <w:r>
              <w:rPr>
                <w:rFonts w:hint="eastAsia" w:ascii="宋体" w:hAnsi="宋体"/>
                <w:color w:val="auto"/>
                <w:sz w:val="21"/>
                <w:szCs w:val="21"/>
                <w:lang w:eastAsia="zh-CN"/>
              </w:rPr>
              <w:t>采购人</w:t>
            </w:r>
            <w:r>
              <w:rPr>
                <w:rFonts w:hint="eastAsia" w:ascii="宋体" w:hAnsi="宋体"/>
                <w:color w:val="auto"/>
                <w:sz w:val="21"/>
                <w:szCs w:val="21"/>
              </w:rPr>
              <w:t>指定地点</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b w:val="0"/>
                <w:bCs/>
                <w:color w:val="auto"/>
                <w:sz w:val="21"/>
                <w:szCs w:val="21"/>
              </w:rPr>
              <w:t>★</w:t>
            </w:r>
            <w:r>
              <w:rPr>
                <w:rFonts w:hint="eastAsia" w:ascii="宋体" w:hAnsi="宋体"/>
                <w:color w:val="auto"/>
                <w:sz w:val="21"/>
                <w:szCs w:val="21"/>
              </w:rPr>
              <w:t>四、</w:t>
            </w:r>
            <w:r>
              <w:rPr>
                <w:rFonts w:hint="eastAsia" w:ascii="宋体" w:hAnsi="宋体" w:cs="宋体"/>
                <w:color w:val="auto"/>
                <w:kern w:val="0"/>
                <w:sz w:val="21"/>
                <w:szCs w:val="21"/>
              </w:rPr>
              <w:t>质保期：</w:t>
            </w:r>
            <w:r>
              <w:rPr>
                <w:rFonts w:hint="eastAsia" w:ascii="宋体" w:hAnsi="宋体" w:cs="宋体"/>
                <w:color w:val="auto"/>
                <w:kern w:val="0"/>
                <w:sz w:val="21"/>
                <w:szCs w:val="21"/>
                <w:u w:val="single"/>
              </w:rPr>
              <w:t xml:space="preserve"> 1  </w:t>
            </w:r>
            <w:r>
              <w:rPr>
                <w:rFonts w:hint="eastAsia" w:ascii="宋体" w:hAnsi="宋体" w:cs="宋体"/>
                <w:color w:val="auto"/>
                <w:kern w:val="0"/>
                <w:sz w:val="21"/>
                <w:szCs w:val="21"/>
              </w:rPr>
              <w:t>年（自交货并验收合格之日起计）。</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五、免费送货上门，药物运抵采购人处后由双方共同开箱并对照采购清单及技术要求和品牌进行验收。</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六、提供的所有药物必须是未经拆封、原厂正规合格、品质优良的药物，技术资料齐全、满足采购文件的基本要求。</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七、售后服务：</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lang w:eastAsia="zh-CN"/>
              </w:rPr>
              <w:t>中标</w:t>
            </w:r>
            <w:r>
              <w:rPr>
                <w:rFonts w:hint="eastAsia" w:ascii="宋体" w:hAnsi="宋体"/>
                <w:color w:val="auto"/>
                <w:sz w:val="21"/>
                <w:szCs w:val="21"/>
              </w:rPr>
              <w:t>供应商应按照本采购项目特点提供长期良好的售后服务，如药物存在质量问题等须及时退换，并在投标文件中提供详细具体的售后服务承诺条款及保证。</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（2）药品在运输过程中出现开包、裂包、瓶体碎裂等损坏情况，中标人应按损坏数量及时补足。</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（3）免费提供灭鼠杀蟑技术培训。</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八、提供所报药物的最新彩页并加盖</w:t>
            </w:r>
            <w:r>
              <w:rPr>
                <w:rFonts w:hint="eastAsia" w:hAnsi="宋体" w:eastAsia="宋体"/>
                <w:color w:val="auto"/>
                <w:kern w:val="0"/>
                <w:sz w:val="21"/>
                <w:szCs w:val="21"/>
                <w:lang w:val="en-US" w:eastAsia="zh-CN"/>
              </w:rPr>
              <w:t>投标人</w:t>
            </w:r>
            <w:r>
              <w:rPr>
                <w:rFonts w:hint="eastAsia" w:ascii="宋体" w:hAnsi="宋体" w:eastAsia="宋体"/>
                <w:color w:val="auto"/>
                <w:kern w:val="0"/>
                <w:sz w:val="21"/>
                <w:szCs w:val="21"/>
                <w:lang w:val="en-US" w:eastAsia="zh-CN"/>
              </w:rPr>
              <w:t>公章，药物彩页样本必须与所报药物保持一致，并对彩页资料的真实性及与所报药物的符合性负责。</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九、验收方法及方案：采购人根据采购文件上的技术规格要求和国家有关质量标准进行现场验收。</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十、投标报价为采购人指定地点的现场交货价，包括：</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（1）货物的价格；</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（2）货物的标准附件、备品备件、专用工具的价格；</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（3）运输、装卸、调试、培训、技术支持、售后服务等费用；</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（4）必要的保险费用和各项税费；</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olor w:val="auto"/>
                <w:sz w:val="21"/>
                <w:szCs w:val="21"/>
              </w:rPr>
            </w:pPr>
            <w:r>
              <w:rPr>
                <w:rFonts w:hint="eastAsia" w:ascii="宋体" w:hAnsi="宋体"/>
                <w:color w:val="auto"/>
                <w:sz w:val="21"/>
                <w:szCs w:val="21"/>
              </w:rPr>
              <w:t>（5）包括安装费用；</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eastAsia="宋体"/>
                <w:color w:val="auto"/>
                <w:sz w:val="21"/>
                <w:szCs w:val="21"/>
                <w:lang w:eastAsia="zh-CN"/>
              </w:rPr>
            </w:pPr>
            <w:r>
              <w:rPr>
                <w:rFonts w:hint="eastAsia" w:ascii="宋体" w:hAnsi="宋体"/>
                <w:color w:val="auto"/>
                <w:sz w:val="21"/>
                <w:szCs w:val="21"/>
              </w:rPr>
              <w:t>十一</w:t>
            </w:r>
            <w:r>
              <w:rPr>
                <w:rFonts w:hint="eastAsia" w:ascii="宋体" w:hAnsi="宋体"/>
                <w:color w:val="auto"/>
                <w:sz w:val="21"/>
                <w:szCs w:val="21"/>
                <w:lang w:eastAsia="zh-CN"/>
              </w:rPr>
              <w:t>、其他：</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sz w:val="21"/>
                <w:szCs w:val="21"/>
              </w:rPr>
            </w:pPr>
            <w:r>
              <w:rPr>
                <w:rFonts w:hint="eastAsia" w:ascii="宋体" w:hAnsi="宋体"/>
                <w:b/>
                <w:color w:val="auto"/>
                <w:sz w:val="21"/>
                <w:szCs w:val="21"/>
              </w:rPr>
              <w:t>★</w:t>
            </w:r>
            <w:r>
              <w:rPr>
                <w:rFonts w:hint="eastAsia" w:ascii="宋体" w:hAnsi="宋体"/>
                <w:color w:val="auto"/>
                <w:sz w:val="21"/>
                <w:szCs w:val="21"/>
              </w:rPr>
              <w:t>1</w:t>
            </w:r>
            <w:r>
              <w:rPr>
                <w:rFonts w:hint="eastAsia" w:ascii="宋体" w:hAnsi="宋体"/>
                <w:color w:val="auto"/>
                <w:sz w:val="21"/>
                <w:szCs w:val="21"/>
                <w:lang w:eastAsia="zh-CN"/>
              </w:rPr>
              <w:t>、</w:t>
            </w:r>
            <w:r>
              <w:rPr>
                <w:rFonts w:hint="eastAsia" w:ascii="宋体" w:hAnsi="宋体"/>
                <w:color w:val="auto"/>
                <w:sz w:val="21"/>
                <w:szCs w:val="21"/>
              </w:rPr>
              <w:t>根据国家对农药的有关管理规定，为了保证药品的质量及来源合法，投标人投标时必须对以上所列卫生杀虫剂</w:t>
            </w:r>
            <w:r>
              <w:rPr>
                <w:rFonts w:hint="eastAsia" w:ascii="宋体" w:hAnsi="宋体"/>
                <w:color w:val="auto"/>
                <w:sz w:val="21"/>
                <w:szCs w:val="21"/>
                <w:lang w:eastAsia="zh-CN"/>
              </w:rPr>
              <w:t>须</w:t>
            </w:r>
            <w:r>
              <w:rPr>
                <w:rFonts w:hint="eastAsia" w:ascii="宋体" w:hAnsi="宋体"/>
                <w:color w:val="auto"/>
                <w:sz w:val="21"/>
                <w:szCs w:val="21"/>
              </w:rPr>
              <w:t>提供针对本项目所采购货物的有效“三证”（即</w:t>
            </w:r>
            <w:r>
              <w:rPr>
                <w:rFonts w:hint="eastAsia" w:ascii="宋体" w:hAnsi="宋体"/>
                <w:sz w:val="21"/>
                <w:szCs w:val="21"/>
              </w:rPr>
              <w:t>：农药登记证、农药生产批准证书、技术监督部门备案的企业标准）复印件并加盖</w:t>
            </w:r>
            <w:r>
              <w:rPr>
                <w:rFonts w:hint="eastAsia" w:ascii="宋体" w:hAnsi="宋体"/>
                <w:sz w:val="21"/>
                <w:szCs w:val="21"/>
                <w:lang w:eastAsia="zh-CN"/>
              </w:rPr>
              <w:t>投标</w:t>
            </w:r>
            <w:r>
              <w:rPr>
                <w:rFonts w:hint="eastAsia" w:ascii="宋体" w:hAnsi="宋体"/>
                <w:sz w:val="21"/>
                <w:szCs w:val="21"/>
              </w:rPr>
              <w:t>单位公章(必须提交，否则</w:t>
            </w:r>
            <w:r>
              <w:rPr>
                <w:rFonts w:hint="eastAsia" w:ascii="宋体" w:hAnsi="宋体"/>
                <w:sz w:val="21"/>
                <w:szCs w:val="21"/>
                <w:lang w:eastAsia="zh-CN"/>
              </w:rPr>
              <w:t>投</w:t>
            </w:r>
            <w:r>
              <w:rPr>
                <w:rFonts w:hint="eastAsia" w:ascii="宋体" w:hAnsi="宋体"/>
                <w:sz w:val="21"/>
                <w:szCs w:val="21"/>
              </w:rPr>
              <w:t>标无效。)</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color w:val="auto"/>
                <w:sz w:val="21"/>
                <w:szCs w:val="21"/>
              </w:rPr>
            </w:pPr>
            <w:r>
              <w:rPr>
                <w:rFonts w:hint="eastAsia" w:ascii="宋体" w:hAnsi="宋体"/>
                <w:b w:val="0"/>
                <w:bCs/>
                <w:color w:val="auto"/>
              </w:rPr>
              <w:t>★</w:t>
            </w:r>
            <w:r>
              <w:rPr>
                <w:rFonts w:hint="eastAsia" w:ascii="宋体" w:hAnsi="宋体"/>
                <w:color w:val="auto"/>
                <w:sz w:val="21"/>
                <w:szCs w:val="21"/>
              </w:rPr>
              <w:t xml:space="preserve"> </w:t>
            </w:r>
            <w:r>
              <w:rPr>
                <w:rFonts w:hint="eastAsia" w:ascii="宋体" w:hAnsi="宋体"/>
                <w:color w:val="auto"/>
                <w:sz w:val="21"/>
                <w:szCs w:val="21"/>
                <w:lang w:val="en-US" w:eastAsia="zh-CN"/>
              </w:rPr>
              <w:t>2、</w:t>
            </w:r>
            <w:r>
              <w:rPr>
                <w:rFonts w:hint="eastAsia" w:ascii="宋体" w:hAnsi="宋体"/>
                <w:color w:val="auto"/>
                <w:sz w:val="21"/>
                <w:szCs w:val="21"/>
              </w:rPr>
              <w:t>杜绝使用来源不明无“三证”或质量不稳定的卫生杀虫剂，确保灭效和人畜等各项安全，符合绿色环保的有关要求。</w:t>
            </w:r>
          </w:p>
          <w:p>
            <w:pPr>
              <w:keepNext w:val="0"/>
              <w:keepLines w:val="0"/>
              <w:suppressLineNumbers w:val="0"/>
              <w:spacing w:before="0" w:beforeAutospacing="0" w:after="0" w:afterAutospacing="0" w:line="360" w:lineRule="exact"/>
              <w:ind w:left="0" w:leftChars="0" w:right="19" w:rightChars="9"/>
              <w:rPr>
                <w:rFonts w:hint="eastAsia" w:ascii="Times New Roman" w:hAnsi="Times New Roman"/>
                <w:color w:val="auto"/>
                <w:szCs w:val="21"/>
                <w:highlight w:val="none"/>
              </w:rPr>
            </w:pPr>
            <w:r>
              <w:rPr>
                <w:rFonts w:hint="eastAsia" w:ascii="宋体" w:hAnsi="宋体"/>
                <w:sz w:val="21"/>
                <w:szCs w:val="21"/>
              </w:rPr>
              <w:t>十二、本项目无预付款，</w:t>
            </w:r>
            <w:r>
              <w:rPr>
                <w:rFonts w:hint="eastAsia" w:ascii="宋体" w:hAnsi="宋体"/>
                <w:sz w:val="21"/>
                <w:szCs w:val="21"/>
                <w:lang w:eastAsia="zh-CN"/>
              </w:rPr>
              <w:t>中标人</w:t>
            </w:r>
            <w:r>
              <w:rPr>
                <w:rFonts w:hint="eastAsia" w:ascii="宋体" w:hAnsi="宋体"/>
                <w:sz w:val="21"/>
                <w:szCs w:val="21"/>
              </w:rPr>
              <w:t>交货完毕并验收合格后，一次性支付合同款。</w:t>
            </w:r>
          </w:p>
        </w:tc>
      </w:tr>
      <w:tr>
        <w:tblPrEx>
          <w:tblCellMar>
            <w:top w:w="0" w:type="dxa"/>
            <w:left w:w="0" w:type="dxa"/>
            <w:bottom w:w="0" w:type="dxa"/>
            <w:right w:w="0" w:type="dxa"/>
          </w:tblCellMar>
        </w:tblPrEx>
        <w:trPr>
          <w:trHeight w:val="577" w:hRule="atLeast"/>
          <w:jc w:val="center"/>
        </w:trPr>
        <w:tc>
          <w:tcPr>
            <w:tcW w:w="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kern w:val="0"/>
                <w:lang w:eastAsia="zh-CN"/>
              </w:rPr>
            </w:pPr>
            <w:r>
              <w:rPr>
                <w:rFonts w:hint="eastAsia" w:ascii="宋体" w:hAnsi="宋体" w:cs="宋体"/>
                <w:kern w:val="0"/>
                <w:lang w:eastAsia="zh-CN"/>
              </w:rPr>
              <w:t>其</w:t>
            </w:r>
          </w:p>
          <w:p>
            <w:pPr>
              <w:keepNext w:val="0"/>
              <w:keepLines w:val="0"/>
              <w:suppressLineNumbers w:val="0"/>
              <w:spacing w:before="0" w:beforeAutospacing="0" w:after="0" w:afterAutospacing="0" w:line="360" w:lineRule="exact"/>
              <w:ind w:left="0" w:right="0"/>
              <w:jc w:val="center"/>
              <w:rPr>
                <w:rFonts w:hint="eastAsia" w:hAnsi="Times New Roman"/>
                <w:color w:val="auto"/>
                <w:szCs w:val="21"/>
                <w:highlight w:val="none"/>
              </w:rPr>
            </w:pPr>
            <w:r>
              <w:rPr>
                <w:rFonts w:hint="eastAsia" w:ascii="宋体" w:hAnsi="宋体" w:cs="宋体"/>
                <w:kern w:val="0"/>
                <w:lang w:eastAsia="zh-CN"/>
              </w:rPr>
              <w:t>他</w:t>
            </w:r>
            <w:r>
              <w:rPr>
                <w:rFonts w:hint="eastAsia" w:ascii="宋体" w:hAnsi="宋体" w:cs="宋体"/>
                <w:kern w:val="0"/>
                <w:lang w:val="en-US" w:eastAsia="zh-CN"/>
              </w:rPr>
              <w:t xml:space="preserve"> </w:t>
            </w:r>
          </w:p>
        </w:tc>
        <w:tc>
          <w:tcPr>
            <w:tcW w:w="918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b/>
                <w:bCs/>
                <w:color w:val="auto"/>
                <w:sz w:val="21"/>
                <w:szCs w:val="21"/>
                <w:highlight w:val="none"/>
                <w:u w:val="none"/>
              </w:rPr>
            </w:pPr>
            <w:r>
              <w:rPr>
                <w:rFonts w:hint="eastAsia"/>
                <w:color w:val="auto"/>
                <w:highlight w:val="none"/>
              </w:rPr>
              <w:t>★</w:t>
            </w:r>
            <w:r>
              <w:rPr>
                <w:rFonts w:hint="eastAsia"/>
                <w:color w:val="auto"/>
                <w:highlight w:val="none"/>
                <w:lang w:eastAsia="zh-CN"/>
              </w:rPr>
              <w:t>本项目采购标的需执行的国家相关标准、行业标准、地方标准或其他强制性标准、规范等要求：</w:t>
            </w:r>
            <w:r>
              <w:rPr>
                <w:rFonts w:hint="eastAsia"/>
                <w:color w:val="auto"/>
                <w:highlight w:val="none"/>
                <w:u w:val="single"/>
                <w:lang w:eastAsia="zh-CN"/>
              </w:rPr>
              <w:t>按国家相关标准、规范执行。</w:t>
            </w:r>
          </w:p>
        </w:tc>
      </w:tr>
    </w:tbl>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ascii="Times New Roman" w:hAnsi="Times New Roman"/>
          <w:b/>
          <w:color w:val="auto"/>
          <w:sz w:val="36"/>
          <w:highlight w:val="none"/>
        </w:rPr>
      </w:pPr>
    </w:p>
    <w:p>
      <w:pPr>
        <w:pStyle w:val="14"/>
        <w:jc w:val="both"/>
        <w:outlineLvl w:val="0"/>
        <w:rPr>
          <w:rFonts w:hint="eastAsia" w:ascii="Times New Roman" w:hAnsi="Times New Roman" w:eastAsia="宋体"/>
          <w:b/>
          <w:color w:val="auto"/>
          <w:sz w:val="36"/>
          <w:highlight w:val="none"/>
          <w:lang w:eastAsia="zh-CN"/>
        </w:rPr>
      </w:pPr>
    </w:p>
    <w:p>
      <w:pPr>
        <w:pStyle w:val="14"/>
        <w:jc w:val="both"/>
        <w:outlineLvl w:val="0"/>
        <w:rPr>
          <w:rFonts w:hint="eastAsia" w:ascii="Times New Roman" w:hAnsi="Times New Roman" w:eastAsia="宋体"/>
          <w:b/>
          <w:color w:val="auto"/>
          <w:sz w:val="36"/>
          <w:highlight w:val="none"/>
          <w:lang w:eastAsia="zh-CN"/>
        </w:rPr>
      </w:pPr>
    </w:p>
    <w:p>
      <w:pPr>
        <w:pStyle w:val="14"/>
        <w:numPr>
          <w:ilvl w:val="0"/>
          <w:numId w:val="5"/>
        </w:numPr>
        <w:jc w:val="center"/>
        <w:outlineLvl w:val="0"/>
        <w:rPr>
          <w:rFonts w:hint="eastAsia" w:ascii="Times New Roman" w:hAnsi="Times New Roman"/>
          <w:b/>
          <w:color w:val="auto"/>
          <w:sz w:val="36"/>
          <w:highlight w:val="none"/>
        </w:rPr>
      </w:pPr>
      <w:bookmarkStart w:id="40" w:name="_Toc1654625"/>
      <w:r>
        <w:rPr>
          <w:rFonts w:hint="eastAsia" w:ascii="Times New Roman" w:hAnsi="Times New Roman"/>
          <w:b/>
          <w:color w:val="auto"/>
          <w:sz w:val="36"/>
          <w:highlight w:val="none"/>
        </w:rPr>
        <w:t xml:space="preserve"> 评标方法</w:t>
      </w:r>
      <w:bookmarkEnd w:id="40"/>
    </w:p>
    <w:p>
      <w:pPr>
        <w:spacing w:line="360" w:lineRule="auto"/>
        <w:ind w:firstLine="562" w:firstLineChars="200"/>
        <w:jc w:val="center"/>
        <w:rPr>
          <w:rFonts w:hint="eastAsia" w:ascii="Times New Roman" w:hAnsi="Times New Roman" w:eastAsia="宋体"/>
          <w:b/>
          <w:color w:val="auto"/>
          <w:sz w:val="36"/>
          <w:highlight w:val="none"/>
          <w:lang w:eastAsia="zh-CN"/>
        </w:rPr>
      </w:pPr>
      <w:r>
        <w:rPr>
          <w:rFonts w:hint="eastAsia"/>
          <w:b/>
          <w:sz w:val="28"/>
          <w:szCs w:val="28"/>
        </w:rPr>
        <w:t>综合评分法</w:t>
      </w:r>
    </w:p>
    <w:p>
      <w:pPr>
        <w:pStyle w:val="14"/>
        <w:spacing w:line="460" w:lineRule="exact"/>
        <w:ind w:firstLine="420" w:firstLineChars="200"/>
        <w:rPr>
          <w:rFonts w:hint="eastAsia" w:hAnsi="宋体"/>
          <w:color w:val="auto"/>
          <w:szCs w:val="21"/>
          <w:highlight w:val="none"/>
        </w:rPr>
      </w:pPr>
      <w:r>
        <w:rPr>
          <w:rFonts w:hint="eastAsia" w:hAnsi="宋体"/>
          <w:color w:val="auto"/>
          <w:szCs w:val="21"/>
          <w:highlight w:val="none"/>
        </w:rPr>
        <w:t>一、</w:t>
      </w:r>
      <w:r>
        <w:rPr>
          <w:rFonts w:hint="eastAsia" w:ascii="宋体" w:hAnsi="宋体" w:eastAsia="宋体" w:cs="Times New Roman"/>
          <w:color w:val="auto"/>
          <w:sz w:val="21"/>
          <w:szCs w:val="21"/>
          <w:highlight w:val="none"/>
        </w:rPr>
        <w:t>评标委员会以招标文件为依据，对投标文件进行评审，对投标人的投标报价、技术文件</w:t>
      </w:r>
      <w:r>
        <w:rPr>
          <w:rFonts w:hint="eastAsia" w:ascii="宋体" w:hAnsi="宋体" w:cs="Times New Roman"/>
          <w:color w:val="auto"/>
          <w:sz w:val="21"/>
          <w:szCs w:val="21"/>
          <w:highlight w:val="none"/>
          <w:lang w:eastAsia="zh-CN"/>
        </w:rPr>
        <w:t>、</w:t>
      </w:r>
      <w:r>
        <w:rPr>
          <w:rFonts w:hint="eastAsia" w:ascii="宋体" w:hAnsi="宋体" w:eastAsia="宋体" w:cs="Times New Roman"/>
          <w:color w:val="auto"/>
          <w:sz w:val="21"/>
          <w:szCs w:val="21"/>
          <w:highlight w:val="none"/>
        </w:rPr>
        <w:t>商务文件及</w:t>
      </w:r>
      <w:r>
        <w:rPr>
          <w:rFonts w:hint="eastAsia" w:ascii="宋体" w:hAnsi="宋体" w:cs="Times New Roman"/>
          <w:color w:val="auto"/>
          <w:sz w:val="21"/>
          <w:szCs w:val="21"/>
          <w:highlight w:val="none"/>
          <w:lang w:eastAsia="zh-CN"/>
        </w:rPr>
        <w:t>诚信分</w:t>
      </w:r>
      <w:r>
        <w:rPr>
          <w:rFonts w:hint="eastAsia" w:ascii="宋体" w:hAnsi="宋体" w:eastAsia="宋体" w:cs="Times New Roman"/>
          <w:color w:val="auto"/>
          <w:sz w:val="21"/>
          <w:szCs w:val="21"/>
          <w:highlight w:val="none"/>
        </w:rPr>
        <w:t>等</w:t>
      </w:r>
      <w:r>
        <w:rPr>
          <w:rFonts w:hint="eastAsia" w:ascii="宋体" w:hAnsi="宋体" w:cs="Times New Roman"/>
          <w:color w:val="auto"/>
          <w:sz w:val="21"/>
          <w:szCs w:val="21"/>
          <w:highlight w:val="none"/>
          <w:lang w:eastAsia="zh-CN"/>
        </w:rPr>
        <w:t>四</w:t>
      </w:r>
      <w:r>
        <w:rPr>
          <w:rFonts w:hint="eastAsia" w:ascii="宋体" w:hAnsi="宋体" w:eastAsia="宋体" w:cs="Times New Roman"/>
          <w:color w:val="auto"/>
          <w:sz w:val="21"/>
          <w:szCs w:val="21"/>
          <w:highlight w:val="none"/>
        </w:rPr>
        <w:t>部分内容打分</w:t>
      </w:r>
      <w:r>
        <w:rPr>
          <w:rFonts w:hint="eastAsia" w:ascii="宋体" w:hAnsi="宋体" w:eastAsia="宋体" w:cs="Times New Roman"/>
          <w:color w:val="auto"/>
          <w:sz w:val="21"/>
          <w:szCs w:val="21"/>
          <w:highlight w:val="none"/>
          <w:lang w:eastAsia="zh-CN"/>
        </w:rPr>
        <w:t>。</w:t>
      </w:r>
      <w:r>
        <w:rPr>
          <w:rFonts w:hint="eastAsia"/>
        </w:rPr>
        <w:t>（评标时，对于带有主观因素的评分，由各评委独立进行评价、打分，不允许讨论。）</w:t>
      </w:r>
    </w:p>
    <w:p>
      <w:pPr>
        <w:pStyle w:val="14"/>
        <w:spacing w:line="420" w:lineRule="exact"/>
        <w:ind w:firstLine="316" w:firstLineChars="150"/>
        <w:rPr>
          <w:rFonts w:hAnsi="宋体"/>
          <w:color w:val="auto"/>
          <w:szCs w:val="21"/>
          <w:highlight w:val="none"/>
        </w:rPr>
      </w:pPr>
      <w:r>
        <w:rPr>
          <w:rFonts w:ascii="Times New Roman" w:hAnsi="宋体"/>
          <w:b/>
          <w:color w:val="auto"/>
          <w:szCs w:val="21"/>
          <w:highlight w:val="none"/>
        </w:rPr>
        <w:t>二</w:t>
      </w:r>
      <w:r>
        <w:rPr>
          <w:rFonts w:hint="eastAsia" w:ascii="Times New Roman" w:hAnsi="宋体"/>
          <w:b/>
          <w:color w:val="auto"/>
          <w:szCs w:val="21"/>
          <w:highlight w:val="none"/>
        </w:rPr>
        <w:t>、</w:t>
      </w:r>
      <w:r>
        <w:rPr>
          <w:rFonts w:hint="eastAsia" w:hAnsi="宋体"/>
          <w:color w:val="auto"/>
          <w:szCs w:val="21"/>
          <w:highlight w:val="none"/>
        </w:rPr>
        <w:t>评分细则：（按四舍五入取至小数点后两位）</w:t>
      </w:r>
    </w:p>
    <w:p>
      <w:pPr>
        <w:pStyle w:val="14"/>
        <w:spacing w:line="420" w:lineRule="exact"/>
        <w:ind w:firstLine="200"/>
        <w:rPr>
          <w:rFonts w:hAnsi="宋体"/>
          <w:b/>
          <w:bCs/>
          <w:color w:val="auto"/>
          <w:szCs w:val="21"/>
          <w:highlight w:val="none"/>
        </w:rPr>
      </w:pPr>
      <w:r>
        <w:rPr>
          <w:rFonts w:hint="eastAsia" w:hAnsi="宋体"/>
          <w:b/>
          <w:bCs/>
          <w:color w:val="auto"/>
          <w:szCs w:val="21"/>
          <w:highlight w:val="none"/>
        </w:rPr>
        <w:t>（一）价格分…………………………………………………………………………………………………</w:t>
      </w:r>
      <w:r>
        <w:rPr>
          <w:rFonts w:hint="eastAsia" w:hAnsi="宋体"/>
          <w:b/>
          <w:bCs/>
          <w:color w:val="auto"/>
          <w:szCs w:val="21"/>
          <w:highlight w:val="none"/>
          <w:lang w:val="en-US" w:eastAsia="zh-CN"/>
        </w:rPr>
        <w:t>45</w:t>
      </w:r>
      <w:r>
        <w:rPr>
          <w:rFonts w:hint="eastAsia" w:hAnsi="宋体"/>
          <w:b/>
          <w:bCs/>
          <w:color w:val="auto"/>
          <w:szCs w:val="21"/>
          <w:highlight w:val="none"/>
        </w:rPr>
        <w:t>分</w:t>
      </w:r>
    </w:p>
    <w:p>
      <w:pPr>
        <w:pStyle w:val="14"/>
        <w:spacing w:line="400" w:lineRule="exact"/>
        <w:ind w:firstLine="420" w:firstLineChars="200"/>
        <w:rPr>
          <w:rFonts w:hint="eastAsia"/>
        </w:rPr>
      </w:pPr>
      <w:r>
        <w:rPr>
          <w:rFonts w:hint="eastAsia"/>
        </w:rPr>
        <w:t>（1）对于非专门面向中小企业的项目，对小型和微型企业产品的价格给予</w:t>
      </w:r>
      <w:r>
        <w:rPr>
          <w:rFonts w:hint="eastAsia"/>
          <w:shd w:val="pct10" w:color="auto" w:fill="FFFFFF"/>
        </w:rPr>
        <w:t>6%</w:t>
      </w:r>
      <w:r>
        <w:rPr>
          <w:rFonts w:hint="eastAsia"/>
        </w:rPr>
        <w:t>的价格扣除，扣除后的价格为评标价，即评标价＝投标报价×（1-</w:t>
      </w:r>
      <w:r>
        <w:rPr>
          <w:rFonts w:hint="eastAsia"/>
          <w:shd w:val="pct10" w:color="auto" w:fill="FFFFFF"/>
        </w:rPr>
        <w:t>6%</w:t>
      </w:r>
      <w:r>
        <w:rPr>
          <w:rFonts w:hint="eastAsia"/>
        </w:rPr>
        <w:t>）；</w:t>
      </w:r>
      <w:r>
        <w:rPr>
          <w:rFonts w:hint="eastAsia" w:hAnsi="宋体"/>
          <w:bCs/>
        </w:rPr>
        <w:t>（以投标人按第五章“投标文件格式”要求提供的《报价表》和《</w:t>
      </w:r>
      <w:r>
        <w:rPr>
          <w:rFonts w:hint="eastAsia" w:hAnsi="宋体"/>
        </w:rPr>
        <w:t>中小企业声明函</w:t>
      </w:r>
      <w:r>
        <w:rPr>
          <w:rFonts w:hint="eastAsia" w:hAnsi="宋体"/>
          <w:bCs/>
        </w:rPr>
        <w:t>》为评分依据）</w:t>
      </w:r>
    </w:p>
    <w:p>
      <w:pPr>
        <w:pStyle w:val="14"/>
        <w:spacing w:line="400" w:lineRule="exact"/>
        <w:ind w:firstLine="420" w:firstLineChars="200"/>
        <w:rPr>
          <w:rFonts w:hint="eastAsia" w:hAnsi="宋体"/>
        </w:rPr>
      </w:pPr>
      <w:r>
        <w:rPr>
          <w:rFonts w:hint="eastAsia"/>
        </w:rPr>
        <w:t>（2）对</w:t>
      </w:r>
      <w:r>
        <w:rPr>
          <w:rFonts w:hint="eastAsia" w:hAnsi="宋体"/>
        </w:rPr>
        <w:t>大中型企业和其他自然人、法人或者其他组织与小型、微型企业组成联合体，且联合体协议中约定小型、微型企业的协议合同金额占到联合体协议合同总金额30%以上的，给予</w:t>
      </w:r>
      <w:r>
        <w:rPr>
          <w:rFonts w:hint="eastAsia"/>
          <w:shd w:val="pct10" w:color="auto" w:fill="FFFFFF"/>
        </w:rPr>
        <w:t>2%</w:t>
      </w:r>
      <w:r>
        <w:rPr>
          <w:rFonts w:hint="eastAsia" w:hAnsi="宋体"/>
        </w:rPr>
        <w:t>的价格扣除，扣除后的价格为评标价，即评标价＝投标报价×（1-</w:t>
      </w:r>
      <w:r>
        <w:rPr>
          <w:rFonts w:hint="eastAsia"/>
          <w:shd w:val="pct10" w:color="auto" w:fill="FFFFFF"/>
        </w:rPr>
        <w:t>2%</w:t>
      </w:r>
      <w:r>
        <w:rPr>
          <w:rFonts w:hint="eastAsia" w:hAnsi="宋体"/>
        </w:rPr>
        <w:t>）；</w:t>
      </w:r>
      <w:r>
        <w:rPr>
          <w:rFonts w:hint="eastAsia" w:hAnsi="宋体"/>
          <w:bCs/>
        </w:rPr>
        <w:t>（以投标人按第五章“投标文件格式”要求提供的《报价表》、《中小企业声明函》和《联合体协议书》为评分依据）</w:t>
      </w:r>
    </w:p>
    <w:p>
      <w:pPr>
        <w:pStyle w:val="14"/>
        <w:spacing w:line="400" w:lineRule="exact"/>
        <w:ind w:firstLine="420" w:firstLineChars="200"/>
        <w:rPr>
          <w:rFonts w:hint="eastAsia" w:hAnsi="宋体"/>
        </w:rPr>
      </w:pPr>
      <w:r>
        <w:rPr>
          <w:rFonts w:hint="eastAsia" w:hAnsi="宋体"/>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4"/>
        <w:spacing w:line="400" w:lineRule="exact"/>
        <w:ind w:firstLine="420" w:firstLineChars="200"/>
        <w:rPr>
          <w:rFonts w:hint="eastAsia" w:hAnsi="宋体"/>
        </w:rPr>
      </w:pPr>
      <w:r>
        <w:rPr>
          <w:rFonts w:hint="eastAsia" w:hAnsi="宋体"/>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五章“投标文件格式”要求提供的《报价表》和《残疾人福利性单位声明函》为评分依据）</w:t>
      </w:r>
    </w:p>
    <w:p>
      <w:pPr>
        <w:pStyle w:val="14"/>
        <w:spacing w:line="400" w:lineRule="exact"/>
        <w:ind w:firstLine="630" w:firstLineChars="300"/>
        <w:rPr>
          <w:rFonts w:hint="eastAsia" w:eastAsia="宋体"/>
          <w:lang w:eastAsia="zh-CN"/>
        </w:rPr>
      </w:pPr>
      <w:r>
        <w:rPr>
          <w:rFonts w:hint="eastAsia" w:hAnsi="宋体"/>
        </w:rPr>
        <w:t>（5）除上述情况外，</w:t>
      </w:r>
      <w:r>
        <w:rPr>
          <w:rFonts w:hint="eastAsia" w:hAnsi="宋体"/>
          <w:lang w:eastAsia="zh-CN"/>
        </w:rPr>
        <w:t>投标价格最低的投标报价为</w:t>
      </w:r>
      <w:r>
        <w:rPr>
          <w:rFonts w:hint="eastAsia" w:hAnsi="宋体"/>
          <w:color w:val="auto"/>
          <w:szCs w:val="21"/>
          <w:highlight w:val="none"/>
          <w:lang w:eastAsia="zh-CN"/>
        </w:rPr>
        <w:t>评标基准价；</w:t>
      </w:r>
      <w:r>
        <w:rPr>
          <w:rFonts w:hint="eastAsia" w:hAnsi="宋体"/>
        </w:rPr>
        <w:t>评标价＝投标报价（以上扣折不同时享受，已经享受某项折扣的，不再重复扣除）</w:t>
      </w:r>
      <w:r>
        <w:rPr>
          <w:rFonts w:hint="eastAsia" w:hAnsi="宋体"/>
          <w:lang w:eastAsia="zh-CN"/>
        </w:rPr>
        <w:t>。</w:t>
      </w:r>
    </w:p>
    <w:p>
      <w:pPr>
        <w:pStyle w:val="14"/>
        <w:spacing w:line="420" w:lineRule="exact"/>
        <w:ind w:firstLine="525" w:firstLineChars="250"/>
        <w:rPr>
          <w:rFonts w:hAnsi="宋体"/>
          <w:color w:val="auto"/>
          <w:szCs w:val="21"/>
          <w:highlight w:val="none"/>
        </w:rPr>
      </w:pPr>
      <w:r>
        <w:rPr>
          <w:rFonts w:hint="eastAsia" w:hAnsi="宋体"/>
          <w:color w:val="auto"/>
          <w:szCs w:val="21"/>
          <w:highlight w:val="none"/>
          <w:lang w:eastAsia="zh-CN"/>
        </w:rPr>
        <w:t>（</w:t>
      </w:r>
      <w:r>
        <w:rPr>
          <w:rFonts w:hint="eastAsia" w:hAnsi="宋体"/>
          <w:color w:val="auto"/>
          <w:szCs w:val="21"/>
          <w:highlight w:val="none"/>
          <w:lang w:val="en-US" w:eastAsia="zh-CN"/>
        </w:rPr>
        <w:t>6</w:t>
      </w:r>
      <w:r>
        <w:rPr>
          <w:rFonts w:hint="eastAsia" w:hAnsi="宋体"/>
          <w:color w:val="auto"/>
          <w:szCs w:val="21"/>
          <w:highlight w:val="none"/>
          <w:lang w:eastAsia="zh-CN"/>
        </w:rPr>
        <w:t>）</w:t>
      </w:r>
      <w:r>
        <w:rPr>
          <w:rFonts w:hint="eastAsia" w:hAnsi="宋体"/>
          <w:color w:val="auto"/>
          <w:szCs w:val="21"/>
          <w:highlight w:val="none"/>
        </w:rPr>
        <w:t>价格分计算公式：</w:t>
      </w:r>
    </w:p>
    <w:p>
      <w:pPr>
        <w:pStyle w:val="14"/>
        <w:spacing w:line="420" w:lineRule="exact"/>
        <w:ind w:firstLine="315" w:firstLineChars="150"/>
        <w:rPr>
          <w:rFonts w:hAnsi="宋体"/>
          <w:color w:val="auto"/>
          <w:szCs w:val="21"/>
          <w:highlight w:val="none"/>
        </w:rPr>
      </w:pPr>
    </w:p>
    <w:p>
      <w:pPr>
        <w:pStyle w:val="14"/>
        <w:spacing w:line="360" w:lineRule="exact"/>
        <w:ind w:firstLine="200"/>
        <w:rPr>
          <w:rFonts w:hint="eastAsia" w:hAnsi="宋体" w:eastAsia="宋体"/>
          <w:color w:val="auto"/>
          <w:szCs w:val="21"/>
          <w:highlight w:val="none"/>
          <w:lang w:eastAsia="zh-CN"/>
        </w:rPr>
      </w:pPr>
      <w:r>
        <w:rPr>
          <w:rFonts w:hint="eastAsia" w:hAnsi="宋体"/>
          <w:color w:val="auto"/>
          <w:szCs w:val="21"/>
          <w:highlight w:val="none"/>
        </w:rPr>
        <w:t xml:space="preserve">                     </w:t>
      </w:r>
      <w:r>
        <w:rPr>
          <w:rFonts w:hint="eastAsia" w:hAnsi="宋体"/>
          <w:color w:val="auto"/>
          <w:szCs w:val="21"/>
          <w:highlight w:val="none"/>
          <w:lang w:val="en-US" w:eastAsia="zh-CN"/>
        </w:rPr>
        <w:t xml:space="preserve">  </w:t>
      </w:r>
      <w:r>
        <w:rPr>
          <w:rFonts w:hint="eastAsia" w:hAnsi="宋体"/>
          <w:color w:val="auto"/>
          <w:szCs w:val="21"/>
          <w:highlight w:val="none"/>
        </w:rPr>
        <w:t xml:space="preserve"> </w:t>
      </w:r>
      <w:r>
        <w:rPr>
          <w:rFonts w:hint="eastAsia" w:hAnsi="宋体"/>
          <w:color w:val="auto"/>
          <w:szCs w:val="21"/>
          <w:highlight w:val="none"/>
          <w:lang w:val="en-US" w:eastAsia="zh-CN"/>
        </w:rPr>
        <w:t xml:space="preserve">     </w:t>
      </w:r>
      <w:r>
        <w:rPr>
          <w:rFonts w:hint="eastAsia" w:hAnsi="宋体"/>
          <w:color w:val="auto"/>
          <w:szCs w:val="21"/>
          <w:highlight w:val="none"/>
          <w:lang w:eastAsia="zh-CN"/>
        </w:rPr>
        <w:t>评标基准价</w:t>
      </w:r>
    </w:p>
    <w:p>
      <w:pPr>
        <w:pStyle w:val="14"/>
        <w:spacing w:line="320" w:lineRule="exact"/>
        <w:ind w:firstLine="630" w:firstLineChars="300"/>
        <w:rPr>
          <w:rFonts w:hAnsi="宋体"/>
          <w:color w:val="auto"/>
          <w:szCs w:val="21"/>
          <w:highlight w:val="none"/>
        </w:rPr>
      </w:pPr>
      <w:r>
        <w:rPr>
          <w:rFonts w:hint="eastAsia" w:hAnsi="宋体"/>
          <w:color w:val="auto"/>
          <w:szCs w:val="21"/>
          <w:highlight w:val="none"/>
          <w:lang w:eastAsia="zh-CN"/>
        </w:rPr>
        <w:t>投标报价得分</w:t>
      </w:r>
      <w:r>
        <w:rPr>
          <w:rFonts w:hint="eastAsia" w:hAnsi="宋体"/>
          <w:color w:val="auto"/>
          <w:szCs w:val="21"/>
          <w:highlight w:val="none"/>
        </w:rPr>
        <w:t xml:space="preserve"> ＝</w:t>
      </w:r>
      <w:r>
        <w:rPr>
          <w:rFonts w:hint="eastAsia" w:hAnsi="宋体"/>
          <w:color w:val="auto"/>
          <w:szCs w:val="21"/>
          <w:highlight w:val="none"/>
          <w:lang w:val="en-US" w:eastAsia="zh-CN"/>
        </w:rPr>
        <w:t xml:space="preserve">  </w:t>
      </w:r>
      <w:r>
        <w:rPr>
          <w:rFonts w:hint="eastAsia" w:hAnsi="宋体"/>
          <w:b/>
          <w:strike/>
          <w:color w:val="auto"/>
          <w:szCs w:val="21"/>
          <w:highlight w:val="none"/>
        </w:rPr>
        <w:t xml:space="preserve">                     </w:t>
      </w:r>
      <w:r>
        <w:rPr>
          <w:rFonts w:hint="eastAsia" w:hAnsi="宋体"/>
          <w:color w:val="auto"/>
          <w:szCs w:val="21"/>
          <w:highlight w:val="none"/>
        </w:rPr>
        <w:t>×</w:t>
      </w:r>
      <w:r>
        <w:rPr>
          <w:rFonts w:hint="eastAsia" w:hAnsi="宋体"/>
          <w:color w:val="auto"/>
          <w:szCs w:val="21"/>
          <w:highlight w:val="none"/>
          <w:lang w:val="en-US" w:eastAsia="zh-CN"/>
        </w:rPr>
        <w:t>45</w:t>
      </w:r>
      <w:r>
        <w:rPr>
          <w:rFonts w:hint="eastAsia" w:hAnsi="宋体"/>
          <w:color w:val="auto"/>
          <w:szCs w:val="21"/>
          <w:highlight w:val="none"/>
        </w:rPr>
        <w:t>分</w:t>
      </w:r>
    </w:p>
    <w:p>
      <w:pPr>
        <w:pStyle w:val="14"/>
        <w:spacing w:line="360" w:lineRule="exact"/>
        <w:ind w:firstLine="200"/>
        <w:rPr>
          <w:rFonts w:hint="eastAsia" w:hAnsi="宋体" w:eastAsia="宋体"/>
          <w:color w:val="auto"/>
          <w:szCs w:val="21"/>
          <w:highlight w:val="none"/>
          <w:lang w:eastAsia="zh-CN"/>
        </w:rPr>
      </w:pPr>
      <w:r>
        <w:rPr>
          <w:rFonts w:hint="eastAsia" w:hAnsi="宋体"/>
          <w:color w:val="auto"/>
          <w:szCs w:val="21"/>
          <w:highlight w:val="none"/>
        </w:rPr>
        <w:t xml:space="preserve">                       </w:t>
      </w:r>
      <w:r>
        <w:rPr>
          <w:rFonts w:hint="eastAsia" w:hAnsi="宋体"/>
          <w:color w:val="auto"/>
          <w:szCs w:val="21"/>
          <w:highlight w:val="none"/>
          <w:lang w:val="en-US" w:eastAsia="zh-CN"/>
        </w:rPr>
        <w:t xml:space="preserve">        </w:t>
      </w:r>
      <w:r>
        <w:rPr>
          <w:rFonts w:hint="eastAsia" w:hAnsi="宋体"/>
          <w:color w:val="auto"/>
        </w:rPr>
        <w:t>投标报价</w:t>
      </w:r>
    </w:p>
    <w:p>
      <w:pPr>
        <w:pStyle w:val="14"/>
        <w:numPr>
          <w:ilvl w:val="0"/>
          <w:numId w:val="0"/>
        </w:numPr>
        <w:spacing w:line="420" w:lineRule="exact"/>
        <w:ind w:firstLine="630" w:firstLineChars="300"/>
        <w:rPr>
          <w:rFonts w:hAnsi="宋体"/>
          <w:bCs/>
          <w:color w:val="auto"/>
        </w:rPr>
      </w:pPr>
      <w:r>
        <w:rPr>
          <w:rFonts w:hint="eastAsia" w:hAnsi="宋体"/>
          <w:bCs/>
          <w:color w:val="auto"/>
          <w:lang w:eastAsia="zh-CN"/>
        </w:rPr>
        <w:t>（二）</w:t>
      </w:r>
      <w:r>
        <w:rPr>
          <w:rFonts w:hint="eastAsia" w:hAnsi="宋体"/>
          <w:bCs/>
          <w:color w:val="auto"/>
        </w:rPr>
        <w:t>技术分…………………………………………………………………………………………</w:t>
      </w:r>
      <w:r>
        <w:rPr>
          <w:rFonts w:hint="eastAsia" w:hAnsi="宋体"/>
          <w:bCs/>
          <w:color w:val="auto"/>
          <w:lang w:val="en-US" w:eastAsia="zh-CN"/>
        </w:rPr>
        <w:t>18</w:t>
      </w:r>
      <w:r>
        <w:rPr>
          <w:rFonts w:hint="eastAsia" w:hAnsi="宋体"/>
          <w:bCs/>
          <w:color w:val="auto"/>
        </w:rPr>
        <w:t>分</w:t>
      </w:r>
    </w:p>
    <w:p>
      <w:pPr>
        <w:pStyle w:val="14"/>
        <w:spacing w:line="460" w:lineRule="exact"/>
        <w:ind w:firstLine="420"/>
        <w:rPr>
          <w:rFonts w:hint="default" w:eastAsia="宋体"/>
          <w:color w:val="auto"/>
          <w:szCs w:val="21"/>
          <w:lang w:val="en-US" w:eastAsia="zh-CN"/>
        </w:rPr>
      </w:pPr>
      <w:r>
        <w:rPr>
          <w:rFonts w:hint="eastAsia"/>
          <w:color w:val="auto"/>
          <w:szCs w:val="21"/>
        </w:rPr>
        <w:t xml:space="preserve">  </w:t>
      </w:r>
      <w:r>
        <w:rPr>
          <w:rFonts w:hint="eastAsia" w:hAnsi="宋体"/>
          <w:bCs/>
          <w:color w:val="auto"/>
          <w:lang w:val="en-US" w:eastAsia="zh-CN"/>
        </w:rPr>
        <w:t>1、</w:t>
      </w:r>
      <w:r>
        <w:rPr>
          <w:rFonts w:hint="eastAsia" w:hAnsi="宋体"/>
          <w:bCs/>
          <w:color w:val="auto"/>
          <w:lang w:eastAsia="zh-CN"/>
        </w:rPr>
        <w:t>技术基本分</w:t>
      </w:r>
      <w:r>
        <w:rPr>
          <w:rFonts w:hint="eastAsia" w:hAnsi="宋体"/>
          <w:bCs/>
          <w:color w:val="auto"/>
        </w:rPr>
        <w:t>…………………………………………………………………………………</w:t>
      </w:r>
      <w:r>
        <w:rPr>
          <w:rFonts w:hint="eastAsia" w:hAnsi="宋体"/>
          <w:bCs/>
          <w:color w:val="auto"/>
          <w:lang w:val="en-US" w:eastAsia="zh-CN"/>
        </w:rPr>
        <w:t>10分</w:t>
      </w:r>
    </w:p>
    <w:p>
      <w:pPr>
        <w:pStyle w:val="14"/>
        <w:spacing w:line="460" w:lineRule="exact"/>
        <w:ind w:firstLine="630" w:firstLineChars="300"/>
        <w:rPr>
          <w:rFonts w:hAnsi="宋体"/>
          <w:bCs/>
          <w:color w:val="auto"/>
          <w:szCs w:val="21"/>
        </w:rPr>
      </w:pPr>
      <w:r>
        <w:rPr>
          <w:rFonts w:hAnsi="宋体"/>
          <w:bCs/>
          <w:color w:val="auto"/>
          <w:szCs w:val="21"/>
        </w:rPr>
        <w:t>（1）</w:t>
      </w:r>
      <w:r>
        <w:rPr>
          <w:rFonts w:hint="eastAsia" w:hAnsi="宋体"/>
          <w:bCs/>
          <w:color w:val="auto"/>
        </w:rPr>
        <w:t>技术参数完全满足招标文件要求的</w:t>
      </w:r>
      <w:r>
        <w:rPr>
          <w:rFonts w:hint="eastAsia" w:hAnsi="宋体"/>
          <w:bCs/>
          <w:color w:val="auto"/>
          <w:lang w:eastAsia="zh-CN"/>
        </w:rPr>
        <w:t>，得</w:t>
      </w:r>
      <w:r>
        <w:rPr>
          <w:rFonts w:hint="eastAsia" w:hAnsi="宋体"/>
          <w:bCs/>
          <w:color w:val="auto"/>
          <w:lang w:val="en-US" w:eastAsia="zh-CN"/>
        </w:rPr>
        <w:t>10分</w:t>
      </w:r>
      <w:r>
        <w:rPr>
          <w:rFonts w:hAnsi="宋体"/>
          <w:bCs/>
          <w:color w:val="auto"/>
          <w:szCs w:val="21"/>
        </w:rPr>
        <w:t>；</w:t>
      </w:r>
    </w:p>
    <w:p>
      <w:pPr>
        <w:pStyle w:val="14"/>
        <w:spacing w:line="460" w:lineRule="exact"/>
        <w:ind w:firstLine="630" w:firstLineChars="300"/>
        <w:rPr>
          <w:rFonts w:hAnsi="宋体"/>
          <w:bCs/>
          <w:color w:val="auto"/>
          <w:szCs w:val="21"/>
        </w:rPr>
      </w:pPr>
      <w:r>
        <w:rPr>
          <w:rFonts w:hint="eastAsia" w:hAnsi="宋体"/>
          <w:bCs/>
          <w:szCs w:val="21"/>
        </w:rPr>
        <w:t>2、技术证明材料分</w:t>
      </w:r>
      <w:r>
        <w:rPr>
          <w:rFonts w:hint="eastAsia" w:hAnsi="宋体"/>
          <w:bCs/>
        </w:rPr>
        <w:t>………………………………………………………………………</w:t>
      </w:r>
      <w:r>
        <w:rPr>
          <w:rFonts w:hint="eastAsia" w:hAnsi="宋体"/>
          <w:bCs/>
          <w:color w:val="auto"/>
        </w:rPr>
        <w:t>…………8分</w:t>
      </w:r>
    </w:p>
    <w:p>
      <w:pPr>
        <w:pStyle w:val="14"/>
        <w:spacing w:line="460" w:lineRule="exact"/>
        <w:ind w:firstLine="630" w:firstLineChars="300"/>
        <w:rPr>
          <w:rFonts w:hAnsi="宋体" w:cstheme="minorBidi"/>
          <w:bCs/>
          <w:color w:val="auto"/>
          <w:szCs w:val="21"/>
        </w:rPr>
      </w:pPr>
      <w:r>
        <w:rPr>
          <w:rFonts w:hAnsi="宋体"/>
          <w:bCs/>
          <w:color w:val="auto"/>
          <w:szCs w:val="21"/>
        </w:rPr>
        <w:t>（</w:t>
      </w:r>
      <w:r>
        <w:rPr>
          <w:rFonts w:hint="eastAsia" w:hAnsi="宋体"/>
          <w:bCs/>
          <w:color w:val="auto"/>
          <w:szCs w:val="21"/>
        </w:rPr>
        <w:t>1</w:t>
      </w:r>
      <w:r>
        <w:rPr>
          <w:rFonts w:hAnsi="宋体"/>
          <w:bCs/>
          <w:color w:val="auto"/>
          <w:szCs w:val="21"/>
        </w:rPr>
        <w:t>）</w:t>
      </w:r>
      <w:r>
        <w:rPr>
          <w:rFonts w:hint="eastAsia" w:hAnsi="宋体"/>
          <w:bCs/>
          <w:color w:val="auto"/>
          <w:szCs w:val="21"/>
        </w:rPr>
        <w:t>能够出具货物需求一览表表中投标产品生产厂家的</w:t>
      </w:r>
      <w:r>
        <w:rPr>
          <w:rFonts w:hint="eastAsia" w:hAnsi="宋体" w:cstheme="minorBidi"/>
          <w:bCs/>
          <w:color w:val="auto"/>
          <w:szCs w:val="21"/>
        </w:rPr>
        <w:t>（</w:t>
      </w:r>
      <w:r>
        <w:rPr>
          <w:rFonts w:hint="eastAsia" w:hAnsi="宋体"/>
          <w:bCs/>
          <w:color w:val="auto"/>
          <w:szCs w:val="21"/>
        </w:rPr>
        <w:t>药效报告、毒理报告、药品检测报告、MSDS(</w:t>
      </w:r>
      <w:r>
        <w:rPr>
          <w:rFonts w:hAnsi="宋体" w:cstheme="minorBidi"/>
          <w:bCs/>
          <w:color w:val="auto"/>
          <w:szCs w:val="21"/>
        </w:rPr>
        <w:t>化学品安全技术说明书等完整相关材料复印件</w:t>
      </w:r>
      <w:r>
        <w:rPr>
          <w:rFonts w:hint="eastAsia" w:hAnsi="宋体" w:cstheme="minorBidi"/>
          <w:bCs/>
          <w:color w:val="auto"/>
          <w:szCs w:val="21"/>
        </w:rPr>
        <w:t>并加盖投标人公章的）得4分</w:t>
      </w:r>
      <w:r>
        <w:rPr>
          <w:rFonts w:hAnsi="宋体" w:cstheme="minorBidi"/>
          <w:bCs/>
          <w:color w:val="auto"/>
          <w:szCs w:val="21"/>
        </w:rPr>
        <w:t>；</w:t>
      </w:r>
    </w:p>
    <w:p>
      <w:pPr>
        <w:pStyle w:val="14"/>
        <w:spacing w:line="460" w:lineRule="exact"/>
        <w:ind w:firstLine="630" w:firstLineChars="300"/>
        <w:rPr>
          <w:rFonts w:hint="eastAsia" w:hAnsi="宋体" w:cstheme="minorBidi"/>
          <w:bCs/>
          <w:color w:val="auto"/>
          <w:sz w:val="21"/>
          <w:szCs w:val="21"/>
          <w:shd w:val="clear"/>
          <w:lang w:eastAsia="zh-CN"/>
        </w:rPr>
      </w:pPr>
      <w:r>
        <w:rPr>
          <w:rFonts w:hint="eastAsia" w:hAnsi="宋体" w:cstheme="minorBidi"/>
          <w:bCs/>
          <w:color w:val="auto"/>
          <w:szCs w:val="21"/>
        </w:rPr>
        <w:t>（2）所投产品</w:t>
      </w:r>
      <w:r>
        <w:rPr>
          <w:rFonts w:hint="eastAsia" w:hAnsi="宋体"/>
          <w:bCs/>
          <w:color w:val="auto"/>
          <w:szCs w:val="21"/>
        </w:rPr>
        <w:t>生产厂家在生产过程中应符合环保要求，</w:t>
      </w:r>
      <w:r>
        <w:rPr>
          <w:rFonts w:hint="eastAsia" w:hAnsi="宋体" w:cstheme="minorBidi"/>
          <w:bCs/>
          <w:color w:val="auto"/>
          <w:szCs w:val="21"/>
        </w:rPr>
        <w:t>生产企业环境行为评定获得当地环保部门蓝色等级企业或绿色等级企业所有相关材料复印件并加盖投标人公章的，每一项得1分，满分4分。</w:t>
      </w:r>
      <w:r>
        <w:rPr>
          <w:rFonts w:hint="eastAsia" w:hAnsi="宋体" w:eastAsia="宋体" w:cs="宋体"/>
          <w:color w:val="auto"/>
          <w:szCs w:val="21"/>
        </w:rPr>
        <w:t xml:space="preserve"> </w:t>
      </w:r>
    </w:p>
    <w:p>
      <w:pPr>
        <w:pStyle w:val="14"/>
        <w:spacing w:line="420" w:lineRule="exact"/>
        <w:ind w:firstLine="420"/>
        <w:rPr>
          <w:rFonts w:hAnsi="宋体"/>
          <w:bCs/>
          <w:color w:val="auto"/>
        </w:rPr>
      </w:pPr>
      <w:r>
        <w:rPr>
          <w:rFonts w:hint="eastAsia" w:hAnsi="宋体"/>
          <w:bCs/>
          <w:color w:val="auto"/>
          <w:lang w:eastAsia="zh-CN"/>
        </w:rPr>
        <w:t>（三）</w:t>
      </w:r>
      <w:r>
        <w:rPr>
          <w:rFonts w:hint="eastAsia" w:hAnsi="宋体"/>
          <w:bCs/>
          <w:color w:val="auto"/>
        </w:rPr>
        <w:t>商务分………………………………………………………………………………………………</w:t>
      </w:r>
      <w:r>
        <w:rPr>
          <w:rFonts w:hint="eastAsia" w:hAnsi="宋体"/>
          <w:bCs/>
          <w:color w:val="auto"/>
          <w:lang w:val="en-US" w:eastAsia="zh-CN"/>
        </w:rPr>
        <w:t>37</w:t>
      </w:r>
      <w:r>
        <w:rPr>
          <w:rFonts w:hint="eastAsia" w:hAnsi="宋体"/>
          <w:bCs/>
          <w:color w:val="auto"/>
        </w:rPr>
        <w:t>分</w:t>
      </w:r>
    </w:p>
    <w:p>
      <w:pPr>
        <w:pStyle w:val="14"/>
        <w:spacing w:line="400" w:lineRule="exact"/>
        <w:ind w:firstLine="630" w:firstLineChars="300"/>
        <w:rPr>
          <w:rFonts w:hAnsi="宋体"/>
          <w:bCs/>
          <w:color w:val="auto"/>
        </w:rPr>
      </w:pPr>
      <w:r>
        <w:rPr>
          <w:rFonts w:hint="eastAsia" w:hAnsi="宋体"/>
          <w:bCs/>
          <w:color w:val="auto"/>
          <w:lang w:val="en-US" w:eastAsia="zh-CN"/>
        </w:rPr>
        <w:t>1、</w:t>
      </w:r>
      <w:r>
        <w:rPr>
          <w:rFonts w:hint="eastAsia" w:hAnsi="宋体"/>
          <w:bCs/>
          <w:color w:val="auto"/>
        </w:rPr>
        <w:t>售后服务………………………………………………………………………………………</w:t>
      </w:r>
      <w:r>
        <w:rPr>
          <w:rFonts w:hint="eastAsia" w:hAnsi="宋体"/>
          <w:bCs/>
          <w:color w:val="auto"/>
          <w:lang w:val="en-US" w:eastAsia="zh-CN"/>
        </w:rPr>
        <w:t>13</w:t>
      </w:r>
      <w:r>
        <w:rPr>
          <w:rFonts w:hint="eastAsia" w:hAnsi="宋体"/>
          <w:bCs/>
          <w:color w:val="auto"/>
        </w:rPr>
        <w:t>分</w:t>
      </w:r>
    </w:p>
    <w:p>
      <w:pPr>
        <w:pStyle w:val="14"/>
        <w:spacing w:line="400" w:lineRule="exact"/>
        <w:ind w:firstLine="630" w:firstLineChars="300"/>
        <w:rPr>
          <w:rFonts w:hint="eastAsia" w:hAnsi="宋体"/>
          <w:bCs/>
          <w:color w:val="auto"/>
        </w:rPr>
      </w:pPr>
      <w:r>
        <w:rPr>
          <w:rFonts w:hint="eastAsia" w:hAnsi="宋体"/>
          <w:bCs/>
          <w:color w:val="auto"/>
          <w:lang w:eastAsia="zh-CN"/>
        </w:rPr>
        <w:t>（</w:t>
      </w:r>
      <w:r>
        <w:rPr>
          <w:rFonts w:hint="eastAsia" w:hAnsi="宋体"/>
          <w:bCs/>
          <w:color w:val="auto"/>
          <w:lang w:val="en-US" w:eastAsia="zh-CN"/>
        </w:rPr>
        <w:t>1</w:t>
      </w:r>
      <w:r>
        <w:rPr>
          <w:rFonts w:hint="eastAsia" w:hAnsi="宋体"/>
          <w:bCs/>
          <w:color w:val="auto"/>
          <w:lang w:eastAsia="zh-CN"/>
        </w:rPr>
        <w:t>）</w:t>
      </w:r>
      <w:r>
        <w:rPr>
          <w:rFonts w:hint="eastAsia" w:hAnsi="宋体"/>
          <w:bCs/>
          <w:color w:val="auto"/>
        </w:rPr>
        <w:t>售后服务</w:t>
      </w:r>
      <w:r>
        <w:rPr>
          <w:rFonts w:hint="eastAsia" w:hAnsi="宋体"/>
          <w:bCs/>
          <w:color w:val="auto"/>
          <w:lang w:eastAsia="zh-CN"/>
        </w:rPr>
        <w:t>方案</w:t>
      </w:r>
      <w:r>
        <w:rPr>
          <w:rFonts w:hint="eastAsia" w:hAnsi="宋体"/>
          <w:bCs/>
          <w:color w:val="auto"/>
        </w:rPr>
        <w:t>…………………………………………………………………………………12分</w:t>
      </w:r>
    </w:p>
    <w:p>
      <w:pPr>
        <w:pStyle w:val="14"/>
        <w:spacing w:line="400" w:lineRule="exact"/>
        <w:ind w:firstLine="420"/>
        <w:rPr>
          <w:rFonts w:hint="eastAsia" w:hAnsi="宋体"/>
          <w:bCs/>
          <w:color w:val="auto"/>
        </w:rPr>
      </w:pPr>
      <w:r>
        <w:rPr>
          <w:rFonts w:hint="eastAsia" w:hAnsi="宋体"/>
          <w:bCs/>
          <w:color w:val="auto"/>
        </w:rPr>
        <w:t xml:space="preserve">  （由评标委员会根据投标人投标文件承诺讨论定档</w:t>
      </w:r>
      <w:r>
        <w:rPr>
          <w:rFonts w:hint="eastAsia" w:hAnsi="宋体"/>
          <w:bCs/>
          <w:color w:val="auto"/>
          <w:lang w:eastAsia="zh-CN"/>
        </w:rPr>
        <w:t>打分</w:t>
      </w:r>
      <w:r>
        <w:rPr>
          <w:rFonts w:hint="eastAsia" w:hAnsi="宋体"/>
          <w:bCs/>
          <w:color w:val="auto"/>
        </w:rPr>
        <w:t>）</w:t>
      </w:r>
    </w:p>
    <w:p>
      <w:pPr>
        <w:pStyle w:val="14"/>
        <w:spacing w:line="400" w:lineRule="exact"/>
        <w:ind w:firstLine="630" w:firstLineChars="300"/>
        <w:rPr>
          <w:rFonts w:hint="eastAsia" w:hAnsi="宋体"/>
          <w:bCs/>
          <w:color w:val="auto"/>
        </w:rPr>
      </w:pPr>
      <w:r>
        <w:rPr>
          <w:rFonts w:hint="eastAsia" w:hAnsi="宋体"/>
          <w:bCs/>
          <w:color w:val="auto"/>
          <w:lang w:val="en-US" w:eastAsia="zh-CN"/>
        </w:rPr>
        <w:t>1</w:t>
      </w:r>
      <w:r>
        <w:rPr>
          <w:rFonts w:hint="eastAsia" w:hAnsi="宋体"/>
          <w:bCs/>
          <w:color w:val="auto"/>
          <w:lang w:eastAsia="zh-CN"/>
        </w:rPr>
        <w:t>）</w:t>
      </w:r>
      <w:r>
        <w:rPr>
          <w:rFonts w:hint="eastAsia" w:hAnsi="宋体"/>
          <w:bCs/>
          <w:color w:val="auto"/>
        </w:rPr>
        <w:t>一档（4分）</w:t>
      </w:r>
      <w:r>
        <w:rPr>
          <w:rFonts w:hint="eastAsia" w:hAnsi="宋体"/>
          <w:bCs/>
          <w:color w:val="auto"/>
          <w:lang w:eastAsia="zh-CN"/>
        </w:rPr>
        <w:t>：</w:t>
      </w:r>
      <w:r>
        <w:rPr>
          <w:rFonts w:hint="eastAsia" w:hAnsi="宋体"/>
          <w:bCs/>
          <w:color w:val="auto"/>
        </w:rPr>
        <w:t>满足招标文件售后服务要求的；</w:t>
      </w:r>
    </w:p>
    <w:p>
      <w:pPr>
        <w:pStyle w:val="14"/>
        <w:spacing w:line="400" w:lineRule="exact"/>
        <w:ind w:firstLine="630" w:firstLineChars="300"/>
        <w:rPr>
          <w:rFonts w:hint="eastAsia" w:hAnsi="宋体"/>
          <w:bCs/>
          <w:color w:val="auto"/>
          <w:lang w:eastAsia="zh-CN"/>
        </w:rPr>
      </w:pPr>
      <w:r>
        <w:rPr>
          <w:rFonts w:hint="eastAsia" w:hAnsi="宋体"/>
          <w:bCs/>
          <w:color w:val="auto"/>
          <w:lang w:val="en-US" w:eastAsia="zh-CN"/>
        </w:rPr>
        <w:t>2</w:t>
      </w:r>
      <w:r>
        <w:rPr>
          <w:rFonts w:hint="eastAsia" w:hAnsi="宋体"/>
          <w:bCs/>
          <w:color w:val="auto"/>
          <w:lang w:eastAsia="zh-CN"/>
        </w:rPr>
        <w:t>）</w:t>
      </w:r>
      <w:r>
        <w:rPr>
          <w:rFonts w:hint="eastAsia" w:hAnsi="宋体"/>
          <w:bCs/>
          <w:color w:val="auto"/>
        </w:rPr>
        <w:t>二档（8分）</w:t>
      </w:r>
      <w:r>
        <w:rPr>
          <w:rFonts w:hint="eastAsia" w:hAnsi="宋体"/>
          <w:bCs/>
          <w:color w:val="auto"/>
          <w:lang w:eastAsia="zh-CN"/>
        </w:rPr>
        <w:t>：</w:t>
      </w:r>
      <w:r>
        <w:rPr>
          <w:rFonts w:hint="eastAsia" w:hAnsi="宋体"/>
          <w:bCs/>
          <w:color w:val="auto"/>
        </w:rPr>
        <w:t>满足招标文件售后服务要求，售后服务方案</w:t>
      </w:r>
      <w:r>
        <w:rPr>
          <w:rFonts w:hint="eastAsia" w:hAnsi="宋体"/>
          <w:bCs/>
          <w:color w:val="auto"/>
          <w:lang w:eastAsia="zh-CN"/>
        </w:rPr>
        <w:t>较</w:t>
      </w:r>
      <w:r>
        <w:rPr>
          <w:rFonts w:hint="eastAsia" w:hAnsi="宋体"/>
          <w:bCs/>
          <w:color w:val="auto"/>
        </w:rPr>
        <w:t>完整、详细，有可靠的服务响应体系，售后服务要求的质保期、服务响应时间、服务响应方式优于</w:t>
      </w:r>
      <w:r>
        <w:rPr>
          <w:rFonts w:hint="eastAsia" w:hAnsi="宋体"/>
          <w:bCs/>
          <w:color w:val="auto"/>
          <w:lang w:eastAsia="zh-CN"/>
        </w:rPr>
        <w:t>采购文件要求的；有产品使用培训方案的</w:t>
      </w:r>
      <w:r>
        <w:rPr>
          <w:rFonts w:hint="eastAsia" w:hAnsi="宋体"/>
          <w:bCs/>
          <w:color w:val="auto"/>
          <w:lang w:val="en-US" w:eastAsia="zh-CN"/>
        </w:rPr>
        <w:t>及能派出相关技术人员提供</w:t>
      </w:r>
      <w:r>
        <w:rPr>
          <w:rFonts w:hint="eastAsia" w:hAnsi="宋体" w:cs="宋体"/>
          <w:color w:val="auto"/>
          <w:szCs w:val="21"/>
          <w:lang w:val="en-US" w:eastAsia="zh-CN"/>
        </w:rPr>
        <w:t>免费</w:t>
      </w:r>
      <w:r>
        <w:rPr>
          <w:rFonts w:hint="eastAsia" w:hAnsi="宋体"/>
          <w:bCs/>
          <w:color w:val="auto"/>
          <w:lang w:val="en-US" w:eastAsia="zh-CN"/>
        </w:rPr>
        <w:t>产品使用指导</w:t>
      </w:r>
      <w:r>
        <w:rPr>
          <w:rFonts w:hint="eastAsia" w:hAnsi="宋体"/>
          <w:bCs/>
          <w:color w:val="auto"/>
          <w:lang w:eastAsia="zh-CN"/>
        </w:rPr>
        <w:t>；</w:t>
      </w:r>
    </w:p>
    <w:p>
      <w:pPr>
        <w:pStyle w:val="14"/>
        <w:spacing w:line="400" w:lineRule="exact"/>
        <w:ind w:firstLine="630" w:firstLineChars="300"/>
        <w:rPr>
          <w:rFonts w:hint="eastAsia" w:hAnsi="宋体" w:eastAsia="宋体"/>
          <w:bCs/>
          <w:color w:val="auto"/>
          <w:lang w:eastAsia="zh-CN"/>
        </w:rPr>
      </w:pPr>
      <w:r>
        <w:rPr>
          <w:rFonts w:hint="eastAsia" w:hAnsi="宋体"/>
          <w:bCs/>
          <w:color w:val="auto"/>
          <w:lang w:val="en-US" w:eastAsia="zh-CN"/>
        </w:rPr>
        <w:t>3</w:t>
      </w:r>
      <w:r>
        <w:rPr>
          <w:rFonts w:hint="eastAsia" w:hAnsi="宋体"/>
          <w:bCs/>
          <w:color w:val="auto"/>
          <w:lang w:eastAsia="zh-CN"/>
        </w:rPr>
        <w:t>）</w:t>
      </w:r>
      <w:r>
        <w:rPr>
          <w:rFonts w:hint="eastAsia" w:hAnsi="宋体"/>
          <w:bCs/>
          <w:color w:val="auto"/>
        </w:rPr>
        <w:t>三档（12分）</w:t>
      </w:r>
      <w:r>
        <w:rPr>
          <w:rFonts w:hint="eastAsia" w:hAnsi="宋体"/>
          <w:bCs/>
          <w:color w:val="auto"/>
          <w:lang w:eastAsia="zh-CN"/>
        </w:rPr>
        <w:t>：</w:t>
      </w:r>
      <w:r>
        <w:rPr>
          <w:rFonts w:hint="eastAsia" w:hAnsi="宋体"/>
          <w:bCs/>
          <w:color w:val="auto"/>
        </w:rPr>
        <w:t>满足招标文件售后服务要求，售后服务方案完整、详细，有可靠的服务响应体系，售后服务要求的质保期、服务响应时间、服务响应方式优于招标文件</w:t>
      </w:r>
      <w:r>
        <w:rPr>
          <w:rFonts w:hint="eastAsia" w:hAnsi="宋体"/>
          <w:bCs/>
          <w:color w:val="auto"/>
          <w:lang w:eastAsia="zh-CN"/>
        </w:rPr>
        <w:t>；产品使用培训方案详细可性行强、并能派出</w:t>
      </w:r>
      <w:r>
        <w:rPr>
          <w:rFonts w:hint="eastAsia" w:hAnsi="宋体" w:eastAsia="宋体" w:cs="宋体"/>
          <w:color w:val="auto"/>
          <w:szCs w:val="21"/>
        </w:rPr>
        <w:t>具有中华人民共和国人力资源和社会保障部印制的有害生物防制员三级证书</w:t>
      </w:r>
      <w:r>
        <w:rPr>
          <w:rFonts w:hint="eastAsia" w:hAnsi="宋体" w:cs="宋体"/>
          <w:color w:val="auto"/>
          <w:szCs w:val="21"/>
          <w:lang w:eastAsia="zh-CN"/>
        </w:rPr>
        <w:t>以上（含三级）</w:t>
      </w:r>
      <w:r>
        <w:rPr>
          <w:rFonts w:hint="eastAsia" w:hAnsi="宋体" w:cs="宋体"/>
          <w:color w:val="auto"/>
          <w:szCs w:val="21"/>
          <w:lang w:val="en-US" w:eastAsia="zh-CN"/>
        </w:rPr>
        <w:t xml:space="preserve">                                                                                                                                                                                                                                                                                                                                                                                                                                                                                                                                                                                                                                                                                                                                                                                                                                                                                                                                                                                                                                                                                                                                                                                                                                                                                                                                                                                                                                                                                                                                                                                                                                                                                                                                                                                                     </w:t>
      </w:r>
      <w:r>
        <w:rPr>
          <w:rFonts w:hint="eastAsia" w:hAnsi="宋体" w:eastAsia="宋体" w:cs="宋体"/>
          <w:color w:val="auto"/>
          <w:szCs w:val="21"/>
        </w:rPr>
        <w:t>的</w:t>
      </w:r>
      <w:r>
        <w:rPr>
          <w:rFonts w:hint="eastAsia" w:hAnsi="宋体" w:cs="宋体"/>
          <w:color w:val="auto"/>
          <w:szCs w:val="21"/>
          <w:lang w:eastAsia="zh-CN"/>
        </w:rPr>
        <w:t>人员至少</w:t>
      </w:r>
      <w:r>
        <w:rPr>
          <w:rFonts w:hint="eastAsia" w:hAnsi="宋体" w:cs="宋体"/>
          <w:color w:val="auto"/>
          <w:szCs w:val="21"/>
          <w:lang w:val="en-US" w:eastAsia="zh-CN"/>
        </w:rPr>
        <w:t>2人提供免费使用技术指导的（须附具体人员证书）</w:t>
      </w:r>
      <w:r>
        <w:rPr>
          <w:rFonts w:hint="eastAsia" w:hAnsi="宋体"/>
          <w:bCs/>
          <w:color w:val="auto"/>
        </w:rPr>
        <w:t>。</w:t>
      </w:r>
    </w:p>
    <w:p>
      <w:pPr>
        <w:pStyle w:val="14"/>
        <w:numPr>
          <w:ilvl w:val="0"/>
          <w:numId w:val="0"/>
        </w:numPr>
        <w:spacing w:line="400" w:lineRule="exact"/>
        <w:ind w:firstLine="420" w:firstLineChars="200"/>
        <w:rPr>
          <w:rFonts w:hint="eastAsia" w:hAnsi="宋体" w:eastAsia="宋体" w:cs="Times New Roman"/>
          <w:bCs/>
          <w:color w:val="auto"/>
          <w:szCs w:val="21"/>
        </w:rPr>
      </w:pPr>
      <w:r>
        <w:rPr>
          <w:rFonts w:hint="eastAsia" w:hAnsi="宋体" w:cs="Times New Roman"/>
          <w:bCs/>
          <w:color w:val="auto"/>
          <w:szCs w:val="21"/>
          <w:lang w:val="en-US" w:eastAsia="zh-CN"/>
        </w:rPr>
        <w:t>（2）</w:t>
      </w:r>
      <w:r>
        <w:rPr>
          <w:rFonts w:hint="eastAsia" w:hAnsi="宋体" w:eastAsia="宋体" w:cs="Times New Roman"/>
          <w:bCs/>
          <w:color w:val="auto"/>
          <w:szCs w:val="21"/>
        </w:rPr>
        <w:t>投标人为南宁本地企业或在南宁市有常驻机构或在南宁市内设有分支机构的得1分（提供相关证明材料并加盖单位公章）。</w:t>
      </w:r>
    </w:p>
    <w:p>
      <w:pPr>
        <w:pStyle w:val="14"/>
        <w:numPr>
          <w:ilvl w:val="0"/>
          <w:numId w:val="0"/>
        </w:numPr>
        <w:spacing w:line="400" w:lineRule="exact"/>
        <w:ind w:firstLine="420" w:firstLineChars="200"/>
        <w:rPr>
          <w:rFonts w:hAnsi="宋体"/>
          <w:bCs/>
          <w:color w:val="auto"/>
        </w:rPr>
      </w:pPr>
      <w:r>
        <w:rPr>
          <w:rFonts w:hint="eastAsia" w:hAnsi="宋体"/>
          <w:bCs/>
          <w:color w:val="auto"/>
          <w:lang w:val="en-US" w:eastAsia="zh-CN"/>
        </w:rPr>
        <w:t>2、</w:t>
      </w:r>
      <w:r>
        <w:rPr>
          <w:rFonts w:hint="eastAsia" w:hAnsi="宋体"/>
          <w:bCs/>
          <w:color w:val="auto"/>
        </w:rPr>
        <w:t>关联突发事件应急处置能力……………………………………………………………………</w:t>
      </w:r>
      <w:r>
        <w:rPr>
          <w:rFonts w:hint="eastAsia" w:hAnsi="宋体"/>
          <w:bCs/>
          <w:color w:val="auto"/>
          <w:lang w:val="en-US" w:eastAsia="zh-CN"/>
        </w:rPr>
        <w:t>4</w:t>
      </w:r>
      <w:r>
        <w:rPr>
          <w:rFonts w:hint="eastAsia" w:hAnsi="宋体"/>
          <w:bCs/>
          <w:color w:val="auto"/>
        </w:rPr>
        <w:t>分</w:t>
      </w:r>
    </w:p>
    <w:p>
      <w:pPr>
        <w:pStyle w:val="14"/>
        <w:numPr>
          <w:ilvl w:val="0"/>
          <w:numId w:val="0"/>
        </w:numPr>
        <w:spacing w:line="400" w:lineRule="exact"/>
        <w:ind w:firstLine="630" w:firstLineChars="300"/>
        <w:rPr>
          <w:rFonts w:hAnsi="宋体"/>
          <w:bCs/>
          <w:color w:val="auto"/>
        </w:rPr>
      </w:pPr>
      <w:r>
        <w:rPr>
          <w:rFonts w:hint="eastAsia" w:hAnsi="宋体" w:eastAsia="宋体" w:cs="宋体"/>
          <w:color w:val="auto"/>
          <w:szCs w:val="21"/>
        </w:rPr>
        <w:t>有病媒防制突发事件应急处置经验（至少</w:t>
      </w:r>
      <w:r>
        <w:rPr>
          <w:rFonts w:hint="eastAsia" w:hAnsi="宋体" w:eastAsia="宋体" w:cs="宋体"/>
          <w:color w:val="auto"/>
          <w:szCs w:val="21"/>
          <w:lang w:eastAsia="zh-CN"/>
        </w:rPr>
        <w:t>提供</w:t>
      </w:r>
      <w:r>
        <w:rPr>
          <w:rFonts w:hint="eastAsia" w:hAnsi="宋体" w:eastAsia="宋体" w:cs="宋体"/>
          <w:color w:val="auto"/>
          <w:szCs w:val="21"/>
        </w:rPr>
        <w:t>一</w:t>
      </w:r>
      <w:r>
        <w:rPr>
          <w:rFonts w:hint="eastAsia" w:hAnsi="宋体" w:eastAsia="宋体" w:cs="宋体"/>
          <w:color w:val="auto"/>
          <w:szCs w:val="21"/>
          <w:lang w:eastAsia="zh-CN"/>
        </w:rPr>
        <w:t>份</w:t>
      </w:r>
      <w:r>
        <w:rPr>
          <w:rFonts w:hint="eastAsia" w:hAnsi="宋体" w:eastAsia="宋体" w:cs="宋体"/>
          <w:color w:val="auto"/>
          <w:szCs w:val="21"/>
        </w:rPr>
        <w:t>政府组织的相关病媒防制突发事件应急处置中标书或合同），</w:t>
      </w:r>
      <w:r>
        <w:rPr>
          <w:rFonts w:hint="eastAsia" w:hAnsi="宋体" w:eastAsia="宋体" w:cs="宋体"/>
          <w:color w:val="auto"/>
          <w:szCs w:val="21"/>
          <w:lang w:eastAsia="zh-CN"/>
        </w:rPr>
        <w:t>每个</w:t>
      </w:r>
      <w:r>
        <w:rPr>
          <w:rFonts w:hint="eastAsia" w:hAnsi="宋体" w:cs="宋体"/>
          <w:color w:val="auto"/>
          <w:szCs w:val="21"/>
          <w:lang w:val="en-US" w:eastAsia="zh-CN"/>
        </w:rPr>
        <w:t>2</w:t>
      </w:r>
      <w:r>
        <w:rPr>
          <w:rFonts w:hint="eastAsia" w:hAnsi="宋体" w:eastAsia="宋体" w:cs="宋体"/>
          <w:color w:val="auto"/>
          <w:szCs w:val="21"/>
          <w:lang w:val="en-US" w:eastAsia="zh-CN"/>
        </w:rPr>
        <w:t>分，满分</w:t>
      </w:r>
      <w:r>
        <w:rPr>
          <w:rFonts w:hint="eastAsia" w:hAnsi="宋体" w:cs="宋体"/>
          <w:color w:val="auto"/>
          <w:szCs w:val="21"/>
          <w:lang w:val="en-US" w:eastAsia="zh-CN"/>
        </w:rPr>
        <w:t>4</w:t>
      </w:r>
      <w:r>
        <w:rPr>
          <w:rFonts w:hint="eastAsia" w:hAnsi="宋体" w:eastAsia="宋体" w:cs="宋体"/>
          <w:color w:val="auto"/>
          <w:szCs w:val="21"/>
        </w:rPr>
        <w:t>分。</w:t>
      </w:r>
      <w:r>
        <w:rPr>
          <w:rFonts w:hint="eastAsia" w:hAnsi="宋体" w:eastAsia="宋体" w:cs="宋体"/>
          <w:bCs/>
          <w:color w:val="auto"/>
          <w:szCs w:val="21"/>
        </w:rPr>
        <w:t xml:space="preserve">   </w:t>
      </w:r>
      <w:r>
        <w:rPr>
          <w:rFonts w:hint="eastAsia" w:hAnsi="宋体"/>
          <w:bCs/>
          <w:color w:val="auto"/>
        </w:rPr>
        <w:t xml:space="preserve">                                                  </w:t>
      </w:r>
    </w:p>
    <w:p>
      <w:pPr>
        <w:pStyle w:val="14"/>
        <w:tabs>
          <w:tab w:val="left" w:pos="735"/>
        </w:tabs>
        <w:spacing w:line="460" w:lineRule="exact"/>
        <w:ind w:firstLine="420" w:firstLineChars="200"/>
        <w:rPr>
          <w:rFonts w:hAnsi="宋体"/>
          <w:bCs/>
          <w:color w:val="auto"/>
        </w:rPr>
      </w:pPr>
      <w:r>
        <w:rPr>
          <w:rFonts w:hint="eastAsia" w:hAnsi="宋体"/>
          <w:bCs/>
          <w:color w:val="auto"/>
          <w:lang w:val="en-US" w:eastAsia="zh-CN"/>
        </w:rPr>
        <w:t>3、</w:t>
      </w:r>
      <w:r>
        <w:rPr>
          <w:rFonts w:hint="eastAsia" w:hAnsi="宋体"/>
          <w:bCs/>
          <w:color w:val="auto"/>
        </w:rPr>
        <w:t>企业信誉分………………………………………………………………………………………</w:t>
      </w:r>
      <w:r>
        <w:rPr>
          <w:rFonts w:hint="eastAsia" w:hAnsi="宋体"/>
          <w:bCs/>
          <w:color w:val="auto"/>
          <w:lang w:val="en-US" w:eastAsia="zh-CN"/>
        </w:rPr>
        <w:t>7</w:t>
      </w:r>
      <w:r>
        <w:rPr>
          <w:rFonts w:hint="eastAsia" w:hAnsi="宋体"/>
          <w:bCs/>
          <w:color w:val="auto"/>
        </w:rPr>
        <w:t>分</w:t>
      </w:r>
    </w:p>
    <w:p>
      <w:pPr>
        <w:pStyle w:val="14"/>
        <w:tabs>
          <w:tab w:val="left" w:pos="735"/>
        </w:tabs>
        <w:spacing w:line="460" w:lineRule="exact"/>
        <w:ind w:firstLine="420" w:firstLineChars="200"/>
        <w:rPr>
          <w:rFonts w:hAnsi="宋体"/>
          <w:bCs/>
          <w:color w:val="auto"/>
        </w:rPr>
      </w:pPr>
      <w:r>
        <w:rPr>
          <w:rFonts w:hint="eastAsia" w:hAnsi="宋体" w:cs="Times New Roman"/>
          <w:bCs/>
          <w:color w:val="auto"/>
          <w:szCs w:val="21"/>
          <w:lang w:eastAsia="zh-CN"/>
        </w:rPr>
        <w:t>（</w:t>
      </w:r>
      <w:r>
        <w:rPr>
          <w:rFonts w:hint="eastAsia" w:hAnsi="宋体" w:eastAsia="宋体" w:cs="Times New Roman"/>
          <w:bCs/>
          <w:color w:val="auto"/>
          <w:szCs w:val="21"/>
        </w:rPr>
        <w:t>1）投标人或投标产品</w:t>
      </w:r>
      <w:r>
        <w:rPr>
          <w:rFonts w:hint="eastAsia" w:hAnsi="宋体" w:cs="Times New Roman"/>
          <w:bCs/>
          <w:color w:val="auto"/>
          <w:szCs w:val="21"/>
          <w:lang w:eastAsia="zh-CN"/>
        </w:rPr>
        <w:t>生产厂家</w:t>
      </w:r>
      <w:r>
        <w:rPr>
          <w:rFonts w:hint="eastAsia" w:hAnsi="宋体" w:eastAsia="宋体" w:cs="Times New Roman"/>
          <w:bCs/>
          <w:color w:val="auto"/>
          <w:szCs w:val="21"/>
        </w:rPr>
        <w:t>通过质量管理体系认证、环境管理体系认证、职业健康安全管理体系认证的，每提供一项得</w:t>
      </w:r>
      <w:r>
        <w:rPr>
          <w:rFonts w:hint="eastAsia" w:hAnsi="宋体" w:cs="Times New Roman"/>
          <w:bCs/>
          <w:color w:val="auto"/>
          <w:szCs w:val="21"/>
          <w:lang w:val="en-US" w:eastAsia="zh-CN"/>
        </w:rPr>
        <w:t>1</w:t>
      </w:r>
      <w:r>
        <w:rPr>
          <w:rFonts w:hint="eastAsia" w:hAnsi="宋体" w:eastAsia="宋体" w:cs="Times New Roman"/>
          <w:bCs/>
          <w:color w:val="auto"/>
          <w:szCs w:val="21"/>
        </w:rPr>
        <w:t>分，满分</w:t>
      </w:r>
      <w:r>
        <w:rPr>
          <w:rFonts w:hint="eastAsia" w:hAnsi="宋体" w:cs="Times New Roman"/>
          <w:bCs/>
          <w:color w:val="auto"/>
          <w:szCs w:val="21"/>
          <w:lang w:val="en-US" w:eastAsia="zh-CN"/>
        </w:rPr>
        <w:t>3</w:t>
      </w:r>
      <w:r>
        <w:rPr>
          <w:rFonts w:hint="eastAsia" w:hAnsi="宋体" w:eastAsia="宋体" w:cs="Times New Roman"/>
          <w:bCs/>
          <w:color w:val="auto"/>
          <w:szCs w:val="21"/>
        </w:rPr>
        <w:t>分。（提供复印件并加盖单位公章）</w:t>
      </w:r>
      <w:r>
        <w:rPr>
          <w:rFonts w:hint="eastAsia" w:hAnsi="宋体"/>
          <w:bCs/>
          <w:color w:val="auto"/>
        </w:rPr>
        <w:t xml:space="preserve">                                     </w:t>
      </w:r>
    </w:p>
    <w:p>
      <w:pPr>
        <w:pStyle w:val="14"/>
        <w:tabs>
          <w:tab w:val="left" w:pos="735"/>
        </w:tabs>
        <w:spacing w:line="460" w:lineRule="exact"/>
        <w:ind w:firstLine="420" w:firstLineChars="200"/>
        <w:rPr>
          <w:rFonts w:hint="eastAsia" w:hAnsi="宋体" w:eastAsia="宋体" w:cs="Times New Roman"/>
          <w:bCs/>
          <w:color w:val="auto"/>
          <w:szCs w:val="21"/>
        </w:rPr>
      </w:pPr>
      <w:r>
        <w:rPr>
          <w:rFonts w:hint="eastAsia" w:hAnsi="宋体" w:cs="Times New Roman"/>
          <w:bCs/>
          <w:color w:val="auto"/>
          <w:szCs w:val="21"/>
          <w:lang w:eastAsia="zh-CN"/>
        </w:rPr>
        <w:t>（</w:t>
      </w:r>
      <w:r>
        <w:rPr>
          <w:rFonts w:hint="eastAsia" w:hAnsi="宋体" w:eastAsia="宋体" w:cs="Times New Roman"/>
          <w:bCs/>
          <w:color w:val="auto"/>
          <w:szCs w:val="21"/>
        </w:rPr>
        <w:t>2）2017年至2019年财务状况：投标人提供由会计师事务所出具的审计报告或年度财务报表（包括资产负债表、损益表和现金流量表），财务状况良好的每一年得1分，财务状况一般的每一年得0.5分，差的不得分（满分4分）。</w:t>
      </w:r>
    </w:p>
    <w:p>
      <w:pPr>
        <w:pStyle w:val="14"/>
        <w:spacing w:line="400" w:lineRule="exact"/>
        <w:ind w:firstLine="420" w:firstLineChars="200"/>
        <w:rPr>
          <w:rFonts w:hAnsi="宋体"/>
          <w:bCs/>
          <w:color w:val="auto"/>
        </w:rPr>
      </w:pPr>
      <w:r>
        <w:rPr>
          <w:rFonts w:hint="eastAsia" w:hAnsi="宋体"/>
          <w:bCs/>
          <w:color w:val="auto"/>
          <w:lang w:val="en-US" w:eastAsia="zh-CN"/>
        </w:rPr>
        <w:t>4、</w:t>
      </w:r>
      <w:r>
        <w:rPr>
          <w:rFonts w:hint="eastAsia" w:hAnsi="宋体"/>
          <w:bCs/>
          <w:color w:val="auto"/>
        </w:rPr>
        <w:t>业绩分…………………………………………………………………………………………</w:t>
      </w:r>
      <w:r>
        <w:rPr>
          <w:rFonts w:hint="eastAsia" w:hAnsi="宋体"/>
          <w:bCs/>
          <w:color w:val="auto"/>
          <w:lang w:val="en-US" w:eastAsia="zh-CN"/>
        </w:rPr>
        <w:t>9</w:t>
      </w:r>
      <w:r>
        <w:rPr>
          <w:rFonts w:hint="eastAsia" w:hAnsi="宋体"/>
          <w:bCs/>
          <w:color w:val="auto"/>
        </w:rPr>
        <w:t>分</w:t>
      </w:r>
    </w:p>
    <w:p>
      <w:pPr>
        <w:pStyle w:val="14"/>
        <w:spacing w:line="400" w:lineRule="exact"/>
        <w:ind w:firstLine="420" w:firstLineChars="200"/>
        <w:rPr>
          <w:rFonts w:hint="eastAsia" w:hAnsi="宋体"/>
          <w:bCs/>
          <w:color w:val="auto"/>
        </w:rPr>
      </w:pPr>
      <w:r>
        <w:rPr>
          <w:rFonts w:hint="eastAsia" w:hAnsi="宋体"/>
          <w:bCs/>
          <w:color w:val="auto"/>
        </w:rPr>
        <w:t>投标人</w:t>
      </w:r>
      <w:r>
        <w:rPr>
          <w:rFonts w:hint="eastAsia" w:hAnsi="宋体"/>
          <w:bCs/>
          <w:color w:val="auto"/>
          <w:lang w:val="en-US" w:eastAsia="zh-CN"/>
        </w:rPr>
        <w:t>2017</w:t>
      </w:r>
      <w:r>
        <w:rPr>
          <w:rFonts w:hint="eastAsia" w:hAnsi="宋体"/>
          <w:bCs/>
          <w:color w:val="auto"/>
        </w:rPr>
        <w:t>年至今以来完成的同类除四害药物器械采购项目的有效业绩证明材料（以提供的盖章的中标通知书复印件或有效的合同复印件为准，中标通知书或合同需清晰反映采购内容），项目标的金额在</w:t>
      </w:r>
      <w:r>
        <w:rPr>
          <w:rFonts w:hint="eastAsia" w:hAnsi="宋体"/>
          <w:bCs/>
          <w:color w:val="auto"/>
          <w:lang w:val="en-US" w:eastAsia="zh-CN"/>
        </w:rPr>
        <w:t>100</w:t>
      </w:r>
      <w:r>
        <w:rPr>
          <w:rFonts w:hint="eastAsia" w:hAnsi="宋体"/>
          <w:bCs/>
          <w:color w:val="auto"/>
        </w:rPr>
        <w:t>万元以下的得</w:t>
      </w:r>
      <w:r>
        <w:rPr>
          <w:rFonts w:hint="eastAsia" w:hAnsi="宋体"/>
          <w:bCs/>
          <w:color w:val="auto"/>
          <w:lang w:val="en-US" w:eastAsia="zh-CN"/>
        </w:rPr>
        <w:t>1</w:t>
      </w:r>
      <w:r>
        <w:rPr>
          <w:rFonts w:hint="eastAsia" w:hAnsi="宋体"/>
          <w:bCs/>
          <w:color w:val="auto"/>
        </w:rPr>
        <w:t>分，</w:t>
      </w:r>
      <w:r>
        <w:rPr>
          <w:rFonts w:hint="eastAsia" w:hAnsi="宋体"/>
          <w:bCs/>
          <w:color w:val="auto"/>
          <w:lang w:val="en-US" w:eastAsia="zh-CN"/>
        </w:rPr>
        <w:t>100</w:t>
      </w:r>
      <w:r>
        <w:rPr>
          <w:rFonts w:hint="eastAsia" w:hAnsi="宋体"/>
          <w:bCs/>
          <w:color w:val="auto"/>
        </w:rPr>
        <w:t>万元以上（含</w:t>
      </w:r>
      <w:r>
        <w:rPr>
          <w:rFonts w:hint="eastAsia" w:hAnsi="宋体"/>
          <w:bCs/>
          <w:color w:val="auto"/>
          <w:lang w:val="en-US" w:eastAsia="zh-CN"/>
        </w:rPr>
        <w:t>100</w:t>
      </w:r>
      <w:r>
        <w:rPr>
          <w:rFonts w:hint="eastAsia" w:hAnsi="宋体"/>
          <w:bCs/>
          <w:color w:val="auto"/>
        </w:rPr>
        <w:t>万元）的</w:t>
      </w:r>
      <w:r>
        <w:rPr>
          <w:rFonts w:hint="eastAsia" w:hAnsi="宋体"/>
          <w:bCs/>
          <w:color w:val="auto"/>
          <w:lang w:eastAsia="zh-CN"/>
        </w:rPr>
        <w:t>每一个</w:t>
      </w:r>
      <w:r>
        <w:rPr>
          <w:rFonts w:hint="eastAsia" w:hAnsi="宋体"/>
          <w:bCs/>
          <w:color w:val="auto"/>
        </w:rPr>
        <w:t>得</w:t>
      </w:r>
      <w:r>
        <w:rPr>
          <w:rFonts w:hint="eastAsia" w:hAnsi="宋体"/>
          <w:bCs/>
          <w:color w:val="auto"/>
          <w:lang w:val="en-US" w:eastAsia="zh-CN"/>
        </w:rPr>
        <w:t>3</w:t>
      </w:r>
      <w:r>
        <w:rPr>
          <w:rFonts w:hint="eastAsia" w:hAnsi="宋体"/>
          <w:bCs/>
          <w:color w:val="auto"/>
        </w:rPr>
        <w:t>分；</w:t>
      </w:r>
    </w:p>
    <w:p>
      <w:pPr>
        <w:pStyle w:val="14"/>
        <w:spacing w:line="460" w:lineRule="exact"/>
        <w:ind w:firstLine="420" w:firstLineChars="200"/>
        <w:rPr>
          <w:rFonts w:hint="eastAsia" w:hAnsi="宋体"/>
          <w:color w:val="auto"/>
        </w:rPr>
      </w:pPr>
      <w:r>
        <w:rPr>
          <w:rFonts w:hint="eastAsia" w:hAnsi="宋体"/>
          <w:bCs/>
          <w:color w:val="auto"/>
          <w:lang w:val="en-US" w:eastAsia="zh-CN"/>
        </w:rPr>
        <w:t>5、</w:t>
      </w:r>
      <w:r>
        <w:rPr>
          <w:rFonts w:hint="eastAsia" w:hAnsi="宋体"/>
          <w:color w:val="auto"/>
        </w:rPr>
        <w:t>政策功能分（节能、环保、区内产品等）……………………………………………………</w:t>
      </w:r>
      <w:r>
        <w:rPr>
          <w:rFonts w:hint="eastAsia" w:hAnsi="宋体"/>
          <w:color w:val="auto"/>
          <w:lang w:val="en-US" w:eastAsia="zh-CN"/>
        </w:rPr>
        <w:t>4</w:t>
      </w:r>
      <w:r>
        <w:rPr>
          <w:rFonts w:hint="eastAsia" w:hAnsi="宋体"/>
          <w:color w:val="auto"/>
        </w:rPr>
        <w:t>分</w:t>
      </w:r>
    </w:p>
    <w:p>
      <w:pPr>
        <w:pStyle w:val="14"/>
        <w:spacing w:line="400" w:lineRule="atLeast"/>
        <w:rPr>
          <w:rFonts w:hint="eastAsia" w:hAnsi="宋体"/>
          <w:bCs/>
          <w:color w:val="auto"/>
        </w:rPr>
      </w:pPr>
      <w:r>
        <w:rPr>
          <w:rFonts w:hint="eastAsia" w:hAnsi="宋体"/>
          <w:color w:val="auto"/>
        </w:rPr>
        <w:t xml:space="preserve">    </w:t>
      </w:r>
      <w:r>
        <w:rPr>
          <w:rFonts w:hint="eastAsia" w:hAnsi="宋体"/>
          <w:bCs/>
          <w:color w:val="auto"/>
        </w:rPr>
        <w:t>（1）节能产品分（满分1分）</w:t>
      </w:r>
      <w:r>
        <w:rPr>
          <w:rFonts w:hint="eastAsia" w:hAnsi="宋体"/>
          <w:bCs/>
          <w:color w:val="auto"/>
          <w:lang w:eastAsia="zh-CN"/>
        </w:rPr>
        <w:t>：</w:t>
      </w:r>
      <w:r>
        <w:rPr>
          <w:rFonts w:hint="eastAsia" w:hAnsi="宋体"/>
          <w:bCs/>
          <w:color w:val="auto"/>
        </w:rPr>
        <w:t>投标产品纳入财政部公布的《节能产品政府采购清单》目录（提供目录复印件）。</w:t>
      </w:r>
    </w:p>
    <w:p>
      <w:pPr>
        <w:pStyle w:val="14"/>
        <w:spacing w:line="400" w:lineRule="atLeast"/>
        <w:ind w:firstLine="420" w:firstLineChars="200"/>
        <w:rPr>
          <w:rFonts w:hint="eastAsia" w:hAnsi="宋体"/>
          <w:bCs/>
          <w:color w:val="auto"/>
        </w:rPr>
      </w:pPr>
      <w:r>
        <w:rPr>
          <w:rFonts w:hint="eastAsia" w:hAnsi="宋体"/>
          <w:bCs/>
          <w:color w:val="auto"/>
        </w:rPr>
        <w:t>（2）环保标志产品分（满分</w:t>
      </w:r>
      <w:r>
        <w:rPr>
          <w:rFonts w:hint="eastAsia" w:hAnsi="宋体"/>
          <w:bCs/>
          <w:color w:val="auto"/>
          <w:lang w:val="en-US" w:eastAsia="zh-CN"/>
        </w:rPr>
        <w:t>1</w:t>
      </w:r>
      <w:r>
        <w:rPr>
          <w:rFonts w:hint="eastAsia" w:hAnsi="宋体"/>
          <w:bCs/>
          <w:color w:val="auto"/>
        </w:rPr>
        <w:t>分）</w:t>
      </w:r>
      <w:r>
        <w:rPr>
          <w:rFonts w:hint="eastAsia" w:hAnsi="宋体"/>
          <w:bCs/>
          <w:color w:val="auto"/>
          <w:lang w:eastAsia="zh-CN"/>
        </w:rPr>
        <w:t>：</w:t>
      </w:r>
      <w:r>
        <w:rPr>
          <w:rFonts w:hint="eastAsia" w:hAnsi="宋体"/>
          <w:bCs/>
          <w:color w:val="auto"/>
        </w:rPr>
        <w:t>投标产品纳入财政部公布的《环境标志产品政府采购清单》目录（提供目录复印件）。</w:t>
      </w:r>
    </w:p>
    <w:p>
      <w:pPr>
        <w:pStyle w:val="14"/>
        <w:spacing w:line="400" w:lineRule="atLeast"/>
        <w:ind w:firstLine="420" w:firstLineChars="200"/>
        <w:rPr>
          <w:rFonts w:hint="eastAsia" w:hAnsi="宋体"/>
          <w:bCs/>
          <w:color w:val="auto"/>
        </w:rPr>
      </w:pPr>
      <w:r>
        <w:rPr>
          <w:rFonts w:hint="eastAsia" w:hAnsi="宋体"/>
          <w:bCs/>
          <w:color w:val="auto"/>
        </w:rPr>
        <w:t>（3）投标产品为自主创新产品分（满分1分）</w:t>
      </w:r>
      <w:r>
        <w:rPr>
          <w:rFonts w:hint="eastAsia" w:hAnsi="宋体"/>
          <w:bCs/>
          <w:color w:val="auto"/>
          <w:lang w:eastAsia="zh-CN"/>
        </w:rPr>
        <w:t>：</w:t>
      </w:r>
      <w:r>
        <w:rPr>
          <w:rFonts w:hint="eastAsia" w:hAnsi="宋体"/>
          <w:bCs/>
          <w:color w:val="auto"/>
        </w:rPr>
        <w:t>自主创新产品分（拥有《自主创新产品证书》的，并在投标文件中提供了有效证明的产品）。</w:t>
      </w:r>
    </w:p>
    <w:p>
      <w:pPr>
        <w:pStyle w:val="14"/>
        <w:spacing w:line="400" w:lineRule="atLeast"/>
        <w:ind w:firstLine="525" w:firstLineChars="250"/>
        <w:rPr>
          <w:rFonts w:hint="eastAsia" w:hAnsi="宋体" w:eastAsia="宋体"/>
          <w:bCs/>
          <w:color w:val="auto"/>
          <w:lang w:eastAsia="zh-CN"/>
        </w:rPr>
      </w:pPr>
      <w:r>
        <w:rPr>
          <w:rFonts w:hint="eastAsia" w:hAnsi="宋体"/>
          <w:bCs/>
          <w:color w:val="auto"/>
        </w:rPr>
        <w:t>（4）认定为使用广西工业产品80%以上的得</w:t>
      </w:r>
      <w:r>
        <w:rPr>
          <w:rFonts w:hint="eastAsia" w:hAnsi="宋体"/>
          <w:bCs/>
          <w:color w:val="auto"/>
          <w:lang w:val="en-US" w:eastAsia="zh-CN"/>
        </w:rPr>
        <w:t>1</w:t>
      </w:r>
      <w:r>
        <w:rPr>
          <w:rFonts w:hint="eastAsia" w:hAnsi="宋体"/>
          <w:bCs/>
          <w:color w:val="auto"/>
        </w:rPr>
        <w:t>分。</w:t>
      </w:r>
      <w:r>
        <w:rPr>
          <w:rFonts w:hAnsi="宋体"/>
          <w:bCs/>
          <w:color w:val="auto"/>
        </w:rPr>
        <w:t xml:space="preserve"> </w:t>
      </w:r>
      <w:r>
        <w:rPr>
          <w:rFonts w:hint="eastAsia" w:hAnsi="宋体"/>
          <w:bCs/>
          <w:color w:val="auto"/>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spacing w:line="360" w:lineRule="auto"/>
        <w:ind w:firstLine="420" w:firstLineChars="200"/>
        <w:rPr>
          <w:rFonts w:hAnsi="宋体"/>
          <w:b w:val="0"/>
          <w:bCs w:val="0"/>
          <w:color w:val="auto"/>
          <w:szCs w:val="21"/>
          <w:highlight w:val="none"/>
        </w:rPr>
      </w:pPr>
      <w:r>
        <w:rPr>
          <w:rFonts w:hint="eastAsia" w:hAnsi="宋体"/>
          <w:b w:val="0"/>
          <w:bCs w:val="0"/>
          <w:color w:val="auto"/>
          <w:szCs w:val="21"/>
          <w:highlight w:val="none"/>
          <w:lang w:eastAsia="zh-CN"/>
        </w:rPr>
        <w:t>（四）</w:t>
      </w:r>
      <w:r>
        <w:rPr>
          <w:rFonts w:hint="eastAsia" w:hAnsi="宋体"/>
          <w:b w:val="0"/>
          <w:bCs w:val="0"/>
          <w:color w:val="auto"/>
          <w:szCs w:val="21"/>
          <w:highlight w:val="none"/>
        </w:rPr>
        <w:t>诚信加分及扣分</w:t>
      </w:r>
    </w:p>
    <w:p>
      <w:pPr>
        <w:spacing w:line="360" w:lineRule="auto"/>
        <w:ind w:firstLine="420" w:firstLineChars="200"/>
        <w:rPr>
          <w:rFonts w:hint="eastAsia" w:ascii="ˎ̥" w:hAnsi="ˎ̥" w:cs="宋体"/>
          <w:bCs/>
          <w:color w:val="auto"/>
          <w:kern w:val="0"/>
          <w:szCs w:val="21"/>
          <w:highlight w:val="none"/>
        </w:rPr>
      </w:pPr>
      <w:r>
        <w:rPr>
          <w:rFonts w:hint="eastAsia" w:ascii="ˎ̥" w:hAnsi="ˎ̥" w:cs="宋体"/>
          <w:bCs/>
          <w:color w:val="auto"/>
          <w:kern w:val="0"/>
          <w:szCs w:val="21"/>
          <w:highlight w:val="none"/>
        </w:rPr>
        <w:t>（1）投标人在截标日前1年内在政府采购活动中存在违约违规情形的（以财政部门出具的书面材料为评分依据），每次扣除3分，最高扣分6分扣完为止。</w:t>
      </w:r>
    </w:p>
    <w:p>
      <w:pPr>
        <w:spacing w:line="360" w:lineRule="auto"/>
        <w:ind w:firstLine="420" w:firstLineChars="200"/>
        <w:rPr>
          <w:rFonts w:hint="eastAsia" w:hAnsi="宋体"/>
          <w:b w:val="0"/>
          <w:bCs w:val="0"/>
          <w:color w:val="auto"/>
          <w:szCs w:val="21"/>
          <w:highlight w:val="none"/>
          <w:lang w:eastAsia="zh-CN"/>
        </w:rPr>
      </w:pPr>
      <w:r>
        <w:rPr>
          <w:rFonts w:hint="eastAsia" w:hAnsi="宋体"/>
          <w:b w:val="0"/>
          <w:bCs w:val="0"/>
          <w:color w:val="auto"/>
          <w:szCs w:val="21"/>
          <w:highlight w:val="none"/>
          <w:lang w:val="en-US" w:eastAsia="zh-CN"/>
        </w:rPr>
        <w:t>（五）</w:t>
      </w:r>
      <w:r>
        <w:rPr>
          <w:rFonts w:hint="eastAsia" w:hAnsi="宋体"/>
          <w:b w:val="0"/>
          <w:bCs w:val="0"/>
          <w:color w:val="auto"/>
          <w:szCs w:val="21"/>
          <w:highlight w:val="none"/>
        </w:rPr>
        <w:t>总得分＝（一）＋（</w:t>
      </w:r>
      <w:r>
        <w:rPr>
          <w:rFonts w:hint="eastAsia" w:hAnsi="宋体"/>
          <w:b w:val="0"/>
          <w:bCs w:val="0"/>
          <w:color w:val="auto"/>
          <w:szCs w:val="21"/>
          <w:highlight w:val="none"/>
          <w:lang w:eastAsia="zh-CN"/>
        </w:rPr>
        <w:t>二</w:t>
      </w:r>
      <w:r>
        <w:rPr>
          <w:rFonts w:hint="eastAsia" w:hAnsi="宋体"/>
          <w:b w:val="0"/>
          <w:bCs w:val="0"/>
          <w:color w:val="auto"/>
          <w:szCs w:val="21"/>
          <w:highlight w:val="none"/>
        </w:rPr>
        <w:t>）＋（</w:t>
      </w:r>
      <w:r>
        <w:rPr>
          <w:rFonts w:hint="eastAsia" w:hAnsi="宋体"/>
          <w:b w:val="0"/>
          <w:bCs w:val="0"/>
          <w:color w:val="auto"/>
          <w:szCs w:val="21"/>
          <w:highlight w:val="none"/>
          <w:lang w:eastAsia="zh-CN"/>
        </w:rPr>
        <w:t>三</w:t>
      </w:r>
      <w:r>
        <w:rPr>
          <w:rFonts w:hint="eastAsia" w:hAnsi="宋体"/>
          <w:b w:val="0"/>
          <w:bCs w:val="0"/>
          <w:color w:val="auto"/>
          <w:szCs w:val="21"/>
          <w:highlight w:val="none"/>
        </w:rPr>
        <w:t>）＋（</w:t>
      </w:r>
      <w:r>
        <w:rPr>
          <w:rFonts w:hint="eastAsia" w:hAnsi="宋体"/>
          <w:b w:val="0"/>
          <w:bCs w:val="0"/>
          <w:color w:val="auto"/>
          <w:szCs w:val="21"/>
          <w:highlight w:val="none"/>
          <w:lang w:eastAsia="zh-CN"/>
        </w:rPr>
        <w:t>四</w:t>
      </w:r>
      <w:r>
        <w:rPr>
          <w:rFonts w:hint="eastAsia" w:hAnsi="宋体"/>
          <w:b w:val="0"/>
          <w:bCs w:val="0"/>
          <w:color w:val="auto"/>
          <w:szCs w:val="21"/>
          <w:highlight w:val="none"/>
        </w:rPr>
        <w:t>）</w:t>
      </w:r>
    </w:p>
    <w:p>
      <w:pPr>
        <w:spacing w:line="360" w:lineRule="auto"/>
        <w:ind w:firstLine="420" w:firstLineChars="200"/>
        <w:rPr>
          <w:rFonts w:hint="eastAsia" w:ascii="ˎ̥" w:hAnsi="ˎ̥" w:cs="宋体"/>
          <w:bCs/>
          <w:color w:val="auto"/>
          <w:kern w:val="0"/>
          <w:szCs w:val="21"/>
          <w:highlight w:val="none"/>
        </w:rPr>
      </w:pPr>
      <w:r>
        <w:rPr>
          <w:rFonts w:hint="eastAsia" w:ascii="ˎ̥" w:hAnsi="ˎ̥" w:cs="宋体"/>
          <w:bCs/>
          <w:color w:val="auto"/>
          <w:kern w:val="0"/>
          <w:szCs w:val="21"/>
          <w:highlight w:val="none"/>
          <w:lang w:val="en-US" w:eastAsia="zh-CN"/>
        </w:rPr>
        <w:t>三、</w:t>
      </w:r>
      <w:r>
        <w:rPr>
          <w:rFonts w:hint="eastAsia" w:ascii="ˎ̥" w:hAnsi="ˎ̥" w:cs="宋体"/>
          <w:bCs/>
          <w:color w:val="auto"/>
          <w:kern w:val="0"/>
          <w:szCs w:val="21"/>
          <w:highlight w:val="none"/>
        </w:rPr>
        <w:t>推荐中标候选供应商原则：</w:t>
      </w:r>
    </w:p>
    <w:p>
      <w:pPr>
        <w:spacing w:line="360" w:lineRule="auto"/>
        <w:ind w:firstLine="420" w:firstLineChars="200"/>
        <w:rPr>
          <w:rFonts w:hint="eastAsia" w:ascii="ˎ̥" w:hAnsi="ˎ̥" w:cs="宋体"/>
          <w:bCs/>
          <w:color w:val="auto"/>
          <w:kern w:val="0"/>
          <w:szCs w:val="21"/>
          <w:highlight w:val="none"/>
        </w:rPr>
      </w:pPr>
      <w:r>
        <w:rPr>
          <w:rFonts w:hint="eastAsia" w:ascii="ˎ̥" w:hAnsi="ˎ̥" w:cs="宋体"/>
          <w:bCs/>
          <w:color w:val="auto"/>
          <w:kern w:val="0"/>
          <w:szCs w:val="21"/>
          <w:highlight w:val="none"/>
        </w:rPr>
        <w:t>（1）评标委员会将按总得分由高到低排列3名及以上中标候选供应商顺序（总得分相同时，依次按投标报价低优先、技术分高优先、质量保证期长优先、提交服务成果时间短优先、处理问题到达时间短优先的顺序排列），并依照次序确定中标供应商。</w:t>
      </w:r>
    </w:p>
    <w:p>
      <w:pPr>
        <w:spacing w:line="360" w:lineRule="auto"/>
        <w:ind w:firstLine="420" w:firstLineChars="200"/>
        <w:rPr>
          <w:rFonts w:hint="eastAsia" w:hAnsi="宋体"/>
          <w:b/>
          <w:bCs/>
          <w:color w:val="auto"/>
          <w:szCs w:val="21"/>
          <w:highlight w:val="none"/>
        </w:rPr>
      </w:pPr>
      <w:r>
        <w:rPr>
          <w:rFonts w:hint="eastAsia" w:ascii="ˎ̥" w:hAnsi="ˎ̥" w:cs="宋体"/>
          <w:bCs/>
          <w:color w:val="auto"/>
          <w:kern w:val="0"/>
          <w:szCs w:val="21"/>
          <w:highlight w:val="none"/>
        </w:rPr>
        <w:t>（2）评</w:t>
      </w:r>
      <w:r>
        <w:rPr>
          <w:rFonts w:hint="eastAsia" w:ascii="ˎ̥" w:hAnsi="ˎ̥" w:cs="宋体"/>
          <w:bCs/>
          <w:color w:val="auto"/>
          <w:kern w:val="0"/>
          <w:szCs w:val="21"/>
          <w:highlight w:val="none"/>
          <w:lang w:eastAsia="zh-CN"/>
        </w:rPr>
        <w:t>标</w:t>
      </w:r>
      <w:r>
        <w:rPr>
          <w:rFonts w:hint="eastAsia" w:ascii="ˎ̥" w:hAnsi="ˎ̥" w:cs="宋体"/>
          <w:bCs/>
          <w:color w:val="auto"/>
          <w:kern w:val="0"/>
          <w:szCs w:val="21"/>
          <w:highlight w:val="none"/>
        </w:rPr>
        <w:t>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pStyle w:val="14"/>
        <w:spacing w:line="400" w:lineRule="exact"/>
        <w:jc w:val="both"/>
        <w:outlineLvl w:val="0"/>
        <w:rPr>
          <w:rFonts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bookmarkStart w:id="41" w:name="_Toc1654626"/>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int="eastAsia" w:ascii="Times New Roman" w:hAnsi="Times New Roman"/>
          <w:b/>
          <w:color w:val="auto"/>
          <w:sz w:val="36"/>
          <w:highlight w:val="none"/>
        </w:rPr>
      </w:pPr>
    </w:p>
    <w:p>
      <w:pPr>
        <w:pStyle w:val="14"/>
        <w:spacing w:line="400" w:lineRule="exact"/>
        <w:ind w:firstLine="0" w:firstLineChars="0"/>
        <w:jc w:val="center"/>
        <w:outlineLvl w:val="9"/>
        <w:rPr>
          <w:rFonts w:hAnsi="宋体"/>
          <w:b/>
          <w:color w:val="auto"/>
          <w:sz w:val="36"/>
          <w:szCs w:val="36"/>
          <w:highlight w:val="none"/>
        </w:rPr>
      </w:pPr>
      <w:r>
        <w:rPr>
          <w:rFonts w:hint="eastAsia" w:ascii="Times New Roman" w:hAnsi="Times New Roman"/>
          <w:b/>
          <w:color w:val="auto"/>
          <w:sz w:val="36"/>
          <w:highlight w:val="none"/>
        </w:rPr>
        <w:t>第四章  投标人须知</w:t>
      </w:r>
      <w:bookmarkEnd w:id="41"/>
    </w:p>
    <w:p>
      <w:pPr>
        <w:pStyle w:val="14"/>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tbl>
      <w:tblPr>
        <w:tblStyle w:val="24"/>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b/>
                <w:color w:val="auto"/>
                <w:szCs w:val="21"/>
                <w:highlight w:val="none"/>
              </w:rPr>
            </w:pPr>
            <w:r>
              <w:rPr>
                <w:rFonts w:hint="eastAsia" w:hAnsi="宋体"/>
                <w:b/>
                <w:color w:val="auto"/>
                <w:szCs w:val="21"/>
                <w:highlight w:val="none"/>
              </w:rPr>
              <w:t>条款号</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b/>
                <w:color w:val="auto"/>
                <w:szCs w:val="21"/>
                <w:highlight w:val="none"/>
              </w:rPr>
            </w:pPr>
            <w:r>
              <w:rPr>
                <w:rFonts w:hint="eastAsia" w:hAnsi="宋体"/>
                <w:b/>
                <w:color w:val="auto"/>
                <w:szCs w:val="21"/>
                <w:highlight w:val="none"/>
              </w:rPr>
              <w:t>条款名称</w:t>
            </w:r>
          </w:p>
        </w:tc>
        <w:tc>
          <w:tcPr>
            <w:tcW w:w="6301" w:type="dxa"/>
            <w:noWrap w:val="0"/>
            <w:vAlign w:val="top"/>
          </w:tcPr>
          <w:p>
            <w:pPr>
              <w:pStyle w:val="14"/>
              <w:keepNext w:val="0"/>
              <w:keepLines w:val="0"/>
              <w:suppressLineNumbers w:val="0"/>
              <w:spacing w:before="0" w:beforeAutospacing="0" w:after="0" w:afterAutospacing="0" w:line="360" w:lineRule="auto"/>
              <w:ind w:left="0" w:right="0"/>
              <w:jc w:val="center"/>
              <w:rPr>
                <w:rFonts w:hint="default"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采购人</w:t>
            </w:r>
          </w:p>
        </w:tc>
        <w:tc>
          <w:tcPr>
            <w:tcW w:w="6301" w:type="dxa"/>
            <w:noWrap w:val="0"/>
            <w:vAlign w:val="center"/>
          </w:tcPr>
          <w:p>
            <w:pPr>
              <w:pStyle w:val="14"/>
              <w:keepNext w:val="0"/>
              <w:keepLines w:val="0"/>
              <w:suppressLineNumbers w:val="0"/>
              <w:spacing w:before="0" w:beforeAutospacing="0" w:after="0" w:afterAutospacing="0" w:line="360" w:lineRule="auto"/>
              <w:ind w:left="0" w:right="0"/>
              <w:jc w:val="left"/>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名称：南宁市卫生健康委员会</w:t>
            </w:r>
          </w:p>
          <w:p>
            <w:pPr>
              <w:pStyle w:val="14"/>
              <w:keepNext w:val="0"/>
              <w:keepLines w:val="0"/>
              <w:suppressLineNumbers w:val="0"/>
              <w:spacing w:before="0" w:beforeAutospacing="0" w:after="0" w:afterAutospacing="0" w:line="360" w:lineRule="auto"/>
              <w:ind w:left="0" w:right="0"/>
              <w:jc w:val="left"/>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 xml:space="preserve">地址：南宁市长湖路26号 </w:t>
            </w:r>
          </w:p>
          <w:p>
            <w:pPr>
              <w:pStyle w:val="14"/>
              <w:keepNext w:val="0"/>
              <w:keepLines w:val="0"/>
              <w:suppressLineNumbers w:val="0"/>
              <w:spacing w:before="0" w:beforeAutospacing="0" w:after="0" w:afterAutospacing="0" w:line="360" w:lineRule="auto"/>
              <w:ind w:left="0" w:right="0"/>
              <w:jc w:val="left"/>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联系人：</w:t>
            </w:r>
            <w:r>
              <w:rPr>
                <w:rFonts w:hint="eastAsia" w:ascii="宋体" w:hAnsi="宋体" w:eastAsia="宋体" w:cs="Times New Roman"/>
                <w:color w:val="auto"/>
                <w:sz w:val="21"/>
                <w:szCs w:val="21"/>
                <w:highlight w:val="none"/>
              </w:rPr>
              <w:t>郭俊坤</w:t>
            </w:r>
          </w:p>
          <w:p>
            <w:pPr>
              <w:pStyle w:val="14"/>
              <w:keepNext w:val="0"/>
              <w:keepLines w:val="0"/>
              <w:suppressLineNumbers w:val="0"/>
              <w:spacing w:before="0" w:beforeAutospacing="0" w:after="0" w:afterAutospacing="0" w:line="360" w:lineRule="auto"/>
              <w:ind w:left="0" w:right="0"/>
              <w:jc w:val="left"/>
              <w:rPr>
                <w:rFonts w:hint="eastAsia" w:hAnsi="宋体"/>
                <w:color w:val="auto"/>
                <w:szCs w:val="21"/>
                <w:highlight w:val="none"/>
              </w:rPr>
            </w:pPr>
            <w:r>
              <w:rPr>
                <w:rFonts w:hint="eastAsia" w:ascii="宋体" w:hAnsi="宋体" w:eastAsia="宋体" w:cs="Times New Roman"/>
                <w:color w:val="auto"/>
                <w:sz w:val="21"/>
                <w:szCs w:val="21"/>
                <w:highlight w:val="none"/>
                <w:lang w:eastAsia="zh-CN"/>
              </w:rPr>
              <w:t>电话：0771-5389161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1.2</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采购代理机构</w:t>
            </w:r>
          </w:p>
        </w:tc>
        <w:tc>
          <w:tcPr>
            <w:tcW w:w="6301" w:type="dxa"/>
            <w:noWrap w:val="0"/>
            <w:vAlign w:val="center"/>
          </w:tcPr>
          <w:p>
            <w:pPr>
              <w:pStyle w:val="14"/>
              <w:keepNext w:val="0"/>
              <w:keepLines w:val="0"/>
              <w:suppressLineNumbers w:val="0"/>
              <w:spacing w:before="0" w:beforeAutospacing="0" w:after="0" w:afterAutospacing="0" w:line="400" w:lineRule="exact"/>
              <w:ind w:left="0" w:right="0"/>
              <w:jc w:val="left"/>
              <w:rPr>
                <w:rFonts w:hint="eastAsia" w:hAnsi="宋体"/>
                <w:color w:val="auto"/>
                <w:sz w:val="21"/>
                <w:szCs w:val="21"/>
                <w:highlight w:val="none"/>
              </w:rPr>
            </w:pPr>
            <w:r>
              <w:rPr>
                <w:rFonts w:hint="eastAsia" w:hAnsi="宋体"/>
                <w:color w:val="auto"/>
                <w:sz w:val="21"/>
                <w:szCs w:val="21"/>
                <w:highlight w:val="none"/>
              </w:rPr>
              <w:t>名称：广西恒基建设工程咨询有限公司</w:t>
            </w:r>
          </w:p>
          <w:p>
            <w:pPr>
              <w:pStyle w:val="14"/>
              <w:keepNext w:val="0"/>
              <w:keepLines w:val="0"/>
              <w:suppressLineNumbers w:val="0"/>
              <w:spacing w:before="0" w:beforeAutospacing="0" w:after="0" w:afterAutospacing="0" w:line="400" w:lineRule="exact"/>
              <w:ind w:left="0" w:right="0"/>
              <w:jc w:val="left"/>
              <w:rPr>
                <w:rFonts w:hint="eastAsia" w:hAnsi="宋体"/>
                <w:color w:val="auto"/>
                <w:sz w:val="21"/>
                <w:szCs w:val="21"/>
                <w:highlight w:val="none"/>
              </w:rPr>
            </w:pPr>
            <w:r>
              <w:rPr>
                <w:rFonts w:hint="eastAsia" w:hAnsi="宋体"/>
                <w:color w:val="auto"/>
                <w:sz w:val="21"/>
                <w:szCs w:val="21"/>
                <w:highlight w:val="none"/>
              </w:rPr>
              <w:t>地址：南宁市青秀区云景路69号南宁市轨道交通运营控制中心B楼14层 </w:t>
            </w:r>
          </w:p>
          <w:p>
            <w:pPr>
              <w:pStyle w:val="14"/>
              <w:keepNext w:val="0"/>
              <w:keepLines w:val="0"/>
              <w:suppressLineNumbers w:val="0"/>
              <w:spacing w:before="0" w:beforeAutospacing="0" w:after="0" w:afterAutospacing="0" w:line="400" w:lineRule="exact"/>
              <w:ind w:left="0" w:right="0"/>
              <w:jc w:val="left"/>
              <w:rPr>
                <w:rFonts w:hint="eastAsia" w:hAnsi="宋体" w:eastAsia="宋体"/>
                <w:color w:val="auto"/>
                <w:sz w:val="21"/>
                <w:szCs w:val="21"/>
                <w:highlight w:val="none"/>
                <w:lang w:eastAsia="zh-CN"/>
              </w:rPr>
            </w:pPr>
            <w:r>
              <w:rPr>
                <w:rFonts w:hint="eastAsia" w:hAnsi="宋体"/>
                <w:color w:val="auto"/>
                <w:sz w:val="21"/>
                <w:szCs w:val="21"/>
                <w:highlight w:val="none"/>
              </w:rPr>
              <w:t>项目联系人：</w:t>
            </w:r>
            <w:r>
              <w:rPr>
                <w:rFonts w:hint="eastAsia" w:hAnsi="宋体"/>
                <w:color w:val="auto"/>
                <w:sz w:val="21"/>
                <w:szCs w:val="21"/>
                <w:highlight w:val="none"/>
                <w:lang w:eastAsia="zh-CN"/>
              </w:rPr>
              <w:t>廖欣蕾</w:t>
            </w:r>
          </w:p>
          <w:p>
            <w:pPr>
              <w:pStyle w:val="14"/>
              <w:keepNext w:val="0"/>
              <w:keepLines w:val="0"/>
              <w:suppressLineNumbers w:val="0"/>
              <w:spacing w:before="0" w:beforeAutospacing="0" w:after="0" w:afterAutospacing="0" w:line="400" w:lineRule="exact"/>
              <w:ind w:left="0" w:right="0"/>
              <w:jc w:val="left"/>
              <w:rPr>
                <w:rFonts w:hint="default" w:hAnsi="宋体"/>
                <w:color w:val="auto"/>
                <w:szCs w:val="21"/>
                <w:highlight w:val="none"/>
              </w:rPr>
            </w:pPr>
            <w:r>
              <w:rPr>
                <w:rFonts w:hint="eastAsia" w:hAnsi="宋体"/>
                <w:color w:val="auto"/>
                <w:sz w:val="21"/>
                <w:szCs w:val="21"/>
                <w:highlight w:val="none"/>
              </w:rPr>
              <w:t xml:space="preserve">联系电话：0771-2756880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1.3</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项目名称</w:t>
            </w:r>
          </w:p>
        </w:tc>
        <w:tc>
          <w:tcPr>
            <w:tcW w:w="6301" w:type="dxa"/>
            <w:noWrap w:val="0"/>
            <w:vAlign w:val="center"/>
          </w:tcPr>
          <w:p>
            <w:pPr>
              <w:pStyle w:val="14"/>
              <w:keepNext w:val="0"/>
              <w:keepLines w:val="0"/>
              <w:suppressLineNumbers w:val="0"/>
              <w:spacing w:before="0" w:beforeAutospacing="0" w:after="0" w:afterAutospacing="0" w:line="400" w:lineRule="exact"/>
              <w:ind w:left="0" w:right="0"/>
              <w:rPr>
                <w:rFonts w:hint="eastAsia" w:hAnsi="宋体" w:eastAsia="宋体"/>
                <w:color w:val="auto"/>
                <w:szCs w:val="21"/>
                <w:highlight w:val="none"/>
                <w:lang w:eastAsia="zh-CN"/>
              </w:rPr>
            </w:pPr>
            <w:r>
              <w:rPr>
                <w:rFonts w:hint="eastAsia" w:hAnsi="宋体"/>
                <w:color w:val="auto"/>
                <w:szCs w:val="21"/>
                <w:highlight w:val="none"/>
                <w:u w:val="none"/>
                <w:lang w:eastAsia="zh-CN"/>
              </w:rPr>
              <w:t>四害密度控制药械采购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1.4</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项目编号</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eastAsia" w:hAnsi="宋体" w:eastAsia="宋体"/>
                <w:color w:val="auto"/>
                <w:szCs w:val="21"/>
                <w:highlight w:val="none"/>
                <w:lang w:eastAsia="zh-CN"/>
              </w:rPr>
            </w:pPr>
            <w:r>
              <w:rPr>
                <w:rFonts w:hint="eastAsia" w:hAnsi="宋体"/>
                <w:color w:val="auto"/>
                <w:szCs w:val="21"/>
                <w:highlight w:val="none"/>
                <w:lang w:eastAsia="zh-CN"/>
              </w:rPr>
              <w:t>NNZC2020-G1-00013-HJZB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1.5</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采购预算</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lang w:val="en-US" w:eastAsia="zh-CN"/>
              </w:rPr>
            </w:pPr>
            <w:r>
              <w:rPr>
                <w:rFonts w:hint="eastAsia" w:hAnsi="宋体"/>
                <w:color w:val="auto"/>
                <w:szCs w:val="21"/>
                <w:highlight w:val="none"/>
                <w:lang w:val="en-US" w:eastAsia="zh-CN"/>
              </w:rPr>
              <w:t>204万元。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14"/>
              <w:keepNext w:val="0"/>
              <w:keepLines w:val="0"/>
              <w:suppressLineNumbers w:val="0"/>
              <w:spacing w:before="0" w:beforeAutospacing="0" w:after="0" w:afterAutospacing="0" w:line="360" w:lineRule="exact"/>
              <w:ind w:left="0" w:right="0"/>
              <w:jc w:val="center"/>
              <w:rPr>
                <w:rFonts w:hint="default"/>
                <w:color w:val="auto"/>
                <w:szCs w:val="24"/>
                <w:highlight w:val="none"/>
              </w:rPr>
            </w:pPr>
            <w:r>
              <w:rPr>
                <w:rFonts w:hint="eastAsia"/>
                <w:color w:val="auto"/>
                <w:szCs w:val="24"/>
                <w:highlight w:val="none"/>
              </w:rPr>
              <w:t>1.7</w:t>
            </w:r>
          </w:p>
        </w:tc>
        <w:tc>
          <w:tcPr>
            <w:tcW w:w="2206" w:type="dxa"/>
            <w:noWrap w:val="0"/>
            <w:vAlign w:val="center"/>
          </w:tcPr>
          <w:p>
            <w:pPr>
              <w:pStyle w:val="14"/>
              <w:keepNext w:val="0"/>
              <w:keepLines w:val="0"/>
              <w:suppressLineNumbers w:val="0"/>
              <w:spacing w:before="0" w:beforeAutospacing="0" w:after="0" w:afterAutospacing="0" w:line="360" w:lineRule="exact"/>
              <w:ind w:left="0" w:right="0"/>
              <w:jc w:val="center"/>
              <w:rPr>
                <w:rFonts w:hint="default"/>
                <w:color w:val="auto"/>
                <w:szCs w:val="24"/>
                <w:highlight w:val="none"/>
              </w:rPr>
            </w:pPr>
            <w:r>
              <w:rPr>
                <w:rFonts w:hint="eastAsia" w:hAnsi="宋体"/>
                <w:color w:val="auto"/>
                <w:szCs w:val="21"/>
                <w:highlight w:val="none"/>
              </w:rPr>
              <w:t>获取招标文件方式</w:t>
            </w:r>
          </w:p>
        </w:tc>
        <w:tc>
          <w:tcPr>
            <w:tcW w:w="6301" w:type="dxa"/>
            <w:noWrap w:val="0"/>
            <w:vAlign w:val="center"/>
          </w:tcPr>
          <w:p>
            <w:pPr>
              <w:pStyle w:val="14"/>
              <w:keepNext w:val="0"/>
              <w:keepLines w:val="0"/>
              <w:suppressLineNumbers w:val="0"/>
              <w:spacing w:before="0" w:beforeAutospacing="0" w:after="0" w:afterAutospacing="0" w:line="360" w:lineRule="exact"/>
              <w:ind w:left="0" w:right="0"/>
              <w:rPr>
                <w:rFonts w:hint="default"/>
                <w:color w:val="auto"/>
                <w:szCs w:val="24"/>
                <w:highlight w:val="none"/>
              </w:rPr>
            </w:pPr>
            <w:r>
              <w:rPr>
                <w:rFonts w:hint="eastAsia"/>
                <w:color w:val="auto"/>
                <w:spacing w:val="6"/>
                <w:kern w:val="48"/>
                <w:highlight w:val="none"/>
              </w:rPr>
              <w:t>供应商在南宁市公共资源交易平台（www.nnggzy.org.cn）免费下载招标（采购）文件。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14"/>
              <w:keepNext w:val="0"/>
              <w:keepLines w:val="0"/>
              <w:suppressLineNumbers w:val="0"/>
              <w:spacing w:before="0" w:beforeAutospacing="0" w:after="0" w:afterAutospacing="0" w:line="360" w:lineRule="exact"/>
              <w:ind w:left="0" w:right="0"/>
              <w:jc w:val="center"/>
              <w:rPr>
                <w:rFonts w:hint="default"/>
                <w:color w:val="auto"/>
                <w:highlight w:val="none"/>
              </w:rPr>
            </w:pPr>
            <w:r>
              <w:rPr>
                <w:rFonts w:hint="default"/>
                <w:b/>
                <w:color w:val="auto"/>
                <w:highlight w:val="none"/>
              </w:rPr>
              <w:t>1.8</w:t>
            </w:r>
          </w:p>
        </w:tc>
        <w:tc>
          <w:tcPr>
            <w:tcW w:w="2206" w:type="dxa"/>
            <w:noWrap w:val="0"/>
            <w:vAlign w:val="center"/>
          </w:tcPr>
          <w:p>
            <w:pPr>
              <w:pStyle w:val="14"/>
              <w:keepNext w:val="0"/>
              <w:keepLines w:val="0"/>
              <w:suppressLineNumbers w:val="0"/>
              <w:spacing w:before="0" w:beforeAutospacing="0" w:after="0" w:afterAutospacing="0" w:line="360" w:lineRule="exact"/>
              <w:ind w:left="0" w:right="0"/>
              <w:jc w:val="center"/>
              <w:rPr>
                <w:rFonts w:hint="default" w:hAnsi="宋体"/>
                <w:color w:val="auto"/>
                <w:szCs w:val="21"/>
                <w:highlight w:val="none"/>
              </w:rPr>
            </w:pPr>
            <w:r>
              <w:rPr>
                <w:rFonts w:hint="eastAsia" w:hAnsi="宋体"/>
                <w:b/>
                <w:bCs/>
                <w:color w:val="auto"/>
                <w:highlight w:val="none"/>
              </w:rPr>
              <w:t>预留采购份额</w:t>
            </w:r>
          </w:p>
        </w:tc>
        <w:tc>
          <w:tcPr>
            <w:tcW w:w="6301" w:type="dxa"/>
            <w:noWrap w:val="0"/>
            <w:vAlign w:val="center"/>
          </w:tcPr>
          <w:p>
            <w:pPr>
              <w:pStyle w:val="14"/>
              <w:keepNext w:val="0"/>
              <w:keepLines w:val="0"/>
              <w:suppressLineNumbers w:val="0"/>
              <w:spacing w:before="0" w:beforeAutospacing="0" w:after="0" w:afterAutospacing="0" w:line="360" w:lineRule="exact"/>
              <w:ind w:left="599" w:right="0" w:hanging="599" w:hangingChars="284"/>
              <w:rPr>
                <w:rFonts w:hint="default"/>
                <w:color w:val="auto"/>
                <w:szCs w:val="24"/>
                <w:highlight w:val="none"/>
              </w:rPr>
            </w:pPr>
            <w:r>
              <w:rPr>
                <w:rFonts w:hint="eastAsia"/>
                <w:b/>
                <w:bCs/>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3.2</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bCs/>
                <w:color w:val="auto"/>
                <w:szCs w:val="24"/>
                <w:highlight w:val="none"/>
              </w:rPr>
              <w:t>投标人应具备的特定条件</w:t>
            </w:r>
          </w:p>
        </w:tc>
        <w:tc>
          <w:tcPr>
            <w:tcW w:w="6301" w:type="dxa"/>
            <w:noWrap w:val="0"/>
            <w:vAlign w:val="center"/>
          </w:tcPr>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default" w:asciiTheme="minorEastAsia" w:hAnsiTheme="minorEastAsia" w:eastAsiaTheme="minorEastAsia" w:cstheme="minorEastAsia"/>
                <w:b w:val="0"/>
                <w:bCs/>
                <w:i w:val="0"/>
                <w:iCs w:val="0"/>
                <w:sz w:val="21"/>
                <w:szCs w:val="21"/>
                <w:lang w:val="en-US" w:eastAsia="zh-CN"/>
              </w:rPr>
            </w:pPr>
            <w:r>
              <w:rPr>
                <w:rFonts w:hint="eastAsia" w:asciiTheme="minorEastAsia" w:hAnsiTheme="minorEastAsia" w:eastAsiaTheme="minorEastAsia" w:cstheme="minorEastAsia"/>
                <w:b w:val="0"/>
                <w:bCs/>
                <w:i w:val="0"/>
                <w:iCs w:val="0"/>
                <w:sz w:val="21"/>
                <w:szCs w:val="21"/>
              </w:rPr>
              <w:t>2.落实政府采购政策需满足的资格要求：本项目属于非专门面向中小企业采购的项目。</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rPr>
              <w:t>3.本项目的特定资格要求：</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eastAsia" w:asciiTheme="minorEastAsia" w:hAnsiTheme="minorEastAsia" w:eastAsiaTheme="minorEastAsia" w:cstheme="minorEastAsia"/>
                <w:b w:val="0"/>
                <w:bCs/>
                <w:i w:val="0"/>
                <w:iCs w:val="0"/>
                <w:sz w:val="21"/>
                <w:szCs w:val="21"/>
                <w:lang w:eastAsia="zh-CN"/>
              </w:rPr>
            </w:pP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lang w:val="en-US" w:eastAsia="zh-CN"/>
              </w:rPr>
              <w:t>1</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国内注册（指按国家有关规定要求注册的），生产或经营本次招标采购内容，具备法人资格的企业或事业单位</w:t>
            </w:r>
            <w:r>
              <w:rPr>
                <w:rFonts w:hint="eastAsia" w:asciiTheme="minorEastAsia" w:hAnsiTheme="minorEastAsia" w:eastAsiaTheme="minorEastAsia" w:cstheme="minorEastAsia"/>
                <w:b w:val="0"/>
                <w:bCs/>
                <w:i w:val="0"/>
                <w:iCs w:val="0"/>
                <w:sz w:val="21"/>
                <w:szCs w:val="21"/>
                <w:lang w:eastAsia="zh-CN"/>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eastAsia" w:asciiTheme="minorEastAsia" w:hAnsiTheme="minorEastAsia" w:eastAsiaTheme="minorEastAsia" w:cstheme="minorEastAsia"/>
                <w:b w:val="0"/>
                <w:bCs/>
                <w:i w:val="0"/>
                <w:iCs w:val="0"/>
                <w:sz w:val="21"/>
                <w:szCs w:val="21"/>
              </w:rPr>
            </w:pP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lang w:val="en-US" w:eastAsia="zh-CN"/>
              </w:rPr>
              <w:t>2</w:t>
            </w:r>
            <w:r>
              <w:rPr>
                <w:rFonts w:hint="eastAsia" w:asciiTheme="minorEastAsia" w:hAnsiTheme="minorEastAsia" w:eastAsiaTheme="minorEastAsia" w:cstheme="minorEastAsia"/>
                <w:b w:val="0"/>
                <w:bCs/>
                <w:i w:val="0"/>
                <w:iCs w:val="0"/>
                <w:sz w:val="21"/>
                <w:szCs w:val="21"/>
                <w:lang w:eastAsia="zh-CN"/>
              </w:rPr>
              <w:t>）</w:t>
            </w:r>
            <w:r>
              <w:rPr>
                <w:rFonts w:hint="eastAsia" w:asciiTheme="minorEastAsia" w:hAnsiTheme="minorEastAsia" w:eastAsiaTheme="minorEastAsia" w:cstheme="minorEastAsia"/>
                <w:b w:val="0"/>
                <w:bCs/>
                <w:i w:val="0"/>
                <w:iCs w:val="0"/>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rPr>
                <w:rFonts w:hint="eastAsia" w:eastAsia="宋体"/>
                <w:b/>
                <w:bCs/>
                <w:color w:val="auto"/>
                <w:spacing w:val="6"/>
                <w:sz w:val="21"/>
                <w:szCs w:val="21"/>
                <w:highlight w:val="none"/>
                <w:lang w:eastAsia="zh-CN"/>
              </w:rPr>
            </w:pPr>
            <w:r>
              <w:rPr>
                <w:rFonts w:hint="eastAsia" w:asciiTheme="minorEastAsia" w:hAnsiTheme="minorEastAsia" w:eastAsiaTheme="minorEastAsia" w:cstheme="minorEastAsia"/>
                <w:b w:val="0"/>
                <w:bCs/>
                <w:i w:val="0"/>
                <w:iCs w:val="0"/>
                <w:sz w:val="21"/>
                <w:szCs w:val="21"/>
                <w:lang w:val="en-US" w:eastAsia="zh-CN"/>
              </w:rPr>
              <w:t>4.</w:t>
            </w:r>
            <w:r>
              <w:rPr>
                <w:rFonts w:hint="eastAsia" w:asciiTheme="minorEastAsia" w:hAnsiTheme="minorEastAsia" w:eastAsiaTheme="minorEastAsia" w:cstheme="minorEastAsia"/>
                <w:b w:val="0"/>
                <w:bCs/>
                <w:i w:val="0"/>
                <w:iCs w:val="0"/>
                <w:sz w:val="21"/>
                <w:szCs w:val="21"/>
              </w:rPr>
              <w:t>投标人为企业的，如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3.3</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是否接受联合体投标</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bookmarkStart w:id="42" w:name="CgwjmbEntity：sflhttb_0"/>
            <w:r>
              <w:rPr>
                <w:rFonts w:hint="eastAsia" w:hAnsi="宋体"/>
                <w:color w:val="auto"/>
                <w:szCs w:val="21"/>
                <w:highlight w:val="none"/>
              </w:rPr>
              <w:t>不接受联合体投标</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4.1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招标文件质疑提交</w:t>
            </w:r>
            <w:r>
              <w:rPr>
                <w:rFonts w:hint="eastAsia" w:cs="宋体"/>
                <w:color w:val="auto"/>
                <w:kern w:val="0"/>
                <w:szCs w:val="21"/>
                <w:highlight w:val="none"/>
              </w:rPr>
              <w:t>的截止时间</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eastAsia" w:hAnsi="宋体"/>
                <w:color w:val="auto"/>
                <w:szCs w:val="21"/>
                <w:highlight w:val="none"/>
              </w:rPr>
            </w:pPr>
            <w:r>
              <w:rPr>
                <w:rFonts w:hint="default" w:ascii="Arial" w:hAnsi="Arial" w:cs="Arial"/>
                <w:color w:val="auto"/>
                <w:highlight w:val="none"/>
              </w:rPr>
              <w:t>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质疑提交地点、电话</w:t>
            </w:r>
          </w:p>
        </w:tc>
        <w:tc>
          <w:tcPr>
            <w:tcW w:w="6301" w:type="dxa"/>
            <w:noWrap w:val="0"/>
            <w:vAlign w:val="center"/>
          </w:tcPr>
          <w:p>
            <w:pPr>
              <w:keepNext w:val="0"/>
              <w:keepLines w:val="0"/>
              <w:suppressLineNumbers w:val="0"/>
              <w:spacing w:before="0" w:beforeAutospacing="0" w:after="0" w:afterAutospacing="0" w:line="360" w:lineRule="exact"/>
              <w:ind w:left="0" w:right="0"/>
              <w:rPr>
                <w:rFonts w:hint="eastAsia" w:hAnsi="宋体"/>
                <w:color w:val="auto"/>
                <w:szCs w:val="21"/>
                <w:highlight w:val="none"/>
              </w:rPr>
            </w:pPr>
            <w:r>
              <w:rPr>
                <w:rFonts w:hint="eastAsia" w:hAnsi="宋体"/>
                <w:color w:val="auto"/>
                <w:szCs w:val="21"/>
                <w:highlight w:val="none"/>
              </w:rPr>
              <w:t>1.接收质疑函的方式：以书面形式（原件）提交。</w:t>
            </w:r>
          </w:p>
          <w:p>
            <w:pPr>
              <w:keepNext w:val="0"/>
              <w:keepLines w:val="0"/>
              <w:suppressLineNumbers w:val="0"/>
              <w:spacing w:before="0" w:beforeAutospacing="0" w:after="0" w:afterAutospacing="0" w:line="360" w:lineRule="exact"/>
              <w:ind w:left="0" w:right="0"/>
              <w:rPr>
                <w:rFonts w:hint="eastAsia" w:hAnsi="宋体" w:eastAsia="宋体"/>
                <w:color w:val="auto"/>
                <w:szCs w:val="21"/>
                <w:highlight w:val="none"/>
                <w:lang w:eastAsia="zh-CN"/>
              </w:rPr>
            </w:pPr>
            <w:r>
              <w:rPr>
                <w:rFonts w:hint="eastAsia" w:hAnsi="宋体"/>
                <w:color w:val="auto"/>
                <w:szCs w:val="21"/>
                <w:highlight w:val="none"/>
              </w:rPr>
              <w:t>2.对资格审查的质疑，由采购人负责受理和答复。（地址：</w:t>
            </w:r>
            <w:r>
              <w:rPr>
                <w:rFonts w:hint="eastAsia" w:ascii="宋体" w:hAnsi="宋体" w:eastAsia="宋体" w:cs="Times New Roman"/>
                <w:color w:val="auto"/>
                <w:sz w:val="21"/>
                <w:szCs w:val="21"/>
                <w:highlight w:val="none"/>
                <w:lang w:eastAsia="zh-CN"/>
              </w:rPr>
              <w:t>南宁市长湖路26号</w:t>
            </w:r>
            <w:r>
              <w:rPr>
                <w:rFonts w:hint="eastAsia" w:hAnsi="宋体"/>
                <w:color w:val="auto"/>
                <w:szCs w:val="21"/>
                <w:highlight w:val="none"/>
              </w:rPr>
              <w:t>，质疑咨询电话：</w:t>
            </w:r>
            <w:r>
              <w:rPr>
                <w:rFonts w:hint="eastAsia" w:ascii="宋体" w:hAnsi="宋体" w:eastAsia="宋体" w:cs="Times New Roman"/>
                <w:color w:val="auto"/>
                <w:sz w:val="21"/>
                <w:szCs w:val="21"/>
                <w:highlight w:val="none"/>
                <w:lang w:eastAsia="zh-CN"/>
              </w:rPr>
              <w:t>0771-5389161</w:t>
            </w:r>
            <w:r>
              <w:rPr>
                <w:rFonts w:hint="eastAsia" w:hAnsi="宋体"/>
                <w:color w:val="auto"/>
                <w:szCs w:val="21"/>
                <w:highlight w:val="none"/>
              </w:rPr>
              <w:t>）</w:t>
            </w:r>
            <w:r>
              <w:rPr>
                <w:rFonts w:hint="eastAsia" w:hAnsi="宋体"/>
                <w:color w:val="auto"/>
                <w:szCs w:val="21"/>
                <w:highlight w:val="none"/>
                <w:lang w:eastAsia="zh-CN"/>
              </w:rPr>
              <w:t>。</w:t>
            </w:r>
          </w:p>
          <w:p>
            <w:pPr>
              <w:pStyle w:val="14"/>
              <w:keepNext w:val="0"/>
              <w:keepLines w:val="0"/>
              <w:suppressLineNumbers w:val="0"/>
              <w:spacing w:before="0" w:beforeAutospacing="0" w:after="0" w:afterAutospacing="0" w:line="360" w:lineRule="exact"/>
              <w:ind w:left="0" w:right="0"/>
              <w:jc w:val="left"/>
              <w:rPr>
                <w:rFonts w:hint="eastAsia" w:hAnsi="宋体" w:eastAsia="宋体"/>
                <w:color w:val="auto"/>
                <w:sz w:val="21"/>
                <w:szCs w:val="21"/>
                <w:highlight w:val="none"/>
              </w:rPr>
            </w:pPr>
            <w:r>
              <w:rPr>
                <w:rFonts w:hint="eastAsia" w:hAnsi="宋体"/>
                <w:color w:val="auto"/>
                <w:szCs w:val="21"/>
                <w:highlight w:val="none"/>
              </w:rPr>
              <w:t>3.对资格审查以外的质疑，由</w:t>
            </w:r>
            <w:r>
              <w:rPr>
                <w:rFonts w:hint="eastAsia" w:hAnsi="宋体" w:eastAsia="宋体"/>
                <w:color w:val="auto"/>
                <w:sz w:val="21"/>
                <w:szCs w:val="21"/>
                <w:highlight w:val="none"/>
              </w:rPr>
              <w:t>广西恒基建设工程咨询有限公司（</w:t>
            </w:r>
            <w:r>
              <w:rPr>
                <w:rFonts w:hint="eastAsia" w:hAnsi="宋体" w:eastAsia="宋体" w:cs="Times New Roman"/>
                <w:color w:val="auto"/>
                <w:kern w:val="2"/>
                <w:sz w:val="21"/>
                <w:szCs w:val="21"/>
                <w:highlight w:val="none"/>
              </w:rPr>
              <w:t>南宁市青秀区云景路69号南宁市轨道交通运营控制中心B楼14层</w:t>
            </w:r>
            <w:r>
              <w:rPr>
                <w:rFonts w:hint="eastAsia" w:hAnsi="宋体" w:eastAsia="宋体"/>
                <w:color w:val="auto"/>
                <w:sz w:val="21"/>
                <w:szCs w:val="21"/>
                <w:highlight w:val="none"/>
              </w:rPr>
              <w:t>）</w:t>
            </w:r>
          </w:p>
          <w:p>
            <w:pPr>
              <w:pStyle w:val="14"/>
              <w:keepNext w:val="0"/>
              <w:keepLines w:val="0"/>
              <w:suppressLineNumbers w:val="0"/>
              <w:spacing w:before="0" w:beforeAutospacing="0" w:after="0" w:afterAutospacing="0"/>
              <w:ind w:left="0" w:right="0"/>
              <w:jc w:val="left"/>
              <w:rPr>
                <w:rFonts w:hint="eastAsia" w:hAnsi="宋体"/>
                <w:color w:val="auto"/>
                <w:szCs w:val="21"/>
                <w:highlight w:val="none"/>
              </w:rPr>
            </w:pPr>
            <w:r>
              <w:rPr>
                <w:rFonts w:hint="eastAsia" w:hAnsi="宋体" w:eastAsia="宋体"/>
                <w:color w:val="auto"/>
                <w:sz w:val="21"/>
                <w:szCs w:val="21"/>
                <w:highlight w:val="none"/>
              </w:rPr>
              <w:t xml:space="preserve">质疑受理电话：0771-2756880 </w:t>
            </w:r>
            <w:r>
              <w:rPr>
                <w:rFonts w:hint="eastAsia"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7.1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cs="宋体"/>
                <w:color w:val="auto"/>
                <w:kern w:val="0"/>
                <w:szCs w:val="21"/>
                <w:highlight w:val="none"/>
              </w:rPr>
              <w:t>投标人要求澄清的截止时间</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r>
              <w:rPr>
                <w:rFonts w:hint="default" w:ascii="Arial" w:hAnsi="Arial" w:cs="Arial"/>
                <w:color w:val="auto"/>
                <w:highlight w:val="none"/>
              </w:rPr>
              <w:t>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8.8</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投标文件份数</w:t>
            </w:r>
          </w:p>
        </w:tc>
        <w:tc>
          <w:tcPr>
            <w:tcW w:w="6301" w:type="dxa"/>
            <w:noWrap w:val="0"/>
            <w:vAlign w:val="center"/>
          </w:tcPr>
          <w:p>
            <w:pPr>
              <w:keepNext w:val="0"/>
              <w:keepLines w:val="0"/>
              <w:suppressLineNumbers w:val="0"/>
              <w:spacing w:before="0" w:beforeAutospacing="0" w:after="0" w:afterAutospacing="0" w:line="360" w:lineRule="exact"/>
              <w:ind w:left="0" w:right="0"/>
              <w:rPr>
                <w:rFonts w:hint="eastAsia" w:ascii="宋体" w:hAnsi="Courier New" w:eastAsia="宋体"/>
                <w:color w:val="auto"/>
                <w:szCs w:val="20"/>
                <w:highlight w:val="none"/>
                <w:lang w:eastAsia="zh-CN"/>
              </w:rPr>
            </w:pPr>
            <w:r>
              <w:rPr>
                <w:rFonts w:hint="eastAsia" w:ascii="宋体" w:hAnsi="Courier New"/>
                <w:color w:val="auto"/>
                <w:szCs w:val="20"/>
                <w:highlight w:val="none"/>
              </w:rPr>
              <w:t>报价文件：正本1份，副本</w:t>
            </w:r>
            <w:r>
              <w:rPr>
                <w:rFonts w:hint="eastAsia" w:ascii="宋体" w:hAnsi="Courier New"/>
                <w:color w:val="auto"/>
                <w:szCs w:val="20"/>
                <w:highlight w:val="none"/>
                <w:lang w:val="en-US" w:eastAsia="zh-CN"/>
              </w:rPr>
              <w:t>4</w:t>
            </w:r>
            <w:r>
              <w:rPr>
                <w:rFonts w:hint="eastAsia" w:ascii="宋体" w:hAnsi="Courier New"/>
                <w:color w:val="auto"/>
                <w:szCs w:val="20"/>
                <w:highlight w:val="none"/>
              </w:rPr>
              <w:t>份</w:t>
            </w:r>
            <w:r>
              <w:rPr>
                <w:rFonts w:hint="eastAsia" w:ascii="宋体" w:hAnsi="Courier New"/>
                <w:color w:val="auto"/>
                <w:szCs w:val="20"/>
                <w:highlight w:val="none"/>
                <w:lang w:eastAsia="zh-CN"/>
              </w:rPr>
              <w:t>；</w:t>
            </w:r>
          </w:p>
          <w:p>
            <w:pPr>
              <w:keepNext w:val="0"/>
              <w:keepLines w:val="0"/>
              <w:suppressLineNumbers w:val="0"/>
              <w:spacing w:before="0" w:beforeAutospacing="0" w:after="0" w:afterAutospacing="0" w:line="360" w:lineRule="exact"/>
              <w:ind w:left="0" w:right="0"/>
              <w:rPr>
                <w:rFonts w:hint="eastAsia" w:ascii="宋体" w:hAnsi="Courier New" w:eastAsia="宋体"/>
                <w:color w:val="auto"/>
                <w:szCs w:val="20"/>
                <w:highlight w:val="none"/>
                <w:lang w:eastAsia="zh-CN"/>
              </w:rPr>
            </w:pPr>
            <w:r>
              <w:rPr>
                <w:rFonts w:hint="eastAsia" w:ascii="宋体" w:hAnsi="Courier New"/>
                <w:color w:val="auto"/>
                <w:szCs w:val="20"/>
                <w:highlight w:val="none"/>
              </w:rPr>
              <w:t>资格文件：正本1份，副本</w:t>
            </w:r>
            <w:r>
              <w:rPr>
                <w:rFonts w:hint="eastAsia" w:ascii="宋体" w:hAnsi="Courier New"/>
                <w:color w:val="auto"/>
                <w:szCs w:val="20"/>
                <w:highlight w:val="none"/>
                <w:lang w:val="en-US" w:eastAsia="zh-CN"/>
              </w:rPr>
              <w:t>4</w:t>
            </w:r>
            <w:r>
              <w:rPr>
                <w:rFonts w:hint="eastAsia" w:ascii="宋体" w:hAnsi="Courier New"/>
                <w:color w:val="auto"/>
                <w:szCs w:val="20"/>
                <w:highlight w:val="none"/>
              </w:rPr>
              <w:t>份</w:t>
            </w:r>
            <w:r>
              <w:rPr>
                <w:rFonts w:hint="eastAsia" w:ascii="宋体" w:hAnsi="Courier New"/>
                <w:color w:val="auto"/>
                <w:szCs w:val="20"/>
                <w:highlight w:val="none"/>
                <w:lang w:eastAsia="zh-CN"/>
              </w:rPr>
              <w:t>；</w:t>
            </w:r>
          </w:p>
          <w:p>
            <w:pPr>
              <w:keepNext w:val="0"/>
              <w:keepLines w:val="0"/>
              <w:suppressLineNumbers w:val="0"/>
              <w:spacing w:before="0" w:beforeAutospacing="0" w:after="0" w:afterAutospacing="0" w:line="360" w:lineRule="exact"/>
              <w:ind w:left="0" w:right="0"/>
              <w:rPr>
                <w:rFonts w:hint="eastAsia" w:ascii="宋体" w:hAnsi="Courier New" w:eastAsia="宋体"/>
                <w:color w:val="auto"/>
                <w:szCs w:val="20"/>
                <w:highlight w:val="none"/>
                <w:lang w:eastAsia="zh-CN"/>
              </w:rPr>
            </w:pPr>
            <w:r>
              <w:rPr>
                <w:rFonts w:hint="eastAsia" w:ascii="宋体" w:hAnsi="Courier New"/>
                <w:color w:val="auto"/>
                <w:szCs w:val="20"/>
                <w:highlight w:val="none"/>
              </w:rPr>
              <w:t>技术文件：正本1份，副本4份</w:t>
            </w:r>
            <w:r>
              <w:rPr>
                <w:rFonts w:hint="eastAsia" w:ascii="宋体" w:hAnsi="Courier New"/>
                <w:color w:val="auto"/>
                <w:szCs w:val="20"/>
                <w:highlight w:val="none"/>
                <w:lang w:eastAsia="zh-CN"/>
              </w:rPr>
              <w:t>；</w:t>
            </w:r>
          </w:p>
          <w:p>
            <w:pPr>
              <w:keepNext w:val="0"/>
              <w:keepLines w:val="0"/>
              <w:suppressLineNumbers w:val="0"/>
              <w:spacing w:before="0" w:beforeAutospacing="0" w:after="0" w:afterAutospacing="0" w:line="360" w:lineRule="exact"/>
              <w:ind w:left="0" w:right="0"/>
              <w:rPr>
                <w:rFonts w:hint="eastAsia" w:ascii="宋体" w:hAnsi="Courier New" w:eastAsia="宋体"/>
                <w:color w:val="auto"/>
                <w:szCs w:val="20"/>
                <w:highlight w:val="none"/>
                <w:lang w:eastAsia="zh-CN"/>
              </w:rPr>
            </w:pPr>
            <w:r>
              <w:rPr>
                <w:rFonts w:hint="eastAsia" w:ascii="宋体" w:hAnsi="Courier New"/>
                <w:color w:val="auto"/>
                <w:szCs w:val="20"/>
                <w:highlight w:val="none"/>
              </w:rPr>
              <w:t>商务文件：正本1份，副本4份</w:t>
            </w:r>
            <w:r>
              <w:rPr>
                <w:rFonts w:hint="eastAsia" w:ascii="宋体" w:hAnsi="Courier New"/>
                <w:color w:val="auto"/>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11.4</w:t>
            </w:r>
          </w:p>
        </w:tc>
        <w:tc>
          <w:tcPr>
            <w:tcW w:w="2206"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cs="宋体"/>
                <w:color w:val="auto"/>
                <w:kern w:val="0"/>
                <w:sz w:val="20"/>
                <w:szCs w:val="20"/>
                <w:highlight w:val="none"/>
              </w:rPr>
            </w:pPr>
            <w:r>
              <w:rPr>
                <w:rFonts w:hint="eastAsia"/>
                <w:color w:val="auto"/>
                <w:kern w:val="0"/>
                <w:highlight w:val="none"/>
              </w:rPr>
              <w:t>采购代理服务费</w:t>
            </w:r>
          </w:p>
        </w:tc>
        <w:tc>
          <w:tcPr>
            <w:tcW w:w="6301" w:type="dxa"/>
            <w:noWrap w:val="0"/>
            <w:vAlign w:val="center"/>
          </w:tcPr>
          <w:p>
            <w:pPr>
              <w:keepNext w:val="0"/>
              <w:keepLines w:val="0"/>
              <w:suppressLineNumbers w:val="0"/>
              <w:spacing w:before="0" w:beforeAutospacing="0" w:after="0" w:afterAutospacing="0"/>
              <w:ind w:left="0" w:right="0"/>
              <w:rPr>
                <w:rFonts w:hint="default" w:hAnsi="宋体"/>
                <w:color w:val="auto"/>
                <w:szCs w:val="21"/>
                <w:highlight w:val="none"/>
              </w:rPr>
            </w:pPr>
            <w:r>
              <w:rPr>
                <w:rFonts w:hint="eastAsia" w:ascii="宋体" w:hAnsi="Courier New" w:eastAsia="宋体"/>
                <w:color w:val="auto"/>
                <w:sz w:val="21"/>
                <w:szCs w:val="20"/>
                <w:highlight w:val="none"/>
              </w:rPr>
              <w:t>本项目代理服务费参照国家发展计划委员会《招标代理服务费管理暂行办法》（计价格[2002]1980号）收费标准</w:t>
            </w:r>
            <w:r>
              <w:rPr>
                <w:rFonts w:hint="eastAsia" w:ascii="宋体" w:hAnsi="Courier New"/>
                <w:color w:val="auto"/>
                <w:sz w:val="21"/>
                <w:szCs w:val="20"/>
                <w:highlight w:val="none"/>
                <w:lang w:eastAsia="zh-CN"/>
              </w:rPr>
              <w:t>下浮</w:t>
            </w:r>
            <w:r>
              <w:rPr>
                <w:rFonts w:hint="eastAsia" w:ascii="宋体" w:hAnsi="Courier New"/>
                <w:color w:val="auto"/>
                <w:sz w:val="21"/>
                <w:szCs w:val="20"/>
                <w:highlight w:val="none"/>
                <w:lang w:val="en-US" w:eastAsia="zh-CN"/>
              </w:rPr>
              <w:t>30%</w:t>
            </w:r>
            <w:r>
              <w:rPr>
                <w:rFonts w:hint="eastAsia" w:ascii="宋体" w:hAnsi="Courier New" w:eastAsia="宋体"/>
                <w:color w:val="auto"/>
                <w:sz w:val="21"/>
                <w:szCs w:val="20"/>
                <w:highlight w:val="none"/>
              </w:rPr>
              <w:t>计取。由</w:t>
            </w:r>
            <w:r>
              <w:rPr>
                <w:rFonts w:hint="eastAsia" w:ascii="宋体" w:hAnsi="Courier New"/>
                <w:color w:val="auto"/>
                <w:szCs w:val="20"/>
                <w:highlight w:val="none"/>
              </w:rPr>
              <w:t>中标供应商</w:t>
            </w:r>
            <w:r>
              <w:rPr>
                <w:rFonts w:hint="eastAsia" w:ascii="宋体" w:hAnsi="Courier New" w:eastAsia="宋体"/>
                <w:color w:val="auto"/>
                <w:sz w:val="21"/>
                <w:szCs w:val="20"/>
                <w:highlight w:val="none"/>
              </w:rPr>
              <w:t>在领</w:t>
            </w:r>
            <w:r>
              <w:rPr>
                <w:rFonts w:hint="default" w:ascii="宋体" w:hAnsi="Courier New" w:eastAsia="宋体"/>
                <w:color w:val="auto"/>
                <w:sz w:val="21"/>
                <w:szCs w:val="20"/>
                <w:highlight w:val="none"/>
                <w:lang w:val="en-US" w:eastAsia="zh-CN"/>
              </w:rPr>
              <w:t>中标</w:t>
            </w:r>
            <w:r>
              <w:rPr>
                <w:rFonts w:hint="eastAsia" w:ascii="宋体" w:hAnsi="Courier New" w:eastAsia="宋体"/>
                <w:color w:val="auto"/>
                <w:sz w:val="21"/>
                <w:szCs w:val="20"/>
                <w:highlight w:val="none"/>
              </w:rPr>
              <w:t>通知书时一次</w:t>
            </w:r>
            <w:r>
              <w:rPr>
                <w:rFonts w:hint="default" w:ascii="宋体" w:hAnsi="Courier New"/>
                <w:color w:val="auto"/>
                <w:szCs w:val="20"/>
                <w:highlight w:val="none"/>
              </w:rPr>
              <w:t>付清</w:t>
            </w:r>
            <w:r>
              <w:rPr>
                <w:rFonts w:hint="eastAsia" w:ascii="宋体" w:hAnsi="Courier New" w:eastAsia="宋体"/>
                <w:color w:val="auto"/>
                <w:sz w:val="21"/>
                <w:szCs w:val="20"/>
                <w:highlight w:val="none"/>
              </w:rPr>
              <w:t xml:space="preserve">代理服务费。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12.1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投标有效期</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r>
              <w:rPr>
                <w:rFonts w:hint="eastAsia" w:hAnsi="宋体"/>
                <w:color w:val="auto"/>
                <w:szCs w:val="21"/>
                <w:highlight w:val="none"/>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13.1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投标保证金</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14.2</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投标截止时间（开标时间）</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eastAsia" w:hAnsi="宋体"/>
                <w:color w:val="auto"/>
                <w:szCs w:val="21"/>
                <w:highlight w:val="none"/>
              </w:rPr>
            </w:pPr>
            <w:r>
              <w:rPr>
                <w:rFonts w:hint="eastAsia" w:ascii="Times New Roman" w:hAnsi="Times New Roman"/>
                <w:color w:val="auto"/>
                <w:szCs w:val="24"/>
                <w:highlight w:val="none"/>
              </w:rPr>
              <w:t>与第一章</w:t>
            </w:r>
            <w:r>
              <w:rPr>
                <w:rFonts w:hint="eastAsia" w:ascii="Times New Roman" w:hAnsi="Times New Roman"/>
                <w:color w:val="auto"/>
                <w:szCs w:val="24"/>
                <w:highlight w:val="none"/>
                <w:lang w:eastAsia="zh-CN"/>
              </w:rPr>
              <w:t>招标</w:t>
            </w:r>
            <w:r>
              <w:rPr>
                <w:rFonts w:hint="eastAsia" w:ascii="Times New Roman" w:hAnsi="Times New Roman"/>
                <w:color w:val="auto"/>
                <w:szCs w:val="24"/>
                <w:highlight w:val="none"/>
              </w:rPr>
              <w:t>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14.4</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递交投标文件地点</w:t>
            </w:r>
          </w:p>
        </w:tc>
        <w:tc>
          <w:tcPr>
            <w:tcW w:w="6301" w:type="dxa"/>
            <w:noWrap w:val="0"/>
            <w:vAlign w:val="center"/>
          </w:tcPr>
          <w:p>
            <w:pPr>
              <w:pStyle w:val="12"/>
              <w:keepNext w:val="0"/>
              <w:keepLines w:val="0"/>
              <w:suppressLineNumbers w:val="0"/>
              <w:tabs>
                <w:tab w:val="left" w:pos="3204"/>
              </w:tabs>
              <w:spacing w:before="0" w:beforeAutospacing="0" w:after="0" w:afterAutospacing="0" w:line="310" w:lineRule="exact"/>
              <w:ind w:left="0" w:right="0" w:firstLine="0"/>
              <w:rPr>
                <w:rFonts w:hint="eastAsia" w:hAnsi="宋体"/>
                <w:color w:val="auto"/>
                <w:szCs w:val="21"/>
                <w:highlight w:val="none"/>
              </w:rPr>
            </w:pPr>
            <w:r>
              <w:rPr>
                <w:rFonts w:hint="eastAsia" w:asciiTheme="minorEastAsia" w:hAnsiTheme="minorEastAsia" w:eastAsiaTheme="minorEastAsia" w:cstheme="minorEastAsia"/>
                <w:b w:val="0"/>
                <w:bCs/>
                <w:i w:val="0"/>
                <w:iCs w:val="0"/>
                <w:sz w:val="21"/>
                <w:szCs w:val="21"/>
              </w:rPr>
              <w:t>南宁市良庆区玉洞大道33号（市青少年活动中心旁）南宁市市民中心9楼南宁市公共资源交易中心（具体详见9楼电子显示屏场地安排），为做好疫情防控工作，本项目的投标文件通过邮寄快递的方式送达，具体要求详见邮寄形式详见“关于投标文件邮寄形式的通知”。</w:t>
            </w:r>
            <w:bookmarkStart w:id="62" w:name="_GoBack"/>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15.1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开标地点</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r>
              <w:rPr>
                <w:rFonts w:hint="eastAsia"/>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17.3</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评标方法</w:t>
            </w:r>
          </w:p>
        </w:tc>
        <w:tc>
          <w:tcPr>
            <w:tcW w:w="6301" w:type="dxa"/>
            <w:noWrap w:val="0"/>
            <w:vAlign w:val="center"/>
          </w:tcPr>
          <w:p>
            <w:pPr>
              <w:pStyle w:val="14"/>
              <w:keepNext w:val="0"/>
              <w:keepLines w:val="0"/>
              <w:suppressLineNumbers w:val="0"/>
              <w:spacing w:before="0" w:beforeAutospacing="0" w:after="0" w:afterAutospacing="0" w:line="360" w:lineRule="auto"/>
              <w:ind w:left="0" w:right="0"/>
              <w:rPr>
                <w:rFonts w:hint="default" w:hAnsi="宋体"/>
                <w:color w:val="auto"/>
                <w:szCs w:val="21"/>
                <w:highlight w:val="none"/>
              </w:rPr>
            </w:pPr>
            <w:r>
              <w:rPr>
                <w:rFonts w:hint="eastAsia" w:ascii="Times New Roman" w:hAnsi="Times New Roman"/>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23.1</w:t>
            </w:r>
          </w:p>
        </w:tc>
        <w:tc>
          <w:tcPr>
            <w:tcW w:w="2206" w:type="dxa"/>
            <w:noWrap w:val="0"/>
            <w:vAlign w:val="center"/>
          </w:tcPr>
          <w:p>
            <w:pPr>
              <w:pStyle w:val="14"/>
              <w:keepNext w:val="0"/>
              <w:keepLines w:val="0"/>
              <w:suppressLineNumbers w:val="0"/>
              <w:spacing w:before="0" w:beforeAutospacing="0" w:after="0" w:afterAutospacing="0" w:line="360" w:lineRule="auto"/>
              <w:ind w:left="0" w:right="0"/>
              <w:jc w:val="center"/>
              <w:rPr>
                <w:rFonts w:hint="default" w:hAnsi="宋体"/>
                <w:color w:val="auto"/>
                <w:szCs w:val="21"/>
                <w:highlight w:val="none"/>
              </w:rPr>
            </w:pPr>
            <w:r>
              <w:rPr>
                <w:rFonts w:hint="eastAsia" w:hAnsi="宋体"/>
                <w:color w:val="auto"/>
                <w:szCs w:val="21"/>
                <w:highlight w:val="none"/>
              </w:rPr>
              <w:t>中标通知书的发放</w:t>
            </w:r>
          </w:p>
        </w:tc>
        <w:tc>
          <w:tcPr>
            <w:tcW w:w="6301" w:type="dxa"/>
            <w:noWrap w:val="0"/>
            <w:vAlign w:val="center"/>
          </w:tcPr>
          <w:p>
            <w:pPr>
              <w:keepNext w:val="0"/>
              <w:keepLines w:val="0"/>
              <w:suppressLineNumbers w:val="0"/>
              <w:spacing w:before="0" w:beforeAutospacing="0" w:after="0" w:afterAutospacing="0" w:line="360" w:lineRule="exact"/>
              <w:ind w:left="0" w:right="0"/>
              <w:rPr>
                <w:rFonts w:hint="default" w:ascii="宋体" w:hAnsi="Courier New"/>
                <w:color w:val="auto"/>
                <w:szCs w:val="20"/>
                <w:highlight w:val="none"/>
              </w:rPr>
            </w:pPr>
            <w:r>
              <w:rPr>
                <w:rFonts w:hint="eastAsia" w:hAnsi="宋体"/>
                <w:color w:val="auto"/>
                <w:sz w:val="21"/>
                <w:szCs w:val="21"/>
                <w:highlight w:val="none"/>
              </w:rPr>
              <w:t>广西恒基建设工程咨询有限公司</w:t>
            </w:r>
            <w:r>
              <w:rPr>
                <w:rFonts w:hint="eastAsia" w:ascii="宋体" w:hAnsi="Courier New"/>
                <w:color w:val="auto"/>
                <w:szCs w:val="20"/>
                <w:highlight w:val="none"/>
              </w:rPr>
              <w:t>在采购人确定中标结果后</w:t>
            </w:r>
            <w:r>
              <w:rPr>
                <w:rFonts w:hint="eastAsia" w:ascii="宋体" w:hAnsi="Courier New"/>
                <w:color w:val="auto"/>
                <w:szCs w:val="20"/>
                <w:highlight w:val="none"/>
                <w:lang w:eastAsia="zh-CN"/>
              </w:rPr>
              <w:t>两</w:t>
            </w:r>
            <w:r>
              <w:rPr>
                <w:rFonts w:hint="eastAsia" w:ascii="宋体" w:hAnsi="Courier New"/>
                <w:color w:val="auto"/>
                <w:szCs w:val="20"/>
                <w:highlight w:val="none"/>
              </w:rPr>
              <w:t>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14"/>
              <w:keepNext w:val="0"/>
              <w:keepLines w:val="0"/>
              <w:suppressLineNumbers w:val="0"/>
              <w:adjustRightInd w:val="0"/>
              <w:spacing w:before="0" w:beforeAutospacing="0" w:after="0" w:afterAutospacing="0" w:line="360" w:lineRule="auto"/>
              <w:ind w:left="0" w:right="0"/>
              <w:jc w:val="center"/>
              <w:rPr>
                <w:rFonts w:hint="default" w:hAnsi="宋体" w:eastAsia="宋体"/>
                <w:color w:val="auto"/>
                <w:szCs w:val="21"/>
                <w:highlight w:val="none"/>
                <w:lang w:val="en-US" w:eastAsia="zh-CN"/>
              </w:rPr>
            </w:pPr>
            <w:r>
              <w:rPr>
                <w:rFonts w:hint="eastAsia" w:hAnsi="宋体"/>
                <w:color w:val="auto"/>
                <w:szCs w:val="21"/>
                <w:highlight w:val="none"/>
                <w:lang w:val="en-US" w:eastAsia="zh-CN"/>
              </w:rPr>
              <w:t>30.1</w:t>
            </w:r>
          </w:p>
        </w:tc>
        <w:tc>
          <w:tcPr>
            <w:tcW w:w="2206" w:type="dxa"/>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olor w:val="auto"/>
                <w:kern w:val="0"/>
                <w:highlight w:val="none"/>
              </w:rPr>
            </w:pPr>
            <w:r>
              <w:rPr>
                <w:rFonts w:hint="eastAsia"/>
                <w:color w:val="auto"/>
                <w:kern w:val="0"/>
                <w:highlight w:val="none"/>
              </w:rPr>
              <w:t>需要补充的其他内容</w:t>
            </w:r>
          </w:p>
        </w:tc>
        <w:tc>
          <w:tcPr>
            <w:tcW w:w="6301" w:type="dxa"/>
            <w:noWrap w:val="0"/>
            <w:vAlign w:val="center"/>
          </w:tcPr>
          <w:p>
            <w:pPr>
              <w:pStyle w:val="14"/>
              <w:keepNext w:val="0"/>
              <w:keepLines w:val="0"/>
              <w:suppressLineNumbers w:val="0"/>
              <w:spacing w:before="0" w:beforeAutospacing="0" w:after="0" w:afterAutospacing="0" w:line="400" w:lineRule="exact"/>
              <w:ind w:left="0" w:right="0"/>
              <w:rPr>
                <w:rFonts w:hint="default" w:hAnsi="宋体"/>
                <w:color w:val="auto"/>
                <w:szCs w:val="21"/>
                <w:highlight w:val="none"/>
              </w:rPr>
            </w:pPr>
            <w:r>
              <w:rPr>
                <w:rFonts w:hint="default" w:hAnsi="宋体" w:cs="宋体"/>
                <w:b/>
                <w:sz w:val="21"/>
                <w:szCs w:val="21"/>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pStyle w:val="14"/>
        <w:jc w:val="center"/>
        <w:outlineLvl w:val="1"/>
        <w:rPr>
          <w:rFonts w:hAnsi="宋体"/>
          <w:b/>
          <w:color w:val="auto"/>
          <w:sz w:val="28"/>
          <w:szCs w:val="28"/>
          <w:highlight w:val="none"/>
        </w:rPr>
      </w:pPr>
      <w:r>
        <w:rPr>
          <w:rFonts w:hAnsi="宋体"/>
          <w:color w:val="auto"/>
          <w:sz w:val="28"/>
          <w:szCs w:val="28"/>
          <w:highlight w:val="none"/>
        </w:rPr>
        <w:br w:type="page"/>
      </w:r>
      <w:bookmarkStart w:id="43" w:name="_Toc1654627"/>
      <w:r>
        <w:rPr>
          <w:rFonts w:hint="eastAsia" w:ascii="Times New Roman" w:hAnsi="Times New Roman"/>
          <w:b/>
          <w:color w:val="auto"/>
          <w:sz w:val="30"/>
          <w:szCs w:val="30"/>
          <w:highlight w:val="none"/>
        </w:rPr>
        <w:t>一    总  则</w:t>
      </w:r>
      <w:bookmarkEnd w:id="43"/>
    </w:p>
    <w:p>
      <w:pPr>
        <w:pStyle w:val="14"/>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1. 项目概况</w:t>
      </w:r>
    </w:p>
    <w:p>
      <w:pPr>
        <w:pStyle w:val="14"/>
        <w:spacing w:line="440" w:lineRule="exact"/>
        <w:ind w:left="2" w:firstLine="358"/>
        <w:jc w:val="left"/>
        <w:rPr>
          <w:rFonts w:hAnsi="宋体"/>
          <w:bCs/>
          <w:color w:val="auto"/>
          <w:highlight w:val="none"/>
        </w:rPr>
      </w:pPr>
      <w:r>
        <w:rPr>
          <w:rFonts w:hint="eastAsia" w:hAnsi="宋体"/>
          <w:bCs/>
          <w:color w:val="auto"/>
          <w:highlight w:val="none"/>
        </w:rPr>
        <w:t>1.1  采购人：见投标人须知前附表。</w:t>
      </w:r>
    </w:p>
    <w:p>
      <w:pPr>
        <w:pStyle w:val="14"/>
        <w:spacing w:line="440" w:lineRule="exact"/>
        <w:ind w:left="2" w:firstLine="358"/>
        <w:jc w:val="left"/>
        <w:rPr>
          <w:rFonts w:ascii="文鼎CS楷体" w:eastAsia="文鼎CS楷体"/>
          <w:color w:val="auto"/>
          <w:highlight w:val="none"/>
        </w:rPr>
      </w:pPr>
      <w:r>
        <w:rPr>
          <w:rFonts w:hint="eastAsia" w:hAnsi="宋体"/>
          <w:bCs/>
          <w:color w:val="auto"/>
          <w:highlight w:val="none"/>
        </w:rPr>
        <w:t>1.2  采购代理机构：见投标人须知前附表。</w:t>
      </w:r>
    </w:p>
    <w:p>
      <w:pPr>
        <w:pStyle w:val="14"/>
        <w:spacing w:line="440" w:lineRule="exact"/>
        <w:ind w:left="2" w:firstLine="358"/>
        <w:jc w:val="left"/>
        <w:rPr>
          <w:rFonts w:ascii="文鼎CS楷体" w:eastAsia="文鼎CS楷体"/>
          <w:color w:val="auto"/>
          <w:highlight w:val="none"/>
        </w:rPr>
      </w:pPr>
      <w:r>
        <w:rPr>
          <w:rFonts w:hint="eastAsia" w:ascii="文鼎CS楷体" w:eastAsia="文鼎CS楷体"/>
          <w:color w:val="auto"/>
          <w:highlight w:val="none"/>
        </w:rPr>
        <w:t>1.3  项目名称：</w:t>
      </w:r>
      <w:r>
        <w:rPr>
          <w:rFonts w:hint="eastAsia" w:hAnsi="宋体"/>
          <w:bCs/>
          <w:color w:val="auto"/>
          <w:highlight w:val="none"/>
        </w:rPr>
        <w:t>见投标人须知前附表。</w:t>
      </w:r>
    </w:p>
    <w:p>
      <w:pPr>
        <w:pStyle w:val="14"/>
        <w:spacing w:line="440" w:lineRule="exact"/>
        <w:ind w:left="2" w:firstLine="358"/>
        <w:jc w:val="left"/>
        <w:rPr>
          <w:rFonts w:hAnsi="宋体"/>
          <w:bCs/>
          <w:color w:val="auto"/>
          <w:highlight w:val="none"/>
        </w:rPr>
      </w:pPr>
      <w:r>
        <w:rPr>
          <w:rFonts w:hint="eastAsia" w:ascii="文鼎CS楷体" w:eastAsia="文鼎CS楷体"/>
          <w:color w:val="auto"/>
          <w:highlight w:val="none"/>
        </w:rPr>
        <w:t>1.4  项目编号：</w:t>
      </w:r>
      <w:r>
        <w:rPr>
          <w:rFonts w:hint="eastAsia" w:hAnsi="宋体"/>
          <w:bCs/>
          <w:color w:val="auto"/>
          <w:highlight w:val="none"/>
        </w:rPr>
        <w:t>见投标人须知前附表。</w:t>
      </w:r>
    </w:p>
    <w:p>
      <w:pPr>
        <w:pStyle w:val="14"/>
        <w:spacing w:line="440" w:lineRule="exact"/>
        <w:ind w:left="2" w:firstLine="358"/>
        <w:jc w:val="left"/>
        <w:rPr>
          <w:rFonts w:hAnsi="宋体"/>
          <w:bCs/>
          <w:color w:val="auto"/>
          <w:highlight w:val="none"/>
        </w:rPr>
      </w:pPr>
      <w:r>
        <w:rPr>
          <w:rFonts w:hint="eastAsia" w:hAnsi="宋体"/>
          <w:bCs/>
          <w:color w:val="auto"/>
          <w:highlight w:val="none"/>
        </w:rPr>
        <w:t>1.5  采购预算：见投标人须知前附表。</w:t>
      </w:r>
    </w:p>
    <w:p>
      <w:pPr>
        <w:pStyle w:val="14"/>
        <w:spacing w:line="440" w:lineRule="exact"/>
        <w:ind w:left="2" w:firstLine="358"/>
        <w:jc w:val="left"/>
        <w:rPr>
          <w:rFonts w:hAnsi="宋体"/>
          <w:bCs/>
          <w:color w:val="auto"/>
          <w:highlight w:val="none"/>
        </w:rPr>
      </w:pPr>
      <w:r>
        <w:rPr>
          <w:rFonts w:hint="eastAsia" w:hAnsi="宋体"/>
          <w:bCs/>
          <w:color w:val="auto"/>
          <w:highlight w:val="none"/>
        </w:rPr>
        <w:t>1.6  资金来源：政府财政性资金</w:t>
      </w:r>
    </w:p>
    <w:p>
      <w:pPr>
        <w:pStyle w:val="14"/>
        <w:spacing w:line="440" w:lineRule="exact"/>
        <w:ind w:left="2" w:firstLine="358"/>
        <w:jc w:val="left"/>
        <w:rPr>
          <w:rFonts w:hAnsi="宋体"/>
          <w:bCs/>
          <w:color w:val="auto"/>
          <w:highlight w:val="none"/>
        </w:rPr>
      </w:pPr>
      <w:r>
        <w:rPr>
          <w:rFonts w:hint="eastAsia" w:hAnsi="宋体"/>
          <w:bCs/>
          <w:color w:val="auto"/>
          <w:highlight w:val="none"/>
        </w:rPr>
        <w:t xml:space="preserve">1.7  </w:t>
      </w:r>
      <w:r>
        <w:rPr>
          <w:rFonts w:hint="eastAsia" w:hAnsi="宋体"/>
          <w:color w:val="auto"/>
          <w:szCs w:val="21"/>
          <w:highlight w:val="none"/>
        </w:rPr>
        <w:t>获取招标文件方式：</w:t>
      </w:r>
      <w:r>
        <w:rPr>
          <w:rFonts w:hint="eastAsia" w:hAnsi="宋体"/>
          <w:bCs/>
          <w:color w:val="auto"/>
          <w:highlight w:val="none"/>
        </w:rPr>
        <w:t>见投标人须知前附表。</w:t>
      </w:r>
    </w:p>
    <w:p>
      <w:pPr>
        <w:pStyle w:val="14"/>
        <w:spacing w:line="440" w:lineRule="exact"/>
        <w:ind w:left="2" w:firstLine="358"/>
        <w:jc w:val="left"/>
        <w:rPr>
          <w:rFonts w:hAnsi="宋体"/>
          <w:bCs/>
          <w:color w:val="auto"/>
          <w:highlight w:val="none"/>
        </w:rPr>
      </w:pPr>
      <w:r>
        <w:rPr>
          <w:rFonts w:hAnsi="宋体"/>
          <w:bCs/>
          <w:color w:val="auto"/>
          <w:highlight w:val="none"/>
        </w:rPr>
        <w:t xml:space="preserve">1.8  </w:t>
      </w:r>
      <w:r>
        <w:rPr>
          <w:rFonts w:hint="eastAsia" w:hAnsi="宋体"/>
          <w:bCs/>
          <w:color w:val="auto"/>
          <w:highlight w:val="none"/>
        </w:rPr>
        <w:t>预留采购份额：见投标人须知前附表。</w:t>
      </w:r>
    </w:p>
    <w:p>
      <w:pPr>
        <w:pStyle w:val="14"/>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pStyle w:val="14"/>
        <w:spacing w:line="440" w:lineRule="exact"/>
        <w:ind w:left="242" w:hanging="212" w:hangingChars="101"/>
        <w:jc w:val="left"/>
        <w:rPr>
          <w:rFonts w:hint="eastAsia" w:hAnsi="宋体"/>
          <w:bCs/>
          <w:color w:val="auto"/>
          <w:highlight w:val="none"/>
        </w:rPr>
      </w:pPr>
      <w:r>
        <w:rPr>
          <w:rFonts w:hint="eastAsia" w:hAnsi="宋体"/>
          <w:bCs/>
          <w:color w:val="auto"/>
          <w:highlight w:val="none"/>
        </w:rPr>
        <w:t>2.1  与本项目相关的政府采购业务信息（包括公开招标公告、中标公告及其更正事项等）将在以下媒体上发布：中国政府采购网、广西壮族自治区政府采购网、南宁市公共资源交易中心网发布。</w:t>
      </w:r>
    </w:p>
    <w:p>
      <w:pPr>
        <w:pStyle w:val="14"/>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3. 投标人资格要求：</w:t>
      </w:r>
    </w:p>
    <w:p>
      <w:pPr>
        <w:pStyle w:val="14"/>
        <w:spacing w:line="440" w:lineRule="exact"/>
        <w:ind w:firstLine="360"/>
        <w:rPr>
          <w:rFonts w:hAnsi="宋体"/>
          <w:bCs/>
          <w:color w:val="auto"/>
          <w:highlight w:val="none"/>
        </w:rPr>
      </w:pPr>
      <w:r>
        <w:rPr>
          <w:rFonts w:hint="eastAsia" w:hAnsi="宋体"/>
          <w:bCs/>
          <w:color w:val="auto"/>
          <w:highlight w:val="none"/>
        </w:rPr>
        <w:t>3.1  投标人未被列入失信被执行人、重大税收违法案件当事人名单、政府采购严重违法失信行为记录名单，且应符合《中华人民共和国政府采购法》第二十二条规定的下列投标人资格条件：</w:t>
      </w:r>
    </w:p>
    <w:p>
      <w:pPr>
        <w:pStyle w:val="14"/>
        <w:spacing w:line="440" w:lineRule="exact"/>
        <w:ind w:firstLine="720"/>
        <w:rPr>
          <w:rFonts w:hAnsi="宋体"/>
          <w:bCs/>
          <w:color w:val="auto"/>
          <w:highlight w:val="none"/>
        </w:rPr>
      </w:pPr>
      <w:r>
        <w:rPr>
          <w:rFonts w:hint="eastAsia" w:hAnsi="宋体"/>
          <w:bCs/>
          <w:color w:val="auto"/>
          <w:highlight w:val="none"/>
        </w:rPr>
        <w:t>（1）具有独立承担民事责任的能力；</w:t>
      </w:r>
    </w:p>
    <w:p>
      <w:pPr>
        <w:pStyle w:val="14"/>
        <w:spacing w:line="440" w:lineRule="exact"/>
        <w:ind w:firstLine="720"/>
        <w:rPr>
          <w:rFonts w:hAnsi="宋体"/>
          <w:bCs/>
          <w:color w:val="auto"/>
          <w:highlight w:val="none"/>
        </w:rPr>
      </w:pPr>
      <w:r>
        <w:rPr>
          <w:rFonts w:hint="eastAsia" w:hAnsi="宋体"/>
          <w:bCs/>
          <w:color w:val="auto"/>
          <w:highlight w:val="none"/>
        </w:rPr>
        <w:t>（2）具有良好的商业信誉和健全的财务会计制度；</w:t>
      </w:r>
    </w:p>
    <w:p>
      <w:pPr>
        <w:pStyle w:val="14"/>
        <w:spacing w:line="440" w:lineRule="exact"/>
        <w:ind w:firstLine="720"/>
        <w:rPr>
          <w:rFonts w:hAnsi="宋体"/>
          <w:bCs/>
          <w:color w:val="auto"/>
          <w:highlight w:val="none"/>
        </w:rPr>
      </w:pPr>
      <w:r>
        <w:rPr>
          <w:rFonts w:hint="eastAsia" w:hAnsi="宋体"/>
          <w:bCs/>
          <w:color w:val="auto"/>
          <w:highlight w:val="none"/>
        </w:rPr>
        <w:t>（3）具有履行合同所必需的设备和专业技术能力；</w:t>
      </w:r>
    </w:p>
    <w:p>
      <w:pPr>
        <w:pStyle w:val="14"/>
        <w:spacing w:line="440" w:lineRule="exact"/>
        <w:ind w:firstLine="720"/>
        <w:rPr>
          <w:rFonts w:hAnsi="宋体"/>
          <w:bCs/>
          <w:color w:val="auto"/>
          <w:highlight w:val="none"/>
        </w:rPr>
      </w:pPr>
      <w:r>
        <w:rPr>
          <w:rFonts w:hint="eastAsia" w:hAnsi="宋体"/>
          <w:bCs/>
          <w:color w:val="auto"/>
          <w:highlight w:val="none"/>
        </w:rPr>
        <w:t>（4）有依法缴纳税收和社会保障资金的良好记录；</w:t>
      </w:r>
    </w:p>
    <w:p>
      <w:pPr>
        <w:pStyle w:val="14"/>
        <w:spacing w:line="440" w:lineRule="exact"/>
        <w:ind w:firstLine="720"/>
        <w:rPr>
          <w:rFonts w:hAnsi="宋体"/>
          <w:bCs/>
          <w:color w:val="auto"/>
          <w:highlight w:val="none"/>
        </w:rPr>
      </w:pPr>
      <w:r>
        <w:rPr>
          <w:rFonts w:hint="eastAsia" w:hAnsi="宋体"/>
          <w:bCs/>
          <w:color w:val="auto"/>
          <w:highlight w:val="none"/>
        </w:rPr>
        <w:t>（5）参加政府采购活动前三年内，在经营活动中没有重大违法记录；</w:t>
      </w:r>
    </w:p>
    <w:p>
      <w:pPr>
        <w:pStyle w:val="14"/>
        <w:spacing w:line="440" w:lineRule="exact"/>
        <w:ind w:firstLine="720"/>
        <w:rPr>
          <w:rFonts w:hAnsi="宋体"/>
          <w:bCs/>
          <w:color w:val="auto"/>
          <w:highlight w:val="none"/>
        </w:rPr>
      </w:pPr>
      <w:r>
        <w:rPr>
          <w:rFonts w:hint="eastAsia" w:hAnsi="宋体"/>
          <w:bCs/>
          <w:color w:val="auto"/>
          <w:highlight w:val="none"/>
        </w:rPr>
        <w:t>（6）法律、行政法规规定的其他条件。</w:t>
      </w:r>
    </w:p>
    <w:p>
      <w:pPr>
        <w:pStyle w:val="14"/>
        <w:spacing w:line="440" w:lineRule="exact"/>
        <w:ind w:firstLine="360"/>
        <w:rPr>
          <w:rFonts w:hAnsi="宋体"/>
          <w:bCs/>
          <w:color w:val="auto"/>
          <w:highlight w:val="none"/>
        </w:rPr>
      </w:pPr>
      <w:r>
        <w:rPr>
          <w:rFonts w:hint="eastAsia" w:hAnsi="宋体"/>
          <w:bCs/>
          <w:color w:val="auto"/>
          <w:highlight w:val="none"/>
        </w:rPr>
        <w:t>3.2  针对本项目，投标人应具备的特定条件：见投标人须知前附表。</w:t>
      </w:r>
    </w:p>
    <w:p>
      <w:pPr>
        <w:pStyle w:val="14"/>
        <w:spacing w:line="440" w:lineRule="exact"/>
        <w:ind w:firstLine="360"/>
        <w:rPr>
          <w:rFonts w:hAnsi="宋体"/>
          <w:bCs/>
          <w:color w:val="auto"/>
          <w:highlight w:val="none"/>
        </w:rPr>
      </w:pPr>
      <w:r>
        <w:rPr>
          <w:rFonts w:hint="eastAsia" w:hAnsi="宋体"/>
          <w:bCs/>
          <w:color w:val="auto"/>
          <w:highlight w:val="none"/>
        </w:rPr>
        <w:t>3.3  投标人须知前附表规定接受联合体投标的，两个以上供应商可以组成一个投标联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4"/>
        <w:spacing w:line="440" w:lineRule="exact"/>
        <w:ind w:firstLine="36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投标人不得直接或间接地与为本次采购的项目内容进行设计、编制规范和其他文件的咨询公司、采购代理机构或其附属机构有任何关联。 </w:t>
      </w:r>
    </w:p>
    <w:p>
      <w:pPr>
        <w:pStyle w:val="14"/>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4. 质疑</w:t>
      </w:r>
    </w:p>
    <w:p>
      <w:pPr>
        <w:pStyle w:val="14"/>
        <w:spacing w:line="440" w:lineRule="exact"/>
        <w:ind w:left="2" w:firstLine="360"/>
        <w:jc w:val="left"/>
        <w:rPr>
          <w:rFonts w:hAnsi="宋体"/>
          <w:bCs/>
          <w:color w:val="auto"/>
          <w:highlight w:val="none"/>
        </w:rPr>
      </w:pPr>
      <w:r>
        <w:rPr>
          <w:rFonts w:hint="eastAsia" w:hAnsi="宋体"/>
          <w:bCs/>
          <w:color w:val="auto"/>
          <w:highlight w:val="none"/>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int="eastAsia" w:hAnsi="宋体"/>
          <w:color w:val="auto"/>
          <w:highlight w:val="none"/>
        </w:rPr>
        <w:t>。（质疑受理单位、递交质疑地点详见投标人须知前附表）</w:t>
      </w:r>
    </w:p>
    <w:p>
      <w:pPr>
        <w:pStyle w:val="14"/>
        <w:spacing w:line="440" w:lineRule="exact"/>
        <w:ind w:left="2" w:firstLine="360"/>
        <w:jc w:val="left"/>
        <w:rPr>
          <w:rFonts w:hAnsi="宋体"/>
          <w:bCs/>
          <w:color w:val="auto"/>
          <w:szCs w:val="21"/>
          <w:highlight w:val="none"/>
        </w:rPr>
      </w:pPr>
      <w:r>
        <w:rPr>
          <w:rFonts w:hint="eastAsia" w:hAnsi="宋体"/>
          <w:bCs/>
          <w:color w:val="auto"/>
          <w:szCs w:val="21"/>
          <w:highlight w:val="none"/>
        </w:rPr>
        <w:t>4.2  供应商质疑实行实名制，其质疑应当有具体的质疑事项及事实根据，不得进行虚假、恶意质疑。</w:t>
      </w:r>
    </w:p>
    <w:p>
      <w:pPr>
        <w:pStyle w:val="14"/>
        <w:spacing w:line="440" w:lineRule="exact"/>
        <w:ind w:left="2" w:firstLine="360"/>
        <w:jc w:val="left"/>
        <w:rPr>
          <w:bCs/>
          <w:color w:val="auto"/>
          <w:highlight w:val="none"/>
        </w:rPr>
      </w:pPr>
      <w:r>
        <w:rPr>
          <w:rFonts w:hint="eastAsia"/>
          <w:bCs/>
          <w:color w:val="auto"/>
          <w:szCs w:val="21"/>
          <w:highlight w:val="none"/>
        </w:rPr>
        <w:t>4.3  供应商质疑时，应当提交质疑</w:t>
      </w:r>
      <w:r>
        <w:rPr>
          <w:rFonts w:hint="eastAsia"/>
          <w:bCs/>
          <w:color w:val="auto"/>
          <w:highlight w:val="none"/>
        </w:rPr>
        <w:t>书原件，质疑书应当包括下列主要内容：</w:t>
      </w:r>
    </w:p>
    <w:p>
      <w:pPr>
        <w:pStyle w:val="14"/>
        <w:spacing w:line="440" w:lineRule="exact"/>
        <w:ind w:left="2" w:firstLine="718"/>
        <w:jc w:val="left"/>
        <w:rPr>
          <w:rFonts w:hint="eastAsia" w:hAnsi="宋体"/>
          <w:color w:val="auto"/>
          <w:highlight w:val="none"/>
        </w:rPr>
      </w:pPr>
      <w:r>
        <w:rPr>
          <w:rFonts w:hint="eastAsia"/>
          <w:color w:val="auto"/>
          <w:highlight w:val="none"/>
        </w:rPr>
        <w:t>（1）</w:t>
      </w:r>
      <w:r>
        <w:rPr>
          <w:rFonts w:hint="eastAsia" w:hAnsi="宋体"/>
          <w:color w:val="auto"/>
          <w:highlight w:val="none"/>
        </w:rPr>
        <w:t>供应商的姓名或者名称、地址、邮编、联系人及联系电话；</w:t>
      </w:r>
    </w:p>
    <w:p>
      <w:pPr>
        <w:pStyle w:val="14"/>
        <w:spacing w:line="440" w:lineRule="exact"/>
        <w:ind w:left="2" w:firstLine="718"/>
        <w:jc w:val="left"/>
        <w:rPr>
          <w:rFonts w:hint="eastAsia" w:hAnsi="宋体"/>
          <w:color w:val="auto"/>
          <w:highlight w:val="none"/>
        </w:rPr>
      </w:pPr>
      <w:r>
        <w:rPr>
          <w:rFonts w:hint="eastAsia" w:hAnsi="宋体"/>
          <w:color w:val="auto"/>
          <w:highlight w:val="none"/>
        </w:rPr>
        <w:t>（2）质疑项目的名称、编号；</w:t>
      </w:r>
    </w:p>
    <w:p>
      <w:pPr>
        <w:pStyle w:val="14"/>
        <w:spacing w:line="440" w:lineRule="exact"/>
        <w:ind w:left="2" w:firstLine="718"/>
        <w:jc w:val="left"/>
        <w:rPr>
          <w:rFonts w:hint="eastAsia" w:ascii="Arial" w:hAnsi="Arial" w:cs="Arial"/>
          <w:color w:val="auto"/>
          <w:highlight w:val="none"/>
        </w:rPr>
      </w:pPr>
      <w:r>
        <w:rPr>
          <w:rFonts w:hint="eastAsia" w:hAnsi="宋体"/>
          <w:color w:val="auto"/>
          <w:highlight w:val="none"/>
        </w:rPr>
        <w:t>（3）</w:t>
      </w:r>
      <w:r>
        <w:rPr>
          <w:rFonts w:ascii="Arial" w:hAnsi="Arial" w:cs="Arial"/>
          <w:color w:val="auto"/>
          <w:highlight w:val="none"/>
        </w:rPr>
        <w:t>具体、明确的质疑事项和与质疑事项相关的请求</w:t>
      </w:r>
      <w:r>
        <w:rPr>
          <w:rFonts w:hint="eastAsia" w:ascii="Arial" w:hAnsi="Arial" w:cs="Arial"/>
          <w:color w:val="auto"/>
          <w:highlight w:val="none"/>
        </w:rPr>
        <w:t>；</w:t>
      </w:r>
    </w:p>
    <w:p>
      <w:pPr>
        <w:pStyle w:val="14"/>
        <w:spacing w:line="440" w:lineRule="exact"/>
        <w:ind w:left="2" w:firstLine="718"/>
        <w:jc w:val="left"/>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）事实依据</w:t>
      </w:r>
      <w:r>
        <w:rPr>
          <w:rFonts w:hint="eastAsia" w:hAnsi="宋体"/>
          <w:bCs/>
          <w:color w:val="auto"/>
          <w:szCs w:val="21"/>
          <w:highlight w:val="none"/>
        </w:rPr>
        <w:t>（列明权益受到损害的事实和理由）</w:t>
      </w:r>
      <w:r>
        <w:rPr>
          <w:rFonts w:hAnsi="宋体"/>
          <w:color w:val="auto"/>
          <w:highlight w:val="none"/>
        </w:rPr>
        <w:t>；</w:t>
      </w:r>
    </w:p>
    <w:p>
      <w:pPr>
        <w:pStyle w:val="14"/>
        <w:spacing w:line="440" w:lineRule="exact"/>
        <w:ind w:left="2" w:firstLine="718"/>
        <w:jc w:val="left"/>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）必要的法律依据；</w:t>
      </w:r>
    </w:p>
    <w:p>
      <w:pPr>
        <w:pStyle w:val="14"/>
        <w:spacing w:line="440" w:lineRule="exact"/>
        <w:ind w:left="2" w:firstLine="718"/>
        <w:jc w:val="left"/>
        <w:rPr>
          <w:rFonts w:hint="eastAsia" w:hAnsi="宋体"/>
          <w:color w:val="auto"/>
          <w:highlight w:val="none"/>
        </w:rPr>
      </w:pPr>
      <w:r>
        <w:rPr>
          <w:rFonts w:hint="eastAsia" w:hAnsi="宋体"/>
          <w:color w:val="auto"/>
          <w:highlight w:val="none"/>
        </w:rPr>
        <w:t>（6）提起质疑的日期；</w:t>
      </w:r>
    </w:p>
    <w:p>
      <w:pPr>
        <w:pStyle w:val="14"/>
        <w:spacing w:line="440" w:lineRule="exact"/>
        <w:ind w:left="2" w:firstLine="625" w:firstLineChars="298"/>
        <w:jc w:val="left"/>
        <w:rPr>
          <w:rFonts w:hint="eastAsia" w:hAnsi="宋体"/>
          <w:color w:val="auto"/>
          <w:highlight w:val="none"/>
        </w:rPr>
      </w:pPr>
      <w:r>
        <w:rPr>
          <w:rFonts w:hint="eastAsia" w:hAnsi="宋体"/>
          <w:color w:val="auto"/>
          <w:highlight w:val="none"/>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14"/>
        <w:spacing w:line="440" w:lineRule="exact"/>
        <w:ind w:firstLine="420" w:firstLineChars="200"/>
        <w:jc w:val="left"/>
        <w:rPr>
          <w:rFonts w:hint="eastAsia" w:hAnsi="宋体"/>
          <w:color w:val="auto"/>
          <w:highlight w:val="none"/>
        </w:rPr>
      </w:pPr>
      <w:r>
        <w:rPr>
          <w:rFonts w:hint="eastAsia" w:hAnsi="宋体"/>
          <w:color w:val="auto"/>
          <w:highlight w:val="none"/>
        </w:rPr>
        <w:t>质疑书应当署名。供应商为自然人的，应当由本人签字；供应商为法人或者其他组织的，应当由法定代表人、主要负责人，或者其授权代表签字或者盖章，并加盖公章。</w:t>
      </w:r>
    </w:p>
    <w:p>
      <w:pPr>
        <w:pStyle w:val="14"/>
        <w:spacing w:line="440" w:lineRule="exact"/>
        <w:ind w:left="2" w:firstLine="360"/>
        <w:rPr>
          <w:rFonts w:hAnsi="宋体"/>
          <w:bCs/>
          <w:color w:val="auto"/>
          <w:highlight w:val="none"/>
        </w:rPr>
      </w:pPr>
      <w:r>
        <w:rPr>
          <w:rFonts w:hint="eastAsia" w:hAnsi="宋体"/>
          <w:bCs/>
          <w:color w:val="auto"/>
          <w:highlight w:val="none"/>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14"/>
        <w:spacing w:line="440" w:lineRule="exact"/>
        <w:ind w:left="2" w:firstLine="360"/>
        <w:rPr>
          <w:rFonts w:hAnsi="宋体"/>
          <w:bCs/>
          <w:color w:val="auto"/>
          <w:highlight w:val="none"/>
        </w:rPr>
      </w:pPr>
      <w:r>
        <w:rPr>
          <w:rFonts w:hint="eastAsia" w:hAnsi="宋体"/>
          <w:bCs/>
          <w:color w:val="auto"/>
          <w:highlight w:val="none"/>
        </w:rPr>
        <w:t>4.5  质疑供应商提起质疑应当符合下列条件：</w:t>
      </w:r>
    </w:p>
    <w:p>
      <w:pPr>
        <w:spacing w:line="440" w:lineRule="exact"/>
        <w:ind w:firstLine="720"/>
        <w:rPr>
          <w:rFonts w:ascii="宋体" w:hAnsi="宋体"/>
          <w:color w:val="auto"/>
          <w:highlight w:val="none"/>
        </w:rPr>
      </w:pPr>
      <w:r>
        <w:rPr>
          <w:rFonts w:hint="eastAsia" w:ascii="宋体" w:hAnsi="宋体"/>
          <w:color w:val="auto"/>
          <w:highlight w:val="none"/>
        </w:rPr>
        <w:t>（1）质疑供应商是参与所质疑政府采购活动的供应商；</w:t>
      </w:r>
    </w:p>
    <w:p>
      <w:pPr>
        <w:spacing w:line="440" w:lineRule="exact"/>
        <w:ind w:firstLine="720"/>
        <w:rPr>
          <w:rFonts w:ascii="宋体" w:hAnsi="宋体"/>
          <w:color w:val="auto"/>
          <w:highlight w:val="none"/>
        </w:rPr>
      </w:pPr>
      <w:r>
        <w:rPr>
          <w:rFonts w:hint="eastAsia" w:ascii="宋体" w:hAnsi="宋体"/>
          <w:color w:val="auto"/>
          <w:highlight w:val="none"/>
        </w:rPr>
        <w:t>（2）质疑书内容符合本章第4.3项的规定；</w:t>
      </w:r>
    </w:p>
    <w:p>
      <w:pPr>
        <w:spacing w:line="440" w:lineRule="exact"/>
        <w:ind w:firstLine="720"/>
        <w:rPr>
          <w:rFonts w:ascii="宋体" w:hAnsi="宋体"/>
          <w:color w:val="auto"/>
          <w:highlight w:val="none"/>
        </w:rPr>
      </w:pPr>
      <w:r>
        <w:rPr>
          <w:rFonts w:hint="eastAsia" w:ascii="宋体" w:hAnsi="宋体"/>
          <w:color w:val="auto"/>
          <w:highlight w:val="none"/>
        </w:rPr>
        <w:t>（3）在质疑有效期限内提起质疑；</w:t>
      </w:r>
    </w:p>
    <w:p>
      <w:pPr>
        <w:spacing w:line="440" w:lineRule="exact"/>
        <w:ind w:firstLine="720"/>
        <w:rPr>
          <w:rFonts w:ascii="宋体" w:hAnsi="宋体"/>
          <w:color w:val="auto"/>
          <w:highlight w:val="none"/>
        </w:rPr>
      </w:pPr>
      <w:r>
        <w:rPr>
          <w:rFonts w:hint="eastAsia" w:ascii="宋体" w:hAnsi="宋体"/>
          <w:color w:val="auto"/>
          <w:highlight w:val="none"/>
        </w:rPr>
        <w:t>（4）属于所质疑的采购人或采购人委托的</w:t>
      </w:r>
      <w:r>
        <w:rPr>
          <w:rFonts w:hint="eastAsia" w:hAnsi="宋体"/>
          <w:color w:val="auto"/>
          <w:highlight w:val="none"/>
        </w:rPr>
        <w:t>采购代理机构</w:t>
      </w:r>
      <w:r>
        <w:rPr>
          <w:rFonts w:hint="eastAsia" w:ascii="宋体" w:hAnsi="宋体"/>
          <w:color w:val="auto"/>
          <w:highlight w:val="none"/>
        </w:rPr>
        <w:t>组织的采购活动；</w:t>
      </w:r>
    </w:p>
    <w:p>
      <w:pPr>
        <w:spacing w:line="440" w:lineRule="exact"/>
        <w:ind w:firstLine="720"/>
        <w:rPr>
          <w:rFonts w:hint="eastAsia" w:ascii="宋体" w:hAnsi="宋体"/>
          <w:color w:val="auto"/>
          <w:highlight w:val="none"/>
        </w:rPr>
      </w:pPr>
      <w:r>
        <w:rPr>
          <w:rFonts w:hint="eastAsia" w:ascii="宋体" w:hAnsi="宋体"/>
          <w:color w:val="auto"/>
          <w:highlight w:val="none"/>
        </w:rPr>
        <w:t>（5）同一质疑事项未经采购人或采购人委托的</w:t>
      </w:r>
      <w:r>
        <w:rPr>
          <w:rFonts w:hint="eastAsia" w:hAnsi="宋体"/>
          <w:color w:val="auto"/>
          <w:highlight w:val="none"/>
        </w:rPr>
        <w:t>采购代理机构</w:t>
      </w:r>
      <w:r>
        <w:rPr>
          <w:rFonts w:hint="eastAsia" w:ascii="宋体" w:hAnsi="宋体"/>
          <w:color w:val="auto"/>
          <w:highlight w:val="none"/>
        </w:rPr>
        <w:t>质疑处理；</w:t>
      </w:r>
    </w:p>
    <w:p>
      <w:pPr>
        <w:spacing w:line="440" w:lineRule="exact"/>
        <w:ind w:firstLine="720"/>
        <w:rPr>
          <w:rFonts w:hint="eastAsia" w:ascii="宋体" w:hAnsi="宋体"/>
          <w:color w:val="auto"/>
          <w:highlight w:val="none"/>
        </w:rPr>
      </w:pPr>
      <w:r>
        <w:rPr>
          <w:rFonts w:hint="eastAsia" w:ascii="宋体" w:hAnsi="宋体"/>
          <w:color w:val="auto"/>
          <w:highlight w:val="none"/>
        </w:rPr>
        <w:t>（6）供应商对同一采购程序环节的质疑应当在质疑有效期内一次性提出；</w:t>
      </w:r>
    </w:p>
    <w:p>
      <w:pPr>
        <w:spacing w:line="440" w:lineRule="exact"/>
        <w:ind w:firstLine="720"/>
        <w:rPr>
          <w:rFonts w:hint="eastAsia" w:ascii="宋体" w:hAnsi="宋体"/>
          <w:color w:val="auto"/>
          <w:highlight w:val="none"/>
        </w:rPr>
      </w:pPr>
      <w:r>
        <w:rPr>
          <w:rFonts w:hint="eastAsia" w:ascii="宋体" w:hAnsi="宋体"/>
          <w:color w:val="auto"/>
          <w:highlight w:val="none"/>
        </w:rPr>
        <w:t>（7）供应商提交质疑应当提交必要的证明材料，证明材料应以合法手段取得；</w:t>
      </w:r>
    </w:p>
    <w:p>
      <w:pPr>
        <w:spacing w:line="440" w:lineRule="exact"/>
        <w:ind w:firstLine="720"/>
        <w:rPr>
          <w:rFonts w:ascii="宋体" w:hAnsi="宋体"/>
          <w:color w:val="auto"/>
          <w:highlight w:val="none"/>
        </w:rPr>
      </w:pPr>
      <w:r>
        <w:rPr>
          <w:rFonts w:hint="eastAsia" w:ascii="宋体" w:hAnsi="宋体"/>
          <w:color w:val="auto"/>
          <w:highlight w:val="none"/>
        </w:rPr>
        <w:t>（8）财政部门规定的其他条件。</w:t>
      </w:r>
    </w:p>
    <w:p>
      <w:pPr>
        <w:spacing w:line="440" w:lineRule="exact"/>
        <w:ind w:firstLine="360"/>
        <w:rPr>
          <w:rFonts w:ascii="宋体" w:hAnsi="宋体"/>
          <w:color w:val="auto"/>
          <w:highlight w:val="none"/>
        </w:rPr>
      </w:pPr>
      <w:r>
        <w:rPr>
          <w:rFonts w:hint="eastAsia" w:ascii="宋体"/>
          <w:color w:val="auto"/>
          <w:highlight w:val="none"/>
        </w:rPr>
        <w:t>4.6  采购</w:t>
      </w:r>
      <w:r>
        <w:rPr>
          <w:rFonts w:hint="eastAsia"/>
          <w:color w:val="auto"/>
          <w:highlight w:val="none"/>
        </w:rPr>
        <w:t>人或采购人委托的</w:t>
      </w:r>
      <w:r>
        <w:rPr>
          <w:rFonts w:hint="eastAsia" w:hAnsi="宋体"/>
          <w:color w:val="auto"/>
          <w:highlight w:val="none"/>
        </w:rPr>
        <w:t>采购代理机构</w:t>
      </w:r>
      <w:r>
        <w:rPr>
          <w:rFonts w:hint="eastAsia"/>
          <w:color w:val="auto"/>
          <w:highlight w:val="none"/>
        </w:rPr>
        <w:t>自受理质疑之日起七个工作日内，对质疑事项作出答复，并以书面形式通知质疑供应商及其他有关供应商。</w:t>
      </w:r>
    </w:p>
    <w:p>
      <w:pPr>
        <w:pStyle w:val="14"/>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5.  投诉</w:t>
      </w:r>
    </w:p>
    <w:p>
      <w:pPr>
        <w:pStyle w:val="14"/>
        <w:spacing w:line="440" w:lineRule="exact"/>
        <w:ind w:left="2" w:firstLine="357" w:firstLineChars="170"/>
        <w:jc w:val="left"/>
        <w:rPr>
          <w:rFonts w:hAnsi="宋体"/>
          <w:bCs/>
          <w:color w:val="auto"/>
          <w:highlight w:val="none"/>
        </w:rPr>
      </w:pPr>
      <w:r>
        <w:rPr>
          <w:rFonts w:hint="eastAsia" w:hAnsi="宋体"/>
          <w:bCs/>
          <w:color w:val="auto"/>
          <w:highlight w:val="none"/>
        </w:rPr>
        <w:t>5.1  供应商认为招标文件、采购过程、中标和成交结果使自己的合法权益受到损害的，应当首先依法向采购人或采购人委托的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未在规定期限内做出答复的，供应商可以在答复期满后十五个工作日内向南宁市政府采购监督管理部门提起投诉。</w:t>
      </w:r>
    </w:p>
    <w:p>
      <w:pPr>
        <w:pStyle w:val="14"/>
        <w:spacing w:line="440" w:lineRule="exact"/>
        <w:ind w:left="2" w:firstLine="357" w:firstLineChars="170"/>
        <w:jc w:val="left"/>
        <w:rPr>
          <w:color w:val="auto"/>
          <w:highlight w:val="none"/>
        </w:rPr>
      </w:pPr>
      <w:r>
        <w:rPr>
          <w:rFonts w:hint="eastAsia"/>
          <w:color w:val="auto"/>
          <w:highlight w:val="none"/>
        </w:rPr>
        <w:t>5.2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4"/>
        <w:spacing w:line="440" w:lineRule="exact"/>
        <w:ind w:left="0" w:firstLine="420" w:firstLineChars="200"/>
        <w:jc w:val="left"/>
        <w:rPr>
          <w:rFonts w:hint="eastAsia" w:hAnsi="宋体"/>
          <w:color w:val="auto"/>
          <w:highlight w:val="none"/>
        </w:rPr>
      </w:pPr>
      <w:r>
        <w:rPr>
          <w:rFonts w:hint="eastAsia" w:hAnsi="宋体"/>
          <w:color w:val="auto"/>
          <w:highlight w:val="none"/>
        </w:rPr>
        <w:t>（1）投诉人和被投诉人的姓名或者名称、通讯地址、邮编、联系人及联系电话；</w:t>
      </w:r>
    </w:p>
    <w:p>
      <w:pPr>
        <w:pStyle w:val="14"/>
        <w:spacing w:line="440" w:lineRule="exact"/>
        <w:ind w:left="0" w:firstLine="420" w:firstLineChars="200"/>
        <w:jc w:val="left"/>
        <w:rPr>
          <w:rFonts w:hint="eastAsia" w:hAnsi="宋体"/>
          <w:color w:val="auto"/>
          <w:highlight w:val="none"/>
        </w:rPr>
      </w:pPr>
      <w:r>
        <w:rPr>
          <w:rFonts w:hint="eastAsia" w:hAnsi="宋体"/>
          <w:color w:val="auto"/>
          <w:highlight w:val="none"/>
        </w:rPr>
        <w:t>（2）质疑和质疑答复情况说明及相关证明材料；</w:t>
      </w:r>
    </w:p>
    <w:p>
      <w:pPr>
        <w:pStyle w:val="14"/>
        <w:spacing w:line="440" w:lineRule="exact"/>
        <w:ind w:left="0" w:firstLine="420" w:firstLineChars="200"/>
        <w:jc w:val="left"/>
        <w:rPr>
          <w:rFonts w:hint="eastAsia" w:hAnsi="宋体"/>
          <w:color w:val="auto"/>
          <w:highlight w:val="none"/>
        </w:rPr>
      </w:pPr>
      <w:r>
        <w:rPr>
          <w:rFonts w:hint="eastAsia" w:hAnsi="宋体"/>
          <w:color w:val="auto"/>
          <w:highlight w:val="none"/>
        </w:rPr>
        <w:t>（3）具体、明确的投诉事项和与投诉事项相关的投诉请求；</w:t>
      </w:r>
    </w:p>
    <w:p>
      <w:pPr>
        <w:pStyle w:val="14"/>
        <w:spacing w:line="440" w:lineRule="exact"/>
        <w:ind w:left="0" w:firstLine="420" w:firstLineChars="200"/>
        <w:jc w:val="left"/>
        <w:rPr>
          <w:rFonts w:hint="eastAsia" w:hAnsi="宋体"/>
          <w:color w:val="auto"/>
          <w:highlight w:val="none"/>
        </w:rPr>
      </w:pPr>
      <w:r>
        <w:rPr>
          <w:rFonts w:hint="eastAsia" w:hAnsi="宋体"/>
          <w:color w:val="auto"/>
          <w:highlight w:val="none"/>
        </w:rPr>
        <w:t>（4）事实依据；</w:t>
      </w:r>
    </w:p>
    <w:p>
      <w:pPr>
        <w:pStyle w:val="14"/>
        <w:spacing w:line="440" w:lineRule="exact"/>
        <w:ind w:left="0" w:firstLine="420" w:firstLineChars="200"/>
        <w:jc w:val="left"/>
        <w:rPr>
          <w:rFonts w:hint="eastAsia" w:hAnsi="宋体"/>
          <w:color w:val="auto"/>
          <w:highlight w:val="none"/>
        </w:rPr>
      </w:pPr>
      <w:r>
        <w:rPr>
          <w:rFonts w:hint="eastAsia" w:hAnsi="宋体"/>
          <w:color w:val="auto"/>
          <w:highlight w:val="none"/>
        </w:rPr>
        <w:t>（5）法律依据；</w:t>
      </w:r>
    </w:p>
    <w:p>
      <w:pPr>
        <w:pStyle w:val="14"/>
        <w:spacing w:line="440" w:lineRule="exact"/>
        <w:ind w:left="0" w:firstLine="420" w:firstLineChars="200"/>
        <w:jc w:val="left"/>
        <w:rPr>
          <w:rFonts w:hint="eastAsia"/>
          <w:color w:val="auto"/>
          <w:highlight w:val="none"/>
        </w:rPr>
      </w:pPr>
      <w:r>
        <w:rPr>
          <w:rFonts w:hint="eastAsia" w:hAnsi="宋体"/>
          <w:color w:val="auto"/>
          <w:highlight w:val="none"/>
        </w:rPr>
        <w:t>（6）提起投诉的日期。</w:t>
      </w:r>
    </w:p>
    <w:p>
      <w:pPr>
        <w:pStyle w:val="14"/>
        <w:spacing w:line="440" w:lineRule="exact"/>
        <w:rPr>
          <w:rFonts w:hint="eastAsia" w:hAnsi="宋体"/>
          <w:color w:val="auto"/>
          <w:highlight w:val="none"/>
        </w:rPr>
      </w:pPr>
      <w:r>
        <w:rPr>
          <w:rFonts w:hint="eastAsia" w:hAnsi="宋体"/>
          <w:color w:val="auto"/>
          <w:highlight w:val="none"/>
        </w:rPr>
        <w:t xml:space="preserve">    投诉人为自然人的，应当由本人签字；投诉人为法人或者其他组织的，应当由法定代表人、主要负责人，或者其授权代表签字或者盖章，并加盖公章。</w:t>
      </w:r>
    </w:p>
    <w:p>
      <w:pPr>
        <w:pStyle w:val="14"/>
        <w:spacing w:line="440" w:lineRule="exact"/>
        <w:ind w:firstLine="359" w:firstLineChars="171"/>
        <w:rPr>
          <w:color w:val="auto"/>
          <w:highlight w:val="none"/>
        </w:rPr>
      </w:pPr>
      <w:r>
        <w:rPr>
          <w:rFonts w:hint="eastAsia"/>
          <w:color w:val="auto"/>
          <w:highlight w:val="none"/>
        </w:rPr>
        <w:t>5.3  投诉人可以委托代理人办理投诉事务。代理人办理投诉事务时，除提交投诉书外，还应当提交投诉人的授权委托书，授权委托书应当载明委托代理的具体权限和事项。</w:t>
      </w:r>
    </w:p>
    <w:p>
      <w:pPr>
        <w:pStyle w:val="14"/>
        <w:spacing w:line="440" w:lineRule="exact"/>
        <w:ind w:firstLine="359" w:firstLineChars="171"/>
        <w:rPr>
          <w:rFonts w:hAnsi="宋体"/>
          <w:color w:val="auto"/>
          <w:highlight w:val="none"/>
        </w:rPr>
      </w:pPr>
      <w:r>
        <w:rPr>
          <w:rFonts w:hint="eastAsia"/>
          <w:color w:val="auto"/>
          <w:highlight w:val="none"/>
        </w:rPr>
        <w:t>5.4  投诉人提起投诉应当符合下列条件：</w:t>
      </w:r>
    </w:p>
    <w:p>
      <w:pPr>
        <w:spacing w:line="440" w:lineRule="exact"/>
        <w:ind w:firstLine="7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7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720"/>
        <w:rPr>
          <w:rFonts w:ascii="宋体" w:hAnsi="宋体"/>
          <w:color w:val="auto"/>
          <w:highlight w:val="none"/>
        </w:rPr>
      </w:pPr>
      <w:r>
        <w:rPr>
          <w:rFonts w:hint="eastAsia" w:ascii="宋体" w:hAnsi="宋体"/>
          <w:color w:val="auto"/>
          <w:highlight w:val="none"/>
        </w:rPr>
        <w:t>（3）投诉书内容符合本章第5.2项的规定；</w:t>
      </w:r>
    </w:p>
    <w:p>
      <w:pPr>
        <w:spacing w:line="440" w:lineRule="exact"/>
        <w:ind w:firstLine="7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720"/>
        <w:rPr>
          <w:rFonts w:ascii="宋体" w:hAnsi="宋体"/>
          <w:color w:val="auto"/>
          <w:highlight w:val="none"/>
        </w:rPr>
      </w:pPr>
      <w:r>
        <w:rPr>
          <w:rFonts w:hint="eastAsia" w:ascii="宋体" w:hAnsi="宋体"/>
          <w:color w:val="auto"/>
          <w:highlight w:val="none"/>
        </w:rPr>
        <w:t>（5）属于南宁市政府采购监督管理部门管辖；</w:t>
      </w:r>
    </w:p>
    <w:p>
      <w:pPr>
        <w:spacing w:line="440" w:lineRule="exact"/>
        <w:ind w:firstLine="7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南宁市政府采购监督管理部门</w:t>
      </w:r>
      <w:r>
        <w:rPr>
          <w:rFonts w:hint="eastAsia" w:ascii="宋体" w:hAnsi="宋体"/>
          <w:color w:val="auto"/>
          <w:highlight w:val="none"/>
        </w:rPr>
        <w:t>投诉处理；</w:t>
      </w:r>
    </w:p>
    <w:p>
      <w:pPr>
        <w:spacing w:line="440" w:lineRule="exact"/>
        <w:ind w:firstLine="720"/>
        <w:rPr>
          <w:rFonts w:ascii="宋体"/>
          <w:color w:val="auto"/>
          <w:highlight w:val="none"/>
        </w:rPr>
      </w:pPr>
      <w:r>
        <w:rPr>
          <w:rFonts w:hint="eastAsia" w:ascii="宋体"/>
          <w:color w:val="auto"/>
          <w:highlight w:val="none"/>
        </w:rPr>
        <w:t>（7）国务院财政部门规定的其他条件。</w:t>
      </w:r>
    </w:p>
    <w:p>
      <w:pPr>
        <w:spacing w:line="440" w:lineRule="exact"/>
        <w:ind w:firstLine="360"/>
        <w:rPr>
          <w:rFonts w:ascii="宋体"/>
          <w:color w:val="auto"/>
          <w:highlight w:val="none"/>
        </w:rPr>
      </w:pPr>
      <w:r>
        <w:rPr>
          <w:rFonts w:hint="eastAsia" w:ascii="宋体"/>
          <w:color w:val="auto"/>
          <w:highlight w:val="none"/>
        </w:rPr>
        <w:t>5.5  南宁市政府采购监督管理部门</w:t>
      </w:r>
      <w:r>
        <w:rPr>
          <w:rFonts w:hint="eastAsia"/>
          <w:color w:val="auto"/>
          <w:highlight w:val="none"/>
        </w:rPr>
        <w:t>自受理投诉之日起三十个工作日内，对投诉事项作出处理决定，并以书面形式通知投诉人、被投诉人及其他与投诉处理结果有利害关系的政府采购当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360"/>
        <w:rPr>
          <w:rFonts w:ascii="宋体"/>
          <w:color w:val="auto"/>
          <w:highlight w:val="none"/>
        </w:rPr>
      </w:pPr>
      <w:r>
        <w:rPr>
          <w:rFonts w:hint="eastAsia" w:ascii="宋体"/>
          <w:color w:val="auto"/>
          <w:highlight w:val="none"/>
        </w:rPr>
        <w:t>5.6  南宁市政府采购监督管理部门在处理投诉事项期间，可以视具体情况暂停采购活动。</w:t>
      </w:r>
    </w:p>
    <w:p>
      <w:pPr>
        <w:pStyle w:val="14"/>
        <w:spacing w:line="440" w:lineRule="exact"/>
        <w:rPr>
          <w:rFonts w:hAnsi="宋体"/>
          <w:bCs/>
          <w:color w:val="auto"/>
          <w:highlight w:val="none"/>
        </w:rPr>
      </w:pPr>
    </w:p>
    <w:p>
      <w:pPr>
        <w:pStyle w:val="14"/>
        <w:jc w:val="center"/>
        <w:outlineLvl w:val="1"/>
        <w:rPr>
          <w:rFonts w:ascii="Times New Roman" w:hAnsi="Times New Roman"/>
          <w:b/>
          <w:color w:val="auto"/>
          <w:sz w:val="30"/>
          <w:szCs w:val="30"/>
          <w:highlight w:val="none"/>
        </w:rPr>
      </w:pPr>
      <w:bookmarkStart w:id="44" w:name="_Toc1654628"/>
      <w:r>
        <w:rPr>
          <w:rFonts w:hint="eastAsia" w:ascii="Times New Roman" w:hAnsi="Times New Roman"/>
          <w:b/>
          <w:color w:val="auto"/>
          <w:sz w:val="30"/>
          <w:szCs w:val="30"/>
          <w:highlight w:val="none"/>
        </w:rPr>
        <w:t>二    公开招标文件</w:t>
      </w:r>
      <w:bookmarkEnd w:id="44"/>
    </w:p>
    <w:p>
      <w:pPr>
        <w:pStyle w:val="14"/>
        <w:spacing w:line="440" w:lineRule="exact"/>
        <w:rPr>
          <w:rFonts w:hAnsi="宋体"/>
          <w:bCs/>
          <w:color w:val="auto"/>
          <w:highlight w:val="none"/>
        </w:rPr>
      </w:pPr>
      <w:r>
        <w:rPr>
          <w:rFonts w:hint="eastAsia" w:hAnsi="宋体"/>
          <w:bCs/>
          <w:color w:val="auto"/>
          <w:sz w:val="24"/>
          <w:highlight w:val="none"/>
        </w:rPr>
        <w:t>6.  公开招标文件的组成</w:t>
      </w:r>
    </w:p>
    <w:p>
      <w:pPr>
        <w:pStyle w:val="14"/>
        <w:spacing w:line="440" w:lineRule="exact"/>
        <w:ind w:firstLine="359" w:firstLineChars="171"/>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w:t>
      </w:r>
      <w:r>
        <w:rPr>
          <w:rFonts w:hint="eastAsia" w:hAnsi="宋体"/>
          <w:color w:val="auto"/>
          <w:highlight w:val="none"/>
          <w:lang w:eastAsia="zh-CN"/>
        </w:rPr>
        <w:t>七</w:t>
      </w:r>
      <w:r>
        <w:rPr>
          <w:rFonts w:hint="eastAsia" w:hAnsi="宋体"/>
          <w:color w:val="auto"/>
          <w:highlight w:val="none"/>
        </w:rPr>
        <w:t>个章节，各章的内容如下：</w:t>
      </w:r>
    </w:p>
    <w:p>
      <w:pPr>
        <w:pStyle w:val="14"/>
        <w:spacing w:line="440" w:lineRule="exact"/>
        <w:ind w:firstLine="718" w:firstLineChars="342"/>
        <w:rPr>
          <w:rFonts w:hAnsi="宋体"/>
          <w:color w:val="auto"/>
          <w:highlight w:val="none"/>
        </w:rPr>
      </w:pPr>
      <w:r>
        <w:rPr>
          <w:rFonts w:hint="eastAsia" w:hAnsi="宋体"/>
          <w:color w:val="auto"/>
          <w:highlight w:val="none"/>
        </w:rPr>
        <w:t>第一章  公告</w:t>
      </w:r>
    </w:p>
    <w:p>
      <w:pPr>
        <w:pStyle w:val="14"/>
        <w:spacing w:line="440" w:lineRule="exact"/>
        <w:ind w:firstLine="718" w:firstLineChars="342"/>
        <w:rPr>
          <w:rFonts w:hAnsi="宋体"/>
          <w:color w:val="auto"/>
          <w:highlight w:val="none"/>
        </w:rPr>
      </w:pPr>
      <w:r>
        <w:rPr>
          <w:rFonts w:hint="eastAsia" w:hAnsi="宋体"/>
          <w:color w:val="auto"/>
          <w:highlight w:val="none"/>
        </w:rPr>
        <w:t xml:space="preserve">第二章  </w:t>
      </w:r>
      <w:r>
        <w:rPr>
          <w:rFonts w:hint="eastAsia" w:hAnsi="宋体"/>
          <w:color w:val="auto"/>
          <w:highlight w:val="none"/>
          <w:lang w:eastAsia="zh-CN"/>
        </w:rPr>
        <w:t>货物</w:t>
      </w:r>
      <w:r>
        <w:rPr>
          <w:rFonts w:hint="eastAsia" w:hAnsi="宋体"/>
          <w:color w:val="auto"/>
          <w:highlight w:val="none"/>
        </w:rPr>
        <w:t>需求一览表</w:t>
      </w:r>
    </w:p>
    <w:p>
      <w:pPr>
        <w:pStyle w:val="14"/>
        <w:spacing w:line="440" w:lineRule="exact"/>
        <w:ind w:firstLine="718" w:firstLineChars="342"/>
        <w:rPr>
          <w:rFonts w:hAnsi="宋体"/>
          <w:color w:val="auto"/>
          <w:highlight w:val="none"/>
        </w:rPr>
      </w:pPr>
      <w:r>
        <w:rPr>
          <w:rFonts w:hint="eastAsia" w:hAnsi="宋体"/>
          <w:color w:val="auto"/>
          <w:highlight w:val="none"/>
        </w:rPr>
        <w:t>第三章  评标方法</w:t>
      </w:r>
    </w:p>
    <w:p>
      <w:pPr>
        <w:pStyle w:val="14"/>
        <w:spacing w:line="440" w:lineRule="exact"/>
        <w:ind w:firstLine="718" w:firstLineChars="342"/>
        <w:rPr>
          <w:rFonts w:hAnsi="宋体"/>
          <w:color w:val="auto"/>
          <w:highlight w:val="none"/>
        </w:rPr>
      </w:pPr>
      <w:r>
        <w:rPr>
          <w:rFonts w:hint="eastAsia" w:hAnsi="宋体"/>
          <w:color w:val="auto"/>
          <w:highlight w:val="none"/>
        </w:rPr>
        <w:t>第四章  投标人须知</w:t>
      </w:r>
    </w:p>
    <w:p>
      <w:pPr>
        <w:pStyle w:val="14"/>
        <w:spacing w:line="440" w:lineRule="exact"/>
        <w:ind w:firstLine="718" w:firstLineChars="342"/>
        <w:rPr>
          <w:rFonts w:hAnsi="宋体"/>
          <w:color w:val="auto"/>
          <w:highlight w:val="none"/>
        </w:rPr>
      </w:pPr>
      <w:r>
        <w:rPr>
          <w:rFonts w:hint="eastAsia" w:hAnsi="宋体"/>
          <w:color w:val="auto"/>
          <w:highlight w:val="none"/>
        </w:rPr>
        <w:t>第五章  投标文件格式</w:t>
      </w:r>
    </w:p>
    <w:p>
      <w:pPr>
        <w:pStyle w:val="14"/>
        <w:spacing w:line="440" w:lineRule="exact"/>
        <w:ind w:firstLine="718" w:firstLineChars="342"/>
        <w:rPr>
          <w:rFonts w:hint="eastAsia" w:hAnsi="宋体"/>
          <w:color w:val="auto"/>
          <w:highlight w:val="none"/>
        </w:rPr>
      </w:pPr>
      <w:r>
        <w:rPr>
          <w:rFonts w:hint="eastAsia" w:hAnsi="宋体"/>
          <w:color w:val="auto"/>
          <w:highlight w:val="none"/>
        </w:rPr>
        <w:t>第六章  合同条款及格式</w:t>
      </w:r>
    </w:p>
    <w:p>
      <w:pPr>
        <w:pStyle w:val="14"/>
        <w:spacing w:line="440" w:lineRule="exact"/>
        <w:ind w:firstLine="718" w:firstLineChars="342"/>
        <w:rPr>
          <w:rFonts w:hint="eastAsia" w:hAnsi="宋体"/>
          <w:color w:val="auto"/>
          <w:highlight w:val="none"/>
        </w:rPr>
      </w:pPr>
      <w:r>
        <w:rPr>
          <w:rFonts w:hint="eastAsia" w:hAnsi="宋体"/>
          <w:color w:val="auto"/>
          <w:highlight w:val="none"/>
        </w:rPr>
        <w:t>第七章  质疑材料格式</w:t>
      </w:r>
    </w:p>
    <w:p>
      <w:pPr>
        <w:pStyle w:val="14"/>
        <w:spacing w:line="440" w:lineRule="exact"/>
        <w:rPr>
          <w:rFonts w:hint="eastAsia" w:hAnsi="宋体"/>
          <w:color w:val="auto"/>
          <w:highlight w:val="none"/>
        </w:rPr>
      </w:pPr>
    </w:p>
    <w:p>
      <w:pPr>
        <w:pStyle w:val="14"/>
        <w:spacing w:line="440" w:lineRule="exact"/>
        <w:ind w:firstLine="359" w:firstLineChars="171"/>
        <w:rPr>
          <w:rFonts w:hAnsi="宋体"/>
          <w:color w:val="auto"/>
          <w:highlight w:val="none"/>
        </w:rPr>
      </w:pPr>
      <w:r>
        <w:rPr>
          <w:rFonts w:hint="eastAsia" w:hAnsi="宋体"/>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14"/>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14"/>
        <w:spacing w:after="165"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14"/>
        <w:spacing w:after="165" w:line="440" w:lineRule="exact"/>
        <w:ind w:left="2" w:firstLine="480"/>
        <w:rPr>
          <w:rFonts w:hAnsi="宋体"/>
          <w:color w:val="auto"/>
          <w:highlight w:val="none"/>
        </w:rPr>
      </w:pPr>
      <w:r>
        <w:rPr>
          <w:rFonts w:hint="eastAsia" w:hAnsi="宋体"/>
          <w:color w:val="auto"/>
          <w:highlight w:val="none"/>
        </w:rPr>
        <w:t>7.2  采购人或采购代理机构必须在投标截止时间十五日前，以书面形式答复投标人要求澄清的问题，并将不包含问题来源的澄清通知（</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）所有获取招标文件的潜在投标人，除书面澄清以外的其他澄清方式及澄清内容均无效</w:t>
      </w:r>
      <w:r>
        <w:rPr>
          <w:rFonts w:hint="eastAsia"/>
          <w:color w:val="auto"/>
          <w:highlight w:val="none"/>
        </w:rPr>
        <w:t>。如果澄清发出的时间距投标截止时间不足十五日，则相应延长投标截止时间。</w:t>
      </w:r>
    </w:p>
    <w:p>
      <w:pPr>
        <w:pStyle w:val="14"/>
        <w:spacing w:after="165" w:line="440" w:lineRule="exact"/>
        <w:ind w:left="2" w:firstLine="480"/>
        <w:rPr>
          <w:color w:val="auto"/>
          <w:highlight w:val="none"/>
        </w:rPr>
      </w:pPr>
      <w:r>
        <w:rPr>
          <w:rFonts w:hint="eastAsia" w:hAnsi="宋体"/>
          <w:color w:val="auto"/>
          <w:highlight w:val="none"/>
        </w:rPr>
        <w:t>7.3  采购人或采购代理机构</w:t>
      </w:r>
      <w:r>
        <w:rPr>
          <w:rFonts w:hint="eastAsia"/>
          <w:color w:val="auto"/>
          <w:highlight w:val="none"/>
        </w:rPr>
        <w:t>对已发出的招标文件进行必要修改的，应在投标截止时间十五日前，以书面形式</w:t>
      </w:r>
      <w:r>
        <w:rPr>
          <w:rFonts w:hint="eastAsia" w:hAnsi="宋体"/>
          <w:color w:val="auto"/>
          <w:highlight w:val="none"/>
        </w:rPr>
        <w:t>（</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w:t>
      </w:r>
      <w:r>
        <w:rPr>
          <w:rFonts w:hint="eastAsia"/>
          <w:color w:val="auto"/>
          <w:highlight w:val="none"/>
        </w:rPr>
        <w:t>通知</w:t>
      </w:r>
      <w:r>
        <w:rPr>
          <w:rFonts w:hint="eastAsia" w:hAnsi="宋体"/>
          <w:color w:val="auto"/>
          <w:highlight w:val="none"/>
        </w:rPr>
        <w:t>所有获取招标文件的潜在投标人</w:t>
      </w:r>
      <w:r>
        <w:rPr>
          <w:rFonts w:hint="eastAsia"/>
          <w:color w:val="auto"/>
          <w:highlight w:val="none"/>
        </w:rPr>
        <w:t>。如果修改招标文件的时间距投标截止时间不足十五日，则相应延长投标截止时间。</w:t>
      </w:r>
    </w:p>
    <w:p>
      <w:pPr>
        <w:pStyle w:val="14"/>
        <w:spacing w:line="440" w:lineRule="exact"/>
        <w:ind w:left="2" w:firstLine="360"/>
        <w:rPr>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采购人和采购代理机构可以视采购具体情况，延长投标截止时间和开标时间，但至少应当在投标截止时间三日前，将变更时间书面通知</w:t>
      </w:r>
      <w:r>
        <w:rPr>
          <w:rFonts w:hint="eastAsia" w:hAnsi="宋体"/>
          <w:color w:val="auto"/>
          <w:highlight w:val="none"/>
        </w:rPr>
        <w:t>（</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）所有获取招标文件的潜在投标人</w:t>
      </w:r>
      <w:r>
        <w:rPr>
          <w:rFonts w:hint="eastAsia"/>
          <w:color w:val="auto"/>
          <w:highlight w:val="none"/>
        </w:rPr>
        <w:t>。</w:t>
      </w:r>
    </w:p>
    <w:p>
      <w:pPr>
        <w:pStyle w:val="14"/>
        <w:spacing w:line="440" w:lineRule="exact"/>
        <w:ind w:left="2" w:firstLine="360"/>
        <w:rPr>
          <w:rFonts w:hAnsi="宋体"/>
          <w:b/>
          <w:bCs/>
          <w:color w:val="auto"/>
          <w:highlight w:val="none"/>
        </w:rPr>
      </w:pPr>
    </w:p>
    <w:p>
      <w:pPr>
        <w:pStyle w:val="14"/>
        <w:jc w:val="center"/>
        <w:outlineLvl w:val="1"/>
        <w:rPr>
          <w:rFonts w:ascii="Times New Roman" w:hAnsi="Times New Roman"/>
          <w:b/>
          <w:color w:val="auto"/>
          <w:sz w:val="30"/>
          <w:szCs w:val="30"/>
          <w:highlight w:val="none"/>
        </w:rPr>
      </w:pPr>
      <w:bookmarkStart w:id="45" w:name="_Toc1654629"/>
      <w:r>
        <w:rPr>
          <w:rFonts w:hint="eastAsia" w:ascii="Times New Roman" w:hAnsi="Times New Roman"/>
          <w:b/>
          <w:color w:val="auto"/>
          <w:sz w:val="30"/>
          <w:szCs w:val="30"/>
          <w:highlight w:val="none"/>
        </w:rPr>
        <w:t>三    投标文件</w:t>
      </w:r>
      <w:bookmarkEnd w:id="45"/>
    </w:p>
    <w:p>
      <w:pPr>
        <w:pStyle w:val="14"/>
        <w:spacing w:line="440" w:lineRule="exact"/>
        <w:rPr>
          <w:rFonts w:hAnsi="宋体"/>
          <w:bCs/>
          <w:color w:val="auto"/>
          <w:sz w:val="24"/>
          <w:highlight w:val="none"/>
        </w:rPr>
      </w:pPr>
      <w:r>
        <w:rPr>
          <w:rFonts w:hint="eastAsia" w:hAnsi="宋体"/>
          <w:bCs/>
          <w:color w:val="auto"/>
          <w:sz w:val="24"/>
          <w:highlight w:val="none"/>
        </w:rPr>
        <w:t>8.  投标文件的编制</w:t>
      </w:r>
    </w:p>
    <w:p>
      <w:pPr>
        <w:pStyle w:val="14"/>
        <w:spacing w:line="440" w:lineRule="exact"/>
        <w:ind w:left="2" w:firstLine="360"/>
        <w:rPr>
          <w:rFonts w:hAnsi="宋体"/>
          <w:color w:val="auto"/>
          <w:highlight w:val="none"/>
        </w:rPr>
      </w:pPr>
      <w:r>
        <w:rPr>
          <w:rFonts w:hint="eastAsia" w:hAnsi="宋体"/>
          <w:color w:val="auto"/>
          <w:highlight w:val="none"/>
        </w:rPr>
        <w:t>8.1  投标人应仔细阅读招标文件，在充分了解招标的内容、技术参数要求和商务条款以及实质性要求和条件后，编写投标文件。</w:t>
      </w:r>
    </w:p>
    <w:p>
      <w:pPr>
        <w:pStyle w:val="14"/>
        <w:spacing w:line="440" w:lineRule="exact"/>
        <w:ind w:left="2" w:firstLine="360"/>
        <w:rPr>
          <w:rFonts w:hAnsi="宋体"/>
          <w:color w:val="auto"/>
          <w:highlight w:val="none"/>
        </w:rPr>
      </w:pPr>
      <w:r>
        <w:rPr>
          <w:rFonts w:hint="eastAsia" w:hAnsi="宋体"/>
          <w:color w:val="auto"/>
          <w:highlight w:val="none"/>
        </w:rPr>
        <w:t>8.2  对招标文件的实质性要求和条件作出响应是指投标人必须对招标文件中标注为实质性要求和条件的技术参数要求、商务条款及其它内容</w:t>
      </w:r>
      <w:r>
        <w:rPr>
          <w:rFonts w:hint="eastAsia"/>
          <w:b/>
          <w:color w:val="auto"/>
          <w:highlight w:val="none"/>
        </w:rPr>
        <w:t>作出满足或者优于原要求和条件的承诺</w:t>
      </w:r>
      <w:r>
        <w:rPr>
          <w:rFonts w:hint="eastAsia"/>
          <w:color w:val="auto"/>
          <w:highlight w:val="none"/>
        </w:rPr>
        <w:t>。</w:t>
      </w:r>
    </w:p>
    <w:p>
      <w:pPr>
        <w:pStyle w:val="14"/>
        <w:spacing w:line="440" w:lineRule="exact"/>
        <w:ind w:left="2" w:firstLine="360"/>
        <w:rPr>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w:t>
      </w:r>
    </w:p>
    <w:p>
      <w:pPr>
        <w:pStyle w:val="14"/>
        <w:spacing w:line="440" w:lineRule="exact"/>
        <w:ind w:left="2" w:firstLine="36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4"/>
        <w:spacing w:line="440" w:lineRule="exact"/>
        <w:ind w:left="2" w:firstLine="36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14"/>
        <w:spacing w:line="440" w:lineRule="exact"/>
        <w:ind w:left="2" w:firstLine="360"/>
        <w:rPr>
          <w:rFonts w:hAnsi="宋体"/>
          <w:color w:val="auto"/>
          <w:highlight w:val="none"/>
        </w:rPr>
      </w:pPr>
      <w:r>
        <w:rPr>
          <w:rFonts w:hint="eastAsia" w:hAnsi="宋体"/>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4"/>
        <w:spacing w:line="440" w:lineRule="exact"/>
        <w:ind w:left="2" w:firstLine="360"/>
        <w:rPr>
          <w:color w:val="auto"/>
          <w:highlight w:val="none"/>
        </w:rPr>
      </w:pPr>
      <w:r>
        <w:rPr>
          <w:rFonts w:hint="eastAsia" w:hAnsi="宋体"/>
          <w:color w:val="auto"/>
          <w:highlight w:val="none"/>
        </w:rPr>
        <w:t xml:space="preserve">8.7  </w:t>
      </w:r>
      <w:r>
        <w:rPr>
          <w:rFonts w:hint="eastAsia"/>
          <w:color w:val="auto"/>
          <w:highlight w:val="none"/>
        </w:rPr>
        <w:t>投标文件应编制目录，且页码清晰准确。</w:t>
      </w:r>
    </w:p>
    <w:p>
      <w:pPr>
        <w:pStyle w:val="14"/>
        <w:spacing w:line="440" w:lineRule="exact"/>
        <w:ind w:left="2" w:firstLine="360"/>
        <w:rPr>
          <w:color w:val="auto"/>
          <w:highlight w:val="none"/>
        </w:rPr>
      </w:pPr>
      <w:r>
        <w:rPr>
          <w:rFonts w:hint="eastAsia" w:hAnsi="宋体"/>
          <w:color w:val="auto"/>
          <w:highlight w:val="none"/>
        </w:rPr>
        <w:t>8.8  投标文件的</w:t>
      </w:r>
      <w:r>
        <w:rPr>
          <w:rFonts w:hint="eastAsia"/>
          <w:color w:val="auto"/>
          <w:highlight w:val="none"/>
        </w:rPr>
        <w:t>正本和副本应分别装订成册，封面上应清楚地标记“正本”或“副本”字样，并标明项目名称、项目编号、投标人名称等内容。副本可以采用正本的复印件，当副本和正本不一致时，以正本为准。投标人应准备报价文件、资格文件、技术文件和商务文件正本各一份，副本份数见投标人须知前附表。</w:t>
      </w:r>
    </w:p>
    <w:p>
      <w:pPr>
        <w:pStyle w:val="14"/>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14"/>
        <w:spacing w:line="440" w:lineRule="exact"/>
        <w:ind w:firstLine="360"/>
        <w:rPr>
          <w:rFonts w:hAnsi="宋体"/>
          <w:color w:val="auto"/>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14"/>
        <w:spacing w:line="440" w:lineRule="exact"/>
        <w:ind w:firstLine="360"/>
        <w:rPr>
          <w:rFonts w:hAnsi="宋体"/>
          <w:color w:val="auto"/>
          <w:highlight w:val="none"/>
        </w:rPr>
      </w:pPr>
      <w:r>
        <w:rPr>
          <w:rFonts w:hint="eastAsia" w:hAnsi="宋体"/>
          <w:color w:val="auto"/>
          <w:highlight w:val="none"/>
        </w:rPr>
        <w:t>9.2  对不同文字文本投标文件的解释发生异议的，以中文文本为准。</w:t>
      </w:r>
    </w:p>
    <w:p>
      <w:pPr>
        <w:pStyle w:val="14"/>
        <w:spacing w:line="440" w:lineRule="exact"/>
        <w:ind w:firstLine="360"/>
        <w:rPr>
          <w:rFonts w:hAnsi="宋体"/>
          <w:color w:val="auto"/>
          <w:highlight w:val="none"/>
        </w:rPr>
      </w:pPr>
      <w:r>
        <w:rPr>
          <w:rFonts w:hint="eastAsia" w:hAnsi="宋体"/>
          <w:color w:val="auto"/>
          <w:highlight w:val="none"/>
        </w:rPr>
        <w:t>9.3  投标文件使用的计量单位除招标文件中有特殊规定外，一律使用中华人民共和国法定计量单位。</w:t>
      </w:r>
    </w:p>
    <w:p>
      <w:pPr>
        <w:pStyle w:val="14"/>
        <w:spacing w:line="440" w:lineRule="exact"/>
        <w:rPr>
          <w:rFonts w:hAnsi="宋体"/>
          <w:bCs/>
          <w:color w:val="auto"/>
          <w:sz w:val="24"/>
          <w:highlight w:val="none"/>
        </w:rPr>
      </w:pPr>
      <w:r>
        <w:rPr>
          <w:rFonts w:hint="eastAsia" w:hAnsi="宋体"/>
          <w:bCs/>
          <w:color w:val="auto"/>
          <w:sz w:val="24"/>
          <w:highlight w:val="none"/>
        </w:rPr>
        <w:t>10.  投标文件的组成</w:t>
      </w:r>
    </w:p>
    <w:p>
      <w:pPr>
        <w:pStyle w:val="14"/>
        <w:spacing w:line="440" w:lineRule="exact"/>
        <w:ind w:firstLine="360"/>
        <w:rPr>
          <w:rFonts w:hAnsi="宋体"/>
          <w:color w:val="auto"/>
          <w:highlight w:val="none"/>
        </w:rPr>
      </w:pPr>
      <w:r>
        <w:rPr>
          <w:rFonts w:hint="eastAsia" w:hAnsi="宋体"/>
          <w:color w:val="auto"/>
          <w:highlight w:val="none"/>
        </w:rPr>
        <w:t>10.1  投标人需编制的投标文件包括报价文件、资格文件、技术文件和商务文件四部分，投标人应按下列说明编写和提交。应递交的有关文件如未特别注明为原件的，可提交复印件。</w:t>
      </w:r>
    </w:p>
    <w:p>
      <w:pPr>
        <w:pStyle w:val="14"/>
        <w:spacing w:line="440" w:lineRule="exact"/>
        <w:ind w:firstLine="360"/>
        <w:rPr>
          <w:rFonts w:hAnsi="宋体"/>
          <w:color w:val="auto"/>
          <w:highlight w:val="none"/>
        </w:rPr>
      </w:pPr>
      <w:r>
        <w:rPr>
          <w:rFonts w:hint="eastAsia" w:hAnsi="宋体"/>
          <w:color w:val="auto"/>
          <w:highlight w:val="none"/>
        </w:rPr>
        <w:t>10.1.1  报价文件组成要求，包括：</w:t>
      </w:r>
    </w:p>
    <w:p>
      <w:pPr>
        <w:pStyle w:val="14"/>
        <w:spacing w:line="440" w:lineRule="exact"/>
        <w:ind w:firstLine="720"/>
        <w:rPr>
          <w:rFonts w:hAnsi="宋体"/>
          <w:sz w:val="21"/>
          <w:szCs w:val="21"/>
        </w:rPr>
      </w:pPr>
      <w:r>
        <w:rPr>
          <w:rFonts w:hint="eastAsia" w:hAnsi="宋体"/>
          <w:sz w:val="21"/>
          <w:szCs w:val="21"/>
        </w:rPr>
        <w:t>（1）投标函：按第五章“投标文件格式”提供的“投标函（格式）”的要求填写；</w:t>
      </w:r>
    </w:p>
    <w:p>
      <w:pPr>
        <w:pStyle w:val="14"/>
        <w:spacing w:line="440" w:lineRule="exact"/>
        <w:ind w:firstLine="720"/>
        <w:rPr>
          <w:rFonts w:hAnsi="宋体"/>
          <w:sz w:val="21"/>
          <w:szCs w:val="21"/>
        </w:rPr>
      </w:pPr>
      <w:r>
        <w:rPr>
          <w:rFonts w:hint="eastAsia" w:hAnsi="宋体"/>
          <w:sz w:val="21"/>
          <w:szCs w:val="21"/>
        </w:rPr>
        <w:t>（2）投标报价表：按第五章“投标文件格式”提供的“投标报价表（格式）”的要求填写。</w:t>
      </w:r>
    </w:p>
    <w:p>
      <w:pPr>
        <w:pStyle w:val="14"/>
        <w:spacing w:line="440" w:lineRule="exact"/>
        <w:ind w:firstLine="720"/>
        <w:rPr>
          <w:rFonts w:hAnsi="宋体"/>
          <w:sz w:val="21"/>
          <w:szCs w:val="21"/>
        </w:rPr>
      </w:pPr>
      <w:r>
        <w:rPr>
          <w:rFonts w:hint="eastAsia" w:hAnsi="宋体"/>
          <w:sz w:val="21"/>
          <w:szCs w:val="21"/>
        </w:rPr>
        <w:t>（3）中小企业声明函、监狱企业的证明文件、残疾人福利性单位声明函：按第五章“投标文件格式”提供的“中小企业声明函（格式）、残疾人福利性单位声明函”的要求填写。</w:t>
      </w:r>
    </w:p>
    <w:p>
      <w:pPr>
        <w:pStyle w:val="14"/>
        <w:spacing w:line="440" w:lineRule="exact"/>
        <w:ind w:firstLine="720"/>
        <w:rPr>
          <w:rFonts w:hAnsi="宋体"/>
          <w:sz w:val="21"/>
          <w:szCs w:val="21"/>
        </w:rPr>
      </w:pPr>
      <w:r>
        <w:rPr>
          <w:rFonts w:hint="eastAsia" w:hAnsi="宋体"/>
          <w:sz w:val="21"/>
          <w:szCs w:val="21"/>
        </w:rPr>
        <w:t>（4）广西工业产品声明函：按第五章“投标文件格式”提供的“广西工业产品声明函（格式）”的要求填写。</w:t>
      </w:r>
    </w:p>
    <w:p>
      <w:pPr>
        <w:pStyle w:val="14"/>
        <w:spacing w:line="440" w:lineRule="exact"/>
        <w:ind w:firstLine="720"/>
        <w:rPr>
          <w:rFonts w:hAnsi="宋体"/>
          <w:sz w:val="21"/>
          <w:szCs w:val="21"/>
        </w:rPr>
      </w:pPr>
      <w:r>
        <w:rPr>
          <w:rFonts w:hint="eastAsia" w:hAnsi="宋体"/>
          <w:b/>
          <w:sz w:val="21"/>
          <w:szCs w:val="21"/>
        </w:rPr>
        <w:t>其中，报价文件组成要求的第（</w:t>
      </w:r>
      <w:r>
        <w:rPr>
          <w:rFonts w:hAnsi="宋体"/>
          <w:b/>
          <w:sz w:val="21"/>
          <w:szCs w:val="21"/>
        </w:rPr>
        <w:t>1</w:t>
      </w:r>
      <w:r>
        <w:rPr>
          <w:rFonts w:hint="eastAsia" w:hAnsi="宋体"/>
          <w:b/>
          <w:sz w:val="21"/>
          <w:szCs w:val="21"/>
        </w:rPr>
        <w:t>）～（</w:t>
      </w:r>
      <w:r>
        <w:rPr>
          <w:rFonts w:hAnsi="宋体"/>
          <w:b/>
          <w:sz w:val="21"/>
          <w:szCs w:val="21"/>
        </w:rPr>
        <w:t>2</w:t>
      </w:r>
      <w:r>
        <w:rPr>
          <w:rFonts w:hint="eastAsia" w:hAnsi="宋体"/>
          <w:b/>
          <w:sz w:val="21"/>
          <w:szCs w:val="21"/>
        </w:rPr>
        <w:t>）项必须提交；第（</w:t>
      </w:r>
      <w:r>
        <w:rPr>
          <w:rFonts w:hAnsi="宋体"/>
          <w:b/>
          <w:sz w:val="21"/>
          <w:szCs w:val="21"/>
        </w:rPr>
        <w:t>3</w:t>
      </w:r>
      <w:r>
        <w:rPr>
          <w:rFonts w:hint="eastAsia" w:hAnsi="宋体"/>
          <w:b/>
          <w:sz w:val="21"/>
          <w:szCs w:val="21"/>
        </w:rPr>
        <w:t>）（4）项如有请提交。</w:t>
      </w:r>
    </w:p>
    <w:p>
      <w:pPr>
        <w:pStyle w:val="14"/>
        <w:spacing w:line="440" w:lineRule="exact"/>
        <w:ind w:firstLine="360"/>
        <w:rPr>
          <w:rFonts w:hAnsi="宋体"/>
          <w:color w:val="auto"/>
          <w:highlight w:val="none"/>
        </w:rPr>
      </w:pPr>
      <w:r>
        <w:rPr>
          <w:rFonts w:hint="eastAsia" w:hAnsi="宋体"/>
          <w:color w:val="auto"/>
          <w:highlight w:val="none"/>
        </w:rPr>
        <w:t>10.1.2  资格文件组成要求，包括：</w:t>
      </w:r>
      <w:r>
        <w:rPr>
          <w:rFonts w:hint="eastAsia" w:hAnsi="宋体"/>
          <w:b/>
          <w:bCs/>
          <w:color w:val="auto"/>
          <w:highlight w:val="none"/>
        </w:rPr>
        <w:t xml:space="preserve"> </w:t>
      </w:r>
    </w:p>
    <w:p>
      <w:pPr>
        <w:pStyle w:val="14"/>
        <w:spacing w:line="440" w:lineRule="exact"/>
        <w:ind w:firstLine="735" w:firstLineChars="350"/>
        <w:rPr>
          <w:rFonts w:hint="eastAsia" w:hAnsi="宋体"/>
          <w:color w:val="auto"/>
          <w:kern w:val="0"/>
          <w:szCs w:val="22"/>
          <w:highlight w:val="none"/>
        </w:rPr>
      </w:pPr>
      <w:r>
        <w:rPr>
          <w:rFonts w:hint="eastAsia" w:hAnsi="宋体"/>
          <w:color w:val="auto"/>
          <w:highlight w:val="none"/>
        </w:rPr>
        <w:t>（1）信用声明函：</w:t>
      </w:r>
      <w:r>
        <w:rPr>
          <w:rFonts w:hint="eastAsia" w:hAnsi="宋体"/>
          <w:color w:val="auto"/>
          <w:kern w:val="0"/>
          <w:szCs w:val="22"/>
          <w:highlight w:val="none"/>
        </w:rPr>
        <w:t>按第五章“投标文件格式”提供的“</w:t>
      </w:r>
      <w:r>
        <w:rPr>
          <w:rFonts w:hint="eastAsia" w:hAnsi="宋体"/>
          <w:b/>
          <w:color w:val="auto"/>
          <w:kern w:val="0"/>
          <w:szCs w:val="22"/>
          <w:highlight w:val="none"/>
        </w:rPr>
        <w:t>信用声明函（格式）</w:t>
      </w:r>
      <w:r>
        <w:rPr>
          <w:rFonts w:hint="eastAsia" w:hAnsi="宋体"/>
          <w:color w:val="auto"/>
          <w:kern w:val="0"/>
          <w:szCs w:val="22"/>
          <w:highlight w:val="none"/>
        </w:rPr>
        <w:t>”的要求填写。对列入失信被执行人、重大税收违法案件当事人名单、政府采购严重违法失信行为记录名单的投标人，将被拒绝参与本项目政府采购活动。供应商为事业单位的，且在信用中国和中国政府采购网无查询信息的，需提供事业单位在线网(www.gjsy.gov.cn )信息公示截图页。</w:t>
      </w:r>
    </w:p>
    <w:p>
      <w:pPr>
        <w:pStyle w:val="14"/>
        <w:spacing w:line="440" w:lineRule="exact"/>
        <w:ind w:firstLine="720"/>
        <w:rPr>
          <w:rFonts w:hint="eastAsia" w:hAnsi="宋体"/>
          <w:color w:val="auto"/>
          <w:highlight w:val="none"/>
        </w:rPr>
      </w:pPr>
      <w:r>
        <w:rPr>
          <w:rFonts w:hint="eastAsia" w:hAnsi="宋体"/>
          <w:color w:val="auto"/>
          <w:highlight w:val="none"/>
        </w:rPr>
        <w:t>（2）根据本章第3.2项规定的投标人应具备的特定条件提供，包括含统一社会信用代码的营业执照（或事业单位法人证书）复印件（</w:t>
      </w:r>
      <w:r>
        <w:rPr>
          <w:rFonts w:hint="eastAsia"/>
          <w:color w:val="auto"/>
          <w:highlight w:val="none"/>
        </w:rPr>
        <w:t>投标人如为企业的，</w:t>
      </w:r>
      <w:r>
        <w:rPr>
          <w:rFonts w:hint="eastAsia" w:hAnsi="宋体"/>
          <w:color w:val="auto"/>
          <w:highlight w:val="none"/>
        </w:rPr>
        <w:t>要求证件有效并清晰反映企业法人）和投标人资格的其他证明文件复印件；</w:t>
      </w:r>
    </w:p>
    <w:p>
      <w:pPr>
        <w:widowControl/>
        <w:spacing w:line="360" w:lineRule="auto"/>
        <w:ind w:firstLine="735" w:firstLineChars="350"/>
        <w:jc w:val="left"/>
        <w:rPr>
          <w:rFonts w:hint="eastAsia" w:hAnsi="宋体"/>
          <w:color w:val="auto"/>
          <w:highlight w:val="none"/>
        </w:rPr>
      </w:pPr>
      <w:r>
        <w:rPr>
          <w:rFonts w:hint="eastAsia" w:hAnsi="宋体"/>
          <w:color w:val="auto"/>
          <w:highlight w:val="none"/>
        </w:rPr>
        <w:t>（3）法定代表人身份证复印件：如使用第二代身份证应提交正、反面复印件，如法定代表人非中国国籍应提交护照复印件，要求证件有效并与营业执照</w:t>
      </w:r>
      <w:r>
        <w:rPr>
          <w:rFonts w:hint="eastAsia"/>
          <w:color w:val="auto"/>
          <w:highlight w:val="none"/>
        </w:rPr>
        <w:t>或事业单位法人证</w:t>
      </w:r>
      <w:r>
        <w:rPr>
          <w:rFonts w:hint="eastAsia" w:hAnsi="宋体"/>
          <w:color w:val="auto"/>
          <w:highlight w:val="none"/>
        </w:rPr>
        <w:t>中的法定代表人相符；</w:t>
      </w:r>
    </w:p>
    <w:p>
      <w:pPr>
        <w:widowControl/>
        <w:spacing w:line="360" w:lineRule="auto"/>
        <w:ind w:firstLine="735" w:firstLineChars="350"/>
        <w:jc w:val="left"/>
        <w:rPr>
          <w:color w:val="auto"/>
          <w:highlight w:val="none"/>
        </w:rPr>
      </w:pPr>
      <w:r>
        <w:rPr>
          <w:rFonts w:hint="eastAsia" w:hAnsi="宋体"/>
          <w:color w:val="auto"/>
          <w:highlight w:val="none"/>
        </w:rPr>
        <w:t>（4）</w:t>
      </w:r>
      <w:r>
        <w:rPr>
          <w:rFonts w:hint="eastAsia"/>
          <w:color w:val="auto"/>
          <w:highlight w:val="none"/>
        </w:rPr>
        <w:t>投标人最近一个季度或近期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pPr>
        <w:pStyle w:val="14"/>
        <w:spacing w:line="440" w:lineRule="exact"/>
        <w:ind w:firstLine="720"/>
        <w:rPr>
          <w:rFonts w:hint="eastAsia" w:hAnsi="宋体"/>
          <w:color w:val="auto"/>
          <w:highlight w:val="none"/>
        </w:rPr>
      </w:pPr>
      <w:r>
        <w:rPr>
          <w:rFonts w:hint="eastAsia" w:hAnsi="宋体"/>
          <w:color w:val="auto"/>
          <w:highlight w:val="none"/>
        </w:rPr>
        <w:t>（5）</w:t>
      </w:r>
      <w:r>
        <w:rPr>
          <w:rFonts w:hint="eastAsia" w:hAnsi="宋体"/>
          <w:color w:val="auto"/>
          <w:szCs w:val="21"/>
          <w:highlight w:val="none"/>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Pr>
          <w:rFonts w:hint="eastAsia" w:hAnsi="宋体"/>
          <w:color w:val="auto"/>
          <w:highlight w:val="none"/>
        </w:rPr>
        <w:t>；</w:t>
      </w:r>
    </w:p>
    <w:p>
      <w:pPr>
        <w:pStyle w:val="14"/>
        <w:spacing w:line="440" w:lineRule="exact"/>
        <w:ind w:firstLine="720"/>
        <w:rPr>
          <w:rFonts w:hAnsi="宋体"/>
          <w:color w:val="auto"/>
          <w:highlight w:val="none"/>
        </w:rPr>
      </w:pPr>
      <w:r>
        <w:rPr>
          <w:rFonts w:hint="eastAsia" w:hAnsi="宋体"/>
          <w:color w:val="auto"/>
          <w:highlight w:val="none"/>
        </w:rPr>
        <w:t>（6）投标人201</w:t>
      </w:r>
      <w:r>
        <w:rPr>
          <w:rFonts w:hint="eastAsia" w:hAnsi="宋体"/>
          <w:color w:val="auto"/>
          <w:highlight w:val="none"/>
          <w:lang w:val="en-US" w:eastAsia="zh-CN"/>
        </w:rPr>
        <w:t>9</w:t>
      </w:r>
      <w:r>
        <w:rPr>
          <w:rFonts w:hint="eastAsia" w:hAnsi="宋体"/>
          <w:color w:val="auto"/>
          <w:highlight w:val="none"/>
        </w:rPr>
        <w:t>年财务状况报告。</w:t>
      </w:r>
    </w:p>
    <w:p>
      <w:pPr>
        <w:pStyle w:val="14"/>
        <w:spacing w:line="440" w:lineRule="exact"/>
        <w:ind w:firstLine="720"/>
        <w:rPr>
          <w:rFonts w:hAnsi="宋体"/>
          <w:color w:val="auto"/>
          <w:highlight w:val="none"/>
        </w:rPr>
      </w:pPr>
      <w:r>
        <w:rPr>
          <w:rFonts w:hint="eastAsia" w:hAnsi="宋体"/>
          <w:b/>
          <w:color w:val="auto"/>
          <w:highlight w:val="none"/>
        </w:rPr>
        <w:t>其中，资格文件组成要求的第（</w:t>
      </w:r>
      <w:r>
        <w:rPr>
          <w:rFonts w:hAnsi="宋体"/>
          <w:b/>
          <w:color w:val="auto"/>
          <w:highlight w:val="none"/>
        </w:rPr>
        <w:t>1</w:t>
      </w:r>
      <w:r>
        <w:rPr>
          <w:rFonts w:hint="eastAsia" w:hAnsi="宋体"/>
          <w:b/>
          <w:color w:val="auto"/>
          <w:highlight w:val="none"/>
        </w:rPr>
        <w:t>）～（6）项必须提交。</w:t>
      </w:r>
    </w:p>
    <w:p>
      <w:pPr>
        <w:pStyle w:val="14"/>
        <w:spacing w:line="440" w:lineRule="exact"/>
        <w:ind w:firstLine="360"/>
        <w:rPr>
          <w:rFonts w:hAnsi="宋体"/>
          <w:b/>
          <w:bCs/>
          <w:color w:val="auto"/>
          <w:highlight w:val="none"/>
        </w:rPr>
      </w:pPr>
      <w:r>
        <w:rPr>
          <w:rFonts w:hint="eastAsia" w:hAnsi="宋体"/>
          <w:color w:val="auto"/>
          <w:highlight w:val="none"/>
        </w:rPr>
        <w:t>10.1.3  技术文件组成要求，包括：</w:t>
      </w:r>
    </w:p>
    <w:p>
      <w:pPr>
        <w:pStyle w:val="14"/>
        <w:spacing w:line="440" w:lineRule="exact"/>
        <w:ind w:firstLine="720"/>
        <w:rPr>
          <w:rFonts w:hAnsi="宋体"/>
          <w:b/>
          <w:bCs/>
          <w:color w:val="auto"/>
          <w:highlight w:val="none"/>
        </w:rPr>
      </w:pPr>
      <w:r>
        <w:rPr>
          <w:rFonts w:hint="eastAsia" w:hAnsi="宋体"/>
          <w:color w:val="auto"/>
          <w:highlight w:val="none"/>
        </w:rPr>
        <w:t>（1）投标</w:t>
      </w:r>
      <w:r>
        <w:rPr>
          <w:rFonts w:hint="eastAsia" w:hAnsi="宋体"/>
          <w:color w:val="auto"/>
          <w:highlight w:val="none"/>
          <w:lang w:eastAsia="zh-CN"/>
        </w:rPr>
        <w:t>产品</w:t>
      </w:r>
      <w:r>
        <w:rPr>
          <w:rFonts w:hint="eastAsia" w:hAnsi="宋体"/>
          <w:color w:val="auto"/>
          <w:highlight w:val="none"/>
        </w:rPr>
        <w:t>技术资料表：按第五章“投标文件格式”提供的“投标</w:t>
      </w:r>
      <w:r>
        <w:rPr>
          <w:rFonts w:hint="eastAsia" w:hAnsi="宋体"/>
          <w:color w:val="auto"/>
          <w:highlight w:val="none"/>
          <w:lang w:eastAsia="zh-CN"/>
        </w:rPr>
        <w:t>产品</w:t>
      </w:r>
      <w:r>
        <w:rPr>
          <w:rFonts w:hint="eastAsia" w:hAnsi="宋体"/>
          <w:color w:val="auto"/>
          <w:highlight w:val="none"/>
        </w:rPr>
        <w:t>技术资料表（格式）”的要求填写；</w:t>
      </w:r>
    </w:p>
    <w:p>
      <w:pPr>
        <w:pStyle w:val="14"/>
        <w:spacing w:line="440" w:lineRule="exact"/>
        <w:ind w:firstLine="720"/>
        <w:rPr>
          <w:rFonts w:hAnsi="宋体"/>
          <w:b/>
          <w:bCs/>
          <w:color w:val="auto"/>
          <w:highlight w:val="none"/>
        </w:rPr>
      </w:pPr>
      <w:r>
        <w:rPr>
          <w:rFonts w:hint="eastAsia" w:hAnsi="宋体"/>
          <w:color w:val="auto"/>
          <w:highlight w:val="none"/>
        </w:rPr>
        <w:t>（2）其它：针对本项目所投标货物的主要技术指标、参数及性能的详细说明，相关的图纸、图片，产品有效检测报告和鉴定证明复印件，等等。</w:t>
      </w:r>
    </w:p>
    <w:p>
      <w:pPr>
        <w:pStyle w:val="14"/>
        <w:spacing w:line="440" w:lineRule="exact"/>
        <w:ind w:firstLine="738" w:firstLineChars="350"/>
        <w:rPr>
          <w:rFonts w:hAnsi="宋体"/>
          <w:b/>
          <w:color w:val="auto"/>
          <w:highlight w:val="none"/>
        </w:rPr>
      </w:pPr>
      <w:r>
        <w:rPr>
          <w:rFonts w:hint="eastAsia" w:hAnsi="宋体"/>
          <w:b/>
          <w:color w:val="auto"/>
          <w:highlight w:val="none"/>
        </w:rPr>
        <w:t>其中，技术文件组成要求的第（1）项必须提交；技术文件要求的第（2）项如有请提交。</w:t>
      </w:r>
    </w:p>
    <w:p>
      <w:pPr>
        <w:pStyle w:val="14"/>
        <w:spacing w:line="440" w:lineRule="exact"/>
        <w:ind w:firstLine="360"/>
        <w:rPr>
          <w:rFonts w:hAnsi="宋体"/>
          <w:color w:val="auto"/>
          <w:highlight w:val="none"/>
        </w:rPr>
      </w:pPr>
      <w:r>
        <w:rPr>
          <w:rFonts w:hint="eastAsia" w:hAnsi="宋体"/>
          <w:color w:val="auto"/>
          <w:highlight w:val="none"/>
        </w:rPr>
        <w:t>10.1.4  商务文件组成要求，包括：</w:t>
      </w:r>
      <w:r>
        <w:rPr>
          <w:rFonts w:hint="eastAsia" w:hAnsi="宋体"/>
          <w:b/>
          <w:bCs/>
          <w:color w:val="auto"/>
          <w:highlight w:val="none"/>
        </w:rPr>
        <w:t xml:space="preserve"> </w:t>
      </w:r>
    </w:p>
    <w:p>
      <w:pPr>
        <w:pStyle w:val="14"/>
        <w:spacing w:line="440" w:lineRule="exact"/>
        <w:ind w:firstLine="720"/>
        <w:rPr>
          <w:rFonts w:hAnsi="宋体"/>
          <w:color w:val="auto"/>
          <w:highlight w:val="none"/>
        </w:rPr>
      </w:pPr>
      <w:r>
        <w:rPr>
          <w:rFonts w:hint="eastAsia" w:hAnsi="宋体"/>
          <w:color w:val="auto"/>
          <w:highlight w:val="none"/>
        </w:rPr>
        <w:t>（1）售后服务承诺书：按第五章“投标文件格式”提供的“售后服务承诺书（格式）” 的要求填写；</w:t>
      </w:r>
    </w:p>
    <w:p>
      <w:pPr>
        <w:pStyle w:val="14"/>
        <w:spacing w:line="440" w:lineRule="exact"/>
        <w:ind w:firstLine="720"/>
        <w:rPr>
          <w:rFonts w:hAnsi="宋体"/>
          <w:color w:val="auto"/>
          <w:highlight w:val="none"/>
        </w:rPr>
      </w:pPr>
      <w:r>
        <w:rPr>
          <w:rFonts w:hint="eastAsia" w:hAnsi="宋体"/>
          <w:color w:val="auto"/>
          <w:highlight w:val="none"/>
        </w:rPr>
        <w:t>（2）商务条款偏离表：按第五章“投标文件格式”提供的“商务条款偏离表（格式）” 的要求填写；</w:t>
      </w:r>
    </w:p>
    <w:p>
      <w:pPr>
        <w:pStyle w:val="14"/>
        <w:spacing w:line="440" w:lineRule="exact"/>
        <w:ind w:firstLine="720"/>
        <w:rPr>
          <w:rFonts w:hAnsi="宋体"/>
          <w:color w:val="auto"/>
          <w:highlight w:val="none"/>
        </w:rPr>
      </w:pPr>
      <w:r>
        <w:rPr>
          <w:rFonts w:hint="eastAsia" w:hAnsi="宋体"/>
          <w:color w:val="auto"/>
          <w:highlight w:val="none"/>
        </w:rPr>
        <w:t>（3）法定代表人授权委托书：按第五章“投标文件格式”提供的“法定代表人授权委托书（格式）”的要求填写；</w:t>
      </w:r>
    </w:p>
    <w:p>
      <w:pPr>
        <w:pStyle w:val="14"/>
        <w:spacing w:line="440" w:lineRule="exact"/>
        <w:ind w:firstLine="720"/>
        <w:rPr>
          <w:color w:val="auto"/>
          <w:highlight w:val="none"/>
        </w:rPr>
      </w:pPr>
      <w:r>
        <w:rPr>
          <w:rFonts w:hint="eastAsia"/>
          <w:color w:val="auto"/>
          <w:highlight w:val="none"/>
        </w:rPr>
        <w:t>（4）委托代理人身份证复印件和社保缴费凭证复印件：如使用第二代身份证应提交正、反面复印件，如委托代理人非中国国籍应提交护照复印件，要求证件有效并与法定代表人授权委托书中的委托代理人相符；</w:t>
      </w:r>
      <w:r>
        <w:rPr>
          <w:rFonts w:hint="eastAsia" w:hAnsi="宋体"/>
          <w:color w:val="auto"/>
          <w:szCs w:val="21"/>
          <w:highlight w:val="none"/>
        </w:rPr>
        <w:t>社保缴费凭证应清晰反映人员身份和缴费的信息；</w:t>
      </w:r>
    </w:p>
    <w:p>
      <w:pPr>
        <w:pStyle w:val="14"/>
        <w:spacing w:line="440" w:lineRule="exact"/>
        <w:ind w:firstLine="720"/>
        <w:rPr>
          <w:rFonts w:hAnsi="宋体"/>
          <w:color w:val="auto"/>
          <w:highlight w:val="none"/>
        </w:rPr>
      </w:pPr>
      <w:r>
        <w:rPr>
          <w:rFonts w:hint="eastAsia" w:hAnsi="宋体"/>
          <w:color w:val="auto"/>
          <w:highlight w:val="none"/>
        </w:rPr>
        <w:t>（5）联合体协议书：按第五章“投标文件格式”提供的“联合体协议书（格式）”的要求填写，协议中应清晰载明联合体各方承担的工作和义务；</w:t>
      </w:r>
    </w:p>
    <w:p>
      <w:pPr>
        <w:pStyle w:val="14"/>
        <w:spacing w:line="440" w:lineRule="exact"/>
        <w:ind w:firstLine="720"/>
        <w:rPr>
          <w:rFonts w:hAnsi="宋体"/>
          <w:color w:val="auto"/>
          <w:highlight w:val="none"/>
        </w:rPr>
      </w:pPr>
      <w:r>
        <w:rPr>
          <w:rFonts w:hint="eastAsia" w:hAnsi="宋体"/>
          <w:color w:val="auto"/>
          <w:highlight w:val="none"/>
        </w:rPr>
        <w:t>（6）其它：投标人通过国家或国际认证资格证书复印件、银行出具的投标人资信证明或信用等级证明复印件、投标人近三年同类</w:t>
      </w:r>
      <w:r>
        <w:rPr>
          <w:rFonts w:hint="eastAsia" w:hAnsi="宋体"/>
          <w:color w:val="auto"/>
          <w:highlight w:val="none"/>
          <w:lang w:eastAsia="zh-CN"/>
        </w:rPr>
        <w:t>货物</w:t>
      </w:r>
      <w:r>
        <w:rPr>
          <w:rFonts w:hint="eastAsia" w:hAnsi="宋体"/>
          <w:color w:val="auto"/>
          <w:highlight w:val="none"/>
        </w:rPr>
        <w:t>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14"/>
        <w:spacing w:line="440" w:lineRule="exact"/>
        <w:rPr>
          <w:rFonts w:hAnsi="宋体"/>
          <w:color w:val="auto"/>
          <w:highlight w:val="none"/>
        </w:rPr>
      </w:pPr>
      <w:r>
        <w:rPr>
          <w:rFonts w:hint="eastAsia" w:hAnsi="宋体"/>
          <w:b/>
          <w:color w:val="auto"/>
          <w:highlight w:val="none"/>
        </w:rPr>
        <w:t xml:space="preserve">    商务文件中的第（1）～（2）项必须提交；第（3）、（4）项在委托代理时必须提交；第（5）项在联合体投标时必须提交；第（6）项如有请提交。</w:t>
      </w:r>
    </w:p>
    <w:p>
      <w:pPr>
        <w:pStyle w:val="14"/>
        <w:spacing w:line="440" w:lineRule="exact"/>
        <w:ind w:firstLine="360"/>
        <w:rPr>
          <w:rFonts w:hAnsi="宋体"/>
          <w:color w:val="auto"/>
          <w:highlight w:val="none"/>
        </w:rPr>
      </w:pPr>
      <w:r>
        <w:rPr>
          <w:rFonts w:hint="eastAsia" w:hAnsi="宋体"/>
          <w:color w:val="auto"/>
          <w:highlight w:val="none"/>
        </w:rPr>
        <w:t>10.2  投标人应编制目录，按上述顺序将报价文件、资格文件、技术文件和商务文件</w:t>
      </w:r>
      <w:r>
        <w:rPr>
          <w:rFonts w:hint="eastAsia" w:hAnsi="宋体"/>
          <w:b/>
          <w:color w:val="auto"/>
          <w:highlight w:val="none"/>
        </w:rPr>
        <w:t>分别单独装订成册</w:t>
      </w:r>
      <w:r>
        <w:rPr>
          <w:rFonts w:hint="eastAsia" w:hAnsi="宋体"/>
          <w:color w:val="auto"/>
          <w:highlight w:val="none"/>
        </w:rPr>
        <w:t>。</w:t>
      </w:r>
      <w:r>
        <w:rPr>
          <w:rFonts w:hint="eastAsia" w:hAnsi="宋体"/>
          <w:b/>
          <w:color w:val="auto"/>
          <w:highlight w:val="none"/>
        </w:rPr>
        <w:t>特别注意投标报价不得出现在技术文件和商务文件中。</w:t>
      </w:r>
    </w:p>
    <w:p>
      <w:pPr>
        <w:pStyle w:val="14"/>
        <w:spacing w:line="440" w:lineRule="exact"/>
        <w:rPr>
          <w:rFonts w:hAnsi="宋体"/>
          <w:bCs/>
          <w:color w:val="auto"/>
          <w:sz w:val="24"/>
          <w:highlight w:val="none"/>
        </w:rPr>
      </w:pPr>
      <w:r>
        <w:rPr>
          <w:rFonts w:hint="eastAsia" w:hAnsi="宋体"/>
          <w:bCs/>
          <w:color w:val="auto"/>
          <w:sz w:val="24"/>
          <w:highlight w:val="none"/>
        </w:rPr>
        <w:t>11.  投标报价</w:t>
      </w:r>
    </w:p>
    <w:p>
      <w:pPr>
        <w:pStyle w:val="14"/>
        <w:spacing w:line="440" w:lineRule="exact"/>
        <w:ind w:firstLine="360"/>
        <w:rPr>
          <w:rFonts w:hAnsi="宋体"/>
          <w:color w:val="auto"/>
          <w:highlight w:val="none"/>
        </w:rPr>
      </w:pPr>
      <w:r>
        <w:rPr>
          <w:rFonts w:hint="eastAsia" w:hAnsi="宋体"/>
          <w:color w:val="auto"/>
          <w:highlight w:val="none"/>
        </w:rPr>
        <w:t>11.1  投标人应以人民币报价。</w:t>
      </w:r>
    </w:p>
    <w:p>
      <w:pPr>
        <w:pStyle w:val="14"/>
        <w:spacing w:line="440" w:lineRule="exact"/>
        <w:ind w:firstLine="360"/>
        <w:rPr>
          <w:rFonts w:hAnsi="宋体"/>
          <w:color w:val="auto"/>
          <w:highlight w:val="none"/>
        </w:rPr>
      </w:pPr>
      <w:r>
        <w:rPr>
          <w:rFonts w:hint="eastAsia" w:hAnsi="宋体"/>
          <w:color w:val="auto"/>
          <w:highlight w:val="none"/>
        </w:rPr>
        <w:t>11.2  投标人须就第二章“</w:t>
      </w:r>
      <w:r>
        <w:rPr>
          <w:rFonts w:hint="eastAsia" w:hAnsi="宋体"/>
          <w:color w:val="auto"/>
          <w:highlight w:val="none"/>
          <w:lang w:eastAsia="zh-CN"/>
        </w:rPr>
        <w:t>货物</w:t>
      </w:r>
      <w:r>
        <w:rPr>
          <w:rFonts w:hint="eastAsia" w:hAnsi="宋体"/>
          <w:color w:val="auto"/>
          <w:highlight w:val="none"/>
        </w:rPr>
        <w:t>需求一览表”中的</w:t>
      </w:r>
      <w:r>
        <w:rPr>
          <w:rFonts w:hint="eastAsia" w:hAnsi="宋体"/>
          <w:b/>
          <w:color w:val="auto"/>
          <w:highlight w:val="none"/>
        </w:rPr>
        <w:t>所有内容报出完整且唯一报价，附带有条件的报价将不予接受。</w:t>
      </w:r>
    </w:p>
    <w:p>
      <w:pPr>
        <w:pStyle w:val="14"/>
        <w:spacing w:line="440" w:lineRule="exact"/>
        <w:ind w:firstLine="360"/>
        <w:rPr>
          <w:color w:val="auto"/>
          <w:highlight w:val="none"/>
        </w:rPr>
      </w:pPr>
      <w:r>
        <w:rPr>
          <w:rFonts w:hint="eastAsia" w:hAnsi="宋体"/>
          <w:color w:val="auto"/>
          <w:highlight w:val="none"/>
        </w:rPr>
        <w:t>11.3  投标报价为采购人指定地点的现场交货价，其组成部分详见第二章“</w:t>
      </w:r>
      <w:r>
        <w:rPr>
          <w:rFonts w:hint="eastAsia" w:hAnsi="宋体"/>
          <w:color w:val="auto"/>
          <w:highlight w:val="none"/>
          <w:lang w:eastAsia="zh-CN"/>
        </w:rPr>
        <w:t>货物</w:t>
      </w:r>
      <w:r>
        <w:rPr>
          <w:rFonts w:hint="eastAsia" w:hAnsi="宋体"/>
          <w:color w:val="auto"/>
          <w:highlight w:val="none"/>
        </w:rPr>
        <w:t>需求一览表”。</w:t>
      </w:r>
      <w:r>
        <w:rPr>
          <w:rFonts w:hint="eastAsia"/>
          <w:color w:val="auto"/>
          <w:highlight w:val="none"/>
        </w:rPr>
        <w:t>采购人</w:t>
      </w:r>
      <w:r>
        <w:rPr>
          <w:color w:val="auto"/>
          <w:highlight w:val="none"/>
        </w:rPr>
        <w:t>不再</w:t>
      </w:r>
      <w:r>
        <w:rPr>
          <w:rFonts w:hint="eastAsia"/>
          <w:color w:val="auto"/>
          <w:highlight w:val="none"/>
        </w:rPr>
        <w:t>向中标供应商</w:t>
      </w:r>
      <w:r>
        <w:rPr>
          <w:color w:val="auto"/>
          <w:highlight w:val="none"/>
        </w:rPr>
        <w:t>支付</w:t>
      </w:r>
      <w:r>
        <w:rPr>
          <w:rFonts w:hint="eastAsia"/>
          <w:color w:val="auto"/>
          <w:highlight w:val="none"/>
        </w:rPr>
        <w:t>其投标</w:t>
      </w:r>
      <w:r>
        <w:rPr>
          <w:color w:val="auto"/>
          <w:highlight w:val="none"/>
        </w:rPr>
        <w:t>报价之外的任何费用。</w:t>
      </w:r>
    </w:p>
    <w:p>
      <w:pPr>
        <w:pStyle w:val="14"/>
        <w:spacing w:line="440" w:lineRule="exact"/>
        <w:ind w:firstLine="360"/>
        <w:rPr>
          <w:color w:val="auto"/>
          <w:highlight w:val="none"/>
        </w:rPr>
      </w:pPr>
      <w:r>
        <w:rPr>
          <w:rFonts w:hint="eastAsia"/>
          <w:color w:val="auto"/>
          <w:highlight w:val="none"/>
        </w:rPr>
        <w:t>11.4  本项目的采购代理服务费见投标人须知前附表。</w:t>
      </w:r>
    </w:p>
    <w:p>
      <w:pPr>
        <w:pStyle w:val="14"/>
        <w:spacing w:line="440" w:lineRule="exact"/>
        <w:ind w:firstLine="360"/>
        <w:rPr>
          <w:color w:val="auto"/>
          <w:highlight w:val="none"/>
        </w:rPr>
      </w:pPr>
      <w:r>
        <w:rPr>
          <w:rFonts w:hint="eastAsia"/>
          <w:color w:val="auto"/>
          <w:highlight w:val="none"/>
        </w:rPr>
        <w:t>11.5  不论投标结果如何，投标人均应自行承担与编制和递交投标文件有关的全部费用。</w:t>
      </w:r>
    </w:p>
    <w:p>
      <w:pPr>
        <w:pStyle w:val="14"/>
        <w:spacing w:line="440" w:lineRule="exact"/>
        <w:rPr>
          <w:rFonts w:hAnsi="宋体"/>
          <w:bCs/>
          <w:color w:val="auto"/>
          <w:sz w:val="24"/>
          <w:highlight w:val="none"/>
        </w:rPr>
      </w:pPr>
      <w:r>
        <w:rPr>
          <w:rFonts w:hint="eastAsia" w:hAnsi="宋体"/>
          <w:bCs/>
          <w:color w:val="auto"/>
          <w:sz w:val="24"/>
          <w:highlight w:val="none"/>
        </w:rPr>
        <w:t>12.  投标有效期</w:t>
      </w:r>
    </w:p>
    <w:p>
      <w:pPr>
        <w:pStyle w:val="14"/>
        <w:spacing w:line="440" w:lineRule="exact"/>
        <w:ind w:firstLine="360"/>
        <w:rPr>
          <w:rFonts w:hAnsi="宋体"/>
          <w:bCs/>
          <w:color w:val="auto"/>
          <w:sz w:val="24"/>
          <w:highlight w:val="none"/>
        </w:rPr>
      </w:pPr>
      <w:r>
        <w:rPr>
          <w:rFonts w:hint="eastAsia" w:hAnsi="宋体"/>
          <w:color w:val="auto"/>
          <w:highlight w:val="none"/>
        </w:rPr>
        <w:t>12.1  在投标人须知前附表规定的投标有效期内，投标人不得要求撤销或修改其投标文件。</w:t>
      </w:r>
    </w:p>
    <w:p>
      <w:pPr>
        <w:pStyle w:val="14"/>
        <w:spacing w:line="440" w:lineRule="exact"/>
        <w:ind w:firstLine="360"/>
        <w:rPr>
          <w:rFonts w:hAnsi="宋体"/>
          <w:color w:val="auto"/>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14"/>
        <w:spacing w:line="440" w:lineRule="exact"/>
        <w:rPr>
          <w:rFonts w:hAnsi="宋体"/>
          <w:bCs/>
          <w:color w:val="auto"/>
          <w:sz w:val="24"/>
          <w:highlight w:val="none"/>
        </w:rPr>
      </w:pPr>
      <w:r>
        <w:rPr>
          <w:rFonts w:hint="eastAsia" w:hAnsi="宋体"/>
          <w:bCs/>
          <w:color w:val="auto"/>
          <w:sz w:val="24"/>
          <w:highlight w:val="none"/>
        </w:rPr>
        <w:t>13.  投标保证金</w:t>
      </w:r>
    </w:p>
    <w:p>
      <w:pPr>
        <w:pStyle w:val="14"/>
        <w:tabs>
          <w:tab w:val="left" w:pos="0"/>
        </w:tabs>
        <w:spacing w:line="440" w:lineRule="exact"/>
        <w:ind w:firstLine="359" w:firstLineChars="171"/>
        <w:rPr>
          <w:rFonts w:hAnsi="宋体"/>
          <w:color w:val="auto"/>
          <w:highlight w:val="none"/>
        </w:rPr>
      </w:pPr>
      <w:r>
        <w:rPr>
          <w:rFonts w:hint="eastAsia" w:hAnsi="宋体"/>
          <w:color w:val="auto"/>
          <w:highlight w:val="none"/>
        </w:rPr>
        <w:t>13.1根据南财采[2019]27号文的规定，本项目无需缴纳投标保证金。</w:t>
      </w:r>
    </w:p>
    <w:p>
      <w:pPr>
        <w:pStyle w:val="14"/>
        <w:spacing w:line="440" w:lineRule="exact"/>
        <w:jc w:val="center"/>
        <w:rPr>
          <w:rFonts w:hAnsi="宋体"/>
          <w:b/>
          <w:bCs/>
          <w:color w:val="auto"/>
          <w:highlight w:val="none"/>
        </w:rPr>
      </w:pPr>
    </w:p>
    <w:p>
      <w:pPr>
        <w:pStyle w:val="14"/>
        <w:jc w:val="center"/>
        <w:outlineLvl w:val="1"/>
        <w:rPr>
          <w:rFonts w:ascii="Times New Roman" w:hAnsi="Times New Roman"/>
          <w:b/>
          <w:color w:val="auto"/>
          <w:sz w:val="30"/>
          <w:szCs w:val="30"/>
          <w:highlight w:val="none"/>
        </w:rPr>
      </w:pPr>
      <w:bookmarkStart w:id="46" w:name="_Toc1654630"/>
      <w:r>
        <w:rPr>
          <w:rFonts w:hint="eastAsia" w:ascii="Times New Roman" w:hAnsi="Times New Roman"/>
          <w:b/>
          <w:color w:val="auto"/>
          <w:sz w:val="30"/>
          <w:szCs w:val="30"/>
          <w:highlight w:val="none"/>
        </w:rPr>
        <w:t>四    投标</w:t>
      </w:r>
      <w:bookmarkEnd w:id="46"/>
    </w:p>
    <w:p>
      <w:pPr>
        <w:pStyle w:val="14"/>
        <w:spacing w:line="440" w:lineRule="exact"/>
        <w:rPr>
          <w:rFonts w:hAnsi="宋体"/>
          <w:bCs/>
          <w:color w:val="auto"/>
          <w:sz w:val="24"/>
          <w:highlight w:val="none"/>
        </w:rPr>
      </w:pPr>
      <w:r>
        <w:rPr>
          <w:rFonts w:hint="eastAsia" w:hAnsi="宋体"/>
          <w:bCs/>
          <w:color w:val="auto"/>
          <w:sz w:val="24"/>
          <w:highlight w:val="none"/>
        </w:rPr>
        <w:t xml:space="preserve">14.  </w:t>
      </w:r>
      <w:r>
        <w:rPr>
          <w:rFonts w:hAnsi="宋体" w:cs="宋体"/>
          <w:bCs/>
          <w:sz w:val="24"/>
          <w:szCs w:val="24"/>
        </w:rPr>
        <w:t>投标文件的密封</w:t>
      </w:r>
    </w:p>
    <w:p>
      <w:pPr>
        <w:pStyle w:val="14"/>
        <w:spacing w:line="440" w:lineRule="exact"/>
        <w:ind w:firstLine="359" w:firstLineChars="171"/>
        <w:rPr>
          <w:rFonts w:hint="eastAsia" w:hAnsi="宋体"/>
          <w:color w:val="auto"/>
          <w:highlight w:val="none"/>
        </w:rPr>
      </w:pPr>
      <w:r>
        <w:rPr>
          <w:rFonts w:hint="eastAsia" w:hAnsi="宋体"/>
          <w:color w:val="auto"/>
          <w:highlight w:val="none"/>
        </w:rPr>
        <w:t>14.1  投标人应将投标正、副本文件进行密封包装。</w:t>
      </w:r>
    </w:p>
    <w:p>
      <w:pPr>
        <w:pStyle w:val="14"/>
        <w:spacing w:line="440" w:lineRule="exact"/>
        <w:ind w:firstLine="359" w:firstLineChars="171"/>
        <w:rPr>
          <w:rFonts w:hint="eastAsia" w:hAnsi="宋体"/>
          <w:color w:val="auto"/>
          <w:highlight w:val="none"/>
        </w:rPr>
      </w:pPr>
      <w:r>
        <w:rPr>
          <w:rFonts w:hint="eastAsia" w:hAnsi="宋体"/>
          <w:color w:val="auto"/>
          <w:highlight w:val="none"/>
        </w:rPr>
        <w:t>14.2  投标人投标截止时间：见投标人须知前附表。</w:t>
      </w:r>
    </w:p>
    <w:p>
      <w:pPr>
        <w:pStyle w:val="14"/>
        <w:spacing w:line="440" w:lineRule="exact"/>
        <w:ind w:firstLine="359" w:firstLineChars="171"/>
        <w:rPr>
          <w:rFonts w:hAnsi="宋体"/>
          <w:color w:val="auto"/>
          <w:highlight w:val="none"/>
        </w:rPr>
      </w:pPr>
      <w:r>
        <w:rPr>
          <w:rFonts w:hint="eastAsia" w:hAnsi="宋体"/>
          <w:color w:val="auto"/>
          <w:highlight w:val="none"/>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14"/>
        <w:spacing w:line="440" w:lineRule="exact"/>
        <w:ind w:firstLine="360"/>
        <w:rPr>
          <w:rFonts w:hAnsi="宋体"/>
          <w:color w:val="auto"/>
          <w:highlight w:val="none"/>
        </w:rPr>
      </w:pPr>
      <w:r>
        <w:rPr>
          <w:rFonts w:hint="eastAsia" w:hAnsi="宋体"/>
          <w:color w:val="auto"/>
          <w:highlight w:val="none"/>
        </w:rPr>
        <w:t>14.4  投标人递交投标文件地点：见投标人须知前附表。</w:t>
      </w:r>
    </w:p>
    <w:p>
      <w:pPr>
        <w:pStyle w:val="14"/>
        <w:spacing w:line="440" w:lineRule="exact"/>
        <w:ind w:firstLine="359" w:firstLineChars="171"/>
        <w:rPr>
          <w:rFonts w:hint="default" w:hAnsi="宋体"/>
          <w:color w:val="auto"/>
          <w:highlight w:val="none"/>
        </w:rPr>
      </w:pPr>
      <w:r>
        <w:rPr>
          <w:rFonts w:hint="eastAsia" w:hAnsi="宋体"/>
          <w:color w:val="auto"/>
          <w:highlight w:val="none"/>
        </w:rPr>
        <w:t>14.</w:t>
      </w:r>
      <w:r>
        <w:rPr>
          <w:rFonts w:hint="eastAsia" w:hAnsi="宋体"/>
          <w:color w:val="auto"/>
          <w:highlight w:val="none"/>
          <w:lang w:val="en-US" w:eastAsia="zh-CN"/>
        </w:rPr>
        <w:t>5</w:t>
      </w:r>
      <w:r>
        <w:rPr>
          <w:rFonts w:hint="eastAsia" w:hAnsi="宋体"/>
          <w:color w:val="auto"/>
          <w:highlight w:val="none"/>
        </w:rPr>
        <w:t xml:space="preserve">  投标人应将所有投标文件密封在一个外层包封中，在外层包封上标明“投标文件”。</w:t>
      </w:r>
    </w:p>
    <w:p>
      <w:pPr>
        <w:pStyle w:val="14"/>
        <w:spacing w:line="440" w:lineRule="exact"/>
        <w:ind w:firstLine="359" w:firstLineChars="171"/>
        <w:rPr>
          <w:rFonts w:hint="default" w:hAnsi="宋体"/>
          <w:color w:val="auto"/>
          <w:highlight w:val="none"/>
        </w:rPr>
      </w:pPr>
      <w:r>
        <w:rPr>
          <w:rFonts w:hint="eastAsia" w:hAnsi="宋体"/>
          <w:color w:val="auto"/>
          <w:highlight w:val="none"/>
        </w:rPr>
        <w:t>14.</w:t>
      </w:r>
      <w:r>
        <w:rPr>
          <w:rFonts w:hint="eastAsia" w:hAnsi="宋体"/>
          <w:color w:val="auto"/>
          <w:highlight w:val="none"/>
          <w:lang w:val="en-US" w:eastAsia="zh-CN"/>
        </w:rPr>
        <w:t>6</w:t>
      </w:r>
      <w:r>
        <w:rPr>
          <w:rFonts w:hint="eastAsia" w:hAnsi="宋体"/>
          <w:color w:val="auto"/>
          <w:highlight w:val="none"/>
        </w:rPr>
        <w:t xml:space="preserve"> 外层包封应写明项目名称、项目编号、采购人单位名称、投标人名称，并注明开标时间以前不得开封。</w:t>
      </w:r>
    </w:p>
    <w:p>
      <w:pPr>
        <w:pStyle w:val="14"/>
        <w:spacing w:line="440" w:lineRule="exact"/>
        <w:ind w:firstLine="359" w:firstLineChars="171"/>
        <w:rPr>
          <w:rFonts w:hint="default" w:hAnsi="宋体"/>
          <w:color w:val="auto"/>
          <w:highlight w:val="none"/>
        </w:rPr>
      </w:pPr>
      <w:r>
        <w:rPr>
          <w:rFonts w:hint="eastAsia" w:hAnsi="宋体"/>
          <w:color w:val="auto"/>
          <w:highlight w:val="none"/>
        </w:rPr>
        <w:t>14.</w:t>
      </w:r>
      <w:r>
        <w:rPr>
          <w:rFonts w:hint="eastAsia" w:hAnsi="宋体"/>
          <w:color w:val="auto"/>
          <w:highlight w:val="none"/>
          <w:lang w:val="en-US" w:eastAsia="zh-CN"/>
        </w:rPr>
        <w:t>7</w:t>
      </w:r>
      <w:r>
        <w:rPr>
          <w:rFonts w:hint="eastAsia" w:hAnsi="宋体"/>
          <w:color w:val="auto"/>
          <w:highlight w:val="none"/>
        </w:rPr>
        <w:t xml:space="preserve"> 如果外包封没有按照上述规定密封，招标代理单位将不承担投标文件错放或提前开封的责任。由此造成的提前开封的投标文件将予以拒绝，并退还给投标人。</w:t>
      </w:r>
    </w:p>
    <w:p>
      <w:pPr>
        <w:pStyle w:val="14"/>
        <w:spacing w:line="440" w:lineRule="exact"/>
        <w:ind w:firstLine="359" w:firstLineChars="171"/>
        <w:rPr>
          <w:rFonts w:hint="default" w:hAnsi="宋体"/>
          <w:color w:val="auto"/>
          <w:highlight w:val="none"/>
        </w:rPr>
      </w:pPr>
      <w:r>
        <w:rPr>
          <w:rFonts w:hint="eastAsia" w:hAnsi="宋体"/>
          <w:color w:val="auto"/>
          <w:highlight w:val="none"/>
        </w:rPr>
        <w:t>14.</w:t>
      </w:r>
      <w:r>
        <w:rPr>
          <w:rFonts w:hint="eastAsia" w:hAnsi="宋体"/>
          <w:color w:val="auto"/>
          <w:highlight w:val="none"/>
          <w:lang w:val="en-US" w:eastAsia="zh-CN"/>
        </w:rPr>
        <w:t>8</w:t>
      </w:r>
      <w:r>
        <w:rPr>
          <w:rFonts w:hint="eastAsia" w:hAnsi="宋体"/>
          <w:color w:val="auto"/>
          <w:highlight w:val="none"/>
        </w:rPr>
        <w:t xml:space="preserve"> 外层包封封口处应加盖密封章或单位公章，若封口处没有加盖密封章或公章或破损严重，招标代理单位将其拒收。</w:t>
      </w:r>
    </w:p>
    <w:p>
      <w:pPr>
        <w:pStyle w:val="14"/>
        <w:spacing w:line="440" w:lineRule="exact"/>
        <w:jc w:val="center"/>
        <w:rPr>
          <w:rFonts w:hAnsi="宋体"/>
          <w:color w:val="auto"/>
          <w:highlight w:val="none"/>
        </w:rPr>
      </w:pPr>
    </w:p>
    <w:p>
      <w:pPr>
        <w:pStyle w:val="14"/>
        <w:jc w:val="center"/>
        <w:outlineLvl w:val="1"/>
        <w:rPr>
          <w:rFonts w:ascii="Times New Roman" w:hAnsi="Times New Roman"/>
          <w:b/>
          <w:color w:val="auto"/>
          <w:sz w:val="30"/>
          <w:szCs w:val="30"/>
          <w:highlight w:val="none"/>
        </w:rPr>
      </w:pPr>
      <w:bookmarkStart w:id="47" w:name="_Toc1654631"/>
      <w:r>
        <w:rPr>
          <w:rFonts w:hint="eastAsia" w:ascii="Times New Roman" w:hAnsi="Times New Roman"/>
          <w:b/>
          <w:color w:val="auto"/>
          <w:sz w:val="30"/>
          <w:szCs w:val="30"/>
          <w:highlight w:val="none"/>
        </w:rPr>
        <w:t>五    开标与评标</w:t>
      </w:r>
      <w:bookmarkEnd w:id="47"/>
    </w:p>
    <w:p>
      <w:pPr>
        <w:pStyle w:val="14"/>
        <w:spacing w:line="440" w:lineRule="exact"/>
        <w:rPr>
          <w:rFonts w:hAnsi="宋体"/>
          <w:bCs/>
          <w:color w:val="auto"/>
          <w:sz w:val="24"/>
          <w:highlight w:val="none"/>
        </w:rPr>
      </w:pPr>
      <w:r>
        <w:rPr>
          <w:rFonts w:hint="eastAsia" w:hAnsi="宋体"/>
          <w:bCs/>
          <w:color w:val="auto"/>
          <w:sz w:val="24"/>
          <w:highlight w:val="none"/>
        </w:rPr>
        <w:t>15.  开标</w:t>
      </w:r>
    </w:p>
    <w:p>
      <w:pPr>
        <w:pStyle w:val="14"/>
        <w:spacing w:line="440" w:lineRule="exact"/>
        <w:ind w:firstLine="359" w:firstLineChars="171"/>
        <w:rPr>
          <w:rFonts w:hint="eastAsia" w:hAnsi="宋体"/>
          <w:color w:val="auto"/>
          <w:highlight w:val="none"/>
        </w:rPr>
      </w:pPr>
      <w:r>
        <w:rPr>
          <w:rFonts w:hint="eastAsia" w:hAnsi="宋体"/>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14"/>
        <w:spacing w:line="440" w:lineRule="exact"/>
        <w:ind w:firstLine="359" w:firstLineChars="171"/>
        <w:rPr>
          <w:rFonts w:hint="eastAsia" w:hAnsi="宋体"/>
          <w:color w:val="auto"/>
          <w:highlight w:val="none"/>
        </w:rPr>
      </w:pPr>
      <w:r>
        <w:rPr>
          <w:rFonts w:hint="eastAsia" w:hAnsi="宋体"/>
          <w:color w:val="auto"/>
          <w:highlight w:val="none"/>
        </w:rPr>
        <w:t>15.</w:t>
      </w:r>
      <w:r>
        <w:rPr>
          <w:rFonts w:hint="eastAsia" w:hAnsi="宋体"/>
          <w:color w:val="auto"/>
          <w:highlight w:val="none"/>
          <w:lang w:val="en-US" w:eastAsia="zh-CN"/>
        </w:rPr>
        <w:t>2</w:t>
      </w:r>
      <w:r>
        <w:rPr>
          <w:rFonts w:hint="eastAsia" w:hAnsi="宋体"/>
          <w:color w:val="auto"/>
          <w:highlight w:val="none"/>
        </w:rPr>
        <w:t xml:space="preserve"> 截标后由采购人或采购代理机构对投标人进行信用查询。</w:t>
      </w:r>
    </w:p>
    <w:p>
      <w:pPr>
        <w:pStyle w:val="14"/>
        <w:spacing w:line="440" w:lineRule="exact"/>
        <w:ind w:firstLine="359" w:firstLineChars="171"/>
        <w:rPr>
          <w:rFonts w:hint="eastAsia" w:hAnsi="宋体"/>
          <w:color w:val="auto"/>
          <w:highlight w:val="none"/>
        </w:rPr>
      </w:pPr>
      <w:r>
        <w:rPr>
          <w:rFonts w:hint="eastAsia" w:hAnsi="宋体"/>
          <w:color w:val="auto"/>
          <w:highlight w:val="none"/>
        </w:rPr>
        <w:t xml:space="preserve">查询渠道：“信用中国”网站（www.creditchina.gov.cn）、中国政府采购网（www.ccgp.gov.cn） </w:t>
      </w:r>
    </w:p>
    <w:p>
      <w:pPr>
        <w:pStyle w:val="14"/>
        <w:spacing w:line="440" w:lineRule="exact"/>
        <w:ind w:firstLine="359" w:firstLineChars="171"/>
        <w:rPr>
          <w:rFonts w:hint="eastAsia" w:hAnsi="宋体"/>
          <w:color w:val="auto"/>
          <w:highlight w:val="none"/>
        </w:rPr>
      </w:pPr>
      <w:r>
        <w:rPr>
          <w:rFonts w:hint="eastAsia" w:hAnsi="宋体"/>
          <w:color w:val="auto"/>
          <w:highlight w:val="none"/>
        </w:rPr>
        <w:t xml:space="preserve">查询截止时点：投标截止时间   </w:t>
      </w:r>
    </w:p>
    <w:p>
      <w:pPr>
        <w:pStyle w:val="14"/>
        <w:spacing w:line="440" w:lineRule="exact"/>
        <w:ind w:firstLine="359" w:firstLineChars="171"/>
        <w:rPr>
          <w:rFonts w:hint="eastAsia" w:hAnsi="宋体"/>
          <w:color w:val="auto"/>
          <w:highlight w:val="none"/>
        </w:rPr>
      </w:pPr>
      <w:r>
        <w:rPr>
          <w:rFonts w:hint="eastAsia" w:hAnsi="宋体"/>
          <w:color w:val="auto"/>
          <w:highlight w:val="none"/>
        </w:rPr>
        <w:t>查询记录和证据留存方式：在查询网站中直接打印查询记录，打印材料作为评审资料保存。</w:t>
      </w:r>
    </w:p>
    <w:p>
      <w:pPr>
        <w:pStyle w:val="14"/>
        <w:spacing w:line="440" w:lineRule="exact"/>
        <w:ind w:firstLine="359" w:firstLineChars="171"/>
        <w:rPr>
          <w:rFonts w:hint="eastAsia" w:hAnsi="宋体"/>
          <w:color w:val="auto"/>
          <w:highlight w:val="none"/>
        </w:rPr>
      </w:pPr>
      <w:r>
        <w:rPr>
          <w:rFonts w:hint="eastAsia" w:hAnsi="宋体"/>
          <w:color w:val="auto"/>
          <w:highlight w:val="none"/>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4"/>
        <w:spacing w:line="440" w:lineRule="exact"/>
        <w:ind w:firstLine="359" w:firstLineChars="171"/>
        <w:rPr>
          <w:rFonts w:hAnsi="宋体"/>
          <w:color w:val="auto"/>
          <w:highlight w:val="none"/>
        </w:rPr>
      </w:pPr>
      <w:r>
        <w:rPr>
          <w:rFonts w:hint="eastAsia" w:hAnsi="宋体"/>
          <w:color w:val="auto"/>
          <w:highlight w:val="none"/>
        </w:rPr>
        <w:t>15.</w:t>
      </w:r>
      <w:r>
        <w:rPr>
          <w:rFonts w:hint="eastAsia" w:hAnsi="宋体"/>
          <w:color w:val="auto"/>
          <w:highlight w:val="none"/>
          <w:lang w:val="en-US" w:eastAsia="zh-CN"/>
        </w:rPr>
        <w:t>3</w:t>
      </w:r>
      <w:r>
        <w:rPr>
          <w:rFonts w:hint="eastAsia" w:hAnsi="宋体"/>
          <w:color w:val="auto"/>
          <w:highlight w:val="none"/>
        </w:rPr>
        <w:t xml:space="preserve">  开标程序：</w:t>
      </w:r>
    </w:p>
    <w:p>
      <w:pPr>
        <w:pStyle w:val="14"/>
        <w:spacing w:line="440" w:lineRule="exact"/>
        <w:ind w:firstLine="720"/>
        <w:rPr>
          <w:rFonts w:hAnsi="宋体"/>
          <w:color w:val="auto"/>
          <w:highlight w:val="none"/>
        </w:rPr>
      </w:pPr>
      <w:r>
        <w:rPr>
          <w:rFonts w:hint="eastAsia" w:hAnsi="宋体"/>
          <w:color w:val="auto"/>
          <w:highlight w:val="none"/>
        </w:rPr>
        <w:t>（1）开标会由采购代理机构主持，主持人宣布开标会议开始，介绍开标现场相关人员；</w:t>
      </w:r>
    </w:p>
    <w:p>
      <w:pPr>
        <w:pStyle w:val="14"/>
        <w:spacing w:line="440" w:lineRule="exact"/>
        <w:ind w:firstLine="720"/>
        <w:rPr>
          <w:rFonts w:hAnsi="宋体"/>
          <w:color w:val="auto"/>
          <w:highlight w:val="none"/>
        </w:rPr>
      </w:pPr>
      <w:r>
        <w:rPr>
          <w:rFonts w:hint="eastAsia" w:hAnsi="宋体"/>
          <w:color w:val="auto"/>
          <w:highlight w:val="none"/>
        </w:rPr>
        <w:t>（2）公布在投标截止时间前递交投标文件的投标人名称，并点名确认投标人是否派人到场；</w:t>
      </w:r>
    </w:p>
    <w:p>
      <w:pPr>
        <w:pStyle w:val="14"/>
        <w:spacing w:line="440" w:lineRule="exact"/>
        <w:ind w:firstLine="720"/>
        <w:rPr>
          <w:rFonts w:hAnsi="宋体"/>
          <w:color w:val="auto"/>
          <w:highlight w:val="none"/>
        </w:rPr>
      </w:pPr>
      <w:r>
        <w:rPr>
          <w:rFonts w:hint="eastAsia" w:hAnsi="宋体"/>
          <w:color w:val="auto"/>
          <w:highlight w:val="none"/>
        </w:rPr>
        <w:t>（3）投标人代表按本章第14.1项的规定交叉检查投标文件的密封情况，并签字确认；</w:t>
      </w:r>
    </w:p>
    <w:p>
      <w:pPr>
        <w:pStyle w:val="14"/>
        <w:spacing w:line="440" w:lineRule="exact"/>
        <w:ind w:firstLine="720"/>
        <w:rPr>
          <w:rFonts w:hAnsi="宋体"/>
          <w:color w:val="auto"/>
          <w:highlight w:val="none"/>
        </w:rPr>
      </w:pPr>
      <w:r>
        <w:rPr>
          <w:rFonts w:hint="eastAsia" w:hAnsi="宋体"/>
          <w:color w:val="auto"/>
          <w:highlight w:val="none"/>
        </w:rPr>
        <w:t>（4）当众拆封投标文件，由唱标人宣读投标人名称、分标名称、投标文件正副本数量、投标报价、服务期限等以及采购代理机构认为有必要宣读的其他内容，开标过程由采购人或者采购代理机构负责记录，由参加开标的各投标人代表和相关工作人员签字确认后随招标文件一并存档。投标人不足3家的，不得开标；</w:t>
      </w:r>
    </w:p>
    <w:p>
      <w:pPr>
        <w:pStyle w:val="14"/>
        <w:spacing w:line="440" w:lineRule="exact"/>
        <w:ind w:firstLine="720"/>
        <w:rPr>
          <w:rFonts w:hAnsi="宋体"/>
          <w:color w:val="auto"/>
          <w:highlight w:val="none"/>
        </w:rPr>
      </w:pPr>
      <w:r>
        <w:rPr>
          <w:rFonts w:hint="eastAsia" w:hAnsi="宋体"/>
          <w:color w:val="auto"/>
          <w:highlight w:val="none"/>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pStyle w:val="14"/>
        <w:spacing w:line="440" w:lineRule="exact"/>
        <w:ind w:firstLine="720"/>
        <w:rPr>
          <w:rFonts w:hint="eastAsia" w:hAnsi="宋体"/>
          <w:color w:val="auto"/>
          <w:highlight w:val="none"/>
        </w:rPr>
      </w:pPr>
      <w:r>
        <w:rPr>
          <w:rFonts w:hint="eastAsia" w:hAnsi="宋体"/>
          <w:color w:val="auto"/>
          <w:highlight w:val="none"/>
        </w:rPr>
        <w:t>（6）投标人未参加开标的，视同认可开标结果；</w:t>
      </w:r>
    </w:p>
    <w:p>
      <w:pPr>
        <w:pStyle w:val="14"/>
        <w:spacing w:line="440" w:lineRule="exact"/>
        <w:ind w:firstLine="720"/>
        <w:rPr>
          <w:rFonts w:hint="eastAsia" w:hAnsi="宋体"/>
          <w:color w:val="auto"/>
          <w:highlight w:val="none"/>
        </w:rPr>
      </w:pPr>
      <w:r>
        <w:rPr>
          <w:rFonts w:hint="eastAsia" w:hAnsi="宋体"/>
          <w:color w:val="auto"/>
          <w:highlight w:val="none"/>
        </w:rPr>
        <w:t>（7）开标结束。</w:t>
      </w:r>
    </w:p>
    <w:p>
      <w:pPr>
        <w:pStyle w:val="14"/>
        <w:spacing w:line="440" w:lineRule="exact"/>
        <w:ind w:firstLine="720"/>
        <w:rPr>
          <w:rFonts w:hint="eastAsia" w:hAnsi="宋体"/>
          <w:color w:val="auto"/>
          <w:highlight w:val="none"/>
        </w:rPr>
      </w:pPr>
    </w:p>
    <w:p>
      <w:pPr>
        <w:pStyle w:val="14"/>
        <w:spacing w:line="440" w:lineRule="exact"/>
        <w:rPr>
          <w:rFonts w:hAnsi="宋体"/>
          <w:bCs/>
          <w:color w:val="auto"/>
          <w:sz w:val="24"/>
          <w:highlight w:val="none"/>
        </w:rPr>
      </w:pPr>
      <w:r>
        <w:rPr>
          <w:rFonts w:hint="eastAsia" w:hAnsi="宋体"/>
          <w:bCs/>
          <w:color w:val="auto"/>
          <w:sz w:val="24"/>
          <w:highlight w:val="none"/>
        </w:rPr>
        <w:t>16.  资格审查</w:t>
      </w:r>
    </w:p>
    <w:p>
      <w:pPr>
        <w:pStyle w:val="14"/>
        <w:spacing w:line="440" w:lineRule="exact"/>
        <w:ind w:firstLine="420" w:firstLineChars="200"/>
        <w:rPr>
          <w:rFonts w:hint="eastAsia" w:hAnsi="宋体"/>
          <w:bCs/>
          <w:color w:val="auto"/>
          <w:highlight w:val="none"/>
        </w:rPr>
      </w:pPr>
      <w:r>
        <w:rPr>
          <w:rFonts w:hint="eastAsia" w:hAnsi="宋体"/>
          <w:color w:val="auto"/>
          <w:highlight w:val="none"/>
        </w:rPr>
        <w:t>16.1 资格性审查：公开招标采购项目开标结束后，采购人负责对投标人的资格进行审查，以确定投标供应商是否具备投标资格。合格投标人不足3家的，不得评标。</w:t>
      </w:r>
    </w:p>
    <w:p>
      <w:pPr>
        <w:pStyle w:val="14"/>
        <w:spacing w:line="440" w:lineRule="exact"/>
        <w:rPr>
          <w:rFonts w:hAnsi="宋体"/>
          <w:bCs/>
          <w:color w:val="auto"/>
          <w:sz w:val="24"/>
          <w:highlight w:val="none"/>
        </w:rPr>
      </w:pPr>
      <w:r>
        <w:rPr>
          <w:rFonts w:hint="eastAsia" w:hAnsi="宋体"/>
          <w:bCs/>
          <w:color w:val="auto"/>
          <w:sz w:val="24"/>
          <w:highlight w:val="none"/>
        </w:rPr>
        <w:t>17.  评标</w:t>
      </w:r>
    </w:p>
    <w:p>
      <w:pPr>
        <w:pStyle w:val="14"/>
        <w:spacing w:line="440" w:lineRule="exact"/>
        <w:ind w:firstLine="360"/>
        <w:rPr>
          <w:rFonts w:hAnsi="宋体"/>
          <w:color w:val="auto"/>
          <w:highlight w:val="none"/>
        </w:rPr>
      </w:pPr>
      <w:r>
        <w:rPr>
          <w:rFonts w:hint="eastAsia" w:hAnsi="宋体"/>
          <w:bCs/>
          <w:color w:val="auto"/>
          <w:highlight w:val="none"/>
        </w:rPr>
        <w:t xml:space="preserve">17.1 </w:t>
      </w:r>
      <w:r>
        <w:rPr>
          <w:rFonts w:hint="eastAsia" w:hAnsi="宋体"/>
          <w:color w:val="auto"/>
          <w:highlight w:val="none"/>
        </w:rPr>
        <w:t>评标委员会由采购人代表和评审专家组成</w:t>
      </w:r>
      <w:r>
        <w:rPr>
          <w:rFonts w:hint="eastAsia" w:hAnsi="宋体"/>
          <w:bCs/>
          <w:color w:val="auto"/>
          <w:highlight w:val="none"/>
        </w:rPr>
        <w:t>。采购人或采购代理机构根据本项目的特点，从财政部门设立的政府采购评审专家库中，通过随机方式抽取专家，</w:t>
      </w:r>
      <w:r>
        <w:rPr>
          <w:rFonts w:hint="eastAsia" w:hAnsi="宋体"/>
          <w:color w:val="auto"/>
          <w:highlight w:val="none"/>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14"/>
        <w:spacing w:line="440" w:lineRule="exact"/>
        <w:ind w:firstLine="360"/>
        <w:rPr>
          <w:rFonts w:hAnsi="宋体"/>
          <w:color w:val="auto"/>
          <w:highlight w:val="none"/>
        </w:rPr>
      </w:pPr>
      <w:r>
        <w:rPr>
          <w:rFonts w:hint="eastAsia"/>
          <w:color w:val="auto"/>
          <w:highlight w:val="none"/>
        </w:rPr>
        <w:t>17.2  评标原则：评标活动遵循公平、公正、科学和择优的原则。</w:t>
      </w:r>
    </w:p>
    <w:p>
      <w:pPr>
        <w:pStyle w:val="14"/>
        <w:spacing w:line="440" w:lineRule="exact"/>
        <w:ind w:firstLine="360"/>
        <w:rPr>
          <w:rFonts w:hAnsi="宋体"/>
          <w:color w:val="auto"/>
          <w:highlight w:val="none"/>
        </w:rPr>
      </w:pPr>
      <w:r>
        <w:rPr>
          <w:rFonts w:hint="eastAsia" w:hAnsi="宋体"/>
          <w:color w:val="auto"/>
          <w:highlight w:val="none"/>
        </w:rPr>
        <w:t>17.3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4"/>
        <w:spacing w:line="440" w:lineRule="exact"/>
        <w:ind w:firstLine="360"/>
        <w:rPr>
          <w:rFonts w:hAnsi="宋体"/>
          <w:bCs/>
          <w:color w:val="auto"/>
          <w:highlight w:val="none"/>
        </w:rPr>
      </w:pPr>
      <w:r>
        <w:rPr>
          <w:rFonts w:hint="eastAsia" w:hAnsi="宋体"/>
          <w:color w:val="auto"/>
          <w:highlight w:val="none"/>
        </w:rPr>
        <w:t xml:space="preserve">17.4  </w:t>
      </w:r>
      <w:r>
        <w:rPr>
          <w:rFonts w:hint="eastAsia" w:hAnsi="宋体"/>
          <w:bCs/>
          <w:color w:val="auto"/>
          <w:highlight w:val="none"/>
        </w:rPr>
        <w:t>评标程序：</w:t>
      </w:r>
    </w:p>
    <w:p>
      <w:pPr>
        <w:pStyle w:val="14"/>
        <w:spacing w:line="440" w:lineRule="exact"/>
        <w:ind w:firstLine="360"/>
        <w:rPr>
          <w:rFonts w:hAnsi="宋体"/>
          <w:bCs/>
          <w:color w:val="auto"/>
          <w:highlight w:val="none"/>
        </w:rPr>
      </w:pPr>
      <w:r>
        <w:rPr>
          <w:rFonts w:hint="eastAsia" w:hAnsi="宋体"/>
          <w:bCs/>
          <w:color w:val="auto"/>
          <w:highlight w:val="none"/>
        </w:rPr>
        <w:t>17.4.1  采购代理机构项目负责人宣读评标现场纪律要求，集中管理通讯工具，询问在场人员是否申请回避；</w:t>
      </w:r>
    </w:p>
    <w:p>
      <w:pPr>
        <w:pStyle w:val="14"/>
        <w:spacing w:line="440" w:lineRule="exact"/>
        <w:ind w:firstLine="360"/>
        <w:rPr>
          <w:rFonts w:hAnsi="宋体"/>
          <w:bCs/>
          <w:color w:val="auto"/>
          <w:highlight w:val="none"/>
        </w:rPr>
      </w:pPr>
      <w:r>
        <w:rPr>
          <w:rFonts w:hint="eastAsia" w:hAnsi="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14"/>
        <w:spacing w:line="440" w:lineRule="exact"/>
        <w:ind w:firstLine="360"/>
        <w:rPr>
          <w:rFonts w:hint="eastAsia" w:hAnsi="宋体"/>
          <w:bCs/>
          <w:color w:val="auto"/>
          <w:highlight w:val="none"/>
        </w:rPr>
      </w:pPr>
      <w:r>
        <w:rPr>
          <w:rFonts w:hint="eastAsia" w:hAnsi="宋体"/>
          <w:bCs/>
          <w:color w:val="auto"/>
          <w:highlight w:val="none"/>
        </w:rPr>
        <w:t>17.4.3  评标委员会开展评标工作：</w:t>
      </w:r>
    </w:p>
    <w:p>
      <w:pPr>
        <w:pStyle w:val="14"/>
        <w:spacing w:line="440" w:lineRule="exact"/>
        <w:ind w:firstLine="360"/>
        <w:rPr>
          <w:rFonts w:hint="eastAsia" w:hAnsi="宋体"/>
          <w:bCs/>
          <w:color w:val="auto"/>
          <w:highlight w:val="none"/>
        </w:rPr>
      </w:pPr>
      <w:r>
        <w:rPr>
          <w:rFonts w:hint="eastAsia" w:hAnsi="宋体"/>
          <w:bCs/>
          <w:color w:val="auto"/>
          <w:highlight w:val="none"/>
        </w:rPr>
        <w:t>17.4.3.1投标文件初审。</w:t>
      </w:r>
      <w:r>
        <w:rPr>
          <w:rFonts w:hint="eastAsia" w:hAnsi="宋体"/>
          <w:color w:val="auto"/>
          <w:highlight w:val="none"/>
        </w:rPr>
        <w:t>符合性检查：依据招标文件的规定，从投标文件的有效性、完整性和对招标文件的响应程度进行审查，以确定是否对招标文件的实质性要求和条件作出响应。</w:t>
      </w:r>
    </w:p>
    <w:p>
      <w:pPr>
        <w:pStyle w:val="14"/>
        <w:spacing w:line="440" w:lineRule="exact"/>
        <w:ind w:firstLine="718" w:firstLineChars="342"/>
        <w:rPr>
          <w:rFonts w:hAnsi="宋体"/>
          <w:color w:val="auto"/>
          <w:szCs w:val="22"/>
          <w:highlight w:val="none"/>
        </w:rPr>
      </w:pPr>
      <w:r>
        <w:rPr>
          <w:rFonts w:hint="eastAsia" w:hAnsi="宋体"/>
          <w:bCs/>
          <w:color w:val="auto"/>
          <w:highlight w:val="none"/>
        </w:rPr>
        <w:t>（1）</w:t>
      </w:r>
      <w:r>
        <w:rPr>
          <w:rFonts w:hint="eastAsia" w:hAnsi="宋体"/>
          <w:color w:val="auto"/>
          <w:highlight w:val="none"/>
        </w:rPr>
        <w:t>有</w:t>
      </w:r>
      <w:r>
        <w:rPr>
          <w:rFonts w:hint="eastAsia" w:hAnsi="宋体"/>
          <w:color w:val="auto"/>
          <w:szCs w:val="22"/>
          <w:highlight w:val="none"/>
        </w:rPr>
        <w:t>下列情形之一的视为投标人相互串通投标，投标文件将被视为无效。</w:t>
      </w:r>
    </w:p>
    <w:p>
      <w:pPr>
        <w:widowControl/>
        <w:spacing w:line="440" w:lineRule="exact"/>
        <w:ind w:firstLine="640"/>
        <w:jc w:val="left"/>
        <w:rPr>
          <w:rFonts w:hint="eastAsia" w:ascii="宋体" w:hAnsi="宋体"/>
          <w:color w:val="auto"/>
          <w:szCs w:val="22"/>
          <w:highlight w:val="none"/>
        </w:rPr>
      </w:pPr>
      <w:r>
        <w:rPr>
          <w:rFonts w:hint="eastAsia" w:ascii="宋体" w:hAnsi="宋体"/>
          <w:color w:val="auto"/>
          <w:highlight w:val="none"/>
        </w:rPr>
        <w:t>①不同投标人的投标文件由同一单位或者个人编制；</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hint="eastAsia" w:ascii="宋体" w:hAnsi="宋体"/>
          <w:color w:val="auto"/>
          <w:highlight w:val="none"/>
        </w:rPr>
      </w:pPr>
      <w:r>
        <w:rPr>
          <w:rFonts w:hint="eastAsia" w:hAnsi="宋体"/>
          <w:bCs/>
          <w:color w:val="auto"/>
          <w:highlight w:val="none"/>
        </w:rPr>
        <w:t>（2）</w:t>
      </w:r>
      <w:r>
        <w:rPr>
          <w:rFonts w:hint="eastAsia" w:ascii="宋体" w:hAnsi="宋体"/>
          <w:color w:val="auto"/>
          <w:highlight w:val="none"/>
        </w:rPr>
        <w:t>关联供应商不得参加同一合同项下政府采购活动，否则投标文件将被视为无效</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①单位负责人为同一人或者存在直接控股、管理关系的不同的供应商，不得参加同一合同项下的政府采购活动；</w:t>
      </w:r>
    </w:p>
    <w:p>
      <w:pPr>
        <w:widowControl/>
        <w:spacing w:line="440" w:lineRule="exact"/>
        <w:ind w:firstLine="640"/>
        <w:jc w:val="left"/>
        <w:rPr>
          <w:rFonts w:hint="eastAsia" w:ascii="宋体" w:hAnsi="宋体"/>
          <w:color w:val="auto"/>
          <w:highlight w:val="none"/>
        </w:rPr>
      </w:pPr>
      <w:r>
        <w:rPr>
          <w:rFonts w:hint="eastAsia" w:ascii="宋体" w:hAnsi="宋体"/>
          <w:color w:val="auto"/>
          <w:highlight w:val="none"/>
        </w:rPr>
        <w:t>②生产厂商授权给供应商后自己不得参加同一合同项下的政府采购活动；生产厂商对同一品牌同一型号的货物，仅能委托一个代理商参加投标。</w:t>
      </w:r>
    </w:p>
    <w:p>
      <w:pPr>
        <w:pStyle w:val="14"/>
        <w:spacing w:line="440" w:lineRule="exact"/>
        <w:ind w:firstLine="420" w:firstLineChars="200"/>
        <w:rPr>
          <w:rFonts w:hint="eastAsia" w:hAnsi="宋体"/>
          <w:color w:val="auto"/>
          <w:highlight w:val="none"/>
        </w:rPr>
      </w:pPr>
      <w:r>
        <w:rPr>
          <w:rFonts w:hint="eastAsia" w:hAnsi="宋体"/>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4"/>
        <w:spacing w:line="440" w:lineRule="exact"/>
        <w:ind w:firstLine="420" w:firstLineChars="200"/>
        <w:rPr>
          <w:rFonts w:hAnsi="宋体"/>
          <w:color w:val="auto"/>
          <w:highlight w:val="none"/>
        </w:rPr>
      </w:pPr>
      <w:r>
        <w:rPr>
          <w:rFonts w:hint="eastAsia" w:hAnsi="宋体"/>
          <w:color w:val="auto"/>
          <w:highlight w:val="none"/>
        </w:rPr>
        <w:t>17.4.3.3比较与评价。按招标文件中规定的评标方法和标准，对资格性检查和符合性检查合格的投标文件进行商务和技术评估，综合比较与评价。</w:t>
      </w:r>
    </w:p>
    <w:p>
      <w:pPr>
        <w:widowControl/>
        <w:spacing w:line="440" w:lineRule="exact"/>
        <w:ind w:firstLine="420" w:firstLineChars="200"/>
        <w:jc w:val="left"/>
        <w:rPr>
          <w:rFonts w:hint="eastAsia" w:ascii="宋体" w:hAnsi="宋体"/>
          <w:color w:val="auto"/>
          <w:highlight w:val="none"/>
        </w:rPr>
      </w:pPr>
      <w:r>
        <w:rPr>
          <w:rFonts w:hint="eastAsia" w:ascii="宋体" w:hAnsi="宋体"/>
          <w:color w:val="auto"/>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ascii="宋体" w:hAnsi="宋体"/>
          <w:color w:val="auto"/>
          <w:highlight w:val="none"/>
        </w:rPr>
      </w:pPr>
      <w:r>
        <w:rPr>
          <w:rFonts w:hint="eastAsia" w:ascii="宋体" w:hAnsi="宋体"/>
          <w:color w:val="auto"/>
          <w:highlight w:val="none"/>
        </w:rPr>
        <w:t>17.4.3.5</w:t>
      </w:r>
      <w:r>
        <w:rPr>
          <w:rFonts w:hAnsi="宋体"/>
          <w:color w:val="auto"/>
          <w:highlight w:val="none"/>
        </w:rPr>
        <w:t>编写评标报告</w:t>
      </w:r>
      <w:r>
        <w:rPr>
          <w:rFonts w:hint="eastAsia" w:hAnsi="宋体"/>
          <w:color w:val="auto"/>
          <w:highlight w:val="none"/>
        </w:rPr>
        <w:t>，并确定中标供应商名单。</w:t>
      </w:r>
    </w:p>
    <w:p>
      <w:pPr>
        <w:pStyle w:val="14"/>
        <w:spacing w:line="440" w:lineRule="exact"/>
        <w:ind w:firstLine="360"/>
        <w:rPr>
          <w:rFonts w:hAnsi="宋体"/>
          <w:bCs/>
          <w:color w:val="auto"/>
          <w:highlight w:val="none"/>
        </w:rPr>
      </w:pPr>
      <w:r>
        <w:rPr>
          <w:rFonts w:hint="eastAsia" w:hAnsi="宋体"/>
          <w:color w:val="auto"/>
          <w:highlight w:val="none"/>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r>
        <w:rPr>
          <w:rFonts w:hAnsi="宋体"/>
          <w:color w:val="auto"/>
          <w:highlight w:val="none"/>
        </w:rPr>
        <w:t>。</w:t>
      </w:r>
    </w:p>
    <w:p>
      <w:pPr>
        <w:pStyle w:val="14"/>
        <w:spacing w:line="440" w:lineRule="exact"/>
        <w:ind w:firstLine="359" w:firstLineChars="171"/>
        <w:rPr>
          <w:rFonts w:hAnsi="宋体"/>
          <w:color w:val="auto"/>
          <w:highlight w:val="none"/>
        </w:rPr>
      </w:pPr>
      <w:r>
        <w:rPr>
          <w:rFonts w:hint="eastAsia" w:hAnsi="宋体"/>
          <w:color w:val="auto"/>
          <w:highlight w:val="none"/>
        </w:rPr>
        <w:t>17.5  在确定中标供应商前，采购人或采购代理机构不得与投标供应商就投标价格、投标方案等实质性内容进行谈判。</w:t>
      </w:r>
    </w:p>
    <w:p>
      <w:pPr>
        <w:pStyle w:val="14"/>
        <w:spacing w:line="440" w:lineRule="exact"/>
        <w:ind w:firstLine="359" w:firstLineChars="171"/>
        <w:rPr>
          <w:rFonts w:hAnsi="宋体"/>
          <w:color w:val="auto"/>
          <w:highlight w:val="none"/>
        </w:rPr>
      </w:pPr>
      <w:r>
        <w:rPr>
          <w:rFonts w:hint="eastAsia" w:hAnsi="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4"/>
        <w:spacing w:line="440" w:lineRule="exact"/>
        <w:rPr>
          <w:bCs/>
          <w:color w:val="auto"/>
          <w:sz w:val="24"/>
          <w:highlight w:val="none"/>
        </w:rPr>
      </w:pPr>
      <w:r>
        <w:rPr>
          <w:rFonts w:hint="eastAsia"/>
          <w:bCs/>
          <w:color w:val="auto"/>
          <w:sz w:val="24"/>
          <w:highlight w:val="none"/>
        </w:rPr>
        <w:t>18.  投标文件的修正</w:t>
      </w:r>
    </w:p>
    <w:p>
      <w:pPr>
        <w:pStyle w:val="14"/>
        <w:spacing w:line="440" w:lineRule="exact"/>
        <w:ind w:firstLine="420" w:firstLineChars="200"/>
        <w:rPr>
          <w:rFonts w:hint="eastAsia" w:hAnsi="宋体"/>
          <w:color w:val="auto"/>
          <w:highlight w:val="none"/>
        </w:rPr>
      </w:pPr>
      <w:r>
        <w:rPr>
          <w:rFonts w:hint="eastAsia" w:hAnsi="宋体"/>
          <w:color w:val="auto"/>
          <w:highlight w:val="none"/>
        </w:rPr>
        <w:t>18.1  投标文件报价出现前后不一致的，修正的原则如下：</w:t>
      </w:r>
    </w:p>
    <w:p>
      <w:pPr>
        <w:pStyle w:val="14"/>
        <w:spacing w:line="440" w:lineRule="exact"/>
        <w:ind w:firstLine="420" w:firstLineChars="200"/>
        <w:rPr>
          <w:rFonts w:hint="eastAsia"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4"/>
        <w:spacing w:line="440" w:lineRule="exact"/>
        <w:ind w:firstLine="420" w:firstLineChars="200"/>
        <w:rPr>
          <w:rFonts w:hint="eastAsia" w:hAnsi="宋体"/>
          <w:color w:val="auto"/>
          <w:highlight w:val="none"/>
        </w:rPr>
      </w:pPr>
      <w:r>
        <w:rPr>
          <w:rFonts w:hint="eastAsia" w:hAnsi="宋体"/>
          <w:color w:val="auto"/>
          <w:highlight w:val="none"/>
        </w:rPr>
        <w:t>（2）大写金额和小写金额不一致的，以大写金额为准；</w:t>
      </w:r>
    </w:p>
    <w:p>
      <w:pPr>
        <w:pStyle w:val="14"/>
        <w:spacing w:line="440" w:lineRule="exact"/>
        <w:ind w:firstLine="525" w:firstLineChars="250"/>
        <w:rPr>
          <w:rFonts w:hint="eastAsia" w:hAnsi="宋体"/>
          <w:color w:val="auto"/>
          <w:highlight w:val="none"/>
        </w:rPr>
      </w:pPr>
      <w:r>
        <w:rPr>
          <w:rFonts w:hint="eastAsia" w:hAnsi="宋体"/>
          <w:color w:val="auto"/>
          <w:highlight w:val="none"/>
        </w:rPr>
        <w:t>（3）单价金额小数点或者百分比有明显错位的，以开标一览表的总价为准，并修改单价；</w:t>
      </w:r>
    </w:p>
    <w:p>
      <w:pPr>
        <w:pStyle w:val="14"/>
        <w:spacing w:line="440" w:lineRule="exact"/>
        <w:ind w:firstLine="525" w:firstLineChars="250"/>
        <w:rPr>
          <w:rFonts w:hint="eastAsia" w:hAnsi="宋体"/>
          <w:color w:val="auto"/>
          <w:highlight w:val="none"/>
        </w:rPr>
      </w:pPr>
      <w:r>
        <w:rPr>
          <w:rFonts w:hint="eastAsia" w:hAnsi="宋体"/>
          <w:color w:val="auto"/>
          <w:highlight w:val="none"/>
        </w:rPr>
        <w:t>（4）总价金额与按单价汇总金额不一致的，以单价金额计算结果为准。</w:t>
      </w:r>
    </w:p>
    <w:p>
      <w:pPr>
        <w:pStyle w:val="14"/>
        <w:spacing w:line="440" w:lineRule="exact"/>
        <w:ind w:firstLine="525" w:firstLineChars="250"/>
        <w:rPr>
          <w:rFonts w:hAnsi="宋体"/>
          <w:bCs/>
          <w:color w:val="auto"/>
          <w:sz w:val="24"/>
          <w:highlight w:val="none"/>
        </w:rPr>
      </w:pPr>
      <w:r>
        <w:rPr>
          <w:rFonts w:hint="eastAsia" w:hAnsi="宋体"/>
          <w:color w:val="auto"/>
          <w:highlight w:val="none"/>
        </w:rPr>
        <w:t>18.2同时出现两种以上不一致的，按照本条款规定的顺序修正。修正后的报价按照本章17.4.3.2的规定经投标人确认后产生约束力，投标人不确认的，其投标无效。</w:t>
      </w:r>
    </w:p>
    <w:p>
      <w:pPr>
        <w:pStyle w:val="14"/>
        <w:spacing w:line="440" w:lineRule="exact"/>
        <w:rPr>
          <w:rFonts w:hAnsi="宋体"/>
          <w:b/>
          <w:bCs/>
          <w:color w:val="auto"/>
          <w:sz w:val="24"/>
          <w:highlight w:val="none"/>
        </w:rPr>
      </w:pPr>
      <w:r>
        <w:rPr>
          <w:rFonts w:hint="eastAsia" w:hAnsi="宋体"/>
          <w:b/>
          <w:bCs/>
          <w:color w:val="auto"/>
          <w:sz w:val="24"/>
          <w:highlight w:val="none"/>
        </w:rPr>
        <w:t>19.  拒绝接收</w:t>
      </w:r>
    </w:p>
    <w:p>
      <w:pPr>
        <w:pStyle w:val="14"/>
        <w:spacing w:line="440" w:lineRule="exact"/>
        <w:ind w:firstLine="720"/>
        <w:rPr>
          <w:rFonts w:hAnsi="宋体"/>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未在本章第14.2项规定的时间之前将投标文件送达至本章第14.4项指定地点的</w:t>
      </w:r>
      <w:r>
        <w:rPr>
          <w:rFonts w:hint="eastAsia" w:hAnsi="宋体"/>
          <w:color w:val="auto"/>
          <w:highlight w:val="none"/>
        </w:rPr>
        <w:t>，采购代理机构应当拒绝接收该投标人的投标文件。</w:t>
      </w:r>
    </w:p>
    <w:p>
      <w:pPr>
        <w:pStyle w:val="14"/>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未在本章第14.5项规定的</w:t>
      </w:r>
      <w:r>
        <w:rPr>
          <w:rFonts w:hint="eastAsia" w:hAnsi="宋体"/>
          <w:color w:val="auto"/>
          <w:highlight w:val="none"/>
        </w:rPr>
        <w:t>时间</w:t>
      </w:r>
      <w:r>
        <w:rPr>
          <w:rFonts w:hint="eastAsia"/>
          <w:color w:val="auto"/>
          <w:highlight w:val="none"/>
        </w:rPr>
        <w:t>之前将投标样品送达至本章第14.6项指定地点的</w:t>
      </w:r>
      <w:r>
        <w:rPr>
          <w:rFonts w:hint="eastAsia" w:hAnsi="宋体"/>
          <w:color w:val="auto"/>
          <w:highlight w:val="none"/>
        </w:rPr>
        <w:t>，采购代理机构应当拒绝接收该投标人的投标样品。</w:t>
      </w:r>
    </w:p>
    <w:p>
      <w:pPr>
        <w:pStyle w:val="14"/>
        <w:spacing w:line="440" w:lineRule="exact"/>
        <w:rPr>
          <w:rFonts w:hAnsi="宋体"/>
          <w:b/>
          <w:bCs/>
          <w:color w:val="auto"/>
          <w:sz w:val="24"/>
          <w:highlight w:val="none"/>
        </w:rPr>
      </w:pPr>
      <w:r>
        <w:rPr>
          <w:rFonts w:hint="eastAsia" w:hAnsi="宋体"/>
          <w:b/>
          <w:bCs/>
          <w:color w:val="auto"/>
          <w:sz w:val="24"/>
          <w:highlight w:val="none"/>
        </w:rPr>
        <w:t>20.  无效投标</w:t>
      </w:r>
    </w:p>
    <w:p>
      <w:pPr>
        <w:pStyle w:val="14"/>
        <w:spacing w:line="440" w:lineRule="exact"/>
        <w:ind w:firstLine="361" w:firstLineChars="171"/>
        <w:rPr>
          <w:rFonts w:hAnsi="宋体"/>
          <w:color w:val="auto"/>
          <w:highlight w:val="none"/>
        </w:rPr>
      </w:pPr>
      <w:r>
        <w:rPr>
          <w:rFonts w:hint="eastAsia" w:hAnsi="宋体"/>
          <w:b/>
          <w:bCs/>
          <w:color w:val="auto"/>
          <w:highlight w:val="none"/>
        </w:rPr>
        <w:t>★</w:t>
      </w:r>
      <w:r>
        <w:rPr>
          <w:rFonts w:hint="eastAsia" w:hAnsi="宋体"/>
          <w:color w:val="auto"/>
          <w:highlight w:val="none"/>
        </w:rPr>
        <w:t>20.1  属下列情形之一的，投标人的投标无效：</w:t>
      </w:r>
    </w:p>
    <w:p>
      <w:pPr>
        <w:pStyle w:val="14"/>
        <w:spacing w:line="440" w:lineRule="exact"/>
        <w:ind w:firstLine="718" w:firstLineChars="342"/>
        <w:rPr>
          <w:rFonts w:hAnsi="宋体"/>
          <w:color w:val="auto"/>
          <w:highlight w:val="none"/>
        </w:rPr>
      </w:pPr>
      <w:r>
        <w:rPr>
          <w:rFonts w:hint="eastAsia" w:hAnsi="宋体"/>
          <w:color w:val="auto"/>
          <w:highlight w:val="none"/>
        </w:rPr>
        <w:t>（1）投标人不具备本章第3项规定的投标人资格要求的；</w:t>
      </w:r>
    </w:p>
    <w:p>
      <w:pPr>
        <w:pStyle w:val="14"/>
        <w:spacing w:line="440" w:lineRule="exact"/>
        <w:ind w:firstLine="718" w:firstLineChars="342"/>
        <w:rPr>
          <w:rFonts w:hAnsi="宋体"/>
          <w:color w:val="auto"/>
          <w:highlight w:val="none"/>
        </w:rPr>
      </w:pPr>
      <w:r>
        <w:rPr>
          <w:rFonts w:hint="eastAsia" w:hAnsi="宋体"/>
          <w:color w:val="auto"/>
          <w:highlight w:val="none"/>
        </w:rPr>
        <w:t xml:space="preserve">（2）投标文件未按本章第8.8项的规定标识或未按规定的正、副本数量递交的； </w:t>
      </w:r>
    </w:p>
    <w:p>
      <w:pPr>
        <w:pStyle w:val="14"/>
        <w:spacing w:line="440" w:lineRule="exact"/>
        <w:ind w:firstLine="718" w:firstLineChars="342"/>
        <w:rPr>
          <w:rFonts w:hAnsi="宋体"/>
          <w:color w:val="auto"/>
          <w:highlight w:val="none"/>
        </w:rPr>
      </w:pPr>
      <w:r>
        <w:rPr>
          <w:rFonts w:hint="eastAsia" w:hAnsi="宋体"/>
          <w:color w:val="auto"/>
          <w:highlight w:val="none"/>
        </w:rPr>
        <w:t>（3）投标文件未按本章第10.1项的规定编写和提交的（包括缺少应提交的文件或格式不符合第五章“投标文件格式”的要求）；</w:t>
      </w:r>
    </w:p>
    <w:p>
      <w:pPr>
        <w:pStyle w:val="14"/>
        <w:spacing w:line="440" w:lineRule="exact"/>
        <w:ind w:firstLine="718" w:firstLineChars="342"/>
        <w:rPr>
          <w:rFonts w:hAnsi="宋体"/>
          <w:color w:val="auto"/>
          <w:highlight w:val="none"/>
        </w:rPr>
      </w:pPr>
      <w:r>
        <w:rPr>
          <w:rFonts w:hint="eastAsia" w:hAnsi="宋体"/>
          <w:color w:val="auto"/>
          <w:highlight w:val="none"/>
        </w:rPr>
        <w:t>（4）投标文件不符合本章第10.2项规定的；</w:t>
      </w:r>
    </w:p>
    <w:p>
      <w:pPr>
        <w:pStyle w:val="14"/>
        <w:spacing w:line="440" w:lineRule="exact"/>
        <w:ind w:firstLine="718" w:firstLineChars="342"/>
        <w:rPr>
          <w:rFonts w:hAnsi="宋体"/>
          <w:color w:val="auto"/>
          <w:highlight w:val="none"/>
        </w:rPr>
      </w:pPr>
      <w:r>
        <w:rPr>
          <w:rFonts w:hint="eastAsia" w:hAnsi="宋体"/>
          <w:color w:val="auto"/>
          <w:highlight w:val="none"/>
        </w:rPr>
        <w:t>（5）投标报价不符合本章第11项规定的或超过采购预算或最高限价的；</w:t>
      </w:r>
    </w:p>
    <w:p>
      <w:pPr>
        <w:pStyle w:val="14"/>
        <w:spacing w:line="440" w:lineRule="exact"/>
        <w:ind w:firstLine="718" w:firstLineChars="342"/>
        <w:rPr>
          <w:rFonts w:hint="eastAsia" w:hAnsi="宋体"/>
          <w:color w:val="auto"/>
          <w:highlight w:val="none"/>
        </w:rPr>
      </w:pPr>
      <w:r>
        <w:rPr>
          <w:rFonts w:hint="eastAsia" w:hAnsi="宋体"/>
          <w:color w:val="auto"/>
          <w:highlight w:val="none"/>
        </w:rPr>
        <w:t>（6）投标文件不符合本章第14.1项规定的；</w:t>
      </w:r>
    </w:p>
    <w:p>
      <w:pPr>
        <w:pStyle w:val="14"/>
        <w:spacing w:line="440" w:lineRule="exact"/>
        <w:ind w:firstLine="718" w:firstLineChars="342"/>
        <w:rPr>
          <w:rFonts w:hint="eastAsia" w:hAnsi="宋体"/>
          <w:color w:val="auto"/>
          <w:highlight w:val="none"/>
        </w:rPr>
      </w:pPr>
      <w:r>
        <w:rPr>
          <w:rFonts w:hint="eastAsia" w:hAnsi="宋体"/>
          <w:color w:val="auto"/>
          <w:highlight w:val="none"/>
        </w:rPr>
        <w:t>（7）投标人出现本章第17.4.3.1项所述的投标文件将被视为无效的情形的；</w:t>
      </w:r>
    </w:p>
    <w:p>
      <w:pPr>
        <w:pStyle w:val="14"/>
        <w:spacing w:line="440" w:lineRule="exact"/>
        <w:ind w:firstLine="718" w:firstLineChars="342"/>
        <w:rPr>
          <w:rFonts w:hint="eastAsia" w:hAnsi="宋体"/>
          <w:color w:val="auto"/>
          <w:highlight w:val="none"/>
        </w:rPr>
      </w:pPr>
      <w:r>
        <w:rPr>
          <w:rFonts w:hint="eastAsia" w:hAnsi="宋体"/>
          <w:color w:val="auto"/>
          <w:highlight w:val="none"/>
        </w:rPr>
        <w:t>（8）投标人出现本章第18.2项所述情形的；</w:t>
      </w:r>
    </w:p>
    <w:p>
      <w:pPr>
        <w:pStyle w:val="14"/>
        <w:spacing w:line="440" w:lineRule="exact"/>
        <w:ind w:firstLine="718" w:firstLineChars="342"/>
        <w:rPr>
          <w:rFonts w:hint="eastAsia" w:hAnsi="宋体"/>
          <w:color w:val="auto"/>
          <w:highlight w:val="none"/>
        </w:rPr>
      </w:pPr>
      <w:r>
        <w:rPr>
          <w:rFonts w:hint="eastAsia" w:hAnsi="宋体"/>
          <w:color w:val="auto"/>
          <w:highlight w:val="none"/>
        </w:rPr>
        <w:t>（9）投标文件未对招标文件提出的要求和条件作出实质性响应的；</w:t>
      </w:r>
    </w:p>
    <w:p>
      <w:pPr>
        <w:pStyle w:val="14"/>
        <w:spacing w:line="440" w:lineRule="exact"/>
        <w:ind w:firstLine="718" w:firstLineChars="342"/>
        <w:rPr>
          <w:rFonts w:hint="eastAsia" w:hAnsi="宋体"/>
          <w:color w:val="auto"/>
          <w:highlight w:val="none"/>
        </w:rPr>
      </w:pPr>
      <w:r>
        <w:rPr>
          <w:rFonts w:hint="eastAsia" w:hAnsi="宋体"/>
          <w:color w:val="auto"/>
          <w:highlight w:val="none"/>
        </w:rPr>
        <w:t>（1</w:t>
      </w:r>
      <w:r>
        <w:rPr>
          <w:rFonts w:hint="eastAsia" w:hAnsi="宋体"/>
          <w:color w:val="auto"/>
          <w:highlight w:val="none"/>
          <w:lang w:val="en-US" w:eastAsia="zh-CN"/>
        </w:rPr>
        <w:t>0</w:t>
      </w:r>
      <w:r>
        <w:rPr>
          <w:rFonts w:hint="eastAsia" w:hAnsi="宋体"/>
          <w:color w:val="auto"/>
          <w:highlight w:val="none"/>
        </w:rPr>
        <w:t>）投标文件附有采购需求以外的条件使评标委员会认为不能接受的；</w:t>
      </w:r>
    </w:p>
    <w:p>
      <w:pPr>
        <w:pStyle w:val="14"/>
        <w:spacing w:line="440" w:lineRule="exact"/>
        <w:ind w:firstLine="718" w:firstLineChars="342"/>
        <w:rPr>
          <w:rFonts w:hint="eastAsia" w:hAnsi="宋体"/>
          <w:color w:val="auto"/>
          <w:highlight w:val="none"/>
        </w:rPr>
      </w:pPr>
      <w:r>
        <w:rPr>
          <w:rFonts w:hint="eastAsia" w:hAnsi="宋体"/>
          <w:color w:val="auto"/>
          <w:highlight w:val="none"/>
        </w:rPr>
        <w:t>（1</w:t>
      </w:r>
      <w:r>
        <w:rPr>
          <w:rFonts w:hint="eastAsia" w:hAnsi="宋体"/>
          <w:color w:val="auto"/>
          <w:highlight w:val="none"/>
          <w:lang w:val="en-US" w:eastAsia="zh-CN"/>
        </w:rPr>
        <w:t>1</w:t>
      </w:r>
      <w:r>
        <w:rPr>
          <w:rFonts w:hint="eastAsia" w:hAnsi="宋体"/>
          <w:color w:val="auto"/>
          <w:highlight w:val="none"/>
        </w:rPr>
        <w:t>）投标人在投标过程中提供虚假材料的；</w:t>
      </w:r>
    </w:p>
    <w:p>
      <w:pPr>
        <w:pStyle w:val="14"/>
        <w:spacing w:line="440" w:lineRule="exact"/>
        <w:ind w:firstLine="718" w:firstLineChars="342"/>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2</w:t>
      </w:r>
      <w:r>
        <w:rPr>
          <w:rFonts w:hint="eastAsia" w:hAnsi="宋体"/>
          <w:color w:val="auto"/>
          <w:highlight w:val="none"/>
        </w:rPr>
        <w:t xml:space="preserve">）投标文件含有违反国家法律、法规的内容。 </w:t>
      </w:r>
    </w:p>
    <w:p>
      <w:pPr>
        <w:pStyle w:val="14"/>
        <w:spacing w:line="440" w:lineRule="exact"/>
        <w:ind w:firstLine="718" w:firstLineChars="342"/>
        <w:rPr>
          <w:rFonts w:hAnsi="宋体"/>
          <w:color w:val="auto"/>
          <w:highlight w:val="none"/>
        </w:rPr>
      </w:pPr>
    </w:p>
    <w:p>
      <w:pPr>
        <w:pStyle w:val="14"/>
        <w:spacing w:line="440" w:lineRule="exact"/>
        <w:rPr>
          <w:rFonts w:hAnsi="宋体"/>
          <w:b/>
          <w:bCs/>
          <w:color w:val="auto"/>
          <w:sz w:val="24"/>
          <w:highlight w:val="none"/>
        </w:rPr>
      </w:pPr>
      <w:r>
        <w:rPr>
          <w:rFonts w:hint="eastAsia" w:hAnsi="宋体"/>
          <w:b/>
          <w:bCs/>
          <w:color w:val="auto"/>
          <w:sz w:val="24"/>
          <w:highlight w:val="none"/>
        </w:rPr>
        <w:t>21.  废标</w:t>
      </w:r>
    </w:p>
    <w:p>
      <w:pPr>
        <w:pStyle w:val="14"/>
        <w:spacing w:line="440" w:lineRule="exact"/>
        <w:ind w:firstLine="361" w:firstLineChars="171"/>
        <w:rPr>
          <w:rFonts w:hAnsi="宋体"/>
          <w:color w:val="auto"/>
          <w:highlight w:val="none"/>
        </w:rPr>
      </w:pPr>
      <w:r>
        <w:rPr>
          <w:rFonts w:hint="eastAsia" w:hAnsi="宋体"/>
          <w:b/>
          <w:bCs/>
          <w:color w:val="auto"/>
          <w:highlight w:val="none"/>
        </w:rPr>
        <w:t>★</w:t>
      </w:r>
      <w:r>
        <w:rPr>
          <w:rFonts w:hint="eastAsia" w:hAnsi="宋体"/>
          <w:color w:val="auto"/>
          <w:highlight w:val="none"/>
        </w:rPr>
        <w:t>21.1  在招标过程中，出现下列情形之一的，予以废标：</w:t>
      </w:r>
    </w:p>
    <w:p>
      <w:pPr>
        <w:pStyle w:val="14"/>
        <w:spacing w:line="440" w:lineRule="exact"/>
        <w:ind w:firstLine="720"/>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14"/>
        <w:spacing w:line="440" w:lineRule="exact"/>
        <w:ind w:firstLine="420"/>
        <w:rPr>
          <w:rFonts w:hint="eastAsia" w:hAnsi="宋体"/>
          <w:b/>
          <w:color w:val="auto"/>
          <w:highlight w:val="none"/>
        </w:rPr>
      </w:pPr>
      <w:r>
        <w:rPr>
          <w:rFonts w:hint="eastAsia" w:hAnsi="宋体"/>
          <w:b/>
          <w:color w:val="auto"/>
          <w:highlight w:val="none"/>
        </w:rPr>
        <w:t>有效投标供应商数量计算：</w:t>
      </w:r>
    </w:p>
    <w:p>
      <w:pPr>
        <w:pStyle w:val="14"/>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4"/>
        <w:spacing w:line="440" w:lineRule="exact"/>
        <w:ind w:firstLine="420" w:firstLineChars="200"/>
        <w:jc w:val="left"/>
        <w:rPr>
          <w:rFonts w:hint="eastAsia"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③非单一产品采购项目，采购人应当根据采购项目技术构成、产品价格比重等合理确定核心产品，并在招标文件中载明。多家投标人提供的核心产品品牌相同的，按上述规定处理。</w:t>
      </w:r>
    </w:p>
    <w:p>
      <w:pPr>
        <w:pStyle w:val="14"/>
        <w:spacing w:line="440" w:lineRule="exact"/>
        <w:ind w:firstLine="720"/>
        <w:rPr>
          <w:rFonts w:hAnsi="宋体"/>
          <w:bCs/>
          <w:color w:val="auto"/>
          <w:sz w:val="24"/>
          <w:highlight w:val="none"/>
        </w:rPr>
      </w:pPr>
      <w:r>
        <w:rPr>
          <w:rFonts w:hint="eastAsia" w:hAnsi="宋体"/>
          <w:color w:val="auto"/>
          <w:highlight w:val="none"/>
        </w:rPr>
        <w:t>（2）出现影响采购公正的违法、违规行为的；</w:t>
      </w:r>
    </w:p>
    <w:p>
      <w:pPr>
        <w:pStyle w:val="14"/>
        <w:spacing w:line="440" w:lineRule="exact"/>
        <w:ind w:firstLine="720"/>
        <w:rPr>
          <w:rFonts w:hAnsi="宋体"/>
          <w:color w:val="auto"/>
          <w:highlight w:val="none"/>
        </w:rPr>
      </w:pPr>
      <w:r>
        <w:rPr>
          <w:rFonts w:hint="eastAsia" w:hAnsi="宋体"/>
          <w:color w:val="auto"/>
          <w:highlight w:val="none"/>
        </w:rPr>
        <w:t>（3）投标人的报价均超过了采购预算，采购人不能支付的；</w:t>
      </w:r>
    </w:p>
    <w:p>
      <w:pPr>
        <w:pStyle w:val="14"/>
        <w:spacing w:line="440" w:lineRule="exact"/>
        <w:ind w:firstLine="720"/>
        <w:rPr>
          <w:rFonts w:hAnsi="宋体"/>
          <w:color w:val="auto"/>
          <w:highlight w:val="none"/>
        </w:rPr>
      </w:pPr>
      <w:r>
        <w:rPr>
          <w:rFonts w:hint="eastAsia" w:hAnsi="宋体"/>
          <w:color w:val="auto"/>
          <w:highlight w:val="none"/>
        </w:rPr>
        <w:t>（4）因重大变故，采购任务取消的。</w:t>
      </w:r>
    </w:p>
    <w:p>
      <w:pPr>
        <w:pStyle w:val="14"/>
        <w:spacing w:line="440" w:lineRule="exact"/>
        <w:ind w:firstLine="411" w:firstLineChars="196"/>
        <w:rPr>
          <w:rFonts w:hAnsi="宋体"/>
          <w:color w:val="auto"/>
          <w:highlight w:val="none"/>
        </w:rPr>
      </w:pPr>
      <w:r>
        <w:rPr>
          <w:rFonts w:hint="eastAsia" w:hAnsi="宋体"/>
          <w:color w:val="auto"/>
          <w:highlight w:val="none"/>
        </w:rPr>
        <w:t>21.2  废标后，采购代理机构将在本章第2.1项规定的政府采购信息发布媒体上公告废标理由，不再另行通知。</w:t>
      </w:r>
    </w:p>
    <w:p>
      <w:pPr>
        <w:pStyle w:val="14"/>
        <w:spacing w:line="440" w:lineRule="exact"/>
        <w:jc w:val="center"/>
        <w:rPr>
          <w:rFonts w:hAnsi="宋体"/>
          <w:b/>
          <w:bCs/>
          <w:color w:val="auto"/>
          <w:highlight w:val="none"/>
        </w:rPr>
      </w:pPr>
    </w:p>
    <w:p>
      <w:pPr>
        <w:pStyle w:val="14"/>
        <w:jc w:val="center"/>
        <w:outlineLvl w:val="1"/>
        <w:rPr>
          <w:rFonts w:ascii="Times New Roman" w:hAnsi="Times New Roman"/>
          <w:b/>
          <w:color w:val="auto"/>
          <w:sz w:val="30"/>
          <w:szCs w:val="30"/>
          <w:highlight w:val="none"/>
        </w:rPr>
      </w:pPr>
      <w:bookmarkStart w:id="48" w:name="_Toc1654632"/>
      <w:r>
        <w:rPr>
          <w:rFonts w:hint="eastAsia" w:ascii="Times New Roman" w:hAnsi="Times New Roman"/>
          <w:b/>
          <w:color w:val="auto"/>
          <w:sz w:val="30"/>
          <w:szCs w:val="30"/>
          <w:highlight w:val="none"/>
        </w:rPr>
        <w:t>六    合同授予</w:t>
      </w:r>
      <w:bookmarkEnd w:id="48"/>
    </w:p>
    <w:p>
      <w:pPr>
        <w:pStyle w:val="14"/>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4"/>
        <w:spacing w:line="440" w:lineRule="exact"/>
        <w:rPr>
          <w:rFonts w:hAnsi="宋体"/>
          <w:bCs/>
          <w:color w:val="auto"/>
          <w:sz w:val="24"/>
          <w:highlight w:val="none"/>
        </w:rPr>
      </w:pPr>
      <w:r>
        <w:rPr>
          <w:rFonts w:hint="eastAsia" w:hAnsi="宋体"/>
          <w:bCs/>
          <w:color w:val="auto"/>
          <w:sz w:val="24"/>
          <w:highlight w:val="none"/>
        </w:rPr>
        <w:t>23.  中标通知书</w:t>
      </w:r>
    </w:p>
    <w:p>
      <w:pPr>
        <w:pStyle w:val="14"/>
        <w:spacing w:line="440" w:lineRule="exact"/>
        <w:ind w:firstLine="360"/>
        <w:rPr>
          <w:rFonts w:cs="宋体"/>
          <w:color w:val="auto"/>
          <w:kern w:val="0"/>
          <w:szCs w:val="21"/>
          <w:highlight w:val="none"/>
        </w:rPr>
      </w:pPr>
      <w:r>
        <w:rPr>
          <w:rFonts w:hint="eastAsia" w:hAnsi="宋体"/>
          <w:color w:val="auto"/>
          <w:highlight w:val="none"/>
        </w:rPr>
        <w:t xml:space="preserve">23.1  </w:t>
      </w:r>
      <w:r>
        <w:rPr>
          <w:rFonts w:hint="eastAsia" w:cs="宋体"/>
          <w:color w:val="auto"/>
          <w:kern w:val="0"/>
          <w:szCs w:val="21"/>
          <w:highlight w:val="none"/>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14"/>
        <w:spacing w:line="440" w:lineRule="exact"/>
        <w:ind w:firstLine="360"/>
        <w:rPr>
          <w:rFonts w:cs="宋体"/>
          <w:color w:val="auto"/>
          <w:kern w:val="0"/>
          <w:szCs w:val="21"/>
          <w:highlight w:val="none"/>
        </w:rPr>
      </w:pPr>
      <w:r>
        <w:rPr>
          <w:rFonts w:hint="eastAsia" w:cs="宋体"/>
          <w:color w:val="auto"/>
          <w:kern w:val="0"/>
          <w:szCs w:val="21"/>
          <w:highlight w:val="none"/>
        </w:rPr>
        <w:t>23.2  中标通知书对采购人和中标供应商具有同等法律效力。中标通知书发出后，采购人改变中标结果，或者中标供应商放弃中标，应当承担相应的法律责任。</w:t>
      </w:r>
    </w:p>
    <w:p>
      <w:pPr>
        <w:pStyle w:val="14"/>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14"/>
        <w:spacing w:line="440" w:lineRule="exact"/>
        <w:ind w:firstLine="360"/>
        <w:rPr>
          <w:rFonts w:hint="eastAsia" w:hAnsi="宋体"/>
          <w:color w:val="auto"/>
          <w:highlight w:val="none"/>
        </w:rPr>
      </w:pPr>
      <w:r>
        <w:rPr>
          <w:rFonts w:hint="eastAsia" w:hAnsi="宋体"/>
          <w:color w:val="auto"/>
          <w:highlight w:val="none"/>
        </w:rPr>
        <w:t>24.1  采购人及采购代理机构无义务向未中标供应商解释其未中标原因和退回投标文件。</w:t>
      </w:r>
    </w:p>
    <w:p>
      <w:pPr>
        <w:pStyle w:val="14"/>
        <w:spacing w:line="440" w:lineRule="exact"/>
        <w:ind w:firstLine="360"/>
        <w:rPr>
          <w:rFonts w:hAnsi="宋体"/>
          <w:color w:val="auto"/>
          <w:highlight w:val="none"/>
        </w:rPr>
      </w:pPr>
      <w:r>
        <w:rPr>
          <w:rFonts w:hint="eastAsia"/>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14"/>
        <w:spacing w:line="440" w:lineRule="exact"/>
        <w:rPr>
          <w:rFonts w:hAnsi="宋体"/>
          <w:bCs/>
          <w:color w:val="auto"/>
          <w:sz w:val="24"/>
          <w:highlight w:val="none"/>
        </w:rPr>
      </w:pPr>
      <w:r>
        <w:rPr>
          <w:rFonts w:hint="eastAsia" w:hAnsi="宋体"/>
          <w:bCs/>
          <w:color w:val="auto"/>
          <w:sz w:val="24"/>
          <w:highlight w:val="none"/>
        </w:rPr>
        <w:t>25.   签订合同</w:t>
      </w:r>
    </w:p>
    <w:p>
      <w:pPr>
        <w:pStyle w:val="14"/>
        <w:spacing w:line="440" w:lineRule="exact"/>
        <w:ind w:firstLine="420" w:firstLineChars="200"/>
        <w:rPr>
          <w:rFonts w:hint="eastAsia" w:hAnsi="宋体"/>
          <w:color w:val="auto"/>
          <w:highlight w:val="none"/>
        </w:rPr>
      </w:pPr>
      <w:r>
        <w:rPr>
          <w:rFonts w:hint="eastAsia" w:hAnsi="宋体"/>
          <w:color w:val="auto"/>
          <w:highlight w:val="none"/>
        </w:rPr>
        <w:t>25.1  采购人和中标供应商应当在第二章“</w:t>
      </w:r>
      <w:r>
        <w:rPr>
          <w:rFonts w:hint="eastAsia" w:hAnsi="宋体"/>
          <w:color w:val="auto"/>
          <w:highlight w:val="none"/>
          <w:lang w:eastAsia="zh-CN"/>
        </w:rPr>
        <w:t>货物</w:t>
      </w:r>
      <w:r>
        <w:rPr>
          <w:rFonts w:hint="eastAsia" w:hAnsi="宋体"/>
          <w:color w:val="auto"/>
          <w:highlight w:val="none"/>
        </w:rPr>
        <w:t>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14"/>
        <w:spacing w:line="440" w:lineRule="exact"/>
        <w:ind w:firstLine="420" w:firstLineChars="200"/>
        <w:rPr>
          <w:rFonts w:hint="eastAsia" w:hAnsi="宋体"/>
          <w:color w:val="auto"/>
          <w:highlight w:val="none"/>
        </w:rPr>
      </w:pPr>
      <w:r>
        <w:rPr>
          <w:rFonts w:hint="eastAsia" w:hAnsi="宋体"/>
          <w:color w:val="auto"/>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4"/>
        <w:spacing w:line="440" w:lineRule="exact"/>
        <w:ind w:firstLine="420" w:firstLineChars="200"/>
        <w:rPr>
          <w:rFonts w:hint="eastAsia" w:hAnsi="宋体"/>
          <w:color w:val="auto"/>
          <w:highlight w:val="none"/>
        </w:rPr>
      </w:pPr>
      <w:r>
        <w:rPr>
          <w:rFonts w:hint="eastAsia" w:hAnsi="宋体"/>
          <w:color w:val="auto"/>
          <w:highlight w:val="none"/>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pPr>
        <w:pStyle w:val="14"/>
        <w:spacing w:line="440" w:lineRule="exact"/>
        <w:ind w:firstLine="420" w:firstLineChars="200"/>
        <w:rPr>
          <w:rFonts w:hint="eastAsia" w:hAnsi="宋体"/>
          <w:color w:val="auto"/>
          <w:highlight w:val="none"/>
        </w:rPr>
      </w:pPr>
      <w:r>
        <w:rPr>
          <w:rFonts w:hint="eastAsia" w:hAnsi="宋体"/>
          <w:color w:val="auto"/>
          <w:highlight w:val="none"/>
        </w:rPr>
        <w:t>25.4  中标通知书发出后，中标人有以下情形的：</w:t>
      </w:r>
    </w:p>
    <w:p>
      <w:pPr>
        <w:pStyle w:val="14"/>
        <w:spacing w:line="440" w:lineRule="exact"/>
        <w:ind w:firstLine="420" w:firstLineChars="200"/>
        <w:rPr>
          <w:rFonts w:hint="eastAsia" w:hAnsi="宋体"/>
          <w:color w:val="auto"/>
          <w:highlight w:val="none"/>
        </w:rPr>
      </w:pPr>
      <w:r>
        <w:rPr>
          <w:rFonts w:hint="eastAsia" w:hAnsi="宋体"/>
          <w:color w:val="auto"/>
          <w:highlight w:val="none"/>
        </w:rPr>
        <w:t>（1）中标人无正当理由不与采购人或者采购代理机构按规定的时间、地点签订合同的；</w:t>
      </w:r>
    </w:p>
    <w:p>
      <w:pPr>
        <w:pStyle w:val="14"/>
        <w:spacing w:line="440" w:lineRule="exact"/>
        <w:ind w:firstLine="420" w:firstLineChars="200"/>
        <w:rPr>
          <w:rFonts w:hint="eastAsia" w:hAnsi="宋体"/>
          <w:color w:val="auto"/>
          <w:highlight w:val="none"/>
        </w:rPr>
      </w:pPr>
      <w:r>
        <w:rPr>
          <w:rFonts w:hint="eastAsia" w:hAnsi="宋体"/>
          <w:color w:val="auto"/>
          <w:highlight w:val="none"/>
        </w:rPr>
        <w:t>（2）中标后与采购人签订对招标文件和投标文件作了实质性修改的合同，或与采购人私下订立背离合同实质性内容的协议的；</w:t>
      </w:r>
    </w:p>
    <w:p>
      <w:pPr>
        <w:pStyle w:val="14"/>
        <w:spacing w:line="440" w:lineRule="exact"/>
        <w:ind w:firstLine="420" w:firstLineChars="200"/>
        <w:rPr>
          <w:rFonts w:hint="eastAsia" w:hAnsi="宋体"/>
          <w:color w:val="auto"/>
          <w:highlight w:val="none"/>
        </w:rPr>
      </w:pPr>
      <w:r>
        <w:rPr>
          <w:rFonts w:hint="eastAsia" w:hAnsi="宋体"/>
          <w:color w:val="auto"/>
          <w:highlight w:val="none"/>
        </w:rPr>
        <w:t>（3）将中标项目转让给他人，或者在投标文件中未说明，且未经采购人或采购代理机构同意，将中标项目分包给他人的；</w:t>
      </w:r>
    </w:p>
    <w:p>
      <w:pPr>
        <w:pStyle w:val="14"/>
        <w:spacing w:line="440" w:lineRule="exact"/>
        <w:ind w:firstLine="420" w:firstLineChars="200"/>
        <w:rPr>
          <w:rFonts w:hint="eastAsia" w:hAnsi="宋体"/>
          <w:color w:val="auto"/>
          <w:highlight w:val="none"/>
        </w:rPr>
      </w:pPr>
      <w:r>
        <w:rPr>
          <w:rFonts w:hint="eastAsia" w:hAnsi="宋体"/>
          <w:color w:val="auto"/>
          <w:highlight w:val="none"/>
        </w:rPr>
        <w:t>中标无效，采购人可追究中标供应商承担相应的法律责任。如中标人无正当理由拒签合同的，中标人给采购人造成损失的，采购人可追究中标人承担相应的法律责任。</w:t>
      </w:r>
    </w:p>
    <w:p>
      <w:pPr>
        <w:pStyle w:val="14"/>
        <w:spacing w:line="440" w:lineRule="exact"/>
        <w:ind w:firstLine="420" w:firstLineChars="200"/>
        <w:rPr>
          <w:rFonts w:hint="eastAsia" w:hAnsi="宋体"/>
          <w:color w:val="auto"/>
          <w:highlight w:val="none"/>
        </w:rPr>
      </w:pPr>
      <w:r>
        <w:rPr>
          <w:rFonts w:hint="eastAsia" w:hAnsi="宋体"/>
          <w:color w:val="auto"/>
          <w:highlight w:val="none"/>
        </w:rPr>
        <w:t>25.5  采购人在签订合同之前有权要求中标供应商提供本项目必需的相关资料原件进行核查，中标供应商不得拒绝。如中标供应商拒绝提供，则自行承担由此产生的后果。</w:t>
      </w:r>
    </w:p>
    <w:p>
      <w:pPr>
        <w:pStyle w:val="14"/>
        <w:spacing w:line="440" w:lineRule="exact"/>
        <w:ind w:firstLine="420" w:firstLineChars="200"/>
        <w:rPr>
          <w:rFonts w:hint="eastAsia" w:hAnsi="宋体"/>
          <w:color w:val="auto"/>
          <w:highlight w:val="none"/>
        </w:rPr>
      </w:pPr>
      <w:r>
        <w:rPr>
          <w:rFonts w:hint="eastAsia" w:hAnsi="宋体"/>
          <w:color w:val="auto"/>
          <w:highlight w:val="none"/>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4"/>
        <w:spacing w:line="440" w:lineRule="exact"/>
        <w:ind w:firstLine="420" w:firstLineChars="200"/>
        <w:rPr>
          <w:rFonts w:hint="eastAsia" w:hAnsi="宋体"/>
          <w:color w:val="auto"/>
          <w:highlight w:val="none"/>
        </w:rPr>
      </w:pPr>
      <w:r>
        <w:rPr>
          <w:rFonts w:hint="eastAsia" w:hAnsi="宋体"/>
          <w:color w:val="auto"/>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14"/>
        <w:spacing w:line="440" w:lineRule="exact"/>
        <w:ind w:firstLine="420" w:firstLineChars="200"/>
        <w:rPr>
          <w:rFonts w:hint="eastAsia" w:hAnsi="宋体"/>
          <w:color w:val="auto"/>
          <w:highlight w:val="none"/>
        </w:rPr>
      </w:pPr>
      <w:r>
        <w:rPr>
          <w:rFonts w:hint="eastAsia" w:hAnsi="宋体"/>
          <w:color w:val="auto"/>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4"/>
        <w:spacing w:line="440" w:lineRule="exact"/>
        <w:ind w:firstLine="420" w:firstLineChars="200"/>
        <w:rPr>
          <w:rFonts w:hint="eastAsia" w:hAnsi="宋体"/>
          <w:color w:val="auto"/>
          <w:highlight w:val="none"/>
        </w:rPr>
      </w:pPr>
      <w:r>
        <w:rPr>
          <w:rFonts w:hint="eastAsia" w:hAnsi="宋体"/>
          <w:color w:val="auto"/>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4"/>
        <w:spacing w:line="440" w:lineRule="exact"/>
        <w:ind w:firstLine="420" w:firstLineChars="200"/>
        <w:rPr>
          <w:rFonts w:hint="eastAsia" w:hAnsi="宋体"/>
          <w:color w:val="auto"/>
          <w:highlight w:val="none"/>
        </w:rPr>
      </w:pPr>
      <w:r>
        <w:rPr>
          <w:rFonts w:hint="eastAsia" w:hAnsi="宋体"/>
          <w:color w:val="auto"/>
          <w:highlight w:val="none"/>
        </w:rPr>
        <w:t>25.10　采购人或中标供应商在合同履行过程中存在违反政府采购合同行为的，权益受损当事人应当将有关违约的情况以及拟采取的措施，及时书面报告采购代理机构。</w:t>
      </w:r>
    </w:p>
    <w:p>
      <w:pPr>
        <w:pStyle w:val="14"/>
        <w:spacing w:line="440" w:lineRule="exact"/>
        <w:jc w:val="center"/>
        <w:rPr>
          <w:rFonts w:hAnsi="宋体"/>
          <w:color w:val="auto"/>
          <w:highlight w:val="none"/>
        </w:rPr>
      </w:pPr>
    </w:p>
    <w:p>
      <w:pPr>
        <w:pStyle w:val="14"/>
        <w:jc w:val="center"/>
        <w:outlineLvl w:val="1"/>
        <w:rPr>
          <w:rFonts w:ascii="Times New Roman" w:hAnsi="Times New Roman"/>
          <w:b/>
          <w:color w:val="auto"/>
          <w:sz w:val="30"/>
          <w:szCs w:val="30"/>
          <w:highlight w:val="none"/>
        </w:rPr>
      </w:pPr>
      <w:bookmarkStart w:id="49" w:name="_Toc1654633"/>
      <w:r>
        <w:rPr>
          <w:rFonts w:hint="eastAsia" w:ascii="Times New Roman" w:hAnsi="Times New Roman"/>
          <w:b/>
          <w:color w:val="auto"/>
          <w:sz w:val="30"/>
          <w:szCs w:val="30"/>
          <w:highlight w:val="none"/>
        </w:rPr>
        <w:t>七    其他事项</w:t>
      </w:r>
      <w:bookmarkEnd w:id="49"/>
    </w:p>
    <w:p>
      <w:pPr>
        <w:pStyle w:val="14"/>
        <w:spacing w:line="440" w:lineRule="exact"/>
        <w:rPr>
          <w:rFonts w:hint="default" w:hAnsi="宋体" w:cs="宋体"/>
          <w:bCs/>
          <w:sz w:val="21"/>
          <w:szCs w:val="21"/>
        </w:rPr>
      </w:pPr>
      <w:r>
        <w:rPr>
          <w:rFonts w:hAnsi="宋体" w:cs="宋体"/>
          <w:bCs/>
          <w:sz w:val="21"/>
          <w:szCs w:val="21"/>
        </w:rPr>
        <w:t>27.  解释权</w:t>
      </w:r>
    </w:p>
    <w:p>
      <w:pPr>
        <w:spacing w:line="440" w:lineRule="exact"/>
        <w:ind w:firstLine="360"/>
        <w:jc w:val="left"/>
        <w:rPr>
          <w:rFonts w:ascii="宋体" w:hAnsi="宋体" w:cs="宋体"/>
          <w:sz w:val="21"/>
          <w:szCs w:val="21"/>
        </w:rPr>
      </w:pPr>
      <w:r>
        <w:rPr>
          <w:rFonts w:hint="eastAsia" w:ascii="宋体" w:hAnsi="宋体" w:cs="宋体"/>
          <w:sz w:val="21"/>
          <w:szCs w:val="21"/>
        </w:rPr>
        <w:t>27.1  本招标文件根据《中华人民共和国政府采购法》、《政府采购货物和服务招标投标管理办法》及相关法律法规编制，解释权属采购代理机构。</w:t>
      </w:r>
    </w:p>
    <w:p>
      <w:pPr>
        <w:pStyle w:val="14"/>
        <w:spacing w:line="440" w:lineRule="exact"/>
        <w:rPr>
          <w:rFonts w:hint="default" w:hAnsi="宋体" w:cs="宋体"/>
          <w:bCs/>
          <w:sz w:val="21"/>
          <w:szCs w:val="21"/>
        </w:rPr>
      </w:pPr>
      <w:r>
        <w:rPr>
          <w:rFonts w:hAnsi="宋体" w:cs="宋体"/>
          <w:bCs/>
          <w:sz w:val="21"/>
          <w:szCs w:val="21"/>
        </w:rPr>
        <w:t>28.   其他</w:t>
      </w:r>
    </w:p>
    <w:p>
      <w:pPr>
        <w:pStyle w:val="14"/>
        <w:spacing w:line="440" w:lineRule="exact"/>
        <w:ind w:firstLine="630" w:firstLineChars="300"/>
        <w:jc w:val="left"/>
        <w:rPr>
          <w:rFonts w:hint="default" w:hAnsi="宋体" w:cs="宋体"/>
          <w:sz w:val="21"/>
          <w:szCs w:val="21"/>
        </w:rPr>
      </w:pPr>
      <w:r>
        <w:rPr>
          <w:rFonts w:hAnsi="宋体" w:cs="宋体"/>
          <w:sz w:val="21"/>
          <w:szCs w:val="21"/>
        </w:rPr>
        <w:t>只要投标人参与投标并递交投标文件即视为已经理解并毫无保留地同意了本招标文件的所有条文。</w:t>
      </w:r>
    </w:p>
    <w:p>
      <w:pPr>
        <w:pStyle w:val="14"/>
        <w:spacing w:line="440" w:lineRule="exact"/>
        <w:rPr>
          <w:rFonts w:hint="default" w:hAnsi="宋体" w:cs="宋体"/>
          <w:bCs/>
          <w:sz w:val="21"/>
          <w:szCs w:val="21"/>
        </w:rPr>
      </w:pPr>
      <w:r>
        <w:rPr>
          <w:rFonts w:hAnsi="宋体" w:cs="宋体"/>
          <w:bCs/>
          <w:sz w:val="21"/>
          <w:szCs w:val="21"/>
        </w:rPr>
        <w:t>29.   投标文件的退回</w:t>
      </w:r>
    </w:p>
    <w:p>
      <w:pPr>
        <w:pStyle w:val="14"/>
        <w:spacing w:line="440" w:lineRule="exact"/>
        <w:ind w:firstLine="525" w:firstLineChars="250"/>
        <w:jc w:val="left"/>
        <w:rPr>
          <w:rFonts w:hint="default" w:hAnsi="宋体" w:cs="宋体"/>
          <w:sz w:val="21"/>
          <w:szCs w:val="21"/>
        </w:rPr>
      </w:pPr>
      <w:r>
        <w:rPr>
          <w:rFonts w:hAnsi="宋体" w:cs="宋体"/>
          <w:sz w:val="21"/>
          <w:szCs w:val="21"/>
        </w:rPr>
        <w:t xml:space="preserve"> 所有投标文件均不予退回</w:t>
      </w:r>
    </w:p>
    <w:p>
      <w:pPr>
        <w:numPr>
          <w:ilvl w:val="0"/>
          <w:numId w:val="6"/>
        </w:numPr>
        <w:spacing w:line="440" w:lineRule="exact"/>
        <w:jc w:val="left"/>
        <w:rPr>
          <w:rFonts w:ascii="宋体" w:hAnsi="宋体" w:cs="宋体"/>
          <w:sz w:val="21"/>
          <w:szCs w:val="21"/>
        </w:rPr>
      </w:pPr>
      <w:r>
        <w:rPr>
          <w:rFonts w:hint="eastAsia" w:ascii="宋体" w:hAnsi="宋体" w:cs="宋体"/>
          <w:sz w:val="21"/>
          <w:szCs w:val="21"/>
        </w:rPr>
        <w:t xml:space="preserve"> 需要补充的其他内容</w:t>
      </w:r>
    </w:p>
    <w:p>
      <w:pPr>
        <w:spacing w:line="440" w:lineRule="exact"/>
        <w:jc w:val="left"/>
        <w:outlineLvl w:val="0"/>
        <w:rPr>
          <w:rFonts w:ascii="宋体" w:hAnsi="宋体" w:cs="宋体"/>
          <w:sz w:val="21"/>
          <w:szCs w:val="21"/>
        </w:rPr>
      </w:pPr>
      <w:r>
        <w:rPr>
          <w:rFonts w:hint="eastAsia" w:ascii="宋体" w:hAnsi="宋体" w:cs="宋体"/>
          <w:sz w:val="21"/>
          <w:szCs w:val="21"/>
        </w:rPr>
        <w:t xml:space="preserve">    30.1  需要补充的其他内容：见投标人须知前附表。</w:t>
      </w:r>
    </w:p>
    <w:p>
      <w:pPr>
        <w:pStyle w:val="14"/>
        <w:jc w:val="center"/>
        <w:outlineLvl w:val="0"/>
        <w:rPr>
          <w:rFonts w:hAnsi="宋体"/>
          <w:color w:val="auto"/>
          <w:highlight w:val="none"/>
        </w:rPr>
      </w:pPr>
      <w:r>
        <w:rPr>
          <w:rFonts w:hAnsi="宋体"/>
          <w:color w:val="auto"/>
          <w:highlight w:val="none"/>
        </w:rPr>
        <w:br w:type="page"/>
      </w:r>
      <w:bookmarkStart w:id="50" w:name="_Toc1654634"/>
      <w:r>
        <w:rPr>
          <w:rFonts w:hint="eastAsia" w:ascii="Times New Roman" w:hAnsi="Times New Roman"/>
          <w:b/>
          <w:color w:val="auto"/>
          <w:sz w:val="36"/>
          <w:highlight w:val="none"/>
        </w:rPr>
        <w:t>第五章  投标文件格式</w:t>
      </w:r>
      <w:bookmarkEnd w:id="50"/>
      <w:bookmarkStart w:id="51" w:name="_Toc139967211"/>
      <w:bookmarkStart w:id="52" w:name="_Toc139966427"/>
    </w:p>
    <w:p>
      <w:pPr>
        <w:pStyle w:val="14"/>
        <w:spacing w:line="500" w:lineRule="exact"/>
        <w:rPr>
          <w:rFonts w:ascii="Times New Roman" w:hAnsi="Times New Roman"/>
          <w:b/>
          <w:color w:val="auto"/>
          <w:highlight w:val="none"/>
        </w:rPr>
      </w:pPr>
      <w:r>
        <w:rPr>
          <w:rFonts w:hint="eastAsia" w:ascii="Times New Roman" w:hAnsi="Times New Roman"/>
          <w:b/>
          <w:color w:val="auto"/>
          <w:highlight w:val="none"/>
        </w:rPr>
        <w:t>格式1：</w:t>
      </w:r>
    </w:p>
    <w:p>
      <w:pPr>
        <w:pStyle w:val="14"/>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4"/>
        <w:spacing w:line="440" w:lineRule="exact"/>
        <w:ind w:firstLine="435"/>
        <w:rPr>
          <w:rFonts w:hint="eastAsia" w:ascii="Times New Roman" w:hAnsi="Times New Roman"/>
          <w:color w:val="auto"/>
          <w:highlight w:val="none"/>
        </w:rPr>
      </w:pPr>
    </w:p>
    <w:p>
      <w:pPr>
        <w:pStyle w:val="14"/>
        <w:spacing w:line="440" w:lineRule="exact"/>
        <w:ind w:firstLine="435"/>
        <w:rPr>
          <w:rFonts w:ascii="Times New Roman" w:hAnsi="Times New Roman"/>
          <w:color w:val="auto"/>
          <w:highlight w:val="none"/>
        </w:rPr>
      </w:pPr>
      <w:r>
        <w:rPr>
          <w:rFonts w:hint="eastAsia" w:ascii="Times New Roman" w:hAnsi="Times New Roman"/>
          <w:color w:val="auto"/>
          <w:highlight w:val="none"/>
        </w:rPr>
        <w:t>致：</w:t>
      </w:r>
      <w:r>
        <w:rPr>
          <w:rFonts w:hint="eastAsia"/>
          <w:color w:val="auto"/>
          <w:highlight w:val="none"/>
        </w:rPr>
        <w:t>（采购代理机构名称）</w:t>
      </w:r>
    </w:p>
    <w:p>
      <w:pPr>
        <w:pStyle w:val="14"/>
        <w:spacing w:line="440" w:lineRule="exact"/>
        <w:ind w:firstLine="435"/>
        <w:rPr>
          <w:rFonts w:ascii="Times New Roman" w:hAnsi="Times New Roman"/>
          <w:color w:val="auto"/>
          <w:highlight w:val="none"/>
        </w:rPr>
      </w:pPr>
    </w:p>
    <w:p>
      <w:pPr>
        <w:pStyle w:val="14"/>
        <w:spacing w:line="420" w:lineRule="exact"/>
        <w:ind w:firstLine="482"/>
        <w:rPr>
          <w:color w:val="auto"/>
          <w:highlight w:val="none"/>
        </w:rPr>
      </w:pPr>
      <w:r>
        <w:rPr>
          <w:rFonts w:hint="eastAsia"/>
          <w:color w:val="auto"/>
          <w:highlight w:val="none"/>
        </w:rPr>
        <w:t>我方已仔细阅读了贵方组织的</w:t>
      </w:r>
      <w:r>
        <w:rPr>
          <w:rFonts w:hint="eastAsia"/>
          <w:color w:val="auto"/>
          <w:highlight w:val="none"/>
          <w:u w:val="single"/>
        </w:rPr>
        <w:t xml:space="preserve">        （项目名称）       </w:t>
      </w:r>
      <w:r>
        <w:rPr>
          <w:rFonts w:hint="eastAsia"/>
          <w:color w:val="auto"/>
          <w:highlight w:val="none"/>
        </w:rPr>
        <w:t xml:space="preserve">项目（项目编号：        ）的招标文件的全部内容，现正式递交下述文件参加贵方组织的本次政府采购活动： </w:t>
      </w:r>
    </w:p>
    <w:p>
      <w:pPr>
        <w:pStyle w:val="14"/>
        <w:spacing w:line="420" w:lineRule="exact"/>
        <w:ind w:firstLine="482"/>
        <w:rPr>
          <w:rFonts w:hint="eastAsia"/>
          <w:color w:val="auto"/>
          <w:highlight w:val="none"/>
        </w:rPr>
      </w:pPr>
      <w:r>
        <w:rPr>
          <w:rFonts w:hint="eastAsia"/>
          <w:color w:val="auto"/>
          <w:highlight w:val="none"/>
        </w:rPr>
        <w:t>一、报价文件正本一份，副本</w:t>
      </w:r>
      <w:r>
        <w:rPr>
          <w:rFonts w:hint="eastAsia"/>
          <w:color w:val="auto"/>
          <w:highlight w:val="none"/>
          <w:u w:val="single"/>
        </w:rPr>
        <w:t xml:space="preserve">   </w:t>
      </w:r>
      <w:r>
        <w:rPr>
          <w:rFonts w:hint="eastAsia"/>
          <w:color w:val="auto"/>
          <w:highlight w:val="none"/>
        </w:rPr>
        <w:t>份（包含按投标人须知第10.1.1项要求提交的全部文件）；</w:t>
      </w:r>
    </w:p>
    <w:p>
      <w:pPr>
        <w:pStyle w:val="14"/>
        <w:spacing w:line="420" w:lineRule="exact"/>
        <w:ind w:firstLine="482"/>
        <w:rPr>
          <w:color w:val="auto"/>
          <w:highlight w:val="none"/>
        </w:rPr>
      </w:pPr>
      <w:r>
        <w:rPr>
          <w:rFonts w:hint="eastAsia"/>
          <w:color w:val="auto"/>
          <w:highlight w:val="none"/>
        </w:rPr>
        <w:t>二、资格文件正本一份，副本</w:t>
      </w:r>
      <w:r>
        <w:rPr>
          <w:rFonts w:hint="eastAsia"/>
          <w:color w:val="auto"/>
          <w:highlight w:val="none"/>
          <w:u w:val="single"/>
        </w:rPr>
        <w:t xml:space="preserve">   </w:t>
      </w:r>
      <w:r>
        <w:rPr>
          <w:rFonts w:hint="eastAsia"/>
          <w:color w:val="auto"/>
          <w:highlight w:val="none"/>
        </w:rPr>
        <w:t>份（包含按投标人须知第10.1.2项要求提交的全部文件）；</w:t>
      </w:r>
    </w:p>
    <w:p>
      <w:pPr>
        <w:pStyle w:val="14"/>
        <w:spacing w:line="420" w:lineRule="exact"/>
        <w:ind w:firstLine="482"/>
        <w:rPr>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w:t>
      </w:r>
      <w:r>
        <w:rPr>
          <w:rFonts w:hint="eastAsia"/>
          <w:color w:val="auto"/>
          <w:highlight w:val="none"/>
          <w:u w:val="single"/>
        </w:rPr>
        <w:t xml:space="preserve">   </w:t>
      </w:r>
      <w:r>
        <w:rPr>
          <w:rFonts w:hint="eastAsia"/>
          <w:color w:val="auto"/>
          <w:highlight w:val="none"/>
        </w:rPr>
        <w:t>份（包含按投标人须知第10.1.3项要求提交的全部文件）；</w:t>
      </w:r>
    </w:p>
    <w:p>
      <w:pPr>
        <w:pStyle w:val="14"/>
        <w:spacing w:line="420" w:lineRule="exact"/>
        <w:ind w:firstLine="482"/>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w:t>
      </w:r>
      <w:r>
        <w:rPr>
          <w:rFonts w:hint="eastAsia" w:hAnsi="宋体"/>
          <w:color w:val="auto"/>
          <w:highlight w:val="none"/>
          <w:u w:val="single"/>
        </w:rPr>
        <w:t xml:space="preserve">   </w:t>
      </w:r>
      <w:r>
        <w:rPr>
          <w:rFonts w:hint="eastAsia" w:hAnsi="宋体"/>
          <w:color w:val="auto"/>
          <w:highlight w:val="none"/>
        </w:rPr>
        <w:t>份（包含按投标人须知第10.1.4项要求</w:t>
      </w:r>
      <w:r>
        <w:rPr>
          <w:rFonts w:hint="eastAsia"/>
          <w:color w:val="auto"/>
          <w:highlight w:val="none"/>
        </w:rPr>
        <w:t>提交的全部文件）。</w:t>
      </w:r>
    </w:p>
    <w:p>
      <w:pPr>
        <w:pStyle w:val="14"/>
        <w:spacing w:line="420" w:lineRule="exact"/>
        <w:ind w:firstLine="482"/>
        <w:rPr>
          <w:rFonts w:ascii="Times New Roman" w:hAnsi="Times New Roman"/>
          <w:color w:val="auto"/>
          <w:highlight w:val="none"/>
        </w:rPr>
      </w:pPr>
      <w:r>
        <w:rPr>
          <w:rFonts w:hint="eastAsia"/>
          <w:color w:val="auto"/>
          <w:highlight w:val="none"/>
        </w:rPr>
        <w:t>据此函，签字人兹宣布：</w:t>
      </w:r>
    </w:p>
    <w:p>
      <w:pPr>
        <w:pStyle w:val="14"/>
        <w:spacing w:line="420" w:lineRule="exact"/>
        <w:ind w:firstLine="482"/>
        <w:rPr>
          <w:rFonts w:ascii="Times New Roman" w:hAnsi="Times New Roman"/>
          <w:color w:val="auto"/>
          <w:highlight w:val="none"/>
        </w:rPr>
      </w:pPr>
      <w:r>
        <w:rPr>
          <w:rFonts w:hint="eastAsia"/>
          <w:color w:val="auto"/>
          <w:highlight w:val="none"/>
        </w:rPr>
        <w:t>1、我方愿意以（大写）人民币</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元)的投标总报价，</w:t>
      </w:r>
      <w:r>
        <w:rPr>
          <w:rFonts w:hint="eastAsia" w:hAnsi="宋体"/>
          <w:szCs w:val="21"/>
        </w:rPr>
        <w:t>交货或服务期（无分标时填写）</w:t>
      </w:r>
      <w:r>
        <w:rPr>
          <w:rFonts w:hint="eastAsia"/>
          <w:color w:val="auto"/>
          <w:highlight w:val="none"/>
        </w:rPr>
        <w:t>：</w:t>
      </w:r>
      <w:r>
        <w:rPr>
          <w:rFonts w:hint="eastAsia"/>
          <w:color w:val="auto"/>
          <w:highlight w:val="none"/>
          <w:u w:val="single"/>
        </w:rPr>
        <w:t xml:space="preserve">            </w:t>
      </w:r>
      <w:r>
        <w:rPr>
          <w:rFonts w:hint="eastAsia"/>
          <w:color w:val="auto"/>
          <w:highlight w:val="none"/>
        </w:rPr>
        <w:t>，提供本项目招标文件第二章“</w:t>
      </w:r>
      <w:r>
        <w:rPr>
          <w:rFonts w:hint="eastAsia"/>
          <w:color w:val="auto"/>
          <w:highlight w:val="none"/>
          <w:lang w:eastAsia="zh-CN"/>
        </w:rPr>
        <w:t>货物</w:t>
      </w:r>
      <w:r>
        <w:rPr>
          <w:rFonts w:hint="eastAsia"/>
          <w:color w:val="auto"/>
          <w:highlight w:val="none"/>
        </w:rPr>
        <w:t>需求一览表”中的采购内容。</w:t>
      </w:r>
    </w:p>
    <w:p>
      <w:pPr>
        <w:pStyle w:val="14"/>
        <w:spacing w:line="420" w:lineRule="exact"/>
        <w:ind w:firstLine="482"/>
        <w:rPr>
          <w:rFonts w:ascii="Times New Roman" w:hAnsi="Times New Roman"/>
          <w:color w:val="auto"/>
          <w:highlight w:val="none"/>
        </w:rPr>
      </w:pPr>
      <w:r>
        <w:rPr>
          <w:rFonts w:hint="eastAsia"/>
          <w:color w:val="auto"/>
          <w:highlight w:val="none"/>
        </w:rPr>
        <w:t>其中（有分标时填写）：</w:t>
      </w:r>
    </w:p>
    <w:p>
      <w:pPr>
        <w:pStyle w:val="14"/>
        <w:spacing w:line="420" w:lineRule="exact"/>
        <w:ind w:firstLine="482"/>
        <w:rPr>
          <w:rFonts w:ascii="Times New Roman" w:hAnsi="Times New Roman"/>
          <w:color w:val="auto"/>
          <w:highlight w:val="non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元)，</w:t>
      </w:r>
      <w:r>
        <w:rPr>
          <w:rFonts w:hint="eastAsia" w:hAnsi="宋体"/>
          <w:szCs w:val="21"/>
        </w:rPr>
        <w:t>交货或服务期</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4"/>
        <w:spacing w:line="420" w:lineRule="exact"/>
        <w:ind w:firstLine="482"/>
        <w:rPr>
          <w:rFonts w:ascii="Times New Roman" w:hAnsi="Times New Roman"/>
          <w:color w:val="auto"/>
          <w:highlight w:val="none"/>
        </w:rPr>
      </w:pPr>
      <w:r>
        <w:rPr>
          <w:rFonts w:hint="eastAsia"/>
          <w:color w:val="auto"/>
          <w:highlight w:val="none"/>
          <w:u w:val="single"/>
        </w:rPr>
        <w:t xml:space="preserve">    </w:t>
      </w: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元)，</w:t>
      </w:r>
      <w:r>
        <w:rPr>
          <w:rFonts w:hint="eastAsia" w:hAnsi="宋体"/>
          <w:szCs w:val="21"/>
        </w:rPr>
        <w:t>交货或服务期</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14"/>
        <w:spacing w:line="420" w:lineRule="exact"/>
        <w:ind w:firstLine="482"/>
        <w:rPr>
          <w:rFonts w:ascii="Times New Roman" w:hAnsi="Times New Roman"/>
          <w:color w:val="auto"/>
          <w:highlight w:val="none"/>
        </w:rPr>
      </w:pPr>
      <w:r>
        <w:rPr>
          <w:rFonts w:hint="eastAsia"/>
          <w:color w:val="auto"/>
          <w:highlight w:val="none"/>
        </w:rPr>
        <w:t>......</w:t>
      </w:r>
    </w:p>
    <w:p>
      <w:pPr>
        <w:pStyle w:val="14"/>
        <w:spacing w:line="420" w:lineRule="exact"/>
        <w:ind w:firstLine="482"/>
        <w:rPr>
          <w:color w:val="auto"/>
          <w:highlight w:val="non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14"/>
        <w:spacing w:line="420" w:lineRule="exact"/>
        <w:ind w:firstLine="482"/>
        <w:rPr>
          <w:color w:val="auto"/>
          <w:highlight w:val="none"/>
        </w:rPr>
      </w:pPr>
      <w:r>
        <w:rPr>
          <w:rFonts w:hint="eastAsia"/>
          <w:color w:val="auto"/>
          <w:highlight w:val="none"/>
        </w:rPr>
        <w:t>3、我方在此声明，所递交的投标文件及有关资料内容完整、真实和准确。</w:t>
      </w:r>
    </w:p>
    <w:p>
      <w:pPr>
        <w:pStyle w:val="14"/>
        <w:spacing w:line="360" w:lineRule="exact"/>
        <w:ind w:firstLine="420" w:firstLineChars="200"/>
        <w:rPr>
          <w:rFonts w:hint="eastAsia"/>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4"/>
        <w:numPr>
          <w:ilvl w:val="0"/>
          <w:numId w:val="7"/>
        </w:numPr>
        <w:spacing w:line="420" w:lineRule="exact"/>
        <w:rPr>
          <w:color w:val="auto"/>
          <w:highlight w:val="none"/>
        </w:rPr>
      </w:pPr>
      <w:r>
        <w:rPr>
          <w:rFonts w:hint="eastAsia"/>
          <w:color w:val="auto"/>
          <w:highlight w:val="none"/>
        </w:rPr>
        <w:t>具有独立承担民事责任的能力；</w:t>
      </w:r>
    </w:p>
    <w:p>
      <w:pPr>
        <w:pStyle w:val="14"/>
        <w:numPr>
          <w:ilvl w:val="0"/>
          <w:numId w:val="7"/>
        </w:numPr>
        <w:spacing w:line="420" w:lineRule="exact"/>
        <w:rPr>
          <w:color w:val="auto"/>
          <w:highlight w:val="none"/>
        </w:rPr>
      </w:pPr>
      <w:r>
        <w:rPr>
          <w:rFonts w:hint="eastAsia"/>
          <w:color w:val="auto"/>
          <w:highlight w:val="none"/>
        </w:rPr>
        <w:t>具有良好的商业信誉和健全的财务会计制度；</w:t>
      </w:r>
    </w:p>
    <w:p>
      <w:pPr>
        <w:pStyle w:val="14"/>
        <w:numPr>
          <w:ilvl w:val="0"/>
          <w:numId w:val="7"/>
        </w:numPr>
        <w:spacing w:line="420" w:lineRule="exact"/>
        <w:rPr>
          <w:color w:val="auto"/>
          <w:highlight w:val="none"/>
        </w:rPr>
      </w:pPr>
      <w:r>
        <w:rPr>
          <w:rFonts w:hint="eastAsia"/>
          <w:color w:val="auto"/>
          <w:highlight w:val="none"/>
        </w:rPr>
        <w:t>具有履行合同所必需的设备和专业技术能力；</w:t>
      </w:r>
    </w:p>
    <w:p>
      <w:pPr>
        <w:pStyle w:val="14"/>
        <w:numPr>
          <w:ilvl w:val="0"/>
          <w:numId w:val="7"/>
        </w:numPr>
        <w:spacing w:line="420" w:lineRule="exact"/>
        <w:rPr>
          <w:color w:val="auto"/>
          <w:highlight w:val="none"/>
        </w:rPr>
      </w:pPr>
      <w:r>
        <w:rPr>
          <w:rFonts w:hint="eastAsia"/>
          <w:color w:val="auto"/>
          <w:highlight w:val="none"/>
        </w:rPr>
        <w:t>有依法缴纳税收和社会保障资金的良好记录；</w:t>
      </w:r>
    </w:p>
    <w:p>
      <w:pPr>
        <w:pStyle w:val="14"/>
        <w:numPr>
          <w:ilvl w:val="0"/>
          <w:numId w:val="7"/>
        </w:numPr>
        <w:spacing w:line="420" w:lineRule="exact"/>
        <w:rPr>
          <w:color w:val="auto"/>
          <w:highlight w:val="none"/>
        </w:rPr>
      </w:pPr>
      <w:r>
        <w:rPr>
          <w:rFonts w:hint="eastAsia"/>
          <w:color w:val="auto"/>
          <w:highlight w:val="none"/>
        </w:rPr>
        <w:t>参加政府采购活动前三年内，在经营活动中没有重大违法记录；</w:t>
      </w:r>
    </w:p>
    <w:p>
      <w:pPr>
        <w:pStyle w:val="14"/>
        <w:numPr>
          <w:ilvl w:val="0"/>
          <w:numId w:val="7"/>
        </w:numPr>
        <w:spacing w:line="420" w:lineRule="exact"/>
        <w:rPr>
          <w:color w:val="auto"/>
          <w:highlight w:val="none"/>
        </w:rPr>
      </w:pPr>
      <w:r>
        <w:rPr>
          <w:rFonts w:hint="eastAsia"/>
          <w:color w:val="auto"/>
          <w:highlight w:val="none"/>
        </w:rPr>
        <w:t>法律、行政法规规定的其他条件。</w:t>
      </w:r>
    </w:p>
    <w:p>
      <w:pPr>
        <w:pStyle w:val="14"/>
        <w:spacing w:line="42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14"/>
        <w:spacing w:line="420" w:lineRule="exact"/>
        <w:ind w:firstLine="482"/>
        <w:rPr>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根据招标文件、我方的投标文件及有关澄清承诺书的要求按第六章“合同条款及格式”与采购人订立书面合同，并按照合同约定</w:t>
      </w:r>
      <w:r>
        <w:rPr>
          <w:rFonts w:hint="eastAsia"/>
          <w:color w:val="auto"/>
          <w:highlight w:val="none"/>
        </w:rPr>
        <w:t>承担完成合同的责任和义务。</w:t>
      </w:r>
    </w:p>
    <w:p>
      <w:pPr>
        <w:pStyle w:val="14"/>
        <w:spacing w:line="420" w:lineRule="exact"/>
        <w:ind w:firstLine="482"/>
        <w:rPr>
          <w:color w:val="auto"/>
          <w:highlight w:val="none"/>
        </w:rPr>
      </w:pPr>
      <w:r>
        <w:rPr>
          <w:rFonts w:hint="eastAsia"/>
          <w:color w:val="auto"/>
          <w:highlight w:val="none"/>
        </w:rPr>
        <w:t>7、我方已详细审核招标文件，我方知道必须放弃提出含糊不清或误解问题的权利。</w:t>
      </w:r>
    </w:p>
    <w:p>
      <w:pPr>
        <w:pStyle w:val="14"/>
        <w:spacing w:line="420" w:lineRule="exact"/>
        <w:ind w:firstLine="482"/>
        <w:rPr>
          <w:color w:val="auto"/>
          <w:highlight w:val="none"/>
        </w:rPr>
      </w:pPr>
      <w:r>
        <w:rPr>
          <w:rFonts w:hint="eastAsia"/>
          <w:color w:val="auto"/>
          <w:highlight w:val="none"/>
        </w:rPr>
        <w:t>8、我方同意应贵方要求提供与本投标有关的任何数据或资料。若贵方需要，我方愿意提供我方作出的一切承诺的证明材料。</w:t>
      </w:r>
    </w:p>
    <w:p>
      <w:pPr>
        <w:pStyle w:val="14"/>
        <w:spacing w:line="420" w:lineRule="exact"/>
        <w:ind w:firstLine="482"/>
        <w:rPr>
          <w:color w:val="auto"/>
          <w:highlight w:val="none"/>
        </w:rPr>
      </w:pPr>
      <w:r>
        <w:rPr>
          <w:rFonts w:hint="eastAsia"/>
          <w:color w:val="auto"/>
          <w:highlight w:val="none"/>
        </w:rPr>
        <w:t>9、我方完全理解贵方不一定接受投标报价最低的投标人为中标供应商的行为。</w:t>
      </w:r>
    </w:p>
    <w:p>
      <w:pPr>
        <w:pStyle w:val="14"/>
        <w:spacing w:line="420" w:lineRule="exact"/>
        <w:ind w:firstLine="482"/>
        <w:rPr>
          <w:color w:val="auto"/>
          <w:highlight w:val="none"/>
        </w:rPr>
      </w:pPr>
      <w:r>
        <w:rPr>
          <w:rFonts w:hint="eastAsia"/>
          <w:color w:val="auto"/>
          <w:highlight w:val="none"/>
        </w:rPr>
        <w:t>10、我方将严格遵守《中华人民共和国政府采购法》第七十七条的规定，即供应商有下列情形之一的，处以采购金额千分之五以上千分之十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4"/>
        <w:numPr>
          <w:ilvl w:val="0"/>
          <w:numId w:val="8"/>
        </w:numPr>
        <w:spacing w:line="420" w:lineRule="exact"/>
        <w:rPr>
          <w:rFonts w:hAnsi="宋体"/>
          <w:color w:val="auto"/>
          <w:highlight w:val="none"/>
        </w:rPr>
      </w:pPr>
      <w:r>
        <w:rPr>
          <w:rFonts w:hint="eastAsia" w:hAnsi="宋体"/>
          <w:color w:val="auto"/>
          <w:highlight w:val="none"/>
        </w:rPr>
        <w:t>提供虚假材料谋取中标、成交的；</w:t>
      </w:r>
    </w:p>
    <w:p>
      <w:pPr>
        <w:pStyle w:val="14"/>
        <w:numPr>
          <w:ilvl w:val="0"/>
          <w:numId w:val="8"/>
        </w:numPr>
        <w:spacing w:line="420" w:lineRule="exact"/>
        <w:rPr>
          <w:rFonts w:hAnsi="宋体"/>
          <w:color w:val="auto"/>
          <w:highlight w:val="none"/>
        </w:rPr>
      </w:pPr>
      <w:r>
        <w:rPr>
          <w:rFonts w:hint="eastAsia" w:hAnsi="宋体"/>
          <w:color w:val="auto"/>
          <w:highlight w:val="none"/>
        </w:rPr>
        <w:t>采取不正当手段诋毁、排挤其他供应商的；</w:t>
      </w:r>
    </w:p>
    <w:p>
      <w:pPr>
        <w:pStyle w:val="14"/>
        <w:numPr>
          <w:ilvl w:val="0"/>
          <w:numId w:val="8"/>
        </w:numPr>
        <w:spacing w:line="420" w:lineRule="exact"/>
        <w:rPr>
          <w:color w:val="auto"/>
          <w:highlight w:val="none"/>
        </w:rPr>
      </w:pPr>
      <w:r>
        <w:rPr>
          <w:rFonts w:hint="eastAsia" w:hAnsi="宋体"/>
          <w:color w:val="auto"/>
          <w:highlight w:val="none"/>
        </w:rPr>
        <w:t>与采购人、其他供应商或者采购代理机构恶意串通的；</w:t>
      </w:r>
    </w:p>
    <w:p>
      <w:pPr>
        <w:pStyle w:val="14"/>
        <w:numPr>
          <w:ilvl w:val="0"/>
          <w:numId w:val="8"/>
        </w:numPr>
        <w:spacing w:line="420" w:lineRule="exact"/>
        <w:rPr>
          <w:color w:val="auto"/>
          <w:highlight w:val="none"/>
        </w:rPr>
      </w:pPr>
      <w:r>
        <w:rPr>
          <w:rFonts w:hint="eastAsia" w:hAnsi="宋体"/>
          <w:color w:val="auto"/>
          <w:highlight w:val="none"/>
        </w:rPr>
        <w:t>向采购人、采购代理机构行贿或者提供其他不正当利益的；</w:t>
      </w:r>
    </w:p>
    <w:p>
      <w:pPr>
        <w:pStyle w:val="14"/>
        <w:numPr>
          <w:ilvl w:val="0"/>
          <w:numId w:val="8"/>
        </w:numPr>
        <w:spacing w:line="420" w:lineRule="exact"/>
        <w:rPr>
          <w:color w:val="auto"/>
          <w:highlight w:val="none"/>
        </w:rPr>
      </w:pPr>
      <w:r>
        <w:rPr>
          <w:rFonts w:hint="eastAsia" w:hAnsi="宋体"/>
          <w:color w:val="auto"/>
          <w:highlight w:val="none"/>
        </w:rPr>
        <w:t>在招标采购过程中与采购人进行协商谈判的；</w:t>
      </w:r>
    </w:p>
    <w:p>
      <w:pPr>
        <w:pStyle w:val="14"/>
        <w:spacing w:line="420" w:lineRule="exact"/>
        <w:ind w:firstLine="420" w:firstLineChars="200"/>
        <w:rPr>
          <w:rFonts w:hAnsi="宋体"/>
          <w:color w:val="auto"/>
          <w:highlight w:val="none"/>
        </w:rPr>
      </w:pPr>
      <w:r>
        <w:rPr>
          <w:rFonts w:hint="eastAsia" w:hAnsi="宋体"/>
          <w:color w:val="auto"/>
          <w:highlight w:val="none"/>
        </w:rPr>
        <w:t>（6）  拒绝有关部门监督检查或提供虚假情况的。</w:t>
      </w:r>
    </w:p>
    <w:p>
      <w:pPr>
        <w:pStyle w:val="14"/>
        <w:spacing w:line="440" w:lineRule="exact"/>
        <w:ind w:left="420"/>
        <w:rPr>
          <w:rFonts w:hint="eastAsia"/>
          <w:color w:val="auto"/>
          <w:highlight w:val="none"/>
        </w:rPr>
      </w:pPr>
      <w:r>
        <w:rPr>
          <w:rFonts w:hint="eastAsia"/>
          <w:color w:val="auto"/>
          <w:highlight w:val="none"/>
        </w:rPr>
        <w:t>11、我方及由本人担任法定代表人的其他机构最近三年内被处罚的违法行为有：</w:t>
      </w:r>
      <w:r>
        <w:rPr>
          <w:rFonts w:hint="eastAsia"/>
          <w:color w:val="auto"/>
          <w:highlight w:val="none"/>
          <w:u w:val="single"/>
        </w:rPr>
        <w:t xml:space="preserve">                                        </w:t>
      </w:r>
    </w:p>
    <w:p>
      <w:pPr>
        <w:pStyle w:val="14"/>
        <w:spacing w:line="440" w:lineRule="exact"/>
        <w:ind w:left="420"/>
        <w:rPr>
          <w:rFonts w:hint="eastAsia"/>
          <w:color w:val="auto"/>
          <w:highlight w:val="none"/>
        </w:rPr>
      </w:pPr>
      <w:r>
        <w:rPr>
          <w:rFonts w:hint="eastAsia"/>
          <w:color w:val="auto"/>
          <w:highlight w:val="none"/>
          <w:u w:val="single"/>
        </w:rPr>
        <w:t xml:space="preserve">                                                                                                                        </w:t>
      </w:r>
    </w:p>
    <w:p>
      <w:pPr>
        <w:pStyle w:val="14"/>
        <w:spacing w:line="360" w:lineRule="auto"/>
        <w:ind w:firstLine="420"/>
        <w:rPr>
          <w:rFonts w:hint="eastAsia"/>
          <w:color w:val="auto"/>
          <w:highlight w:val="none"/>
        </w:rPr>
      </w:pPr>
      <w:r>
        <w:rPr>
          <w:rFonts w:hint="eastAsia"/>
          <w:color w:val="auto"/>
          <w:highlight w:val="none"/>
        </w:rPr>
        <w:t>12、以上事项如有虚假或隐瞒，我方愿意承担一切后果，并不再寻求任何旨在减轻或免除法律责任的辩解。</w:t>
      </w:r>
    </w:p>
    <w:p>
      <w:pPr>
        <w:pStyle w:val="14"/>
        <w:spacing w:line="420" w:lineRule="exact"/>
        <w:ind w:firstLine="420"/>
        <w:rPr>
          <w:color w:val="auto"/>
          <w:highlight w:val="none"/>
          <w:u w:val="single"/>
        </w:rPr>
      </w:pPr>
      <w:r>
        <w:rPr>
          <w:rFonts w:hint="eastAsia"/>
          <w:color w:val="auto"/>
          <w:highlight w:val="none"/>
        </w:rPr>
        <w:t>投标人：</w:t>
      </w:r>
      <w:r>
        <w:rPr>
          <w:rFonts w:hint="eastAsia"/>
          <w:color w:val="auto"/>
          <w:highlight w:val="none"/>
          <w:u w:val="single"/>
        </w:rPr>
        <w:t xml:space="preserve">                                         </w:t>
      </w:r>
      <w:r>
        <w:rPr>
          <w:rFonts w:hint="eastAsia"/>
          <w:color w:val="auto"/>
          <w:highlight w:val="none"/>
        </w:rPr>
        <w:t>（盖单位公章）</w:t>
      </w:r>
    </w:p>
    <w:p>
      <w:pPr>
        <w:pStyle w:val="14"/>
        <w:spacing w:line="420" w:lineRule="exact"/>
        <w:ind w:firstLine="420"/>
        <w:rPr>
          <w:color w:val="auto"/>
          <w:highlight w:val="none"/>
        </w:rPr>
      </w:pPr>
      <w:r>
        <w:rPr>
          <w:rFonts w:hint="eastAsia" w:ascii="Times New Roman" w:hAnsi="Times New Roman"/>
          <w:color w:val="auto"/>
          <w:highlight w:val="none"/>
        </w:rPr>
        <w:t>法定代表人或其委托代理人：</w:t>
      </w:r>
      <w:r>
        <w:rPr>
          <w:rFonts w:hint="eastAsia" w:ascii="Times New Roman" w:hAnsi="Times New Roman"/>
          <w:color w:val="auto"/>
          <w:highlight w:val="none"/>
          <w:u w:val="single"/>
        </w:rPr>
        <w:t xml:space="preserve">                       </w:t>
      </w:r>
      <w:r>
        <w:rPr>
          <w:rFonts w:hint="eastAsia" w:ascii="Times New Roman" w:hAnsi="Times New Roman"/>
          <w:color w:val="auto"/>
          <w:highlight w:val="none"/>
        </w:rPr>
        <w:t>（签字或盖章）</w:t>
      </w:r>
    </w:p>
    <w:p>
      <w:pPr>
        <w:pStyle w:val="14"/>
        <w:spacing w:line="420" w:lineRule="exact"/>
        <w:ind w:firstLine="420"/>
        <w:rPr>
          <w:color w:val="auto"/>
          <w:highlight w:val="non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 xml:space="preserve"> </w:t>
      </w:r>
    </w:p>
    <w:p>
      <w:pPr>
        <w:pStyle w:val="14"/>
        <w:spacing w:line="420" w:lineRule="exact"/>
        <w:ind w:firstLine="420"/>
        <w:rPr>
          <w:color w:val="auto"/>
          <w:highlight w:val="none"/>
          <w:u w:val="single"/>
        </w:rPr>
      </w:pPr>
      <w:r>
        <w:rPr>
          <w:rFonts w:hint="eastAsia"/>
          <w:color w:val="auto"/>
          <w:highlight w:val="none"/>
        </w:rPr>
        <w:t>电话</w:t>
      </w:r>
      <w:r>
        <w:rPr>
          <w:rFonts w:hint="eastAsia"/>
          <w:color w:val="auto"/>
          <w:highlight w:val="none"/>
          <w:lang w:eastAsia="zh-CN"/>
        </w:rPr>
        <w:t>（</w:t>
      </w:r>
      <w:r>
        <w:rPr>
          <w:rFonts w:hint="eastAsia"/>
          <w:lang w:eastAsia="zh-CN"/>
        </w:rPr>
        <w:t>至少包含一个手机号码及座机号码）</w:t>
      </w:r>
      <w:r>
        <w:rPr>
          <w:rFonts w:hint="eastAsia"/>
          <w:color w:val="auto"/>
          <w:highlight w:val="none"/>
        </w:rPr>
        <w:t>：</w:t>
      </w:r>
      <w:r>
        <w:rPr>
          <w:rFonts w:hint="eastAsia"/>
          <w:color w:val="auto"/>
          <w:highlight w:val="none"/>
          <w:u w:val="single"/>
        </w:rPr>
        <w:t xml:space="preserve">                      　　　</w:t>
      </w:r>
    </w:p>
    <w:p>
      <w:pPr>
        <w:pStyle w:val="14"/>
        <w:spacing w:line="420" w:lineRule="exact"/>
        <w:ind w:firstLine="420"/>
        <w:rPr>
          <w:color w:val="auto"/>
          <w:highlight w:val="none"/>
        </w:rPr>
      </w:pPr>
      <w:r>
        <w:rPr>
          <w:rFonts w:hint="eastAsia"/>
          <w:color w:val="auto"/>
          <w:highlight w:val="none"/>
        </w:rPr>
        <w:t>传真：</w:t>
      </w:r>
      <w:r>
        <w:rPr>
          <w:rFonts w:hint="eastAsia"/>
          <w:color w:val="auto"/>
          <w:highlight w:val="none"/>
          <w:u w:val="single"/>
        </w:rPr>
        <w:t>　　　　　　　　　　　　　　　　　　　　　　　　　　　　</w:t>
      </w:r>
    </w:p>
    <w:p>
      <w:pPr>
        <w:pStyle w:val="14"/>
        <w:spacing w:line="420" w:lineRule="exact"/>
        <w:ind w:firstLine="420"/>
        <w:rPr>
          <w:rFonts w:hint="eastAsia"/>
          <w:color w:val="auto"/>
          <w:highlight w:val="none"/>
          <w:u w:val="single"/>
        </w:rPr>
      </w:pPr>
      <w:r>
        <w:rPr>
          <w:rFonts w:hint="eastAsia"/>
          <w:color w:val="auto"/>
          <w:highlight w:val="none"/>
        </w:rPr>
        <w:t>邮政编码：</w:t>
      </w:r>
      <w:r>
        <w:rPr>
          <w:rFonts w:hint="eastAsia"/>
          <w:color w:val="auto"/>
          <w:highlight w:val="none"/>
          <w:u w:val="single"/>
        </w:rPr>
        <w:t xml:space="preserve">                                                    </w:t>
      </w:r>
    </w:p>
    <w:p>
      <w:pPr>
        <w:pStyle w:val="14"/>
        <w:spacing w:line="420" w:lineRule="exact"/>
        <w:ind w:firstLine="420"/>
        <w:rPr>
          <w:rFonts w:hint="eastAsia"/>
          <w:color w:val="auto"/>
          <w:highlight w:val="none"/>
          <w:u w:val="single"/>
        </w:rPr>
      </w:pPr>
      <w:r>
        <w:rPr>
          <w:rFonts w:hint="eastAsia"/>
          <w:u w:val="none"/>
          <w:lang w:eastAsia="zh-CN"/>
        </w:rPr>
        <w:t>电子邮箱：</w:t>
      </w:r>
      <w:r>
        <w:rPr>
          <w:rFonts w:hint="eastAsia"/>
          <w:u w:val="single"/>
        </w:rPr>
        <w:t xml:space="preserve">　　　　　　　　　　　　　　　　　　　　　           </w:t>
      </w:r>
    </w:p>
    <w:p>
      <w:pPr>
        <w:pStyle w:val="14"/>
        <w:spacing w:line="420" w:lineRule="exact"/>
        <w:ind w:firstLine="420"/>
        <w:rPr>
          <w:color w:val="auto"/>
          <w:highlight w:val="none"/>
          <w:u w:val="single"/>
        </w:rPr>
      </w:pPr>
      <w:r>
        <w:rPr>
          <w:rFonts w:hint="eastAsia"/>
          <w:color w:val="auto"/>
          <w:highlight w:val="none"/>
        </w:rPr>
        <w:t>开户名称：</w:t>
      </w:r>
      <w:r>
        <w:rPr>
          <w:rFonts w:hint="eastAsia"/>
          <w:color w:val="auto"/>
          <w:highlight w:val="none"/>
          <w:u w:val="single"/>
        </w:rPr>
        <w:t xml:space="preserve">                                                    </w:t>
      </w:r>
    </w:p>
    <w:p>
      <w:pPr>
        <w:pStyle w:val="14"/>
        <w:spacing w:line="420" w:lineRule="exact"/>
        <w:ind w:firstLine="420"/>
        <w:rPr>
          <w:color w:val="auto"/>
          <w:highlight w:val="none"/>
          <w:u w:val="single"/>
        </w:rPr>
      </w:pPr>
      <w:r>
        <w:rPr>
          <w:rFonts w:hint="eastAsia"/>
          <w:color w:val="auto"/>
          <w:highlight w:val="none"/>
        </w:rPr>
        <w:t>开户银行：</w:t>
      </w:r>
      <w:r>
        <w:rPr>
          <w:rFonts w:hint="eastAsia"/>
          <w:color w:val="auto"/>
          <w:highlight w:val="none"/>
          <w:u w:val="single"/>
        </w:rPr>
        <w:t xml:space="preserve">                                                    </w:t>
      </w:r>
    </w:p>
    <w:p>
      <w:pPr>
        <w:pStyle w:val="14"/>
        <w:spacing w:line="420" w:lineRule="exact"/>
        <w:ind w:firstLine="420"/>
        <w:rPr>
          <w:color w:val="auto"/>
          <w:highlight w:val="none"/>
          <w:u w:val="single"/>
        </w:rPr>
      </w:pPr>
      <w:r>
        <w:rPr>
          <w:rFonts w:hint="eastAsia"/>
          <w:color w:val="auto"/>
          <w:highlight w:val="none"/>
        </w:rPr>
        <w:t>银行账号：</w:t>
      </w:r>
      <w:r>
        <w:rPr>
          <w:rFonts w:hint="eastAsia"/>
          <w:color w:val="auto"/>
          <w:highlight w:val="none"/>
          <w:u w:val="single"/>
        </w:rPr>
        <w:t xml:space="preserve">                                                    </w:t>
      </w:r>
    </w:p>
    <w:p>
      <w:pPr>
        <w:pStyle w:val="14"/>
        <w:spacing w:line="420" w:lineRule="exact"/>
        <w:ind w:firstLine="420"/>
        <w:rPr>
          <w:color w:val="auto"/>
          <w:highlight w:val="none"/>
          <w:u w:val="single"/>
        </w:rPr>
      </w:pPr>
      <w:r>
        <w:rPr>
          <w:rFonts w:hint="eastAsia"/>
          <w:bCs/>
          <w:color w:val="auto"/>
          <w:highlight w:val="none"/>
          <w:u w:val="single"/>
        </w:rPr>
        <w:t xml:space="preserve">    </w:t>
      </w:r>
      <w:r>
        <w:rPr>
          <w:rFonts w:hint="eastAsia"/>
          <w:bCs/>
          <w:color w:val="auto"/>
          <w:szCs w:val="21"/>
          <w:highlight w:val="none"/>
        </w:rPr>
        <w:t>年</w:t>
      </w:r>
      <w:r>
        <w:rPr>
          <w:rFonts w:hint="eastAsia"/>
          <w:bCs/>
          <w:color w:val="auto"/>
          <w:highlight w:val="none"/>
          <w:u w:val="single"/>
        </w:rPr>
        <w:t xml:space="preserve">    </w:t>
      </w:r>
      <w:r>
        <w:rPr>
          <w:rFonts w:hint="eastAsia"/>
          <w:bCs/>
          <w:color w:val="auto"/>
          <w:szCs w:val="21"/>
          <w:highlight w:val="none"/>
        </w:rPr>
        <w:t>月</w:t>
      </w:r>
      <w:r>
        <w:rPr>
          <w:rFonts w:hint="eastAsia"/>
          <w:bCs/>
          <w:color w:val="auto"/>
          <w:highlight w:val="none"/>
          <w:u w:val="single"/>
        </w:rPr>
        <w:t xml:space="preserve">    </w:t>
      </w:r>
      <w:r>
        <w:rPr>
          <w:rFonts w:hint="eastAsia"/>
          <w:bCs/>
          <w:color w:val="auto"/>
          <w:szCs w:val="21"/>
          <w:highlight w:val="none"/>
        </w:rPr>
        <w:t>日</w:t>
      </w:r>
      <w:r>
        <w:rPr>
          <w:rFonts w:ascii="黑体" w:eastAsia="黑体"/>
          <w:b/>
          <w:bCs/>
          <w:color w:val="auto"/>
          <w:highlight w:val="none"/>
        </w:rPr>
        <w:br w:type="page"/>
      </w:r>
      <w:r>
        <w:rPr>
          <w:rFonts w:hint="eastAsia" w:ascii="Times New Roman" w:hAnsi="Times New Roman"/>
          <w:b/>
          <w:color w:val="auto"/>
          <w:highlight w:val="none"/>
        </w:rPr>
        <w:t>格式2：</w:t>
      </w:r>
    </w:p>
    <w:p>
      <w:pPr>
        <w:pStyle w:val="14"/>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投标报价表（格式）</w:t>
      </w:r>
    </w:p>
    <w:p>
      <w:pPr>
        <w:pStyle w:val="14"/>
        <w:rPr>
          <w:rFonts w:ascii="Times New Roman" w:hAnsi="Times New Roman"/>
          <w:b/>
          <w:color w:val="auto"/>
          <w:sz w:val="24"/>
          <w:highlight w:val="none"/>
        </w:rPr>
      </w:pPr>
    </w:p>
    <w:tbl>
      <w:tblPr>
        <w:tblStyle w:val="24"/>
        <w:tblW w:w="931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900"/>
        <w:gridCol w:w="1800"/>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序号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货物名称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数量①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规格型号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单项合价（元）</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报价合计（包含装卸、运输等所有费用）：（大写）人民币                                       （￥                元）</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u w:val="single"/>
              </w:rPr>
              <w:t>　　</w:t>
            </w:r>
            <w:r>
              <w:rPr>
                <w:rFonts w:hint="eastAsia" w:ascii="宋体" w:hAnsi="宋体" w:cs="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法定代表人或其委托代理人（签字或盖章）：</w:t>
            </w:r>
          </w:p>
        </w:tc>
      </w:tr>
    </w:tbl>
    <w:p>
      <w:pPr>
        <w:pStyle w:val="14"/>
        <w:rPr>
          <w:b/>
          <w:color w:val="auto"/>
          <w:highlight w:val="none"/>
        </w:rPr>
      </w:pPr>
    </w:p>
    <w:p>
      <w:pPr>
        <w:pStyle w:val="14"/>
        <w:rPr>
          <w:rFonts w:hint="eastAsia"/>
          <w:b/>
          <w:color w:val="auto"/>
          <w:highlight w:val="none"/>
        </w:rPr>
      </w:pPr>
      <w:r>
        <w:rPr>
          <w:b/>
          <w:color w:val="auto"/>
          <w:highlight w:val="none"/>
        </w:rPr>
        <w:t>注：</w:t>
      </w:r>
      <w:r>
        <w:rPr>
          <w:rFonts w:hint="eastAsia"/>
          <w:b/>
          <w:color w:val="auto"/>
          <w:highlight w:val="none"/>
        </w:rPr>
        <w:t>1、</w:t>
      </w:r>
      <w:r>
        <w:rPr>
          <w:b/>
          <w:color w:val="auto"/>
          <w:highlight w:val="none"/>
        </w:rPr>
        <w:t>表格内容均需按要求填写并盖章，不得留空，</w:t>
      </w:r>
      <w:r>
        <w:rPr>
          <w:b/>
          <w:bCs/>
          <w:color w:val="auto"/>
          <w:highlight w:val="none"/>
        </w:rPr>
        <w:t>否则按投标无效处理</w:t>
      </w:r>
      <w:r>
        <w:rPr>
          <w:b/>
          <w:color w:val="auto"/>
          <w:highlight w:val="none"/>
        </w:rPr>
        <w:t>。</w:t>
      </w:r>
    </w:p>
    <w:p>
      <w:pPr>
        <w:pStyle w:val="12"/>
        <w:tabs>
          <w:tab w:val="left" w:pos="3204"/>
        </w:tabs>
        <w:spacing w:line="360" w:lineRule="exact"/>
        <w:ind w:firstLine="437" w:firstLineChars="196"/>
        <w:rPr>
          <w:rFonts w:hint="eastAsia"/>
          <w:b/>
          <w:color w:val="auto"/>
          <w:spacing w:val="6"/>
          <w:kern w:val="48"/>
          <w:sz w:val="21"/>
          <w:highlight w:val="none"/>
        </w:rPr>
      </w:pPr>
      <w:r>
        <w:rPr>
          <w:rFonts w:hint="eastAsia"/>
          <w:b/>
          <w:color w:val="auto"/>
          <w:spacing w:val="6"/>
          <w:kern w:val="48"/>
          <w:sz w:val="21"/>
          <w:highlight w:val="none"/>
        </w:rPr>
        <w:t>2、采购文件列明分项采购预算的，各分项报价不得超过对应分项采购预算，否则按投标无效处理。</w:t>
      </w:r>
    </w:p>
    <w:p>
      <w:pPr>
        <w:pStyle w:val="14"/>
        <w:rPr>
          <w:color w:val="auto"/>
          <w:highlight w:val="none"/>
        </w:rPr>
      </w:pPr>
    </w:p>
    <w:p>
      <w:pPr>
        <w:pStyle w:val="14"/>
        <w:rPr>
          <w:color w:val="auto"/>
          <w:highlight w:val="none"/>
        </w:rPr>
      </w:pPr>
      <w:r>
        <w:rPr>
          <w:color w:val="auto"/>
          <w:highlight w:val="none"/>
        </w:rPr>
        <w:br w:type="page"/>
      </w:r>
      <w:r>
        <w:rPr>
          <w:rFonts w:hint="eastAsia" w:ascii="Times New Roman" w:hAnsi="Times New Roman"/>
          <w:b/>
          <w:color w:val="auto"/>
          <w:highlight w:val="none"/>
        </w:rPr>
        <w:t>格式3：</w:t>
      </w:r>
    </w:p>
    <w:p>
      <w:pPr>
        <w:pStyle w:val="14"/>
        <w:jc w:val="center"/>
        <w:rPr>
          <w:color w:val="auto"/>
          <w:highlight w:val="none"/>
        </w:rPr>
      </w:pPr>
    </w:p>
    <w:p>
      <w:pPr>
        <w:pStyle w:val="14"/>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pStyle w:val="12"/>
        <w:spacing w:line="240" w:lineRule="auto"/>
        <w:ind w:firstLine="0"/>
        <w:rPr>
          <w:rFonts w:ascii="Times New Roman" w:hAnsi="Times New Roman"/>
          <w:color w:val="auto"/>
          <w:sz w:val="21"/>
          <w:szCs w:val="21"/>
          <w:highlight w:val="none"/>
        </w:rPr>
      </w:pPr>
      <w:r>
        <w:rPr>
          <w:rFonts w:hint="eastAsia" w:ascii="Times New Roman" w:hAnsi="宋体"/>
          <w:color w:val="auto"/>
          <w:sz w:val="21"/>
          <w:szCs w:val="21"/>
          <w:highlight w:val="none"/>
        </w:rPr>
        <w:t>说明：</w:t>
      </w:r>
    </w:p>
    <w:p>
      <w:pPr>
        <w:pStyle w:val="12"/>
        <w:spacing w:line="240" w:lineRule="auto"/>
        <w:ind w:firstLine="404" w:firstLineChars="20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、本声明函主要供参加政府采购活动的中小企业填写，非中小企业无需填写。</w:t>
      </w:r>
    </w:p>
    <w:p>
      <w:pPr>
        <w:pStyle w:val="12"/>
        <w:spacing w:line="240" w:lineRule="auto"/>
        <w:ind w:firstLine="404" w:firstLineChars="200"/>
        <w:rPr>
          <w:rFonts w:ascii="Times New Roman" w:hAnsi="宋体"/>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、小型、微型企业提供中型企业制造的货物的，视同为中型企业。</w:t>
      </w:r>
    </w:p>
    <w:p>
      <w:pPr>
        <w:pStyle w:val="12"/>
        <w:spacing w:line="240" w:lineRule="auto"/>
        <w:ind w:firstLine="404" w:firstLineChars="200"/>
        <w:rPr>
          <w:rFonts w:ascii="Times New Roman" w:hAnsi="宋体"/>
          <w:color w:val="auto"/>
          <w:sz w:val="21"/>
          <w:szCs w:val="21"/>
          <w:highlight w:val="none"/>
        </w:rPr>
      </w:pPr>
      <w:r>
        <w:rPr>
          <w:rFonts w:ascii="Times New Roman" w:hAnsi="宋体"/>
          <w:color w:val="auto"/>
          <w:sz w:val="21"/>
          <w:szCs w:val="21"/>
          <w:highlight w:val="none"/>
        </w:rPr>
        <w:t>3</w:t>
      </w:r>
      <w:r>
        <w:rPr>
          <w:rFonts w:hint="eastAsia" w:ascii="Times New Roman" w:hAnsi="宋体"/>
          <w:color w:val="auto"/>
          <w:sz w:val="21"/>
          <w:szCs w:val="21"/>
          <w:highlight w:val="none"/>
        </w:rPr>
        <w:t>、投标人按《财政部、司法部关于政府采购支持监狱企业发展有关问题的通知》（财库〔</w:t>
      </w:r>
      <w:r>
        <w:rPr>
          <w:rFonts w:ascii="Times New Roman" w:hAnsi="宋体"/>
          <w:color w:val="auto"/>
          <w:sz w:val="21"/>
          <w:szCs w:val="21"/>
          <w:highlight w:val="none"/>
        </w:rPr>
        <w:t>2014</w:t>
      </w:r>
      <w:r>
        <w:rPr>
          <w:rFonts w:hint="eastAsia" w:ascii="Times New Roman" w:hAnsi="宋体"/>
          <w:color w:val="auto"/>
          <w:sz w:val="21"/>
          <w:szCs w:val="21"/>
          <w:highlight w:val="none"/>
        </w:rPr>
        <w:t>〕</w:t>
      </w:r>
      <w:r>
        <w:rPr>
          <w:rFonts w:ascii="Times New Roman" w:hAnsi="宋体"/>
          <w:color w:val="auto"/>
          <w:sz w:val="21"/>
          <w:szCs w:val="21"/>
          <w:highlight w:val="none"/>
        </w:rPr>
        <w:t>68</w:t>
      </w:r>
      <w:r>
        <w:rPr>
          <w:rFonts w:hint="eastAsia" w:ascii="Times New Roman" w:hAnsi="宋体"/>
          <w:color w:val="auto"/>
          <w:sz w:val="21"/>
          <w:szCs w:val="21"/>
          <w:highlight w:val="none"/>
        </w:rPr>
        <w:t>号）认定为监狱企业，且提供由省级以上监狱管理局、戒毒管理局（含新疆生产建设兵团）出具的属于监狱企业的证明文件的，视同小型、微型企业。</w:t>
      </w:r>
    </w:p>
    <w:p>
      <w:pPr>
        <w:pStyle w:val="12"/>
        <w:spacing w:line="360" w:lineRule="auto"/>
        <w:ind w:firstLine="404" w:firstLineChars="200"/>
        <w:rPr>
          <w:rFonts w:ascii="Times New Roman" w:hAnsi="Times New Roman"/>
          <w:color w:val="auto"/>
          <w:sz w:val="21"/>
          <w:szCs w:val="21"/>
          <w:highlight w:val="none"/>
        </w:rPr>
      </w:pPr>
    </w:p>
    <w:p>
      <w:pPr>
        <w:pStyle w:val="14"/>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14"/>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宋体"/>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14"/>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宋体"/>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14"/>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14"/>
        <w:spacing w:line="360" w:lineRule="auto"/>
        <w:ind w:firstLine="420" w:firstLineChars="200"/>
        <w:rPr>
          <w:rFonts w:ascii="Times New Roman" w:hAnsi="Times New Roman"/>
          <w:color w:val="auto"/>
          <w:szCs w:val="21"/>
          <w:highlight w:val="none"/>
        </w:rPr>
      </w:pPr>
    </w:p>
    <w:p>
      <w:pPr>
        <w:pStyle w:val="14"/>
        <w:spacing w:line="360" w:lineRule="auto"/>
        <w:ind w:firstLine="420" w:firstLineChars="200"/>
        <w:rPr>
          <w:rFonts w:ascii="Times New Roman" w:hAnsi="Times New Roman"/>
          <w:color w:val="auto"/>
          <w:szCs w:val="21"/>
          <w:highlight w:val="none"/>
        </w:rPr>
      </w:pPr>
    </w:p>
    <w:p>
      <w:pPr>
        <w:pStyle w:val="14"/>
        <w:spacing w:line="360" w:lineRule="auto"/>
        <w:ind w:firstLine="420" w:firstLineChars="200"/>
        <w:rPr>
          <w:color w:val="auto"/>
          <w:highlight w:val="none"/>
        </w:rPr>
      </w:pPr>
    </w:p>
    <w:p>
      <w:pPr>
        <w:pStyle w:val="14"/>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ascii="Times New Roman" w:hAnsi="Times New Roman"/>
          <w:color w:val="auto"/>
          <w:highlight w:val="none"/>
          <w:u w:val="single"/>
        </w:rPr>
        <w:t xml:space="preserve">                                    </w:t>
      </w:r>
    </w:p>
    <w:p>
      <w:pPr>
        <w:pStyle w:val="14"/>
        <w:spacing w:line="600" w:lineRule="exact"/>
        <w:rPr>
          <w:rFonts w:ascii="Times New Roman" w:hAnsi="Times New Roman"/>
          <w:color w:val="auto"/>
          <w:highlight w:val="none"/>
          <w:u w:val="single"/>
        </w:rPr>
      </w:pPr>
    </w:p>
    <w:p>
      <w:pPr>
        <w:pStyle w:val="14"/>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ascii="Times New Roman" w:hAnsi="Times New Roman"/>
          <w:color w:val="auto"/>
          <w:highlight w:val="none"/>
          <w:u w:val="single"/>
        </w:rPr>
        <w:t xml:space="preserve">                  </w:t>
      </w:r>
    </w:p>
    <w:p>
      <w:pPr>
        <w:spacing w:line="460" w:lineRule="exact"/>
        <w:rPr>
          <w:rFonts w:hint="eastAsia" w:ascii="仿宋_GB2312" w:hAnsi="宋体" w:eastAsia="仿宋_GB2312"/>
          <w:color w:val="auto"/>
          <w:szCs w:val="21"/>
          <w:highlight w:val="none"/>
        </w:rPr>
      </w:pPr>
    </w:p>
    <w:p>
      <w:pPr>
        <w:spacing w:line="460" w:lineRule="exact"/>
        <w:ind w:firstLine="420" w:firstLineChars="200"/>
        <w:rPr>
          <w:rFonts w:ascii="宋体" w:hAnsi="宋体"/>
          <w:b/>
          <w:color w:val="auto"/>
          <w:szCs w:val="21"/>
          <w:highlight w:val="none"/>
        </w:rPr>
      </w:pPr>
      <w:r>
        <w:rPr>
          <w:rFonts w:hint="eastAsia" w:ascii="仿宋_GB2312" w:hAnsi="宋体" w:eastAsia="仿宋_GB2312"/>
          <w:color w:val="auto"/>
          <w:szCs w:val="21"/>
          <w:highlight w:val="none"/>
        </w:rPr>
        <w:t>备注：如果投标产品中有小型或微型企业的产品，应在投标报价明细表中注明生产企业名称，并在投标文件提供符合规定的有关证明材料（投标人及所有投标产品生产厂家属于小型或微型企业的有关政府部门颁发的有效的证书），否则不认可该产品为小型或微型企业的产品。</w:t>
      </w:r>
    </w:p>
    <w:p>
      <w:pPr>
        <w:snapToGrid w:val="0"/>
        <w:spacing w:before="50" w:after="165" w:afterLines="50" w:line="400" w:lineRule="exact"/>
        <w:jc w:val="left"/>
        <w:rPr>
          <w:rFonts w:hint="eastAsia" w:ascii="仿宋" w:hAnsi="仿宋" w:eastAsia="仿宋"/>
          <w:b/>
          <w:color w:val="auto"/>
          <w:sz w:val="24"/>
          <w:highlight w:val="none"/>
        </w:rPr>
      </w:pPr>
      <w:r>
        <w:rPr>
          <w:color w:val="auto"/>
          <w:highlight w:val="none"/>
        </w:rPr>
        <w:br w:type="page"/>
      </w:r>
      <w:r>
        <w:rPr>
          <w:rFonts w:hint="eastAsia" w:ascii="仿宋" w:hAnsi="仿宋" w:eastAsia="仿宋"/>
          <w:b/>
          <w:color w:val="auto"/>
          <w:sz w:val="24"/>
          <w:highlight w:val="none"/>
        </w:rPr>
        <w:t>监狱企业的证明文件</w:t>
      </w:r>
    </w:p>
    <w:p>
      <w:pPr>
        <w:snapToGrid w:val="0"/>
        <w:spacing w:before="50" w:after="165" w:afterLines="50" w:line="400" w:lineRule="exact"/>
        <w:jc w:val="left"/>
        <w:rPr>
          <w:rFonts w:hint="eastAsia" w:ascii="仿宋" w:hAnsi="仿宋" w:eastAsia="仿宋"/>
          <w:b/>
          <w:color w:val="auto"/>
          <w:sz w:val="24"/>
          <w:highlight w:val="none"/>
        </w:rPr>
      </w:pPr>
      <w:r>
        <w:rPr>
          <w:rFonts w:hint="eastAsia" w:ascii="仿宋" w:hAnsi="仿宋" w:eastAsia="仿宋"/>
          <w:b/>
          <w:color w:val="auto"/>
          <w:sz w:val="24"/>
          <w:highlight w:val="none"/>
        </w:rPr>
        <w:t>残疾人福利性单位声明函（格式）：</w:t>
      </w:r>
    </w:p>
    <w:p>
      <w:pPr>
        <w:spacing w:line="588" w:lineRule="exact"/>
        <w:jc w:val="center"/>
        <w:rPr>
          <w:rFonts w:ascii="仿宋" w:hAnsi="仿宋" w:eastAsia="仿宋"/>
          <w:color w:val="auto"/>
          <w:sz w:val="24"/>
          <w:highlight w:val="none"/>
        </w:rPr>
      </w:pPr>
      <w:r>
        <w:rPr>
          <w:rFonts w:hint="eastAsia" w:ascii="仿宋" w:hAnsi="仿宋" w:eastAsia="仿宋"/>
          <w:color w:val="auto"/>
          <w:sz w:val="24"/>
          <w:highlight w:val="none"/>
        </w:rPr>
        <w:t>残疾人福利性单位声明函</w:t>
      </w:r>
    </w:p>
    <w:p>
      <w:pPr>
        <w:spacing w:line="588" w:lineRule="exact"/>
        <w:rPr>
          <w:rFonts w:ascii="仿宋_GB2312" w:eastAsia="仿宋_GB2312"/>
          <w:color w:val="auto"/>
          <w:spacing w:val="6"/>
          <w:sz w:val="24"/>
          <w:highlight w:val="none"/>
        </w:rPr>
      </w:pPr>
    </w:p>
    <w:p>
      <w:pPr>
        <w:spacing w:line="588" w:lineRule="exact"/>
        <w:ind w:firstLine="504" w:firstLineChars="200"/>
        <w:rPr>
          <w:rFonts w:ascii="仿宋_GB2312" w:eastAsia="仿宋_GB2312"/>
          <w:color w:val="auto"/>
          <w:spacing w:val="6"/>
          <w:sz w:val="24"/>
          <w:highlight w:val="none"/>
        </w:rPr>
      </w:pPr>
      <w:r>
        <w:rPr>
          <w:rFonts w:hint="eastAsia" w:ascii="仿宋_GB2312" w:eastAsia="仿宋_GB2312"/>
          <w:color w:val="auto"/>
          <w:spacing w:val="6"/>
          <w:sz w:val="24"/>
          <w:highlight w:val="none"/>
        </w:rPr>
        <w:t>本单位郑重声明，根据《财政部</w:t>
      </w:r>
      <w:r>
        <w:rPr>
          <w:rFonts w:ascii="仿宋_GB2312" w:eastAsia="仿宋_GB2312"/>
          <w:color w:val="auto"/>
          <w:spacing w:val="6"/>
          <w:sz w:val="24"/>
          <w:highlight w:val="none"/>
        </w:rPr>
        <w:t xml:space="preserve"> </w:t>
      </w:r>
      <w:r>
        <w:rPr>
          <w:rFonts w:hint="eastAsia" w:ascii="仿宋_GB2312" w:eastAsia="仿宋_GB2312"/>
          <w:color w:val="auto"/>
          <w:spacing w:val="6"/>
          <w:sz w:val="24"/>
          <w:highlight w:val="none"/>
        </w:rPr>
        <w:t>民政部</w:t>
      </w:r>
      <w:r>
        <w:rPr>
          <w:rFonts w:ascii="仿宋_GB2312" w:eastAsia="仿宋_GB2312"/>
          <w:color w:val="auto"/>
          <w:spacing w:val="6"/>
          <w:sz w:val="24"/>
          <w:highlight w:val="none"/>
        </w:rPr>
        <w:t xml:space="preserve"> </w:t>
      </w:r>
      <w:r>
        <w:rPr>
          <w:rFonts w:hint="eastAsia" w:ascii="仿宋_GB2312" w:eastAsia="仿宋_GB2312"/>
          <w:color w:val="auto"/>
          <w:spacing w:val="6"/>
          <w:sz w:val="24"/>
          <w:highlight w:val="none"/>
        </w:rPr>
        <w:t>中国残疾人联合会关于促进残疾人就业政府采购政策的通知》（财库</w:t>
      </w:r>
      <w:r>
        <w:rPr>
          <w:rFonts w:hint="eastAsia" w:ascii="仿宋_GB2312" w:eastAsia="仿宋_GB2312"/>
          <w:color w:val="auto"/>
          <w:sz w:val="24"/>
          <w:highlight w:val="none"/>
        </w:rPr>
        <w:t>〔</w:t>
      </w:r>
      <w:r>
        <w:rPr>
          <w:rFonts w:ascii="仿宋_GB2312" w:eastAsia="仿宋_GB2312"/>
          <w:color w:val="auto"/>
          <w:sz w:val="24"/>
          <w:highlight w:val="none"/>
        </w:rPr>
        <w:t>2017</w:t>
      </w:r>
      <w:r>
        <w:rPr>
          <w:rFonts w:hint="eastAsia" w:ascii="仿宋_GB2312" w:eastAsia="仿宋_GB2312"/>
          <w:color w:val="auto"/>
          <w:sz w:val="24"/>
          <w:highlight w:val="none"/>
        </w:rPr>
        <w:t>〕</w:t>
      </w:r>
      <w:r>
        <w:rPr>
          <w:rFonts w:ascii="仿宋_GB2312" w:eastAsia="仿宋_GB2312"/>
          <w:color w:val="auto"/>
          <w:sz w:val="24"/>
          <w:highlight w:val="none"/>
        </w:rPr>
        <w:t xml:space="preserve"> 141</w:t>
      </w:r>
      <w:r>
        <w:rPr>
          <w:rFonts w:hint="eastAsia" w:ascii="仿宋_GB2312" w:eastAsia="仿宋_GB2312"/>
          <w:color w:val="auto"/>
          <w:spacing w:val="6"/>
          <w:sz w:val="24"/>
          <w:highlight w:val="none"/>
        </w:rPr>
        <w:t>号）的规定，本单位为符合条件的残疾人福利性单位，且本单位参加</w:t>
      </w:r>
      <w:r>
        <w:rPr>
          <w:rFonts w:ascii="仿宋_GB2312" w:eastAsia="仿宋_GB2312"/>
          <w:color w:val="auto"/>
          <w:spacing w:val="6"/>
          <w:sz w:val="24"/>
          <w:highlight w:val="none"/>
        </w:rPr>
        <w:t>______</w:t>
      </w:r>
      <w:r>
        <w:rPr>
          <w:rFonts w:hint="eastAsia" w:ascii="仿宋_GB2312" w:eastAsia="仿宋_GB2312"/>
          <w:color w:val="auto"/>
          <w:spacing w:val="6"/>
          <w:sz w:val="24"/>
          <w:highlight w:val="none"/>
        </w:rPr>
        <w:t>单位的</w:t>
      </w:r>
      <w:r>
        <w:rPr>
          <w:rFonts w:ascii="仿宋_GB2312" w:eastAsia="仿宋_GB2312"/>
          <w:color w:val="auto"/>
          <w:spacing w:val="6"/>
          <w:sz w:val="24"/>
          <w:highlight w:val="none"/>
        </w:rPr>
        <w:t>______</w:t>
      </w:r>
      <w:r>
        <w:rPr>
          <w:rFonts w:hint="eastAsia" w:ascii="仿宋_GB2312" w:eastAsia="仿宋_GB2312"/>
          <w:color w:val="auto"/>
          <w:spacing w:val="6"/>
          <w:sz w:val="24"/>
          <w:highlight w:val="none"/>
        </w:rPr>
        <w:t>项目采购活动提供本单位制造的货物（由本单位承担工程</w:t>
      </w:r>
      <w:r>
        <w:rPr>
          <w:rFonts w:ascii="仿宋_GB2312" w:eastAsia="仿宋_GB2312"/>
          <w:color w:val="auto"/>
          <w:spacing w:val="6"/>
          <w:sz w:val="24"/>
          <w:highlight w:val="none"/>
        </w:rPr>
        <w:t>/</w:t>
      </w:r>
      <w:r>
        <w:rPr>
          <w:rFonts w:hint="eastAsia" w:ascii="仿宋_GB2312" w:eastAsia="仿宋_GB2312"/>
          <w:color w:val="auto"/>
          <w:spacing w:val="6"/>
          <w:sz w:val="24"/>
          <w:highlight w:val="none"/>
        </w:rPr>
        <w:t>提供服务），或者提供其他残疾人福利性单位制造的货物（不包括使用非残疾人福利性单位注册商标的货物）。</w:t>
      </w:r>
    </w:p>
    <w:p>
      <w:pPr>
        <w:spacing w:line="588" w:lineRule="exact"/>
        <w:ind w:firstLine="504" w:firstLineChars="200"/>
        <w:rPr>
          <w:rFonts w:ascii="仿宋_GB2312" w:eastAsia="仿宋_GB2312"/>
          <w:color w:val="auto"/>
          <w:spacing w:val="6"/>
          <w:sz w:val="24"/>
          <w:highlight w:val="none"/>
        </w:rPr>
      </w:pPr>
      <w:r>
        <w:rPr>
          <w:rFonts w:hint="eastAsia" w:ascii="仿宋_GB2312" w:eastAsia="仿宋_GB2312"/>
          <w:color w:val="auto"/>
          <w:spacing w:val="6"/>
          <w:sz w:val="24"/>
          <w:highlight w:val="none"/>
        </w:rPr>
        <w:t>本单位对上述声明的真实性负责。如有虚假，将依法承担相应责任。</w:t>
      </w:r>
    </w:p>
    <w:p>
      <w:pPr>
        <w:spacing w:line="588" w:lineRule="exact"/>
        <w:ind w:firstLine="504" w:firstLineChars="200"/>
        <w:rPr>
          <w:rFonts w:ascii="仿宋_GB2312" w:eastAsia="仿宋_GB2312"/>
          <w:color w:val="auto"/>
          <w:spacing w:val="6"/>
          <w:sz w:val="24"/>
          <w:highlight w:val="none"/>
        </w:rPr>
      </w:pPr>
    </w:p>
    <w:p>
      <w:pPr>
        <w:spacing w:line="588" w:lineRule="exact"/>
        <w:ind w:firstLine="504" w:firstLineChars="200"/>
        <w:rPr>
          <w:rFonts w:ascii="仿宋_GB2312" w:eastAsia="仿宋_GB2312"/>
          <w:color w:val="auto"/>
          <w:spacing w:val="6"/>
          <w:sz w:val="24"/>
          <w:highlight w:val="none"/>
        </w:rPr>
      </w:pPr>
    </w:p>
    <w:p>
      <w:pPr>
        <w:tabs>
          <w:tab w:val="left" w:pos="4860"/>
        </w:tabs>
        <w:spacing w:line="588" w:lineRule="exact"/>
        <w:ind w:right="1560" w:firstLine="504" w:firstLineChars="200"/>
        <w:jc w:val="center"/>
        <w:rPr>
          <w:rFonts w:ascii="仿宋_GB2312" w:eastAsia="仿宋_GB2312"/>
          <w:color w:val="auto"/>
          <w:spacing w:val="6"/>
          <w:sz w:val="24"/>
          <w:highlight w:val="none"/>
        </w:rPr>
      </w:pPr>
      <w:r>
        <w:rPr>
          <w:rFonts w:ascii="仿宋_GB2312" w:eastAsia="仿宋_GB2312"/>
          <w:color w:val="auto"/>
          <w:spacing w:val="6"/>
          <w:sz w:val="24"/>
          <w:highlight w:val="none"/>
        </w:rPr>
        <w:t xml:space="preserve">               </w:t>
      </w:r>
      <w:r>
        <w:rPr>
          <w:rFonts w:hint="eastAsia" w:ascii="仿宋_GB2312" w:eastAsia="仿宋_GB2312"/>
          <w:color w:val="auto"/>
          <w:spacing w:val="6"/>
          <w:sz w:val="24"/>
          <w:highlight w:val="none"/>
        </w:rPr>
        <w:t>单位名称（盖章）：</w:t>
      </w:r>
    </w:p>
    <w:p>
      <w:pPr>
        <w:tabs>
          <w:tab w:val="left" w:pos="4860"/>
        </w:tabs>
        <w:spacing w:line="588" w:lineRule="exact"/>
        <w:ind w:right="1560" w:firstLine="504" w:firstLineChars="200"/>
        <w:jc w:val="center"/>
        <w:rPr>
          <w:rFonts w:ascii="宋体" w:hAnsi="宋体"/>
          <w:b/>
          <w:color w:val="auto"/>
          <w:szCs w:val="21"/>
          <w:highlight w:val="none"/>
        </w:rPr>
      </w:pPr>
      <w:r>
        <w:rPr>
          <w:rFonts w:ascii="仿宋_GB2312" w:eastAsia="仿宋_GB2312"/>
          <w:color w:val="auto"/>
          <w:spacing w:val="6"/>
          <w:sz w:val="24"/>
          <w:highlight w:val="none"/>
        </w:rPr>
        <w:t xml:space="preserve">       </w:t>
      </w:r>
      <w:r>
        <w:rPr>
          <w:rFonts w:hint="eastAsia" w:ascii="仿宋_GB2312" w:eastAsia="仿宋_GB2312"/>
          <w:color w:val="auto"/>
          <w:spacing w:val="6"/>
          <w:sz w:val="24"/>
          <w:highlight w:val="none"/>
        </w:rPr>
        <w:t>日</w:t>
      </w:r>
      <w:r>
        <w:rPr>
          <w:rFonts w:ascii="仿宋_GB2312" w:eastAsia="仿宋_GB2312"/>
          <w:color w:val="auto"/>
          <w:spacing w:val="6"/>
          <w:sz w:val="24"/>
          <w:highlight w:val="none"/>
        </w:rPr>
        <w:t xml:space="preserve">  </w:t>
      </w:r>
      <w:r>
        <w:rPr>
          <w:rFonts w:hint="eastAsia" w:ascii="仿宋_GB2312" w:eastAsia="仿宋_GB2312"/>
          <w:color w:val="auto"/>
          <w:spacing w:val="6"/>
          <w:sz w:val="24"/>
          <w:highlight w:val="none"/>
        </w:rPr>
        <w:t>期：</w:t>
      </w:r>
    </w:p>
    <w:p>
      <w:pPr>
        <w:pStyle w:val="14"/>
        <w:spacing w:line="360" w:lineRule="auto"/>
        <w:rPr>
          <w:rFonts w:hint="eastAsia"/>
          <w:color w:val="auto"/>
          <w:highlight w:val="none"/>
        </w:rPr>
      </w:pPr>
      <w:r>
        <w:rPr>
          <w:rFonts w:hint="eastAsia"/>
          <w:color w:val="auto"/>
          <w:highlight w:val="none"/>
        </w:rPr>
        <w:br w:type="page"/>
      </w:r>
    </w:p>
    <w:p>
      <w:pPr>
        <w:pStyle w:val="14"/>
        <w:spacing w:line="360" w:lineRule="auto"/>
        <w:rPr>
          <w:rFonts w:ascii="Times New Roman" w:hAnsi="Times New Roman"/>
          <w:szCs w:val="21"/>
        </w:rPr>
      </w:pPr>
      <w:r>
        <w:rPr>
          <w:rFonts w:hint="eastAsia" w:ascii="Times New Roman" w:hAnsi="Times New Roman"/>
          <w:b/>
        </w:rPr>
        <w:t>格式4：</w:t>
      </w:r>
    </w:p>
    <w:p>
      <w:pPr>
        <w:pStyle w:val="14"/>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14"/>
        <w:rPr>
          <w:rFonts w:ascii="Times New Roman" w:hAnsi="Times New Roman"/>
          <w:b/>
          <w:sz w:val="24"/>
        </w:rPr>
      </w:pPr>
    </w:p>
    <w:p>
      <w:pPr>
        <w:pStyle w:val="12"/>
        <w:spacing w:line="240" w:lineRule="auto"/>
        <w:ind w:firstLine="0"/>
        <w:rPr>
          <w:rFonts w:ascii="Times New Roman" w:hAnsi="Times New Roman"/>
          <w:sz w:val="20"/>
          <w:szCs w:val="20"/>
        </w:rPr>
      </w:pPr>
      <w:r>
        <w:rPr>
          <w:rFonts w:hint="eastAsia" w:ascii="Times New Roman" w:hAnsi="宋体"/>
          <w:sz w:val="20"/>
          <w:szCs w:val="20"/>
        </w:rPr>
        <w:t>说</w:t>
      </w:r>
      <w:r>
        <w:rPr>
          <w:rFonts w:hint="eastAsia" w:ascii="Times New Roman" w:hAnsi="Times New Roman"/>
          <w:sz w:val="20"/>
          <w:szCs w:val="20"/>
        </w:rPr>
        <w:t>明：</w:t>
      </w:r>
    </w:p>
    <w:p>
      <w:pPr>
        <w:pStyle w:val="12"/>
        <w:spacing w:line="240" w:lineRule="auto"/>
        <w:ind w:firstLine="0"/>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、本文件所指广西工业产品，是指广西境内生产的工业产品，具体以生产企业的工商营业执照注册所在地为准。</w:t>
      </w:r>
    </w:p>
    <w:p>
      <w:pPr>
        <w:pStyle w:val="12"/>
        <w:spacing w:line="240" w:lineRule="auto"/>
        <w:ind w:firstLine="0"/>
        <w:rPr>
          <w:rFonts w:ascii="Times New Roman" w:hAnsi="Times New Roman"/>
          <w:sz w:val="20"/>
          <w:szCs w:val="20"/>
        </w:rPr>
      </w:pPr>
      <w:r>
        <w:rPr>
          <w:rFonts w:ascii="Times New Roman" w:hAnsi="Times New Roman"/>
          <w:sz w:val="20"/>
          <w:szCs w:val="20"/>
        </w:rPr>
        <w:t>2</w:t>
      </w:r>
      <w:r>
        <w:rPr>
          <w:rFonts w:hint="eastAsia" w:ascii="Times New Roman" w:hAnsi="Times New Roman"/>
          <w:sz w:val="20"/>
          <w:szCs w:val="20"/>
        </w:rPr>
        <w:t>、本细则所指使用广西工业产品</w:t>
      </w:r>
      <w:r>
        <w:rPr>
          <w:rFonts w:ascii="Times New Roman" w:hAnsi="Times New Roman"/>
          <w:sz w:val="20"/>
          <w:szCs w:val="20"/>
        </w:rPr>
        <w:t>80%</w:t>
      </w:r>
      <w:r>
        <w:rPr>
          <w:rFonts w:hint="eastAsia" w:ascii="Times New Roman" w:hAnsi="Times New Roman"/>
          <w:sz w:val="20"/>
          <w:szCs w:val="20"/>
        </w:rPr>
        <w:t>以上，是指参加政府项目或招标项目时供货范围中采用广西工业产品的金额占本次投标或投标总金额的</w:t>
      </w:r>
      <w:r>
        <w:rPr>
          <w:rFonts w:ascii="Times New Roman" w:hAnsi="Times New Roman"/>
          <w:sz w:val="20"/>
          <w:szCs w:val="20"/>
        </w:rPr>
        <w:t>80%</w:t>
      </w:r>
      <w:r>
        <w:rPr>
          <w:rFonts w:hint="eastAsia" w:ascii="Times New Roman" w:hAnsi="Times New Roman"/>
          <w:sz w:val="20"/>
          <w:szCs w:val="20"/>
        </w:rPr>
        <w:t>以上（含）；或者工程建设使用广西工业产品占工程建设所需产品总金额的</w:t>
      </w:r>
      <w:r>
        <w:rPr>
          <w:rFonts w:ascii="Times New Roman" w:hAnsi="Times New Roman"/>
          <w:sz w:val="20"/>
          <w:szCs w:val="20"/>
        </w:rPr>
        <w:t>80%</w:t>
      </w:r>
      <w:r>
        <w:rPr>
          <w:rFonts w:hint="eastAsia" w:ascii="Times New Roman" w:hAnsi="Times New Roman"/>
          <w:sz w:val="20"/>
          <w:szCs w:val="20"/>
        </w:rPr>
        <w:t>以上（含）。</w:t>
      </w:r>
    </w:p>
    <w:p>
      <w:pPr>
        <w:pStyle w:val="12"/>
        <w:spacing w:line="240" w:lineRule="auto"/>
        <w:ind w:firstLine="0"/>
        <w:rPr>
          <w:rFonts w:ascii="Times New Roman" w:hAnsi="Times New Roman"/>
          <w:sz w:val="20"/>
          <w:szCs w:val="20"/>
        </w:rPr>
      </w:pPr>
      <w:r>
        <w:rPr>
          <w:rFonts w:ascii="Times New Roman" w:hAnsi="Times New Roman"/>
          <w:sz w:val="20"/>
          <w:szCs w:val="20"/>
        </w:rPr>
        <w:t>3</w:t>
      </w:r>
      <w:r>
        <w:rPr>
          <w:rFonts w:hint="eastAsia" w:ascii="Times New Roman" w:hAnsi="Times New Roman"/>
          <w:sz w:val="20"/>
          <w:szCs w:val="20"/>
        </w:rPr>
        <w:t>、发现投标人提供虚假材料、采购单位履约过程中中标供应商未按投标文件《广西工业产品声明函》中使用广西工业产品或者使用广西工业产品未达</w:t>
      </w:r>
      <w:r>
        <w:rPr>
          <w:rFonts w:ascii="Times New Roman" w:hAnsi="Times New Roman"/>
          <w:sz w:val="20"/>
          <w:szCs w:val="20"/>
        </w:rPr>
        <w:t>80%</w:t>
      </w:r>
      <w:r>
        <w:rPr>
          <w:rFonts w:hint="eastAsia" w:ascii="Times New Roman" w:hAnsi="Times New Roman"/>
          <w:sz w:val="20"/>
          <w:szCs w:val="20"/>
        </w:rPr>
        <w:t>以上的，按照有关法律法规追究其相关责任。</w:t>
      </w:r>
    </w:p>
    <w:p>
      <w:pPr>
        <w:pStyle w:val="12"/>
        <w:spacing w:line="240" w:lineRule="auto"/>
        <w:ind w:firstLine="0"/>
        <w:rPr>
          <w:rFonts w:ascii="Times New Roman" w:hAnsi="Times New Roman"/>
          <w:sz w:val="20"/>
          <w:szCs w:val="20"/>
        </w:rPr>
      </w:pPr>
    </w:p>
    <w:p>
      <w:pPr>
        <w:pStyle w:val="12"/>
        <w:spacing w:line="240" w:lineRule="auto"/>
        <w:ind w:firstLine="384" w:firstLineChars="200"/>
        <w:rPr>
          <w:rFonts w:ascii="Times New Roman" w:hAnsi="Times New Roman"/>
          <w:sz w:val="20"/>
          <w:szCs w:val="20"/>
        </w:rPr>
      </w:pPr>
      <w:r>
        <w:rPr>
          <w:rFonts w:hint="eastAsia" w:ascii="Times New Roman" w:hAnsi="Times New Roman"/>
          <w:sz w:val="20"/>
          <w:szCs w:val="20"/>
        </w:rPr>
        <w:t>本公司郑重声明，根据《招标采购促进广西工业产品产销对接实施细则》的规定，本公司在本次投标∕投标中或者工程项目中提供的下述产品为广西工业产品，详情如下：</w:t>
      </w:r>
    </w:p>
    <w:p>
      <w:pPr>
        <w:pStyle w:val="14"/>
        <w:rPr>
          <w:rFonts w:ascii="Times New Roman" w:hAnsi="Times New Roman"/>
          <w:sz w:val="20"/>
          <w:szCs w:val="20"/>
          <w:u w:val="single"/>
        </w:rPr>
      </w:pPr>
      <w:r>
        <w:rPr>
          <w:rFonts w:hint="eastAsia" w:ascii="Times New Roman" w:hAnsi="Times New Roman"/>
          <w:sz w:val="20"/>
          <w:szCs w:val="20"/>
          <w:u w:val="single"/>
        </w:rPr>
        <w:t>　　分标（有分标时填写）</w:t>
      </w:r>
    </w:p>
    <w:tbl>
      <w:tblPr>
        <w:tblStyle w:val="24"/>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default" w:ascii="Times New Roman" w:hAnsi="Times New Roman"/>
                <w:sz w:val="20"/>
                <w:szCs w:val="20"/>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default" w:ascii="Times New Roman" w:hAnsi="Times New Roman"/>
                <w:sz w:val="20"/>
                <w:szCs w:val="20"/>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广西工业产品</w:t>
            </w:r>
          </w:p>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r>
              <w:rPr>
                <w:rFonts w:hint="eastAsia" w:ascii="Times New Roman" w:hAnsi="Times New Roman"/>
                <w:sz w:val="20"/>
                <w:szCs w:val="20"/>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pacing w:before="0" w:beforeAutospacing="0" w:after="0" w:afterAutospacing="0"/>
              <w:ind w:left="0" w:right="0"/>
              <w:jc w:val="center"/>
              <w:rPr>
                <w:rFonts w:hint="default" w:ascii="Times New Roman" w:hAnsi="Times New Roman"/>
                <w:sz w:val="20"/>
                <w:szCs w:val="20"/>
                <w:u w:val="single"/>
              </w:rPr>
            </w:pPr>
          </w:p>
        </w:tc>
      </w:tr>
    </w:tbl>
    <w:p>
      <w:pPr>
        <w:pStyle w:val="14"/>
        <w:rPr>
          <w:rFonts w:ascii="Times New Roman" w:hAnsi="Times New Roman"/>
          <w:sz w:val="20"/>
          <w:szCs w:val="20"/>
          <w:u w:val="single"/>
        </w:rPr>
      </w:pPr>
      <w:r>
        <w:rPr>
          <w:rFonts w:hint="eastAsia" w:ascii="Times New Roman" w:hAnsi="Times New Roman"/>
          <w:sz w:val="20"/>
          <w:szCs w:val="20"/>
          <w:u w:val="single"/>
        </w:rPr>
        <w:t>　　分标（有分标时填写）</w:t>
      </w:r>
    </w:p>
    <w:p>
      <w:pPr>
        <w:pStyle w:val="14"/>
        <w:rPr>
          <w:rFonts w:ascii="Times New Roman" w:hAnsi="Times New Roman"/>
          <w:sz w:val="20"/>
          <w:szCs w:val="20"/>
          <w:u w:val="single"/>
        </w:rPr>
      </w:pPr>
      <w:r>
        <w:rPr>
          <w:rFonts w:ascii="Times New Roman" w:hAnsi="Times New Roman"/>
          <w:sz w:val="20"/>
          <w:szCs w:val="20"/>
          <w:u w:val="single"/>
        </w:rPr>
        <w:t>......</w:t>
      </w:r>
    </w:p>
    <w:p>
      <w:pPr>
        <w:pStyle w:val="14"/>
        <w:ind w:firstLine="420"/>
        <w:rPr>
          <w:sz w:val="20"/>
          <w:szCs w:val="20"/>
        </w:rPr>
      </w:pPr>
      <w:r>
        <w:rPr>
          <w:rFonts w:hint="eastAsia"/>
          <w:sz w:val="20"/>
          <w:szCs w:val="20"/>
        </w:rPr>
        <w:t>本公司对上述声明的真实性负责。如有虚假，将依法承担相应责任。</w:t>
      </w:r>
    </w:p>
    <w:p>
      <w:pPr>
        <w:pStyle w:val="14"/>
        <w:rPr>
          <w:rFonts w:hAnsi="宋体" w:cs="Courier New"/>
          <w:sz w:val="20"/>
          <w:szCs w:val="20"/>
        </w:rPr>
      </w:pPr>
    </w:p>
    <w:p>
      <w:pPr>
        <w:pStyle w:val="14"/>
        <w:rPr>
          <w:sz w:val="20"/>
          <w:szCs w:val="20"/>
        </w:rPr>
      </w:pPr>
    </w:p>
    <w:p>
      <w:pPr>
        <w:pStyle w:val="14"/>
        <w:rPr>
          <w:sz w:val="20"/>
          <w:szCs w:val="20"/>
        </w:rPr>
      </w:pPr>
    </w:p>
    <w:p>
      <w:pPr>
        <w:pStyle w:val="14"/>
        <w:spacing w:line="600" w:lineRule="exact"/>
        <w:rPr>
          <w:rFonts w:ascii="Times New Roman" w:hAnsi="Times New Roman"/>
          <w:sz w:val="20"/>
          <w:szCs w:val="20"/>
          <w:u w:val="single"/>
        </w:rPr>
      </w:pPr>
      <w:r>
        <w:rPr>
          <w:rFonts w:hint="eastAsia" w:ascii="Times New Roman" w:hAnsi="Times New Roman"/>
          <w:sz w:val="20"/>
          <w:szCs w:val="20"/>
        </w:rPr>
        <w:t>投标人（盖单位公章）：</w:t>
      </w:r>
      <w:r>
        <w:rPr>
          <w:rFonts w:hint="eastAsia"/>
          <w:sz w:val="20"/>
          <w:szCs w:val="20"/>
          <w:u w:val="single"/>
        </w:rPr>
        <w:t>　　　　　　　　　　　　　　　　　　　　　　　　　　　　</w:t>
      </w:r>
    </w:p>
    <w:p>
      <w:pPr>
        <w:pStyle w:val="14"/>
        <w:spacing w:line="600" w:lineRule="exact"/>
        <w:rPr>
          <w:rFonts w:ascii="Times New Roman" w:hAnsi="Times New Roman"/>
          <w:sz w:val="20"/>
          <w:szCs w:val="20"/>
          <w:u w:val="single"/>
        </w:rPr>
      </w:pPr>
    </w:p>
    <w:p>
      <w:pPr>
        <w:pStyle w:val="14"/>
        <w:spacing w:line="500" w:lineRule="exact"/>
        <w:rPr>
          <w:rFonts w:ascii="Times New Roman" w:hAnsi="Times New Roman"/>
          <w:sz w:val="20"/>
          <w:szCs w:val="20"/>
          <w:u w:val="single"/>
        </w:rPr>
      </w:pPr>
      <w:r>
        <w:rPr>
          <w:rFonts w:hint="eastAsia" w:ascii="Times New Roman" w:hAnsi="Times New Roman"/>
          <w:sz w:val="20"/>
          <w:szCs w:val="20"/>
        </w:rPr>
        <w:t>法定代表人或其委托代理人（签字或盖章）：</w:t>
      </w:r>
      <w:r>
        <w:rPr>
          <w:rFonts w:hint="eastAsia"/>
          <w:sz w:val="20"/>
          <w:szCs w:val="20"/>
          <w:u w:val="single"/>
        </w:rPr>
        <w:t>　　　　　　　　　　　　　　　　　　　　　　　　　　　　</w:t>
      </w:r>
    </w:p>
    <w:p>
      <w:pPr>
        <w:pStyle w:val="14"/>
        <w:spacing w:line="360" w:lineRule="auto"/>
        <w:rPr>
          <w:rFonts w:hint="eastAsia"/>
          <w:color w:val="auto"/>
          <w:highlight w:val="none"/>
        </w:rPr>
      </w:pPr>
      <w:r>
        <w:rPr>
          <w:rFonts w:ascii="Times New Roman" w:hAnsi="Times New Roman"/>
          <w:sz w:val="20"/>
          <w:szCs w:val="20"/>
          <w:u w:val="single"/>
        </w:rPr>
        <w:br w:type="page"/>
      </w:r>
    </w:p>
    <w:p>
      <w:pPr>
        <w:pStyle w:val="14"/>
        <w:spacing w:line="360" w:lineRule="auto"/>
        <w:rPr>
          <w:rFonts w:ascii="Times New Roman" w:hAnsi="Times New Roman"/>
          <w:color w:val="auto"/>
          <w:szCs w:val="21"/>
          <w:highlight w:val="none"/>
        </w:rPr>
      </w:pPr>
      <w:r>
        <w:rPr>
          <w:rFonts w:hint="eastAsia" w:ascii="Times New Roman" w:hAnsi="Times New Roman"/>
          <w:b/>
          <w:color w:val="auto"/>
          <w:highlight w:val="none"/>
        </w:rPr>
        <w:t>格式</w:t>
      </w:r>
      <w:r>
        <w:rPr>
          <w:rFonts w:hint="eastAsia" w:ascii="Times New Roman" w:hAnsi="Times New Roman"/>
          <w:b/>
          <w:color w:val="auto"/>
          <w:highlight w:val="none"/>
          <w:lang w:val="en-US" w:eastAsia="zh-CN"/>
        </w:rPr>
        <w:t>5</w:t>
      </w:r>
      <w:r>
        <w:rPr>
          <w:rFonts w:hint="eastAsia" w:ascii="Times New Roman" w:hAnsi="Times New Roman"/>
          <w:b/>
          <w:color w:val="auto"/>
          <w:highlight w:val="none"/>
        </w:rPr>
        <w:t>：</w:t>
      </w:r>
    </w:p>
    <w:p>
      <w:pPr>
        <w:pStyle w:val="14"/>
        <w:rPr>
          <w:rFonts w:ascii="Times New Roman" w:hAnsi="Times New Roman"/>
          <w:color w:val="auto"/>
          <w:highlight w:val="none"/>
          <w:u w:val="thick"/>
        </w:rPr>
      </w:pPr>
    </w:p>
    <w:p>
      <w:pPr>
        <w:pStyle w:val="14"/>
        <w:spacing w:line="500" w:lineRule="exact"/>
        <w:jc w:val="center"/>
        <w:rPr>
          <w:rFonts w:hAnsi="宋体"/>
          <w:b/>
          <w:bCs/>
          <w:sz w:val="30"/>
          <w:szCs w:val="30"/>
        </w:rPr>
      </w:pPr>
      <w:r>
        <w:rPr>
          <w:rFonts w:hint="eastAsia" w:hAnsi="宋体"/>
          <w:b/>
          <w:bCs/>
          <w:sz w:val="30"/>
          <w:szCs w:val="30"/>
        </w:rPr>
        <w:t>投标产品技术资料表（格式）</w:t>
      </w:r>
    </w:p>
    <w:p>
      <w:pPr>
        <w:pStyle w:val="14"/>
        <w:ind w:firstLine="210" w:firstLineChars="100"/>
        <w:rPr>
          <w:rFonts w:hint="eastAsia" w:hAnsi="宋体"/>
        </w:rPr>
      </w:pPr>
      <w:r>
        <w:rPr>
          <w:rFonts w:hAnsi="宋体"/>
        </w:rPr>
        <w:t xml:space="preserve"> </w:t>
      </w:r>
    </w:p>
    <w:p>
      <w:pPr>
        <w:pStyle w:val="14"/>
        <w:rPr>
          <w:rFonts w:hint="eastAsia" w:hAnsi="宋体"/>
        </w:rPr>
      </w:pPr>
      <w:r>
        <w:rPr>
          <w:rFonts w:hint="eastAsia" w:hAnsi="宋体"/>
        </w:rPr>
        <w:t>　　请根据所投产品的实际技术参数，逐条对应本项目招标文件第二章“货物需求一览表”中的技术参数要求详细填写相应的具体内容。“偏离说明”一栏应当选择“正偏离”、“负偏离”或“无偏离”进行填写。</w:t>
      </w:r>
    </w:p>
    <w:p>
      <w:pPr>
        <w:pStyle w:val="14"/>
        <w:rPr>
          <w:rFonts w:hint="eastAsia" w:hAnsi="宋体"/>
        </w:rPr>
      </w:pPr>
    </w:p>
    <w:tbl>
      <w:tblPr>
        <w:tblStyle w:val="2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项号</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招标文件需求</w:t>
            </w:r>
          </w:p>
        </w:tc>
        <w:tc>
          <w:tcPr>
            <w:tcW w:w="48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技术参数要求</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数量</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品牌、厂家、型号、规格</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技术参数</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3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3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3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1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2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3  ……</w:t>
            </w:r>
          </w:p>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u w:val="single"/>
              </w:rPr>
              <w:t>　　</w:t>
            </w:r>
            <w:r>
              <w:rPr>
                <w:rFonts w:hint="eastAsia" w:ascii="宋体" w:hAnsi="宋体" w:cs="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r>
              <w:rPr>
                <w:rFonts w:hint="eastAsia" w:ascii="宋体" w:hAnsi="宋体" w:cs="宋体"/>
                <w:szCs w:val="21"/>
              </w:rPr>
              <w:t>法定代表人或其委托代理人（签字或盖章）：</w:t>
            </w:r>
          </w:p>
        </w:tc>
      </w:tr>
    </w:tbl>
    <w:p>
      <w:pPr>
        <w:pStyle w:val="14"/>
        <w:spacing w:line="600" w:lineRule="exact"/>
        <w:rPr>
          <w:b/>
          <w:color w:val="auto"/>
          <w:highlight w:val="none"/>
        </w:rPr>
      </w:pPr>
      <w:r>
        <w:rPr>
          <w:rFonts w:hint="eastAsia"/>
          <w:b/>
          <w:color w:val="auto"/>
          <w:highlight w:val="none"/>
        </w:rPr>
        <w:t>注：</w:t>
      </w:r>
    </w:p>
    <w:p>
      <w:pPr>
        <w:pStyle w:val="14"/>
        <w:spacing w:line="600" w:lineRule="exact"/>
        <w:rPr>
          <w:rFonts w:hint="eastAsia"/>
          <w:b/>
          <w:color w:val="auto"/>
          <w:highlight w:val="none"/>
        </w:rPr>
      </w:pPr>
      <w:r>
        <w:rPr>
          <w:rFonts w:hint="eastAsia"/>
          <w:b/>
          <w:color w:val="auto"/>
          <w:highlight w:val="none"/>
        </w:rPr>
        <w:t>⑴表格内容均需按要求填写并盖章，不得留空，否则按投标无效处理。</w:t>
      </w:r>
    </w:p>
    <w:p>
      <w:pPr>
        <w:pStyle w:val="14"/>
        <w:spacing w:line="600" w:lineRule="exact"/>
        <w:rPr>
          <w:rFonts w:hint="eastAsia"/>
          <w:b/>
          <w:color w:val="auto"/>
          <w:highlight w:val="none"/>
        </w:rPr>
      </w:pPr>
      <w:r>
        <w:rPr>
          <w:rFonts w:hint="eastAsia"/>
          <w:b/>
          <w:color w:val="auto"/>
          <w:highlight w:val="none"/>
        </w:rPr>
        <w:t>⑵如果投标文件需求小于或大于招标文件某个数值标准时，投标文件不得直接复制招标文件需求，投标文件对应内容应当写明投标货物（服务）具体参数或商务响应的实际数值，否则按投标无效处理。</w:t>
      </w:r>
    </w:p>
    <w:p>
      <w:pPr>
        <w:pStyle w:val="14"/>
        <w:spacing w:line="600" w:lineRule="exact"/>
        <w:rPr>
          <w:rFonts w:ascii="Times New Roman" w:hAnsi="Times New Roman"/>
          <w:color w:val="auto"/>
          <w:highlight w:val="none"/>
        </w:rPr>
      </w:pPr>
      <w:r>
        <w:rPr>
          <w:rFonts w:hint="eastAsia"/>
          <w:b/>
          <w:color w:val="auto"/>
          <w:highlight w:val="none"/>
        </w:rPr>
        <w:t>⑶当投标文件的服务内容低于招标文件要求时，投标人应当如实写明“负偏离”，否则视为虚假应标。</w:t>
      </w:r>
    </w:p>
    <w:p>
      <w:pPr>
        <w:pStyle w:val="14"/>
        <w:spacing w:line="600" w:lineRule="exact"/>
        <w:jc w:val="left"/>
        <w:rPr>
          <w:rFonts w:ascii="Times New Roman" w:hAnsi="Times New Roman"/>
          <w:color w:val="auto"/>
          <w:highlight w:val="none"/>
          <w:u w:val="single"/>
        </w:rPr>
      </w:pPr>
    </w:p>
    <w:p>
      <w:pPr>
        <w:pStyle w:val="14"/>
        <w:spacing w:line="600" w:lineRule="exact"/>
        <w:rPr>
          <w:rFonts w:ascii="Times New Roman" w:hAnsi="Times New Roman"/>
          <w:color w:val="auto"/>
          <w:highlight w:val="none"/>
        </w:rPr>
      </w:pPr>
      <w:r>
        <w:rPr>
          <w:color w:val="auto"/>
          <w:highlight w:val="none"/>
        </w:rPr>
        <w:br w:type="page"/>
      </w:r>
      <w:r>
        <w:rPr>
          <w:rFonts w:hint="eastAsia" w:ascii="Times New Roman" w:hAnsi="Times New Roman"/>
          <w:b/>
          <w:color w:val="auto"/>
          <w:highlight w:val="none"/>
        </w:rPr>
        <w:t>格式</w:t>
      </w:r>
      <w:r>
        <w:rPr>
          <w:rFonts w:hint="eastAsia" w:ascii="Times New Roman" w:hAnsi="Times New Roman"/>
          <w:b/>
          <w:color w:val="auto"/>
          <w:highlight w:val="none"/>
          <w:lang w:val="en-US" w:eastAsia="zh-CN"/>
        </w:rPr>
        <w:t>6</w:t>
      </w:r>
      <w:r>
        <w:rPr>
          <w:rFonts w:hint="eastAsia" w:ascii="Times New Roman" w:hAnsi="Times New Roman"/>
          <w:b/>
          <w:color w:val="auto"/>
          <w:highlight w:val="none"/>
        </w:rPr>
        <w:t>：</w:t>
      </w:r>
    </w:p>
    <w:p>
      <w:pPr>
        <w:pStyle w:val="14"/>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售后服务承诺书（格式）</w:t>
      </w:r>
    </w:p>
    <w:p>
      <w:pPr>
        <w:pStyle w:val="14"/>
        <w:jc w:val="center"/>
        <w:rPr>
          <w:color w:val="auto"/>
          <w:highlight w:val="none"/>
        </w:rPr>
      </w:pPr>
    </w:p>
    <w:p>
      <w:pPr>
        <w:pStyle w:val="14"/>
        <w:jc w:val="center"/>
        <w:rPr>
          <w:color w:val="auto"/>
          <w:highlight w:val="none"/>
        </w:rPr>
      </w:pPr>
      <w:r>
        <w:rPr>
          <w:rFonts w:hint="eastAsia"/>
          <w:color w:val="auto"/>
          <w:highlight w:val="none"/>
        </w:rPr>
        <w:t>(由投标人按本项目招标文件第二章“</w:t>
      </w:r>
      <w:r>
        <w:rPr>
          <w:rFonts w:hint="eastAsia"/>
          <w:color w:val="auto"/>
          <w:highlight w:val="none"/>
          <w:lang w:eastAsia="zh-CN"/>
        </w:rPr>
        <w:t>货物</w:t>
      </w:r>
      <w:r>
        <w:rPr>
          <w:rFonts w:hint="eastAsia"/>
          <w:color w:val="auto"/>
          <w:highlight w:val="none"/>
        </w:rPr>
        <w:t>需求一览表”中“商务条款”的售后服务要求自行填写。)</w:t>
      </w: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14"/>
        <w:spacing w:line="600" w:lineRule="exact"/>
        <w:rPr>
          <w:rFonts w:ascii="Times New Roman" w:hAnsi="Times New Roman"/>
          <w:color w:val="auto"/>
          <w:highlight w:val="none"/>
          <w:u w:val="single"/>
        </w:rPr>
      </w:pPr>
    </w:p>
    <w:p>
      <w:pPr>
        <w:pStyle w:val="14"/>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hint="eastAsia" w:ascii="Times New Roman" w:hAnsi="Times New Roman"/>
          <w:color w:val="auto"/>
          <w:highlight w:val="none"/>
          <w:u w:val="single"/>
        </w:rPr>
        <w:t xml:space="preserve">                  </w:t>
      </w:r>
    </w:p>
    <w:p>
      <w:pPr>
        <w:pStyle w:val="14"/>
        <w:spacing w:line="600" w:lineRule="exact"/>
        <w:rPr>
          <w:rFonts w:ascii="Times New Roman" w:hAnsi="Times New Roman"/>
          <w:color w:val="auto"/>
          <w:highlight w:val="none"/>
        </w:rPr>
      </w:pPr>
      <w:r>
        <w:rPr>
          <w:b/>
          <w:bCs/>
          <w:color w:val="auto"/>
          <w:sz w:val="30"/>
          <w:highlight w:val="none"/>
        </w:rPr>
        <w:br w:type="page"/>
      </w:r>
      <w:r>
        <w:rPr>
          <w:rFonts w:hint="eastAsia" w:ascii="Times New Roman" w:hAnsi="Times New Roman"/>
          <w:b/>
          <w:color w:val="auto"/>
          <w:highlight w:val="none"/>
        </w:rPr>
        <w:t>格式</w:t>
      </w:r>
      <w:r>
        <w:rPr>
          <w:rFonts w:hint="eastAsia" w:ascii="Times New Roman" w:hAnsi="Times New Roman"/>
          <w:b/>
          <w:color w:val="auto"/>
          <w:highlight w:val="none"/>
          <w:lang w:val="en-US" w:eastAsia="zh-CN"/>
        </w:rPr>
        <w:t>7</w:t>
      </w:r>
      <w:r>
        <w:rPr>
          <w:rFonts w:hint="eastAsia" w:ascii="Times New Roman" w:hAnsi="Times New Roman"/>
          <w:b/>
          <w:color w:val="auto"/>
          <w:highlight w:val="none"/>
        </w:rPr>
        <w:t>：</w:t>
      </w:r>
    </w:p>
    <w:p>
      <w:pPr>
        <w:pStyle w:val="14"/>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14"/>
        <w:spacing w:line="400" w:lineRule="exact"/>
        <w:rPr>
          <w:rFonts w:ascii="Times New Roman" w:hAnsi="Times New Roman"/>
          <w:color w:val="auto"/>
          <w:highlight w:val="none"/>
          <w:u w:val="thick"/>
        </w:rPr>
      </w:pPr>
    </w:p>
    <w:p>
      <w:pPr>
        <w:pStyle w:val="14"/>
        <w:rPr>
          <w:rFonts w:ascii="Times New Roman" w:hAnsi="Times New Roman"/>
          <w:color w:val="auto"/>
          <w:highlight w:val="none"/>
        </w:rPr>
      </w:pPr>
      <w:r>
        <w:rPr>
          <w:rFonts w:hint="eastAsia" w:ascii="Times New Roman" w:hAnsi="Times New Roman"/>
          <w:color w:val="auto"/>
          <w:highlight w:val="none"/>
        </w:rPr>
        <w:t>　　请逐条对应本项目招标文件第二章“货物（服务）需求一览表”中“商务条款”的要求，详细填写相应的具体内容。“偏离说明”一栏应当选择“正偏离”、“负偏离”或“无偏离”进行填写。</w:t>
      </w:r>
    </w:p>
    <w:p>
      <w:pPr>
        <w:pStyle w:val="14"/>
        <w:rPr>
          <w:color w:val="auto"/>
          <w:highlight w:val="none"/>
          <w:u w:val="single"/>
        </w:rPr>
      </w:pPr>
    </w:p>
    <w:tbl>
      <w:tblPr>
        <w:tblStyle w:val="2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14"/>
              <w:keepNext w:val="0"/>
              <w:keepLines w:val="0"/>
              <w:suppressLineNumbers w:val="0"/>
              <w:spacing w:before="0" w:beforeAutospacing="0" w:after="0" w:afterAutospacing="0" w:line="600" w:lineRule="exact"/>
              <w:ind w:left="0" w:right="0"/>
              <w:jc w:val="center"/>
              <w:rPr>
                <w:rFonts w:hint="eastAsia" w:ascii="Times New Roman" w:hAnsi="Times New Roman"/>
                <w:color w:val="auto"/>
                <w:szCs w:val="24"/>
                <w:highlight w:val="none"/>
              </w:rPr>
            </w:pPr>
            <w:r>
              <w:rPr>
                <w:rFonts w:hint="eastAsia" w:ascii="Times New Roman" w:hAnsi="Times New Roman"/>
                <w:color w:val="auto"/>
                <w:szCs w:val="24"/>
                <w:highlight w:val="none"/>
              </w:rPr>
              <w:t>项号</w:t>
            </w:r>
          </w:p>
        </w:tc>
        <w:tc>
          <w:tcPr>
            <w:tcW w:w="4071" w:type="dxa"/>
            <w:noWrap w:val="0"/>
            <w:vAlign w:val="center"/>
          </w:tcPr>
          <w:p>
            <w:pPr>
              <w:pStyle w:val="14"/>
              <w:keepNext w:val="0"/>
              <w:keepLines w:val="0"/>
              <w:suppressLineNumbers w:val="0"/>
              <w:spacing w:before="0" w:beforeAutospacing="0" w:after="0" w:afterAutospacing="0" w:line="600" w:lineRule="exact"/>
              <w:ind w:left="0" w:right="0"/>
              <w:jc w:val="center"/>
              <w:rPr>
                <w:rFonts w:hint="eastAsia" w:ascii="Times New Roman" w:hAnsi="Times New Roman"/>
                <w:color w:val="auto"/>
                <w:szCs w:val="24"/>
                <w:highlight w:val="none"/>
              </w:rPr>
            </w:pPr>
            <w:r>
              <w:rPr>
                <w:rFonts w:hint="eastAsia" w:ascii="Times New Roman" w:hAnsi="Times New Roman"/>
                <w:color w:val="auto"/>
                <w:szCs w:val="24"/>
                <w:highlight w:val="none"/>
              </w:rPr>
              <w:t>招标文件的商务需求</w:t>
            </w:r>
          </w:p>
        </w:tc>
        <w:tc>
          <w:tcPr>
            <w:tcW w:w="3400" w:type="dxa"/>
            <w:noWrap w:val="0"/>
            <w:vAlign w:val="center"/>
          </w:tcPr>
          <w:p>
            <w:pPr>
              <w:pStyle w:val="14"/>
              <w:keepNext w:val="0"/>
              <w:keepLines w:val="0"/>
              <w:suppressLineNumbers w:val="0"/>
              <w:spacing w:before="0" w:beforeAutospacing="0" w:after="0" w:afterAutospacing="0" w:line="600" w:lineRule="exact"/>
              <w:ind w:left="0" w:right="0"/>
              <w:jc w:val="center"/>
              <w:rPr>
                <w:rFonts w:hint="eastAsia" w:ascii="Times New Roman" w:hAnsi="Times New Roman"/>
                <w:color w:val="auto"/>
                <w:szCs w:val="24"/>
                <w:highlight w:val="none"/>
              </w:rPr>
            </w:pPr>
            <w:r>
              <w:rPr>
                <w:rFonts w:hint="eastAsia" w:ascii="Times New Roman" w:hAnsi="Times New Roman"/>
                <w:color w:val="auto"/>
                <w:szCs w:val="24"/>
                <w:highlight w:val="none"/>
              </w:rPr>
              <w:t>投标文件承诺的商务条款</w:t>
            </w:r>
          </w:p>
        </w:tc>
        <w:tc>
          <w:tcPr>
            <w:tcW w:w="1640" w:type="dxa"/>
            <w:noWrap w:val="0"/>
            <w:vAlign w:val="center"/>
          </w:tcPr>
          <w:p>
            <w:pPr>
              <w:pStyle w:val="14"/>
              <w:keepNext w:val="0"/>
              <w:keepLines w:val="0"/>
              <w:suppressLineNumbers w:val="0"/>
              <w:spacing w:before="0" w:beforeAutospacing="0" w:after="0" w:afterAutospacing="0" w:line="600" w:lineRule="exact"/>
              <w:ind w:left="0" w:right="0"/>
              <w:jc w:val="center"/>
              <w:rPr>
                <w:rFonts w:hint="eastAsia" w:ascii="Times New Roman" w:hAnsi="Times New Roman"/>
                <w:color w:val="auto"/>
                <w:szCs w:val="24"/>
                <w:highlight w:val="none"/>
              </w:rPr>
            </w:pPr>
            <w:r>
              <w:rPr>
                <w:rFonts w:hint="eastAsia" w:ascii="Times New Roman" w:hAnsi="Times New Roman"/>
                <w:color w:val="auto"/>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一</w:t>
            </w:r>
          </w:p>
        </w:tc>
        <w:tc>
          <w:tcPr>
            <w:tcW w:w="4071" w:type="dxa"/>
            <w:noWrap w:val="0"/>
            <w:vAlign w:val="top"/>
          </w:tcPr>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3  ……</w:t>
            </w:r>
          </w:p>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w:t>
            </w:r>
          </w:p>
        </w:tc>
        <w:tc>
          <w:tcPr>
            <w:tcW w:w="3400" w:type="dxa"/>
            <w:noWrap w:val="0"/>
            <w:vAlign w:val="top"/>
          </w:tcPr>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3  ……</w:t>
            </w:r>
          </w:p>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w:t>
            </w:r>
          </w:p>
        </w:tc>
        <w:tc>
          <w:tcPr>
            <w:tcW w:w="1640" w:type="dxa"/>
            <w:noWrap w:val="0"/>
            <w:vAlign w:val="center"/>
          </w:tcPr>
          <w:p>
            <w:pPr>
              <w:pStyle w:val="14"/>
              <w:keepNext w:val="0"/>
              <w:keepLines w:val="0"/>
              <w:suppressLineNumbers w:val="0"/>
              <w:spacing w:before="0" w:beforeAutospacing="0" w:after="0" w:afterAutospacing="0" w:line="600" w:lineRule="exact"/>
              <w:ind w:left="0" w:right="0"/>
              <w:jc w:val="center"/>
              <w:rPr>
                <w:rFonts w:hint="default" w:hAnsi="宋体"/>
                <w:color w:val="auto"/>
                <w:sz w:val="18"/>
                <w:szCs w:val="18"/>
                <w:highlight w:val="none"/>
              </w:rPr>
            </w:pPr>
            <w:r>
              <w:rPr>
                <w:rFonts w:hint="eastAsia"/>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二</w:t>
            </w:r>
          </w:p>
        </w:tc>
        <w:tc>
          <w:tcPr>
            <w:tcW w:w="4071" w:type="dxa"/>
            <w:noWrap w:val="0"/>
            <w:vAlign w:val="top"/>
          </w:tcPr>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3  ……</w:t>
            </w:r>
          </w:p>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w:t>
            </w:r>
          </w:p>
        </w:tc>
        <w:tc>
          <w:tcPr>
            <w:tcW w:w="3400" w:type="dxa"/>
            <w:noWrap w:val="0"/>
            <w:vAlign w:val="top"/>
          </w:tcPr>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color w:val="auto"/>
                <w:szCs w:val="21"/>
                <w:highlight w:val="none"/>
              </w:rPr>
            </w:pPr>
            <w:r>
              <w:rPr>
                <w:rFonts w:hint="eastAsia" w:ascii="宋体" w:hAnsi="宋体"/>
                <w:color w:val="auto"/>
                <w:szCs w:val="21"/>
                <w:highlight w:val="none"/>
              </w:rPr>
              <w:t>3  ……</w:t>
            </w:r>
          </w:p>
          <w:p>
            <w:pPr>
              <w:pStyle w:val="14"/>
              <w:keepNext w:val="0"/>
              <w:keepLines w:val="0"/>
              <w:suppressLineNumbers w:val="0"/>
              <w:spacing w:before="0" w:beforeAutospacing="0" w:after="0" w:afterAutospacing="0" w:line="600" w:lineRule="exact"/>
              <w:ind w:left="0" w:right="0"/>
              <w:rPr>
                <w:rFonts w:hint="eastAsia" w:hAnsi="宋体"/>
                <w:color w:val="auto"/>
                <w:szCs w:val="21"/>
                <w:highlight w:val="none"/>
              </w:rPr>
            </w:pPr>
            <w:r>
              <w:rPr>
                <w:rFonts w:hint="eastAsia" w:hAnsi="宋体"/>
                <w:color w:val="auto"/>
                <w:szCs w:val="21"/>
                <w:highlight w:val="none"/>
              </w:rPr>
              <w:t>……</w:t>
            </w:r>
          </w:p>
        </w:tc>
        <w:tc>
          <w:tcPr>
            <w:tcW w:w="1640" w:type="dxa"/>
            <w:noWrap w:val="0"/>
            <w:vAlign w:val="center"/>
          </w:tcPr>
          <w:p>
            <w:pPr>
              <w:pStyle w:val="14"/>
              <w:keepNext w:val="0"/>
              <w:keepLines w:val="0"/>
              <w:suppressLineNumbers w:val="0"/>
              <w:spacing w:before="0" w:beforeAutospacing="0" w:after="0" w:afterAutospacing="0" w:line="600" w:lineRule="exact"/>
              <w:ind w:left="0" w:right="0"/>
              <w:jc w:val="center"/>
              <w:rPr>
                <w:rFonts w:hint="default" w:hAnsi="宋体"/>
                <w:color w:val="auto"/>
                <w:sz w:val="18"/>
                <w:szCs w:val="18"/>
                <w:highlight w:val="none"/>
              </w:rPr>
            </w:pPr>
            <w:r>
              <w:rPr>
                <w:rFonts w:hint="eastAsia"/>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14"/>
              <w:keepNext w:val="0"/>
              <w:keepLines w:val="0"/>
              <w:suppressLineNumbers w:val="0"/>
              <w:spacing w:before="0" w:beforeAutospacing="0" w:after="0" w:afterAutospacing="0"/>
              <w:ind w:left="0" w:right="0"/>
              <w:jc w:val="center"/>
              <w:rPr>
                <w:rFonts w:hint="default"/>
                <w:color w:val="auto"/>
                <w:spacing w:val="-20"/>
                <w:highlight w:val="none"/>
              </w:rPr>
            </w:pPr>
            <w:r>
              <w:rPr>
                <w:rFonts w:hint="eastAsia"/>
                <w:color w:val="auto"/>
                <w:spacing w:val="-20"/>
                <w:highlight w:val="none"/>
              </w:rPr>
              <w:t>...</w:t>
            </w:r>
          </w:p>
        </w:tc>
        <w:tc>
          <w:tcPr>
            <w:tcW w:w="4071" w:type="dxa"/>
            <w:noWrap w:val="0"/>
            <w:vAlign w:val="center"/>
          </w:tcPr>
          <w:p>
            <w:pPr>
              <w:pStyle w:val="14"/>
              <w:keepNext w:val="0"/>
              <w:keepLines w:val="0"/>
              <w:suppressLineNumbers w:val="0"/>
              <w:spacing w:before="0" w:beforeAutospacing="0" w:after="0" w:afterAutospacing="0"/>
              <w:ind w:left="0" w:right="0"/>
              <w:jc w:val="center"/>
              <w:rPr>
                <w:rFonts w:hint="default"/>
                <w:color w:val="auto"/>
                <w:spacing w:val="-20"/>
                <w:highlight w:val="none"/>
              </w:rPr>
            </w:pPr>
            <w:r>
              <w:rPr>
                <w:rFonts w:hint="eastAsia"/>
                <w:color w:val="auto"/>
                <w:spacing w:val="-20"/>
                <w:highlight w:val="none"/>
              </w:rPr>
              <w:t>...</w:t>
            </w:r>
          </w:p>
        </w:tc>
        <w:tc>
          <w:tcPr>
            <w:tcW w:w="3400" w:type="dxa"/>
            <w:noWrap w:val="0"/>
            <w:vAlign w:val="center"/>
          </w:tcPr>
          <w:p>
            <w:pPr>
              <w:pStyle w:val="14"/>
              <w:keepNext w:val="0"/>
              <w:keepLines w:val="0"/>
              <w:suppressLineNumbers w:val="0"/>
              <w:spacing w:before="0" w:beforeAutospacing="0" w:after="0" w:afterAutospacing="0" w:line="600" w:lineRule="exact"/>
              <w:ind w:left="0" w:right="0"/>
              <w:jc w:val="center"/>
              <w:rPr>
                <w:rFonts w:hint="default" w:ascii="Times New Roman" w:hAnsi="Times New Roman"/>
                <w:color w:val="auto"/>
                <w:highlight w:val="none"/>
              </w:rPr>
            </w:pPr>
            <w:r>
              <w:rPr>
                <w:rFonts w:hint="eastAsia"/>
                <w:color w:val="auto"/>
                <w:spacing w:val="-20"/>
                <w:highlight w:val="none"/>
              </w:rPr>
              <w:t>...</w:t>
            </w:r>
          </w:p>
        </w:tc>
        <w:tc>
          <w:tcPr>
            <w:tcW w:w="1640" w:type="dxa"/>
            <w:noWrap w:val="0"/>
            <w:vAlign w:val="top"/>
          </w:tcPr>
          <w:p>
            <w:pPr>
              <w:pStyle w:val="14"/>
              <w:keepNext w:val="0"/>
              <w:keepLines w:val="0"/>
              <w:suppressLineNumbers w:val="0"/>
              <w:spacing w:before="0" w:beforeAutospacing="0" w:after="0" w:afterAutospacing="0" w:line="600" w:lineRule="exact"/>
              <w:ind w:left="0" w:right="0"/>
              <w:rPr>
                <w:rFonts w:hint="eastAsia" w:ascii="Times New Roman" w:hAnsi="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14"/>
              <w:keepNext w:val="0"/>
              <w:keepLines w:val="0"/>
              <w:suppressLineNumbers w:val="0"/>
              <w:spacing w:before="0" w:beforeAutospacing="0" w:after="0" w:afterAutospacing="0" w:line="600" w:lineRule="exact"/>
              <w:ind w:left="0" w:right="0"/>
              <w:rPr>
                <w:rFonts w:hint="eastAsia" w:ascii="Times New Roman" w:hAnsi="Times New Roman"/>
                <w:color w:val="auto"/>
                <w:szCs w:val="24"/>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14"/>
              <w:keepNext w:val="0"/>
              <w:keepLines w:val="0"/>
              <w:suppressLineNumbers w:val="0"/>
              <w:spacing w:before="0" w:beforeAutospacing="0" w:after="0" w:afterAutospacing="0" w:line="600" w:lineRule="exact"/>
              <w:ind w:left="0" w:right="0"/>
              <w:rPr>
                <w:rFonts w:hint="eastAsia" w:ascii="Times New Roman" w:hAnsi="Times New Roman"/>
                <w:color w:val="auto"/>
                <w:szCs w:val="24"/>
                <w:highlight w:val="none"/>
              </w:rPr>
            </w:pPr>
            <w:r>
              <w:rPr>
                <w:rFonts w:hint="eastAsia" w:ascii="Times New Roman" w:hAnsi="Times New Roman"/>
                <w:color w:val="auto"/>
                <w:highlight w:val="none"/>
              </w:rPr>
              <w:t>投标人（盖单位公章）：</w:t>
            </w:r>
            <w:r>
              <w:rPr>
                <w:rFonts w:hint="eastAsia"/>
                <w:color w:val="auto"/>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14"/>
              <w:keepNext w:val="0"/>
              <w:keepLines w:val="0"/>
              <w:suppressLineNumbers w:val="0"/>
              <w:spacing w:before="0" w:beforeAutospacing="0" w:after="0" w:afterAutospacing="0" w:line="600" w:lineRule="exact"/>
              <w:ind w:left="0" w:right="0"/>
              <w:rPr>
                <w:rFonts w:hint="eastAsia" w:ascii="Times New Roman" w:hAnsi="Times New Roman"/>
                <w:color w:val="auto"/>
                <w:szCs w:val="24"/>
                <w:highlight w:val="none"/>
              </w:rPr>
            </w:pPr>
            <w:r>
              <w:rPr>
                <w:rFonts w:hint="eastAsia" w:ascii="Times New Roman" w:hAnsi="Times New Roman"/>
                <w:color w:val="auto"/>
                <w:highlight w:val="none"/>
              </w:rPr>
              <w:t>法定代表人或其委托代理人（签字或盖章）：</w:t>
            </w:r>
            <w:r>
              <w:rPr>
                <w:rFonts w:hint="eastAsia"/>
                <w:color w:val="auto"/>
                <w:highlight w:val="none"/>
                <w:u w:val="single"/>
              </w:rPr>
              <w:t>　　　　　　　　　　　　　　　　　　　　　　　　　　</w:t>
            </w:r>
          </w:p>
        </w:tc>
      </w:tr>
    </w:tbl>
    <w:p>
      <w:pPr>
        <w:pStyle w:val="14"/>
        <w:spacing w:line="600" w:lineRule="exact"/>
        <w:rPr>
          <w:rFonts w:ascii="Times New Roman" w:hAnsi="Times New Roman"/>
          <w:b/>
          <w:color w:val="auto"/>
          <w:highlight w:val="none"/>
        </w:rPr>
      </w:pPr>
      <w:r>
        <w:rPr>
          <w:rFonts w:hint="eastAsia" w:ascii="Times New Roman" w:hAnsi="Times New Roman"/>
          <w:b/>
          <w:color w:val="auto"/>
          <w:highlight w:val="none"/>
        </w:rPr>
        <w:t>注：</w:t>
      </w:r>
    </w:p>
    <w:p>
      <w:pPr>
        <w:pStyle w:val="14"/>
        <w:spacing w:line="600" w:lineRule="exact"/>
        <w:rPr>
          <w:rFonts w:hint="eastAsia" w:ascii="Times New Roman" w:hAnsi="Times New Roman"/>
          <w:b/>
          <w:color w:val="auto"/>
          <w:highlight w:val="none"/>
        </w:rPr>
      </w:pPr>
      <w:r>
        <w:rPr>
          <w:rFonts w:hint="eastAsia" w:ascii="Times New Roman" w:hAnsi="Times New Roman"/>
          <w:b/>
          <w:color w:val="auto"/>
          <w:highlight w:val="none"/>
        </w:rPr>
        <w:t>⑴表格内容均需按要求填写并盖章，不得留空，否则按投标无效处理。</w:t>
      </w:r>
    </w:p>
    <w:p>
      <w:pPr>
        <w:pStyle w:val="14"/>
        <w:spacing w:line="600" w:lineRule="exact"/>
        <w:rPr>
          <w:rFonts w:hint="eastAsia" w:ascii="Times New Roman" w:hAnsi="Times New Roman"/>
          <w:b/>
          <w:color w:val="auto"/>
          <w:highlight w:val="none"/>
        </w:rPr>
      </w:pPr>
      <w:r>
        <w:rPr>
          <w:rFonts w:hint="eastAsia" w:ascii="Times New Roman" w:hAnsi="Times New Roman"/>
          <w:b/>
          <w:color w:val="auto"/>
          <w:highlight w:val="none"/>
        </w:rPr>
        <w:t>⑵当投标文件的技术参数或商务内容低于招标文件要求时，投标人应当如实写明“负偏离”，否则视为虚假应标。</w:t>
      </w:r>
    </w:p>
    <w:p>
      <w:pPr>
        <w:pStyle w:val="14"/>
        <w:spacing w:line="600" w:lineRule="exact"/>
        <w:rPr>
          <w:rFonts w:ascii="Times New Roman" w:hAnsi="Times New Roman"/>
          <w:color w:val="auto"/>
          <w:highlight w:val="none"/>
        </w:rPr>
      </w:pPr>
      <w:r>
        <w:rPr>
          <w:b/>
          <w:color w:val="auto"/>
          <w:sz w:val="32"/>
          <w:highlight w:val="none"/>
        </w:rPr>
        <w:br w:type="page"/>
      </w:r>
      <w:r>
        <w:rPr>
          <w:rFonts w:hint="eastAsia" w:ascii="Times New Roman" w:hAnsi="Times New Roman"/>
          <w:b/>
          <w:color w:val="auto"/>
          <w:highlight w:val="none"/>
        </w:rPr>
        <w:t>格式</w:t>
      </w:r>
      <w:r>
        <w:rPr>
          <w:rFonts w:hint="eastAsia" w:ascii="Times New Roman" w:hAnsi="Times New Roman"/>
          <w:b/>
          <w:color w:val="auto"/>
          <w:highlight w:val="none"/>
          <w:lang w:val="en-US" w:eastAsia="zh-CN"/>
        </w:rPr>
        <w:t>8</w:t>
      </w:r>
      <w:r>
        <w:rPr>
          <w:rFonts w:hint="eastAsia" w:ascii="Times New Roman" w:hAnsi="Times New Roman"/>
          <w:b/>
          <w:color w:val="auto"/>
          <w:highlight w:val="none"/>
        </w:rPr>
        <w:t>：</w:t>
      </w:r>
    </w:p>
    <w:p>
      <w:pPr>
        <w:pStyle w:val="14"/>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法定代表人授权委托书（格式）</w:t>
      </w:r>
    </w:p>
    <w:p>
      <w:pPr>
        <w:pStyle w:val="14"/>
        <w:spacing w:line="500" w:lineRule="exact"/>
        <w:ind w:firstLine="420" w:firstLineChars="200"/>
        <w:rPr>
          <w:rFonts w:ascii="Times New Roman" w:hAnsi="Times New Roman"/>
          <w:color w:val="auto"/>
          <w:highlight w:val="none"/>
          <w:u w:val="single"/>
        </w:rPr>
      </w:pPr>
    </w:p>
    <w:p>
      <w:pPr>
        <w:pStyle w:val="14"/>
        <w:spacing w:line="360" w:lineRule="auto"/>
        <w:ind w:firstLine="435"/>
        <w:rPr>
          <w:rFonts w:ascii="Times New Roman" w:hAnsi="Times New Roman"/>
          <w:color w:val="auto"/>
          <w:highlight w:val="none"/>
        </w:rPr>
      </w:pPr>
      <w:r>
        <w:rPr>
          <w:rFonts w:hint="eastAsia" w:ascii="Times New Roman" w:hAnsi="Times New Roman"/>
          <w:color w:val="auto"/>
          <w:highlight w:val="none"/>
        </w:rPr>
        <w:t>致：</w:t>
      </w:r>
      <w:r>
        <w:rPr>
          <w:rFonts w:hint="eastAsia"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14"/>
        <w:spacing w:line="360" w:lineRule="auto"/>
        <w:ind w:firstLine="435"/>
        <w:rPr>
          <w:rFonts w:ascii="Times New Roman" w:hAnsi="Times New Roman"/>
          <w:color w:val="auto"/>
          <w:highlight w:val="none"/>
        </w:rPr>
      </w:pPr>
    </w:p>
    <w:p>
      <w:pPr>
        <w:pStyle w:val="14"/>
        <w:spacing w:line="360" w:lineRule="auto"/>
        <w:ind w:firstLine="435"/>
        <w:rPr>
          <w:rFonts w:ascii="Times New Roman" w:hAnsi="Times New Roman"/>
          <w:color w:val="auto"/>
          <w:highlight w:val="none"/>
        </w:rPr>
      </w:pPr>
      <w:r>
        <w:rPr>
          <w:rFonts w:hint="eastAsia" w:ascii="Times New Roman" w:hAnsi="Times New Roman"/>
          <w:color w:val="auto"/>
          <w:highlight w:val="none"/>
        </w:rPr>
        <w:t>本人</w:t>
      </w:r>
      <w:r>
        <w:rPr>
          <w:rFonts w:hint="eastAsia" w:ascii="Times New Roman" w:hAnsi="Times New Roman"/>
          <w:color w:val="auto"/>
          <w:highlight w:val="none"/>
          <w:u w:val="single"/>
        </w:rPr>
        <w:t xml:space="preserve">    （姓名）    </w:t>
      </w:r>
      <w:r>
        <w:rPr>
          <w:rFonts w:hint="eastAsia" w:ascii="Times New Roman" w:hAnsi="Times New Roman"/>
          <w:color w:val="auto"/>
          <w:highlight w:val="none"/>
        </w:rPr>
        <w:t>系</w:t>
      </w:r>
      <w:r>
        <w:rPr>
          <w:rFonts w:hint="eastAsia" w:ascii="Times New Roman" w:hAnsi="Times New Roman"/>
          <w:color w:val="auto"/>
          <w:highlight w:val="none"/>
          <w:u w:val="single"/>
        </w:rPr>
        <w:t xml:space="preserve">     （投标人名称）     </w:t>
      </w:r>
      <w:r>
        <w:rPr>
          <w:rFonts w:hint="eastAsia" w:ascii="Times New Roman" w:hAnsi="Times New Roman"/>
          <w:color w:val="auto"/>
          <w:highlight w:val="none"/>
        </w:rPr>
        <w:t>的法定代表人，现授权我单位在职正式员工</w:t>
      </w:r>
      <w:r>
        <w:rPr>
          <w:rFonts w:hint="eastAsia" w:ascii="Times New Roman" w:hAnsi="Times New Roman"/>
          <w:color w:val="auto"/>
          <w:highlight w:val="none"/>
          <w:u w:val="single"/>
        </w:rPr>
        <w:t xml:space="preserve">    （姓名和职务）    </w:t>
      </w:r>
      <w:r>
        <w:rPr>
          <w:rFonts w:hint="eastAsia" w:ascii="Times New Roman" w:hAnsi="Times New Roman"/>
          <w:color w:val="auto"/>
          <w:highlight w:val="none"/>
        </w:rPr>
        <w:t>为我方代理人。代理人根据授权，以我方名义签署、澄清、说明、补正、递交、撤回、修改贵方组织的</w:t>
      </w:r>
      <w:r>
        <w:rPr>
          <w:rFonts w:hint="eastAsia" w:ascii="Times New Roman" w:hAnsi="Times New Roman"/>
          <w:color w:val="auto"/>
          <w:highlight w:val="none"/>
          <w:u w:val="single"/>
        </w:rPr>
        <w:t xml:space="preserve">   （项目名称）     </w:t>
      </w:r>
      <w:r>
        <w:rPr>
          <w:rFonts w:hint="eastAsia" w:ascii="Times New Roman" w:hAnsi="Times New Roman"/>
          <w:color w:val="auto"/>
          <w:highlight w:val="none"/>
        </w:rPr>
        <w:t>（项目编号：</w:t>
      </w:r>
      <w:r>
        <w:rPr>
          <w:rFonts w:hint="eastAsia" w:ascii="Times New Roman" w:hAnsi="Times New Roman"/>
          <w:color w:val="auto"/>
          <w:highlight w:val="none"/>
          <w:u w:val="single"/>
        </w:rPr>
        <w:t xml:space="preserve">           </w:t>
      </w:r>
      <w:r>
        <w:rPr>
          <w:rFonts w:hint="eastAsia" w:ascii="Times New Roman" w:hAnsi="Times New Roman"/>
          <w:color w:val="auto"/>
          <w:highlight w:val="none"/>
        </w:rPr>
        <w:t>）项目的投标文件、签订合同和处理一切有关事宜，其法律后果由我方承担。</w:t>
      </w:r>
    </w:p>
    <w:p>
      <w:pPr>
        <w:pStyle w:val="14"/>
        <w:spacing w:line="360" w:lineRule="auto"/>
        <w:ind w:firstLine="435"/>
        <w:rPr>
          <w:rFonts w:ascii="Times New Roman" w:hAnsi="Times New Roman"/>
          <w:color w:val="auto"/>
          <w:highlight w:val="none"/>
        </w:rPr>
      </w:pPr>
      <w:r>
        <w:rPr>
          <w:rFonts w:hint="eastAsia" w:ascii="Times New Roman" w:hAnsi="Times New Roman"/>
          <w:color w:val="auto"/>
          <w:highlight w:val="none"/>
        </w:rPr>
        <w:t>本授权书于</w:t>
      </w:r>
      <w:r>
        <w:rPr>
          <w:rFonts w:hint="eastAsia"/>
          <w:color w:val="auto"/>
          <w:spacing w:val="10"/>
          <w:sz w:val="24"/>
          <w:highlight w:val="none"/>
          <w:u w:val="single"/>
        </w:rPr>
        <w:t xml:space="preserve">    </w:t>
      </w:r>
      <w:r>
        <w:rPr>
          <w:rFonts w:hint="eastAsia" w:ascii="Times New Roman" w:hAnsi="Times New Roman"/>
          <w:color w:val="auto"/>
          <w:highlight w:val="none"/>
        </w:rPr>
        <w:t>年</w:t>
      </w:r>
      <w:r>
        <w:rPr>
          <w:rFonts w:hint="eastAsia"/>
          <w:color w:val="auto"/>
          <w:spacing w:val="10"/>
          <w:sz w:val="24"/>
          <w:highlight w:val="none"/>
          <w:u w:val="single"/>
        </w:rPr>
        <w:t xml:space="preserve">    </w:t>
      </w:r>
      <w:r>
        <w:rPr>
          <w:rFonts w:hint="eastAsia" w:ascii="Times New Roman" w:hAnsi="Times New Roman"/>
          <w:color w:val="auto"/>
          <w:highlight w:val="none"/>
        </w:rPr>
        <w:t>月</w:t>
      </w:r>
      <w:r>
        <w:rPr>
          <w:rFonts w:hint="eastAsia"/>
          <w:color w:val="auto"/>
          <w:spacing w:val="10"/>
          <w:sz w:val="24"/>
          <w:highlight w:val="none"/>
          <w:u w:val="single"/>
        </w:rPr>
        <w:t xml:space="preserve">    </w:t>
      </w:r>
      <w:r>
        <w:rPr>
          <w:rFonts w:hint="eastAsia" w:ascii="Times New Roman" w:hAnsi="Times New Roman"/>
          <w:color w:val="auto"/>
          <w:highlight w:val="none"/>
        </w:rPr>
        <w:t>日签字生效，委托期限：</w:t>
      </w:r>
      <w:r>
        <w:rPr>
          <w:rFonts w:hint="eastAsia"/>
          <w:color w:val="auto"/>
          <w:spacing w:val="10"/>
          <w:sz w:val="24"/>
          <w:highlight w:val="none"/>
          <w:u w:val="single"/>
        </w:rPr>
        <w:t xml:space="preserve">    </w:t>
      </w:r>
      <w:r>
        <w:rPr>
          <w:rFonts w:hint="eastAsia" w:ascii="Times New Roman" w:hAnsi="Times New Roman"/>
          <w:color w:val="auto"/>
          <w:highlight w:val="none"/>
        </w:rPr>
        <w:t>。</w:t>
      </w:r>
    </w:p>
    <w:p>
      <w:pPr>
        <w:pStyle w:val="14"/>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14"/>
        <w:spacing w:line="360" w:lineRule="auto"/>
        <w:ind w:firstLine="420"/>
        <w:rPr>
          <w:rFonts w:ascii="Times New Roman" w:hAnsi="Times New Roman"/>
          <w:color w:val="auto"/>
          <w:highlight w:val="none"/>
        </w:rPr>
      </w:pPr>
    </w:p>
    <w:p>
      <w:pPr>
        <w:pStyle w:val="14"/>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14"/>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r>
        <w:rPr>
          <w:rFonts w:hint="eastAsia" w:ascii="Times New Roman" w:hAnsi="Times New Roman"/>
          <w:color w:val="auto"/>
          <w:highlight w:val="none"/>
          <w:u w:val="single"/>
        </w:rPr>
        <w:t xml:space="preserve">                                </w:t>
      </w:r>
    </w:p>
    <w:p>
      <w:pPr>
        <w:pStyle w:val="14"/>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r>
        <w:rPr>
          <w:rFonts w:hint="eastAsia" w:ascii="Times New Roman" w:hAnsi="Times New Roman"/>
          <w:color w:val="auto"/>
          <w:highlight w:val="none"/>
          <w:u w:val="single"/>
        </w:rPr>
        <w:t xml:space="preserve">                                   </w:t>
      </w:r>
    </w:p>
    <w:p>
      <w:pPr>
        <w:pStyle w:val="14"/>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r>
        <w:rPr>
          <w:rFonts w:hint="eastAsia" w:ascii="Times New Roman" w:hAnsi="Times New Roman"/>
          <w:color w:val="auto"/>
          <w:highlight w:val="none"/>
          <w:u w:val="single"/>
        </w:rPr>
        <w:t xml:space="preserve">                                </w:t>
      </w:r>
    </w:p>
    <w:p>
      <w:pPr>
        <w:pStyle w:val="14"/>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r>
        <w:rPr>
          <w:rFonts w:hint="eastAsia" w:ascii="Times New Roman" w:hAnsi="Times New Roman"/>
          <w:color w:val="auto"/>
          <w:highlight w:val="none"/>
          <w:u w:val="single"/>
        </w:rPr>
        <w:t xml:space="preserve">                                   </w:t>
      </w:r>
    </w:p>
    <w:p>
      <w:pPr>
        <w:pStyle w:val="14"/>
        <w:spacing w:line="360" w:lineRule="auto"/>
        <w:jc w:val="both"/>
        <w:rPr>
          <w:rFonts w:ascii="Times New Roman" w:hAnsi="Times New Roman"/>
          <w:color w:val="auto"/>
          <w:highlight w:val="none"/>
        </w:rPr>
      </w:pPr>
      <w:r>
        <w:rPr>
          <w:bCs/>
          <w:color w:val="auto"/>
          <w:szCs w:val="21"/>
          <w:highlight w:val="none"/>
        </w:rPr>
        <w:br w:type="page"/>
      </w:r>
      <w:r>
        <w:rPr>
          <w:rFonts w:hint="eastAsia" w:ascii="Times New Roman" w:hAnsi="Times New Roman"/>
          <w:b/>
          <w:color w:val="auto"/>
          <w:highlight w:val="none"/>
        </w:rPr>
        <w:t>格式</w:t>
      </w:r>
      <w:r>
        <w:rPr>
          <w:rFonts w:hint="eastAsia" w:ascii="Times New Roman" w:hAnsi="Times New Roman"/>
          <w:b/>
          <w:color w:val="auto"/>
          <w:highlight w:val="none"/>
          <w:lang w:val="en-US" w:eastAsia="zh-CN"/>
        </w:rPr>
        <w:t>9</w:t>
      </w:r>
      <w:r>
        <w:rPr>
          <w:rFonts w:hint="eastAsia" w:ascii="Times New Roman" w:hAnsi="Times New Roman"/>
          <w:b/>
          <w:color w:val="auto"/>
          <w:highlight w:val="none"/>
        </w:rPr>
        <w:t>：</w:t>
      </w:r>
    </w:p>
    <w:p>
      <w:pPr>
        <w:pStyle w:val="14"/>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信用声明函（格式）</w:t>
      </w:r>
    </w:p>
    <w:p>
      <w:pPr>
        <w:tabs>
          <w:tab w:val="left" w:pos="7200"/>
        </w:tabs>
        <w:spacing w:line="360" w:lineRule="auto"/>
        <w:rPr>
          <w:rFonts w:hAnsi="宋体"/>
          <w:color w:val="auto"/>
          <w:highlight w:val="none"/>
        </w:rPr>
      </w:pPr>
      <w:r>
        <w:rPr>
          <w:rFonts w:hint="eastAsia" w:hAnsi="宋体"/>
          <w:color w:val="auto"/>
          <w:highlight w:val="none"/>
        </w:rPr>
        <w:t>致：</w:t>
      </w:r>
      <w:r>
        <w:rPr>
          <w:rFonts w:hAnsi="宋体"/>
          <w:color w:val="auto"/>
          <w:highlight w:val="none"/>
        </w:rPr>
        <w:t>_</w:t>
      </w:r>
      <w:r>
        <w:rPr>
          <w:rFonts w:hAnsi="宋体"/>
          <w:color w:val="auto"/>
          <w:highlight w:val="none"/>
          <w:u w:val="single"/>
        </w:rPr>
        <w:t xml:space="preserve">                      </w:t>
      </w:r>
      <w:r>
        <w:rPr>
          <w:rFonts w:hint="eastAsia" w:hAnsi="宋体"/>
          <w:color w:val="auto"/>
          <w:highlight w:val="none"/>
        </w:rPr>
        <w:t>（采购代理机构名称）</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我</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（投标人名称）的法定代表人，我方愿意参加贵方组织的</w:t>
      </w:r>
      <w:r>
        <w:rPr>
          <w:rFonts w:hint="eastAsia" w:ascii="宋体" w:hAnsi="宋体"/>
          <w:color w:val="000000"/>
          <w:szCs w:val="21"/>
          <w:u w:val="single"/>
        </w:rPr>
        <w:t xml:space="preserve">             </w:t>
      </w:r>
      <w:r>
        <w:rPr>
          <w:rFonts w:hint="eastAsia" w:ascii="宋体" w:hAnsi="宋体"/>
          <w:color w:val="000000"/>
          <w:szCs w:val="21"/>
        </w:rPr>
        <w:t>项目</w:t>
      </w:r>
      <w:r>
        <w:rPr>
          <w:rFonts w:hint="eastAsia" w:ascii="宋体" w:hAnsi="宋体"/>
          <w:color w:val="000000"/>
          <w:szCs w:val="21"/>
          <w:u w:val="single"/>
        </w:rPr>
        <w:t xml:space="preserve">               </w:t>
      </w:r>
      <w:r>
        <w:rPr>
          <w:rFonts w:hint="eastAsia" w:ascii="宋体" w:hAnsi="宋体"/>
          <w:color w:val="000000"/>
          <w:szCs w:val="21"/>
        </w:rPr>
        <w:t>（项目编号）的投标，为便于贵方公正、择优地确定中标人及其投标产品和服务，我方就本次投标有关事项郑重声明如下：</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1、我方承诺已经具备《中华人民共和国政府采购法》中规定的参加政府采购活动的供应商应当具备的条件：</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（1）具有独立承担民事责任的能力；</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（2）具有良好的商业信誉和健全的财务会计制度；</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（3）具有履行合同所必需的设备和专业技术能力；</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（4）有依法缴纳税收和社会保障资金的良好记录；</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（5）参加政府采购活动前三年内，在经营活动中没有重大违法记录；</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（6）法律、行政法规规定的其他条件。</w:t>
      </w:r>
    </w:p>
    <w:p>
      <w:pPr>
        <w:tabs>
          <w:tab w:val="left" w:pos="7200"/>
        </w:tabs>
        <w:spacing w:line="360" w:lineRule="auto"/>
        <w:ind w:firstLine="420" w:firstLineChars="200"/>
        <w:rPr>
          <w:rFonts w:hint="eastAsia" w:hAnsi="宋体"/>
          <w:color w:val="auto"/>
          <w:highlight w:val="none"/>
        </w:rPr>
      </w:pPr>
      <w:r>
        <w:rPr>
          <w:rFonts w:hint="eastAsia" w:hAnsi="宋体"/>
          <w:color w:val="auto"/>
          <w:highlight w:val="none"/>
        </w:rPr>
        <w:t>2. 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以上事项如有虚假或隐瞒，我方愿意承担一切后果，并不再寻求任何旨在减轻或免除法律责任的辩解。</w:t>
      </w:r>
    </w:p>
    <w:p>
      <w:pPr>
        <w:snapToGrid w:val="0"/>
        <w:spacing w:line="380" w:lineRule="exact"/>
        <w:ind w:firstLine="420" w:firstLineChars="200"/>
        <w:rPr>
          <w:rFonts w:hAnsi="Courier New"/>
          <w:color w:val="auto"/>
          <w:highlight w:val="none"/>
        </w:rPr>
      </w:pPr>
      <w:r>
        <w:rPr>
          <w:rFonts w:hint="eastAsia" w:hAnsi="Courier New"/>
          <w:color w:val="auto"/>
          <w:highlight w:val="none"/>
        </w:rPr>
        <w:t>说明：</w:t>
      </w:r>
      <w:r>
        <w:rPr>
          <w:rFonts w:hAnsi="Courier New"/>
          <w:color w:val="auto"/>
          <w:highlight w:val="none"/>
        </w:rPr>
        <w:t>1.</w:t>
      </w:r>
      <w:r>
        <w:rPr>
          <w:rFonts w:hint="eastAsia" w:hAnsi="Courier New"/>
          <w:color w:val="auto"/>
          <w:highlight w:val="none"/>
        </w:rPr>
        <w:t>投标人应当通过</w:t>
      </w:r>
      <w:r>
        <w:rPr>
          <w:rFonts w:hAnsi="Courier New"/>
          <w:color w:val="auto"/>
          <w:highlight w:val="none"/>
        </w:rPr>
        <w:t xml:space="preserve"> </w:t>
      </w:r>
      <w:r>
        <w:rPr>
          <w:rFonts w:hint="eastAsia" w:hAnsi="Courier New"/>
          <w:color w:val="auto"/>
          <w:highlight w:val="none"/>
        </w:rPr>
        <w:t>“信用中国”（</w:t>
      </w:r>
      <w:r>
        <w:rPr>
          <w:rFonts w:hAnsi="Courier New"/>
          <w:color w:val="auto"/>
          <w:highlight w:val="none"/>
        </w:rPr>
        <w:t>www.creditchina.gov.cn</w:t>
      </w:r>
      <w:r>
        <w:rPr>
          <w:rFonts w:hint="eastAsia" w:hAnsi="Courier New"/>
          <w:color w:val="auto"/>
          <w:highlight w:val="none"/>
        </w:rPr>
        <w:t>）和“中国政府采购网”网站（</w:t>
      </w:r>
      <w:r>
        <w:rPr>
          <w:rFonts w:hAnsi="Courier New"/>
          <w:color w:val="auto"/>
          <w:highlight w:val="none"/>
        </w:rPr>
        <w:t>www.ccgp.gov.cn</w:t>
      </w:r>
      <w:r>
        <w:rPr>
          <w:rFonts w:hint="eastAsia" w:hAnsi="Courier New"/>
          <w:color w:val="auto"/>
          <w:highlight w:val="none"/>
        </w:rPr>
        <w:t>）查询投标人相关主体的信用记录；</w:t>
      </w:r>
      <w:r>
        <w:rPr>
          <w:rFonts w:hint="eastAsia" w:ascii="宋体" w:hAnsi="宋体"/>
          <w:color w:val="auto"/>
          <w:szCs w:val="21"/>
          <w:highlight w:val="none"/>
        </w:rPr>
        <w:t>查询时间：招标公告发布之日起投标截止时间前；查询记录和证据留存方式：在查询网站中直接（或截图）打印</w:t>
      </w:r>
      <w:r>
        <w:rPr>
          <w:rFonts w:hint="eastAsia" w:hAnsi="Courier New"/>
          <w:b/>
          <w:color w:val="auto"/>
          <w:highlight w:val="none"/>
        </w:rPr>
        <w:t>“信用中国”（</w:t>
      </w:r>
      <w:r>
        <w:rPr>
          <w:rFonts w:hAnsi="Courier New"/>
          <w:b/>
          <w:color w:val="auto"/>
          <w:highlight w:val="none"/>
        </w:rPr>
        <w:t>www.creditchina.gov.cn</w:t>
      </w:r>
      <w:r>
        <w:rPr>
          <w:rFonts w:hint="eastAsia" w:hAnsi="Courier New"/>
          <w:b/>
          <w:color w:val="auto"/>
          <w:highlight w:val="none"/>
        </w:rPr>
        <w:t>）的失信被执行人、重大税收违法案件当事人名单、政府采购严重违法失信行为记录名单和“中国政府采购网”网站（</w:t>
      </w:r>
      <w:r>
        <w:rPr>
          <w:rFonts w:hAnsi="Courier New"/>
          <w:b/>
          <w:color w:val="auto"/>
          <w:highlight w:val="none"/>
        </w:rPr>
        <w:t>www.ccgp.gov.cn</w:t>
      </w:r>
      <w:r>
        <w:rPr>
          <w:rFonts w:hint="eastAsia" w:hAnsi="Courier New"/>
          <w:b/>
          <w:color w:val="auto"/>
          <w:highlight w:val="none"/>
        </w:rPr>
        <w:t>）信用</w:t>
      </w:r>
      <w:r>
        <w:rPr>
          <w:rFonts w:hint="eastAsia" w:ascii="宋体" w:hAnsi="宋体"/>
          <w:color w:val="auto"/>
          <w:szCs w:val="21"/>
          <w:highlight w:val="none"/>
        </w:rPr>
        <w:t>查询记录，打印材料作为评审资料保存。</w:t>
      </w:r>
      <w:r>
        <w:rPr>
          <w:rFonts w:hint="eastAsia" w:hAnsi="Courier New"/>
          <w:color w:val="auto"/>
          <w:highlight w:val="none"/>
        </w:rPr>
        <w:t>对列入失信被执行人、重大税收违法案件当事人名单、政府采购严重违法失信行为记录名单的投标人，</w:t>
      </w:r>
      <w:r>
        <w:rPr>
          <w:rFonts w:hint="eastAsia" w:ascii="宋体" w:hAnsi="宋体"/>
          <w:color w:val="auto"/>
          <w:szCs w:val="21"/>
          <w:highlight w:val="none"/>
        </w:rPr>
        <w:t>资格审查不通过，</w:t>
      </w:r>
      <w:r>
        <w:rPr>
          <w:rFonts w:hint="eastAsia" w:hAnsi="Courier New"/>
          <w:color w:val="auto"/>
          <w:highlight w:val="none"/>
        </w:rPr>
        <w:t>将被拒绝参与本项目政府采购活动。供应商为事业单位的，且在信用中国和中国政府采购网无查询信息的，需提供事业单位在线网(www.gjsy.gov.cn )信息公示截图页。</w:t>
      </w:r>
    </w:p>
    <w:p>
      <w:pPr>
        <w:spacing w:line="440" w:lineRule="exact"/>
        <w:ind w:firstLine="420" w:firstLineChars="200"/>
        <w:jc w:val="left"/>
        <w:rPr>
          <w:rFonts w:hAnsi="Courier New"/>
          <w:color w:val="auto"/>
          <w:highlight w:val="none"/>
        </w:rPr>
      </w:pPr>
      <w:r>
        <w:rPr>
          <w:rFonts w:hAnsi="Courier New"/>
          <w:color w:val="auto"/>
          <w:highlight w:val="none"/>
        </w:rPr>
        <w:t>2.</w:t>
      </w:r>
      <w:r>
        <w:rPr>
          <w:rFonts w:hint="eastAsia" w:hAnsi="Courier New"/>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4"/>
        <w:spacing w:line="600" w:lineRule="exact"/>
        <w:rPr>
          <w:rFonts w:ascii="Times New Roman" w:hAnsi="Times New Roman"/>
          <w:color w:val="auto"/>
          <w:highlight w:val="none"/>
          <w:u w:val="single"/>
        </w:rPr>
      </w:pPr>
      <w:r>
        <w:rPr>
          <w:rFonts w:hAnsi="宋体"/>
          <w:b/>
          <w:color w:val="auto"/>
          <w:highlight w:val="none"/>
        </w:rPr>
        <w:t xml:space="preserve">                                 </w:t>
      </w: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14"/>
        <w:spacing w:line="600" w:lineRule="exact"/>
        <w:ind w:firstLine="3570" w:firstLineChars="1700"/>
        <w:jc w:val="left"/>
        <w:rPr>
          <w:rFonts w:hAnsi="宋体"/>
          <w:b/>
          <w:color w:val="auto"/>
          <w:highlight w:val="none"/>
        </w:rPr>
      </w:pPr>
      <w:r>
        <w:rPr>
          <w:rFonts w:hint="eastAsia" w:ascii="Times New Roman" w:hAnsi="Times New Roman"/>
          <w:color w:val="auto"/>
          <w:highlight w:val="none"/>
        </w:rPr>
        <w:t>法定代表人或其委托代理人（签字或盖章）：</w:t>
      </w:r>
      <w:r>
        <w:rPr>
          <w:rFonts w:hint="eastAsia" w:ascii="Times New Roman" w:hAnsi="Times New Roman"/>
          <w:color w:val="auto"/>
          <w:highlight w:val="none"/>
          <w:u w:val="single"/>
        </w:rPr>
        <w:t xml:space="preserve">                  </w:t>
      </w:r>
      <w:r>
        <w:rPr>
          <w:rFonts w:hAnsi="宋体"/>
          <w:b/>
          <w:color w:val="auto"/>
          <w:highlight w:val="none"/>
        </w:rPr>
        <w:t xml:space="preserve"> </w:t>
      </w:r>
    </w:p>
    <w:p>
      <w:pPr>
        <w:pStyle w:val="14"/>
        <w:spacing w:line="600" w:lineRule="exact"/>
        <w:ind w:firstLine="0" w:firstLineChars="0"/>
        <w:jc w:val="left"/>
        <w:rPr>
          <w:bCs/>
          <w:color w:val="auto"/>
          <w:szCs w:val="21"/>
          <w:highlight w:val="none"/>
        </w:rPr>
      </w:pPr>
      <w:r>
        <w:rPr>
          <w:bCs/>
          <w:color w:val="auto"/>
          <w:szCs w:val="21"/>
          <w:highlight w:val="none"/>
        </w:rPr>
        <w:br w:type="page"/>
      </w:r>
    </w:p>
    <w:p>
      <w:pPr>
        <w:pStyle w:val="14"/>
        <w:spacing w:line="600" w:lineRule="exact"/>
        <w:jc w:val="center"/>
        <w:outlineLvl w:val="0"/>
        <w:rPr>
          <w:rFonts w:ascii="Times New Roman" w:hAnsi="Times New Roman"/>
          <w:color w:val="auto"/>
          <w:highlight w:val="none"/>
          <w:u w:val="single"/>
        </w:rPr>
      </w:pPr>
      <w:bookmarkStart w:id="53" w:name="_Toc1654635"/>
      <w:r>
        <w:rPr>
          <w:rFonts w:hint="eastAsia" w:ascii="Times New Roman" w:hAnsi="Times New Roman"/>
          <w:b/>
          <w:color w:val="auto"/>
          <w:sz w:val="36"/>
          <w:szCs w:val="36"/>
          <w:highlight w:val="none"/>
        </w:rPr>
        <w:t>第六章  合同条款及格式</w:t>
      </w:r>
      <w:bookmarkEnd w:id="51"/>
      <w:bookmarkEnd w:id="52"/>
      <w:bookmarkEnd w:id="53"/>
    </w:p>
    <w:p>
      <w:pPr>
        <w:spacing w:line="360" w:lineRule="auto"/>
        <w:ind w:firstLine="880" w:firstLineChars="200"/>
        <w:rPr>
          <w:rFonts w:ascii="宋体"/>
          <w:color w:val="auto"/>
          <w:sz w:val="44"/>
          <w:highlight w:val="none"/>
        </w:rPr>
      </w:pPr>
    </w:p>
    <w:p>
      <w:pPr>
        <w:spacing w:line="360" w:lineRule="auto"/>
        <w:jc w:val="center"/>
        <w:rPr>
          <w:rFonts w:hint="eastAsia" w:ascii="宋体" w:hAnsi="宋体"/>
          <w:b/>
          <w:bCs/>
          <w:sz w:val="52"/>
        </w:rPr>
      </w:pPr>
      <w:r>
        <w:rPr>
          <w:rFonts w:hint="eastAsia" w:ascii="宋体" w:hAnsi="宋体"/>
          <w:b/>
          <w:bCs/>
          <w:sz w:val="52"/>
        </w:rPr>
        <w:t>南 宁 市 政 府 采 购</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r>
        <w:rPr>
          <w:rFonts w:hint="eastAsia" w:ascii="宋体" w:hAnsi="宋体"/>
        </w:rPr>
        <w:t xml:space="preserve">                                                 </w:t>
      </w:r>
    </w:p>
    <w:p>
      <w:pPr>
        <w:spacing w:line="360" w:lineRule="auto"/>
        <w:jc w:val="center"/>
        <w:rPr>
          <w:rFonts w:hint="eastAsia" w:ascii="宋体" w:hAnsi="宋体"/>
          <w:b/>
          <w:bCs/>
          <w:sz w:val="44"/>
        </w:rPr>
      </w:pPr>
      <w:r>
        <w:rPr>
          <w:rFonts w:hint="eastAsia" w:ascii="宋体" w:hAnsi="宋体"/>
          <w:b/>
          <w:bCs/>
          <w:sz w:val="44"/>
          <w:u w:val="single"/>
        </w:rPr>
        <w:t xml:space="preserve">         （项目名称）         </w:t>
      </w:r>
      <w:r>
        <w:rPr>
          <w:rFonts w:hint="eastAsia" w:ascii="宋体" w:hAnsi="宋体"/>
          <w:b/>
          <w:bCs/>
          <w:sz w:val="44"/>
        </w:rPr>
        <w:t>合同</w:t>
      </w:r>
    </w:p>
    <w:p>
      <w:pPr>
        <w:spacing w:line="360" w:lineRule="auto"/>
        <w:ind w:firstLine="420" w:firstLineChars="200"/>
        <w:rPr>
          <w:rFonts w:hint="eastAsia" w:ascii="宋体" w:hAnsi="宋体"/>
        </w:rPr>
      </w:pPr>
    </w:p>
    <w:p>
      <w:pPr>
        <w:spacing w:line="360" w:lineRule="auto"/>
        <w:ind w:firstLine="3507" w:firstLineChars="794"/>
        <w:rPr>
          <w:rFonts w:hint="eastAsia" w:ascii="宋体" w:hAnsi="宋体"/>
          <w:b/>
          <w:bCs/>
          <w:sz w:val="44"/>
        </w:rPr>
      </w:pPr>
    </w:p>
    <w:p>
      <w:pPr>
        <w:spacing w:line="360" w:lineRule="auto"/>
        <w:ind w:firstLine="3507" w:firstLineChars="794"/>
        <w:rPr>
          <w:rFonts w:hint="eastAsia" w:ascii="宋体" w:hAnsi="宋体"/>
          <w:b/>
          <w:bCs/>
          <w:sz w:val="44"/>
        </w:rPr>
      </w:pPr>
    </w:p>
    <w:p>
      <w:pPr>
        <w:spacing w:line="360" w:lineRule="auto"/>
        <w:ind w:firstLine="3507" w:firstLineChars="794"/>
        <w:rPr>
          <w:rFonts w:hint="eastAsia" w:ascii="宋体" w:hAnsi="宋体"/>
          <w:b/>
          <w:bCs/>
          <w:sz w:val="44"/>
        </w:rPr>
      </w:pPr>
    </w:p>
    <w:p>
      <w:pPr>
        <w:spacing w:line="360" w:lineRule="auto"/>
        <w:jc w:val="center"/>
        <w:rPr>
          <w:rFonts w:hint="eastAsia" w:ascii="宋体" w:hAnsi="宋体"/>
          <w:b/>
          <w:bCs/>
          <w:sz w:val="44"/>
        </w:rPr>
      </w:pPr>
    </w:p>
    <w:p>
      <w:pPr>
        <w:rPr>
          <w:rFonts w:hint="eastAsia" w:ascii="宋体" w:hAnsi="宋体"/>
          <w:b/>
          <w:sz w:val="36"/>
          <w:szCs w:val="36"/>
          <w:u w:val="single"/>
        </w:rPr>
      </w:pPr>
      <w:r>
        <w:rPr>
          <w:rFonts w:hint="eastAsia" w:ascii="宋体" w:hAnsi="宋体"/>
          <w:b/>
          <w:sz w:val="36"/>
          <w:szCs w:val="36"/>
        </w:rPr>
        <w:t xml:space="preserve">             项目编号：</w:t>
      </w:r>
      <w:r>
        <w:rPr>
          <w:rFonts w:hint="eastAsia" w:ascii="宋体" w:hAnsi="宋体"/>
          <w:b/>
          <w:sz w:val="36"/>
          <w:szCs w:val="36"/>
          <w:u w:val="single"/>
        </w:rPr>
        <w:t xml:space="preserve">                 </w:t>
      </w:r>
    </w:p>
    <w:p>
      <w:pPr>
        <w:rPr>
          <w:rFonts w:hint="eastAsia" w:ascii="宋体" w:hAnsi="宋体"/>
          <w:b/>
          <w:sz w:val="36"/>
          <w:szCs w:val="36"/>
          <w:u w:val="single"/>
        </w:rPr>
      </w:pPr>
      <w:r>
        <w:rPr>
          <w:rFonts w:hint="eastAsia" w:ascii="宋体" w:hAnsi="宋体"/>
          <w:b/>
          <w:sz w:val="36"/>
          <w:szCs w:val="36"/>
        </w:rPr>
        <w:t xml:space="preserve">             支付申请号：</w:t>
      </w:r>
      <w:r>
        <w:rPr>
          <w:rFonts w:hint="eastAsia" w:ascii="宋体" w:hAnsi="宋体"/>
          <w:b/>
          <w:bCs/>
          <w:sz w:val="44"/>
          <w:szCs w:val="44"/>
        </w:rPr>
        <w:t>[201 ]NCC</w:t>
      </w:r>
      <w:r>
        <w:rPr>
          <w:rFonts w:hint="eastAsia" w:ascii="宋体" w:hAnsi="宋体"/>
          <w:b/>
          <w:sz w:val="36"/>
          <w:szCs w:val="36"/>
          <w:u w:val="single"/>
        </w:rPr>
        <w:t xml:space="preserve">         </w:t>
      </w:r>
    </w:p>
    <w:p>
      <w:pPr>
        <w:spacing w:line="360" w:lineRule="auto"/>
        <w:ind w:firstLine="880" w:firstLineChars="200"/>
        <w:rPr>
          <w:rFonts w:hint="eastAsia" w:ascii="宋体" w:hAnsi="宋体"/>
          <w:sz w:val="44"/>
        </w:rPr>
      </w:pPr>
    </w:p>
    <w:p>
      <w:pPr>
        <w:spacing w:line="360" w:lineRule="auto"/>
        <w:ind w:firstLine="880" w:firstLineChars="200"/>
        <w:rPr>
          <w:rFonts w:hint="eastAsia" w:ascii="宋体" w:hAnsi="宋体"/>
          <w:sz w:val="44"/>
        </w:rPr>
      </w:pPr>
    </w:p>
    <w:p>
      <w:pPr>
        <w:spacing w:line="360" w:lineRule="auto"/>
        <w:ind w:firstLine="880" w:firstLineChars="200"/>
        <w:rPr>
          <w:rFonts w:hint="eastAsia" w:ascii="宋体" w:hAnsi="宋体"/>
          <w:sz w:val="44"/>
        </w:rPr>
      </w:pPr>
    </w:p>
    <w:p>
      <w:pPr>
        <w:tabs>
          <w:tab w:val="left" w:pos="7200"/>
        </w:tabs>
        <w:spacing w:line="360" w:lineRule="auto"/>
        <w:ind w:firstLine="1438" w:firstLineChars="398"/>
        <w:rPr>
          <w:rFonts w:hint="eastAsia" w:ascii="宋体" w:hAnsi="宋体"/>
          <w:b/>
          <w:sz w:val="36"/>
          <w:szCs w:val="36"/>
          <w:u w:val="single"/>
        </w:rPr>
      </w:pPr>
      <w:r>
        <w:rPr>
          <w:rFonts w:hint="eastAsia" w:ascii="宋体" w:hAnsi="宋体"/>
          <w:b/>
          <w:sz w:val="36"/>
          <w:szCs w:val="36"/>
        </w:rPr>
        <w:t xml:space="preserve">     采购人：</w:t>
      </w:r>
      <w:r>
        <w:rPr>
          <w:rFonts w:hint="eastAsia" w:ascii="宋体" w:hAnsi="宋体"/>
          <w:b/>
          <w:sz w:val="36"/>
          <w:szCs w:val="36"/>
          <w:u w:val="single"/>
        </w:rPr>
        <w:t xml:space="preserve">                   </w:t>
      </w:r>
    </w:p>
    <w:p>
      <w:pPr>
        <w:tabs>
          <w:tab w:val="left" w:pos="7380"/>
        </w:tabs>
        <w:spacing w:line="360" w:lineRule="auto"/>
        <w:ind w:firstLine="1438" w:firstLineChars="398"/>
        <w:rPr>
          <w:rFonts w:hint="eastAsia" w:ascii="宋体" w:hAnsi="宋体"/>
          <w:b/>
          <w:bCs/>
          <w:sz w:val="44"/>
        </w:rPr>
      </w:pPr>
      <w:r>
        <w:rPr>
          <w:rFonts w:hint="eastAsia" w:ascii="宋体" w:hAnsi="宋体"/>
          <w:b/>
          <w:sz w:val="36"/>
          <w:szCs w:val="36"/>
        </w:rPr>
        <w:t xml:space="preserve">     中标供应商：</w:t>
      </w:r>
      <w:r>
        <w:rPr>
          <w:rFonts w:hint="eastAsia" w:ascii="宋体" w:hAnsi="宋体"/>
          <w:b/>
          <w:sz w:val="36"/>
          <w:szCs w:val="36"/>
          <w:u w:val="single"/>
        </w:rPr>
        <w:t xml:space="preserve">               </w:t>
      </w:r>
      <w:r>
        <w:rPr>
          <w:rFonts w:hint="eastAsia" w:ascii="宋体" w:hAnsi="宋体"/>
          <w:b/>
          <w:bCs/>
          <w:sz w:val="44"/>
        </w:rPr>
        <w:t xml:space="preserve"> </w:t>
      </w:r>
    </w:p>
    <w:p>
      <w:pPr>
        <w:tabs>
          <w:tab w:val="left" w:pos="7380"/>
        </w:tabs>
        <w:spacing w:line="360" w:lineRule="auto"/>
        <w:ind w:firstLine="1438" w:firstLineChars="398"/>
        <w:rPr>
          <w:rFonts w:hint="eastAsia" w:ascii="宋体" w:hAnsi="宋体"/>
          <w:b/>
          <w:sz w:val="36"/>
          <w:szCs w:val="36"/>
          <w:u w:val="single"/>
        </w:rPr>
      </w:pPr>
      <w:r>
        <w:rPr>
          <w:rFonts w:hint="eastAsia" w:ascii="宋体" w:hAnsi="宋体"/>
          <w:b/>
          <w:sz w:val="36"/>
          <w:szCs w:val="36"/>
        </w:rPr>
        <w:t xml:space="preserve">     中标分标：</w:t>
      </w:r>
      <w:r>
        <w:rPr>
          <w:rFonts w:hint="eastAsia" w:ascii="宋体" w:hAnsi="宋体"/>
          <w:b/>
          <w:sz w:val="36"/>
          <w:szCs w:val="36"/>
          <w:u w:val="single"/>
        </w:rPr>
        <w:t xml:space="preserve">                 </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pStyle w:val="2"/>
        <w:rPr>
          <w:rFonts w:hint="eastAsia"/>
          <w:lang w:val="en-US" w:eastAsia="zh-CN"/>
        </w:rPr>
      </w:pPr>
    </w:p>
    <w:p>
      <w:pPr>
        <w:pStyle w:val="2"/>
        <w:rPr>
          <w:rFonts w:hint="eastAsia"/>
          <w:lang w:val="en-US" w:eastAsia="zh-CN"/>
        </w:rPr>
      </w:pPr>
    </w:p>
    <w:p>
      <w:pPr>
        <w:jc w:val="center"/>
        <w:rPr>
          <w:rFonts w:hint="eastAsia" w:ascii="宋体" w:hAnsi="宋体"/>
          <w:b/>
          <w:sz w:val="36"/>
          <w:szCs w:val="36"/>
        </w:rPr>
      </w:pPr>
      <w:r>
        <w:rPr>
          <w:rFonts w:hint="eastAsia" w:ascii="宋体" w:hAnsi="宋体"/>
          <w:b/>
          <w:sz w:val="36"/>
          <w:szCs w:val="36"/>
        </w:rPr>
        <w:t>目  录</w:t>
      </w:r>
    </w:p>
    <w:p>
      <w:pPr>
        <w:tabs>
          <w:tab w:val="left" w:pos="1170"/>
        </w:tabs>
        <w:spacing w:line="360" w:lineRule="auto"/>
        <w:ind w:left="359" w:leftChars="171" w:firstLine="198" w:firstLineChars="71"/>
        <w:rPr>
          <w:rFonts w:hint="eastAsia" w:ascii="宋体" w:hAnsi="宋体"/>
          <w:sz w:val="28"/>
        </w:rPr>
      </w:pPr>
      <w:r>
        <w:rPr>
          <w:rFonts w:ascii="宋体" w:hAnsi="宋体"/>
          <w:sz w:val="28"/>
        </w:rPr>
        <w:tab/>
      </w:r>
    </w:p>
    <w:p>
      <w:pPr>
        <w:rPr>
          <w:rFonts w:hint="eastAsia" w:ascii="宋体" w:hAnsi="宋体"/>
          <w:b/>
          <w:sz w:val="30"/>
          <w:szCs w:val="30"/>
        </w:rPr>
      </w:pPr>
      <w:r>
        <w:rPr>
          <w:rFonts w:hint="eastAsia" w:ascii="宋体" w:hAnsi="宋体"/>
          <w:b/>
          <w:sz w:val="30"/>
          <w:szCs w:val="30"/>
        </w:rPr>
        <w:t>一、南宁市政府采购合同书</w:t>
      </w:r>
    </w:p>
    <w:p>
      <w:pPr>
        <w:rPr>
          <w:rFonts w:hint="eastAsia" w:ascii="宋体" w:hAnsi="宋体"/>
          <w:b/>
          <w:sz w:val="30"/>
          <w:szCs w:val="30"/>
        </w:rPr>
      </w:pPr>
      <w:r>
        <w:rPr>
          <w:rFonts w:hint="eastAsia" w:ascii="宋体" w:hAnsi="宋体"/>
          <w:b/>
          <w:sz w:val="30"/>
          <w:szCs w:val="30"/>
        </w:rPr>
        <w:t>二、合同附件</w:t>
      </w:r>
    </w:p>
    <w:p>
      <w:pPr>
        <w:numPr>
          <w:ilvl w:val="0"/>
          <w:numId w:val="9"/>
        </w:numPr>
        <w:rPr>
          <w:rFonts w:hint="eastAsia" w:ascii="宋体" w:hAnsi="宋体"/>
          <w:sz w:val="28"/>
        </w:rPr>
      </w:pPr>
      <w:r>
        <w:rPr>
          <w:rFonts w:hint="eastAsia" w:ascii="宋体" w:hAnsi="宋体"/>
          <w:sz w:val="28"/>
        </w:rPr>
        <w:t>中标通知书</w:t>
      </w:r>
    </w:p>
    <w:p>
      <w:pPr>
        <w:numPr>
          <w:ilvl w:val="0"/>
          <w:numId w:val="9"/>
        </w:numPr>
        <w:rPr>
          <w:rFonts w:hint="eastAsia" w:ascii="宋体" w:hAnsi="宋体"/>
          <w:sz w:val="28"/>
        </w:rPr>
      </w:pPr>
      <w:r>
        <w:rPr>
          <w:rFonts w:hint="eastAsia" w:ascii="宋体" w:hAnsi="宋体"/>
          <w:sz w:val="28"/>
        </w:rPr>
        <w:t>招标文件货物需求一览表</w:t>
      </w:r>
    </w:p>
    <w:p>
      <w:pPr>
        <w:numPr>
          <w:ilvl w:val="0"/>
          <w:numId w:val="9"/>
        </w:numPr>
        <w:rPr>
          <w:rFonts w:hint="eastAsia" w:ascii="宋体" w:hAnsi="宋体"/>
          <w:sz w:val="28"/>
        </w:rPr>
      </w:pPr>
      <w:r>
        <w:rPr>
          <w:rFonts w:hint="eastAsia" w:ascii="宋体" w:hAnsi="宋体"/>
          <w:sz w:val="28"/>
        </w:rPr>
        <w:t>招标文件的澄清和修改（如有）</w:t>
      </w:r>
    </w:p>
    <w:p>
      <w:pPr>
        <w:numPr>
          <w:ilvl w:val="0"/>
          <w:numId w:val="9"/>
        </w:numPr>
        <w:rPr>
          <w:rFonts w:hint="eastAsia" w:ascii="宋体" w:hAnsi="宋体"/>
          <w:sz w:val="28"/>
        </w:rPr>
      </w:pPr>
      <w:r>
        <w:rPr>
          <w:rFonts w:hint="eastAsia" w:ascii="宋体" w:hAnsi="宋体"/>
          <w:sz w:val="28"/>
        </w:rPr>
        <w:t>投标报价表</w:t>
      </w:r>
    </w:p>
    <w:p>
      <w:pPr>
        <w:numPr>
          <w:ilvl w:val="0"/>
          <w:numId w:val="9"/>
        </w:numPr>
        <w:rPr>
          <w:rFonts w:hint="eastAsia" w:ascii="宋体" w:hAnsi="宋体"/>
          <w:sz w:val="28"/>
          <w:u w:val="thick"/>
        </w:rPr>
      </w:pPr>
      <w:r>
        <w:rPr>
          <w:rFonts w:hint="eastAsia" w:ascii="宋体" w:hAnsi="宋体"/>
          <w:sz w:val="28"/>
        </w:rPr>
        <w:t>投标产品技术资料表、商务条款偏离表</w:t>
      </w:r>
    </w:p>
    <w:p>
      <w:pPr>
        <w:numPr>
          <w:ilvl w:val="0"/>
          <w:numId w:val="9"/>
        </w:numPr>
        <w:rPr>
          <w:rFonts w:hint="eastAsia" w:ascii="宋体" w:hAnsi="宋体"/>
          <w:sz w:val="28"/>
        </w:rPr>
      </w:pPr>
      <w:r>
        <w:rPr>
          <w:rFonts w:hint="eastAsia" w:ascii="宋体" w:hAnsi="宋体"/>
          <w:sz w:val="28"/>
        </w:rPr>
        <w:t>中标供应商澄清函（如有）</w:t>
      </w:r>
    </w:p>
    <w:p>
      <w:pPr>
        <w:rPr>
          <w:rFonts w:hint="eastAsia" w:ascii="宋体" w:hAnsi="宋体"/>
          <w:b/>
          <w:sz w:val="30"/>
          <w:szCs w:val="30"/>
        </w:rPr>
      </w:pPr>
    </w:p>
    <w:p>
      <w:pPr>
        <w:spacing w:line="360" w:lineRule="auto"/>
        <w:jc w:val="center"/>
        <w:rPr>
          <w:rFonts w:hint="eastAsia" w:ascii="宋体" w:hAnsi="宋体"/>
          <w:b/>
          <w:bCs/>
          <w:sz w:val="28"/>
        </w:rPr>
      </w:pPr>
    </w:p>
    <w:p>
      <w:pPr>
        <w:spacing w:line="360" w:lineRule="auto"/>
        <w:jc w:val="center"/>
        <w:rPr>
          <w:rFonts w:hint="eastAsia" w:ascii="宋体" w:hAnsi="宋体"/>
          <w:bCs/>
          <w:sz w:val="28"/>
        </w:rPr>
      </w:pPr>
      <w:r>
        <w:rPr>
          <w:rFonts w:ascii="宋体" w:hAnsi="宋体"/>
          <w:bCs/>
          <w:sz w:val="28"/>
        </w:rPr>
        <w:br w:type="page"/>
      </w:r>
    </w:p>
    <w:p>
      <w:pPr>
        <w:spacing w:line="360" w:lineRule="auto"/>
        <w:jc w:val="center"/>
        <w:rPr>
          <w:rFonts w:ascii="宋体" w:hAnsi="宋体"/>
          <w:b/>
          <w:bCs/>
          <w:sz w:val="30"/>
          <w:szCs w:val="30"/>
        </w:rPr>
      </w:pPr>
      <w:r>
        <w:rPr>
          <w:rFonts w:hint="eastAsia" w:ascii="宋体" w:hAnsi="宋体"/>
          <w:b/>
          <w:sz w:val="30"/>
          <w:szCs w:val="30"/>
        </w:rPr>
        <w:t>南宁市政府采购合同书</w:t>
      </w:r>
    </w:p>
    <w:p>
      <w:pPr>
        <w:pStyle w:val="14"/>
        <w:spacing w:line="360" w:lineRule="auto"/>
        <w:ind w:firstLine="4200" w:firstLineChars="2000"/>
        <w:rPr>
          <w:rFonts w:hint="eastAsia" w:hAnsi="宋体"/>
          <w:bCs/>
          <w:szCs w:val="21"/>
          <w:u w:val="single"/>
        </w:rPr>
      </w:pPr>
      <w:r>
        <w:rPr>
          <w:rFonts w:hint="eastAsia" w:hAnsi="宋体"/>
        </w:rPr>
        <w:t>合同编号：</w:t>
      </w:r>
      <w:r>
        <w:rPr>
          <w:rFonts w:hint="eastAsia" w:hAnsi="宋体"/>
          <w:u w:val="single"/>
        </w:rPr>
        <w:t xml:space="preserve">            </w:t>
      </w:r>
      <w:r>
        <w:rPr>
          <w:rFonts w:hint="eastAsia" w:hAnsi="宋体"/>
        </w:rPr>
        <w:t xml:space="preserve">  支付申请号</w:t>
      </w:r>
      <w:r>
        <w:rPr>
          <w:rFonts w:hint="eastAsia" w:hAnsi="宋体"/>
          <w:szCs w:val="21"/>
        </w:rPr>
        <w:t>：</w:t>
      </w:r>
      <w:r>
        <w:rPr>
          <w:rFonts w:hint="eastAsia" w:hAnsi="宋体"/>
          <w:bCs/>
          <w:szCs w:val="21"/>
        </w:rPr>
        <w:t>[201 ]NCC</w:t>
      </w:r>
      <w:r>
        <w:rPr>
          <w:rFonts w:hint="eastAsia" w:hAnsi="宋体"/>
          <w:bCs/>
          <w:szCs w:val="21"/>
          <w:u w:val="single"/>
        </w:rPr>
        <w:t xml:space="preserve">     </w:t>
      </w:r>
    </w:p>
    <w:p>
      <w:pPr>
        <w:pStyle w:val="14"/>
        <w:spacing w:line="360" w:lineRule="auto"/>
        <w:rPr>
          <w:rFonts w:hint="eastAsia" w:hAnsi="宋体"/>
        </w:rPr>
      </w:pPr>
    </w:p>
    <w:p>
      <w:pPr>
        <w:pStyle w:val="14"/>
        <w:spacing w:line="360" w:lineRule="auto"/>
        <w:rPr>
          <w:rFonts w:hint="eastAsia" w:hAnsi="宋体"/>
        </w:rPr>
      </w:pPr>
      <w:r>
        <w:rPr>
          <w:rFonts w:hint="eastAsia" w:hAnsi="宋体"/>
        </w:rPr>
        <w:t>项目名称：</w:t>
      </w:r>
      <w:r>
        <w:rPr>
          <w:rFonts w:hint="eastAsia" w:hAnsi="宋体"/>
          <w:u w:val="single"/>
        </w:rPr>
        <w:t xml:space="preserve">                                        </w:t>
      </w:r>
    </w:p>
    <w:p>
      <w:pPr>
        <w:pStyle w:val="14"/>
        <w:spacing w:line="360" w:lineRule="auto"/>
        <w:rPr>
          <w:rFonts w:hint="eastAsia" w:hAnsi="宋体"/>
        </w:rPr>
      </w:pPr>
      <w:r>
        <w:rPr>
          <w:rFonts w:hint="eastAsia" w:hAnsi="宋体"/>
        </w:rPr>
        <w:t>项目编号：</w:t>
      </w:r>
      <w:r>
        <w:rPr>
          <w:rFonts w:hint="eastAsia" w:hAnsi="宋体"/>
          <w:u w:val="single"/>
        </w:rPr>
        <w:t xml:space="preserve">                                        </w:t>
      </w:r>
    </w:p>
    <w:p>
      <w:pPr>
        <w:pStyle w:val="14"/>
        <w:spacing w:line="360" w:lineRule="auto"/>
        <w:rPr>
          <w:rFonts w:hint="eastAsia" w:hAnsi="宋体"/>
        </w:rPr>
      </w:pPr>
      <w:r>
        <w:rPr>
          <w:rFonts w:hint="eastAsia" w:hAnsi="宋体"/>
        </w:rPr>
        <w:t>分标号（有分标时填写）：</w:t>
      </w:r>
      <w:r>
        <w:rPr>
          <w:rFonts w:hint="eastAsia" w:hAnsi="宋体"/>
          <w:u w:val="single"/>
        </w:rPr>
        <w:t xml:space="preserve">                           </w:t>
      </w:r>
    </w:p>
    <w:p>
      <w:pPr>
        <w:pStyle w:val="14"/>
        <w:spacing w:line="360" w:lineRule="auto"/>
        <w:rPr>
          <w:rFonts w:hint="eastAsia" w:hAnsi="宋体"/>
        </w:rPr>
      </w:pPr>
    </w:p>
    <w:p>
      <w:pPr>
        <w:pStyle w:val="14"/>
        <w:spacing w:line="360" w:lineRule="auto"/>
        <w:rPr>
          <w:rFonts w:hint="eastAsia" w:hAnsi="宋体"/>
        </w:rPr>
      </w:pPr>
    </w:p>
    <w:p>
      <w:pPr>
        <w:pStyle w:val="14"/>
        <w:spacing w:line="360" w:lineRule="auto"/>
        <w:rPr>
          <w:rFonts w:hint="eastAsia" w:hAnsi="宋体"/>
        </w:rPr>
      </w:pPr>
      <w:r>
        <w:rPr>
          <w:rFonts w:hint="eastAsia" w:hAnsi="宋体"/>
        </w:rPr>
        <w:t>甲方（买方）：</w:t>
      </w:r>
      <w:r>
        <w:rPr>
          <w:rFonts w:hint="eastAsia" w:hAnsi="宋体"/>
          <w:u w:val="single"/>
        </w:rPr>
        <w:t xml:space="preserve">                                     </w:t>
      </w:r>
    </w:p>
    <w:p>
      <w:pPr>
        <w:pStyle w:val="14"/>
        <w:spacing w:line="360" w:lineRule="auto"/>
        <w:rPr>
          <w:rFonts w:hint="eastAsia" w:hAnsi="宋体"/>
        </w:rPr>
      </w:pPr>
      <w:r>
        <w:rPr>
          <w:rFonts w:hint="eastAsia" w:hAnsi="宋体"/>
        </w:rPr>
        <w:t>乙方（卖方）：</w:t>
      </w:r>
      <w:r>
        <w:rPr>
          <w:rFonts w:hint="eastAsia" w:hAnsi="宋体"/>
          <w:u w:val="single"/>
        </w:rPr>
        <w:t xml:space="preserve">                                     </w:t>
      </w:r>
    </w:p>
    <w:p>
      <w:pPr>
        <w:pStyle w:val="14"/>
        <w:spacing w:line="360" w:lineRule="auto"/>
        <w:rPr>
          <w:rFonts w:hint="eastAsia" w:hAnsi="宋体"/>
          <w:b/>
        </w:rPr>
      </w:pPr>
      <w:r>
        <w:rPr>
          <w:rFonts w:hint="eastAsia" w:hAnsi="宋体"/>
          <w:b/>
        </w:rPr>
        <w:t xml:space="preserve">    </w:t>
      </w:r>
    </w:p>
    <w:p>
      <w:pPr>
        <w:pStyle w:val="14"/>
        <w:spacing w:line="360" w:lineRule="auto"/>
        <w:rPr>
          <w:rFonts w:hint="eastAsia" w:hAnsi="宋体"/>
          <w:b/>
        </w:rPr>
      </w:pPr>
      <w:r>
        <w:rPr>
          <w:rFonts w:hint="eastAsia" w:hAnsi="宋体"/>
        </w:rPr>
        <w:t xml:space="preserve">    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日南宁市政府采购项目的采购结果，甲方接受乙方对本项目的投标，甲、乙双方同意签署本合同（以下简称合同）。</w:t>
      </w:r>
    </w:p>
    <w:p>
      <w:pPr>
        <w:pStyle w:val="14"/>
        <w:spacing w:line="360" w:lineRule="auto"/>
        <w:rPr>
          <w:rFonts w:hint="eastAsia" w:hAnsi="宋体"/>
          <w:b/>
        </w:rPr>
      </w:pPr>
    </w:p>
    <w:p>
      <w:pPr>
        <w:pStyle w:val="14"/>
        <w:spacing w:line="360" w:lineRule="auto"/>
        <w:rPr>
          <w:rFonts w:hint="eastAsia" w:hAnsi="宋体"/>
          <w:b/>
          <w:bCs/>
          <w:sz w:val="24"/>
        </w:rPr>
      </w:pPr>
      <w:r>
        <w:rPr>
          <w:rFonts w:hint="eastAsia" w:hAnsi="宋体"/>
          <w:b/>
          <w:bCs/>
          <w:sz w:val="24"/>
        </w:rPr>
        <w:t>1.  采购内容</w:t>
      </w:r>
    </w:p>
    <w:p>
      <w:pPr>
        <w:pStyle w:val="14"/>
        <w:tabs>
          <w:tab w:val="left" w:pos="5220"/>
        </w:tabs>
        <w:spacing w:line="360" w:lineRule="auto"/>
        <w:ind w:firstLine="360"/>
        <w:rPr>
          <w:rFonts w:hint="eastAsia" w:hAnsi="宋体"/>
        </w:rPr>
      </w:pPr>
      <w:r>
        <w:rPr>
          <w:rFonts w:hint="eastAsia" w:hAnsi="宋体"/>
        </w:rPr>
        <w:t>1.1 货物名称：</w:t>
      </w:r>
      <w:r>
        <w:rPr>
          <w:rFonts w:hint="eastAsia" w:hAnsi="宋体"/>
          <w:u w:val="single"/>
        </w:rPr>
        <w:t xml:space="preserve">                                </w:t>
      </w:r>
    </w:p>
    <w:p>
      <w:pPr>
        <w:pStyle w:val="14"/>
        <w:spacing w:line="360" w:lineRule="auto"/>
        <w:ind w:firstLine="360"/>
        <w:rPr>
          <w:rFonts w:hint="eastAsia" w:hAnsi="宋体"/>
          <w:u w:val="single"/>
        </w:rPr>
      </w:pPr>
      <w:r>
        <w:rPr>
          <w:rFonts w:hint="eastAsia" w:hAnsi="宋体"/>
        </w:rPr>
        <w:t>1.2 数量（单位）：</w:t>
      </w:r>
      <w:r>
        <w:rPr>
          <w:rFonts w:hint="eastAsia" w:hAnsi="宋体"/>
          <w:u w:val="single"/>
        </w:rPr>
        <w:t xml:space="preserve">                             </w:t>
      </w:r>
    </w:p>
    <w:p>
      <w:pPr>
        <w:pStyle w:val="14"/>
        <w:spacing w:line="360" w:lineRule="auto"/>
        <w:ind w:firstLine="360"/>
        <w:rPr>
          <w:rFonts w:hint="eastAsia" w:hAnsi="宋体"/>
        </w:rPr>
      </w:pPr>
      <w:r>
        <w:rPr>
          <w:rFonts w:hint="eastAsia" w:hAnsi="宋体"/>
        </w:rPr>
        <w:t>1.3 品牌、厂家、型号、规格、配置：</w:t>
      </w:r>
      <w:r>
        <w:rPr>
          <w:rFonts w:hint="eastAsia" w:hAnsi="宋体"/>
          <w:u w:val="single"/>
        </w:rPr>
        <w:t xml:space="preserve">            </w:t>
      </w:r>
    </w:p>
    <w:p>
      <w:pPr>
        <w:pStyle w:val="14"/>
        <w:spacing w:line="360" w:lineRule="auto"/>
        <w:ind w:firstLine="360"/>
        <w:rPr>
          <w:rFonts w:hint="eastAsia" w:hAnsi="宋体"/>
          <w:u w:val="single"/>
        </w:rPr>
      </w:pPr>
      <w:r>
        <w:rPr>
          <w:rFonts w:hint="eastAsia" w:hAnsi="宋体"/>
        </w:rPr>
        <w:t>1.4 技术参数：</w:t>
      </w:r>
      <w:r>
        <w:rPr>
          <w:rFonts w:hint="eastAsia" w:hAnsi="宋体"/>
          <w:u w:val="single"/>
        </w:rPr>
        <w:t xml:space="preserve">                                </w:t>
      </w:r>
    </w:p>
    <w:p>
      <w:pPr>
        <w:pStyle w:val="14"/>
        <w:spacing w:line="360" w:lineRule="auto"/>
        <w:rPr>
          <w:rFonts w:hint="eastAsia" w:hAnsi="宋体"/>
          <w:b/>
          <w:bCs/>
          <w:sz w:val="24"/>
        </w:rPr>
      </w:pPr>
      <w:r>
        <w:rPr>
          <w:rFonts w:hint="eastAsia" w:hAnsi="宋体"/>
          <w:b/>
          <w:bCs/>
          <w:sz w:val="24"/>
        </w:rPr>
        <w:t>2.  合同金额</w:t>
      </w:r>
    </w:p>
    <w:p>
      <w:pPr>
        <w:pStyle w:val="14"/>
        <w:spacing w:line="360" w:lineRule="auto"/>
        <w:ind w:left="2" w:firstLine="359" w:firstLineChars="171"/>
        <w:rPr>
          <w:rFonts w:hint="eastAsia" w:hAnsi="宋体"/>
        </w:rPr>
      </w:pPr>
      <w:r>
        <w:rPr>
          <w:rFonts w:hint="eastAsia" w:hAnsi="宋体"/>
        </w:rPr>
        <w:t>2.1 本合同金额为（大写）人民币</w:t>
      </w:r>
      <w:r>
        <w:rPr>
          <w:rFonts w:hint="eastAsia" w:hAnsi="宋体"/>
          <w:u w:val="single"/>
        </w:rPr>
        <w:t xml:space="preserve">　　　　　　   </w:t>
      </w:r>
      <w:r>
        <w:rPr>
          <w:rFonts w:hint="eastAsia" w:hAnsi="宋体"/>
        </w:rPr>
        <w:t>元（￥</w:t>
      </w:r>
      <w:r>
        <w:rPr>
          <w:rFonts w:hint="eastAsia" w:hAnsi="宋体"/>
          <w:u w:val="single"/>
        </w:rPr>
        <w:t>　　　　　　</w:t>
      </w:r>
      <w:r>
        <w:rPr>
          <w:rFonts w:hint="eastAsia" w:hAnsi="宋体"/>
        </w:rPr>
        <w:t>）。（详见投标报价表）</w:t>
      </w:r>
    </w:p>
    <w:p>
      <w:pPr>
        <w:pStyle w:val="14"/>
        <w:tabs>
          <w:tab w:val="left" w:pos="5940"/>
        </w:tabs>
        <w:spacing w:line="360" w:lineRule="auto"/>
        <w:rPr>
          <w:rFonts w:hint="eastAsia" w:hAnsi="宋体"/>
          <w:b/>
          <w:bCs/>
          <w:sz w:val="24"/>
        </w:rPr>
      </w:pPr>
      <w:r>
        <w:rPr>
          <w:rFonts w:hint="eastAsia" w:hAnsi="宋体"/>
          <w:b/>
          <w:bCs/>
          <w:sz w:val="24"/>
        </w:rPr>
        <w:t>3.  交货要求</w:t>
      </w:r>
    </w:p>
    <w:p>
      <w:pPr>
        <w:pStyle w:val="14"/>
        <w:tabs>
          <w:tab w:val="left" w:pos="5220"/>
        </w:tabs>
        <w:spacing w:line="360" w:lineRule="auto"/>
        <w:ind w:firstLine="360"/>
        <w:rPr>
          <w:rFonts w:hint="eastAsia" w:hAnsi="宋体"/>
          <w:bCs/>
          <w:u w:val="single"/>
        </w:rPr>
      </w:pPr>
      <w:r>
        <w:rPr>
          <w:rFonts w:hint="eastAsia" w:hAnsi="宋体"/>
          <w:bCs/>
        </w:rPr>
        <w:t>3.1 交货期：</w:t>
      </w:r>
      <w:r>
        <w:rPr>
          <w:rFonts w:hint="eastAsia" w:hAnsi="宋体"/>
          <w:u w:val="single"/>
        </w:rPr>
        <w:t xml:space="preserve">                                  </w:t>
      </w:r>
    </w:p>
    <w:p>
      <w:pPr>
        <w:pStyle w:val="14"/>
        <w:spacing w:line="360" w:lineRule="auto"/>
        <w:ind w:firstLine="360"/>
        <w:rPr>
          <w:rFonts w:hint="eastAsia" w:hAnsi="宋体"/>
          <w:bCs/>
        </w:rPr>
      </w:pPr>
      <w:r>
        <w:rPr>
          <w:rFonts w:hint="eastAsia" w:hAnsi="宋体"/>
          <w:bCs/>
        </w:rPr>
        <w:t>3.2 交货地点：</w:t>
      </w:r>
      <w:r>
        <w:rPr>
          <w:rFonts w:hint="eastAsia" w:hAnsi="宋体"/>
          <w:u w:val="single"/>
        </w:rPr>
        <w:t xml:space="preserve">                                </w:t>
      </w:r>
    </w:p>
    <w:p>
      <w:pPr>
        <w:pStyle w:val="14"/>
        <w:tabs>
          <w:tab w:val="left" w:pos="5220"/>
          <w:tab w:val="left" w:pos="6120"/>
        </w:tabs>
        <w:spacing w:line="360" w:lineRule="auto"/>
        <w:ind w:firstLine="360"/>
        <w:rPr>
          <w:rFonts w:hint="eastAsia" w:hAnsi="宋体"/>
          <w:bCs/>
        </w:rPr>
      </w:pPr>
      <w:r>
        <w:rPr>
          <w:rFonts w:hint="eastAsia" w:hAnsi="宋体"/>
          <w:bCs/>
        </w:rPr>
        <w:t>3.3 交货方式：</w:t>
      </w:r>
      <w:r>
        <w:rPr>
          <w:rFonts w:hint="eastAsia" w:hAnsi="宋体"/>
          <w:u w:val="single"/>
        </w:rPr>
        <w:t xml:space="preserve">                                </w:t>
      </w:r>
    </w:p>
    <w:p>
      <w:pPr>
        <w:pStyle w:val="14"/>
        <w:spacing w:line="360" w:lineRule="auto"/>
        <w:ind w:firstLine="360"/>
        <w:rPr>
          <w:rFonts w:hint="eastAsia" w:hAnsi="宋体"/>
          <w:b/>
        </w:rPr>
      </w:pPr>
      <w:r>
        <w:rPr>
          <w:rFonts w:hint="eastAsia" w:hAnsi="宋体"/>
          <w:bCs/>
        </w:rPr>
        <w:t xml:space="preserve">3.4 </w:t>
      </w:r>
      <w:r>
        <w:rPr>
          <w:rFonts w:hint="eastAsia" w:hAnsi="宋体"/>
        </w:rPr>
        <w:t>乙方必须按投标文件承诺的技术参数、性能要求、质量标准等向甲方提供全新、完整、未经使用的货物。</w:t>
      </w:r>
    </w:p>
    <w:p>
      <w:pPr>
        <w:pStyle w:val="14"/>
        <w:spacing w:line="360" w:lineRule="auto"/>
        <w:ind w:left="410" w:hanging="410" w:hangingChars="170"/>
        <w:rPr>
          <w:rFonts w:hint="eastAsia" w:hAnsi="宋体"/>
          <w:b/>
        </w:rPr>
      </w:pPr>
      <w:r>
        <w:rPr>
          <w:rFonts w:hint="eastAsia" w:hAnsi="宋体"/>
          <w:b/>
          <w:bCs/>
          <w:sz w:val="24"/>
        </w:rPr>
        <w:t>4.  履约保证金：无</w:t>
      </w:r>
    </w:p>
    <w:p>
      <w:pPr>
        <w:pStyle w:val="14"/>
        <w:spacing w:line="360" w:lineRule="auto"/>
        <w:rPr>
          <w:rFonts w:hint="eastAsia" w:hAnsi="宋体"/>
          <w:b/>
          <w:bCs/>
          <w:sz w:val="24"/>
        </w:rPr>
      </w:pPr>
      <w:r>
        <w:rPr>
          <w:rFonts w:hint="eastAsia" w:hAnsi="宋体"/>
          <w:b/>
          <w:bCs/>
          <w:sz w:val="24"/>
        </w:rPr>
        <w:t>5.  质量保证及售后服务</w:t>
      </w:r>
    </w:p>
    <w:p>
      <w:pPr>
        <w:pStyle w:val="14"/>
        <w:spacing w:line="360" w:lineRule="auto"/>
        <w:ind w:left="2" w:firstLine="359" w:firstLineChars="171"/>
        <w:rPr>
          <w:rFonts w:hint="eastAsia" w:hAnsi="宋体"/>
        </w:rPr>
      </w:pPr>
      <w:r>
        <w:rPr>
          <w:rFonts w:hint="eastAsia" w:hAnsi="宋体"/>
        </w:rPr>
        <w:t>5.1 质量保证期</w:t>
      </w:r>
      <w:r>
        <w:rPr>
          <w:rFonts w:hint="eastAsia" w:hAnsi="宋体"/>
          <w:u w:val="single"/>
        </w:rPr>
        <w:t xml:space="preserve">    </w:t>
      </w:r>
      <w:r>
        <w:rPr>
          <w:rFonts w:hint="eastAsia" w:hAnsi="宋体"/>
        </w:rPr>
        <w:t>年（自交货验收合格之日起计）。</w:t>
      </w:r>
    </w:p>
    <w:p>
      <w:pPr>
        <w:pStyle w:val="14"/>
        <w:spacing w:line="360" w:lineRule="auto"/>
        <w:ind w:left="2" w:firstLine="359" w:firstLineChars="171"/>
        <w:rPr>
          <w:rFonts w:hint="eastAsia" w:hAnsi="宋体"/>
          <w:color w:val="FF0000"/>
        </w:rPr>
      </w:pPr>
      <w:r>
        <w:rPr>
          <w:rFonts w:hint="eastAsia" w:hAnsi="宋体"/>
          <w:color w:val="FF0000"/>
        </w:rPr>
        <w:t>5.2 质量保证金：无</w:t>
      </w:r>
    </w:p>
    <w:p>
      <w:pPr>
        <w:pStyle w:val="14"/>
        <w:spacing w:line="360" w:lineRule="auto"/>
        <w:ind w:firstLine="359" w:firstLineChars="171"/>
        <w:rPr>
          <w:rFonts w:hint="eastAsia" w:hAnsi="宋体"/>
        </w:rPr>
      </w:pPr>
      <w:r>
        <w:rPr>
          <w:rFonts w:hint="eastAsia" w:hAnsi="宋体"/>
        </w:rPr>
        <w:t>5.3 如乙方提供的货物在使用过程中发生质量问题，乙方接到甲方故障通知后应在</w:t>
      </w:r>
      <w:r>
        <w:rPr>
          <w:rFonts w:hint="eastAsia" w:hAnsi="宋体"/>
          <w:u w:val="single"/>
        </w:rPr>
        <w:t xml:space="preserve">    </w:t>
      </w:r>
      <w:r>
        <w:rPr>
          <w:rFonts w:hint="eastAsia" w:hAnsi="宋体"/>
        </w:rPr>
        <w:t>小时内到达甲方指定现场，按国家及行业标准对故障进行及时处理。</w:t>
      </w:r>
    </w:p>
    <w:p>
      <w:pPr>
        <w:pStyle w:val="14"/>
        <w:spacing w:line="360" w:lineRule="auto"/>
        <w:ind w:firstLine="359" w:firstLineChars="171"/>
        <w:rPr>
          <w:rFonts w:hint="eastAsia" w:hAnsi="宋体"/>
        </w:rPr>
      </w:pPr>
      <w:r>
        <w:rPr>
          <w:rFonts w:hint="eastAsia" w:hAnsi="宋体"/>
        </w:rPr>
        <w:t>5.4乙方提供的货物在质量保证期内因货物本身的质量问题发生故障，乙方应负责免费更换。对达不到技术要求者，根据实际情况，经双方协商，可按以下办法处理：</w:t>
      </w:r>
    </w:p>
    <w:p>
      <w:pPr>
        <w:pStyle w:val="14"/>
        <w:spacing w:line="360" w:lineRule="auto"/>
        <w:ind w:firstLine="359" w:firstLineChars="171"/>
        <w:rPr>
          <w:rFonts w:hint="eastAsia" w:hAnsi="宋体"/>
        </w:rPr>
      </w:pPr>
      <w:r>
        <w:rPr>
          <w:rFonts w:hint="eastAsia" w:hAnsi="宋体"/>
        </w:rPr>
        <w:t>（1）更换：由乙方承担所发生的全部费用；</w:t>
      </w:r>
    </w:p>
    <w:p>
      <w:pPr>
        <w:pStyle w:val="14"/>
        <w:spacing w:line="360" w:lineRule="auto"/>
        <w:ind w:firstLine="359" w:firstLineChars="171"/>
        <w:rPr>
          <w:rFonts w:hint="eastAsia" w:hAnsi="宋体"/>
        </w:rPr>
      </w:pPr>
      <w:r>
        <w:rPr>
          <w:rFonts w:hint="eastAsia" w:hAnsi="宋体"/>
        </w:rPr>
        <w:t>（2）贬值处理：由甲乙双方合议定价；</w:t>
      </w:r>
    </w:p>
    <w:p>
      <w:pPr>
        <w:pStyle w:val="14"/>
        <w:spacing w:line="360" w:lineRule="auto"/>
        <w:ind w:firstLine="359" w:firstLineChars="171"/>
        <w:rPr>
          <w:rFonts w:hint="eastAsia" w:hAnsi="宋体"/>
        </w:rPr>
      </w:pPr>
      <w:r>
        <w:rPr>
          <w:rFonts w:hint="eastAsia" w:hAnsi="宋体"/>
        </w:rPr>
        <w:t>（3）退货处理：乙方应退还甲方支付的合同款，同时应承担与该货物相关的直接费用（运输、保险、检验、合同款利息及银行手续费等）。</w:t>
      </w:r>
    </w:p>
    <w:p>
      <w:pPr>
        <w:pStyle w:val="14"/>
        <w:spacing w:line="360" w:lineRule="auto"/>
        <w:ind w:left="2" w:firstLine="360"/>
        <w:rPr>
          <w:rFonts w:hint="eastAsia" w:hAnsi="宋体"/>
        </w:rPr>
      </w:pPr>
      <w:r>
        <w:rPr>
          <w:rFonts w:hint="eastAsia" w:hAnsi="宋体"/>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4"/>
        <w:spacing w:line="360" w:lineRule="auto"/>
        <w:ind w:left="2" w:firstLine="360"/>
        <w:rPr>
          <w:rFonts w:hint="eastAsia" w:hAnsi="宋体"/>
        </w:rPr>
      </w:pPr>
      <w:r>
        <w:rPr>
          <w:rFonts w:hint="eastAsia" w:hAnsi="宋体"/>
        </w:rPr>
        <w:t>5.6 超过质量保证期的货物，乙方提供终生维修、保养服务，维修时只收部件成本费。</w:t>
      </w:r>
    </w:p>
    <w:p>
      <w:pPr>
        <w:pStyle w:val="14"/>
        <w:spacing w:line="360" w:lineRule="auto"/>
        <w:ind w:left="2" w:firstLine="360"/>
        <w:rPr>
          <w:rFonts w:hint="eastAsia" w:hAnsi="宋体"/>
        </w:rPr>
      </w:pPr>
      <w:r>
        <w:rPr>
          <w:rFonts w:hint="eastAsia" w:hAnsi="宋体"/>
        </w:rPr>
        <w:t>5.7 乙方随时优惠提供备品备件，优惠提供产品更新、改造服务。</w:t>
      </w:r>
    </w:p>
    <w:p>
      <w:pPr>
        <w:pStyle w:val="14"/>
        <w:spacing w:line="360" w:lineRule="auto"/>
        <w:rPr>
          <w:rFonts w:hint="eastAsia" w:hAnsi="宋体"/>
          <w:b/>
          <w:bCs/>
          <w:sz w:val="24"/>
        </w:rPr>
      </w:pPr>
      <w:r>
        <w:rPr>
          <w:rFonts w:hint="eastAsia" w:hAnsi="宋体"/>
          <w:b/>
          <w:bCs/>
          <w:sz w:val="24"/>
        </w:rPr>
        <w:t>6.  合同款支付</w:t>
      </w:r>
    </w:p>
    <w:p>
      <w:pPr>
        <w:spacing w:line="360" w:lineRule="atLeast"/>
        <w:ind w:firstLine="420" w:firstLineChars="200"/>
        <w:rPr>
          <w:rFonts w:ascii="宋体" w:hAnsi="宋体"/>
          <w:szCs w:val="20"/>
        </w:rPr>
      </w:pPr>
      <w:r>
        <w:rPr>
          <w:rFonts w:hint="eastAsia" w:ascii="宋体" w:hAnsi="宋体"/>
          <w:szCs w:val="20"/>
        </w:rPr>
        <w:t>6.1  付款方式：</w:t>
      </w:r>
      <w:r>
        <w:rPr>
          <w:rFonts w:hint="eastAsia" w:ascii="宋体" w:hAnsi="宋体"/>
          <w:szCs w:val="20"/>
          <w:u w:val="single"/>
        </w:rPr>
        <w:t xml:space="preserve">                                                                        。</w:t>
      </w:r>
      <w:r>
        <w:rPr>
          <w:rFonts w:ascii="宋体" w:hAnsi="宋体"/>
          <w:szCs w:val="20"/>
        </w:rPr>
        <w:t xml:space="preserve"> </w:t>
      </w:r>
    </w:p>
    <w:p>
      <w:pPr>
        <w:pStyle w:val="14"/>
        <w:spacing w:line="360" w:lineRule="auto"/>
        <w:ind w:firstLine="360"/>
        <w:rPr>
          <w:rFonts w:hint="eastAsia" w:hAnsi="宋体"/>
        </w:rPr>
      </w:pPr>
      <w:r>
        <w:rPr>
          <w:rFonts w:hint="eastAsia" w:hAnsi="宋体"/>
        </w:rPr>
        <w:t>6.2 支付合同款时，由甲方按照合同约定向南宁市财政局提交完整且合格的支付申请材料；南宁市财政局按财政国库直接支付程序将款项直接支付给供应商。</w:t>
      </w:r>
    </w:p>
    <w:p>
      <w:pPr>
        <w:pStyle w:val="14"/>
        <w:spacing w:line="360" w:lineRule="auto"/>
        <w:ind w:firstLine="360"/>
        <w:rPr>
          <w:rFonts w:hint="eastAsia" w:hAnsi="宋体"/>
          <w:bCs/>
          <w:u w:val="single"/>
        </w:rPr>
      </w:pPr>
      <w:r>
        <w:rPr>
          <w:rFonts w:hint="eastAsia" w:hAnsi="宋体"/>
        </w:rPr>
        <w:t>6.3 当采购数量与实际使用数量不一致时，甲方可以在报经南宁市财政局审核同意后，</w:t>
      </w:r>
      <w:r>
        <w:rPr>
          <w:rFonts w:hint="eastAsia" w:hAnsi="宋体"/>
          <w:szCs w:val="21"/>
        </w:rPr>
        <w:t>在不改变合同其他条款的前提下与供应商协商签订补充合同，但所有补充合同的采购金额不得超过原合同采购金额的百分之十。</w:t>
      </w:r>
      <w:r>
        <w:rPr>
          <w:rFonts w:hint="eastAsia" w:hAnsi="宋体"/>
        </w:rPr>
        <w:t>供应商应根据实际使用数量供货，合同的最终结算金额按实际使用数量乘以成交单价进行计算。</w:t>
      </w:r>
    </w:p>
    <w:p>
      <w:pPr>
        <w:pStyle w:val="14"/>
        <w:spacing w:line="360" w:lineRule="auto"/>
        <w:ind w:firstLine="360"/>
        <w:rPr>
          <w:rFonts w:hint="eastAsia" w:hAnsi="宋体"/>
          <w:bCs/>
        </w:rPr>
      </w:pPr>
      <w:r>
        <w:rPr>
          <w:rFonts w:hint="eastAsia" w:hAnsi="宋体"/>
          <w:bCs/>
        </w:rPr>
        <w:t>6.4</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14"/>
        <w:spacing w:line="360" w:lineRule="auto"/>
        <w:ind w:left="412" w:hanging="412" w:hangingChars="171"/>
        <w:rPr>
          <w:rFonts w:hint="eastAsia" w:hAnsi="宋体"/>
          <w:b/>
        </w:rPr>
      </w:pPr>
      <w:r>
        <w:rPr>
          <w:rFonts w:hint="eastAsia" w:hAnsi="宋体"/>
          <w:b/>
          <w:bCs/>
          <w:sz w:val="24"/>
        </w:rPr>
        <w:t>7.  产权</w:t>
      </w:r>
    </w:p>
    <w:p>
      <w:pPr>
        <w:pStyle w:val="14"/>
        <w:spacing w:line="360" w:lineRule="auto"/>
        <w:ind w:left="2" w:firstLine="359" w:firstLineChars="171"/>
        <w:rPr>
          <w:rFonts w:hint="eastAsia" w:hAnsi="宋体"/>
          <w:bCs/>
        </w:rPr>
      </w:pPr>
      <w:r>
        <w:rPr>
          <w:rFonts w:hint="eastAsia" w:hAnsi="宋体"/>
        </w:rPr>
        <w:t>7.1 乙方保证所提供的货物或其任何一部分均不会侵犯任何第三方的专利权、商标权或著作权</w:t>
      </w:r>
      <w:r>
        <w:rPr>
          <w:rFonts w:hint="eastAsia" w:hAnsi="宋体"/>
          <w:bCs/>
        </w:rPr>
        <w:t>。</w:t>
      </w:r>
    </w:p>
    <w:p>
      <w:pPr>
        <w:pStyle w:val="14"/>
        <w:spacing w:line="360" w:lineRule="auto"/>
        <w:ind w:left="2" w:firstLine="359" w:firstLineChars="171"/>
        <w:rPr>
          <w:rFonts w:hint="eastAsia" w:hAnsi="宋体"/>
          <w:b/>
          <w:bCs/>
        </w:rPr>
      </w:pPr>
      <w:r>
        <w:rPr>
          <w:rFonts w:hint="eastAsia" w:hAnsi="宋体"/>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4"/>
        <w:spacing w:line="360" w:lineRule="auto"/>
        <w:rPr>
          <w:rFonts w:hint="eastAsia" w:hAnsi="宋体"/>
          <w:b/>
        </w:rPr>
      </w:pPr>
      <w:r>
        <w:rPr>
          <w:rFonts w:hint="eastAsia" w:hAnsi="宋体"/>
          <w:b/>
          <w:bCs/>
          <w:sz w:val="24"/>
        </w:rPr>
        <w:t>8.  技术资料</w:t>
      </w:r>
    </w:p>
    <w:p>
      <w:pPr>
        <w:pStyle w:val="14"/>
        <w:spacing w:line="360" w:lineRule="auto"/>
        <w:ind w:firstLine="360"/>
        <w:rPr>
          <w:rFonts w:hint="eastAsia" w:hAnsi="宋体"/>
        </w:rPr>
      </w:pPr>
      <w:r>
        <w:rPr>
          <w:rFonts w:hint="eastAsia" w:hAnsi="宋体"/>
        </w:rPr>
        <w:t>8.1 甲方向乙方提供采购货物的有关技术要求。</w:t>
      </w:r>
    </w:p>
    <w:p>
      <w:pPr>
        <w:pStyle w:val="14"/>
        <w:spacing w:line="360" w:lineRule="auto"/>
        <w:ind w:firstLine="360"/>
        <w:rPr>
          <w:rFonts w:hint="eastAsia" w:hAnsi="宋体"/>
        </w:rPr>
      </w:pPr>
      <w:r>
        <w:rPr>
          <w:rFonts w:hint="eastAsia" w:hAnsi="宋体"/>
        </w:rPr>
        <w:t>8.2 乙方应在采购文件规定的时间向甲方提供使用货物的有关技术资料。</w:t>
      </w:r>
    </w:p>
    <w:p>
      <w:pPr>
        <w:pStyle w:val="14"/>
        <w:spacing w:line="360" w:lineRule="auto"/>
        <w:ind w:firstLine="360"/>
        <w:rPr>
          <w:rFonts w:hint="eastAsia" w:hAnsi="宋体"/>
        </w:rPr>
      </w:pPr>
      <w:r>
        <w:rPr>
          <w:rFonts w:hint="eastAsia" w:hAnsi="宋体"/>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4"/>
        <w:spacing w:line="360" w:lineRule="auto"/>
        <w:rPr>
          <w:rFonts w:hint="eastAsia" w:hAnsi="宋体"/>
          <w:b/>
          <w:bCs/>
          <w:sz w:val="24"/>
        </w:rPr>
      </w:pPr>
      <w:r>
        <w:rPr>
          <w:rFonts w:hint="eastAsia" w:hAnsi="宋体"/>
          <w:b/>
          <w:bCs/>
          <w:sz w:val="24"/>
        </w:rPr>
        <w:t>9.  货物包装、发运及运输</w:t>
      </w:r>
    </w:p>
    <w:p>
      <w:pPr>
        <w:pStyle w:val="14"/>
        <w:tabs>
          <w:tab w:val="left" w:pos="0"/>
        </w:tabs>
        <w:spacing w:line="360" w:lineRule="auto"/>
        <w:ind w:firstLine="360"/>
        <w:rPr>
          <w:rFonts w:hint="eastAsia" w:hAnsi="宋体"/>
        </w:rPr>
      </w:pPr>
      <w:r>
        <w:rPr>
          <w:rFonts w:hint="eastAsia" w:hAnsi="宋体"/>
        </w:rPr>
        <w:t>9.1 乙方应在货物发运前对其进行满足运输距离、防潮、防震、防锈和防破损装卸等要求包装，以保证货物安全运达甲方指定地点。</w:t>
      </w:r>
    </w:p>
    <w:p>
      <w:pPr>
        <w:pStyle w:val="14"/>
        <w:tabs>
          <w:tab w:val="left" w:pos="0"/>
        </w:tabs>
        <w:spacing w:line="360" w:lineRule="auto"/>
        <w:ind w:firstLine="360"/>
        <w:rPr>
          <w:rFonts w:hint="eastAsia" w:hAnsi="宋体"/>
        </w:rPr>
      </w:pPr>
      <w:r>
        <w:rPr>
          <w:rFonts w:hint="eastAsia" w:hAnsi="宋体"/>
        </w:rPr>
        <w:t>9.2 使用说明书、质量检验证明书、保修单据、随配附件和工具以及清单一并附于货物内。</w:t>
      </w:r>
    </w:p>
    <w:p>
      <w:pPr>
        <w:pStyle w:val="14"/>
        <w:tabs>
          <w:tab w:val="left" w:pos="0"/>
        </w:tabs>
        <w:spacing w:line="360" w:lineRule="auto"/>
        <w:ind w:firstLine="360"/>
        <w:rPr>
          <w:rFonts w:hint="eastAsia" w:hAnsi="宋体"/>
        </w:rPr>
      </w:pPr>
      <w:r>
        <w:rPr>
          <w:rFonts w:hint="eastAsia" w:hAnsi="宋体"/>
        </w:rPr>
        <w:t>9.3 乙方在货物发运手续办理完毕后24小时内或货到甲方48小时前通知甲方，以准备接货。</w:t>
      </w:r>
    </w:p>
    <w:p>
      <w:pPr>
        <w:pStyle w:val="14"/>
        <w:tabs>
          <w:tab w:val="left" w:pos="0"/>
        </w:tabs>
        <w:spacing w:line="360" w:lineRule="auto"/>
        <w:ind w:firstLine="360"/>
        <w:rPr>
          <w:rFonts w:hint="eastAsia" w:hAnsi="宋体"/>
        </w:rPr>
      </w:pPr>
      <w:r>
        <w:rPr>
          <w:rFonts w:hint="eastAsia" w:hAnsi="宋体"/>
        </w:rPr>
        <w:t>9.4 货物在交付甲方前发生的风险均由乙方负责。</w:t>
      </w:r>
    </w:p>
    <w:p>
      <w:pPr>
        <w:pStyle w:val="14"/>
        <w:tabs>
          <w:tab w:val="left" w:pos="0"/>
        </w:tabs>
        <w:spacing w:line="360" w:lineRule="auto"/>
        <w:ind w:firstLine="360"/>
        <w:rPr>
          <w:rFonts w:hint="eastAsia" w:hAnsi="宋体"/>
        </w:rPr>
      </w:pPr>
      <w:r>
        <w:rPr>
          <w:rFonts w:hint="eastAsia" w:hAnsi="宋体"/>
        </w:rPr>
        <w:t>9.5 货物在规定的交付期限内由乙方送达甲方指定的地点视为交付，乙方同时需通知甲方货物已送达。</w:t>
      </w:r>
    </w:p>
    <w:p>
      <w:pPr>
        <w:pStyle w:val="14"/>
        <w:spacing w:line="360" w:lineRule="auto"/>
        <w:rPr>
          <w:rFonts w:hint="eastAsia" w:hAnsi="宋体"/>
          <w:b/>
          <w:bCs/>
          <w:sz w:val="24"/>
        </w:rPr>
      </w:pPr>
      <w:r>
        <w:rPr>
          <w:rFonts w:hint="eastAsia" w:hAnsi="宋体"/>
          <w:b/>
          <w:bCs/>
          <w:sz w:val="24"/>
        </w:rPr>
        <w:t>10.  调试和验收</w:t>
      </w:r>
    </w:p>
    <w:p>
      <w:pPr>
        <w:pStyle w:val="14"/>
        <w:spacing w:line="360" w:lineRule="auto"/>
        <w:ind w:firstLine="359" w:firstLineChars="171"/>
        <w:rPr>
          <w:rFonts w:hint="eastAsia" w:hAnsi="宋体"/>
        </w:rPr>
      </w:pPr>
      <w:r>
        <w:rPr>
          <w:rFonts w:hint="eastAsia" w:hAnsi="宋体"/>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14"/>
        <w:spacing w:line="360" w:lineRule="auto"/>
        <w:ind w:firstLine="359" w:firstLineChars="171"/>
        <w:rPr>
          <w:rFonts w:hint="eastAsia" w:hAnsi="宋体"/>
        </w:rPr>
      </w:pPr>
      <w:r>
        <w:rPr>
          <w:rFonts w:hint="eastAsia" w:hAnsi="宋体"/>
        </w:rPr>
        <w:t>10.2 乙方交货前应对产品作出全面检查和对验收文件进行整理，并列出清单，作为甲方收货验收和使用的技术条件依据，检验的结果应随货物交甲方。</w:t>
      </w:r>
    </w:p>
    <w:p>
      <w:pPr>
        <w:pStyle w:val="14"/>
        <w:spacing w:line="360" w:lineRule="auto"/>
        <w:ind w:firstLine="359" w:firstLineChars="171"/>
        <w:rPr>
          <w:rFonts w:hint="eastAsia" w:hAnsi="宋体"/>
        </w:rPr>
      </w:pPr>
      <w:r>
        <w:rPr>
          <w:rFonts w:hint="eastAsia" w:hAnsi="宋体"/>
        </w:rPr>
        <w:t>10.3 甲方对乙方提供的货物在使用前进行调试时，乙方需负责安装并培训甲方的使用操作人员，并协助甲方一起调试，直到符合技术要求，甲方才做最终验收。</w:t>
      </w:r>
    </w:p>
    <w:p>
      <w:pPr>
        <w:pStyle w:val="14"/>
        <w:spacing w:line="360" w:lineRule="auto"/>
        <w:ind w:firstLine="359" w:firstLineChars="171"/>
        <w:rPr>
          <w:rFonts w:hint="eastAsia" w:hAnsi="宋体"/>
        </w:rPr>
      </w:pPr>
      <w:r>
        <w:rPr>
          <w:rFonts w:hint="eastAsia" w:hAnsi="宋体"/>
        </w:rPr>
        <w:t>10.4 验收时乙方必须在现场，验收完毕后作出验收结果报告。</w:t>
      </w:r>
    </w:p>
    <w:p>
      <w:pPr>
        <w:pStyle w:val="14"/>
        <w:spacing w:line="360" w:lineRule="auto"/>
        <w:ind w:firstLine="359" w:firstLineChars="171"/>
        <w:rPr>
          <w:rFonts w:hint="eastAsia" w:hAnsi="宋体"/>
        </w:rPr>
      </w:pPr>
      <w:r>
        <w:rPr>
          <w:rFonts w:hint="eastAsia" w:hAnsi="宋体"/>
        </w:rPr>
        <w:t>10.5 对技术复杂的货物，甲方可请国家认可的专业检测机构参与验收，并由其出具质量检测报告，相关费用由甲方承担。</w:t>
      </w:r>
    </w:p>
    <w:p>
      <w:pPr>
        <w:pStyle w:val="14"/>
        <w:spacing w:line="360" w:lineRule="auto"/>
        <w:rPr>
          <w:rFonts w:hint="eastAsia" w:hAnsi="宋体"/>
          <w:b/>
          <w:bCs/>
          <w:sz w:val="24"/>
        </w:rPr>
      </w:pPr>
      <w:r>
        <w:rPr>
          <w:rFonts w:hint="eastAsia" w:hAnsi="宋体"/>
          <w:b/>
          <w:bCs/>
          <w:sz w:val="24"/>
        </w:rPr>
        <w:t>11.  违约责任</w:t>
      </w:r>
    </w:p>
    <w:p>
      <w:pPr>
        <w:pStyle w:val="14"/>
        <w:spacing w:line="360" w:lineRule="auto"/>
        <w:ind w:left="2" w:firstLine="360"/>
        <w:rPr>
          <w:rFonts w:hint="eastAsia" w:hAnsi="宋体"/>
        </w:rPr>
      </w:pPr>
      <w:r>
        <w:rPr>
          <w:rFonts w:hint="eastAsia" w:hAnsi="宋体"/>
        </w:rPr>
        <w:t>11.1 甲方无正当理由拒收货物的，甲方向乙方偿付拒收合同款总值的百分之五违约金。</w:t>
      </w:r>
    </w:p>
    <w:p>
      <w:pPr>
        <w:pStyle w:val="14"/>
        <w:spacing w:line="360" w:lineRule="auto"/>
        <w:ind w:left="2" w:firstLine="360"/>
        <w:rPr>
          <w:rFonts w:hint="eastAsia" w:hAnsi="宋体"/>
        </w:rPr>
      </w:pPr>
      <w:r>
        <w:rPr>
          <w:rFonts w:hint="eastAsia" w:hAnsi="宋体"/>
        </w:rPr>
        <w:t>11.2 甲方无故逾期验收或办理合同款支付手续的，甲方应按逾期付款总额每日万分之五向乙方支付违约金。</w:t>
      </w:r>
    </w:p>
    <w:p>
      <w:pPr>
        <w:pStyle w:val="14"/>
        <w:spacing w:line="360" w:lineRule="auto"/>
        <w:ind w:left="2" w:firstLine="360"/>
        <w:rPr>
          <w:rFonts w:hint="eastAsia" w:hAnsi="宋体"/>
        </w:rPr>
      </w:pPr>
      <w:r>
        <w:rPr>
          <w:rFonts w:hint="eastAsia" w:hAnsi="宋体"/>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4"/>
        <w:spacing w:line="360" w:lineRule="auto"/>
        <w:ind w:left="2" w:firstLine="360"/>
        <w:rPr>
          <w:rFonts w:hint="eastAsia" w:hAnsi="宋体"/>
        </w:rPr>
      </w:pPr>
      <w:r>
        <w:rPr>
          <w:rFonts w:hint="eastAsia" w:hAnsi="宋体"/>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4"/>
        <w:spacing w:line="360" w:lineRule="auto"/>
        <w:rPr>
          <w:rFonts w:hint="eastAsia" w:hAnsi="宋体"/>
          <w:b/>
          <w:bCs/>
          <w:sz w:val="24"/>
        </w:rPr>
      </w:pPr>
      <w:r>
        <w:rPr>
          <w:rFonts w:hint="eastAsia" w:hAnsi="宋体"/>
          <w:b/>
          <w:bCs/>
          <w:sz w:val="24"/>
        </w:rPr>
        <w:t>12.  不可抗力事件处理</w:t>
      </w:r>
    </w:p>
    <w:p>
      <w:pPr>
        <w:pStyle w:val="14"/>
        <w:spacing w:line="360" w:lineRule="auto"/>
        <w:ind w:firstLine="359" w:firstLineChars="171"/>
        <w:rPr>
          <w:rFonts w:hint="eastAsia" w:hAnsi="宋体"/>
        </w:rPr>
      </w:pPr>
      <w:r>
        <w:rPr>
          <w:rFonts w:hint="eastAsia" w:hAnsi="宋体"/>
        </w:rPr>
        <w:t>12.1 在合同有效期内，任何一方因不可抗力事件导致不能履行合同，则合同履行期可延长，其延长期与不可抗力影响期相同。</w:t>
      </w:r>
    </w:p>
    <w:p>
      <w:pPr>
        <w:pStyle w:val="14"/>
        <w:spacing w:line="360" w:lineRule="auto"/>
        <w:ind w:firstLine="359" w:firstLineChars="171"/>
        <w:rPr>
          <w:rFonts w:hint="eastAsia" w:hAnsi="宋体"/>
        </w:rPr>
      </w:pPr>
      <w:r>
        <w:rPr>
          <w:rFonts w:hint="eastAsia" w:hAnsi="宋体"/>
        </w:rPr>
        <w:t>12.2 不可抗力事件发生后，应立即通知对方，并寄送有关权威机构出具的证明。</w:t>
      </w:r>
    </w:p>
    <w:p>
      <w:pPr>
        <w:pStyle w:val="14"/>
        <w:spacing w:line="360" w:lineRule="auto"/>
        <w:ind w:firstLine="359" w:firstLineChars="171"/>
        <w:rPr>
          <w:rFonts w:hint="eastAsia" w:hAnsi="宋体"/>
        </w:rPr>
      </w:pPr>
      <w:r>
        <w:rPr>
          <w:rFonts w:hint="eastAsia" w:hAnsi="宋体"/>
        </w:rPr>
        <w:t>12.3 不可抗力事件延续120天以上，双方应通过友好协商，确定是否继续履行合同。</w:t>
      </w:r>
    </w:p>
    <w:p>
      <w:pPr>
        <w:pStyle w:val="14"/>
        <w:spacing w:line="360" w:lineRule="auto"/>
        <w:rPr>
          <w:rFonts w:hint="eastAsia" w:hAnsi="宋体"/>
          <w:b/>
          <w:bCs/>
          <w:sz w:val="24"/>
        </w:rPr>
      </w:pPr>
      <w:r>
        <w:rPr>
          <w:rFonts w:hint="eastAsia" w:hAnsi="宋体"/>
          <w:b/>
          <w:bCs/>
          <w:sz w:val="24"/>
        </w:rPr>
        <w:t>13.  诉讼</w:t>
      </w:r>
    </w:p>
    <w:p>
      <w:pPr>
        <w:pStyle w:val="14"/>
        <w:tabs>
          <w:tab w:val="left" w:pos="0"/>
        </w:tabs>
        <w:spacing w:line="360" w:lineRule="auto"/>
        <w:ind w:firstLine="359" w:firstLineChars="171"/>
        <w:rPr>
          <w:rFonts w:hint="eastAsia" w:hAnsi="宋体"/>
        </w:rPr>
      </w:pPr>
      <w:r>
        <w:rPr>
          <w:rFonts w:hint="eastAsia" w:hAnsi="宋体"/>
        </w:rPr>
        <w:t>13.1 双方在执行合同中所发生的一切争议，应通过协商解决。如协商不成，可向合同签订地法院起诉，合同签订地在此约定为广西南宁市。</w:t>
      </w:r>
    </w:p>
    <w:p>
      <w:pPr>
        <w:pStyle w:val="14"/>
        <w:spacing w:line="360" w:lineRule="auto"/>
        <w:rPr>
          <w:rFonts w:hint="eastAsia" w:hAnsi="宋体"/>
          <w:b/>
          <w:bCs/>
          <w:sz w:val="24"/>
        </w:rPr>
      </w:pPr>
      <w:r>
        <w:rPr>
          <w:rFonts w:hint="eastAsia" w:hAnsi="宋体"/>
          <w:b/>
          <w:bCs/>
          <w:sz w:val="24"/>
        </w:rPr>
        <w:t>14.  合同生效及其它</w:t>
      </w:r>
    </w:p>
    <w:p>
      <w:pPr>
        <w:pStyle w:val="14"/>
        <w:spacing w:line="360" w:lineRule="auto"/>
        <w:ind w:firstLine="360"/>
        <w:rPr>
          <w:rFonts w:hint="eastAsia" w:hAnsi="宋体"/>
        </w:rPr>
      </w:pPr>
      <w:r>
        <w:rPr>
          <w:rFonts w:hint="eastAsia" w:hAnsi="宋体"/>
        </w:rPr>
        <w:t>14.1 合同经双方法定代表人或授权委托代理人签字并加盖单位公章后生效。</w:t>
      </w:r>
    </w:p>
    <w:p>
      <w:pPr>
        <w:pStyle w:val="14"/>
        <w:spacing w:line="360" w:lineRule="auto"/>
        <w:ind w:firstLine="360"/>
        <w:rPr>
          <w:rFonts w:hint="eastAsia" w:hAnsi="宋体"/>
        </w:rPr>
      </w:pPr>
      <w:r>
        <w:rPr>
          <w:rFonts w:hint="eastAsia" w:hAnsi="宋体"/>
        </w:rPr>
        <w:t xml:space="preserve">14.2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14"/>
        <w:spacing w:line="360" w:lineRule="auto"/>
        <w:ind w:firstLine="360"/>
        <w:rPr>
          <w:rFonts w:hint="eastAsia" w:hAnsi="宋体"/>
        </w:rPr>
      </w:pPr>
      <w:r>
        <w:rPr>
          <w:rFonts w:hint="eastAsia" w:hAnsi="宋体"/>
        </w:rPr>
        <w:t>14.3 下述合同附件为本合同不可分割的部分并与本合同具有同等效力：</w:t>
      </w:r>
    </w:p>
    <w:p>
      <w:pPr>
        <w:pStyle w:val="14"/>
        <w:spacing w:line="360" w:lineRule="auto"/>
        <w:ind w:firstLine="360"/>
        <w:rPr>
          <w:rFonts w:hint="eastAsia" w:hAnsi="宋体"/>
        </w:rPr>
      </w:pPr>
      <w:r>
        <w:rPr>
          <w:rFonts w:hint="eastAsia" w:hAnsi="宋体"/>
        </w:rPr>
        <w:t>（1）中标通知书；</w:t>
      </w:r>
    </w:p>
    <w:p>
      <w:pPr>
        <w:pStyle w:val="14"/>
        <w:spacing w:line="360" w:lineRule="auto"/>
        <w:ind w:firstLine="360"/>
        <w:rPr>
          <w:rFonts w:hint="eastAsia" w:hAnsi="宋体"/>
        </w:rPr>
      </w:pPr>
      <w:r>
        <w:rPr>
          <w:rFonts w:hint="eastAsia" w:hAnsi="宋体"/>
        </w:rPr>
        <w:t>（2）招标文件货物需求一览表；</w:t>
      </w:r>
    </w:p>
    <w:p>
      <w:pPr>
        <w:pStyle w:val="14"/>
        <w:spacing w:line="360" w:lineRule="auto"/>
        <w:ind w:firstLine="360"/>
        <w:rPr>
          <w:rFonts w:hint="eastAsia" w:hAnsi="宋体"/>
        </w:rPr>
      </w:pPr>
      <w:r>
        <w:rPr>
          <w:rFonts w:hint="eastAsia" w:hAnsi="宋体"/>
        </w:rPr>
        <w:t>（3）招标文件的澄清和修改（如有）；</w:t>
      </w:r>
    </w:p>
    <w:p>
      <w:pPr>
        <w:pStyle w:val="14"/>
        <w:spacing w:line="360" w:lineRule="auto"/>
        <w:ind w:firstLine="360"/>
        <w:rPr>
          <w:rFonts w:hint="eastAsia" w:hAnsi="宋体"/>
        </w:rPr>
      </w:pPr>
      <w:r>
        <w:rPr>
          <w:rFonts w:hint="eastAsia" w:hAnsi="宋体"/>
        </w:rPr>
        <w:t>（4）投标报价表；</w:t>
      </w:r>
    </w:p>
    <w:p>
      <w:pPr>
        <w:pStyle w:val="14"/>
        <w:spacing w:line="360" w:lineRule="auto"/>
        <w:ind w:firstLine="360"/>
        <w:rPr>
          <w:rFonts w:hint="eastAsia" w:hAnsi="宋体"/>
        </w:rPr>
      </w:pPr>
      <w:r>
        <w:rPr>
          <w:rFonts w:hint="eastAsia" w:hAnsi="宋体"/>
        </w:rPr>
        <w:t>（5）投标产品技术资料表、商务条款偏离表；</w:t>
      </w:r>
    </w:p>
    <w:p>
      <w:pPr>
        <w:pStyle w:val="14"/>
        <w:spacing w:line="360" w:lineRule="auto"/>
        <w:ind w:firstLine="360"/>
        <w:rPr>
          <w:rFonts w:hint="eastAsia" w:hAnsi="宋体"/>
        </w:rPr>
      </w:pPr>
      <w:r>
        <w:rPr>
          <w:rFonts w:hint="eastAsia" w:hAnsi="宋体"/>
        </w:rPr>
        <w:t>（6）中标供应商澄清函（如有）；</w:t>
      </w:r>
    </w:p>
    <w:p>
      <w:pPr>
        <w:pStyle w:val="14"/>
        <w:spacing w:line="360" w:lineRule="auto"/>
        <w:ind w:firstLine="360"/>
        <w:rPr>
          <w:rFonts w:hint="eastAsia" w:hAnsi="宋体"/>
        </w:rPr>
      </w:pPr>
      <w:r>
        <w:rPr>
          <w:rFonts w:hint="eastAsia" w:hAnsi="宋体"/>
        </w:rPr>
        <w:t>（7）其他与本合同相关的资料（如有）。</w:t>
      </w:r>
    </w:p>
    <w:p>
      <w:pPr>
        <w:pStyle w:val="14"/>
        <w:spacing w:line="360" w:lineRule="auto"/>
        <w:ind w:firstLine="360"/>
        <w:rPr>
          <w:rFonts w:hint="eastAsia" w:hAnsi="宋体"/>
        </w:rPr>
      </w:pPr>
      <w:r>
        <w:rPr>
          <w:rFonts w:hint="eastAsia" w:hAnsi="宋体"/>
        </w:rPr>
        <w:t>14.4 本合同未尽事宜，遵照《中华人民共和国合同法》有关条文执行。</w:t>
      </w:r>
    </w:p>
    <w:p>
      <w:pPr>
        <w:pStyle w:val="14"/>
        <w:spacing w:line="360" w:lineRule="auto"/>
        <w:ind w:firstLine="360"/>
        <w:rPr>
          <w:rFonts w:hint="eastAsia" w:hAnsi="宋体"/>
        </w:rPr>
      </w:pPr>
      <w:r>
        <w:rPr>
          <w:rFonts w:hint="eastAsia" w:hAnsi="宋体"/>
        </w:rPr>
        <w:t>14.5本合同一式陆份，具有同等法律效力，自甲乙双方法定代表或被授权代表人签字并加盖单位公章后正式生效。甲乙双方各执贰份；其中贰份由中标</w:t>
      </w:r>
      <w:r>
        <w:rPr>
          <w:rFonts w:hint="eastAsia" w:hAnsi="宋体"/>
          <w:lang w:eastAsia="zh-CN"/>
        </w:rPr>
        <w:t>供应商</w:t>
      </w:r>
      <w:r>
        <w:rPr>
          <w:rFonts w:hint="eastAsia" w:hAnsi="宋体"/>
        </w:rPr>
        <w:t>交</w:t>
      </w:r>
      <w:r>
        <w:rPr>
          <w:rFonts w:hint="eastAsia" w:hAnsi="宋体"/>
          <w:lang w:eastAsia="zh-CN"/>
        </w:rPr>
        <w:t>采购</w:t>
      </w:r>
      <w:r>
        <w:rPr>
          <w:rFonts w:hint="eastAsia" w:hAnsi="宋体"/>
        </w:rPr>
        <w:t>代理机构备案，一份</w:t>
      </w:r>
      <w:r>
        <w:rPr>
          <w:rFonts w:hint="eastAsia" w:hAnsi="宋体"/>
          <w:lang w:eastAsia="zh-CN"/>
        </w:rPr>
        <w:t>采购</w:t>
      </w:r>
      <w:r>
        <w:rPr>
          <w:rFonts w:hint="eastAsia" w:hAnsi="宋体"/>
        </w:rPr>
        <w:t>代理机构存档，一份由招标公司送南宁市公共资源交易中心备案。</w:t>
      </w:r>
    </w:p>
    <w:p>
      <w:pPr>
        <w:pStyle w:val="14"/>
        <w:spacing w:line="360" w:lineRule="auto"/>
        <w:ind w:firstLine="360"/>
        <w:rPr>
          <w:rFonts w:hint="eastAsia" w:hAnsi="宋体"/>
        </w:rPr>
      </w:pPr>
    </w:p>
    <w:p>
      <w:pPr>
        <w:pStyle w:val="14"/>
        <w:spacing w:line="360" w:lineRule="auto"/>
        <w:ind w:firstLine="360"/>
        <w:rPr>
          <w:rFonts w:hint="eastAsia" w:hAnsi="宋体"/>
        </w:rPr>
      </w:pPr>
    </w:p>
    <w:p>
      <w:pPr>
        <w:pStyle w:val="14"/>
        <w:spacing w:line="360" w:lineRule="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14"/>
        <w:spacing w:line="360" w:lineRule="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14"/>
        <w:spacing w:line="360" w:lineRule="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14"/>
        <w:spacing w:line="360" w:lineRule="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14"/>
        <w:spacing w:line="360" w:lineRule="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14"/>
        <w:spacing w:line="360" w:lineRule="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14"/>
        <w:spacing w:line="360" w:lineRule="auto"/>
        <w:rPr>
          <w:rFonts w:hint="eastAsia" w:hAnsi="宋体"/>
          <w:u w:val="single"/>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14"/>
        <w:spacing w:line="360" w:lineRule="auto"/>
        <w:rPr>
          <w:rFonts w:hint="default" w:hAnsi="宋体" w:eastAsia="宋体"/>
          <w:u w:val="none"/>
          <w:lang w:val="en-US" w:eastAsia="zh-CN"/>
        </w:rPr>
      </w:pPr>
      <w:r>
        <w:rPr>
          <w:rFonts w:hint="eastAsia" w:hAnsi="宋体"/>
          <w:u w:val="none"/>
          <w:lang w:val="en-US" w:eastAsia="zh-CN"/>
        </w:rPr>
        <w:t xml:space="preserve">                                              统一社会代码：</w:t>
      </w:r>
      <w:r>
        <w:rPr>
          <w:rFonts w:hint="eastAsia" w:hAnsi="宋体"/>
          <w:u w:val="single"/>
        </w:rPr>
        <w:t xml:space="preserve">                            </w:t>
      </w:r>
    </w:p>
    <w:p>
      <w:pPr>
        <w:pStyle w:val="14"/>
        <w:spacing w:line="360" w:lineRule="auto"/>
        <w:rPr>
          <w:rFonts w:hint="eastAsia" w:hAnsi="宋体"/>
          <w:u w:val="single"/>
        </w:rPr>
      </w:pPr>
      <w:r>
        <w:rPr>
          <w:rFonts w:hint="eastAsia" w:hAnsi="宋体"/>
        </w:rPr>
        <w:t xml:space="preserve">                                              开户银行：</w:t>
      </w:r>
      <w:r>
        <w:rPr>
          <w:rFonts w:hint="eastAsia" w:hAnsi="宋体"/>
          <w:u w:val="single"/>
        </w:rPr>
        <w:t xml:space="preserve">                                </w:t>
      </w:r>
    </w:p>
    <w:p>
      <w:pPr>
        <w:pStyle w:val="14"/>
        <w:spacing w:line="360" w:lineRule="auto"/>
        <w:rPr>
          <w:rFonts w:hint="eastAsia" w:hAnsi="宋体"/>
          <w:u w:val="single"/>
        </w:rPr>
      </w:pPr>
      <w:r>
        <w:rPr>
          <w:rFonts w:hint="eastAsia" w:hAnsi="宋体"/>
        </w:rPr>
        <w:t xml:space="preserve">                                              开户名称：</w:t>
      </w:r>
      <w:r>
        <w:rPr>
          <w:rFonts w:hint="eastAsia" w:hAnsi="宋体"/>
          <w:u w:val="single"/>
        </w:rPr>
        <w:t xml:space="preserve">                                </w:t>
      </w:r>
    </w:p>
    <w:p>
      <w:pPr>
        <w:pStyle w:val="14"/>
        <w:spacing w:line="360" w:lineRule="auto"/>
        <w:rPr>
          <w:rFonts w:hint="eastAsia" w:hAnsi="宋体"/>
          <w:u w:val="single"/>
        </w:rPr>
      </w:pPr>
      <w:r>
        <w:rPr>
          <w:rFonts w:hint="eastAsia" w:hAnsi="宋体"/>
        </w:rPr>
        <w:t xml:space="preserve">                                              银行账号：</w:t>
      </w:r>
      <w:r>
        <w:rPr>
          <w:rFonts w:hint="eastAsia" w:hAnsi="宋体"/>
          <w:u w:val="single"/>
        </w:rPr>
        <w:t xml:space="preserve">                                </w:t>
      </w:r>
    </w:p>
    <w:p>
      <w:pPr>
        <w:pStyle w:val="14"/>
        <w:spacing w:line="360" w:lineRule="auto"/>
        <w:ind w:left="178" w:leftChars="85"/>
        <w:rPr>
          <w:rFonts w:hint="eastAsia" w:hAnsi="宋体"/>
        </w:rPr>
      </w:pPr>
    </w:p>
    <w:p>
      <w:pPr>
        <w:pStyle w:val="14"/>
        <w:spacing w:line="360" w:lineRule="auto"/>
        <w:ind w:left="178" w:leftChars="85"/>
        <w:rPr>
          <w:rFonts w:hint="eastAsia" w:hAnsi="宋体"/>
        </w:rPr>
      </w:pPr>
    </w:p>
    <w:p>
      <w:pPr>
        <w:pStyle w:val="14"/>
        <w:spacing w:line="360" w:lineRule="auto"/>
        <w:rPr>
          <w:rFonts w:hint="eastAsia" w:hAnsi="宋体"/>
        </w:rPr>
      </w:pPr>
      <w:r>
        <w:rPr>
          <w:rFonts w:hint="eastAsia" w:hAnsi="宋体"/>
        </w:rPr>
        <w:t xml:space="preserve">合同签订地点：广西南宁市 </w:t>
      </w:r>
    </w:p>
    <w:p>
      <w:pPr>
        <w:pStyle w:val="14"/>
        <w:spacing w:line="360" w:lineRule="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pStyle w:val="14"/>
        <w:jc w:val="center"/>
        <w:outlineLvl w:val="0"/>
        <w:rPr>
          <w:rFonts w:hint="eastAsia" w:hAnsi="宋体"/>
          <w:b/>
          <w:bCs/>
          <w:caps/>
          <w:color w:val="auto"/>
          <w:sz w:val="30"/>
          <w:szCs w:val="30"/>
          <w:highlight w:val="none"/>
        </w:rPr>
      </w:pPr>
      <w:r>
        <w:rPr>
          <w:rFonts w:hAnsi="宋体"/>
          <w:color w:val="auto"/>
          <w:highlight w:val="none"/>
        </w:rPr>
        <w:br w:type="page"/>
      </w:r>
      <w:bookmarkStart w:id="54" w:name="_Toc879382"/>
      <w:bookmarkStart w:id="55" w:name="_Toc532393553"/>
      <w:bookmarkStart w:id="56" w:name="_Toc1654636"/>
      <w:bookmarkStart w:id="57" w:name="_Toc1486350"/>
      <w:r>
        <w:rPr>
          <w:rFonts w:hint="eastAsia" w:ascii="Times New Roman" w:hAnsi="Times New Roman"/>
          <w:b/>
          <w:color w:val="auto"/>
          <w:sz w:val="36"/>
          <w:highlight w:val="none"/>
        </w:rPr>
        <w:t>第七章  质疑材料格式</w:t>
      </w:r>
      <w:bookmarkEnd w:id="54"/>
      <w:bookmarkEnd w:id="55"/>
      <w:bookmarkEnd w:id="56"/>
      <w:bookmarkEnd w:id="57"/>
    </w:p>
    <w:p>
      <w:pPr>
        <w:pStyle w:val="14"/>
        <w:jc w:val="center"/>
        <w:outlineLvl w:val="1"/>
        <w:rPr>
          <w:rFonts w:hint="eastAsia" w:hAnsi="宋体"/>
          <w:color w:val="auto"/>
          <w:sz w:val="30"/>
          <w:szCs w:val="30"/>
          <w:highlight w:val="none"/>
        </w:rPr>
      </w:pPr>
    </w:p>
    <w:p>
      <w:pPr>
        <w:widowControl/>
        <w:shd w:val="clear" w:color="auto" w:fill="FFFFFF"/>
        <w:spacing w:line="260" w:lineRule="exact"/>
        <w:jc w:val="center"/>
        <w:rPr>
          <w:rFonts w:hint="eastAsia" w:ascii="ˎ̥" w:hAnsi="ˎ̥" w:cs="宋体"/>
          <w:color w:val="auto"/>
          <w:kern w:val="0"/>
          <w:sz w:val="24"/>
          <w:highlight w:val="none"/>
        </w:rPr>
      </w:pPr>
      <w:r>
        <w:rPr>
          <w:rFonts w:hint="eastAsia" w:ascii="ˎ̥" w:hAnsi="ˎ̥" w:cs="宋体"/>
          <w:b/>
          <w:bCs/>
          <w:color w:val="auto"/>
          <w:kern w:val="0"/>
          <w:sz w:val="24"/>
          <w:highlight w:val="none"/>
        </w:rPr>
        <w:t>质疑函（格式）</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一、</w:t>
      </w:r>
      <w:r>
        <w:rPr>
          <w:rFonts w:hint="eastAsia" w:ascii="ˎ̥" w:hAnsi="ˎ̥"/>
          <w:color w:val="auto"/>
          <w:szCs w:val="21"/>
          <w:highlight w:val="none"/>
        </w:rPr>
        <w:t>质疑供应商基本信息</w:t>
      </w:r>
    </w:p>
    <w:p>
      <w:pPr>
        <w:widowControl/>
        <w:shd w:val="clear" w:color="auto" w:fill="FFFFFF"/>
        <w:spacing w:line="260" w:lineRule="exact"/>
        <w:jc w:val="left"/>
        <w:rPr>
          <w:rFonts w:ascii="ˎ̥" w:hAnsi="ˎ̥" w:cs="宋体"/>
          <w:color w:val="auto"/>
          <w:kern w:val="0"/>
          <w:szCs w:val="21"/>
          <w:highlight w:val="none"/>
        </w:rPr>
      </w:pPr>
      <w:r>
        <w:rPr>
          <w:rFonts w:ascii="ˎ̥" w:hAnsi="ˎ̥" w:cs="宋体"/>
          <w:bCs/>
          <w:color w:val="auto"/>
          <w:kern w:val="0"/>
          <w:szCs w:val="21"/>
          <w:highlight w:val="none"/>
        </w:rPr>
        <w:t>1.</w:t>
      </w:r>
      <w:r>
        <w:rPr>
          <w:rFonts w:hint="eastAsia" w:ascii="ˎ̥" w:hAnsi="ˎ̥" w:cs="宋体"/>
          <w:bCs/>
          <w:color w:val="auto"/>
          <w:kern w:val="0"/>
          <w:szCs w:val="21"/>
          <w:highlight w:val="none"/>
        </w:rPr>
        <w:t>质疑供应商名称：</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u w:val="single"/>
        </w:rPr>
      </w:pPr>
      <w:r>
        <w:rPr>
          <w:rFonts w:hint="eastAsia" w:ascii="ˎ̥" w:hAnsi="ˎ̥" w:cs="宋体"/>
          <w:color w:val="auto"/>
          <w:kern w:val="0"/>
          <w:szCs w:val="21"/>
          <w:highlight w:val="none"/>
        </w:rPr>
        <w:t>地址：</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邮政编码：</w:t>
      </w:r>
      <w:r>
        <w:rPr>
          <w:rFonts w:ascii="ˎ̥" w:hAnsi="ˎ̥" w:cs="宋体"/>
          <w:color w:val="auto"/>
          <w:kern w:val="0"/>
          <w:szCs w:val="21"/>
          <w:highlight w:val="none"/>
          <w:u w:val="single"/>
        </w:rPr>
        <w:t>                 </w:t>
      </w:r>
      <w:r>
        <w:rPr>
          <w:rFonts w:ascii="ˎ̥" w:hAnsi="ˎ̥" w:cs="宋体"/>
          <w:color w:val="auto"/>
          <w:kern w:val="0"/>
          <w:szCs w:val="21"/>
          <w:highlight w:val="none"/>
        </w:rPr>
        <w:t> </w:t>
      </w:r>
    </w:p>
    <w:p>
      <w:pPr>
        <w:widowControl/>
        <w:shd w:val="clear" w:color="auto" w:fill="FFFFFF"/>
        <w:spacing w:line="260" w:lineRule="exact"/>
        <w:jc w:val="left"/>
        <w:rPr>
          <w:rFonts w:ascii="ˎ̥" w:hAnsi="ˎ̥" w:cs="宋体"/>
          <w:bCs/>
          <w:color w:val="auto"/>
          <w:kern w:val="0"/>
          <w:szCs w:val="21"/>
          <w:highlight w:val="none"/>
        </w:rPr>
      </w:pPr>
      <w:r>
        <w:rPr>
          <w:rFonts w:hint="eastAsia" w:ascii="ˎ̥" w:hAnsi="ˎ̥" w:cs="宋体"/>
          <w:bCs/>
          <w:color w:val="auto"/>
          <w:kern w:val="0"/>
          <w:szCs w:val="21"/>
          <w:highlight w:val="none"/>
        </w:rPr>
        <w:t>联系人：</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u w:val="single"/>
        </w:rPr>
      </w:pPr>
      <w:r>
        <w:rPr>
          <w:rFonts w:hint="eastAsia" w:ascii="ˎ̥" w:hAnsi="ˎ̥" w:cs="宋体"/>
          <w:color w:val="auto"/>
          <w:kern w:val="0"/>
          <w:szCs w:val="21"/>
          <w:highlight w:val="none"/>
        </w:rPr>
        <w:t>联系电话：</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黑体" w:hAnsi="黑体" w:eastAsia="黑体" w:cs="黑体"/>
          <w:color w:val="auto"/>
          <w:sz w:val="32"/>
          <w:szCs w:val="32"/>
          <w:highlight w:val="none"/>
        </w:rPr>
      </w:pPr>
      <w:r>
        <w:rPr>
          <w:rFonts w:hint="eastAsia" w:ascii="ˎ̥" w:hAnsi="ˎ̥" w:cs="宋体"/>
          <w:color w:val="auto"/>
          <w:kern w:val="0"/>
          <w:szCs w:val="21"/>
          <w:highlight w:val="none"/>
        </w:rPr>
        <w:t>二、质疑项目基本情况</w:t>
      </w:r>
    </w:p>
    <w:p>
      <w:pPr>
        <w:widowControl/>
        <w:shd w:val="clear" w:color="auto" w:fill="FFFFFF"/>
        <w:spacing w:line="260" w:lineRule="exact"/>
        <w:jc w:val="left"/>
        <w:rPr>
          <w:rFonts w:hint="eastAsia" w:ascii="ˎ̥" w:hAnsi="ˎ̥" w:cs="宋体"/>
          <w:color w:val="auto"/>
          <w:kern w:val="0"/>
          <w:szCs w:val="21"/>
          <w:highlight w:val="none"/>
        </w:rPr>
      </w:pPr>
      <w:r>
        <w:rPr>
          <w:rFonts w:ascii="ˎ̥" w:hAnsi="ˎ̥" w:cs="宋体"/>
          <w:color w:val="auto"/>
          <w:kern w:val="0"/>
          <w:szCs w:val="21"/>
          <w:highlight w:val="none"/>
        </w:rPr>
        <w:t>1.</w:t>
      </w:r>
      <w:r>
        <w:rPr>
          <w:rFonts w:hint="eastAsia" w:ascii="ˎ̥" w:hAnsi="ˎ̥" w:cs="宋体"/>
          <w:color w:val="auto"/>
          <w:kern w:val="0"/>
          <w:szCs w:val="21"/>
          <w:highlight w:val="none"/>
        </w:rPr>
        <w:t>质疑项目的名称</w:t>
      </w:r>
      <w:r>
        <w:rPr>
          <w:rFonts w:ascii="ˎ̥" w:hAnsi="ˎ̥" w:cs="宋体"/>
          <w:b/>
          <w:bCs/>
          <w:color w:val="auto"/>
          <w:kern w:val="0"/>
          <w:szCs w:val="21"/>
          <w:highlight w:val="none"/>
          <w:u w:val="single"/>
        </w:rPr>
        <w:t> </w:t>
      </w:r>
      <w:r>
        <w:rPr>
          <w:rFonts w:hint="eastAsia" w:ascii="ˎ̥" w:hAnsi="ˎ̥" w:cs="宋体"/>
          <w:b/>
          <w:bCs/>
          <w:color w:val="auto"/>
          <w:kern w:val="0"/>
          <w:szCs w:val="21"/>
          <w:highlight w:val="none"/>
          <w:u w:val="single"/>
        </w:rPr>
        <w:t>：</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b/>
          <w:bCs/>
          <w:color w:val="auto"/>
          <w:kern w:val="0"/>
          <w:szCs w:val="21"/>
          <w:highlight w:val="none"/>
          <w:u w:val="single"/>
        </w:rPr>
      </w:pPr>
      <w:r>
        <w:rPr>
          <w:rFonts w:ascii="ˎ̥" w:hAnsi="ˎ̥" w:cs="宋体"/>
          <w:color w:val="auto"/>
          <w:kern w:val="0"/>
          <w:szCs w:val="21"/>
          <w:highlight w:val="none"/>
        </w:rPr>
        <w:t>2.</w:t>
      </w:r>
      <w:r>
        <w:rPr>
          <w:rFonts w:hint="eastAsia" w:ascii="ˎ̥" w:hAnsi="ˎ̥" w:cs="宋体"/>
          <w:color w:val="auto"/>
          <w:kern w:val="0"/>
          <w:szCs w:val="21"/>
          <w:highlight w:val="none"/>
        </w:rPr>
        <w:t>质疑项目的编号：</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ascii="ˎ̥" w:hAnsi="ˎ̥" w:cs="宋体"/>
          <w:bCs/>
          <w:color w:val="auto"/>
          <w:kern w:val="0"/>
          <w:szCs w:val="21"/>
          <w:highlight w:val="none"/>
        </w:rPr>
        <w:t>3.</w:t>
      </w:r>
      <w:r>
        <w:rPr>
          <w:rFonts w:hint="eastAsia" w:ascii="ˎ̥" w:hAnsi="ˎ̥" w:cs="宋体"/>
          <w:color w:val="auto"/>
          <w:kern w:val="0"/>
          <w:szCs w:val="21"/>
          <w:highlight w:val="none"/>
        </w:rPr>
        <w:t>质疑项目的分标号：</w:t>
      </w:r>
      <w:r>
        <w:rPr>
          <w:rFonts w:ascii="ˎ̥" w:hAnsi="ˎ̥" w:cs="宋体"/>
          <w:b/>
          <w:bCs/>
          <w:color w:val="auto"/>
          <w:kern w:val="0"/>
          <w:szCs w:val="21"/>
          <w:highlight w:val="none"/>
          <w:u w:val="single"/>
        </w:rPr>
        <w:t>                               </w:t>
      </w:r>
    </w:p>
    <w:p>
      <w:pPr>
        <w:adjustRightInd w:val="0"/>
        <w:snapToGrid w:val="0"/>
        <w:spacing w:line="260" w:lineRule="exact"/>
        <w:outlineLvl w:val="0"/>
        <w:rPr>
          <w:rFonts w:ascii="ˎ̥" w:hAnsi="ˎ̥" w:cs="宋体"/>
          <w:color w:val="auto"/>
          <w:kern w:val="0"/>
          <w:szCs w:val="21"/>
          <w:highlight w:val="none"/>
        </w:rPr>
      </w:pPr>
    </w:p>
    <w:p>
      <w:pPr>
        <w:adjustRightInd w:val="0"/>
        <w:snapToGrid w:val="0"/>
        <w:spacing w:line="260" w:lineRule="exact"/>
        <w:outlineLvl w:val="0"/>
        <w:rPr>
          <w:rFonts w:ascii="黑体" w:hAnsi="黑体" w:eastAsia="黑体"/>
          <w:color w:val="auto"/>
          <w:sz w:val="32"/>
          <w:szCs w:val="32"/>
          <w:highlight w:val="none"/>
        </w:rPr>
      </w:pPr>
      <w:bookmarkStart w:id="58" w:name="_Toc879383"/>
      <w:bookmarkStart w:id="59" w:name="_Toc1486351"/>
      <w:bookmarkStart w:id="60" w:name="_Toc532393554"/>
      <w:bookmarkStart w:id="61" w:name="_Toc1654637"/>
      <w:r>
        <w:rPr>
          <w:rFonts w:hint="eastAsia" w:ascii="ˎ̥" w:hAnsi="ˎ̥" w:cs="宋体"/>
          <w:color w:val="auto"/>
          <w:kern w:val="0"/>
          <w:szCs w:val="21"/>
          <w:highlight w:val="none"/>
        </w:rPr>
        <w:t>三、质疑事项具体内容</w:t>
      </w:r>
      <w:bookmarkEnd w:id="58"/>
      <w:bookmarkEnd w:id="59"/>
      <w:bookmarkEnd w:id="60"/>
      <w:bookmarkEnd w:id="61"/>
    </w:p>
    <w:p>
      <w:pPr>
        <w:widowControl/>
        <w:shd w:val="clear" w:color="auto" w:fill="FFFFFF"/>
        <w:spacing w:line="260" w:lineRule="exact"/>
        <w:jc w:val="left"/>
        <w:rPr>
          <w:rFonts w:hint="eastAsia"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的事实依据：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的法律依据：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的相关请求：</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的事实依据：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的法律依据：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的相关请求：</w:t>
      </w:r>
      <w:r>
        <w:rPr>
          <w:rFonts w:ascii="ˎ̥" w:hAnsi="ˎ̥" w:cs="宋体"/>
          <w:bCs/>
          <w:color w:val="auto"/>
          <w:kern w:val="0"/>
          <w:szCs w:val="21"/>
          <w:highlight w:val="none"/>
          <w:u w:val="single"/>
        </w:rPr>
        <w:t xml:space="preserve">                                                                  </w:t>
      </w:r>
    </w:p>
    <w:p>
      <w:pPr>
        <w:shd w:val="clear" w:color="auto" w:fill="FFFFFF"/>
        <w:spacing w:line="260" w:lineRule="exact"/>
        <w:rPr>
          <w:rFonts w:ascii="ˎ̥" w:hAnsi="ˎ̥" w:cs="宋体"/>
          <w:color w:val="auto"/>
          <w:kern w:val="0"/>
          <w:szCs w:val="21"/>
          <w:highlight w:val="none"/>
        </w:rPr>
      </w:pPr>
      <w:r>
        <w:rPr>
          <w:rFonts w:hint="eastAsia" w:ascii="ˎ̥" w:hAnsi="ˎ̥" w:cs="宋体"/>
          <w:color w:val="auto"/>
          <w:kern w:val="0"/>
          <w:szCs w:val="21"/>
          <w:highlight w:val="none"/>
        </w:rPr>
        <w:t>……</w:t>
      </w:r>
    </w:p>
    <w:p>
      <w:pPr>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四、附件材料目录（材料附后）</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1</w:t>
      </w:r>
      <w:r>
        <w:rPr>
          <w:rFonts w:ascii="ˎ̥" w:hAnsi="ˎ̥" w:cs="宋体"/>
          <w:color w:val="auto"/>
          <w:kern w:val="0"/>
          <w:szCs w:val="21"/>
          <w:highlight w:val="none"/>
        </w:rPr>
        <w:t>.</w:t>
      </w:r>
      <w:r>
        <w:rPr>
          <w:rFonts w:hint="eastAsia" w:ascii="ˎ̥" w:hAnsi="ˎ̥" w:cs="宋体"/>
          <w:color w:val="auto"/>
          <w:kern w:val="0"/>
          <w:szCs w:val="21"/>
          <w:highlight w:val="none"/>
        </w:rPr>
        <w:t>营业执照副本内页复印件（要求证件有效并清晰反映企业法人经营范围）</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2</w:t>
      </w:r>
      <w:r>
        <w:rPr>
          <w:rFonts w:ascii="ˎ̥" w:hAnsi="ˎ̥" w:cs="宋体"/>
          <w:color w:val="auto"/>
          <w:kern w:val="0"/>
          <w:szCs w:val="21"/>
          <w:highlight w:val="none"/>
        </w:rPr>
        <w:t>.</w:t>
      </w:r>
      <w:r>
        <w:rPr>
          <w:rFonts w:hint="eastAsia" w:ascii="ˎ̥" w:hAnsi="ˎ̥" w:cs="宋体"/>
          <w:color w:val="auto"/>
          <w:kern w:val="0"/>
          <w:szCs w:val="21"/>
          <w:highlight w:val="none"/>
        </w:rPr>
        <w:t>近期连续三个月依法缴纳税收证明材料（复印件，原件备查）</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3</w:t>
      </w:r>
      <w:r>
        <w:rPr>
          <w:rFonts w:ascii="ˎ̥" w:hAnsi="ˎ̥" w:cs="宋体"/>
          <w:color w:val="auto"/>
          <w:kern w:val="0"/>
          <w:szCs w:val="21"/>
          <w:highlight w:val="none"/>
        </w:rPr>
        <w:t>.</w:t>
      </w:r>
      <w:r>
        <w:rPr>
          <w:rFonts w:hint="eastAsia" w:ascii="ˎ̥" w:hAnsi="ˎ̥" w:cs="宋体"/>
          <w:color w:val="auto"/>
          <w:kern w:val="0"/>
          <w:szCs w:val="21"/>
          <w:highlight w:val="none"/>
        </w:rPr>
        <w:t>近期连续三个月在职职工依法缴纳社会保障资金证明材料（复印件，原件备查）</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五、委托代理时还应提交的材料目录（材料附后）</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hint="eastAsia" w:ascii="ˎ̥" w:hAnsi="ˎ̥" w:cs="宋体"/>
          <w:color w:val="auto"/>
          <w:kern w:val="0"/>
          <w:szCs w:val="21"/>
          <w:highlight w:val="none"/>
        </w:rPr>
        <w:t>质疑供应商的授权委托书原件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hint="eastAsia" w:ascii="ˎ̥" w:hAnsi="ˎ̥" w:cs="宋体"/>
          <w:color w:val="auto"/>
          <w:kern w:val="0"/>
          <w:szCs w:val="21"/>
          <w:highlight w:val="none"/>
        </w:rPr>
        <w:t>委托代理人身份证明复印件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3.</w:t>
      </w:r>
      <w:r>
        <w:rPr>
          <w:rFonts w:hint="eastAsia" w:ascii="ˎ̥" w:hAnsi="ˎ̥" w:cs="宋体"/>
          <w:color w:val="auto"/>
          <w:kern w:val="0"/>
          <w:szCs w:val="21"/>
          <w:highlight w:val="none"/>
        </w:rPr>
        <w:t>委托代理人近期三个月社保缴费证明复印件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center"/>
        <w:rPr>
          <w:rFonts w:ascii="ˎ̥" w:hAnsi="ˎ̥" w:cs="宋体"/>
          <w:color w:val="auto"/>
          <w:kern w:val="0"/>
          <w:szCs w:val="21"/>
          <w:highlight w:val="none"/>
        </w:rPr>
      </w:pPr>
      <w:r>
        <w:rPr>
          <w:rFonts w:ascii="ˎ̥" w:hAnsi="ˎ̥" w:cs="宋体"/>
          <w:color w:val="auto"/>
          <w:kern w:val="0"/>
          <w:szCs w:val="21"/>
          <w:highlight w:val="none"/>
        </w:rPr>
        <w:t xml:space="preserve">    </w:t>
      </w:r>
    </w:p>
    <w:p>
      <w:pPr>
        <w:widowControl/>
        <w:shd w:val="clear" w:color="auto" w:fill="FFFFFF"/>
        <w:spacing w:line="260" w:lineRule="exact"/>
        <w:jc w:val="center"/>
        <w:rPr>
          <w:rFonts w:ascii="ˎ̥" w:hAnsi="ˎ̥" w:cs="宋体"/>
          <w:color w:val="auto"/>
          <w:kern w:val="0"/>
          <w:szCs w:val="21"/>
          <w:highlight w:val="none"/>
        </w:rPr>
      </w:pPr>
      <w:r>
        <w:rPr>
          <w:rFonts w:ascii="ˎ̥" w:hAnsi="ˎ̥" w:cs="宋体"/>
          <w:color w:val="auto"/>
          <w:kern w:val="0"/>
          <w:szCs w:val="21"/>
          <w:highlight w:val="none"/>
        </w:rPr>
        <w:t xml:space="preserve">           </w:t>
      </w:r>
    </w:p>
    <w:p>
      <w:pPr>
        <w:widowControl/>
        <w:shd w:val="clear" w:color="auto" w:fill="FFFFFF"/>
        <w:spacing w:line="260" w:lineRule="exact"/>
        <w:jc w:val="center"/>
        <w:rPr>
          <w:rFonts w:ascii="ˎ̥" w:hAnsi="ˎ̥" w:cs="宋体"/>
          <w:color w:val="auto"/>
          <w:kern w:val="0"/>
          <w:szCs w:val="21"/>
          <w:highlight w:val="none"/>
        </w:rPr>
      </w:pPr>
      <w:r>
        <w:rPr>
          <w:rFonts w:hint="eastAsia" w:ascii="ˎ̥" w:hAnsi="ˎ̥" w:cs="宋体"/>
          <w:color w:val="auto"/>
          <w:kern w:val="0"/>
          <w:szCs w:val="21"/>
          <w:highlight w:val="none"/>
        </w:rPr>
        <w:t>质疑供应商（公章）：</w:t>
      </w:r>
      <w:r>
        <w:rPr>
          <w:rFonts w:ascii="ˎ̥" w:hAnsi="ˎ̥" w:cs="宋体"/>
          <w:color w:val="auto"/>
          <w:kern w:val="0"/>
          <w:szCs w:val="21"/>
          <w:highlight w:val="none"/>
        </w:rPr>
        <w:t>          </w:t>
      </w:r>
    </w:p>
    <w:p>
      <w:pPr>
        <w:widowControl/>
        <w:shd w:val="clear" w:color="auto" w:fill="FFFFFF"/>
        <w:spacing w:line="260" w:lineRule="exact"/>
        <w:jc w:val="center"/>
        <w:rPr>
          <w:rFonts w:hint="eastAsia" w:ascii="ˎ̥" w:hAnsi="ˎ̥" w:cs="宋体"/>
          <w:color w:val="auto"/>
          <w:kern w:val="0"/>
          <w:szCs w:val="21"/>
          <w:highlight w:val="none"/>
        </w:rPr>
      </w:pPr>
      <w:r>
        <w:rPr>
          <w:rFonts w:hint="eastAsia" w:ascii="ˎ̥" w:hAnsi="ˎ̥" w:cs="宋体"/>
          <w:color w:val="auto"/>
          <w:kern w:val="0"/>
          <w:szCs w:val="21"/>
          <w:highlight w:val="none"/>
        </w:rPr>
        <w:t>法定代表人签字：</w:t>
      </w:r>
    </w:p>
    <w:p>
      <w:pPr>
        <w:widowControl/>
        <w:shd w:val="clear" w:color="auto" w:fill="FFFFFF"/>
        <w:spacing w:line="260" w:lineRule="exact"/>
        <w:jc w:val="center"/>
        <w:rPr>
          <w:rFonts w:ascii="ˎ̥" w:hAnsi="ˎ̥" w:cs="宋体"/>
          <w:color w:val="auto"/>
          <w:kern w:val="0"/>
          <w:szCs w:val="21"/>
          <w:highlight w:val="none"/>
        </w:rPr>
      </w:pPr>
      <w:r>
        <w:rPr>
          <w:rFonts w:hint="eastAsia" w:ascii="ˎ̥" w:hAnsi="ˎ̥" w:cs="宋体"/>
          <w:color w:val="auto"/>
          <w:kern w:val="0"/>
          <w:szCs w:val="21"/>
          <w:highlight w:val="none"/>
        </w:rPr>
        <w:t>委托代理人签字：</w:t>
      </w:r>
    </w:p>
    <w:p>
      <w:pPr>
        <w:widowControl/>
        <w:shd w:val="clear" w:color="auto" w:fill="FFFFFF"/>
        <w:spacing w:line="260" w:lineRule="exact"/>
        <w:jc w:val="center"/>
        <w:rPr>
          <w:rFonts w:ascii="ˎ̥" w:hAnsi="ˎ̥" w:cs="宋体"/>
          <w:color w:val="auto"/>
          <w:kern w:val="0"/>
          <w:szCs w:val="21"/>
          <w:highlight w:val="none"/>
        </w:rPr>
      </w:pPr>
    </w:p>
    <w:p>
      <w:pPr>
        <w:widowControl/>
        <w:shd w:val="clear" w:color="auto" w:fill="FFFFFF"/>
        <w:spacing w:line="260" w:lineRule="exact"/>
        <w:ind w:firstLine="3885" w:firstLineChars="1850"/>
        <w:jc w:val="left"/>
        <w:rPr>
          <w:rFonts w:ascii="ˎ̥" w:hAnsi="ˎ̥" w:cs="宋体"/>
          <w:color w:val="auto"/>
          <w:kern w:val="0"/>
          <w:szCs w:val="21"/>
          <w:highlight w:val="none"/>
        </w:rPr>
      </w:pPr>
      <w:r>
        <w:rPr>
          <w:rFonts w:hint="eastAsia" w:ascii="ˎ̥" w:hAnsi="ˎ̥" w:cs="宋体"/>
          <w:color w:val="auto"/>
          <w:kern w:val="0"/>
          <w:szCs w:val="21"/>
          <w:highlight w:val="none"/>
        </w:rPr>
        <w:t>提起质疑的日期：</w:t>
      </w:r>
      <w:r>
        <w:rPr>
          <w:rFonts w:ascii="ˎ̥" w:hAnsi="ˎ̥" w:cs="宋体"/>
          <w:color w:val="auto"/>
          <w:kern w:val="0"/>
          <w:szCs w:val="21"/>
          <w:highlight w:val="none"/>
        </w:rPr>
        <w:t xml:space="preserve">     </w:t>
      </w:r>
      <w:r>
        <w:rPr>
          <w:rFonts w:hint="eastAsia" w:ascii="ˎ̥" w:hAnsi="ˎ̥" w:cs="宋体"/>
          <w:color w:val="auto"/>
          <w:kern w:val="0"/>
          <w:szCs w:val="21"/>
          <w:highlight w:val="none"/>
        </w:rPr>
        <w:t>年</w:t>
      </w:r>
      <w:r>
        <w:rPr>
          <w:rFonts w:ascii="ˎ̥" w:hAnsi="ˎ̥" w:cs="宋体"/>
          <w:color w:val="auto"/>
          <w:kern w:val="0"/>
          <w:szCs w:val="21"/>
          <w:highlight w:val="none"/>
        </w:rPr>
        <w:t xml:space="preserve">   </w:t>
      </w:r>
      <w:r>
        <w:rPr>
          <w:rFonts w:hint="eastAsia" w:ascii="ˎ̥" w:hAnsi="ˎ̥" w:cs="宋体"/>
          <w:color w:val="auto"/>
          <w:kern w:val="0"/>
          <w:szCs w:val="21"/>
          <w:highlight w:val="none"/>
        </w:rPr>
        <w:t>月</w:t>
      </w:r>
      <w:r>
        <w:rPr>
          <w:rFonts w:ascii="ˎ̥" w:hAnsi="ˎ̥" w:cs="宋体"/>
          <w:color w:val="auto"/>
          <w:kern w:val="0"/>
          <w:szCs w:val="21"/>
          <w:highlight w:val="none"/>
        </w:rPr>
        <w:t xml:space="preserve">   </w:t>
      </w:r>
      <w:r>
        <w:rPr>
          <w:rFonts w:hint="eastAsia" w:ascii="ˎ̥" w:hAnsi="ˎ̥" w:cs="宋体"/>
          <w:color w:val="auto"/>
          <w:kern w:val="0"/>
          <w:szCs w:val="21"/>
          <w:highlight w:val="none"/>
        </w:rPr>
        <w:t>日</w:t>
      </w:r>
    </w:p>
    <w:p>
      <w:pPr>
        <w:widowControl/>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rPr>
          <w:rFonts w:ascii="ˎ̥" w:hAnsi="ˎ̥"/>
          <w:color w:val="auto"/>
          <w:szCs w:val="21"/>
          <w:highlight w:val="none"/>
        </w:rPr>
      </w:pPr>
      <w:r>
        <w:rPr>
          <w:rFonts w:hint="eastAsia" w:ascii="ˎ̥" w:hAnsi="ˎ̥" w:cs="宋体"/>
          <w:color w:val="auto"/>
          <w:kern w:val="0"/>
          <w:szCs w:val="21"/>
          <w:highlight w:val="none"/>
        </w:rPr>
        <w:t>说明：</w:t>
      </w:r>
      <w:r>
        <w:rPr>
          <w:rFonts w:ascii="ˎ̥" w:hAnsi="ˎ̥" w:cs="宋体"/>
          <w:color w:val="auto"/>
          <w:kern w:val="0"/>
          <w:szCs w:val="21"/>
          <w:highlight w:val="none"/>
        </w:rPr>
        <w:t>1.</w:t>
      </w:r>
      <w:r>
        <w:rPr>
          <w:rFonts w:hint="eastAsia" w:ascii="ˎ̥" w:hAnsi="ˎ̥" w:cs="宋体"/>
          <w:color w:val="auto"/>
          <w:kern w:val="0"/>
          <w:szCs w:val="21"/>
          <w:highlight w:val="none"/>
        </w:rPr>
        <w:t>质疑事项的事实依据应</w:t>
      </w:r>
      <w:r>
        <w:rPr>
          <w:rFonts w:hint="eastAsia" w:ascii="ˎ̥" w:hAnsi="ˎ̥"/>
          <w:color w:val="auto"/>
          <w:szCs w:val="21"/>
          <w:highlight w:val="none"/>
        </w:rPr>
        <w:t>列明权益受到损害的事实和理由；</w:t>
      </w:r>
    </w:p>
    <w:p>
      <w:pPr>
        <w:widowControl/>
        <w:shd w:val="clear" w:color="auto" w:fill="FFFFFF"/>
        <w:spacing w:line="260" w:lineRule="exact"/>
        <w:ind w:firstLine="630" w:firstLineChars="300"/>
        <w:rPr>
          <w:rFonts w:ascii="ˎ̥" w:hAnsi="ˎ̥" w:cs="宋体"/>
          <w:b/>
          <w:bCs/>
          <w:color w:val="auto"/>
          <w:kern w:val="0"/>
          <w:szCs w:val="21"/>
          <w:highlight w:val="none"/>
        </w:rPr>
      </w:pPr>
      <w:r>
        <w:rPr>
          <w:rFonts w:ascii="ˎ̥" w:hAnsi="ˎ̥"/>
          <w:color w:val="auto"/>
          <w:szCs w:val="21"/>
          <w:highlight w:val="none"/>
        </w:rPr>
        <w:t>2.</w:t>
      </w:r>
      <w:r>
        <w:rPr>
          <w:rFonts w:hint="eastAsia" w:ascii="ˎ̥" w:hAnsi="ˎ̥" w:cs="宋体"/>
          <w:color w:val="auto"/>
          <w:kern w:val="0"/>
          <w:szCs w:val="21"/>
          <w:highlight w:val="none"/>
        </w:rPr>
        <w:t>质疑事项的法律依据应列明质疑事项违反法律法规的具体条款及内容。</w:t>
      </w:r>
    </w:p>
    <w:p>
      <w:pPr>
        <w:pStyle w:val="14"/>
        <w:jc w:val="center"/>
        <w:outlineLvl w:val="1"/>
        <w:rPr>
          <w:rFonts w:hAnsi="宋体"/>
          <w:color w:val="auto"/>
          <w:highlight w:val="none"/>
        </w:rPr>
      </w:pPr>
    </w:p>
    <w:p>
      <w:pPr>
        <w:pStyle w:val="14"/>
        <w:jc w:val="center"/>
        <w:outlineLvl w:val="1"/>
        <w:rPr>
          <w:rFonts w:hint="eastAsia" w:hAnsi="宋体"/>
          <w:color w:val="auto"/>
          <w:highlight w:val="none"/>
        </w:rPr>
      </w:pPr>
    </w:p>
    <w:p>
      <w:pPr>
        <w:pStyle w:val="14"/>
        <w:jc w:val="center"/>
        <w:outlineLvl w:val="1"/>
        <w:rPr>
          <w:rFonts w:hint="eastAsia" w:hAnsi="宋体"/>
          <w:color w:val="auto"/>
          <w:highlight w:val="none"/>
        </w:rPr>
      </w:pPr>
    </w:p>
    <w:p>
      <w:pPr>
        <w:widowControl/>
        <w:shd w:val="clear" w:color="auto" w:fill="FFFFFF"/>
        <w:spacing w:line="260" w:lineRule="exact"/>
        <w:jc w:val="center"/>
        <w:rPr>
          <w:rFonts w:hint="eastAsia" w:ascii="ˎ̥" w:hAnsi="ˎ̥" w:cs="宋体"/>
          <w:b/>
          <w:bCs/>
          <w:color w:val="auto"/>
          <w:kern w:val="0"/>
          <w:sz w:val="24"/>
          <w:highlight w:val="none"/>
        </w:rPr>
      </w:pPr>
      <w:r>
        <w:rPr>
          <w:rFonts w:hint="eastAsia" w:ascii="ˎ̥" w:hAnsi="ˎ̥" w:cs="宋体"/>
          <w:b/>
          <w:bCs/>
          <w:color w:val="auto"/>
          <w:kern w:val="0"/>
          <w:sz w:val="24"/>
          <w:highlight w:val="none"/>
        </w:rPr>
        <w:t>质疑证明材料（格式）</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质疑项目的名称</w:t>
      </w:r>
      <w:r>
        <w:rPr>
          <w:rFonts w:hint="eastAsia" w:ascii="ˎ̥" w:hAnsi="ˎ̥" w:cs="宋体"/>
          <w:b/>
          <w:bCs/>
          <w:color w:val="auto"/>
          <w:kern w:val="0"/>
          <w:szCs w:val="21"/>
          <w:highlight w:val="none"/>
          <w:u w:val="single"/>
        </w:rPr>
        <w:t>：</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项目编号：</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一、质疑事项</w:t>
      </w:r>
      <w:r>
        <w:rPr>
          <w:rFonts w:ascii="ˎ̥" w:hAnsi="ˎ̥" w:cs="宋体"/>
          <w:color w:val="auto"/>
          <w:kern w:val="0"/>
          <w:szCs w:val="21"/>
          <w:highlight w:val="none"/>
        </w:rPr>
        <w:t>1</w:t>
      </w:r>
      <w:r>
        <w:rPr>
          <w:rFonts w:hint="eastAsia" w:ascii="ˎ̥" w:hAnsi="ˎ̥" w:cs="宋体"/>
          <w:color w:val="auto"/>
          <w:kern w:val="0"/>
          <w:szCs w:val="21"/>
          <w:highlight w:val="none"/>
        </w:rPr>
        <w:t>证明材料目录（证明材料附后，共</w:t>
      </w:r>
      <w:r>
        <w:rPr>
          <w:rFonts w:ascii="ˎ̥" w:hAnsi="ˎ̥" w:cs="宋体"/>
          <w:b/>
          <w:bCs/>
          <w:color w:val="auto"/>
          <w:kern w:val="0"/>
          <w:szCs w:val="21"/>
          <w:highlight w:val="none"/>
          <w:u w:val="single"/>
        </w:rPr>
        <w:t>     </w:t>
      </w:r>
      <w:r>
        <w:rPr>
          <w:rFonts w:hint="eastAsia" w:ascii="ˎ̥" w:hAnsi="ˎ̥" w:cs="宋体"/>
          <w:color w:val="auto"/>
          <w:kern w:val="0"/>
          <w:szCs w:val="21"/>
          <w:highlight w:val="none"/>
        </w:rPr>
        <w:t>页）</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b/>
          <w:bCs/>
          <w:color w:val="auto"/>
          <w:kern w:val="0"/>
          <w:szCs w:val="21"/>
          <w:highlight w:val="none"/>
        </w:rPr>
      </w:pP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二、质疑事项</w:t>
      </w:r>
      <w:r>
        <w:rPr>
          <w:rFonts w:ascii="ˎ̥" w:hAnsi="ˎ̥" w:cs="宋体"/>
          <w:color w:val="auto"/>
          <w:kern w:val="0"/>
          <w:szCs w:val="21"/>
          <w:highlight w:val="none"/>
        </w:rPr>
        <w:t>2</w:t>
      </w:r>
      <w:r>
        <w:rPr>
          <w:rFonts w:hint="eastAsia" w:ascii="ˎ̥" w:hAnsi="ˎ̥" w:cs="宋体"/>
          <w:color w:val="auto"/>
          <w:kern w:val="0"/>
          <w:szCs w:val="21"/>
          <w:highlight w:val="none"/>
        </w:rPr>
        <w:t>证明材料目录（证明材料附后，共</w:t>
      </w:r>
      <w:r>
        <w:rPr>
          <w:rFonts w:ascii="ˎ̥" w:hAnsi="ˎ̥" w:cs="宋体"/>
          <w:b/>
          <w:bCs/>
          <w:color w:val="auto"/>
          <w:kern w:val="0"/>
          <w:szCs w:val="21"/>
          <w:highlight w:val="none"/>
          <w:u w:val="single"/>
        </w:rPr>
        <w:t>     </w:t>
      </w:r>
      <w:r>
        <w:rPr>
          <w:rFonts w:hint="eastAsia" w:ascii="ˎ̥" w:hAnsi="ˎ̥" w:cs="宋体"/>
          <w:color w:val="auto"/>
          <w:kern w:val="0"/>
          <w:szCs w:val="21"/>
          <w:highlight w:val="none"/>
        </w:rPr>
        <w:t>页）</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ascii="ˎ̥" w:hAnsi="ˎ̥" w:cs="宋体"/>
          <w:b/>
          <w:bCs/>
          <w:color w:val="auto"/>
          <w:kern w:val="0"/>
          <w:szCs w:val="21"/>
          <w:highlight w:val="none"/>
        </w:rPr>
        <w:t>……</w:t>
      </w:r>
    </w:p>
    <w:p>
      <w:pPr>
        <w:shd w:val="clear" w:color="auto" w:fill="FFFFFF"/>
        <w:spacing w:line="260" w:lineRule="exact"/>
        <w:rPr>
          <w:rFonts w:ascii="ˎ̥" w:hAnsi="ˎ̥" w:cs="宋体"/>
          <w:color w:val="auto"/>
          <w:kern w:val="0"/>
          <w:szCs w:val="21"/>
          <w:highlight w:val="none"/>
        </w:rPr>
      </w:pPr>
      <w:r>
        <w:rPr>
          <w:rFonts w:ascii="ˎ̥" w:hAnsi="ˎ̥" w:cs="宋体"/>
          <w:b/>
          <w:bCs/>
          <w:color w:val="auto"/>
          <w:kern w:val="0"/>
          <w:szCs w:val="21"/>
          <w:highlight w:val="none"/>
        </w:rPr>
        <w:t>……</w:t>
      </w:r>
    </w:p>
    <w:p>
      <w:pPr>
        <w:widowControl/>
        <w:shd w:val="clear" w:color="auto" w:fill="FFFFFF"/>
        <w:spacing w:line="260" w:lineRule="exact"/>
        <w:jc w:val="left"/>
        <w:rPr>
          <w:color w:val="auto"/>
          <w:highlight w:val="none"/>
        </w:rPr>
      </w:pPr>
      <w:r>
        <w:rPr>
          <w:rFonts w:hint="eastAsia"/>
          <w:color w:val="auto"/>
          <w:highlight w:val="none"/>
        </w:rPr>
        <w:t>三、……</w:t>
      </w:r>
    </w:p>
    <w:p>
      <w:pPr>
        <w:widowControl/>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ind w:firstLine="3418" w:firstLineChars="1628"/>
        <w:rPr>
          <w:rFonts w:ascii="ˎ̥" w:hAnsi="ˎ̥" w:cs="宋体"/>
          <w:color w:val="auto"/>
          <w:kern w:val="0"/>
          <w:szCs w:val="21"/>
          <w:highlight w:val="none"/>
        </w:rPr>
      </w:pPr>
      <w:r>
        <w:rPr>
          <w:rFonts w:hint="eastAsia" w:ascii="ˎ̥" w:hAnsi="ˎ̥" w:cs="宋体"/>
          <w:color w:val="auto"/>
          <w:kern w:val="0"/>
          <w:szCs w:val="21"/>
          <w:highlight w:val="none"/>
        </w:rPr>
        <w:t>质疑供应商（公章）：</w:t>
      </w:r>
      <w:r>
        <w:rPr>
          <w:rFonts w:ascii="ˎ̥" w:hAnsi="ˎ̥" w:cs="宋体"/>
          <w:color w:val="auto"/>
          <w:kern w:val="0"/>
          <w:szCs w:val="21"/>
          <w:highlight w:val="none"/>
        </w:rPr>
        <w:t>           </w:t>
      </w:r>
    </w:p>
    <w:p>
      <w:pPr>
        <w:widowControl/>
        <w:shd w:val="clear" w:color="auto" w:fill="FFFFFF"/>
        <w:spacing w:line="260" w:lineRule="exact"/>
        <w:ind w:firstLine="3418" w:firstLineChars="1628"/>
        <w:rPr>
          <w:rFonts w:ascii="ˎ̥" w:hAnsi="ˎ̥" w:cs="宋体"/>
          <w:color w:val="auto"/>
          <w:kern w:val="0"/>
          <w:szCs w:val="21"/>
          <w:highlight w:val="none"/>
        </w:rPr>
      </w:pPr>
    </w:p>
    <w:p>
      <w:pPr>
        <w:widowControl/>
        <w:shd w:val="clear" w:color="auto" w:fill="FFFFFF"/>
        <w:spacing w:line="260" w:lineRule="exact"/>
        <w:ind w:firstLine="3418" w:firstLineChars="1628"/>
        <w:rPr>
          <w:rFonts w:ascii="ˎ̥" w:hAnsi="ˎ̥" w:cs="宋体"/>
          <w:color w:val="auto"/>
          <w:kern w:val="0"/>
          <w:szCs w:val="21"/>
          <w:highlight w:val="none"/>
        </w:rPr>
      </w:pPr>
      <w:r>
        <w:rPr>
          <w:rFonts w:hint="eastAsia" w:ascii="ˎ̥" w:hAnsi="ˎ̥" w:cs="宋体"/>
          <w:color w:val="auto"/>
          <w:kern w:val="0"/>
          <w:szCs w:val="21"/>
          <w:highlight w:val="none"/>
        </w:rPr>
        <w:t>提起质疑的日期：</w:t>
      </w:r>
      <w:r>
        <w:rPr>
          <w:rFonts w:ascii="ˎ̥" w:hAnsi="ˎ̥" w:cs="宋体"/>
          <w:color w:val="auto"/>
          <w:kern w:val="0"/>
          <w:szCs w:val="21"/>
          <w:highlight w:val="none"/>
        </w:rPr>
        <w:t xml:space="preserve">     </w:t>
      </w:r>
      <w:r>
        <w:rPr>
          <w:rFonts w:hint="eastAsia" w:ascii="ˎ̥" w:hAnsi="ˎ̥" w:cs="宋体"/>
          <w:color w:val="auto"/>
          <w:kern w:val="0"/>
          <w:szCs w:val="21"/>
          <w:highlight w:val="none"/>
        </w:rPr>
        <w:t>年</w:t>
      </w:r>
      <w:r>
        <w:rPr>
          <w:rFonts w:ascii="ˎ̥" w:hAnsi="ˎ̥" w:cs="宋体"/>
          <w:color w:val="auto"/>
          <w:kern w:val="0"/>
          <w:szCs w:val="21"/>
          <w:highlight w:val="none"/>
        </w:rPr>
        <w:t xml:space="preserve">   </w:t>
      </w:r>
      <w:r>
        <w:rPr>
          <w:rFonts w:hint="eastAsia" w:ascii="ˎ̥" w:hAnsi="ˎ̥" w:cs="宋体"/>
          <w:color w:val="auto"/>
          <w:kern w:val="0"/>
          <w:szCs w:val="21"/>
          <w:highlight w:val="none"/>
        </w:rPr>
        <w:t>月</w:t>
      </w:r>
      <w:r>
        <w:rPr>
          <w:rFonts w:ascii="ˎ̥" w:hAnsi="ˎ̥" w:cs="宋体"/>
          <w:color w:val="auto"/>
          <w:kern w:val="0"/>
          <w:szCs w:val="21"/>
          <w:highlight w:val="none"/>
        </w:rPr>
        <w:t xml:space="preserve">   </w:t>
      </w:r>
      <w:r>
        <w:rPr>
          <w:rFonts w:hint="eastAsia" w:ascii="ˎ̥" w:hAnsi="ˎ̥" w:cs="宋体"/>
          <w:color w:val="auto"/>
          <w:kern w:val="0"/>
          <w:szCs w:val="21"/>
          <w:highlight w:val="none"/>
        </w:rPr>
        <w:t>日</w:t>
      </w:r>
    </w:p>
    <w:p>
      <w:pPr>
        <w:widowControl/>
        <w:shd w:val="clear" w:color="auto" w:fill="FFFFFF"/>
        <w:spacing w:line="260" w:lineRule="exact"/>
        <w:jc w:val="left"/>
        <w:rPr>
          <w:color w:val="auto"/>
          <w:highlight w:val="none"/>
        </w:rPr>
      </w:pPr>
    </w:p>
    <w:p>
      <w:pPr>
        <w:widowControl/>
        <w:shd w:val="clear" w:color="auto" w:fill="FFFFFF"/>
        <w:spacing w:line="260" w:lineRule="exact"/>
        <w:jc w:val="left"/>
        <w:rPr>
          <w:color w:val="auto"/>
          <w:highlight w:val="none"/>
        </w:rPr>
      </w:pPr>
      <w:r>
        <w:rPr>
          <w:rFonts w:hint="eastAsia"/>
          <w:color w:val="auto"/>
          <w:highlight w:val="none"/>
        </w:rPr>
        <w:t>（后附</w:t>
      </w:r>
      <w:r>
        <w:rPr>
          <w:rFonts w:hint="eastAsia" w:ascii="ˎ̥" w:hAnsi="ˎ̥" w:cs="宋体"/>
          <w:color w:val="auto"/>
          <w:kern w:val="0"/>
          <w:szCs w:val="21"/>
          <w:highlight w:val="none"/>
        </w:rPr>
        <w:t>质疑事项</w:t>
      </w:r>
      <w:r>
        <w:rPr>
          <w:rFonts w:hint="eastAsia"/>
          <w:color w:val="auto"/>
          <w:highlight w:val="none"/>
        </w:rPr>
        <w:t>证明材料的具体文件）</w:t>
      </w:r>
    </w:p>
    <w:p>
      <w:pPr>
        <w:pStyle w:val="14"/>
        <w:spacing w:line="360" w:lineRule="auto"/>
        <w:rPr>
          <w:rFonts w:hint="eastAsia" w:hAnsi="宋体"/>
          <w:color w:val="auto"/>
          <w:highlight w:val="none"/>
        </w:rPr>
      </w:pPr>
    </w:p>
    <w:p>
      <w:pPr>
        <w:pStyle w:val="14"/>
        <w:spacing w:line="360" w:lineRule="auto"/>
        <w:rPr>
          <w:rFonts w:hint="eastAsia" w:hAnsi="宋体"/>
          <w:color w:val="auto"/>
          <w:highlight w:val="none"/>
        </w:rPr>
      </w:pPr>
    </w:p>
    <w:p>
      <w:pPr>
        <w:pStyle w:val="14"/>
        <w:spacing w:line="360" w:lineRule="auto"/>
        <w:rPr>
          <w:rFonts w:hAnsi="宋体"/>
          <w:color w:val="auto"/>
          <w:highlight w:val="none"/>
        </w:rPr>
      </w:pPr>
    </w:p>
    <w:p>
      <w:pPr>
        <w:pStyle w:val="2"/>
      </w:pPr>
    </w:p>
    <w:p>
      <w:pPr>
        <w:pStyle w:val="2"/>
      </w:pPr>
    </w:p>
    <w:p>
      <w:pPr>
        <w:pStyle w:val="2"/>
      </w:pPr>
    </w:p>
    <w:p>
      <w:pPr>
        <w:pStyle w:val="2"/>
      </w:pPr>
    </w:p>
    <w:p>
      <w:pPr>
        <w:pStyle w:val="2"/>
      </w:pPr>
    </w:p>
    <w:p>
      <w:pPr>
        <w:pStyle w:val="2"/>
      </w:pPr>
    </w:p>
    <w:p>
      <w:pPr>
        <w:pStyle w:val="2"/>
      </w:pPr>
    </w:p>
    <w:sectPr>
      <w:headerReference r:id="rId6" w:type="default"/>
      <w:footerReference r:id="rId7" w:type="default"/>
      <w:pgSz w:w="11906" w:h="16838"/>
      <w:pgMar w:top="1440" w:right="1080" w:bottom="1440" w:left="1080"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康简魏碑">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9pbLgBAABU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p9pbLgBAABUAwAADgAAAAAAAAABACAAAAAeAQAAZHJzL2Uyb0RvYy54bWxQSwUGAAAAAAYABgBZ&#10;AQAASAU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0"/>
        <w:tab w:val="left" w:pos="7791"/>
        <w:tab w:val="clear" w:pos="4153"/>
        <w:tab w:val="clear" w:pos="8306"/>
      </w:tabs>
      <w:jc w:val="both"/>
      <w:rPr>
        <w:rFonts w:hint="eastAsia"/>
        <w:b w:val="0"/>
        <w:bCs w:val="0"/>
        <w:color w:val="auto"/>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wordWrap w:val="0"/>
      <w:snapToGrid w:val="0"/>
      <w:spacing w:line="320" w:lineRule="exact"/>
      <w:jc w:val="left"/>
      <w:rPr>
        <w:rFonts w:ascii="宋体" w:hAnsi="宋体" w:cs="宋体"/>
        <w:b/>
        <w:color w:val="000000"/>
        <w:kern w:val="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B4E1C"/>
    <w:multiLevelType w:val="singleLevel"/>
    <w:tmpl w:val="8D7B4E1C"/>
    <w:lvl w:ilvl="0" w:tentative="0">
      <w:start w:val="6"/>
      <w:numFmt w:val="chineseCounting"/>
      <w:suff w:val="nothing"/>
      <w:lvlText w:val="%1、"/>
      <w:lvlJc w:val="left"/>
      <w:rPr>
        <w:rFonts w:hint="eastAsia"/>
      </w:rPr>
    </w:lvl>
  </w:abstractNum>
  <w:abstractNum w:abstractNumId="1">
    <w:nsid w:val="AD1C1F39"/>
    <w:multiLevelType w:val="singleLevel"/>
    <w:tmpl w:val="AD1C1F39"/>
    <w:lvl w:ilvl="0" w:tentative="0">
      <w:start w:val="3"/>
      <w:numFmt w:val="chineseCounting"/>
      <w:suff w:val="space"/>
      <w:lvlText w:val="第%1章"/>
      <w:lvlJc w:val="left"/>
      <w:rPr>
        <w:rFonts w:hint="eastAsia"/>
      </w:rPr>
    </w:lvl>
  </w:abstractNum>
  <w:abstractNum w:abstractNumId="2">
    <w:nsid w:val="C500AA6C"/>
    <w:multiLevelType w:val="singleLevel"/>
    <w:tmpl w:val="C500AA6C"/>
    <w:lvl w:ilvl="0" w:tentative="0">
      <w:start w:val="30"/>
      <w:numFmt w:val="decimal"/>
      <w:suff w:val="space"/>
      <w:lvlText w:val="%1."/>
      <w:lvlJc w:val="left"/>
    </w:lvl>
  </w:abstractNum>
  <w:abstractNum w:abstractNumId="3">
    <w:nsid w:val="00000002"/>
    <w:multiLevelType w:val="multilevel"/>
    <w:tmpl w:val="00000002"/>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4">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pStyle w:val="5"/>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3E3BF457"/>
    <w:multiLevelType w:val="singleLevel"/>
    <w:tmpl w:val="3E3BF457"/>
    <w:lvl w:ilvl="0" w:tentative="0">
      <w:start w:val="1"/>
      <w:numFmt w:val="chineseCounting"/>
      <w:suff w:val="nothing"/>
      <w:lvlText w:val="%1、"/>
      <w:lvlJc w:val="left"/>
      <w:rPr>
        <w:rFonts w:hint="eastAsia"/>
      </w:rPr>
    </w:lvl>
  </w:abstractNum>
  <w:abstractNum w:abstractNumId="8">
    <w:nsid w:val="562339E0"/>
    <w:multiLevelType w:val="multilevel"/>
    <w:tmpl w:val="562339E0"/>
    <w:lvl w:ilvl="0" w:tentative="0">
      <w:start w:val="1"/>
      <w:numFmt w:val="chineseCountingThousand"/>
      <w:pStyle w:val="68"/>
      <w:suff w:val="nothing"/>
      <w:lvlText w:val="%1、"/>
      <w:lvlJc w:val="left"/>
      <w:pPr>
        <w:ind w:left="0" w:firstLine="0"/>
      </w:pPr>
      <w:rPr>
        <w:rFonts w:hint="eastAsia" w:eastAsia="楷体_GB2312"/>
        <w:b/>
        <w:i w:val="0"/>
        <w:sz w:val="32"/>
        <w:szCs w:val="32"/>
      </w:rPr>
    </w:lvl>
    <w:lvl w:ilvl="1" w:tentative="0">
      <w:start w:val="1"/>
      <w:numFmt w:val="decimal"/>
      <w:isLgl/>
      <w:suff w:val="space"/>
      <w:lvlText w:val="%1.%2 "/>
      <w:lvlJc w:val="left"/>
      <w:pPr>
        <w:ind w:left="0" w:firstLine="0"/>
      </w:pPr>
      <w:rPr>
        <w:rFonts w:hint="eastAsia" w:eastAsia="黑体"/>
        <w:b/>
        <w:i w:val="0"/>
        <w:sz w:val="30"/>
        <w:szCs w:val="30"/>
      </w:rPr>
    </w:lvl>
    <w:lvl w:ilvl="2" w:tentative="0">
      <w:start w:val="1"/>
      <w:numFmt w:val="decimal"/>
      <w:isLgl/>
      <w:suff w:val="space"/>
      <w:lvlText w:val="%1.%2.%3 "/>
      <w:lvlJc w:val="left"/>
      <w:pPr>
        <w:ind w:left="0" w:firstLine="0"/>
      </w:pPr>
      <w:rPr>
        <w:rFonts w:hint="eastAsia" w:eastAsia="黑体"/>
        <w:b/>
        <w:i w:val="0"/>
        <w:spacing w:val="-20"/>
        <w:sz w:val="30"/>
        <w:szCs w:val="30"/>
      </w:rPr>
    </w:lvl>
    <w:lvl w:ilvl="3" w:tentative="0">
      <w:start w:val="1"/>
      <w:numFmt w:val="decimal"/>
      <w:isLgl/>
      <w:suff w:val="space"/>
      <w:lvlText w:val="%1.%2.%3.%4 "/>
      <w:lvlJc w:val="left"/>
      <w:pPr>
        <w:ind w:left="0" w:firstLine="0"/>
      </w:pPr>
      <w:rPr>
        <w:rFonts w:hint="eastAsia"/>
      </w:rPr>
    </w:lvl>
    <w:lvl w:ilvl="4" w:tentative="0">
      <w:start w:val="1"/>
      <w:numFmt w:val="none"/>
      <w:suff w:val="nothing"/>
      <w:lvlText w:val=""/>
      <w:lvlJc w:val="left"/>
      <w:pPr>
        <w:ind w:left="-425" w:firstLine="0"/>
      </w:pPr>
      <w:rPr>
        <w:rFonts w:hint="eastAsia"/>
      </w:rPr>
    </w:lvl>
    <w:lvl w:ilvl="5" w:tentative="0">
      <w:start w:val="1"/>
      <w:numFmt w:val="none"/>
      <w:suff w:val="nothing"/>
      <w:lvlText w:val=""/>
      <w:lvlJc w:val="left"/>
      <w:pPr>
        <w:ind w:left="-425" w:firstLine="0"/>
      </w:pPr>
      <w:rPr>
        <w:rFonts w:hint="eastAsia"/>
      </w:rPr>
    </w:lvl>
    <w:lvl w:ilvl="6" w:tentative="0">
      <w:start w:val="1"/>
      <w:numFmt w:val="none"/>
      <w:suff w:val="nothing"/>
      <w:lvlText w:val=""/>
      <w:lvlJc w:val="left"/>
      <w:pPr>
        <w:ind w:left="-425" w:firstLine="0"/>
      </w:pPr>
      <w:rPr>
        <w:rFonts w:hint="eastAsia"/>
      </w:rPr>
    </w:lvl>
    <w:lvl w:ilvl="7" w:tentative="0">
      <w:start w:val="1"/>
      <w:numFmt w:val="none"/>
      <w:suff w:val="nothing"/>
      <w:lvlText w:val=""/>
      <w:lvlJc w:val="left"/>
      <w:pPr>
        <w:ind w:left="-425" w:firstLine="0"/>
      </w:pPr>
      <w:rPr>
        <w:rFonts w:hint="eastAsia"/>
      </w:rPr>
    </w:lvl>
    <w:lvl w:ilvl="8" w:tentative="0">
      <w:start w:val="1"/>
      <w:numFmt w:val="decimal"/>
      <w:pStyle w:val="9"/>
      <w:isLgl/>
      <w:suff w:val="nothing"/>
      <w:lvlText w:val="%9、"/>
      <w:lvlJc w:val="left"/>
      <w:pPr>
        <w:ind w:left="567" w:firstLine="0"/>
      </w:pPr>
      <w:rPr>
        <w:rFonts w:hint="eastAsia"/>
      </w:rPr>
    </w:lvl>
  </w:abstractNum>
  <w:num w:numId="1">
    <w:abstractNumId w:val="6"/>
  </w:num>
  <w:num w:numId="2">
    <w:abstractNumId w:val="8"/>
  </w:num>
  <w:num w:numId="3">
    <w:abstractNumId w:val="0"/>
  </w:num>
  <w:num w:numId="4">
    <w:abstractNumId w:val="7"/>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51"/>
    <w:rsid w:val="00002891"/>
    <w:rsid w:val="000029CE"/>
    <w:rsid w:val="0000306C"/>
    <w:rsid w:val="000053D8"/>
    <w:rsid w:val="00005A61"/>
    <w:rsid w:val="000119C6"/>
    <w:rsid w:val="00031F30"/>
    <w:rsid w:val="00033EED"/>
    <w:rsid w:val="00040A61"/>
    <w:rsid w:val="0004476A"/>
    <w:rsid w:val="00050A5D"/>
    <w:rsid w:val="00053C1E"/>
    <w:rsid w:val="00075428"/>
    <w:rsid w:val="0008055C"/>
    <w:rsid w:val="00090C56"/>
    <w:rsid w:val="0009208F"/>
    <w:rsid w:val="000967DF"/>
    <w:rsid w:val="000B4AE7"/>
    <w:rsid w:val="000C05B6"/>
    <w:rsid w:val="000D1E88"/>
    <w:rsid w:val="000D5797"/>
    <w:rsid w:val="000D68F7"/>
    <w:rsid w:val="000D7AF4"/>
    <w:rsid w:val="000E3999"/>
    <w:rsid w:val="000E6A36"/>
    <w:rsid w:val="00100E5E"/>
    <w:rsid w:val="00103A98"/>
    <w:rsid w:val="001052B6"/>
    <w:rsid w:val="00107474"/>
    <w:rsid w:val="00110CF9"/>
    <w:rsid w:val="0012070E"/>
    <w:rsid w:val="00122B0A"/>
    <w:rsid w:val="00122ED6"/>
    <w:rsid w:val="001272FB"/>
    <w:rsid w:val="00127F74"/>
    <w:rsid w:val="0013612C"/>
    <w:rsid w:val="001464C6"/>
    <w:rsid w:val="00154E10"/>
    <w:rsid w:val="0016414B"/>
    <w:rsid w:val="00167FFB"/>
    <w:rsid w:val="00170568"/>
    <w:rsid w:val="0017082D"/>
    <w:rsid w:val="00177B94"/>
    <w:rsid w:val="0018160C"/>
    <w:rsid w:val="001830E8"/>
    <w:rsid w:val="00183A03"/>
    <w:rsid w:val="00186E64"/>
    <w:rsid w:val="0019241D"/>
    <w:rsid w:val="00196ABE"/>
    <w:rsid w:val="00196E1F"/>
    <w:rsid w:val="00196F74"/>
    <w:rsid w:val="001B3F9A"/>
    <w:rsid w:val="001C55BF"/>
    <w:rsid w:val="001C6701"/>
    <w:rsid w:val="001D203C"/>
    <w:rsid w:val="001E5942"/>
    <w:rsid w:val="001E6763"/>
    <w:rsid w:val="001F01EE"/>
    <w:rsid w:val="001F77B1"/>
    <w:rsid w:val="00200D91"/>
    <w:rsid w:val="0020785D"/>
    <w:rsid w:val="00223F78"/>
    <w:rsid w:val="002324E3"/>
    <w:rsid w:val="00234A9E"/>
    <w:rsid w:val="00237903"/>
    <w:rsid w:val="00237C0C"/>
    <w:rsid w:val="00240035"/>
    <w:rsid w:val="00244E57"/>
    <w:rsid w:val="00256329"/>
    <w:rsid w:val="00256AE5"/>
    <w:rsid w:val="002636E6"/>
    <w:rsid w:val="0026399D"/>
    <w:rsid w:val="002815EB"/>
    <w:rsid w:val="002972D6"/>
    <w:rsid w:val="002A18EF"/>
    <w:rsid w:val="002B108C"/>
    <w:rsid w:val="002C1108"/>
    <w:rsid w:val="002C17A3"/>
    <w:rsid w:val="002C59BC"/>
    <w:rsid w:val="002E04F9"/>
    <w:rsid w:val="002E2D0B"/>
    <w:rsid w:val="002F6F7E"/>
    <w:rsid w:val="003026FF"/>
    <w:rsid w:val="00305059"/>
    <w:rsid w:val="003223D7"/>
    <w:rsid w:val="00330846"/>
    <w:rsid w:val="0033375D"/>
    <w:rsid w:val="00347DF5"/>
    <w:rsid w:val="00347F7F"/>
    <w:rsid w:val="00363648"/>
    <w:rsid w:val="00371D02"/>
    <w:rsid w:val="0037338E"/>
    <w:rsid w:val="003813BB"/>
    <w:rsid w:val="003836E9"/>
    <w:rsid w:val="00385650"/>
    <w:rsid w:val="00397BBF"/>
    <w:rsid w:val="003A42A4"/>
    <w:rsid w:val="003B63F0"/>
    <w:rsid w:val="003C4AE5"/>
    <w:rsid w:val="003D0DBB"/>
    <w:rsid w:val="003E0D97"/>
    <w:rsid w:val="003E6C6E"/>
    <w:rsid w:val="004077F4"/>
    <w:rsid w:val="00410BE2"/>
    <w:rsid w:val="0042239A"/>
    <w:rsid w:val="00424F4F"/>
    <w:rsid w:val="004314B0"/>
    <w:rsid w:val="00431E41"/>
    <w:rsid w:val="00433CFC"/>
    <w:rsid w:val="00433EC4"/>
    <w:rsid w:val="004420BD"/>
    <w:rsid w:val="00442840"/>
    <w:rsid w:val="00455014"/>
    <w:rsid w:val="00457121"/>
    <w:rsid w:val="00464D09"/>
    <w:rsid w:val="00471324"/>
    <w:rsid w:val="0047153C"/>
    <w:rsid w:val="004718E7"/>
    <w:rsid w:val="0047197A"/>
    <w:rsid w:val="00485F53"/>
    <w:rsid w:val="004915F7"/>
    <w:rsid w:val="0049466D"/>
    <w:rsid w:val="004A0DE0"/>
    <w:rsid w:val="004A538D"/>
    <w:rsid w:val="004A7FE8"/>
    <w:rsid w:val="004B368D"/>
    <w:rsid w:val="004B502F"/>
    <w:rsid w:val="004C0B5E"/>
    <w:rsid w:val="004C72E9"/>
    <w:rsid w:val="004D2C72"/>
    <w:rsid w:val="004D2DB3"/>
    <w:rsid w:val="004E2BE1"/>
    <w:rsid w:val="004E4150"/>
    <w:rsid w:val="004F4CD8"/>
    <w:rsid w:val="004F71B2"/>
    <w:rsid w:val="00510444"/>
    <w:rsid w:val="00510B58"/>
    <w:rsid w:val="00512942"/>
    <w:rsid w:val="0053673D"/>
    <w:rsid w:val="0054665E"/>
    <w:rsid w:val="00554A8D"/>
    <w:rsid w:val="00560B54"/>
    <w:rsid w:val="005621D5"/>
    <w:rsid w:val="00565CD1"/>
    <w:rsid w:val="00575710"/>
    <w:rsid w:val="00583AE3"/>
    <w:rsid w:val="00585FCE"/>
    <w:rsid w:val="005862E5"/>
    <w:rsid w:val="005943B7"/>
    <w:rsid w:val="005B1E2E"/>
    <w:rsid w:val="005C4864"/>
    <w:rsid w:val="005C7683"/>
    <w:rsid w:val="005D53DA"/>
    <w:rsid w:val="005F1424"/>
    <w:rsid w:val="005F69BF"/>
    <w:rsid w:val="005F7EE1"/>
    <w:rsid w:val="00612185"/>
    <w:rsid w:val="00612ACB"/>
    <w:rsid w:val="0063129B"/>
    <w:rsid w:val="0063504D"/>
    <w:rsid w:val="006450FD"/>
    <w:rsid w:val="00647D08"/>
    <w:rsid w:val="00654EE9"/>
    <w:rsid w:val="0066528C"/>
    <w:rsid w:val="0067294F"/>
    <w:rsid w:val="00674C03"/>
    <w:rsid w:val="006827BE"/>
    <w:rsid w:val="00683022"/>
    <w:rsid w:val="006A640D"/>
    <w:rsid w:val="006A6A57"/>
    <w:rsid w:val="006B3703"/>
    <w:rsid w:val="006C6B11"/>
    <w:rsid w:val="006C6C68"/>
    <w:rsid w:val="006C7A08"/>
    <w:rsid w:val="006E5F45"/>
    <w:rsid w:val="006F497A"/>
    <w:rsid w:val="006F524A"/>
    <w:rsid w:val="006F6822"/>
    <w:rsid w:val="00703725"/>
    <w:rsid w:val="007039EE"/>
    <w:rsid w:val="00711C24"/>
    <w:rsid w:val="00720902"/>
    <w:rsid w:val="0072550D"/>
    <w:rsid w:val="0073009A"/>
    <w:rsid w:val="0073302F"/>
    <w:rsid w:val="00736D0A"/>
    <w:rsid w:val="007439BE"/>
    <w:rsid w:val="00744A0F"/>
    <w:rsid w:val="00750C17"/>
    <w:rsid w:val="007518CD"/>
    <w:rsid w:val="007666D1"/>
    <w:rsid w:val="00785F52"/>
    <w:rsid w:val="00793FF6"/>
    <w:rsid w:val="007A074C"/>
    <w:rsid w:val="007A54F5"/>
    <w:rsid w:val="007B5E51"/>
    <w:rsid w:val="007B74F2"/>
    <w:rsid w:val="007C7E35"/>
    <w:rsid w:val="007D26EC"/>
    <w:rsid w:val="007E38F4"/>
    <w:rsid w:val="007E797E"/>
    <w:rsid w:val="007E7C67"/>
    <w:rsid w:val="008236B1"/>
    <w:rsid w:val="008340F6"/>
    <w:rsid w:val="00856D2E"/>
    <w:rsid w:val="00862B74"/>
    <w:rsid w:val="00865E0E"/>
    <w:rsid w:val="00866D68"/>
    <w:rsid w:val="008835B5"/>
    <w:rsid w:val="008917E0"/>
    <w:rsid w:val="00892083"/>
    <w:rsid w:val="008A116F"/>
    <w:rsid w:val="008A2ACD"/>
    <w:rsid w:val="008B0545"/>
    <w:rsid w:val="008B0911"/>
    <w:rsid w:val="008B7893"/>
    <w:rsid w:val="008C0EF4"/>
    <w:rsid w:val="008C5DBB"/>
    <w:rsid w:val="008C7594"/>
    <w:rsid w:val="008C7DA7"/>
    <w:rsid w:val="008E7E73"/>
    <w:rsid w:val="008F0AF5"/>
    <w:rsid w:val="008F7D88"/>
    <w:rsid w:val="008F7FDA"/>
    <w:rsid w:val="00914AF0"/>
    <w:rsid w:val="00917ECC"/>
    <w:rsid w:val="00923BDB"/>
    <w:rsid w:val="009308EF"/>
    <w:rsid w:val="0093655F"/>
    <w:rsid w:val="00952599"/>
    <w:rsid w:val="00953877"/>
    <w:rsid w:val="0095637B"/>
    <w:rsid w:val="00961426"/>
    <w:rsid w:val="00965ACF"/>
    <w:rsid w:val="00967D18"/>
    <w:rsid w:val="00970EEE"/>
    <w:rsid w:val="009745AB"/>
    <w:rsid w:val="00975F84"/>
    <w:rsid w:val="009934CA"/>
    <w:rsid w:val="009A2E6E"/>
    <w:rsid w:val="009B3F18"/>
    <w:rsid w:val="009C20D1"/>
    <w:rsid w:val="009C5BF1"/>
    <w:rsid w:val="009D06A8"/>
    <w:rsid w:val="009D4AFF"/>
    <w:rsid w:val="009D72E8"/>
    <w:rsid w:val="009D7C64"/>
    <w:rsid w:val="009E3568"/>
    <w:rsid w:val="009E4AF1"/>
    <w:rsid w:val="009E7FF7"/>
    <w:rsid w:val="009F2089"/>
    <w:rsid w:val="00A25ACB"/>
    <w:rsid w:val="00A372DC"/>
    <w:rsid w:val="00A46308"/>
    <w:rsid w:val="00A616B4"/>
    <w:rsid w:val="00A636C0"/>
    <w:rsid w:val="00A67281"/>
    <w:rsid w:val="00A67B3E"/>
    <w:rsid w:val="00A83642"/>
    <w:rsid w:val="00A8472A"/>
    <w:rsid w:val="00A84AE2"/>
    <w:rsid w:val="00A853C8"/>
    <w:rsid w:val="00A85AA7"/>
    <w:rsid w:val="00A91750"/>
    <w:rsid w:val="00A936D5"/>
    <w:rsid w:val="00A94E2A"/>
    <w:rsid w:val="00A970CE"/>
    <w:rsid w:val="00A9723C"/>
    <w:rsid w:val="00A97956"/>
    <w:rsid w:val="00AA5A7B"/>
    <w:rsid w:val="00AA5CA5"/>
    <w:rsid w:val="00AB4AED"/>
    <w:rsid w:val="00AB5889"/>
    <w:rsid w:val="00AC65E2"/>
    <w:rsid w:val="00AD2694"/>
    <w:rsid w:val="00AE6D08"/>
    <w:rsid w:val="00AE6FA6"/>
    <w:rsid w:val="00B00D3E"/>
    <w:rsid w:val="00B16ABC"/>
    <w:rsid w:val="00B16F3B"/>
    <w:rsid w:val="00B247D0"/>
    <w:rsid w:val="00B252F6"/>
    <w:rsid w:val="00B42890"/>
    <w:rsid w:val="00B455F7"/>
    <w:rsid w:val="00B54A90"/>
    <w:rsid w:val="00B66B28"/>
    <w:rsid w:val="00B72475"/>
    <w:rsid w:val="00B8540F"/>
    <w:rsid w:val="00B87790"/>
    <w:rsid w:val="00B944F9"/>
    <w:rsid w:val="00BA53C4"/>
    <w:rsid w:val="00BA6E06"/>
    <w:rsid w:val="00BB657F"/>
    <w:rsid w:val="00BC766B"/>
    <w:rsid w:val="00BD4F83"/>
    <w:rsid w:val="00BE4070"/>
    <w:rsid w:val="00BE72F8"/>
    <w:rsid w:val="00BF7F19"/>
    <w:rsid w:val="00C14568"/>
    <w:rsid w:val="00C150F2"/>
    <w:rsid w:val="00C37707"/>
    <w:rsid w:val="00C4381D"/>
    <w:rsid w:val="00C51BCA"/>
    <w:rsid w:val="00C6202A"/>
    <w:rsid w:val="00C710A7"/>
    <w:rsid w:val="00C87251"/>
    <w:rsid w:val="00C95673"/>
    <w:rsid w:val="00C968AB"/>
    <w:rsid w:val="00CC2458"/>
    <w:rsid w:val="00CC36DE"/>
    <w:rsid w:val="00CC5CFA"/>
    <w:rsid w:val="00CD57A1"/>
    <w:rsid w:val="00CE302A"/>
    <w:rsid w:val="00CF52C9"/>
    <w:rsid w:val="00CF7622"/>
    <w:rsid w:val="00D24ED2"/>
    <w:rsid w:val="00D50AF1"/>
    <w:rsid w:val="00D573A4"/>
    <w:rsid w:val="00D61A99"/>
    <w:rsid w:val="00D70591"/>
    <w:rsid w:val="00D754C4"/>
    <w:rsid w:val="00D76968"/>
    <w:rsid w:val="00D7758B"/>
    <w:rsid w:val="00DB2DA3"/>
    <w:rsid w:val="00DB487D"/>
    <w:rsid w:val="00DB4DD4"/>
    <w:rsid w:val="00DC0A03"/>
    <w:rsid w:val="00DC346A"/>
    <w:rsid w:val="00DC62BB"/>
    <w:rsid w:val="00DC695C"/>
    <w:rsid w:val="00DE3670"/>
    <w:rsid w:val="00DE46B4"/>
    <w:rsid w:val="00DF298A"/>
    <w:rsid w:val="00E06093"/>
    <w:rsid w:val="00E15669"/>
    <w:rsid w:val="00E16C3A"/>
    <w:rsid w:val="00E27599"/>
    <w:rsid w:val="00E27BF4"/>
    <w:rsid w:val="00E357AD"/>
    <w:rsid w:val="00E36730"/>
    <w:rsid w:val="00E40FEC"/>
    <w:rsid w:val="00E42D0A"/>
    <w:rsid w:val="00E44764"/>
    <w:rsid w:val="00E53B41"/>
    <w:rsid w:val="00E56B9C"/>
    <w:rsid w:val="00E74651"/>
    <w:rsid w:val="00E80266"/>
    <w:rsid w:val="00E867F3"/>
    <w:rsid w:val="00EB4468"/>
    <w:rsid w:val="00EB60E3"/>
    <w:rsid w:val="00EB6F52"/>
    <w:rsid w:val="00EC3720"/>
    <w:rsid w:val="00ED2795"/>
    <w:rsid w:val="00ED305D"/>
    <w:rsid w:val="00ED7446"/>
    <w:rsid w:val="00EE1A69"/>
    <w:rsid w:val="00EE4D28"/>
    <w:rsid w:val="00EE545C"/>
    <w:rsid w:val="00EF6962"/>
    <w:rsid w:val="00EF6CE8"/>
    <w:rsid w:val="00F01CF6"/>
    <w:rsid w:val="00F02B50"/>
    <w:rsid w:val="00F04404"/>
    <w:rsid w:val="00F157F8"/>
    <w:rsid w:val="00F21FB8"/>
    <w:rsid w:val="00F2502A"/>
    <w:rsid w:val="00F44907"/>
    <w:rsid w:val="00F61FDC"/>
    <w:rsid w:val="00F62BE1"/>
    <w:rsid w:val="00F70056"/>
    <w:rsid w:val="00F72637"/>
    <w:rsid w:val="00F77A8A"/>
    <w:rsid w:val="00F864CF"/>
    <w:rsid w:val="00F92D10"/>
    <w:rsid w:val="00F95C45"/>
    <w:rsid w:val="00FA132E"/>
    <w:rsid w:val="00FA2591"/>
    <w:rsid w:val="00FA456D"/>
    <w:rsid w:val="00FA689D"/>
    <w:rsid w:val="00FB57EB"/>
    <w:rsid w:val="00FC1E08"/>
    <w:rsid w:val="00FC7257"/>
    <w:rsid w:val="00FF5DB0"/>
    <w:rsid w:val="00FF7D11"/>
    <w:rsid w:val="00FF7D94"/>
    <w:rsid w:val="012F0140"/>
    <w:rsid w:val="01720405"/>
    <w:rsid w:val="017F37EE"/>
    <w:rsid w:val="02244D88"/>
    <w:rsid w:val="02934BB5"/>
    <w:rsid w:val="02BA4FDB"/>
    <w:rsid w:val="02D534BB"/>
    <w:rsid w:val="02FF5853"/>
    <w:rsid w:val="033755AF"/>
    <w:rsid w:val="03451A0C"/>
    <w:rsid w:val="03B25BEA"/>
    <w:rsid w:val="044E43C7"/>
    <w:rsid w:val="044E5381"/>
    <w:rsid w:val="04651698"/>
    <w:rsid w:val="04775D5F"/>
    <w:rsid w:val="04BF62F2"/>
    <w:rsid w:val="0543529D"/>
    <w:rsid w:val="055B24EA"/>
    <w:rsid w:val="0608658A"/>
    <w:rsid w:val="0663041A"/>
    <w:rsid w:val="067D0CC6"/>
    <w:rsid w:val="06952C9A"/>
    <w:rsid w:val="06A52070"/>
    <w:rsid w:val="06AC4819"/>
    <w:rsid w:val="06CA0424"/>
    <w:rsid w:val="06DA1075"/>
    <w:rsid w:val="06E94ECA"/>
    <w:rsid w:val="07080FC4"/>
    <w:rsid w:val="072340D7"/>
    <w:rsid w:val="07793B45"/>
    <w:rsid w:val="07826873"/>
    <w:rsid w:val="07B375C3"/>
    <w:rsid w:val="07E829E8"/>
    <w:rsid w:val="0815060D"/>
    <w:rsid w:val="081939AB"/>
    <w:rsid w:val="083565D2"/>
    <w:rsid w:val="085237EC"/>
    <w:rsid w:val="08645B99"/>
    <w:rsid w:val="087D0D06"/>
    <w:rsid w:val="08DB1E81"/>
    <w:rsid w:val="09AA47B2"/>
    <w:rsid w:val="0A2D6AC3"/>
    <w:rsid w:val="0A5D62CA"/>
    <w:rsid w:val="0A631C4D"/>
    <w:rsid w:val="0A6C3F86"/>
    <w:rsid w:val="0AAF1E98"/>
    <w:rsid w:val="0AE37CBD"/>
    <w:rsid w:val="0B310385"/>
    <w:rsid w:val="0B4453B6"/>
    <w:rsid w:val="0B543C79"/>
    <w:rsid w:val="0B6E39A0"/>
    <w:rsid w:val="0C0401FE"/>
    <w:rsid w:val="0C2F5E50"/>
    <w:rsid w:val="0C372CA2"/>
    <w:rsid w:val="0C536A71"/>
    <w:rsid w:val="0C8F6A59"/>
    <w:rsid w:val="0CA855A2"/>
    <w:rsid w:val="0CAB00EC"/>
    <w:rsid w:val="0CB3418C"/>
    <w:rsid w:val="0CB6225D"/>
    <w:rsid w:val="0CBD1525"/>
    <w:rsid w:val="0CBE37F1"/>
    <w:rsid w:val="0D0F2C3A"/>
    <w:rsid w:val="0D304B70"/>
    <w:rsid w:val="0D3D074B"/>
    <w:rsid w:val="0D4E04AF"/>
    <w:rsid w:val="0D537B9C"/>
    <w:rsid w:val="0D5F5250"/>
    <w:rsid w:val="0D827E25"/>
    <w:rsid w:val="0DA025FC"/>
    <w:rsid w:val="0DFF1C69"/>
    <w:rsid w:val="0E703991"/>
    <w:rsid w:val="0EBC2F4D"/>
    <w:rsid w:val="0EBC7C90"/>
    <w:rsid w:val="0F100AEB"/>
    <w:rsid w:val="0F342B25"/>
    <w:rsid w:val="0F6B083F"/>
    <w:rsid w:val="0F8A2086"/>
    <w:rsid w:val="0FAC6E33"/>
    <w:rsid w:val="0FF31DA4"/>
    <w:rsid w:val="10384837"/>
    <w:rsid w:val="10536E44"/>
    <w:rsid w:val="105C74DF"/>
    <w:rsid w:val="10CB62FD"/>
    <w:rsid w:val="10E00F02"/>
    <w:rsid w:val="10F02ADE"/>
    <w:rsid w:val="112B7298"/>
    <w:rsid w:val="114A3CC4"/>
    <w:rsid w:val="116F0ACB"/>
    <w:rsid w:val="1170796E"/>
    <w:rsid w:val="11D7076C"/>
    <w:rsid w:val="128760E4"/>
    <w:rsid w:val="12923D4D"/>
    <w:rsid w:val="12B00480"/>
    <w:rsid w:val="12E86DCA"/>
    <w:rsid w:val="130C66D1"/>
    <w:rsid w:val="131C476B"/>
    <w:rsid w:val="1331629E"/>
    <w:rsid w:val="1340534B"/>
    <w:rsid w:val="135A7F1C"/>
    <w:rsid w:val="136E7FB7"/>
    <w:rsid w:val="14081BF0"/>
    <w:rsid w:val="14226B73"/>
    <w:rsid w:val="143C510B"/>
    <w:rsid w:val="14427E1D"/>
    <w:rsid w:val="14D10DCE"/>
    <w:rsid w:val="15122BCD"/>
    <w:rsid w:val="151C547D"/>
    <w:rsid w:val="15397521"/>
    <w:rsid w:val="157D259B"/>
    <w:rsid w:val="157F50A7"/>
    <w:rsid w:val="15CF3199"/>
    <w:rsid w:val="15D275D7"/>
    <w:rsid w:val="15DF6B3C"/>
    <w:rsid w:val="15F3567E"/>
    <w:rsid w:val="162F4A28"/>
    <w:rsid w:val="16314C41"/>
    <w:rsid w:val="164C3EC6"/>
    <w:rsid w:val="164F500E"/>
    <w:rsid w:val="16577145"/>
    <w:rsid w:val="16A956F3"/>
    <w:rsid w:val="17373579"/>
    <w:rsid w:val="174F2A06"/>
    <w:rsid w:val="17AB5C9E"/>
    <w:rsid w:val="17BF25BE"/>
    <w:rsid w:val="17D900D8"/>
    <w:rsid w:val="17F23CD0"/>
    <w:rsid w:val="17FA59E2"/>
    <w:rsid w:val="1860622A"/>
    <w:rsid w:val="1877337E"/>
    <w:rsid w:val="18E23B6B"/>
    <w:rsid w:val="190C356D"/>
    <w:rsid w:val="19896FEF"/>
    <w:rsid w:val="1995697B"/>
    <w:rsid w:val="19AD12F3"/>
    <w:rsid w:val="19B52B93"/>
    <w:rsid w:val="1A135326"/>
    <w:rsid w:val="1A146089"/>
    <w:rsid w:val="1A4A27C3"/>
    <w:rsid w:val="1A563123"/>
    <w:rsid w:val="1A994A97"/>
    <w:rsid w:val="1AF341E1"/>
    <w:rsid w:val="1B6B3464"/>
    <w:rsid w:val="1BCC4C6E"/>
    <w:rsid w:val="1C231B56"/>
    <w:rsid w:val="1C2E1119"/>
    <w:rsid w:val="1C3F48DE"/>
    <w:rsid w:val="1C5F17FE"/>
    <w:rsid w:val="1CA76F58"/>
    <w:rsid w:val="1CE53FFC"/>
    <w:rsid w:val="1CF55AC2"/>
    <w:rsid w:val="1D3F203A"/>
    <w:rsid w:val="1D470799"/>
    <w:rsid w:val="1D7377FD"/>
    <w:rsid w:val="1D884823"/>
    <w:rsid w:val="1D973B75"/>
    <w:rsid w:val="1DAD66C9"/>
    <w:rsid w:val="1E403173"/>
    <w:rsid w:val="1EA25241"/>
    <w:rsid w:val="1EF43085"/>
    <w:rsid w:val="1F0E1CAC"/>
    <w:rsid w:val="1F8A6340"/>
    <w:rsid w:val="1F9C1C78"/>
    <w:rsid w:val="1FC22A4E"/>
    <w:rsid w:val="201B7E9A"/>
    <w:rsid w:val="20390328"/>
    <w:rsid w:val="203F43E1"/>
    <w:rsid w:val="20706391"/>
    <w:rsid w:val="2080071B"/>
    <w:rsid w:val="20826929"/>
    <w:rsid w:val="208D6D97"/>
    <w:rsid w:val="209A6C32"/>
    <w:rsid w:val="20C3464F"/>
    <w:rsid w:val="20FF6917"/>
    <w:rsid w:val="21040EC9"/>
    <w:rsid w:val="212B62B1"/>
    <w:rsid w:val="21463A47"/>
    <w:rsid w:val="2164745E"/>
    <w:rsid w:val="218D6E43"/>
    <w:rsid w:val="219C0835"/>
    <w:rsid w:val="21C23B74"/>
    <w:rsid w:val="22012E47"/>
    <w:rsid w:val="220B289E"/>
    <w:rsid w:val="222E27E7"/>
    <w:rsid w:val="239B7853"/>
    <w:rsid w:val="23B42F23"/>
    <w:rsid w:val="23E6754F"/>
    <w:rsid w:val="23FD2ED0"/>
    <w:rsid w:val="244A3988"/>
    <w:rsid w:val="245F2221"/>
    <w:rsid w:val="24B915DB"/>
    <w:rsid w:val="24CA1833"/>
    <w:rsid w:val="24E27002"/>
    <w:rsid w:val="252D5A2D"/>
    <w:rsid w:val="25E61D77"/>
    <w:rsid w:val="25EE1B26"/>
    <w:rsid w:val="266C221D"/>
    <w:rsid w:val="26815AA8"/>
    <w:rsid w:val="2696462B"/>
    <w:rsid w:val="274C6B66"/>
    <w:rsid w:val="276406C2"/>
    <w:rsid w:val="278A085D"/>
    <w:rsid w:val="282F2DF8"/>
    <w:rsid w:val="284F4698"/>
    <w:rsid w:val="2858007D"/>
    <w:rsid w:val="28BE53CF"/>
    <w:rsid w:val="28BE6AE0"/>
    <w:rsid w:val="28C570A0"/>
    <w:rsid w:val="28FB4D6B"/>
    <w:rsid w:val="2932020B"/>
    <w:rsid w:val="297347BF"/>
    <w:rsid w:val="29A73003"/>
    <w:rsid w:val="29F44024"/>
    <w:rsid w:val="2A3A5DB4"/>
    <w:rsid w:val="2A620E65"/>
    <w:rsid w:val="2A6E3FC3"/>
    <w:rsid w:val="2ACA70EC"/>
    <w:rsid w:val="2ACB6EA5"/>
    <w:rsid w:val="2AD20101"/>
    <w:rsid w:val="2AE17021"/>
    <w:rsid w:val="2B0A600C"/>
    <w:rsid w:val="2B2F4AED"/>
    <w:rsid w:val="2B410BEE"/>
    <w:rsid w:val="2B5C7B33"/>
    <w:rsid w:val="2B704CEF"/>
    <w:rsid w:val="2BFA5E18"/>
    <w:rsid w:val="2BFA724B"/>
    <w:rsid w:val="2C3F79C9"/>
    <w:rsid w:val="2C4531D2"/>
    <w:rsid w:val="2C4E113E"/>
    <w:rsid w:val="2C5A499B"/>
    <w:rsid w:val="2CC05057"/>
    <w:rsid w:val="2CD53D22"/>
    <w:rsid w:val="2CF730F6"/>
    <w:rsid w:val="2D26012D"/>
    <w:rsid w:val="2D36206D"/>
    <w:rsid w:val="2D8F6012"/>
    <w:rsid w:val="2D925F70"/>
    <w:rsid w:val="2DBA213F"/>
    <w:rsid w:val="2DC83BE9"/>
    <w:rsid w:val="2DD04292"/>
    <w:rsid w:val="2DD13479"/>
    <w:rsid w:val="2DF31012"/>
    <w:rsid w:val="2E00340B"/>
    <w:rsid w:val="2E1C3E01"/>
    <w:rsid w:val="2E477D9B"/>
    <w:rsid w:val="2E5F086B"/>
    <w:rsid w:val="2EE10406"/>
    <w:rsid w:val="2EEE6E03"/>
    <w:rsid w:val="2F153552"/>
    <w:rsid w:val="2F225CBD"/>
    <w:rsid w:val="2F954F8C"/>
    <w:rsid w:val="2FCA4F50"/>
    <w:rsid w:val="2FD13AB3"/>
    <w:rsid w:val="30096732"/>
    <w:rsid w:val="30113F18"/>
    <w:rsid w:val="3036150E"/>
    <w:rsid w:val="306A609B"/>
    <w:rsid w:val="30F26272"/>
    <w:rsid w:val="30FC2956"/>
    <w:rsid w:val="31AE6969"/>
    <w:rsid w:val="31E84943"/>
    <w:rsid w:val="32975F28"/>
    <w:rsid w:val="32B65B42"/>
    <w:rsid w:val="33214488"/>
    <w:rsid w:val="33224E9A"/>
    <w:rsid w:val="33A25A74"/>
    <w:rsid w:val="33F24EE4"/>
    <w:rsid w:val="344D344F"/>
    <w:rsid w:val="347B2BCB"/>
    <w:rsid w:val="347C5BF5"/>
    <w:rsid w:val="349E19A5"/>
    <w:rsid w:val="34C92E53"/>
    <w:rsid w:val="34E2347E"/>
    <w:rsid w:val="350D1B8D"/>
    <w:rsid w:val="359F12B4"/>
    <w:rsid w:val="35F832CA"/>
    <w:rsid w:val="35FD6036"/>
    <w:rsid w:val="36222FD3"/>
    <w:rsid w:val="362C4974"/>
    <w:rsid w:val="36D43746"/>
    <w:rsid w:val="36F26374"/>
    <w:rsid w:val="37004053"/>
    <w:rsid w:val="370E6DDC"/>
    <w:rsid w:val="371D10A4"/>
    <w:rsid w:val="374E2785"/>
    <w:rsid w:val="37897D08"/>
    <w:rsid w:val="37957082"/>
    <w:rsid w:val="37F40EB5"/>
    <w:rsid w:val="38054425"/>
    <w:rsid w:val="380C078F"/>
    <w:rsid w:val="383515BB"/>
    <w:rsid w:val="38796762"/>
    <w:rsid w:val="387E72A8"/>
    <w:rsid w:val="38860938"/>
    <w:rsid w:val="38AB27BF"/>
    <w:rsid w:val="38C143D5"/>
    <w:rsid w:val="38E57528"/>
    <w:rsid w:val="38E94BA6"/>
    <w:rsid w:val="39052908"/>
    <w:rsid w:val="390D4B47"/>
    <w:rsid w:val="39250974"/>
    <w:rsid w:val="392B6D42"/>
    <w:rsid w:val="39AD1278"/>
    <w:rsid w:val="39AD2A8A"/>
    <w:rsid w:val="3A0D4DDD"/>
    <w:rsid w:val="3A481271"/>
    <w:rsid w:val="3A5E1A53"/>
    <w:rsid w:val="3A7A2F3F"/>
    <w:rsid w:val="3A7E016E"/>
    <w:rsid w:val="3A8934A8"/>
    <w:rsid w:val="3AB55A5F"/>
    <w:rsid w:val="3AC87A10"/>
    <w:rsid w:val="3B063A3C"/>
    <w:rsid w:val="3B1A3268"/>
    <w:rsid w:val="3BA22B4A"/>
    <w:rsid w:val="3BE510CD"/>
    <w:rsid w:val="3C061538"/>
    <w:rsid w:val="3C065053"/>
    <w:rsid w:val="3C3E5617"/>
    <w:rsid w:val="3C917CC9"/>
    <w:rsid w:val="3CD6254B"/>
    <w:rsid w:val="3D1403A1"/>
    <w:rsid w:val="3D221EAC"/>
    <w:rsid w:val="3D732F03"/>
    <w:rsid w:val="3D80668F"/>
    <w:rsid w:val="3DA86D56"/>
    <w:rsid w:val="3DBD71EF"/>
    <w:rsid w:val="3DE11DD2"/>
    <w:rsid w:val="3DEE5C66"/>
    <w:rsid w:val="3E1E4380"/>
    <w:rsid w:val="3E6C7C57"/>
    <w:rsid w:val="3EAA7444"/>
    <w:rsid w:val="3EC43264"/>
    <w:rsid w:val="3EE6001C"/>
    <w:rsid w:val="3EE65D2D"/>
    <w:rsid w:val="3F0B7EE6"/>
    <w:rsid w:val="3F1B7613"/>
    <w:rsid w:val="40475503"/>
    <w:rsid w:val="404F45D8"/>
    <w:rsid w:val="4104640C"/>
    <w:rsid w:val="412A2855"/>
    <w:rsid w:val="41751C28"/>
    <w:rsid w:val="41A822B6"/>
    <w:rsid w:val="41AC5AF0"/>
    <w:rsid w:val="41DE2C4C"/>
    <w:rsid w:val="42121104"/>
    <w:rsid w:val="4214623D"/>
    <w:rsid w:val="42CE352F"/>
    <w:rsid w:val="42DA2530"/>
    <w:rsid w:val="43773093"/>
    <w:rsid w:val="43E549AA"/>
    <w:rsid w:val="442621EB"/>
    <w:rsid w:val="4455736A"/>
    <w:rsid w:val="44902D8B"/>
    <w:rsid w:val="44937A46"/>
    <w:rsid w:val="44CC6A08"/>
    <w:rsid w:val="44E03028"/>
    <w:rsid w:val="44F53183"/>
    <w:rsid w:val="455E4269"/>
    <w:rsid w:val="45D31216"/>
    <w:rsid w:val="46020605"/>
    <w:rsid w:val="46193D04"/>
    <w:rsid w:val="468D2392"/>
    <w:rsid w:val="46F4022C"/>
    <w:rsid w:val="47354265"/>
    <w:rsid w:val="47602023"/>
    <w:rsid w:val="47604DA9"/>
    <w:rsid w:val="478A551F"/>
    <w:rsid w:val="47975854"/>
    <w:rsid w:val="47C55881"/>
    <w:rsid w:val="47FA488D"/>
    <w:rsid w:val="47FE2B59"/>
    <w:rsid w:val="47FF5C97"/>
    <w:rsid w:val="4821444E"/>
    <w:rsid w:val="48317722"/>
    <w:rsid w:val="48995754"/>
    <w:rsid w:val="48A56862"/>
    <w:rsid w:val="48A81DC6"/>
    <w:rsid w:val="490D50EC"/>
    <w:rsid w:val="492A480F"/>
    <w:rsid w:val="49420D15"/>
    <w:rsid w:val="4953265B"/>
    <w:rsid w:val="495E2105"/>
    <w:rsid w:val="49656300"/>
    <w:rsid w:val="49CE44BA"/>
    <w:rsid w:val="4A1D6E4F"/>
    <w:rsid w:val="4A4C0DA4"/>
    <w:rsid w:val="4A5A2F46"/>
    <w:rsid w:val="4AAD7446"/>
    <w:rsid w:val="4B1533E1"/>
    <w:rsid w:val="4B5203E6"/>
    <w:rsid w:val="4BDA6A65"/>
    <w:rsid w:val="4BE71A44"/>
    <w:rsid w:val="4BEE52F5"/>
    <w:rsid w:val="4C022E0D"/>
    <w:rsid w:val="4C8228D5"/>
    <w:rsid w:val="4CDB2B86"/>
    <w:rsid w:val="4CDE120E"/>
    <w:rsid w:val="4CE06102"/>
    <w:rsid w:val="4D03397C"/>
    <w:rsid w:val="4D0E5B99"/>
    <w:rsid w:val="4D176461"/>
    <w:rsid w:val="4D6D7528"/>
    <w:rsid w:val="4D9E64BC"/>
    <w:rsid w:val="4E077224"/>
    <w:rsid w:val="4E4C4B02"/>
    <w:rsid w:val="4E4E2651"/>
    <w:rsid w:val="4E865676"/>
    <w:rsid w:val="4E8F1562"/>
    <w:rsid w:val="4EE81798"/>
    <w:rsid w:val="4F376C7E"/>
    <w:rsid w:val="4F6A676C"/>
    <w:rsid w:val="4F73628D"/>
    <w:rsid w:val="4F752445"/>
    <w:rsid w:val="4F8125DA"/>
    <w:rsid w:val="4FE37A9B"/>
    <w:rsid w:val="4FFF7C98"/>
    <w:rsid w:val="50447FF3"/>
    <w:rsid w:val="505B4302"/>
    <w:rsid w:val="506C0653"/>
    <w:rsid w:val="507967C0"/>
    <w:rsid w:val="50852E8E"/>
    <w:rsid w:val="50966386"/>
    <w:rsid w:val="50A53CEA"/>
    <w:rsid w:val="50C126CF"/>
    <w:rsid w:val="510441DB"/>
    <w:rsid w:val="51210D34"/>
    <w:rsid w:val="513C1BF1"/>
    <w:rsid w:val="5177302F"/>
    <w:rsid w:val="51E7726B"/>
    <w:rsid w:val="5217338A"/>
    <w:rsid w:val="522912FF"/>
    <w:rsid w:val="524D2845"/>
    <w:rsid w:val="524D540B"/>
    <w:rsid w:val="524E7BB6"/>
    <w:rsid w:val="527A351E"/>
    <w:rsid w:val="52C075CB"/>
    <w:rsid w:val="52CA0154"/>
    <w:rsid w:val="52E609B1"/>
    <w:rsid w:val="52ED11A6"/>
    <w:rsid w:val="52F30566"/>
    <w:rsid w:val="52F91F9B"/>
    <w:rsid w:val="530B5882"/>
    <w:rsid w:val="53406DF1"/>
    <w:rsid w:val="53420E30"/>
    <w:rsid w:val="53A01B50"/>
    <w:rsid w:val="53F37E0D"/>
    <w:rsid w:val="545B3124"/>
    <w:rsid w:val="555B05CC"/>
    <w:rsid w:val="5606693E"/>
    <w:rsid w:val="5677632A"/>
    <w:rsid w:val="56867464"/>
    <w:rsid w:val="575021CE"/>
    <w:rsid w:val="577725DD"/>
    <w:rsid w:val="57A37408"/>
    <w:rsid w:val="57B573BE"/>
    <w:rsid w:val="57CD594D"/>
    <w:rsid w:val="57F56585"/>
    <w:rsid w:val="58132051"/>
    <w:rsid w:val="581A0B68"/>
    <w:rsid w:val="58292FAA"/>
    <w:rsid w:val="582975E7"/>
    <w:rsid w:val="585C1C3D"/>
    <w:rsid w:val="58743DDF"/>
    <w:rsid w:val="58862A3B"/>
    <w:rsid w:val="58AF2E2C"/>
    <w:rsid w:val="58B971CF"/>
    <w:rsid w:val="591C1FEA"/>
    <w:rsid w:val="593021C9"/>
    <w:rsid w:val="593540DC"/>
    <w:rsid w:val="598E16E2"/>
    <w:rsid w:val="59A056EA"/>
    <w:rsid w:val="59AF4E57"/>
    <w:rsid w:val="59BE37A9"/>
    <w:rsid w:val="59EA2C69"/>
    <w:rsid w:val="5A2B00A0"/>
    <w:rsid w:val="5A660944"/>
    <w:rsid w:val="5A6B7F12"/>
    <w:rsid w:val="5A714CC6"/>
    <w:rsid w:val="5A987F59"/>
    <w:rsid w:val="5AD23E63"/>
    <w:rsid w:val="5AD55E19"/>
    <w:rsid w:val="5AD8721F"/>
    <w:rsid w:val="5AFD464E"/>
    <w:rsid w:val="5B000C91"/>
    <w:rsid w:val="5B0A494F"/>
    <w:rsid w:val="5B232931"/>
    <w:rsid w:val="5B625BCC"/>
    <w:rsid w:val="5B702498"/>
    <w:rsid w:val="5B8515A9"/>
    <w:rsid w:val="5B922C81"/>
    <w:rsid w:val="5BB25670"/>
    <w:rsid w:val="5BBF33E9"/>
    <w:rsid w:val="5C1C11DE"/>
    <w:rsid w:val="5C2801A8"/>
    <w:rsid w:val="5C7521EB"/>
    <w:rsid w:val="5D1D03E1"/>
    <w:rsid w:val="5D4618F6"/>
    <w:rsid w:val="5D6B029C"/>
    <w:rsid w:val="5D755997"/>
    <w:rsid w:val="5D802982"/>
    <w:rsid w:val="5DB06549"/>
    <w:rsid w:val="5DCA5A86"/>
    <w:rsid w:val="5E3D5946"/>
    <w:rsid w:val="5E3F6413"/>
    <w:rsid w:val="5E5D7545"/>
    <w:rsid w:val="5E6F04F5"/>
    <w:rsid w:val="5E9F1BFE"/>
    <w:rsid w:val="5ED62B78"/>
    <w:rsid w:val="5ED71FCD"/>
    <w:rsid w:val="5F0408EA"/>
    <w:rsid w:val="5F5F1E00"/>
    <w:rsid w:val="5F721CAB"/>
    <w:rsid w:val="5F7B68A7"/>
    <w:rsid w:val="5FCD07AB"/>
    <w:rsid w:val="6021190F"/>
    <w:rsid w:val="60670AA8"/>
    <w:rsid w:val="60826DE1"/>
    <w:rsid w:val="60D706C3"/>
    <w:rsid w:val="60FA27C2"/>
    <w:rsid w:val="6109214A"/>
    <w:rsid w:val="613D65B4"/>
    <w:rsid w:val="618A3447"/>
    <w:rsid w:val="61EE68C4"/>
    <w:rsid w:val="621837E6"/>
    <w:rsid w:val="623061FB"/>
    <w:rsid w:val="624A4060"/>
    <w:rsid w:val="62A262DB"/>
    <w:rsid w:val="62EB3A97"/>
    <w:rsid w:val="630727D0"/>
    <w:rsid w:val="631D55EB"/>
    <w:rsid w:val="6351411B"/>
    <w:rsid w:val="637431A6"/>
    <w:rsid w:val="63D251CD"/>
    <w:rsid w:val="63D92487"/>
    <w:rsid w:val="63EC7CEE"/>
    <w:rsid w:val="64542141"/>
    <w:rsid w:val="646F6B22"/>
    <w:rsid w:val="64E62F73"/>
    <w:rsid w:val="650D4860"/>
    <w:rsid w:val="6518073B"/>
    <w:rsid w:val="65331F6D"/>
    <w:rsid w:val="658C1C2E"/>
    <w:rsid w:val="659A484C"/>
    <w:rsid w:val="65D718D1"/>
    <w:rsid w:val="65E52722"/>
    <w:rsid w:val="65E94554"/>
    <w:rsid w:val="662A0E8B"/>
    <w:rsid w:val="66621D1D"/>
    <w:rsid w:val="66A8359C"/>
    <w:rsid w:val="66F72F9A"/>
    <w:rsid w:val="675D709D"/>
    <w:rsid w:val="67677860"/>
    <w:rsid w:val="680F2E79"/>
    <w:rsid w:val="686A3621"/>
    <w:rsid w:val="688C1F51"/>
    <w:rsid w:val="68C90947"/>
    <w:rsid w:val="68F97D2D"/>
    <w:rsid w:val="69130BAA"/>
    <w:rsid w:val="697215E8"/>
    <w:rsid w:val="69722BCF"/>
    <w:rsid w:val="69925FA8"/>
    <w:rsid w:val="69C377B5"/>
    <w:rsid w:val="69DD7C28"/>
    <w:rsid w:val="69EA5972"/>
    <w:rsid w:val="6A0A2E45"/>
    <w:rsid w:val="6A4E3CE2"/>
    <w:rsid w:val="6A8D150F"/>
    <w:rsid w:val="6A980792"/>
    <w:rsid w:val="6ABE54D9"/>
    <w:rsid w:val="6AEA1F5F"/>
    <w:rsid w:val="6AF703A5"/>
    <w:rsid w:val="6B040FE6"/>
    <w:rsid w:val="6B337375"/>
    <w:rsid w:val="6B7F64F3"/>
    <w:rsid w:val="6BC55027"/>
    <w:rsid w:val="6BE675AE"/>
    <w:rsid w:val="6C1A5C25"/>
    <w:rsid w:val="6C2B1157"/>
    <w:rsid w:val="6C4403F4"/>
    <w:rsid w:val="6C4E5DF7"/>
    <w:rsid w:val="6C5F4CAE"/>
    <w:rsid w:val="6C88074F"/>
    <w:rsid w:val="6CFE17A2"/>
    <w:rsid w:val="6D5002C1"/>
    <w:rsid w:val="6D6609BA"/>
    <w:rsid w:val="6D887789"/>
    <w:rsid w:val="6DA23041"/>
    <w:rsid w:val="6DC33CD4"/>
    <w:rsid w:val="6E091C7B"/>
    <w:rsid w:val="6E4F7E6F"/>
    <w:rsid w:val="6E7014B5"/>
    <w:rsid w:val="6E987528"/>
    <w:rsid w:val="6EA733DA"/>
    <w:rsid w:val="6EA762CC"/>
    <w:rsid w:val="6EB51E0B"/>
    <w:rsid w:val="6ED206E0"/>
    <w:rsid w:val="6F187BB7"/>
    <w:rsid w:val="6F310AB4"/>
    <w:rsid w:val="6F444544"/>
    <w:rsid w:val="6F4A7B99"/>
    <w:rsid w:val="6F577E3D"/>
    <w:rsid w:val="6F650C5A"/>
    <w:rsid w:val="6F9B5694"/>
    <w:rsid w:val="6FA92C96"/>
    <w:rsid w:val="702970E6"/>
    <w:rsid w:val="704A66FC"/>
    <w:rsid w:val="70694E36"/>
    <w:rsid w:val="70715266"/>
    <w:rsid w:val="7074300D"/>
    <w:rsid w:val="708268A0"/>
    <w:rsid w:val="709972DF"/>
    <w:rsid w:val="709E7D50"/>
    <w:rsid w:val="70C134AB"/>
    <w:rsid w:val="70C276FE"/>
    <w:rsid w:val="70CA63A9"/>
    <w:rsid w:val="70CC7327"/>
    <w:rsid w:val="70D450B1"/>
    <w:rsid w:val="71054D98"/>
    <w:rsid w:val="71397BC5"/>
    <w:rsid w:val="717004C6"/>
    <w:rsid w:val="71854AEC"/>
    <w:rsid w:val="71C93B17"/>
    <w:rsid w:val="71F45F63"/>
    <w:rsid w:val="720F579C"/>
    <w:rsid w:val="721944EA"/>
    <w:rsid w:val="7256619B"/>
    <w:rsid w:val="728441AA"/>
    <w:rsid w:val="72B1645C"/>
    <w:rsid w:val="72B468A2"/>
    <w:rsid w:val="72F722BD"/>
    <w:rsid w:val="73152A81"/>
    <w:rsid w:val="73355D94"/>
    <w:rsid w:val="735936E9"/>
    <w:rsid w:val="735D52C6"/>
    <w:rsid w:val="7376464D"/>
    <w:rsid w:val="73A40574"/>
    <w:rsid w:val="73C64849"/>
    <w:rsid w:val="741F6F47"/>
    <w:rsid w:val="7423471B"/>
    <w:rsid w:val="742B6F93"/>
    <w:rsid w:val="747D5496"/>
    <w:rsid w:val="748C5C53"/>
    <w:rsid w:val="749856AE"/>
    <w:rsid w:val="757F1E74"/>
    <w:rsid w:val="75AC4B6D"/>
    <w:rsid w:val="75CC4398"/>
    <w:rsid w:val="75D93062"/>
    <w:rsid w:val="7600123E"/>
    <w:rsid w:val="7621700F"/>
    <w:rsid w:val="766911F3"/>
    <w:rsid w:val="76867CF2"/>
    <w:rsid w:val="768B46E5"/>
    <w:rsid w:val="76C86E92"/>
    <w:rsid w:val="771B2D50"/>
    <w:rsid w:val="77817CAD"/>
    <w:rsid w:val="779C260E"/>
    <w:rsid w:val="77C16B94"/>
    <w:rsid w:val="7822005A"/>
    <w:rsid w:val="78636113"/>
    <w:rsid w:val="786D1F03"/>
    <w:rsid w:val="788C7FCA"/>
    <w:rsid w:val="78997C8B"/>
    <w:rsid w:val="78BD6025"/>
    <w:rsid w:val="78BF63B7"/>
    <w:rsid w:val="7930736D"/>
    <w:rsid w:val="796C724E"/>
    <w:rsid w:val="79710B8B"/>
    <w:rsid w:val="79744776"/>
    <w:rsid w:val="799E27B7"/>
    <w:rsid w:val="79A31FE8"/>
    <w:rsid w:val="79AE7A87"/>
    <w:rsid w:val="79E02AF3"/>
    <w:rsid w:val="79E37CB9"/>
    <w:rsid w:val="7A0B36A6"/>
    <w:rsid w:val="7A1D0264"/>
    <w:rsid w:val="7A783788"/>
    <w:rsid w:val="7AC97A0D"/>
    <w:rsid w:val="7AF95E31"/>
    <w:rsid w:val="7B2028B2"/>
    <w:rsid w:val="7B8D6573"/>
    <w:rsid w:val="7B974A00"/>
    <w:rsid w:val="7B9F508A"/>
    <w:rsid w:val="7BC60A77"/>
    <w:rsid w:val="7C2F7DD7"/>
    <w:rsid w:val="7C634147"/>
    <w:rsid w:val="7CF52793"/>
    <w:rsid w:val="7CF914BC"/>
    <w:rsid w:val="7D1F2E72"/>
    <w:rsid w:val="7D62460D"/>
    <w:rsid w:val="7D63423F"/>
    <w:rsid w:val="7D8753DC"/>
    <w:rsid w:val="7DAB4D04"/>
    <w:rsid w:val="7DBA5091"/>
    <w:rsid w:val="7E056B7C"/>
    <w:rsid w:val="7E6E204F"/>
    <w:rsid w:val="7ECF5362"/>
    <w:rsid w:val="7F0274A7"/>
    <w:rsid w:val="7F1759D4"/>
    <w:rsid w:val="7F2F0BC9"/>
    <w:rsid w:val="7FC22F12"/>
    <w:rsid w:val="7FDA68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nhideWhenUsed="0" w:uiPriority="1" w:semiHidden="0" w:name="heading 7"/>
    <w:lsdException w:qFormat="1"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2"/>
    <w:basedOn w:val="1"/>
    <w:next w:val="1"/>
    <w:link w:val="43"/>
    <w:qFormat/>
    <w:uiPriority w:val="99"/>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5">
    <w:name w:val="heading 3"/>
    <w:basedOn w:val="1"/>
    <w:next w:val="1"/>
    <w:link w:val="44"/>
    <w:qFormat/>
    <w:uiPriority w:val="99"/>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6">
    <w:name w:val="heading 4"/>
    <w:basedOn w:val="1"/>
    <w:next w:val="1"/>
    <w:link w:val="45"/>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7"/>
    <w:basedOn w:val="1"/>
    <w:next w:val="1"/>
    <w:qFormat/>
    <w:uiPriority w:val="1"/>
    <w:pPr>
      <w:ind w:left="212"/>
      <w:outlineLvl w:val="7"/>
    </w:pPr>
    <w:rPr>
      <w:rFonts w:ascii="宋体" w:hAnsi="宋体" w:eastAsia="宋体" w:cs="宋体"/>
      <w:b/>
      <w:bCs/>
      <w:sz w:val="21"/>
      <w:szCs w:val="21"/>
      <w:lang w:val="zh-CN" w:eastAsia="zh-CN" w:bidi="zh-CN"/>
    </w:rPr>
  </w:style>
  <w:style w:type="paragraph" w:styleId="8">
    <w:name w:val="heading 8"/>
    <w:basedOn w:val="1"/>
    <w:next w:val="1"/>
    <w:link w:val="74"/>
    <w:unhideWhenUsed/>
    <w:qFormat/>
    <w:uiPriority w:val="99"/>
    <w:pPr>
      <w:keepNext/>
      <w:keepLines/>
      <w:spacing w:before="240" w:after="64" w:line="320" w:lineRule="auto"/>
      <w:outlineLvl w:val="7"/>
    </w:pPr>
    <w:rPr>
      <w:rFonts w:asciiTheme="majorHAnsi" w:hAnsiTheme="majorHAnsi" w:eastAsiaTheme="majorEastAsia" w:cstheme="majorBidi"/>
      <w:sz w:val="24"/>
    </w:rPr>
  </w:style>
  <w:style w:type="paragraph" w:styleId="9">
    <w:name w:val="heading 9"/>
    <w:basedOn w:val="1"/>
    <w:next w:val="1"/>
    <w:link w:val="46"/>
    <w:qFormat/>
    <w:uiPriority w:val="99"/>
    <w:pPr>
      <w:numPr>
        <w:ilvl w:val="8"/>
        <w:numId w:val="2"/>
      </w:numPr>
      <w:outlineLvl w:val="8"/>
    </w:pPr>
    <w:rPr>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link w:val="50"/>
    <w:qFormat/>
    <w:uiPriority w:val="99"/>
    <w:pPr>
      <w:spacing w:after="120"/>
    </w:pPr>
  </w:style>
  <w:style w:type="paragraph" w:styleId="10">
    <w:name w:val="Document Map"/>
    <w:basedOn w:val="1"/>
    <w:link w:val="49"/>
    <w:qFormat/>
    <w:uiPriority w:val="99"/>
    <w:rPr>
      <w:rFonts w:ascii="宋体"/>
      <w:sz w:val="18"/>
      <w:szCs w:val="18"/>
    </w:rPr>
  </w:style>
  <w:style w:type="paragraph" w:styleId="11">
    <w:name w:val="annotation text"/>
    <w:basedOn w:val="1"/>
    <w:link w:val="47"/>
    <w:unhideWhenUsed/>
    <w:qFormat/>
    <w:uiPriority w:val="99"/>
    <w:pPr>
      <w:jc w:val="left"/>
    </w:pPr>
  </w:style>
  <w:style w:type="paragraph" w:styleId="12">
    <w:name w:val="Body Text Indent"/>
    <w:basedOn w:val="1"/>
    <w:link w:val="51"/>
    <w:qFormat/>
    <w:uiPriority w:val="0"/>
    <w:pPr>
      <w:spacing w:line="200" w:lineRule="exact"/>
      <w:ind w:firstLine="301"/>
    </w:pPr>
    <w:rPr>
      <w:rFonts w:ascii="宋体" w:hAnsi="Courier New"/>
      <w:spacing w:val="-4"/>
      <w:sz w:val="18"/>
      <w:szCs w:val="20"/>
    </w:rPr>
  </w:style>
  <w:style w:type="paragraph" w:styleId="13">
    <w:name w:val="toc 3"/>
    <w:basedOn w:val="1"/>
    <w:next w:val="1"/>
    <w:unhideWhenUsed/>
    <w:qFormat/>
    <w:uiPriority w:val="99"/>
    <w:pPr>
      <w:widowControl/>
      <w:spacing w:after="100" w:line="276" w:lineRule="auto"/>
      <w:ind w:left="440"/>
      <w:jc w:val="left"/>
    </w:pPr>
    <w:rPr>
      <w:rFonts w:ascii="Calibri" w:hAnsi="Calibri"/>
      <w:kern w:val="0"/>
      <w:sz w:val="22"/>
      <w:szCs w:val="22"/>
    </w:rPr>
  </w:style>
  <w:style w:type="paragraph" w:styleId="14">
    <w:name w:val="Plain Text"/>
    <w:basedOn w:val="1"/>
    <w:link w:val="52"/>
    <w:qFormat/>
    <w:uiPriority w:val="0"/>
    <w:rPr>
      <w:rFonts w:ascii="宋体" w:hAnsi="Courier New"/>
      <w:szCs w:val="20"/>
    </w:rPr>
  </w:style>
  <w:style w:type="paragraph" w:styleId="15">
    <w:name w:val="Date"/>
    <w:basedOn w:val="1"/>
    <w:next w:val="1"/>
    <w:link w:val="53"/>
    <w:qFormat/>
    <w:uiPriority w:val="99"/>
  </w:style>
  <w:style w:type="paragraph" w:styleId="16">
    <w:name w:val="Body Text Indent 2"/>
    <w:basedOn w:val="1"/>
    <w:link w:val="54"/>
    <w:qFormat/>
    <w:uiPriority w:val="99"/>
    <w:pPr>
      <w:spacing w:after="120" w:line="480" w:lineRule="auto"/>
      <w:ind w:left="420" w:leftChars="200"/>
    </w:pPr>
  </w:style>
  <w:style w:type="paragraph" w:styleId="17">
    <w:name w:val="Balloon Text"/>
    <w:basedOn w:val="1"/>
    <w:link w:val="55"/>
    <w:qFormat/>
    <w:uiPriority w:val="0"/>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99"/>
    <w:pPr>
      <w:spacing w:before="120" w:after="120"/>
      <w:jc w:val="left"/>
      <w:outlineLvl w:val="0"/>
    </w:pPr>
    <w:rPr>
      <w:b/>
      <w:color w:val="000000"/>
      <w:sz w:val="48"/>
      <w:szCs w:val="48"/>
    </w:rPr>
  </w:style>
  <w:style w:type="paragraph" w:styleId="20">
    <w:name w:val="toc 2"/>
    <w:basedOn w:val="1"/>
    <w:next w:val="1"/>
    <w:qFormat/>
    <w:uiPriority w:val="99"/>
    <w:pPr>
      <w:tabs>
        <w:tab w:val="right" w:leader="dot" w:pos="9628"/>
      </w:tabs>
      <w:ind w:left="420" w:firstLine="120"/>
      <w:jc w:val="left"/>
    </w:pPr>
    <w:rPr>
      <w:smallCaps/>
      <w:sz w:val="20"/>
      <w:szCs w:val="2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link w:val="56"/>
    <w:qFormat/>
    <w:uiPriority w:val="99"/>
    <w:pPr>
      <w:spacing w:before="240" w:after="60"/>
      <w:jc w:val="center"/>
      <w:outlineLvl w:val="0"/>
    </w:pPr>
    <w:rPr>
      <w:rFonts w:ascii="Cambria" w:hAnsi="Cambria"/>
      <w:b/>
      <w:bCs/>
      <w:sz w:val="32"/>
      <w:szCs w:val="32"/>
    </w:rPr>
  </w:style>
  <w:style w:type="paragraph" w:styleId="23">
    <w:name w:val="annotation subject"/>
    <w:basedOn w:val="11"/>
    <w:next w:val="11"/>
    <w:link w:val="48"/>
    <w:semiHidden/>
    <w:qFormat/>
    <w:uiPriority w:val="99"/>
    <w:rPr>
      <w:b/>
      <w:bCs/>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99"/>
    <w:rPr>
      <w:rFonts w:cs="Times New Roman"/>
    </w:rPr>
  </w:style>
  <w:style w:type="character" w:styleId="28">
    <w:name w:val="page number"/>
    <w:basedOn w:val="26"/>
    <w:qFormat/>
    <w:uiPriority w:val="99"/>
  </w:style>
  <w:style w:type="character" w:styleId="29">
    <w:name w:val="FollowedHyperlink"/>
    <w:basedOn w:val="26"/>
    <w:unhideWhenUsed/>
    <w:qFormat/>
    <w:uiPriority w:val="99"/>
    <w:rPr>
      <w:color w:val="800080"/>
      <w:u w:val="none"/>
    </w:rPr>
  </w:style>
  <w:style w:type="character" w:styleId="30">
    <w:name w:val="Emphasis"/>
    <w:qFormat/>
    <w:uiPriority w:val="99"/>
    <w:rPr>
      <w:rFonts w:cs="Times New Roman"/>
    </w:rPr>
  </w:style>
  <w:style w:type="character" w:styleId="31">
    <w:name w:val="HTML Definition"/>
    <w:qFormat/>
    <w:uiPriority w:val="99"/>
    <w:rPr>
      <w:rFonts w:cs="Times New Roman"/>
    </w:rPr>
  </w:style>
  <w:style w:type="character" w:styleId="32">
    <w:name w:val="HTML Acronym"/>
    <w:qFormat/>
    <w:uiPriority w:val="99"/>
    <w:rPr>
      <w:rFonts w:cs="Times New Roman"/>
    </w:rPr>
  </w:style>
  <w:style w:type="character" w:styleId="33">
    <w:name w:val="HTML Variable"/>
    <w:qFormat/>
    <w:uiPriority w:val="99"/>
    <w:rPr>
      <w:rFonts w:cs="Times New Roman"/>
      <w:color w:val="FFFFFF"/>
      <w:u w:val="none"/>
      <w:shd w:val="clear" w:color="auto" w:fill="FF9933"/>
    </w:rPr>
  </w:style>
  <w:style w:type="character" w:styleId="34">
    <w:name w:val="Hyperlink"/>
    <w:basedOn w:val="26"/>
    <w:qFormat/>
    <w:uiPriority w:val="99"/>
    <w:rPr>
      <w:color w:val="0000FF"/>
      <w:u w:val="none"/>
    </w:rPr>
  </w:style>
  <w:style w:type="character" w:styleId="35">
    <w:name w:val="HTML Code"/>
    <w:qFormat/>
    <w:uiPriority w:val="99"/>
    <w:rPr>
      <w:rFonts w:ascii="Courier New" w:hAnsi="Courier New" w:cs="Times New Roman"/>
      <w:sz w:val="20"/>
    </w:rPr>
  </w:style>
  <w:style w:type="character" w:styleId="36">
    <w:name w:val="annotation reference"/>
    <w:semiHidden/>
    <w:qFormat/>
    <w:uiPriority w:val="99"/>
    <w:rPr>
      <w:sz w:val="21"/>
      <w:szCs w:val="21"/>
    </w:rPr>
  </w:style>
  <w:style w:type="character" w:styleId="37">
    <w:name w:val="HTML Cite"/>
    <w:qFormat/>
    <w:uiPriority w:val="99"/>
    <w:rPr>
      <w:rFonts w:cs="Times New Roman"/>
    </w:rPr>
  </w:style>
  <w:style w:type="paragraph" w:customStyle="1" w:styleId="38">
    <w:name w:val="Default"/>
    <w:qFormat/>
    <w:uiPriority w:val="0"/>
    <w:pPr>
      <w:widowControl w:val="0"/>
      <w:autoSpaceDE w:val="0"/>
      <w:autoSpaceDN w:val="0"/>
      <w:adjustRightInd w:val="0"/>
    </w:pPr>
    <w:rPr>
      <w:rFonts w:ascii="Courier New" w:hAnsi="Ђˎ̥" w:eastAsia="宋体" w:cs="Courier New"/>
      <w:color w:val="000000"/>
      <w:kern w:val="2"/>
      <w:sz w:val="24"/>
      <w:szCs w:val="24"/>
      <w:lang w:val="en-US" w:eastAsia="zh-CN" w:bidi="ar-SA"/>
    </w:rPr>
  </w:style>
  <w:style w:type="paragraph" w:customStyle="1" w:styleId="39">
    <w:name w:val="footer1"/>
    <w:basedOn w:val="1"/>
    <w:qFormat/>
    <w:uiPriority w:val="0"/>
    <w:pPr>
      <w:tabs>
        <w:tab w:val="center" w:pos="4153"/>
        <w:tab w:val="right" w:pos="8306"/>
      </w:tabs>
      <w:snapToGrid w:val="0"/>
      <w:jc w:val="left"/>
    </w:pPr>
    <w:rPr>
      <w:rFonts w:ascii="Calibri" w:hAnsi="Calibri"/>
      <w:sz w:val="18"/>
    </w:rPr>
  </w:style>
  <w:style w:type="character" w:customStyle="1" w:styleId="40">
    <w:name w:val="页眉 Char"/>
    <w:basedOn w:val="26"/>
    <w:link w:val="18"/>
    <w:qFormat/>
    <w:uiPriority w:val="99"/>
    <w:rPr>
      <w:sz w:val="18"/>
      <w:szCs w:val="18"/>
    </w:rPr>
  </w:style>
  <w:style w:type="character" w:customStyle="1" w:styleId="41">
    <w:name w:val="页脚 Char"/>
    <w:basedOn w:val="26"/>
    <w:qFormat/>
    <w:uiPriority w:val="99"/>
    <w:rPr>
      <w:sz w:val="18"/>
      <w:szCs w:val="18"/>
    </w:rPr>
  </w:style>
  <w:style w:type="character" w:customStyle="1" w:styleId="42">
    <w:name w:val="标题 1 Char"/>
    <w:basedOn w:val="26"/>
    <w:link w:val="3"/>
    <w:qFormat/>
    <w:uiPriority w:val="99"/>
    <w:rPr>
      <w:rFonts w:ascii="Times New Roman" w:hAnsi="Times New Roman" w:eastAsia="黑体" w:cs="Times New Roman"/>
      <w:color w:val="000000"/>
      <w:kern w:val="44"/>
      <w:sz w:val="36"/>
      <w:szCs w:val="20"/>
    </w:rPr>
  </w:style>
  <w:style w:type="character" w:customStyle="1" w:styleId="43">
    <w:name w:val="标题 2 Char"/>
    <w:basedOn w:val="26"/>
    <w:link w:val="4"/>
    <w:qFormat/>
    <w:uiPriority w:val="99"/>
    <w:rPr>
      <w:rFonts w:ascii="Times New Roman" w:hAnsi="Times New Roman" w:eastAsia="黑体" w:cs="Times New Roman"/>
      <w:b/>
      <w:kern w:val="0"/>
      <w:sz w:val="28"/>
      <w:szCs w:val="20"/>
    </w:rPr>
  </w:style>
  <w:style w:type="character" w:customStyle="1" w:styleId="44">
    <w:name w:val="标题 3 Char"/>
    <w:basedOn w:val="26"/>
    <w:link w:val="5"/>
    <w:qFormat/>
    <w:uiPriority w:val="99"/>
    <w:rPr>
      <w:rFonts w:ascii="Times New Roman" w:hAnsi="Times New Roman" w:eastAsia="黑体" w:cs="Times New Roman"/>
      <w:b/>
      <w:kern w:val="0"/>
      <w:sz w:val="28"/>
      <w:szCs w:val="20"/>
    </w:rPr>
  </w:style>
  <w:style w:type="character" w:customStyle="1" w:styleId="45">
    <w:name w:val="标题 4 Char"/>
    <w:basedOn w:val="26"/>
    <w:link w:val="6"/>
    <w:qFormat/>
    <w:uiPriority w:val="99"/>
    <w:rPr>
      <w:rFonts w:ascii="Arial" w:hAnsi="Times New Roman" w:eastAsia="黑体" w:cs="Times New Roman"/>
      <w:kern w:val="0"/>
      <w:sz w:val="28"/>
      <w:szCs w:val="20"/>
    </w:rPr>
  </w:style>
  <w:style w:type="character" w:customStyle="1" w:styleId="46">
    <w:name w:val="标题 9 Char"/>
    <w:basedOn w:val="26"/>
    <w:link w:val="9"/>
    <w:qFormat/>
    <w:uiPriority w:val="99"/>
    <w:rPr>
      <w:rFonts w:ascii="Times New Roman" w:hAnsi="Times New Roman" w:eastAsia="宋体" w:cs="Times New Roman"/>
      <w:szCs w:val="21"/>
    </w:rPr>
  </w:style>
  <w:style w:type="character" w:customStyle="1" w:styleId="47">
    <w:name w:val="批注文字 Char"/>
    <w:basedOn w:val="26"/>
    <w:link w:val="11"/>
    <w:qFormat/>
    <w:uiPriority w:val="99"/>
    <w:rPr>
      <w:rFonts w:ascii="Times New Roman" w:hAnsi="Times New Roman" w:eastAsia="宋体" w:cs="Times New Roman"/>
      <w:szCs w:val="24"/>
    </w:rPr>
  </w:style>
  <w:style w:type="character" w:customStyle="1" w:styleId="48">
    <w:name w:val="批注主题 Char"/>
    <w:basedOn w:val="47"/>
    <w:link w:val="23"/>
    <w:semiHidden/>
    <w:qFormat/>
    <w:uiPriority w:val="99"/>
    <w:rPr>
      <w:rFonts w:ascii="Times New Roman" w:hAnsi="Times New Roman" w:eastAsia="宋体" w:cs="Times New Roman"/>
      <w:b/>
      <w:bCs/>
      <w:szCs w:val="24"/>
    </w:rPr>
  </w:style>
  <w:style w:type="character" w:customStyle="1" w:styleId="49">
    <w:name w:val="文档结构图 Char"/>
    <w:basedOn w:val="26"/>
    <w:link w:val="10"/>
    <w:qFormat/>
    <w:uiPriority w:val="99"/>
    <w:rPr>
      <w:rFonts w:ascii="宋体" w:hAnsi="Times New Roman" w:eastAsia="宋体" w:cs="Times New Roman"/>
      <w:sz w:val="18"/>
      <w:szCs w:val="18"/>
    </w:rPr>
  </w:style>
  <w:style w:type="character" w:customStyle="1" w:styleId="50">
    <w:name w:val="正文文本 Char"/>
    <w:basedOn w:val="26"/>
    <w:link w:val="2"/>
    <w:qFormat/>
    <w:uiPriority w:val="99"/>
    <w:rPr>
      <w:rFonts w:ascii="Times New Roman" w:hAnsi="Times New Roman" w:eastAsia="宋体" w:cs="Times New Roman"/>
      <w:szCs w:val="24"/>
    </w:rPr>
  </w:style>
  <w:style w:type="character" w:customStyle="1" w:styleId="51">
    <w:name w:val="正文文本缩进 Char"/>
    <w:basedOn w:val="26"/>
    <w:link w:val="12"/>
    <w:qFormat/>
    <w:uiPriority w:val="0"/>
    <w:rPr>
      <w:rFonts w:ascii="宋体" w:hAnsi="Courier New" w:eastAsia="宋体" w:cs="Times New Roman"/>
      <w:spacing w:val="-4"/>
      <w:sz w:val="18"/>
      <w:szCs w:val="20"/>
    </w:rPr>
  </w:style>
  <w:style w:type="character" w:customStyle="1" w:styleId="52">
    <w:name w:val="纯文本 Char"/>
    <w:basedOn w:val="26"/>
    <w:link w:val="14"/>
    <w:qFormat/>
    <w:uiPriority w:val="0"/>
    <w:rPr>
      <w:rFonts w:ascii="宋体" w:hAnsi="Courier New" w:eastAsia="宋体" w:cs="Times New Roman"/>
      <w:szCs w:val="20"/>
    </w:rPr>
  </w:style>
  <w:style w:type="character" w:customStyle="1" w:styleId="53">
    <w:name w:val="日期 Char"/>
    <w:basedOn w:val="26"/>
    <w:link w:val="15"/>
    <w:qFormat/>
    <w:uiPriority w:val="99"/>
    <w:rPr>
      <w:rFonts w:ascii="Times New Roman" w:hAnsi="Times New Roman" w:eastAsia="宋体" w:cs="Times New Roman"/>
      <w:szCs w:val="24"/>
    </w:rPr>
  </w:style>
  <w:style w:type="character" w:customStyle="1" w:styleId="54">
    <w:name w:val="正文文本缩进 2 Char"/>
    <w:basedOn w:val="26"/>
    <w:link w:val="16"/>
    <w:qFormat/>
    <w:uiPriority w:val="99"/>
    <w:rPr>
      <w:rFonts w:ascii="Times New Roman" w:hAnsi="Times New Roman" w:eastAsia="宋体" w:cs="Times New Roman"/>
      <w:szCs w:val="24"/>
    </w:rPr>
  </w:style>
  <w:style w:type="character" w:customStyle="1" w:styleId="55">
    <w:name w:val="批注框文本 Char"/>
    <w:basedOn w:val="26"/>
    <w:link w:val="17"/>
    <w:qFormat/>
    <w:uiPriority w:val="0"/>
    <w:rPr>
      <w:rFonts w:ascii="Times New Roman" w:hAnsi="Times New Roman" w:eastAsia="宋体" w:cs="Times New Roman"/>
      <w:sz w:val="18"/>
      <w:szCs w:val="18"/>
    </w:rPr>
  </w:style>
  <w:style w:type="character" w:customStyle="1" w:styleId="56">
    <w:name w:val="标题 Char"/>
    <w:basedOn w:val="26"/>
    <w:link w:val="22"/>
    <w:qFormat/>
    <w:uiPriority w:val="99"/>
    <w:rPr>
      <w:rFonts w:ascii="Cambria" w:hAnsi="Cambria" w:eastAsia="宋体" w:cs="Times New Roman"/>
      <w:b/>
      <w:bCs/>
      <w:sz w:val="32"/>
      <w:szCs w:val="32"/>
    </w:rPr>
  </w:style>
  <w:style w:type="paragraph" w:customStyle="1" w:styleId="57">
    <w:name w:val="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8">
    <w:name w:val="正文段"/>
    <w:basedOn w:val="1"/>
    <w:qFormat/>
    <w:uiPriority w:val="99"/>
    <w:pPr>
      <w:widowControl/>
      <w:snapToGrid w:val="0"/>
      <w:spacing w:afterLines="50"/>
      <w:ind w:firstLine="200" w:firstLineChars="200"/>
    </w:pPr>
    <w:rPr>
      <w:kern w:val="0"/>
      <w:sz w:val="24"/>
      <w:szCs w:val="20"/>
    </w:rPr>
  </w:style>
  <w:style w:type="paragraph" w:customStyle="1" w:styleId="59">
    <w:name w:val="Char Char Char Char Char Char Char"/>
    <w:basedOn w:val="1"/>
    <w:qFormat/>
    <w:uiPriority w:val="99"/>
    <w:rPr>
      <w:szCs w:val="21"/>
    </w:rPr>
  </w:style>
  <w:style w:type="paragraph" w:customStyle="1" w:styleId="60">
    <w:name w:val="Char"/>
    <w:basedOn w:val="1"/>
    <w:qFormat/>
    <w:uiPriority w:val="99"/>
    <w:rPr>
      <w:szCs w:val="21"/>
    </w:rPr>
  </w:style>
  <w:style w:type="paragraph" w:customStyle="1" w:styleId="61">
    <w:name w:val="Char Char Char1"/>
    <w:basedOn w:val="1"/>
    <w:qFormat/>
    <w:uiPriority w:val="99"/>
    <w:rPr>
      <w:rFonts w:ascii="Tahoma" w:hAnsi="Tahoma"/>
      <w:sz w:val="24"/>
      <w:szCs w:val="20"/>
    </w:rPr>
  </w:style>
  <w:style w:type="paragraph" w:customStyle="1" w:styleId="62">
    <w:name w:val="_Style 33"/>
    <w:basedOn w:val="3"/>
    <w:next w:val="1"/>
    <w:unhideWhenUsed/>
    <w:qFormat/>
    <w:uiPriority w:val="99"/>
    <w:pPr>
      <w:widowControl/>
      <w:adjustRightInd/>
      <w:spacing w:before="480" w:line="276" w:lineRule="auto"/>
      <w:ind w:left="0"/>
      <w:jc w:val="left"/>
      <w:textAlignment w:val="auto"/>
      <w:outlineLvl w:val="9"/>
    </w:pPr>
    <w:rPr>
      <w:rFonts w:ascii="Cambria" w:hAnsi="Cambria" w:eastAsia="宋体"/>
      <w:bCs/>
      <w:color w:val="365F91"/>
      <w:kern w:val="0"/>
      <w:szCs w:val="28"/>
    </w:rPr>
  </w:style>
  <w:style w:type="character" w:customStyle="1" w:styleId="63">
    <w:name w:val="纯文本 Char2"/>
    <w:qFormat/>
    <w:uiPriority w:val="99"/>
    <w:rPr>
      <w:rFonts w:ascii="宋体" w:hAnsi="Courier New" w:eastAsia="宋体"/>
      <w:kern w:val="2"/>
      <w:sz w:val="21"/>
      <w:lang w:val="en-US" w:eastAsia="zh-CN" w:bidi="ar-SA"/>
    </w:rPr>
  </w:style>
  <w:style w:type="paragraph" w:customStyle="1" w:styleId="64">
    <w:name w:val="p16"/>
    <w:basedOn w:val="1"/>
    <w:qFormat/>
    <w:uiPriority w:val="99"/>
    <w:pPr>
      <w:widowControl/>
    </w:pPr>
    <w:rPr>
      <w:rFonts w:ascii="宋体" w:hAnsi="宋体" w:cs="宋体"/>
      <w:kern w:val="0"/>
      <w:szCs w:val="21"/>
    </w:rPr>
  </w:style>
  <w:style w:type="paragraph" w:customStyle="1" w:styleId="65">
    <w:name w:val="列出段落1"/>
    <w:basedOn w:val="1"/>
    <w:unhideWhenUsed/>
    <w:qFormat/>
    <w:uiPriority w:val="99"/>
    <w:pPr>
      <w:ind w:firstLine="420" w:firstLineChars="200"/>
    </w:pPr>
  </w:style>
  <w:style w:type="character" w:customStyle="1" w:styleId="66">
    <w:name w:val="纯文本 Char1"/>
    <w:qFormat/>
    <w:uiPriority w:val="0"/>
    <w:rPr>
      <w:rFonts w:ascii="宋体" w:hAnsi="Courier New" w:eastAsia="宋体"/>
    </w:rPr>
  </w:style>
  <w:style w:type="paragraph" w:customStyle="1" w:styleId="67">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68">
    <w:name w:val="#"/>
    <w:basedOn w:val="1"/>
    <w:qFormat/>
    <w:uiPriority w:val="99"/>
    <w:pPr>
      <w:numPr>
        <w:ilvl w:val="0"/>
        <w:numId w:val="2"/>
      </w:numPr>
      <w:tabs>
        <w:tab w:val="left" w:pos="964"/>
      </w:tabs>
      <w:spacing w:line="360" w:lineRule="auto"/>
    </w:pPr>
    <w:rPr>
      <w:sz w:val="24"/>
    </w:rPr>
  </w:style>
  <w:style w:type="paragraph" w:customStyle="1" w:styleId="69">
    <w:name w:val="列出段落2"/>
    <w:basedOn w:val="1"/>
    <w:link w:val="70"/>
    <w:unhideWhenUsed/>
    <w:qFormat/>
    <w:uiPriority w:val="99"/>
    <w:pPr>
      <w:ind w:firstLine="420" w:firstLineChars="200"/>
    </w:pPr>
  </w:style>
  <w:style w:type="character" w:customStyle="1" w:styleId="70">
    <w:name w:val="列出段落 Char"/>
    <w:link w:val="69"/>
    <w:qFormat/>
    <w:uiPriority w:val="99"/>
    <w:rPr>
      <w:rFonts w:ascii="Times New Roman" w:hAnsi="Times New Roman" w:eastAsia="宋体" w:cs="Times New Roman"/>
      <w:szCs w:val="24"/>
    </w:rPr>
  </w:style>
  <w:style w:type="paragraph" w:customStyle="1" w:styleId="71">
    <w:name w:val="列出段落21"/>
    <w:basedOn w:val="1"/>
    <w:qFormat/>
    <w:uiPriority w:val="99"/>
    <w:pPr>
      <w:ind w:firstLine="420" w:firstLineChars="200"/>
    </w:pPr>
  </w:style>
  <w:style w:type="paragraph" w:styleId="7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73">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74">
    <w:name w:val="标题 8 Char"/>
    <w:basedOn w:val="26"/>
    <w:link w:val="8"/>
    <w:qFormat/>
    <w:uiPriority w:val="99"/>
    <w:rPr>
      <w:rFonts w:asciiTheme="majorHAnsi" w:hAnsiTheme="majorHAnsi" w:eastAsiaTheme="majorEastAsia" w:cstheme="majorBidi"/>
      <w:sz w:val="24"/>
      <w:szCs w:val="24"/>
    </w:rPr>
  </w:style>
  <w:style w:type="paragraph" w:customStyle="1" w:styleId="75">
    <w:name w:val="_Style 1"/>
    <w:basedOn w:val="1"/>
    <w:qFormat/>
    <w:uiPriority w:val="99"/>
    <w:pPr>
      <w:ind w:firstLine="420" w:firstLineChars="200"/>
    </w:pPr>
  </w:style>
  <w:style w:type="character" w:customStyle="1" w:styleId="76">
    <w:name w:val="now1"/>
    <w:qFormat/>
    <w:uiPriority w:val="99"/>
    <w:rPr>
      <w:rFonts w:cs="Times New Roman"/>
    </w:rPr>
  </w:style>
  <w:style w:type="character" w:customStyle="1" w:styleId="77">
    <w:name w:val="now2"/>
    <w:qFormat/>
    <w:uiPriority w:val="99"/>
    <w:rPr>
      <w:rFonts w:cs="Times New Roman"/>
    </w:rPr>
  </w:style>
  <w:style w:type="character" w:customStyle="1" w:styleId="78">
    <w:name w:val="reason"/>
    <w:qFormat/>
    <w:uiPriority w:val="99"/>
    <w:rPr>
      <w:rFonts w:cs="Times New Roman"/>
      <w:color w:val="999999"/>
    </w:rPr>
  </w:style>
  <w:style w:type="character" w:customStyle="1" w:styleId="79">
    <w:name w:val="inq"/>
    <w:qFormat/>
    <w:uiPriority w:val="99"/>
    <w:rPr>
      <w:rFonts w:cs="Times New Roman"/>
      <w:color w:val="333333"/>
    </w:rPr>
  </w:style>
  <w:style w:type="character" w:customStyle="1" w:styleId="80">
    <w:name w:val="inq1"/>
    <w:qFormat/>
    <w:uiPriority w:val="99"/>
    <w:rPr>
      <w:rFonts w:cs="Times New Roman"/>
    </w:rPr>
  </w:style>
  <w:style w:type="character" w:customStyle="1" w:styleId="81">
    <w:name w:val="submit4"/>
    <w:qFormat/>
    <w:uiPriority w:val="99"/>
    <w:rPr>
      <w:rFonts w:cs="Times New Roman"/>
    </w:rPr>
  </w:style>
  <w:style w:type="character" w:customStyle="1" w:styleId="82">
    <w:name w:val="pl9"/>
    <w:qFormat/>
    <w:uiPriority w:val="99"/>
    <w:rPr>
      <w:rFonts w:cs="Times New Roman"/>
    </w:rPr>
  </w:style>
  <w:style w:type="character" w:customStyle="1" w:styleId="83">
    <w:name w:val="pl10"/>
    <w:qFormat/>
    <w:uiPriority w:val="99"/>
    <w:rPr>
      <w:rFonts w:cs="Times New Roman"/>
    </w:rPr>
  </w:style>
  <w:style w:type="character" w:customStyle="1" w:styleId="84">
    <w:name w:val="info"/>
    <w:qFormat/>
    <w:uiPriority w:val="99"/>
    <w:rPr>
      <w:rFonts w:cs="Times New Roman"/>
      <w:color w:val="666666"/>
    </w:rPr>
  </w:style>
  <w:style w:type="character" w:customStyle="1" w:styleId="85">
    <w:name w:val="up2"/>
    <w:qFormat/>
    <w:uiPriority w:val="99"/>
    <w:rPr>
      <w:rFonts w:cs="Times New Roman"/>
    </w:rPr>
  </w:style>
  <w:style w:type="character" w:customStyle="1" w:styleId="86">
    <w:name w:val="subject-rate2"/>
    <w:qFormat/>
    <w:uiPriority w:val="99"/>
    <w:rPr>
      <w:rFonts w:cs="Times New Roman"/>
      <w:color w:val="E09015"/>
    </w:rPr>
  </w:style>
  <w:style w:type="character" w:customStyle="1" w:styleId="87">
    <w:name w:val="up"/>
    <w:qFormat/>
    <w:uiPriority w:val="99"/>
    <w:rPr>
      <w:rFonts w:cs="Times New Roman"/>
    </w:rPr>
  </w:style>
  <w:style w:type="character" w:customStyle="1" w:styleId="88">
    <w:name w:val="now"/>
    <w:qFormat/>
    <w:uiPriority w:val="99"/>
    <w:rPr>
      <w:rFonts w:cs="Times New Roman"/>
    </w:rPr>
  </w:style>
  <w:style w:type="character" w:customStyle="1" w:styleId="89">
    <w:name w:val="submit"/>
    <w:qFormat/>
    <w:uiPriority w:val="99"/>
    <w:rPr>
      <w:rFonts w:cs="Times New Roman"/>
      <w:vanish/>
    </w:rPr>
  </w:style>
  <w:style w:type="character" w:customStyle="1" w:styleId="90">
    <w:name w:val="pl7"/>
    <w:qFormat/>
    <w:uiPriority w:val="99"/>
    <w:rPr>
      <w:rFonts w:cs="Times New Roman"/>
    </w:rPr>
  </w:style>
  <w:style w:type="character" w:customStyle="1" w:styleId="91">
    <w:name w:val="info12"/>
    <w:qFormat/>
    <w:uiPriority w:val="99"/>
    <w:rPr>
      <w:rFonts w:cs="Times New Roman"/>
      <w:color w:val="666666"/>
    </w:rPr>
  </w:style>
  <w:style w:type="character" w:customStyle="1" w:styleId="92">
    <w:name w:val="pl8"/>
    <w:qFormat/>
    <w:uiPriority w:val="99"/>
    <w:rPr>
      <w:rFonts w:cs="Times New Roman"/>
    </w:rPr>
  </w:style>
  <w:style w:type="paragraph" w:customStyle="1" w:styleId="93">
    <w:name w:val="列出段落3"/>
    <w:basedOn w:val="1"/>
    <w:qFormat/>
    <w:uiPriority w:val="99"/>
    <w:pPr>
      <w:spacing w:afterLines="50" w:line="560" w:lineRule="exact"/>
      <w:ind w:firstLine="420" w:firstLineChars="200"/>
      <w:jc w:val="center"/>
    </w:pPr>
    <w:rPr>
      <w:rFonts w:ascii="Calibri" w:hAnsi="Calibri"/>
      <w:szCs w:val="22"/>
    </w:rPr>
  </w:style>
  <w:style w:type="paragraph" w:customStyle="1" w:styleId="94">
    <w:name w:val="p15"/>
    <w:basedOn w:val="1"/>
    <w:qFormat/>
    <w:uiPriority w:val="0"/>
    <w:pPr>
      <w:widowControl/>
    </w:pPr>
    <w:rPr>
      <w:rFonts w:ascii="宋体" w:hAnsi="宋体" w:cs="宋体"/>
      <w:kern w:val="0"/>
      <w:sz w:val="20"/>
      <w:szCs w:val="20"/>
    </w:rPr>
  </w:style>
  <w:style w:type="paragraph" w:customStyle="1" w:styleId="95">
    <w:name w:val="Table Paragraph"/>
    <w:basedOn w:val="1"/>
    <w:qFormat/>
    <w:uiPriority w:val="1"/>
    <w:rPr>
      <w:rFonts w:ascii="宋体" w:hAnsi="宋体" w:eastAsia="宋体" w:cs="宋体"/>
      <w:lang w:val="zh-CN" w:eastAsia="zh-CN" w:bidi="zh-CN"/>
    </w:rPr>
  </w:style>
  <w:style w:type="paragraph" w:customStyle="1" w:styleId="96">
    <w:name w:val="样式2"/>
    <w:basedOn w:val="4"/>
    <w:qFormat/>
    <w:uiPriority w:val="0"/>
    <w:pPr>
      <w:spacing w:line="415" w:lineRule="auto"/>
      <w:jc w:val="center"/>
    </w:pPr>
    <w:rPr>
      <w:rFonts w:eastAsia="华文中宋"/>
      <w:sz w:val="36"/>
      <w:szCs w:val="36"/>
    </w:rPr>
  </w:style>
  <w:style w:type="paragraph" w:customStyle="1" w:styleId="97">
    <w:name w:val="cjk"/>
    <w:basedOn w:val="1"/>
    <w:qFormat/>
    <w:uiPriority w:val="0"/>
    <w:pPr>
      <w:adjustRightInd/>
      <w:snapToGrid/>
      <w:spacing w:after="0" w:line="480" w:lineRule="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5050</Words>
  <Characters>28787</Characters>
  <Lines>239</Lines>
  <Paragraphs>67</Paragraphs>
  <TotalTime>1</TotalTime>
  <ScaleCrop>false</ScaleCrop>
  <LinksUpToDate>false</LinksUpToDate>
  <CharactersWithSpaces>33770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2019-03-22T00:26:00Z</dcterms:created>
  <dc:creator>NTKO</dc:creator>
  <cp:lastModifiedBy>DELL</cp:lastModifiedBy>
  <cp:lastPrinted>2019-10-15T07:23:00Z</cp:lastPrinted>
  <dcterms:modified xsi:type="dcterms:W3CDTF">2020-07-02T07:48:42Z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