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 w:cstheme="minorEastAsia"/>
          <w:sz w:val="30"/>
          <w:szCs w:val="30"/>
        </w:rPr>
        <w:t>中资国际工程咨询集团有限责任公司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收视调查数据服务项目采购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（ZZGJ2019-D3-0148-ZZGJ）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ZZGJ2019-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3-0148-ZZGJ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收视调查数据服务项目采购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三、中标信息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供应商名称：中国广视索福瑞媒介研究有限责任公司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供应商地址：北京市朝阳区建国路甲92号24层  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人民币陆佰肆拾万元整（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¥6,400,000.00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四、主要标的信息</w:t>
      </w:r>
    </w:p>
    <w:tbl>
      <w:tblPr>
        <w:tblStyle w:val="7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收视调查数据服务项目采购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服务范围：全国范围内有代表性的城市组（31个省会级城市和四个计划单列市）的收视率数据；南宁地区收视率数据；广西本地（包含农村地区） 收视率数据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服务时间：签订合同后20日内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五、单一来源采购人员名单：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梁耿彦、戴励、畅创泽、何思龙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六、代理服务收费标准及金额：本项目代理服务费按固定金额收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取，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柒仟元整（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¥7,000.00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七、公告期限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八、其他补充事宜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:无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九、凡对本次公告内容提出询问，请按以下方式联系。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名称：广西广播电视台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地址：南宁市民族大道73-75号　　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0771-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2091986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　　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名称：中资国际工程咨询集团有限责任公司　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地址：南宁市青秀区长园路8号大地华城S3-01号商场三楼　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联系方式：0771-5675006　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项目联系方式</w:t>
      </w:r>
      <w:bookmarkEnd w:id="10"/>
      <w:bookmarkEnd w:id="11"/>
      <w:bookmarkEnd w:id="12"/>
      <w:bookmarkEnd w:id="13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电话：0771-5675006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中资国际工程咨询集团有限责任公司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2020年7月7</w:t>
      </w:r>
      <w:bookmarkStart w:id="14" w:name="_GoBack"/>
      <w:bookmarkEnd w:id="14"/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62CF"/>
    <w:multiLevelType w:val="singleLevel"/>
    <w:tmpl w:val="2AE062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551A6"/>
    <w:rsid w:val="1BE3008C"/>
    <w:rsid w:val="2D002C05"/>
    <w:rsid w:val="3BBD1C02"/>
    <w:rsid w:val="64305834"/>
    <w:rsid w:val="6EFF7B87"/>
    <w:rsid w:val="6FD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2020-07-06T03:58:00Z</dcterms:created>
  <dc:creator>张火华</dc:creator>
  <cp:lastModifiedBy>张火华</cp:lastModifiedBy>
  <dcterms:modified xsi:type="dcterms:W3CDTF">2020-07-06T09:41:37Z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