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20" w:lineRule="exact"/>
        <w:jc w:val="center"/>
        <w:outlineLvl w:val="0"/>
        <w:rPr>
          <w:rFonts w:hint="eastAsia" w:ascii="宋体" w:hAnsi="宋体" w:cs="宋体"/>
          <w:b/>
          <w:sz w:val="30"/>
          <w:szCs w:val="30"/>
        </w:rPr>
      </w:pPr>
    </w:p>
    <w:p>
      <w:pPr>
        <w:numPr>
          <w:ilvl w:val="0"/>
          <w:numId w:val="0"/>
        </w:numPr>
        <w:spacing w:line="320" w:lineRule="exact"/>
        <w:jc w:val="center"/>
        <w:outlineLvl w:val="0"/>
        <w:rPr>
          <w:rFonts w:hint="eastAsia" w:ascii="宋体" w:hAnsi="宋体" w:cs="宋体"/>
          <w:b/>
          <w:sz w:val="28"/>
          <w:szCs w:val="28"/>
        </w:rPr>
      </w:pPr>
      <w:r>
        <w:rPr>
          <w:rFonts w:hint="eastAsia" w:ascii="宋体" w:hAnsi="宋体" w:cs="宋体"/>
          <w:b/>
          <w:sz w:val="28"/>
          <w:szCs w:val="28"/>
        </w:rPr>
        <w:t>广西鑫磐工程项目管理有限责任公司</w:t>
      </w:r>
      <w:r>
        <w:rPr>
          <w:rFonts w:hint="eastAsia" w:ascii="宋体" w:hAnsi="宋体" w:cs="宋体"/>
          <w:b/>
          <w:sz w:val="28"/>
          <w:szCs w:val="28"/>
          <w:lang w:val="en-US" w:eastAsia="zh-CN"/>
        </w:rPr>
        <w:t>关于</w:t>
      </w:r>
      <w:r>
        <w:rPr>
          <w:rFonts w:hint="eastAsia" w:ascii="宋体" w:hAnsi="宋体" w:cs="宋体"/>
          <w:b/>
          <w:sz w:val="28"/>
          <w:szCs w:val="28"/>
        </w:rPr>
        <w:t>全州县公共实训基地配套设施</w:t>
      </w:r>
      <w:r>
        <w:rPr>
          <w:rFonts w:hint="eastAsia" w:ascii="宋体" w:hAnsi="宋体" w:cs="宋体"/>
          <w:b/>
          <w:sz w:val="28"/>
          <w:szCs w:val="28"/>
          <w:lang w:eastAsia="zh-CN"/>
        </w:rPr>
        <w:t>（GLZC2020-G1-10048-GXXP）</w:t>
      </w:r>
      <w:r>
        <w:rPr>
          <w:rFonts w:hint="eastAsia" w:ascii="宋体" w:hAnsi="宋体" w:cs="宋体"/>
          <w:b/>
          <w:sz w:val="28"/>
          <w:szCs w:val="28"/>
        </w:rPr>
        <w:t>公开招标公告</w:t>
      </w:r>
    </w:p>
    <w:p>
      <w:pPr>
        <w:pStyle w:val="2"/>
        <w:rPr>
          <w:rFonts w:hint="eastAsia"/>
        </w:rPr>
      </w:pPr>
    </w:p>
    <w:tbl>
      <w:tblPr>
        <w:tblStyle w:val="5"/>
        <w:tblW w:w="969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690" w:type="dxa"/>
            <w:noWrap w:val="0"/>
            <w:vAlign w:val="top"/>
          </w:tcPr>
          <w:p>
            <w:pPr>
              <w:spacing w:line="400" w:lineRule="exact"/>
              <w:jc w:val="left"/>
              <w:rPr>
                <w:rFonts w:hint="eastAsia" w:ascii="宋体" w:hAnsi="宋体" w:cs="宋体"/>
                <w:b/>
                <w:bCs/>
                <w:color w:val="auto"/>
                <w:sz w:val="24"/>
              </w:rPr>
            </w:pPr>
            <w:r>
              <w:rPr>
                <w:rFonts w:hint="eastAsia" w:ascii="宋体" w:hAnsi="宋体" w:cs="宋体"/>
                <w:b/>
                <w:bCs/>
                <w:color w:val="auto"/>
                <w:sz w:val="24"/>
              </w:rPr>
              <w:t>项目概况</w:t>
            </w:r>
          </w:p>
          <w:p>
            <w:pPr>
              <w:wordWrap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全州县公共实训基地配套设施招标项目的潜在投标人应在http://gl.zfcg.zcygov.cn/（桂林市政府采购网）或</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"http://www.glggzy.org.cn/" </w:instrText>
            </w:r>
            <w:r>
              <w:rPr>
                <w:rFonts w:hint="eastAsia" w:ascii="宋体" w:hAnsi="宋体" w:cs="宋体"/>
                <w:color w:val="auto"/>
                <w:szCs w:val="21"/>
              </w:rPr>
              <w:fldChar w:fldCharType="separate"/>
            </w:r>
            <w:r>
              <w:rPr>
                <w:rFonts w:hint="eastAsia" w:ascii="宋体" w:hAnsi="宋体" w:cs="宋体"/>
                <w:color w:val="auto"/>
                <w:szCs w:val="21"/>
                <w:lang w:eastAsia="zh-CN"/>
              </w:rPr>
              <w:t>http://glggzy.org.cn/</w:t>
            </w:r>
            <w:r>
              <w:rPr>
                <w:rFonts w:hint="eastAsia" w:ascii="宋体" w:hAnsi="宋体" w:cs="宋体"/>
                <w:color w:val="auto"/>
                <w:szCs w:val="21"/>
              </w:rPr>
              <w:fldChar w:fldCharType="end"/>
            </w:r>
            <w:r>
              <w:rPr>
                <w:rFonts w:hint="eastAsia" w:ascii="宋体" w:hAnsi="宋体" w:cs="宋体"/>
                <w:color w:val="auto"/>
                <w:szCs w:val="21"/>
              </w:rPr>
              <w:t>（桂林市公共资源交易中心网）免费下载获取招标文件，并于2020年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w:t>
            </w:r>
            <w:r>
              <w:rPr>
                <w:rFonts w:hint="eastAsia" w:ascii="宋体" w:hAnsi="宋体" w:cs="宋体"/>
                <w:color w:val="auto"/>
                <w:szCs w:val="21"/>
                <w:lang w:val="en-US" w:eastAsia="zh-CN"/>
              </w:rPr>
              <w:t>11</w:t>
            </w:r>
            <w:r>
              <w:rPr>
                <w:rFonts w:hint="eastAsia" w:ascii="宋体" w:hAnsi="宋体" w:cs="宋体"/>
                <w:color w:val="auto"/>
                <w:szCs w:val="21"/>
              </w:rPr>
              <w:t>点</w:t>
            </w:r>
            <w:r>
              <w:rPr>
                <w:rFonts w:hint="eastAsia" w:ascii="宋体" w:hAnsi="宋体" w:cs="宋体"/>
                <w:color w:val="auto"/>
                <w:szCs w:val="21"/>
                <w:lang w:val="en-US" w:eastAsia="zh-CN"/>
              </w:rPr>
              <w:t>00</w:t>
            </w:r>
            <w:r>
              <w:rPr>
                <w:rFonts w:hint="eastAsia" w:ascii="宋体" w:hAnsi="宋体" w:cs="宋体"/>
                <w:color w:val="auto"/>
                <w:szCs w:val="21"/>
              </w:rPr>
              <w:t>分（北京时间）前递交投标文件。</w:t>
            </w:r>
          </w:p>
        </w:tc>
      </w:tr>
    </w:tbl>
    <w:p>
      <w:pPr>
        <w:spacing w:line="400" w:lineRule="exact"/>
        <w:jc w:val="left"/>
        <w:rPr>
          <w:rFonts w:hint="eastAsia" w:ascii="宋体" w:hAnsi="宋体" w:cs="宋体"/>
          <w:b/>
          <w:bCs/>
          <w:color w:val="auto"/>
          <w:szCs w:val="21"/>
        </w:rPr>
      </w:pPr>
      <w:r>
        <w:rPr>
          <w:rFonts w:hint="eastAsia" w:ascii="宋体" w:hAnsi="宋体" w:cs="宋体"/>
          <w:b/>
          <w:bCs/>
          <w:color w:val="auto"/>
          <w:szCs w:val="21"/>
        </w:rPr>
        <w:t>一、项目基本情况</w:t>
      </w:r>
    </w:p>
    <w:p>
      <w:pPr>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1.项目编号：GLZC2020-G1-10048-GXXP</w:t>
      </w:r>
    </w:p>
    <w:p>
      <w:pPr>
        <w:spacing w:line="400" w:lineRule="exact"/>
        <w:ind w:firstLine="210" w:firstLineChars="100"/>
        <w:jc w:val="left"/>
        <w:rPr>
          <w:rFonts w:hint="eastAsia" w:ascii="宋体" w:hAnsi="宋体" w:cs="宋体"/>
          <w:color w:val="auto"/>
          <w:szCs w:val="21"/>
        </w:rPr>
      </w:pPr>
      <w:r>
        <w:rPr>
          <w:rFonts w:hint="eastAsia" w:ascii="宋体" w:hAnsi="宋体" w:cs="宋体"/>
          <w:color w:val="auto"/>
          <w:szCs w:val="21"/>
        </w:rPr>
        <w:t>2.项目名称：全州县公共实训基地配套设施</w:t>
      </w:r>
    </w:p>
    <w:p>
      <w:pPr>
        <w:spacing w:line="400" w:lineRule="exact"/>
        <w:ind w:firstLine="210" w:firstLineChars="100"/>
        <w:jc w:val="left"/>
        <w:rPr>
          <w:rFonts w:ascii="宋体" w:hAnsi="宋体" w:cs="宋体"/>
          <w:szCs w:val="21"/>
        </w:rPr>
      </w:pPr>
      <w:r>
        <w:rPr>
          <w:rFonts w:hint="eastAsia" w:ascii="宋体" w:hAnsi="宋体" w:cs="宋体"/>
          <w:szCs w:val="21"/>
        </w:rPr>
        <w:t>3.采购方式：公开招标</w:t>
      </w:r>
    </w:p>
    <w:p>
      <w:pPr>
        <w:spacing w:line="400" w:lineRule="exact"/>
        <w:ind w:firstLine="210" w:firstLineChars="100"/>
        <w:jc w:val="left"/>
        <w:rPr>
          <w:rFonts w:hint="eastAsia" w:ascii="宋体" w:hAnsi="宋体" w:cs="宋体"/>
          <w:szCs w:val="21"/>
        </w:rPr>
      </w:pPr>
      <w:r>
        <w:rPr>
          <w:rFonts w:hint="eastAsia" w:ascii="宋体" w:hAnsi="宋体" w:cs="宋体"/>
          <w:szCs w:val="21"/>
        </w:rPr>
        <w:t>4.预算金额：贰佰捌拾贰万肆仟陆佰捌拾贰万元（￥2824682.00）</w:t>
      </w:r>
    </w:p>
    <w:p>
      <w:pPr>
        <w:spacing w:line="400" w:lineRule="exact"/>
        <w:ind w:firstLine="210" w:firstLineChars="100"/>
        <w:jc w:val="left"/>
        <w:rPr>
          <w:rFonts w:ascii="宋体" w:hAnsi="宋体" w:cs="宋体"/>
          <w:szCs w:val="21"/>
        </w:rPr>
      </w:pPr>
      <w:r>
        <w:rPr>
          <w:rFonts w:hint="eastAsia" w:ascii="宋体" w:hAnsi="宋体" w:cs="宋体"/>
          <w:szCs w:val="21"/>
        </w:rPr>
        <w:t>5.采购需求：标的的名称、数量、简要技术需求或服务要求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70"/>
        <w:gridCol w:w="1290"/>
        <w:gridCol w:w="135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pStyle w:val="7"/>
              <w:spacing w:line="400" w:lineRule="exact"/>
              <w:jc w:val="center"/>
              <w:rPr>
                <w:rFonts w:hint="eastAsia" w:hAnsi="宋体"/>
                <w:color w:val="auto"/>
                <w:sz w:val="21"/>
                <w:szCs w:val="21"/>
              </w:rPr>
            </w:pPr>
            <w:r>
              <w:rPr>
                <w:rFonts w:hint="eastAsia" w:hAnsi="宋体"/>
                <w:b/>
                <w:bCs/>
                <w:color w:val="auto"/>
                <w:sz w:val="21"/>
                <w:szCs w:val="21"/>
              </w:rPr>
              <w:t>序号</w:t>
            </w:r>
          </w:p>
        </w:tc>
        <w:tc>
          <w:tcPr>
            <w:tcW w:w="3070" w:type="dxa"/>
            <w:noWrap w:val="0"/>
            <w:vAlign w:val="center"/>
          </w:tcPr>
          <w:p>
            <w:pPr>
              <w:pStyle w:val="7"/>
              <w:spacing w:line="400" w:lineRule="exact"/>
              <w:jc w:val="center"/>
              <w:rPr>
                <w:rFonts w:hint="eastAsia" w:hAnsi="宋体"/>
                <w:color w:val="auto"/>
                <w:sz w:val="21"/>
                <w:szCs w:val="21"/>
              </w:rPr>
            </w:pPr>
            <w:r>
              <w:rPr>
                <w:rFonts w:hint="eastAsia" w:hAnsi="宋体"/>
                <w:b/>
                <w:bCs/>
                <w:color w:val="auto"/>
                <w:sz w:val="21"/>
                <w:szCs w:val="21"/>
              </w:rPr>
              <w:t>货物名称</w:t>
            </w:r>
          </w:p>
        </w:tc>
        <w:tc>
          <w:tcPr>
            <w:tcW w:w="1290" w:type="dxa"/>
            <w:noWrap w:val="0"/>
            <w:vAlign w:val="center"/>
          </w:tcPr>
          <w:p>
            <w:pPr>
              <w:pStyle w:val="7"/>
              <w:spacing w:line="400" w:lineRule="exact"/>
              <w:jc w:val="center"/>
              <w:rPr>
                <w:rFonts w:hint="eastAsia" w:hAnsi="宋体"/>
                <w:color w:val="auto"/>
                <w:sz w:val="21"/>
                <w:szCs w:val="21"/>
              </w:rPr>
            </w:pPr>
            <w:r>
              <w:rPr>
                <w:rFonts w:hint="eastAsia" w:hAnsi="宋体"/>
                <w:b/>
                <w:bCs/>
                <w:color w:val="auto"/>
                <w:sz w:val="21"/>
                <w:szCs w:val="21"/>
              </w:rPr>
              <w:t>数量</w:t>
            </w:r>
          </w:p>
        </w:tc>
        <w:tc>
          <w:tcPr>
            <w:tcW w:w="1357" w:type="dxa"/>
            <w:noWrap w:val="0"/>
            <w:vAlign w:val="center"/>
          </w:tcPr>
          <w:p>
            <w:pPr>
              <w:spacing w:line="400" w:lineRule="exact"/>
              <w:jc w:val="center"/>
              <w:rPr>
                <w:rFonts w:hint="eastAsia" w:ascii="宋体" w:hAnsi="宋体" w:cs="宋体"/>
                <w:szCs w:val="21"/>
              </w:rPr>
            </w:pPr>
            <w:r>
              <w:rPr>
                <w:rFonts w:hint="eastAsia" w:ascii="宋体" w:hAnsi="宋体" w:cs="宋体"/>
                <w:b/>
                <w:bCs/>
                <w:szCs w:val="21"/>
              </w:rPr>
              <w:t>单位</w:t>
            </w:r>
          </w:p>
        </w:tc>
        <w:tc>
          <w:tcPr>
            <w:tcW w:w="2025" w:type="dxa"/>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63" w:type="dxa"/>
            <w:gridSpan w:val="4"/>
            <w:noWrap w:val="0"/>
            <w:vAlign w:val="center"/>
          </w:tcPr>
          <w:p>
            <w:pPr>
              <w:tabs>
                <w:tab w:val="left" w:pos="298"/>
              </w:tabs>
              <w:spacing w:line="400" w:lineRule="exact"/>
              <w:rPr>
                <w:rFonts w:hint="eastAsia" w:ascii="宋体" w:hAnsi="宋体" w:cs="宋体"/>
                <w:b/>
                <w:bCs/>
                <w:szCs w:val="21"/>
              </w:rPr>
            </w:pPr>
            <w:r>
              <w:rPr>
                <w:rFonts w:hint="eastAsia" w:ascii="宋体" w:hAnsi="宋体" w:cs="宋体"/>
                <w:b/>
                <w:bCs/>
                <w:szCs w:val="21"/>
              </w:rPr>
              <w:t>一、视频监控系统</w:t>
            </w:r>
          </w:p>
        </w:tc>
        <w:tc>
          <w:tcPr>
            <w:tcW w:w="2025" w:type="dxa"/>
            <w:vMerge w:val="restart"/>
            <w:noWrap w:val="0"/>
            <w:vAlign w:val="center"/>
          </w:tcPr>
          <w:p>
            <w:pPr>
              <w:spacing w:line="360" w:lineRule="exact"/>
              <w:rPr>
                <w:rFonts w:hint="eastAsia" w:ascii="宋体" w:hAnsi="宋体" w:cs="宋体"/>
                <w:szCs w:val="21"/>
              </w:rPr>
            </w:pPr>
            <w:r>
              <w:rPr>
                <w:rFonts w:hint="eastAsia" w:ascii="宋体" w:hAnsi="宋体" w:cs="宋体"/>
                <w:szCs w:val="21"/>
              </w:rPr>
              <w:t>如需进一步了解详细内容，详见招标文件。</w:t>
            </w:r>
          </w:p>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63" w:type="dxa"/>
            <w:gridSpan w:val="4"/>
            <w:noWrap w:val="0"/>
            <w:vAlign w:val="center"/>
          </w:tcPr>
          <w:p>
            <w:pPr>
              <w:spacing w:line="400" w:lineRule="exact"/>
              <w:jc w:val="left"/>
              <w:rPr>
                <w:rFonts w:ascii="宋体" w:hAnsi="宋体" w:cs="宋体"/>
                <w:szCs w:val="21"/>
              </w:rPr>
            </w:pPr>
            <w:r>
              <w:rPr>
                <w:rFonts w:hint="eastAsia" w:ascii="宋体" w:hAnsi="宋体" w:cs="宋体"/>
                <w:b/>
                <w:bCs/>
                <w:szCs w:val="21"/>
              </w:rPr>
              <w:t>（一）食堂</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红外高清网络枪机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超五类非屏蔽双绞线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箱</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24口千兆交换机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千兆单模光模块</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枪机电源适配器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插座</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2p漏电开关</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8</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终端盒</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hint="eastAsia" w:ascii="宋体" w:hAnsi="宋体" w:cs="宋体"/>
                <w:szCs w:val="21"/>
              </w:rPr>
            </w:pPr>
            <w:r>
              <w:rPr>
                <w:rFonts w:hint="eastAsia" w:ascii="宋体" w:hAnsi="宋体" w:cs="宋体"/>
                <w:szCs w:val="21"/>
              </w:rPr>
              <w:t>9</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跳线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10</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电源线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480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11</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pvc线管</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300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12</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机柜</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13</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14</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五孔插座（明装）</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15</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枪机壁挂支架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（二）宿舍</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16</w:t>
            </w:r>
          </w:p>
        </w:tc>
        <w:tc>
          <w:tcPr>
            <w:tcW w:w="3070" w:type="dxa"/>
            <w:noWrap w:val="0"/>
            <w:vAlign w:val="center"/>
          </w:tcPr>
          <w:p>
            <w:pPr>
              <w:widowControl/>
              <w:spacing w:line="400" w:lineRule="exact"/>
              <w:jc w:val="center"/>
              <w:textAlignment w:val="center"/>
              <w:rPr>
                <w:rFonts w:hint="eastAsia" w:ascii="宋体" w:hAnsi="宋体"/>
                <w:szCs w:val="21"/>
              </w:rPr>
            </w:pPr>
            <w:r>
              <w:rPr>
                <w:rFonts w:hint="eastAsia" w:ascii="宋体" w:hAnsi="宋体"/>
                <w:szCs w:val="21"/>
              </w:rPr>
              <w:t>红外高清网络枪机</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超五类非屏蔽双绞线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5</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箱</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24口千兆交换机</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千兆单模光模块</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枪机电源适配器</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插座</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2p漏电开关</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终端盒</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跳线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电源线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1280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pvc线管</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100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12u机柜</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五孔插座（明装）</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枪机壁挂支架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（三）实训综合楼</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红外高清网络枪机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超五类非屏蔽双绞线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箱</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24口千兆交换机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千兆单模光模块</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枪机电源适配器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插座</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2p漏电开关</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终端盒</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跳线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8</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电源线</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1000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pvc线管</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100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12u机柜</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五孔插座（明装）</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枪机壁挂支架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63" w:type="dxa"/>
            <w:gridSpan w:val="4"/>
            <w:noWrap w:val="0"/>
            <w:vAlign w:val="center"/>
          </w:tcPr>
          <w:p>
            <w:pPr>
              <w:spacing w:line="240" w:lineRule="exact"/>
              <w:jc w:val="left"/>
              <w:rPr>
                <w:rFonts w:ascii="宋体" w:hAnsi="宋体" w:cs="宋体"/>
                <w:szCs w:val="21"/>
                <w:highlight w:val="red"/>
              </w:rPr>
            </w:pPr>
            <w:r>
              <w:rPr>
                <w:rFonts w:hint="eastAsia" w:ascii="宋体" w:hAnsi="宋体"/>
                <w:b/>
                <w:bCs/>
                <w:szCs w:val="21"/>
              </w:rPr>
              <w:t>（四）监控系统控制中心</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管理中心平台（含服务器）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控制电脑</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存储服务器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企业硬盘</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48</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视频监控安全网关</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安防核心交换机</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千兆单模光模块</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拼接屏</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拼接屏支架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高清解码器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桥架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50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通电主电缆</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200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市电配电柜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UPS输出配电柜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安防UPS主机</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蓄电池</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电池柜</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42U机柜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pdu电源时序器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24口光纤配线架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三联控制台</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UPS电缆</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1000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UPS配电柜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70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防静电地板</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20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m2</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（五）辅助材料</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71</w:t>
            </w:r>
          </w:p>
        </w:tc>
        <w:tc>
          <w:tcPr>
            <w:tcW w:w="3070" w:type="dxa"/>
            <w:noWrap w:val="0"/>
            <w:vAlign w:val="center"/>
          </w:tcPr>
          <w:p>
            <w:pPr>
              <w:widowControl/>
              <w:spacing w:line="400" w:lineRule="exact"/>
              <w:jc w:val="center"/>
              <w:textAlignment w:val="center"/>
              <w:rPr>
                <w:rFonts w:hint="eastAsia" w:ascii="宋体" w:hAnsi="宋体"/>
                <w:szCs w:val="21"/>
              </w:rPr>
            </w:pPr>
            <w:r>
              <w:rPr>
                <w:rFonts w:hint="eastAsia" w:ascii="宋体" w:hAnsi="宋体"/>
                <w:szCs w:val="21"/>
              </w:rPr>
              <w:t>辅助材料</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批</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63" w:type="dxa"/>
            <w:gridSpan w:val="4"/>
            <w:noWrap w:val="0"/>
            <w:vAlign w:val="center"/>
          </w:tcPr>
          <w:p>
            <w:pPr>
              <w:spacing w:line="240" w:lineRule="exact"/>
              <w:jc w:val="left"/>
              <w:rPr>
                <w:rFonts w:hint="eastAsia" w:ascii="宋体" w:hAnsi="宋体" w:cs="宋体"/>
                <w:szCs w:val="21"/>
              </w:rPr>
            </w:pPr>
            <w:r>
              <w:rPr>
                <w:rFonts w:hint="eastAsia" w:ascii="宋体" w:hAnsi="宋体"/>
                <w:b/>
                <w:bCs/>
                <w:szCs w:val="21"/>
              </w:rPr>
              <w:t>二、综合布线及计算机网络</w:t>
            </w:r>
          </w:p>
        </w:tc>
        <w:tc>
          <w:tcPr>
            <w:tcW w:w="2025" w:type="dxa"/>
            <w:vMerge w:val="continue"/>
            <w:noWrap w:val="0"/>
            <w:vAlign w:val="center"/>
          </w:tcPr>
          <w:p>
            <w:pPr>
              <w:spacing w:line="2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（一）食堂</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六类非屏蔽双绞线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箱</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同轴电缆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50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电视面板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一分四有线电视模块条</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无线AP</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s="宋体"/>
                <w:szCs w:val="21"/>
              </w:rPr>
              <w:t>五孔插座</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pvc线管</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50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（二）宿舍楼</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18口千兆交换</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单口面板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48</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六类非屏蔽模块</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电视面板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四芯电话模块</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电视前端箱</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一分16电视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电话前端箱</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50口电话配线架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大对数线缆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250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同轴电缆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1000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同轴电缆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50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通信电缆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1920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六类非屏蔽双绞线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箱</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六类配线架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终端盒</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光纤尾纤</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光纤跳线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27</w:t>
            </w:r>
          </w:p>
        </w:tc>
        <w:tc>
          <w:tcPr>
            <w:tcW w:w="307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机柜</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（三）实训综合楼</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24口千兆交换</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无线AP</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单口面板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69</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六类非屏蔽模块</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四芯电话模块</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大对数线缆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100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电话前端箱</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50口电话配线架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通信电缆</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2800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六类非屏蔽双绞线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19</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箱</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六类配线架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终端盒</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光纤尾纤</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光纤跳线</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24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63" w:type="dxa"/>
            <w:gridSpan w:val="4"/>
            <w:noWrap w:val="0"/>
            <w:vAlign w:val="center"/>
          </w:tcPr>
          <w:p>
            <w:pPr>
              <w:spacing w:line="240" w:lineRule="exact"/>
              <w:jc w:val="left"/>
              <w:rPr>
                <w:rFonts w:ascii="宋体" w:hAnsi="宋体" w:cs="宋体"/>
                <w:szCs w:val="21"/>
                <w:highlight w:val="red"/>
              </w:rPr>
            </w:pPr>
            <w:r>
              <w:rPr>
                <w:rFonts w:hint="eastAsia" w:ascii="宋体" w:hAnsi="宋体"/>
                <w:b/>
                <w:bCs/>
                <w:szCs w:val="21"/>
              </w:rPr>
              <w:t>（四）网络中心机房</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防静电地板</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20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m2</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精密空调</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服务器机柜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机房UPS主机</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蓄电池</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电池柜</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进电配电柜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送电配电柜</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机房总电源线</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58</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监控主电源线</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500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室外4芯单模光纤</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500</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24口光纤配线架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理线架</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程控交换机</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核心交换机</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bookmarkStart w:id="0" w:name="_GoBack" w:colFirst="1" w:colLast="1"/>
            <w:r>
              <w:rPr>
                <w:rFonts w:hint="eastAsia" w:ascii="宋体" w:hAnsi="宋体" w:cs="宋体"/>
                <w:szCs w:val="21"/>
              </w:rPr>
              <w:t>58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智能监控终端</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互联网视频终端</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视频结构化服务器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无线AC管理器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路由器</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防火墙</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入侵防御</w:t>
            </w:r>
          </w:p>
        </w:tc>
        <w:tc>
          <w:tcPr>
            <w:tcW w:w="1290" w:type="dxa"/>
            <w:noWrap w:val="0"/>
            <w:vAlign w:val="center"/>
          </w:tcPr>
          <w:p>
            <w:pPr>
              <w:adjustRightInd w:val="0"/>
              <w:snapToGrid w:val="0"/>
              <w:spacing w:line="240" w:lineRule="atLeast"/>
              <w:jc w:val="center"/>
              <w:rPr>
                <w:rFonts w:hint="eastAsia" w:ascii="宋体" w:hAnsi="宋体" w:cs="宋体"/>
                <w:szCs w:val="21"/>
                <w:highlight w:val="red"/>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highlight w:val="red"/>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（五）辅材及安装调试费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65</w:t>
            </w:r>
          </w:p>
        </w:tc>
        <w:tc>
          <w:tcPr>
            <w:tcW w:w="3070" w:type="dxa"/>
            <w:noWrap w:val="0"/>
            <w:vAlign w:val="center"/>
          </w:tcPr>
          <w:p>
            <w:pPr>
              <w:widowControl/>
              <w:spacing w:line="400" w:lineRule="exact"/>
              <w:jc w:val="center"/>
              <w:textAlignment w:val="center"/>
              <w:rPr>
                <w:rFonts w:hint="eastAsia" w:ascii="宋体" w:hAnsi="宋体"/>
                <w:b/>
                <w:bCs/>
                <w:szCs w:val="21"/>
              </w:rPr>
            </w:pPr>
            <w:r>
              <w:rPr>
                <w:rFonts w:hint="eastAsia" w:ascii="宋体" w:hAnsi="宋体"/>
                <w:szCs w:val="21"/>
              </w:rPr>
              <w:t>辅助材料</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批</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563" w:type="dxa"/>
            <w:gridSpan w:val="4"/>
            <w:noWrap w:val="0"/>
            <w:vAlign w:val="center"/>
          </w:tcPr>
          <w:p>
            <w:pPr>
              <w:spacing w:line="240" w:lineRule="exact"/>
              <w:jc w:val="left"/>
              <w:rPr>
                <w:rFonts w:hint="eastAsia" w:ascii="宋体" w:hAnsi="宋体" w:cs="宋体"/>
                <w:szCs w:val="21"/>
              </w:rPr>
            </w:pPr>
            <w:r>
              <w:rPr>
                <w:rFonts w:hint="eastAsia" w:ascii="宋体" w:hAnsi="宋体"/>
                <w:b/>
                <w:bCs/>
                <w:szCs w:val="21"/>
              </w:rPr>
              <w:t>三、办公家具及厨房智能设备</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（一）办公室设备（实训综合楼）</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办公桌</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30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张</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椅子</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30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张</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文件柜</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12</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喷墨打印机</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7</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激光打印复印一体机</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7</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办公电脑</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43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办公室空调</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7</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办公室沙发</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6</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张</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办公室电话</w:t>
            </w:r>
          </w:p>
        </w:tc>
        <w:tc>
          <w:tcPr>
            <w:tcW w:w="1290"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54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（二）食堂消费系统</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刷卡消费机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发卡机</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消费系统软件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数据服务器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空白卡片</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300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张</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管理电脑</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空调</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4</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（三）学生宿舍家具</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17</w:t>
            </w:r>
          </w:p>
        </w:tc>
        <w:tc>
          <w:tcPr>
            <w:tcW w:w="3070" w:type="dxa"/>
            <w:noWrap w:val="0"/>
            <w:vAlign w:val="center"/>
          </w:tcPr>
          <w:p>
            <w:pPr>
              <w:adjustRightInd w:val="0"/>
              <w:snapToGrid w:val="0"/>
              <w:spacing w:line="240" w:lineRule="atLeast"/>
              <w:ind w:firstLine="1260" w:firstLineChars="600"/>
              <w:rPr>
                <w:rFonts w:hint="eastAsia" w:ascii="宋体" w:hAnsi="宋体"/>
                <w:szCs w:val="21"/>
              </w:rPr>
            </w:pPr>
            <w:r>
              <w:rPr>
                <w:rFonts w:hint="eastAsia" w:ascii="宋体" w:hAnsi="宋体"/>
                <w:szCs w:val="21"/>
              </w:rPr>
              <w:t>公寓床</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120</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吊扇</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48</w:t>
            </w:r>
          </w:p>
        </w:tc>
        <w:tc>
          <w:tcPr>
            <w:tcW w:w="1357" w:type="dxa"/>
            <w:noWrap w:val="0"/>
            <w:vAlign w:val="center"/>
          </w:tcPr>
          <w:p>
            <w:pPr>
              <w:adjustRightInd w:val="0"/>
              <w:snapToGrid w:val="0"/>
              <w:spacing w:line="240" w:lineRule="atLeast"/>
              <w:jc w:val="center"/>
              <w:rPr>
                <w:rFonts w:ascii="宋体" w:hAnsi="宋体" w:cs="宋体"/>
                <w:szCs w:val="21"/>
              </w:rPr>
            </w:pPr>
            <w:r>
              <w:rPr>
                <w:rFonts w:hint="eastAsia" w:ascii="宋体" w:hAnsi="宋体"/>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63" w:type="dxa"/>
            <w:gridSpan w:val="4"/>
            <w:noWrap w:val="0"/>
            <w:vAlign w:val="center"/>
          </w:tcPr>
          <w:p>
            <w:pPr>
              <w:spacing w:line="240" w:lineRule="exact"/>
              <w:jc w:val="left"/>
              <w:rPr>
                <w:rFonts w:ascii="宋体" w:hAnsi="宋体" w:cs="宋体"/>
                <w:szCs w:val="21"/>
              </w:rPr>
            </w:pPr>
            <w:r>
              <w:rPr>
                <w:rFonts w:hint="eastAsia" w:ascii="宋体" w:hAnsi="宋体"/>
                <w:b/>
                <w:bCs/>
                <w:szCs w:val="21"/>
              </w:rPr>
              <w:t>（四）厨房设备</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可燃气体报警控制器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台</w:t>
            </w:r>
          </w:p>
        </w:tc>
        <w:tc>
          <w:tcPr>
            <w:tcW w:w="2025" w:type="dxa"/>
            <w:vMerge w:val="restart"/>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火灾光警报器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可燃气体探测器</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3</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szCs w:val="21"/>
              </w:rPr>
              <w:t>只</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szCs w:val="21"/>
              </w:rPr>
              <w:t>四人餐桌椅</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szCs w:val="21"/>
              </w:rPr>
              <w:t>20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s="宋体"/>
                <w:szCs w:val="21"/>
              </w:rPr>
              <w:t>张</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四层货架</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三星洗物池</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双层切配台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双层切配台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四门冷柜</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导热锅</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电磁双头大锅炉</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24电蒸饭车</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双通工作台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双层工作台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不锈钢烟罩</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4.5</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不锈钢烟网</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4.5</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不锈钢墙幕</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5</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米</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三星洗物池</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19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高温热风消毒柜</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单星洗物池</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留样冰箱</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22</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双层工作台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23</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电烫粉炉</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24</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电汤水保温台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1</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25</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保温售饭台</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26</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刀具</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27</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厨具1</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28</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平板车</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2</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台</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29</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碗筷</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300</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30</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份数盆</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6</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46" w:type="dxa"/>
            <w:noWrap w:val="0"/>
            <w:vAlign w:val="center"/>
          </w:tcPr>
          <w:p>
            <w:pPr>
              <w:spacing w:line="400" w:lineRule="exact"/>
              <w:jc w:val="center"/>
              <w:rPr>
                <w:rFonts w:ascii="宋体" w:hAnsi="宋体" w:cs="宋体"/>
                <w:szCs w:val="21"/>
              </w:rPr>
            </w:pPr>
            <w:r>
              <w:rPr>
                <w:rFonts w:hint="eastAsia" w:ascii="宋体" w:hAnsi="宋体" w:cs="宋体"/>
                <w:szCs w:val="21"/>
              </w:rPr>
              <w:t>31</w:t>
            </w:r>
          </w:p>
        </w:tc>
        <w:tc>
          <w:tcPr>
            <w:tcW w:w="3070" w:type="dxa"/>
            <w:noWrap w:val="0"/>
            <w:vAlign w:val="center"/>
          </w:tcPr>
          <w:p>
            <w:pPr>
              <w:adjustRightInd w:val="0"/>
              <w:snapToGrid w:val="0"/>
              <w:spacing w:line="240" w:lineRule="atLeast"/>
              <w:jc w:val="center"/>
              <w:rPr>
                <w:rFonts w:hint="eastAsia" w:ascii="宋体" w:hAnsi="宋体"/>
                <w:szCs w:val="21"/>
              </w:rPr>
            </w:pPr>
            <w:r>
              <w:rPr>
                <w:rFonts w:hint="eastAsia" w:ascii="宋体" w:hAnsi="宋体"/>
                <w:color w:val="000000"/>
                <w:szCs w:val="21"/>
              </w:rPr>
              <w:t>份数盆</w:t>
            </w:r>
          </w:p>
        </w:tc>
        <w:tc>
          <w:tcPr>
            <w:tcW w:w="1290" w:type="dxa"/>
            <w:noWrap w:val="0"/>
            <w:vAlign w:val="center"/>
          </w:tcPr>
          <w:p>
            <w:pPr>
              <w:adjustRightInd w:val="0"/>
              <w:snapToGrid w:val="0"/>
              <w:spacing w:line="240" w:lineRule="atLeast"/>
              <w:jc w:val="center"/>
              <w:rPr>
                <w:rFonts w:hint="eastAsia" w:ascii="宋体" w:hAnsi="宋体" w:cs="宋体"/>
                <w:kern w:val="0"/>
                <w:szCs w:val="21"/>
                <w:lang w:bidi="ar"/>
              </w:rPr>
            </w:pPr>
            <w:r>
              <w:rPr>
                <w:rFonts w:hint="eastAsia" w:ascii="宋体" w:hAnsi="宋体"/>
                <w:color w:val="000000"/>
                <w:szCs w:val="21"/>
              </w:rPr>
              <w:t>8</w:t>
            </w:r>
          </w:p>
        </w:tc>
        <w:tc>
          <w:tcPr>
            <w:tcW w:w="1357" w:type="dxa"/>
            <w:noWrap w:val="0"/>
            <w:vAlign w:val="center"/>
          </w:tcPr>
          <w:p>
            <w:pPr>
              <w:adjustRightInd w:val="0"/>
              <w:snapToGrid w:val="0"/>
              <w:spacing w:line="240" w:lineRule="atLeast"/>
              <w:jc w:val="center"/>
              <w:rPr>
                <w:rFonts w:hint="eastAsia" w:ascii="宋体" w:hAnsi="宋体" w:cs="宋体"/>
                <w:szCs w:val="21"/>
              </w:rPr>
            </w:pPr>
            <w:r>
              <w:rPr>
                <w:rFonts w:hint="eastAsia" w:ascii="宋体" w:hAnsi="宋体"/>
                <w:color w:val="000000"/>
                <w:szCs w:val="21"/>
              </w:rPr>
              <w:t>套</w:t>
            </w:r>
          </w:p>
        </w:tc>
        <w:tc>
          <w:tcPr>
            <w:tcW w:w="2025" w:type="dxa"/>
            <w:vMerge w:val="continue"/>
            <w:noWrap w:val="0"/>
            <w:vAlign w:val="center"/>
          </w:tcPr>
          <w:p>
            <w:pPr>
              <w:widowControl/>
              <w:jc w:val="center"/>
              <w:textAlignment w:val="center"/>
              <w:rPr>
                <w:rFonts w:hint="eastAsia" w:ascii="宋体" w:hAnsi="宋体" w:cs="宋体"/>
                <w:kern w:val="0"/>
                <w:sz w:val="22"/>
                <w:szCs w:val="22"/>
                <w:lang w:bidi="ar"/>
              </w:rPr>
            </w:pPr>
          </w:p>
        </w:tc>
      </w:tr>
    </w:tbl>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highlight w:val="cyan"/>
        </w:rPr>
      </w:pPr>
      <w:r>
        <w:rPr>
          <w:rFonts w:hint="eastAsia" w:ascii="宋体" w:hAnsi="宋体" w:cs="宋体"/>
          <w:szCs w:val="21"/>
        </w:rPr>
        <w:t>6.合同履行期限：自合同签订之日起至中标供应商承诺免费保修期满。</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二、投标人的资格要求：</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1.满足《中华人民共和国政府采购法》第二十二条规定。</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2本项目是否专门面向中小企业（或小型、微型企业）采购：否。</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5.本项目</w:t>
      </w:r>
      <w:r>
        <w:rPr>
          <w:rFonts w:hint="eastAsia" w:ascii="宋体" w:hAnsi="宋体" w:cs="宋体"/>
          <w:b/>
          <w:bCs/>
          <w:szCs w:val="21"/>
          <w:u w:val="single"/>
        </w:rPr>
        <w:t>不接受</w:t>
      </w:r>
      <w:r>
        <w:rPr>
          <w:rFonts w:hint="eastAsia" w:ascii="宋体" w:hAnsi="宋体" w:cs="宋体"/>
          <w:szCs w:val="21"/>
        </w:rPr>
        <w:t>联合体投标。</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b/>
          <w:bCs/>
          <w:color w:val="auto"/>
          <w:szCs w:val="21"/>
        </w:rPr>
      </w:pPr>
      <w:r>
        <w:rPr>
          <w:rFonts w:hint="eastAsia" w:ascii="宋体" w:hAnsi="宋体" w:cs="宋体"/>
          <w:b/>
          <w:bCs/>
          <w:szCs w:val="21"/>
        </w:rPr>
        <w:t>三、获取招标文件：</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1.时间：2020年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日至2020年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w:t>
      </w:r>
    </w:p>
    <w:p>
      <w:pPr>
        <w:pStyle w:val="8"/>
        <w:keepNext w:val="0"/>
        <w:keepLines w:val="0"/>
        <w:pageBreakBefore w:val="0"/>
        <w:kinsoku/>
        <w:wordWrap/>
        <w:overflowPunct/>
        <w:topLinePunct w:val="0"/>
        <w:bidi w:val="0"/>
        <w:adjustRightInd/>
        <w:snapToGrid/>
        <w:spacing w:line="360" w:lineRule="exact"/>
        <w:ind w:firstLine="210" w:firstLineChars="100"/>
        <w:textAlignment w:val="auto"/>
        <w:rPr>
          <w:rFonts w:hint="eastAsia"/>
        </w:rPr>
      </w:pPr>
      <w:r>
        <w:rPr>
          <w:rFonts w:hint="eastAsia" w:hAnsi="宋体" w:cs="宋体"/>
          <w:szCs w:val="21"/>
        </w:rPr>
        <w:t>2.地点：潜在供应商登陆桂林市公共资源交易中心网（http://glggzy.org.cn/）或桂林市政府采购网（http://gl.zfcg.zcygov.cn/），从网上免费下载招标文件电子版；并根据招标文件规定的投标截止时间和地点直接提交投标文件参与投标。</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3.方式：网上下载。</w:t>
      </w:r>
    </w:p>
    <w:p>
      <w:pPr>
        <w:pStyle w:val="8"/>
        <w:keepNext w:val="0"/>
        <w:keepLines w:val="0"/>
        <w:pageBreakBefore w:val="0"/>
        <w:kinsoku/>
        <w:wordWrap/>
        <w:overflowPunct/>
        <w:topLinePunct w:val="0"/>
        <w:bidi w:val="0"/>
        <w:adjustRightInd/>
        <w:snapToGrid/>
        <w:spacing w:line="360" w:lineRule="exact"/>
        <w:ind w:firstLine="210" w:firstLineChars="100"/>
        <w:textAlignment w:val="auto"/>
      </w:pPr>
      <w:r>
        <w:rPr>
          <w:rFonts w:hint="eastAsia"/>
        </w:rPr>
        <w:t>4.售价：0元。</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四、提交投标文件截止时间、开标时间和地点：</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color w:val="auto"/>
          <w:szCs w:val="21"/>
        </w:rPr>
      </w:pPr>
      <w:r>
        <w:rPr>
          <w:rFonts w:hint="eastAsia" w:ascii="宋体" w:hAnsi="宋体" w:cs="宋体"/>
          <w:szCs w:val="21"/>
        </w:rPr>
        <w:t>1.提交投标文件截止时间</w:t>
      </w:r>
      <w:r>
        <w:rPr>
          <w:rFonts w:hint="eastAsia" w:ascii="宋体" w:hAnsi="宋体" w:cs="宋体"/>
          <w:color w:val="auto"/>
          <w:szCs w:val="21"/>
        </w:rPr>
        <w:t>、开标时间：2020年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w:t>
      </w:r>
      <w:r>
        <w:rPr>
          <w:rFonts w:hint="eastAsia" w:ascii="宋体" w:hAnsi="宋体" w:cs="宋体"/>
          <w:color w:val="auto"/>
          <w:szCs w:val="21"/>
          <w:lang w:val="en-US" w:eastAsia="zh-CN"/>
        </w:rPr>
        <w:t>11</w:t>
      </w:r>
      <w:r>
        <w:rPr>
          <w:rFonts w:hint="eastAsia" w:ascii="宋体" w:hAnsi="宋体" w:cs="宋体"/>
          <w:color w:val="auto"/>
          <w:szCs w:val="21"/>
        </w:rPr>
        <w:t>点</w:t>
      </w:r>
      <w:r>
        <w:rPr>
          <w:rFonts w:hint="eastAsia" w:ascii="宋体" w:hAnsi="宋体" w:cs="宋体"/>
          <w:color w:val="auto"/>
          <w:szCs w:val="21"/>
          <w:lang w:val="en-US" w:eastAsia="zh-CN"/>
        </w:rPr>
        <w:t>00</w:t>
      </w:r>
      <w:r>
        <w:rPr>
          <w:rFonts w:hint="eastAsia" w:ascii="宋体" w:hAnsi="宋体" w:cs="宋体"/>
          <w:color w:val="auto"/>
          <w:szCs w:val="21"/>
        </w:rPr>
        <w:t>分（北京时间）</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2.提交投标文件地点：投标人应于2020年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0分至</w:t>
      </w:r>
      <w:r>
        <w:rPr>
          <w:rFonts w:hint="eastAsia" w:ascii="宋体" w:hAnsi="宋体" w:cs="宋体"/>
          <w:color w:val="auto"/>
          <w:szCs w:val="21"/>
          <w:lang w:val="en-US" w:eastAsia="zh-CN"/>
        </w:rPr>
        <w:t>11</w:t>
      </w:r>
      <w:r>
        <w:rPr>
          <w:rFonts w:hint="eastAsia" w:ascii="宋体" w:hAnsi="宋体" w:cs="宋体"/>
          <w:color w:val="auto"/>
          <w:szCs w:val="21"/>
        </w:rPr>
        <w:t>时</w:t>
      </w:r>
      <w:r>
        <w:rPr>
          <w:rFonts w:hint="eastAsia" w:ascii="宋体" w:hAnsi="宋体" w:cs="宋体"/>
          <w:color w:val="auto"/>
          <w:szCs w:val="21"/>
          <w:lang w:val="en-US" w:eastAsia="zh-CN"/>
        </w:rPr>
        <w:t>00</w:t>
      </w:r>
      <w:r>
        <w:rPr>
          <w:rFonts w:hint="eastAsia" w:ascii="宋体" w:hAnsi="宋体" w:cs="宋体"/>
          <w:color w:val="auto"/>
          <w:szCs w:val="21"/>
        </w:rPr>
        <w:t>分止，将投标文件密封提交至全州县公共资源交易中心第</w:t>
      </w:r>
      <w:r>
        <w:rPr>
          <w:rFonts w:hint="eastAsia" w:ascii="宋体" w:hAnsi="宋体" w:cs="宋体"/>
          <w:color w:val="auto"/>
          <w:szCs w:val="21"/>
          <w:u w:val="none"/>
          <w:lang w:val="en-US" w:eastAsia="zh-CN"/>
        </w:rPr>
        <w:t>一</w:t>
      </w:r>
      <w:r>
        <w:rPr>
          <w:rFonts w:hint="eastAsia" w:ascii="宋体" w:hAnsi="宋体" w:cs="宋体"/>
          <w:color w:val="auto"/>
          <w:szCs w:val="21"/>
        </w:rPr>
        <w:t>开标室（全州县城北新区桂北大道步行街25栋二楼），逾期送达的或未按照招标文件要求密封的投标文件将予以拒收。</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szCs w:val="21"/>
        </w:rPr>
      </w:pPr>
      <w:r>
        <w:rPr>
          <w:rFonts w:hint="eastAsia" w:ascii="宋体" w:hAnsi="宋体" w:cs="宋体"/>
          <w:b/>
          <w:bCs/>
          <w:szCs w:val="21"/>
        </w:rPr>
        <w:t>五、公告期限：</w:t>
      </w:r>
      <w:r>
        <w:rPr>
          <w:rFonts w:hint="eastAsia" w:ascii="宋体" w:hAnsi="宋体" w:cs="宋体"/>
          <w:szCs w:val="21"/>
        </w:rPr>
        <w:t>自本公告发布之日起5个工作日。</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六、其他补充事宜：</w:t>
      </w:r>
    </w:p>
    <w:p>
      <w:pPr>
        <w:pStyle w:val="8"/>
        <w:keepNext w:val="0"/>
        <w:keepLines w:val="0"/>
        <w:pageBreakBefore w:val="0"/>
        <w:kinsoku/>
        <w:wordWrap/>
        <w:overflowPunct/>
        <w:topLinePunct w:val="0"/>
        <w:bidi w:val="0"/>
        <w:adjustRightInd/>
        <w:snapToGrid/>
        <w:spacing w:line="360" w:lineRule="exact"/>
        <w:ind w:firstLine="210" w:firstLineChars="100"/>
        <w:textAlignment w:val="auto"/>
        <w:rPr>
          <w:rFonts w:hint="eastAsia" w:hAnsi="宋体" w:cs="宋体"/>
        </w:rPr>
      </w:pPr>
      <w:r>
        <w:rPr>
          <w:rFonts w:hint="eastAsia" w:hAnsi="宋体" w:cs="宋体"/>
          <w:szCs w:val="21"/>
        </w:rPr>
        <w:t>1.投标人可以由法定代表人、负责人、自然人或其委托代理人出席开标会议。</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2.本项目需要落实的政府采购政策：</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（1）政府采购促进中小企业发展。</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（2）政府采购支持采用本国产品的政策。</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（3）本项目采购内容不涉及强制采购节能产品；优先采购节能产品、环境标志产品。</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（4）政府采购促进残疾人就业政策。</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（5）政府采购支持监狱企业发展。</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rPr>
      </w:pPr>
      <w:r>
        <w:rPr>
          <w:rFonts w:hint="eastAsia" w:ascii="宋体" w:hAnsi="宋体" w:cs="宋体"/>
        </w:rPr>
        <w:t>3.信息公告发布媒体：</w:t>
      </w:r>
    </w:p>
    <w:p>
      <w:pPr>
        <w:pStyle w:val="8"/>
        <w:keepNext w:val="0"/>
        <w:keepLines w:val="0"/>
        <w:pageBreakBefore w:val="0"/>
        <w:kinsoku/>
        <w:wordWrap/>
        <w:overflowPunct/>
        <w:topLinePunct w:val="0"/>
        <w:bidi w:val="0"/>
        <w:adjustRightInd/>
        <w:snapToGrid/>
        <w:spacing w:line="360" w:lineRule="exact"/>
        <w:ind w:firstLine="420"/>
        <w:textAlignment w:val="auto"/>
        <w:rPr>
          <w:rFonts w:hint="eastAsia" w:hAnsi="宋体" w:cs="宋体"/>
          <w:szCs w:val="21"/>
        </w:rPr>
      </w:pPr>
      <w:r>
        <w:rPr>
          <w:rFonts w:hint="eastAsia" w:hAnsi="宋体" w:cs="宋体"/>
          <w:szCs w:val="21"/>
        </w:rPr>
        <w:t>桂林市公共资源交易中心网（http://glggzy.org.cn/）</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桂林市政府采购网（http://gl.zfcg.zcygov.cn/）</w:t>
      </w:r>
    </w:p>
    <w:p>
      <w:pPr>
        <w:pStyle w:val="8"/>
        <w:keepNext w:val="0"/>
        <w:keepLines w:val="0"/>
        <w:pageBreakBefore w:val="0"/>
        <w:kinsoku/>
        <w:wordWrap/>
        <w:overflowPunct/>
        <w:topLinePunct w:val="0"/>
        <w:bidi w:val="0"/>
        <w:adjustRightInd/>
        <w:snapToGrid/>
        <w:spacing w:line="360" w:lineRule="exact"/>
        <w:ind w:firstLine="420"/>
        <w:textAlignment w:val="auto"/>
        <w:rPr>
          <w:rFonts w:hint="eastAsia" w:hAnsi="宋体" w:cs="宋体"/>
          <w:szCs w:val="21"/>
        </w:rPr>
      </w:pPr>
      <w:r>
        <w:rPr>
          <w:rFonts w:hint="eastAsia" w:hAnsi="宋体" w:cs="宋体"/>
          <w:szCs w:val="21"/>
        </w:rPr>
        <w:t>广西壮族自治区政府采购网（http://zfcg.gxzf.gov.cn/）</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中国政府采购网（http://www.ccgp.gov.cn/）</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rPr>
      </w:pPr>
      <w:r>
        <w:rPr>
          <w:rFonts w:hint="eastAsia" w:ascii="宋体" w:hAnsi="宋体" w:cs="宋体"/>
          <w:color w:val="000000"/>
          <w:szCs w:val="21"/>
        </w:rPr>
        <w:t>全州县人民政府网（http://www.glqz.gov.cn/）</w:t>
      </w:r>
      <w:r>
        <w:rPr>
          <w:rFonts w:hint="eastAsia" w:ascii="宋体" w:hAnsi="宋体" w:cs="宋体"/>
        </w:rPr>
        <w:t>。</w:t>
      </w:r>
    </w:p>
    <w:p>
      <w:pPr>
        <w:keepNext w:val="0"/>
        <w:keepLines w:val="0"/>
        <w:pageBreakBefore w:val="0"/>
        <w:kinsoku/>
        <w:wordWrap/>
        <w:overflowPunct/>
        <w:topLinePunct w:val="0"/>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七、对本次招标提出询问，请按以下方式联系。</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1.采购人信息：</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名 称：全州县人力资源和社会保障局</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地址：桂林市全州县全州镇江南路8号</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 xml:space="preserve">联系方式：王先生　　0773-4827692　　　 </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2.采购代理机构信息：</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名 称：广西鑫磐工程项目管理有限责任公司</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地　址：广西桂林市七星区七里店路1号</w:t>
      </w:r>
    </w:p>
    <w:p>
      <w:pPr>
        <w:keepNext w:val="0"/>
        <w:keepLines w:val="0"/>
        <w:pageBreakBefore w:val="0"/>
        <w:kinsoku/>
        <w:wordWrap/>
        <w:overflowPunct/>
        <w:topLinePunct w:val="0"/>
        <w:bidi w:val="0"/>
        <w:adjustRightInd/>
        <w:snapToGrid/>
        <w:spacing w:line="360" w:lineRule="exact"/>
        <w:ind w:firstLine="420" w:firstLineChars="200"/>
        <w:textAlignment w:val="auto"/>
        <w:rPr>
          <w:rFonts w:ascii="宋体" w:hAnsi="宋体" w:cs="宋体"/>
          <w:szCs w:val="21"/>
        </w:rPr>
      </w:pPr>
      <w:r>
        <w:rPr>
          <w:rFonts w:hint="eastAsia" w:ascii="宋体" w:hAnsi="宋体" w:cs="宋体"/>
          <w:szCs w:val="21"/>
        </w:rPr>
        <w:t>联系方式： 0773-2838777</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3.项目联系方式：</w:t>
      </w:r>
    </w:p>
    <w:p>
      <w:pPr>
        <w:keepNext w:val="0"/>
        <w:keepLines w:val="0"/>
        <w:pageBreakBefore w:val="0"/>
        <w:kinsoku/>
        <w:wordWrap/>
        <w:overflowPunct/>
        <w:topLinePunct w:val="0"/>
        <w:bidi w:val="0"/>
        <w:adjustRightInd/>
        <w:snapToGrid/>
        <w:spacing w:line="360" w:lineRule="exact"/>
        <w:ind w:firstLine="420" w:firstLineChars="200"/>
        <w:textAlignment w:val="auto"/>
        <w:rPr>
          <w:rFonts w:ascii="宋体" w:hAnsi="宋体" w:cs="宋体"/>
          <w:szCs w:val="21"/>
        </w:rPr>
      </w:pPr>
      <w:r>
        <w:rPr>
          <w:rFonts w:hint="eastAsia" w:ascii="宋体" w:hAnsi="宋体" w:cs="宋体"/>
          <w:szCs w:val="21"/>
        </w:rPr>
        <w:t>项目联系人：卢艳</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电　话：0773-2838777　</w:t>
      </w:r>
    </w:p>
    <w:p>
      <w:pPr>
        <w:keepNext w:val="0"/>
        <w:keepLines w:val="0"/>
        <w:pageBreakBefore w:val="0"/>
        <w:kinsoku/>
        <w:wordWrap/>
        <w:overflowPunct/>
        <w:topLinePunct w:val="0"/>
        <w:bidi w:val="0"/>
        <w:adjustRightInd/>
        <w:snapToGrid/>
        <w:spacing w:line="360" w:lineRule="exact"/>
        <w:ind w:firstLine="210" w:firstLineChars="100"/>
        <w:textAlignment w:val="auto"/>
        <w:rPr>
          <w:rFonts w:hint="eastAsia" w:ascii="宋体" w:hAnsi="宋体" w:cs="宋体"/>
          <w:szCs w:val="21"/>
        </w:rPr>
      </w:pPr>
      <w:r>
        <w:rPr>
          <w:rFonts w:hint="eastAsia" w:ascii="宋体" w:hAnsi="宋体" w:cs="宋体"/>
          <w:szCs w:val="21"/>
        </w:rPr>
        <w:t>4.政府采购监督管理部门：</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全州县国有资金投资项目招标投标管理办公室    电话：0773-4828117</w:t>
      </w:r>
    </w:p>
    <w:p>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全州县政府采购管理办公室                    电话：0773-4814807</w:t>
      </w:r>
    </w:p>
    <w:p>
      <w:pPr>
        <w:spacing w:line="400" w:lineRule="exact"/>
        <w:ind w:firstLine="210" w:firstLineChars="100"/>
        <w:rPr>
          <w:rFonts w:ascii="宋体" w:hAnsi="宋体" w:cs="宋体"/>
          <w:szCs w:val="21"/>
        </w:rPr>
      </w:pPr>
    </w:p>
    <w:p>
      <w:pPr>
        <w:spacing w:line="400" w:lineRule="exact"/>
        <w:ind w:firstLine="210" w:firstLineChars="100"/>
        <w:rPr>
          <w:rFonts w:hint="eastAsia" w:ascii="宋体" w:hAnsi="宋体" w:cs="宋体"/>
          <w:szCs w:val="21"/>
        </w:rPr>
      </w:pPr>
      <w:r>
        <w:rPr>
          <w:rFonts w:hint="eastAsia" w:ascii="宋体" w:hAnsi="宋体" w:cs="宋体"/>
          <w:szCs w:val="21"/>
        </w:rPr>
        <w:t>   </w:t>
      </w:r>
      <w:r>
        <w:rPr>
          <w:rFonts w:hint="eastAsia"/>
          <w:color w:val="000000"/>
          <w:szCs w:val="21"/>
        </w:rPr>
        <w:t xml:space="preserve">   </w:t>
      </w:r>
      <w:r>
        <w:rPr>
          <w:rFonts w:hint="eastAsia" w:ascii="宋体" w:hAnsi="宋体" w:cs="宋体"/>
          <w:szCs w:val="21"/>
        </w:rPr>
        <w:t>                                     </w:t>
      </w:r>
    </w:p>
    <w:p>
      <w:pPr>
        <w:spacing w:line="400" w:lineRule="exact"/>
        <w:ind w:firstLine="210" w:firstLineChars="100"/>
        <w:rPr>
          <w:rFonts w:hint="eastAsia" w:ascii="宋体" w:hAnsi="宋体" w:cs="宋体"/>
          <w:color w:val="auto"/>
          <w:szCs w:val="21"/>
        </w:rPr>
      </w:pPr>
      <w:r>
        <w:rPr>
          <w:rFonts w:hint="eastAsia" w:ascii="宋体" w:hAnsi="宋体" w:cs="宋体"/>
          <w:szCs w:val="21"/>
        </w:rPr>
        <w:t xml:space="preserve">                                           </w:t>
      </w:r>
      <w:r>
        <w:rPr>
          <w:rFonts w:hint="eastAsia" w:ascii="宋体" w:hAnsi="宋体" w:cs="宋体"/>
          <w:color w:val="auto"/>
          <w:szCs w:val="21"/>
        </w:rPr>
        <w:t xml:space="preserve"> 广西鑫磐工程项目管理有限责任公司</w:t>
      </w:r>
    </w:p>
    <w:p>
      <w:pPr>
        <w:spacing w:line="400" w:lineRule="exact"/>
        <w:ind w:right="420" w:firstLine="5880" w:firstLineChars="2800"/>
        <w:rPr>
          <w:rFonts w:hint="eastAsia"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601CE"/>
    <w:rsid w:val="10F85779"/>
    <w:rsid w:val="1C2302F9"/>
    <w:rsid w:val="3233104A"/>
    <w:rsid w:val="32557F9B"/>
    <w:rsid w:val="36B25E34"/>
    <w:rsid w:val="3C604C51"/>
    <w:rsid w:val="3C854426"/>
    <w:rsid w:val="49D56A40"/>
    <w:rsid w:val="5C1D2937"/>
    <w:rsid w:val="5D80768A"/>
    <w:rsid w:val="5DEF4821"/>
    <w:rsid w:val="7A8601CE"/>
    <w:rsid w:val="7F35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2020-07-29T07:06:00Z</dcterms:created>
  <dc:creator>LY</dc:creator>
  <cp:lastModifiedBy>LY</cp:lastModifiedBy>
  <dcterms:modified xsi:type="dcterms:W3CDTF">2020-07-29T07:33:15Z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