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z w:val="2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cs="仿宋_GB2312" w:asciiTheme="minorEastAsia" w:hAnsiTheme="minorEastAsia" w:eastAsiaTheme="minorEastAsia"/>
          <w:b/>
          <w:color w:val="auto"/>
          <w:sz w:val="44"/>
          <w:szCs w:val="44"/>
        </w:rPr>
      </w:pPr>
    </w:p>
    <w:p>
      <w:pPr>
        <w:adjustRightInd/>
        <w:spacing w:line="360" w:lineRule="auto"/>
        <w:jc w:val="center"/>
        <w:rPr>
          <w:rFonts w:hint="eastAsia" w:cs="仿宋_GB2312" w:asciiTheme="minorEastAsia" w:hAnsiTheme="minorEastAsia" w:eastAsiaTheme="minorEastAsia"/>
          <w:b/>
          <w:bCs w:val="0"/>
          <w:color w:val="auto"/>
          <w:sz w:val="48"/>
          <w:szCs w:val="48"/>
          <w:lang w:eastAsia="zh-CN"/>
        </w:rPr>
      </w:pPr>
      <w:r>
        <w:rPr>
          <w:rFonts w:hint="eastAsia" w:cs="仿宋_GB2312" w:asciiTheme="minorEastAsia" w:hAnsiTheme="minorEastAsia" w:eastAsiaTheme="minorEastAsia"/>
          <w:b/>
          <w:bCs w:val="0"/>
          <w:color w:val="auto"/>
          <w:sz w:val="48"/>
          <w:szCs w:val="48"/>
          <w:lang w:eastAsia="zh-CN"/>
        </w:rPr>
        <w:t>杭州市第一人民医院2025年度医务人员</w:t>
      </w:r>
      <w:r>
        <w:rPr>
          <w:rFonts w:hint="eastAsia" w:cs="仿宋_GB2312" w:asciiTheme="minorEastAsia" w:hAnsiTheme="minorEastAsia" w:eastAsiaTheme="minorEastAsia"/>
          <w:b/>
          <w:bCs w:val="0"/>
          <w:color w:val="auto"/>
          <w:sz w:val="48"/>
          <w:szCs w:val="48"/>
          <w:lang w:val="en-US" w:eastAsia="zh-CN"/>
        </w:rPr>
        <w:t>赴</w:t>
      </w:r>
      <w:r>
        <w:rPr>
          <w:rFonts w:hint="eastAsia" w:cs="仿宋_GB2312" w:asciiTheme="minorEastAsia" w:hAnsiTheme="minorEastAsia" w:eastAsiaTheme="minorEastAsia"/>
          <w:b/>
          <w:bCs w:val="0"/>
          <w:color w:val="auto"/>
          <w:sz w:val="48"/>
          <w:szCs w:val="48"/>
          <w:lang w:eastAsia="zh-CN"/>
        </w:rPr>
        <w:t>英国研修项目</w:t>
      </w:r>
    </w:p>
    <w:p>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pPr>
        <w:snapToGrid w:val="0"/>
        <w:spacing w:line="360" w:lineRule="auto"/>
        <w:jc w:val="center"/>
        <w:rPr>
          <w:rFonts w:cs="仿宋_GB2312" w:asciiTheme="minorEastAsia" w:hAnsiTheme="minorEastAsia" w:eastAsiaTheme="minorEastAsia"/>
          <w:color w:val="auto"/>
          <w:sz w:val="30"/>
          <w:szCs w:val="30"/>
        </w:rPr>
      </w:pPr>
    </w:p>
    <w:p>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HSZB-2025-917</w:t>
      </w:r>
    </w:p>
    <w:p>
      <w:pPr>
        <w:adjustRightInd/>
        <w:spacing w:line="360" w:lineRule="auto"/>
        <w:rPr>
          <w:rFonts w:cs="仿宋_GB2312" w:asciiTheme="minorEastAsia" w:hAnsiTheme="minorEastAsia" w:eastAsiaTheme="minorEastAsia"/>
          <w:color w:val="auto"/>
          <w:sz w:val="28"/>
          <w:szCs w:val="20"/>
        </w:rPr>
      </w:pPr>
    </w:p>
    <w:p>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pPr>
        <w:snapToGrid w:val="0"/>
        <w:spacing w:line="360" w:lineRule="auto"/>
        <w:jc w:val="center"/>
        <w:rPr>
          <w:rFonts w:cs="仿宋_GB2312" w:asciiTheme="minorEastAsia" w:hAnsiTheme="minorEastAsia" w:eastAsiaTheme="minorEastAsia"/>
          <w:color w:val="auto"/>
          <w:sz w:val="32"/>
          <w:szCs w:val="32"/>
        </w:rPr>
      </w:pPr>
    </w:p>
    <w:p>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杭州市第一人民医院</w:t>
      </w:r>
    </w:p>
    <w:p>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浙江豪圣建设项目管理有限公司</w:t>
      </w:r>
    </w:p>
    <w:p>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二</w:t>
      </w:r>
      <w:r>
        <w:rPr>
          <w:rFonts w:hint="eastAsia" w:cs="仿宋_GB2312" w:asciiTheme="minorEastAsia" w:hAnsiTheme="minorEastAsia" w:eastAsiaTheme="minorEastAsia"/>
          <w:bCs/>
          <w:color w:val="auto"/>
          <w:sz w:val="32"/>
          <w:szCs w:val="32"/>
        </w:rPr>
        <w:t>日</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pPr>
        <w:spacing w:line="360" w:lineRule="auto"/>
        <w:rPr>
          <w:rFonts w:cs="仿宋_GB2312" w:asciiTheme="minorEastAsia" w:hAnsiTheme="minorEastAsia" w:eastAsiaTheme="minorEastAsia"/>
          <w:color w:val="auto"/>
          <w:sz w:val="32"/>
          <w:szCs w:val="32"/>
        </w:rPr>
      </w:pPr>
    </w:p>
    <w:p>
      <w:pPr>
        <w:spacing w:line="360" w:lineRule="auto"/>
        <w:rPr>
          <w:rFonts w:cs="仿宋_GB2312" w:asciiTheme="minorEastAsia" w:hAnsiTheme="minorEastAsia" w:eastAsiaTheme="minorEastAsia"/>
          <w:color w:val="auto"/>
          <w:sz w:val="32"/>
          <w:szCs w:val="32"/>
        </w:rPr>
      </w:pP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ind w:firstLine="549" w:firstLineChars="229"/>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杭州市第一人民医院2025年度医务人员赴英国研修项目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val="en-US" w:eastAsia="zh-CN"/>
        </w:rPr>
        <w:t>2025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pPr>
        <w:pStyle w:val="4"/>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HSZB-2025-917</w:t>
      </w:r>
    </w:p>
    <w:p>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杭州市第一人民医院2025年度医务人员赴英国研修项目</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val="0"/>
          <w:bCs/>
          <w:color w:val="auto"/>
          <w:sz w:val="24"/>
        </w:rPr>
        <w:t>1</w:t>
      </w:r>
      <w:r>
        <w:rPr>
          <w:rFonts w:hint="eastAsia" w:asciiTheme="minorEastAsia" w:hAnsiTheme="minorEastAsia" w:eastAsiaTheme="minorEastAsia"/>
          <w:b w:val="0"/>
          <w:bCs/>
          <w:color w:val="auto"/>
          <w:sz w:val="24"/>
          <w:lang w:val="en-US" w:eastAsia="zh-CN"/>
        </w:rPr>
        <w:t>200000.00</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val="0"/>
          <w:bCs/>
          <w:color w:val="auto"/>
          <w:sz w:val="24"/>
        </w:rPr>
        <w:t>1</w:t>
      </w:r>
      <w:r>
        <w:rPr>
          <w:rFonts w:hint="eastAsia" w:asciiTheme="minorEastAsia" w:hAnsiTheme="minorEastAsia" w:eastAsiaTheme="minorEastAsia"/>
          <w:b w:val="0"/>
          <w:bCs/>
          <w:color w:val="auto"/>
          <w:sz w:val="24"/>
          <w:lang w:val="en-US" w:eastAsia="zh-CN"/>
        </w:rPr>
        <w:t>200000.00</w:t>
      </w:r>
    </w:p>
    <w:p>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杭州市第一人民医院2025年度医务人员赴英国研修项目。</w:t>
      </w:r>
      <w:r>
        <w:rPr>
          <w:rFonts w:hint="eastAsia" w:hAnsi="宋体" w:cs="宋体"/>
          <w:bCs/>
          <w:color w:val="auto"/>
          <w:sz w:val="24"/>
        </w:rPr>
        <w:t>主要内容</w:t>
      </w:r>
      <w:r>
        <w:rPr>
          <w:rFonts w:hint="eastAsia" w:cs="仿宋_GB2312" w:asciiTheme="minorEastAsia" w:hAnsiTheme="minorEastAsia" w:eastAsiaTheme="minorEastAsia"/>
          <w:b w:val="0"/>
          <w:bCs/>
          <w:color w:val="auto"/>
          <w:sz w:val="24"/>
        </w:rPr>
        <w:t>详见磋商文件。</w:t>
      </w:r>
    </w:p>
    <w:p>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imes New Roman" w:hAnsi="Times New Roman" w:eastAsia="宋体" w:cs="Times New Roman"/>
          <w:color w:val="auto"/>
          <w:spacing w:val="-6"/>
          <w:sz w:val="24"/>
          <w:szCs w:val="24"/>
        </w:rPr>
        <w:t>1年；具体起止时间在签订合同时由</w:t>
      </w:r>
      <w:r>
        <w:rPr>
          <w:rFonts w:hint="eastAsia" w:cs="Times New Roman"/>
          <w:color w:val="auto"/>
          <w:spacing w:val="-6"/>
          <w:sz w:val="24"/>
          <w:szCs w:val="24"/>
          <w:lang w:val="en-US" w:eastAsia="zh-CN"/>
        </w:rPr>
        <w:t>采购</w:t>
      </w:r>
      <w:r>
        <w:rPr>
          <w:rFonts w:hint="eastAsia" w:ascii="Times New Roman" w:hAnsi="Times New Roman" w:eastAsia="宋体" w:cs="Times New Roman"/>
          <w:color w:val="auto"/>
          <w:spacing w:val="-6"/>
          <w:sz w:val="24"/>
          <w:szCs w:val="24"/>
        </w:rPr>
        <w:t>人确定。</w:t>
      </w:r>
    </w:p>
    <w:p>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pPr>
        <w:spacing w:line="360" w:lineRule="auto"/>
        <w:ind w:firstLine="480" w:firstLineChars="200"/>
        <w:rPr>
          <w:rFonts w:cs="宋体" w:asciiTheme="minorEastAsia" w:hAnsiTheme="minorEastAsia" w:eastAsiaTheme="minorEastAsia"/>
          <w:color w:val="auto"/>
          <w:sz w:val="24"/>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rPr>
        <w:t>二、申请人的资格要求：</w:t>
      </w:r>
      <w:bookmarkEnd w:id="15"/>
      <w:bookmarkEnd w:id="16"/>
      <w:bookmarkEnd w:id="17"/>
      <w:bookmarkEnd w:id="18"/>
    </w:p>
    <w:p>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cs="宋体" w:asciiTheme="minorEastAsia" w:hAnsiTheme="minorEastAsia" w:eastAsiaTheme="minorEastAsia"/>
          <w:b/>
          <w:bCs/>
          <w:color w:val="auto"/>
          <w:sz w:val="24"/>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b/>
          <w:bCs/>
          <w:color w:val="auto"/>
          <w:sz w:val="24"/>
        </w:rPr>
        <w:t>三、获取（下载）采购文件</w:t>
      </w:r>
      <w:bookmarkEnd w:id="19"/>
      <w:bookmarkEnd w:id="20"/>
      <w:bookmarkEnd w:id="21"/>
      <w:bookmarkEnd w:id="22"/>
    </w:p>
    <w:p>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16</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lang w:val="en-US" w:eastAsia="zh-CN"/>
        </w:rPr>
        <w:t>0元</w:t>
      </w:r>
      <w:r>
        <w:rPr>
          <w:rFonts w:hint="eastAsia" w:cs="仿宋_GB2312" w:asciiTheme="minorEastAsia" w:hAnsiTheme="minorEastAsia" w:eastAsiaTheme="minorEastAsia"/>
          <w:color w:val="auto"/>
          <w:sz w:val="24"/>
        </w:rPr>
        <w:t>。</w:t>
      </w:r>
    </w:p>
    <w:p>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23" w:name="_Toc28359015"/>
      <w:bookmarkStart w:id="24" w:name="_Toc35393632"/>
      <w:bookmarkStart w:id="25" w:name="_Toc28359092"/>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kern w:val="2"/>
          <w:sz w:val="24"/>
          <w:szCs w:val="24"/>
        </w:rPr>
        <w:t>https://www.zcygov.cn/</w:t>
      </w:r>
      <w:r>
        <w:rPr>
          <w:rStyle w:val="68"/>
          <w:rFonts w:hint="eastAsia" w:cs="仿宋_GB2312" w:asciiTheme="minorEastAsia" w:hAnsiTheme="minorEastAsia" w:eastAsiaTheme="minorEastAsia"/>
          <w:b w:val="0"/>
          <w:bCs/>
          <w:color w:val="auto"/>
          <w:kern w:val="2"/>
          <w:sz w:val="24"/>
          <w:szCs w:val="24"/>
        </w:rPr>
        <w:fldChar w:fldCharType="end"/>
      </w:r>
      <w:r>
        <w:rPr>
          <w:rFonts w:hint="eastAsia" w:cs="仿宋_GB2312" w:asciiTheme="minorEastAsia" w:hAnsiTheme="minorEastAsia" w:eastAsiaTheme="minorEastAsia"/>
          <w:b w:val="0"/>
          <w:bCs/>
          <w:color w:val="auto"/>
          <w:sz w:val="24"/>
        </w:rPr>
        <w:t>）。</w:t>
      </w:r>
    </w:p>
    <w:p>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27" w:name="_Toc35393802"/>
      <w:bookmarkStart w:id="28" w:name="_Toc28359016"/>
      <w:bookmarkStart w:id="29" w:name="_Toc35393633"/>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16</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13</w:t>
      </w:r>
      <w:bookmarkStart w:id="181" w:name="_GoBack"/>
      <w:bookmarkEnd w:id="181"/>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color w:val="auto"/>
          <w:sz w:val="24"/>
          <w:szCs w:val="24"/>
        </w:rPr>
        <w:t>六、公告期限</w:t>
      </w:r>
      <w:bookmarkEnd w:id="31"/>
      <w:bookmarkEnd w:id="32"/>
      <w:bookmarkEnd w:id="33"/>
      <w:bookmarkEnd w:id="34"/>
    </w:p>
    <w:p>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w:t>
      </w:r>
      <w:r>
        <w:rPr>
          <w:rFonts w:hint="eastAsia" w:cs="宋体" w:asciiTheme="minorEastAsia" w:hAnsiTheme="minorEastAsia" w:eastAsiaTheme="minorEastAsia"/>
          <w:b w:val="0"/>
          <w:bCs/>
          <w:color w:val="auto"/>
          <w:kern w:val="0"/>
          <w:sz w:val="24"/>
        </w:rPr>
        <w:t>（1）需要落实的政府采购政策：包括节约资源、保护环境、</w:t>
      </w:r>
      <w:r>
        <w:rPr>
          <w:rFonts w:hint="eastAsia" w:cs="宋体" w:asciiTheme="minorEastAsia" w:hAnsiTheme="minorEastAsia" w:eastAsiaTheme="minorEastAsia"/>
          <w:b w:val="0"/>
          <w:bCs/>
          <w:color w:val="auto"/>
          <w:sz w:val="24"/>
        </w:rPr>
        <w:t>支持创新、</w:t>
      </w:r>
      <w:r>
        <w:rPr>
          <w:rFonts w:hint="eastAsia" w:cs="宋体" w:asciiTheme="minorEastAsia" w:hAnsiTheme="minorEastAsia" w:eastAsiaTheme="minorEastAsia"/>
          <w:b w:val="0"/>
          <w:bCs/>
          <w:color w:val="auto"/>
          <w:kern w:val="0"/>
          <w:sz w:val="24"/>
        </w:rPr>
        <w:t>促进中小企业发展等，详见磋商文件第三部分。</w:t>
      </w:r>
      <w:r>
        <w:rPr>
          <w:rFonts w:hint="eastAsia" w:cs="宋体" w:asciiTheme="minorEastAsia" w:hAnsiTheme="minorEastAsia" w:eastAsiaTheme="minorEastAsia"/>
          <w:b w:val="0"/>
          <w:bCs/>
          <w:color w:val="auto"/>
          <w:kern w:val="0"/>
          <w:sz w:val="24"/>
          <w:szCs w:val="20"/>
        </w:rPr>
        <w:t>（2）</w:t>
      </w:r>
      <w:r>
        <w:rPr>
          <w:rFonts w:hint="eastAsia" w:cs="仿宋_GB2312" w:asciiTheme="minorEastAsia" w:hAnsiTheme="minorEastAsia" w:eastAsiaTheme="minorEastAsia"/>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rPr>
        <w:t>5）</w:t>
      </w:r>
      <w:r>
        <w:rPr>
          <w:rFonts w:hint="eastAsia" w:cs="仿宋_GB2312" w:asciiTheme="minorEastAsia" w:hAnsiTheme="minorEastAsia" w:eastAsiaTheme="minorEastAsia"/>
          <w:b w:val="0"/>
          <w:bCs/>
          <w:color w:val="auto"/>
          <w:sz w:val="24"/>
        </w:rPr>
        <w:t>采购人、</w:t>
      </w:r>
      <w:r>
        <w:rPr>
          <w:rFonts w:hint="eastAsia" w:cs="仿宋_GB2312" w:asciiTheme="minorEastAsia" w:hAnsiTheme="minorEastAsia" w:eastAsiaTheme="minorEastAsia"/>
          <w:b w:val="0"/>
          <w:bCs/>
          <w:color w:val="auto"/>
          <w:sz w:val="24"/>
          <w:lang w:eastAsia="zh-CN"/>
        </w:rPr>
        <w:t>采购代</w:t>
      </w:r>
      <w:r>
        <w:rPr>
          <w:rFonts w:hint="eastAsia" w:cs="仿宋_GB2312" w:asciiTheme="minorEastAsia" w:hAnsiTheme="minorEastAsia" w:eastAsiaTheme="minorEastAsia"/>
          <w:color w:val="auto"/>
          <w:sz w:val="24"/>
          <w:lang w:eastAsia="zh-CN"/>
        </w:rPr>
        <w:t>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rPr>
        <w:t>6）</w:t>
      </w:r>
      <w:r>
        <w:rPr>
          <w:rFonts w:hint="eastAsia" w:cs="仿宋_GB2312" w:asciiTheme="minorEastAsia" w:hAnsiTheme="minorEastAsia" w:eastAsiaTheme="minorEastAsia"/>
          <w:b w:val="0"/>
          <w:bCs/>
          <w:color w:val="auto"/>
          <w:sz w:val="24"/>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rPr>
        <w:t>7）</w:t>
      </w:r>
      <w:r>
        <w:rPr>
          <w:rFonts w:hint="eastAsia" w:cs="仿宋_GB2312" w:asciiTheme="minorEastAsia" w:hAnsiTheme="minorEastAsia" w:eastAsiaTheme="minorEastAsia"/>
          <w:b w:val="0"/>
          <w:bCs/>
          <w:color w:val="auto"/>
          <w:sz w:val="24"/>
        </w:rPr>
        <w:t>不提供磋商文件纸质版；</w:t>
      </w:r>
      <w:r>
        <w:rPr>
          <w:rFonts w:cs="仿宋_GB2312" w:asciiTheme="minorEastAsia" w:hAnsiTheme="minorEastAsia" w:eastAsiaTheme="minorEastAsia"/>
          <w:b w:val="0"/>
          <w:bCs/>
          <w:color w:val="auto"/>
          <w:sz w:val="24"/>
        </w:rPr>
        <w:t>8</w:t>
      </w:r>
      <w:r>
        <w:rPr>
          <w:rFonts w:hint="eastAsia" w:cs="仿宋_GB2312" w:asciiTheme="minorEastAsia" w:hAnsiTheme="minorEastAsia" w:eastAsiaTheme="minorEastAsia"/>
          <w:b w:val="0"/>
          <w:bCs/>
          <w:color w:val="auto"/>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w:t>
      </w:r>
      <w:r>
        <w:rPr>
          <w:rFonts w:hint="eastAsia" w:cs="仿宋_GB2312" w:asciiTheme="minorEastAsia" w:hAnsiTheme="minorEastAsia" w:eastAsiaTheme="minorEastAsia"/>
          <w:color w:val="auto"/>
          <w:sz w:val="24"/>
        </w:rPr>
        <w:t>作指南-供应商”。</w:t>
      </w:r>
      <w:r>
        <w:rPr>
          <w:rFonts w:hint="eastAsia" w:cs="宋体" w:asciiTheme="minorEastAsia" w:hAnsiTheme="minorEastAsia" w:eastAsiaTheme="minorEastAsia"/>
          <w:color w:val="auto"/>
          <w:sz w:val="24"/>
        </w:rPr>
        <w:t>（3磋商文件公告期限与磋商公告的公告期限一致。</w:t>
      </w:r>
    </w:p>
    <w:p>
      <w:pPr>
        <w:pStyle w:val="4"/>
        <w:numPr>
          <w:ilvl w:val="0"/>
          <w:numId w:val="0"/>
        </w:numPr>
        <w:ind w:left="432" w:hanging="432"/>
        <w:rPr>
          <w:rFonts w:cs="宋体" w:asciiTheme="minorEastAsia" w:hAnsiTheme="minorEastAsia" w:eastAsiaTheme="minorEastAsia"/>
          <w:color w:val="auto"/>
          <w:sz w:val="24"/>
          <w:szCs w:val="24"/>
        </w:rPr>
      </w:pPr>
      <w:bookmarkStart w:id="37" w:name="_Toc28359095"/>
      <w:bookmarkStart w:id="38" w:name="_Toc35393805"/>
      <w:bookmarkStart w:id="39" w:name="_Toc28359018"/>
      <w:bookmarkStart w:id="40" w:name="_Toc35393636"/>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pPr>
        <w:pStyle w:val="4"/>
        <w:numPr>
          <w:ilvl w:val="0"/>
          <w:numId w:val="0"/>
        </w:numPr>
        <w:ind w:left="432" w:hanging="432"/>
        <w:rPr>
          <w:rFonts w:cs="宋体" w:asciiTheme="minorEastAsia" w:hAnsiTheme="minorEastAsia" w:eastAsiaTheme="minorEastAsia"/>
          <w:color w:val="auto"/>
          <w:sz w:val="24"/>
          <w:szCs w:val="24"/>
        </w:rPr>
      </w:pPr>
      <w:bookmarkStart w:id="41" w:name="_Toc35393806"/>
      <w:bookmarkStart w:id="42" w:name="_Toc35393637"/>
      <w:bookmarkStart w:id="43" w:name="_Toc28359019"/>
      <w:bookmarkStart w:id="44" w:name="_Toc2835909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color w:val="auto"/>
          <w:sz w:val="24"/>
          <w:lang w:eastAsia="zh-CN"/>
        </w:rPr>
        <w:t>杭州市第一人民医院</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杭州市浣纱路261号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朱先生</w:t>
      </w:r>
      <w:r>
        <w:rPr>
          <w:rFonts w:hint="eastAsia" w:asciiTheme="minorEastAsia" w:hAnsiTheme="minorEastAsia" w:eastAsiaTheme="minorEastAsia"/>
          <w:color w:val="auto"/>
          <w:sz w:val="24"/>
        </w:rPr>
        <w:t xml:space="preserve"> </w:t>
      </w:r>
    </w:p>
    <w:p>
      <w:pPr>
        <w:spacing w:line="360" w:lineRule="auto"/>
        <w:rPr>
          <w:rFonts w:hint="default" w:eastAsia="宋体" w:asciiTheme="minorEastAsia" w:hAnsiTheme="minorEastAsia"/>
          <w:color w:val="auto"/>
          <w:sz w:val="24"/>
          <w:lang w:val="en-US" w:eastAsia="zh-CN"/>
        </w:rPr>
      </w:pPr>
      <w:r>
        <w:rPr>
          <w:rFonts w:hint="eastAsia" w:asciiTheme="minorEastAsia" w:hAnsiTheme="minorEastAsia" w:eastAsiaTheme="minorEastAsia"/>
          <w:color w:val="auto"/>
          <w:sz w:val="24"/>
        </w:rPr>
        <w:t xml:space="preserve">    项目联系方式（询问）：</w:t>
      </w:r>
      <w:r>
        <w:rPr>
          <w:rFonts w:hint="eastAsia" w:ascii="宋体" w:hAnsi="宋体" w:cs="宋体"/>
          <w:sz w:val="24"/>
        </w:rPr>
        <w:t>0571-</w:t>
      </w:r>
      <w:r>
        <w:rPr>
          <w:rFonts w:hint="eastAsia" w:ascii="宋体" w:hAnsi="宋体" w:cs="宋体"/>
          <w:sz w:val="24"/>
          <w:lang w:val="en-US" w:eastAsia="zh-CN"/>
        </w:rPr>
        <w:t>56006083</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ascii="Times New Roman" w:hAnsi="Times New Roman"/>
          <w:sz w:val="24"/>
        </w:rPr>
        <w:t>陆主任</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质疑联系方式：0571-56007337</w:t>
      </w:r>
    </w:p>
    <w:p>
      <w:pPr>
        <w:pStyle w:val="4"/>
        <w:numPr>
          <w:ilvl w:val="0"/>
          <w:numId w:val="0"/>
        </w:numPr>
        <w:ind w:left="432" w:hanging="432"/>
        <w:rPr>
          <w:rFonts w:cs="宋体" w:asciiTheme="minorEastAsia" w:hAnsiTheme="minorEastAsia" w:eastAsiaTheme="minorEastAsia"/>
          <w:color w:val="auto"/>
          <w:sz w:val="24"/>
        </w:rPr>
      </w:pPr>
      <w:bookmarkStart w:id="45" w:name="_Toc35393638"/>
      <w:bookmarkStart w:id="46" w:name="_Toc28359097"/>
      <w:bookmarkStart w:id="47" w:name="_Toc28359020"/>
      <w:bookmarkStart w:id="48" w:name="_Toc35393807"/>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浙江豪圣建设项目管理有限公司</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sz w:val="24"/>
        </w:rPr>
        <w:t>杭州市拱墅区大关路179号远洋国际中心A座17楼1706室</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bookmarkStart w:id="49" w:name="OLE_LINK11"/>
      <w:r>
        <w:rPr>
          <w:rFonts w:hint="eastAsia" w:ascii="宋体" w:hAnsi="宋体" w:cs="宋体"/>
          <w:sz w:val="24"/>
        </w:rPr>
        <w:t>王爽、曹剑斌、陈敏娇</w:t>
      </w:r>
      <w:bookmarkEnd w:id="49"/>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 </w:t>
      </w:r>
      <w:r>
        <w:rPr>
          <w:rFonts w:hint="eastAsia" w:ascii="宋体" w:hAnsi="宋体" w:cs="宋体"/>
          <w:sz w:val="24"/>
        </w:rPr>
        <w:t>0571-87981527</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sz w:val="24"/>
        </w:rPr>
        <w:t>桑国坚</w:t>
      </w:r>
      <w:r>
        <w:rPr>
          <w:rFonts w:hint="eastAsia"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sz w:val="24"/>
        </w:rPr>
        <w:t>0571-56386096</w:t>
      </w:r>
    </w:p>
    <w:p>
      <w:pPr>
        <w:spacing w:line="360" w:lineRule="auto"/>
        <w:rPr>
          <w:rFonts w:asciiTheme="minorEastAsia" w:hAnsiTheme="minorEastAsia" w:eastAsiaTheme="minorEastAsia"/>
          <w:b/>
          <w:color w:val="auto"/>
          <w:sz w:val="24"/>
        </w:rPr>
      </w:pPr>
      <w:bookmarkStart w:id="50" w:name="_Toc35393808"/>
      <w:bookmarkStart w:id="51" w:name="_Toc28359098"/>
      <w:bookmarkStart w:id="52" w:name="_Toc28359021"/>
      <w:bookmarkStart w:id="53" w:name="_Toc35393639"/>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w:t>
      </w:r>
      <w:r>
        <w:rPr>
          <w:rFonts w:hint="eastAsia" w:ascii="宋体" w:hAnsi="宋体" w:cs="宋体"/>
          <w:color w:val="auto"/>
          <w:sz w:val="24"/>
        </w:rPr>
        <w:t xml:space="preserve">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pPr>
        <w:pStyle w:val="31"/>
        <w:spacing w:line="360" w:lineRule="auto"/>
        <w:ind w:firstLine="480" w:firstLineChars="200"/>
        <w:jc w:val="right"/>
        <w:rPr>
          <w:rFonts w:cs="仿宋_GB2312" w:asciiTheme="minorEastAsia" w:hAnsiTheme="minorEastAsia" w:eastAsiaTheme="minorEastAsia"/>
          <w:color w:val="auto"/>
          <w:sz w:val="24"/>
          <w:szCs w:val="24"/>
        </w:rPr>
      </w:pPr>
    </w:p>
    <w:p>
      <w:pPr>
        <w:pStyle w:val="31"/>
        <w:spacing w:line="360" w:lineRule="auto"/>
        <w:ind w:firstLine="480" w:firstLineChars="200"/>
        <w:rPr>
          <w:rFonts w:cs="仿宋_GB2312" w:asciiTheme="minorEastAsia" w:hAnsiTheme="minorEastAsia" w:eastAsiaTheme="minorEastAsia"/>
          <w:color w:val="auto"/>
          <w:sz w:val="24"/>
          <w:szCs w:val="24"/>
        </w:rPr>
      </w:pP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pPr>
        <w:pStyle w:val="393"/>
        <w:spacing w:before="0"/>
        <w:ind w:firstLine="0" w:firstLineChars="0"/>
        <w:rPr>
          <w:rFonts w:asciiTheme="minorEastAsia" w:hAnsiTheme="minorEastAsia" w:eastAsiaTheme="minorEastAsia"/>
          <w:b/>
          <w:color w:val="auto"/>
        </w:rPr>
      </w:pPr>
    </w:p>
    <w:p>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6"/>
        <w:gridCol w:w="1960"/>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3559"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3559" w:type="pct"/>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74" w:type="pct"/>
            <w:vAlign w:val="center"/>
          </w:tcPr>
          <w:p>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3559" w:type="pct"/>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杭州市第一人民医院2025年度医务人员赴英国研修项目</w:t>
            </w:r>
            <w:r>
              <w:rPr>
                <w:rFonts w:hint="eastAsia" w:ascii="宋体" w:hAnsi="宋体" w:cs="宋体"/>
                <w:color w:val="auto"/>
                <w:kern w:val="0"/>
                <w:sz w:val="24"/>
              </w:rPr>
              <w:t>，属于</w:t>
            </w:r>
            <w:r>
              <w:rPr>
                <w:rFonts w:hint="eastAsia" w:ascii="宋体" w:hAnsi="宋体" w:cs="宋体"/>
                <w:kern w:val="0"/>
                <w:sz w:val="24"/>
                <w:u w:val="single"/>
              </w:rPr>
              <w:t>其他未列明</w:t>
            </w:r>
            <w:r>
              <w:rPr>
                <w:rFonts w:hint="eastAsia" w:ascii="宋体" w:hAnsi="宋体" w:cs="宋体"/>
                <w:color w:val="auto"/>
                <w:kern w:val="0"/>
                <w:sz w:val="24"/>
              </w:rPr>
              <w:t>行业；</w:t>
            </w:r>
          </w:p>
          <w:p>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3559" w:type="pct"/>
            <w:vAlign w:val="center"/>
          </w:tcPr>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074" w:type="pct"/>
            <w:vAlign w:val="center"/>
          </w:tcPr>
          <w:p>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3559" w:type="pct"/>
            <w:vAlign w:val="center"/>
          </w:tcPr>
          <w:p>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b/>
                <w:bCs/>
                <w:color w:val="auto"/>
                <w:sz w:val="24"/>
                <w:u w:val="single"/>
                <w:lang w:val="en-US" w:eastAsia="zh-CN"/>
              </w:rPr>
              <w:t>电话通知</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5"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3559" w:type="pct"/>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pPr>
              <w:pStyle w:val="71"/>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3559" w:type="pct"/>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074" w:type="pct"/>
            <w:vAlign w:val="center"/>
          </w:tcPr>
          <w:p>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3559" w:type="pct"/>
            <w:vAlign w:val="center"/>
          </w:tcPr>
          <w:p>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5" w:type="pct"/>
            <w:vMerge w:val="restar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074" w:type="pct"/>
            <w:vMerge w:val="restar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3559" w:type="pct"/>
            <w:vAlign w:val="center"/>
          </w:tcPr>
          <w:p>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365" w:type="pct"/>
            <w:vMerge w:val="continue"/>
            <w:vAlign w:val="center"/>
          </w:tcPr>
          <w:p>
            <w:pPr>
              <w:snapToGrid w:val="0"/>
              <w:spacing w:line="360" w:lineRule="auto"/>
              <w:jc w:val="center"/>
              <w:rPr>
                <w:rFonts w:cs="宋体" w:asciiTheme="minorEastAsia" w:hAnsiTheme="minorEastAsia" w:eastAsiaTheme="minorEastAsia"/>
                <w:color w:val="auto"/>
                <w:sz w:val="24"/>
              </w:rPr>
            </w:pPr>
          </w:p>
        </w:tc>
        <w:tc>
          <w:tcPr>
            <w:tcW w:w="1074" w:type="pct"/>
            <w:vMerge w:val="continue"/>
            <w:vAlign w:val="center"/>
          </w:tcPr>
          <w:p>
            <w:pPr>
              <w:snapToGrid w:val="0"/>
              <w:spacing w:line="360" w:lineRule="auto"/>
              <w:jc w:val="center"/>
              <w:rPr>
                <w:rFonts w:cs="宋体" w:asciiTheme="minorEastAsia" w:hAnsiTheme="minorEastAsia" w:eastAsiaTheme="minorEastAsia"/>
                <w:b/>
                <w:color w:val="auto"/>
                <w:sz w:val="24"/>
              </w:rPr>
            </w:pPr>
          </w:p>
        </w:tc>
        <w:tc>
          <w:tcPr>
            <w:tcW w:w="3559" w:type="pct"/>
            <w:vAlign w:val="center"/>
          </w:tcPr>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3559" w:type="pct"/>
            <w:vAlign w:val="center"/>
          </w:tcPr>
          <w:p>
            <w:pPr>
              <w:pStyle w:val="71"/>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color w:val="auto"/>
              </w:rPr>
            </w:pPr>
            <w:r>
              <w:rPr>
                <w:rFonts w:hint="eastAsia" w:cs="宋体" w:asciiTheme="minorEastAsia" w:hAnsiTheme="minorEastAsia" w:eastAsiaTheme="minorEastAsia"/>
                <w:color w:val="auto"/>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355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3"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3559" w:type="pct"/>
            <w:vAlign w:val="center"/>
          </w:tcPr>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365" w:type="pc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074" w:type="pc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3559" w:type="pct"/>
            <w:vAlign w:val="center"/>
          </w:tcPr>
          <w:p>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rPr>
              <w:t>杭州市拱墅区大关路179号远洋国际中心A座17楼1706室</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kern w:val="28"/>
                <w:sz w:val="24"/>
                <w:szCs w:val="24"/>
                <w:u w:val="single"/>
              </w:rPr>
              <w:t>张月</w:t>
            </w:r>
            <w:r>
              <w:rPr>
                <w:rFonts w:hint="eastAsia" w:cs="宋体" w:asciiTheme="minorEastAsia" w:hAnsiTheme="minorEastAsia" w:eastAsiaTheme="minorEastAsia"/>
                <w:color w:val="auto"/>
                <w:kern w:val="28"/>
                <w:sz w:val="24"/>
                <w:szCs w:val="24"/>
                <w:u w:val="single"/>
                <w:lang w:eastAsia="zh-CN"/>
              </w:rPr>
              <w:t>、</w:t>
            </w:r>
            <w:r>
              <w:rPr>
                <w:rFonts w:hint="eastAsia" w:cs="宋体" w:asciiTheme="minorEastAsia" w:hAnsiTheme="minorEastAsia" w:eastAsiaTheme="minorEastAsia"/>
                <w:color w:val="auto"/>
                <w:kern w:val="28"/>
                <w:sz w:val="24"/>
                <w:szCs w:val="24"/>
                <w:u w:val="single"/>
              </w:rPr>
              <w:t>0571-87981527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restart"/>
            <w:vAlign w:val="center"/>
          </w:tcPr>
          <w:p>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074" w:type="pct"/>
            <w:vMerge w:val="restart"/>
            <w:vAlign w:val="center"/>
          </w:tcPr>
          <w:p>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3559" w:type="pct"/>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continue"/>
            <w:vAlign w:val="center"/>
          </w:tcPr>
          <w:p>
            <w:pPr>
              <w:snapToGrid w:val="0"/>
              <w:spacing w:line="360" w:lineRule="auto"/>
              <w:jc w:val="center"/>
              <w:rPr>
                <w:rFonts w:cs="宋体" w:asciiTheme="minorEastAsia" w:hAnsiTheme="minorEastAsia" w:eastAsiaTheme="minorEastAsia"/>
                <w:color w:val="auto"/>
                <w:sz w:val="24"/>
              </w:rPr>
            </w:pPr>
          </w:p>
        </w:tc>
        <w:tc>
          <w:tcPr>
            <w:tcW w:w="1074" w:type="pct"/>
            <w:vMerge w:val="continue"/>
            <w:vAlign w:val="center"/>
          </w:tcPr>
          <w:p>
            <w:pPr>
              <w:snapToGrid w:val="0"/>
              <w:spacing w:line="360" w:lineRule="auto"/>
              <w:jc w:val="center"/>
              <w:rPr>
                <w:rFonts w:cs="宋体" w:asciiTheme="minorEastAsia" w:hAnsiTheme="minorEastAsia" w:eastAsiaTheme="minorEastAsia"/>
                <w:b/>
                <w:color w:val="auto"/>
                <w:sz w:val="24"/>
              </w:rPr>
            </w:pPr>
          </w:p>
        </w:tc>
        <w:tc>
          <w:tcPr>
            <w:tcW w:w="3559" w:type="pct"/>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74" w:type="pct"/>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3559" w:type="pct"/>
            <w:vAlign w:val="center"/>
          </w:tcPr>
          <w:p>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074" w:type="pct"/>
            <w:vAlign w:val="center"/>
          </w:tcPr>
          <w:p>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9" w:type="pct"/>
            <w:vAlign w:val="center"/>
          </w:tcPr>
          <w:p>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按照</w:t>
            </w:r>
            <w:r>
              <w:rPr>
                <w:rFonts w:hint="eastAsia" w:ascii="宋体" w:hAnsi="宋体" w:cs="宋体"/>
                <w:b w:val="0"/>
                <w:bCs w:val="0"/>
                <w:snapToGrid w:val="0"/>
                <w:kern w:val="28"/>
                <w:sz w:val="24"/>
                <w:lang w:val="en-US" w:eastAsia="zh-CN"/>
              </w:rPr>
              <w:t>中标价作</w:t>
            </w:r>
            <w:r>
              <w:rPr>
                <w:rFonts w:hint="eastAsia" w:ascii="宋体" w:hAnsi="宋体" w:cs="宋体"/>
                <w:b w:val="0"/>
                <w:bCs w:val="0"/>
                <w:snapToGrid w:val="0"/>
                <w:kern w:val="28"/>
                <w:sz w:val="24"/>
              </w:rPr>
              <w:t>为计价依据</w:t>
            </w:r>
            <w:r>
              <w:rPr>
                <w:rFonts w:hint="eastAsia" w:ascii="宋体" w:hAnsi="宋体" w:cs="宋体"/>
                <w:b w:val="0"/>
                <w:bCs w:val="0"/>
                <w:snapToGrid w:val="0"/>
                <w:kern w:val="28"/>
                <w:sz w:val="24"/>
                <w:lang w:eastAsia="zh-CN"/>
              </w:rPr>
              <w:t>。</w:t>
            </w:r>
            <w:r>
              <w:rPr>
                <w:rFonts w:hint="eastAsia" w:ascii="宋体" w:hAnsi="宋体" w:cs="宋体"/>
                <w:b w:val="0"/>
                <w:bCs w:val="0"/>
                <w:snapToGrid w:val="0"/>
                <w:kern w:val="28"/>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该费用在投标文件中不单列，由投标人在投标总报价中综合考虑。</w:t>
            </w:r>
          </w:p>
          <w:p>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收款人（全称）：浙江豪圣建设项目管理有限公司</w:t>
            </w:r>
          </w:p>
          <w:p>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开户行：上海浦东发展银行股份有限公司杭州和睦支行</w:t>
            </w:r>
          </w:p>
          <w:p>
            <w:pPr>
              <w:spacing w:line="360" w:lineRule="auto"/>
              <w:rPr>
                <w:rFonts w:hint="eastAsia" w:ascii="宋体" w:hAnsi="宋体" w:cs="宋体"/>
                <w:color w:val="auto"/>
                <w:kern w:val="0"/>
                <w:sz w:val="24"/>
                <w:highlight w:val="none"/>
                <w:lang w:val="en" w:eastAsia="zh-CN"/>
              </w:rPr>
            </w:pPr>
            <w:r>
              <w:rPr>
                <w:rFonts w:hint="eastAsia" w:ascii="宋体" w:hAnsi="宋体" w:cs="宋体"/>
                <w:b/>
                <w:bCs/>
                <w:snapToGrid w:val="0"/>
                <w:kern w:val="28"/>
                <w:sz w:val="24"/>
              </w:rPr>
              <w:t>银行账号：95160154800000653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restart"/>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074" w:type="pct"/>
            <w:vMerge w:val="restart"/>
            <w:vAlign w:val="center"/>
          </w:tcPr>
          <w:p>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提醒</w:t>
            </w:r>
          </w:p>
        </w:tc>
        <w:tc>
          <w:tcPr>
            <w:tcW w:w="3559" w:type="pct"/>
            <w:vAlign w:val="center"/>
          </w:tcPr>
          <w:p>
            <w:pPr>
              <w:spacing w:line="360" w:lineRule="auto"/>
              <w:rPr>
                <w:rFonts w:ascii="宋体" w:hAnsi="宋体" w:cs="宋体"/>
                <w:color w:val="auto"/>
                <w:kern w:val="0"/>
                <w:sz w:val="24"/>
                <w:lang w:val="en"/>
              </w:rPr>
            </w:pPr>
            <w:r>
              <w:rPr>
                <w:rFonts w:hint="eastAsia" w:ascii="宋体" w:hAnsi="宋体" w:cs="宋体"/>
                <w:color w:val="auto"/>
                <w:kern w:val="0"/>
                <w:sz w:val="24"/>
                <w:lang w:val="en"/>
              </w:rPr>
              <w:t>参与同一个采购包（标段）的供应商存在下列情形之一的，且供应商无法做出合理解释的，其投标（响应）文件无效：</w:t>
            </w:r>
          </w:p>
          <w:p>
            <w:pPr>
              <w:spacing w:line="360" w:lineRule="auto"/>
              <w:rPr>
                <w:rFonts w:ascii="宋体" w:hAnsi="宋体" w:cs="宋体"/>
                <w:color w:val="auto"/>
                <w:kern w:val="0"/>
                <w:sz w:val="24"/>
                <w:lang w:val="en"/>
              </w:rPr>
            </w:pPr>
            <w:r>
              <w:rPr>
                <w:rFonts w:hint="eastAsia" w:ascii="宋体" w:hAnsi="宋体" w:cs="宋体"/>
                <w:color w:val="auto"/>
                <w:kern w:val="0"/>
                <w:sz w:val="24"/>
                <w:lang w:val="en"/>
              </w:rPr>
              <w:t>（1）不同供应商的电子投标（响应）文件上传计算机的IP地址、网卡MAC地址、CPU序列号和硬盘序列号等硬件信息相同的；</w:t>
            </w:r>
          </w:p>
          <w:p>
            <w:pPr>
              <w:spacing w:line="360" w:lineRule="auto"/>
              <w:rPr>
                <w:rFonts w:ascii="宋体" w:hAnsi="宋体" w:cs="宋体"/>
                <w:color w:val="auto"/>
                <w:kern w:val="0"/>
                <w:sz w:val="24"/>
                <w:lang w:val="en"/>
              </w:rPr>
            </w:pPr>
            <w:r>
              <w:rPr>
                <w:rFonts w:hint="eastAsia" w:ascii="宋体" w:hAnsi="宋体" w:cs="宋体"/>
                <w:color w:val="auto"/>
                <w:kern w:val="0"/>
                <w:sz w:val="24"/>
                <w:lang w:val="en"/>
              </w:rPr>
              <w:t>（2）上传的电子投标（响应）文件若出现使用本项目其他投标（响应）供应商的数字证书加密的，或者加盖本项目其他投标（响应）供应商的电子印章的；</w:t>
            </w:r>
          </w:p>
          <w:p>
            <w:pPr>
              <w:spacing w:line="360" w:lineRule="auto"/>
              <w:rPr>
                <w:rFonts w:ascii="宋体" w:hAnsi="宋体" w:cs="宋体"/>
                <w:color w:val="auto"/>
                <w:kern w:val="0"/>
                <w:sz w:val="24"/>
                <w:lang w:val="en"/>
              </w:rPr>
            </w:pPr>
            <w:r>
              <w:rPr>
                <w:rFonts w:hint="eastAsia" w:ascii="宋体" w:hAnsi="宋体" w:cs="宋体"/>
                <w:color w:val="auto"/>
                <w:kern w:val="0"/>
                <w:sz w:val="24"/>
                <w:lang w:val="en"/>
              </w:rPr>
              <w:t>（3）不同供应商的投标（响应）文件的内容存在三处（含）以上错误一致；</w:t>
            </w:r>
          </w:p>
          <w:p>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（4）不同供应商联系人为同一人或不同联系人的联系电话一致。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continue"/>
            <w:vAlign w:val="center"/>
          </w:tcPr>
          <w:p>
            <w:pPr>
              <w:snapToGrid w:val="0"/>
              <w:spacing w:line="360" w:lineRule="auto"/>
              <w:jc w:val="center"/>
              <w:rPr>
                <w:rFonts w:hint="eastAsia" w:ascii="宋体" w:hAnsi="宋体" w:cs="宋体"/>
                <w:color w:val="auto"/>
                <w:sz w:val="24"/>
                <w:highlight w:val="none"/>
                <w:lang w:val="en-US" w:eastAsia="zh-CN"/>
              </w:rPr>
            </w:pPr>
          </w:p>
        </w:tc>
        <w:tc>
          <w:tcPr>
            <w:tcW w:w="1074" w:type="pct"/>
            <w:vMerge w:val="continue"/>
            <w:vAlign w:val="center"/>
          </w:tcPr>
          <w:p>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3559" w:type="pct"/>
            <w:vAlign w:val="center"/>
          </w:tcPr>
          <w:p>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pPr>
        <w:snapToGrid w:val="0"/>
        <w:jc w:val="center"/>
        <w:rPr>
          <w:rFonts w:cs="仿宋_GB2312" w:asciiTheme="minorEastAsia" w:hAnsiTheme="minorEastAsia" w:eastAsiaTheme="minorEastAsia"/>
          <w:b/>
          <w:color w:val="auto"/>
          <w:sz w:val="32"/>
          <w:szCs w:val="20"/>
        </w:rPr>
      </w:pPr>
    </w:p>
    <w:p>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Theme="minorEastAsia" w:hAnsiTheme="minorEastAsia" w:eastAsiaTheme="minorEastAsia"/>
                <w:color w:val="auto"/>
                <w:sz w:val="24"/>
              </w:rPr>
            </w:pPr>
          </w:p>
        </w:tc>
        <w:tc>
          <w:tcPr>
            <w:tcW w:w="4536" w:type="dxa"/>
            <w:vAlign w:val="center"/>
          </w:tcPr>
          <w:p>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asciiTheme="minorEastAsia" w:hAnsiTheme="minorEastAsia" w:eastAsiaTheme="minorEastAsia"/>
                <w:color w:val="auto"/>
                <w:sz w:val="24"/>
              </w:rPr>
            </w:pPr>
          </w:p>
        </w:tc>
        <w:tc>
          <w:tcPr>
            <w:tcW w:w="4536" w:type="dxa"/>
            <w:vAlign w:val="center"/>
          </w:tcPr>
          <w:p>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pPr>
        <w:pStyle w:val="2"/>
        <w:jc w:val="cente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备品备件清单（含随机自带的备品备件和质保期后供采购人选择的备品备件及配套零配件，明细备品备件及价格，且供货价格不高于成交价格；成交货物设备应提供易损部件的备件和整机备品）（如果有）；</w:t>
      </w:r>
    </w:p>
    <w:p>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pPr>
        <w:pStyle w:val="393"/>
        <w:keepNext w:val="0"/>
        <w:keepLines w:val="0"/>
        <w:pageBreakBefore w:val="0"/>
        <w:widowControl w:val="0"/>
        <w:kinsoku/>
        <w:wordWrap/>
        <w:overflowPunct/>
        <w:topLinePunct w:val="0"/>
        <w:autoSpaceDE/>
        <w:autoSpaceDN/>
        <w:bidi w:val="0"/>
        <w:adjustRightInd w:val="0"/>
        <w:spacing w:before="0" w:line="360" w:lineRule="auto"/>
        <w:ind w:firstLine="480" w:firstLineChars="20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pPr>
        <w:pStyle w:val="631"/>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1名</w:t>
      </w:r>
      <w:r>
        <w:rPr>
          <w:rFonts w:hint="eastAsia" w:asciiTheme="minorEastAsia" w:hAnsiTheme="minorEastAsia" w:eastAsiaTheme="minorEastAsia"/>
          <w:color w:val="auto"/>
          <w:sz w:val="24"/>
          <w:szCs w:val="21"/>
          <w:lang w:val="en-US" w:eastAsia="zh-CN"/>
        </w:rPr>
        <w:t>。</w:t>
      </w:r>
    </w:p>
    <w:p>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pPr>
        <w:tabs>
          <w:tab w:val="left" w:pos="0"/>
        </w:tabs>
        <w:spacing w:line="360" w:lineRule="auto"/>
        <w:rPr>
          <w:rFonts w:hint="eastAsia" w:cs="Helvetica" w:asciiTheme="minorEastAsia" w:hAnsiTheme="minorEastAsia" w:eastAsiaTheme="minorEastAsia"/>
          <w:color w:val="auto"/>
          <w:kern w:val="0"/>
          <w:sz w:val="24"/>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74730295"/>
      <w:bookmarkEnd w:id="55"/>
      <w:bookmarkStart w:id="56" w:name="_Hlt68072990"/>
      <w:bookmarkEnd w:id="56"/>
      <w:bookmarkStart w:id="57" w:name="_Hlt75236011"/>
      <w:bookmarkEnd w:id="57"/>
      <w:bookmarkStart w:id="58" w:name="_Hlt74707468"/>
      <w:bookmarkEnd w:id="58"/>
      <w:bookmarkStart w:id="59" w:name="_Hlt74729768"/>
      <w:bookmarkEnd w:id="59"/>
      <w:bookmarkStart w:id="60" w:name="_Hlt74714665"/>
      <w:bookmarkEnd w:id="60"/>
      <w:bookmarkStart w:id="61" w:name="_Hlt68057669"/>
      <w:bookmarkEnd w:id="61"/>
      <w:bookmarkStart w:id="62" w:name="_Hlt75236101"/>
      <w:bookmarkEnd w:id="62"/>
      <w:bookmarkStart w:id="63" w:name="_Hlt75236290"/>
      <w:bookmarkEnd w:id="63"/>
      <w:bookmarkStart w:id="64" w:name="_Toc164416483"/>
      <w:bookmarkStart w:id="65" w:name="第三部分"/>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pPr>
        <w:widowControl/>
        <w:adjustRightInd w:val="0"/>
        <w:snapToGrid w:val="0"/>
        <w:spacing w:line="324" w:lineRule="auto"/>
        <w:jc w:val="both"/>
        <w:rPr>
          <w:rFonts w:ascii="Times New Roman" w:hAnsi="Times New Roman" w:eastAsia="宋体" w:cs="Times New Roman"/>
          <w:b/>
          <w:color w:val="auto"/>
          <w:sz w:val="24"/>
          <w:szCs w:val="24"/>
        </w:rPr>
      </w:pPr>
      <w:r>
        <w:rPr>
          <w:rFonts w:hint="eastAsia" w:ascii="宋体" w:hAnsi="宋体" w:cs="Arial"/>
          <w:b/>
          <w:color w:val="auto"/>
          <w:kern w:val="0"/>
          <w:sz w:val="24"/>
          <w:szCs w:val="24"/>
          <w:highlight w:val="none"/>
          <w:lang w:val="en-US" w:eastAsia="zh-CN"/>
        </w:rPr>
        <w:t>一、</w:t>
      </w:r>
      <w:r>
        <w:rPr>
          <w:rFonts w:ascii="Times New Roman" w:hAnsi="Times New Roman" w:eastAsia="宋体" w:cs="Times New Roman"/>
          <w:b/>
          <w:color w:val="auto"/>
          <w:sz w:val="24"/>
          <w:szCs w:val="24"/>
        </w:rPr>
        <w:t>采购资金的支付方式、时间、条件</w:t>
      </w:r>
    </w:p>
    <w:tbl>
      <w:tblPr>
        <w:tblStyle w:val="6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7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Times New Roman" w:hAnsi="Times New Roman" w:eastAsia="宋体" w:cs="Times New Roman"/>
                <w:color w:val="auto"/>
                <w:spacing w:val="-6"/>
                <w:sz w:val="24"/>
                <w:szCs w:val="24"/>
                <w:lang w:eastAsia="zh-CN"/>
              </w:rPr>
            </w:pPr>
            <w:r>
              <w:rPr>
                <w:rFonts w:hint="eastAsia" w:ascii="宋体" w:hAnsi="宋体" w:cs="宋体"/>
                <w:spacing w:val="-6"/>
                <w:kern w:val="0"/>
                <w:sz w:val="24"/>
                <w:szCs w:val="24"/>
                <w:lang w:val="en-US" w:eastAsia="zh-CN"/>
              </w:rPr>
              <w:t>无履约保证金</w:t>
            </w:r>
            <w:r>
              <w:rPr>
                <w:rFonts w:hint="eastAsia" w:ascii="宋体" w:hAnsi="宋体" w:cs="宋体"/>
                <w:spacing w:val="-6"/>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1、在合同生效、具备支付条件后7个工作日内支付合同金额的 40%预付款给成交供应商。</w:t>
            </w:r>
          </w:p>
          <w:p>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 因医务人员为行程分开，每位医务人员支付方式为：</w:t>
            </w:r>
          </w:p>
          <w:p>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2.1医务人员通过面试并获得英国进修机构邀请函后，服务供应方应出具其服务清单。采购方在收到该医务人员的服务清单及邀请函后15个工作日内，须支付该医务人员服务费的60%。</w:t>
            </w:r>
          </w:p>
          <w:p>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2.2医务人员在到达英国并落实英国进修机构进修学习后15个工作日内，采购方支付该医务人员服务费用的35%。</w:t>
            </w:r>
          </w:p>
          <w:p>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2.3医务人员完成研修任务回国后，服务供应方应出具该医务人员服务费用的全额发票。采购方在收到该发票后15个工作日内，须支付剩余合同金额</w:t>
            </w:r>
          </w:p>
          <w:p>
            <w:pPr>
              <w:adjustRightInd w:val="0"/>
              <w:snapToGrid w:val="0"/>
              <w:spacing w:line="288" w:lineRule="auto"/>
              <w:rPr>
                <w:rFonts w:hint="default" w:ascii="Times New Roman" w:hAnsi="Times New Roman" w:eastAsia="宋体" w:cs="Times New Roman"/>
                <w:color w:val="auto"/>
                <w:spacing w:val="-6"/>
                <w:sz w:val="24"/>
                <w:szCs w:val="24"/>
                <w:lang w:val="en-US"/>
              </w:rPr>
            </w:pPr>
            <w:r>
              <w:rPr>
                <w:rFonts w:hint="eastAsia" w:ascii="宋体" w:hAnsi="宋体" w:cs="宋体"/>
                <w:spacing w:val="-6"/>
                <w:kern w:val="0"/>
                <w:sz w:val="24"/>
                <w:szCs w:val="24"/>
                <w:lang w:val="en-US" w:eastAsia="zh-CN"/>
              </w:rPr>
              <w:t>3.按照第二条支付方式，货款优先从预扣款内扣除。预付款不足部分后续按照第二条付款方式付款。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交付地点</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Times New Roman" w:hAnsi="Times New Roman" w:eastAsia="宋体" w:cs="Times New Roman"/>
                <w:color w:val="auto"/>
                <w:spacing w:val="-6"/>
                <w:sz w:val="24"/>
                <w:szCs w:val="24"/>
              </w:rPr>
            </w:pPr>
            <w:r>
              <w:rPr>
                <w:rFonts w:ascii="Times New Roman" w:hAnsi="Times New Roman" w:eastAsia="宋体" w:cs="Times New Roman"/>
                <w:color w:val="auto"/>
                <w:spacing w:val="-6"/>
                <w:sz w:val="24"/>
                <w:szCs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Times New Roman" w:hAnsi="Times New Roman" w:eastAsia="宋体" w:cs="Times New Roman"/>
                <w:b/>
                <w:color w:val="auto"/>
                <w:spacing w:val="-6"/>
                <w:sz w:val="24"/>
                <w:szCs w:val="24"/>
              </w:rPr>
            </w:pPr>
            <w:r>
              <w:rPr>
                <w:rFonts w:hint="eastAsia" w:ascii="Times New Roman" w:hAnsi="Times New Roman" w:cs="Times New Roman"/>
                <w:b/>
                <w:color w:val="auto"/>
                <w:spacing w:val="-6"/>
                <w:sz w:val="24"/>
                <w:szCs w:val="24"/>
                <w:lang w:val="en-US" w:eastAsia="zh-CN"/>
              </w:rPr>
              <w:t>服务</w:t>
            </w:r>
            <w:r>
              <w:rPr>
                <w:rFonts w:ascii="Times New Roman" w:hAnsi="Times New Roman" w:eastAsia="宋体" w:cs="Times New Roman"/>
                <w:b/>
                <w:color w:val="auto"/>
                <w:spacing w:val="-6"/>
                <w:sz w:val="24"/>
                <w:szCs w:val="24"/>
              </w:rPr>
              <w:t>期</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Times New Roman" w:hAnsi="Times New Roman" w:eastAsia="宋体" w:cs="Times New Roman"/>
                <w:color w:val="auto"/>
                <w:spacing w:val="-6"/>
                <w:sz w:val="24"/>
                <w:szCs w:val="24"/>
              </w:rPr>
            </w:pPr>
            <w:r>
              <w:rPr>
                <w:rFonts w:hint="eastAsia" w:ascii="Times New Roman" w:hAnsi="Times New Roman" w:eastAsia="宋体" w:cs="Times New Roman"/>
                <w:color w:val="auto"/>
                <w:spacing w:val="-6"/>
                <w:sz w:val="24"/>
                <w:szCs w:val="24"/>
              </w:rPr>
              <w:t>1年；具体起止时间在签订合同时由</w:t>
            </w:r>
            <w:r>
              <w:rPr>
                <w:rFonts w:hint="eastAsia" w:cs="Times New Roman"/>
                <w:color w:val="auto"/>
                <w:spacing w:val="-6"/>
                <w:sz w:val="24"/>
                <w:szCs w:val="24"/>
                <w:lang w:val="en-US" w:eastAsia="zh-CN"/>
              </w:rPr>
              <w:t>采购</w:t>
            </w:r>
            <w:r>
              <w:rPr>
                <w:rFonts w:hint="eastAsia" w:ascii="Times New Roman" w:hAnsi="Times New Roman" w:eastAsia="宋体" w:cs="Times New Roman"/>
                <w:color w:val="auto"/>
                <w:spacing w:val="-6"/>
                <w:sz w:val="24"/>
                <w:szCs w:val="24"/>
              </w:rPr>
              <w:t>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Times New Roman" w:hAnsi="Times New Roman" w:cs="Times New Roman"/>
                <w:b/>
                <w:color w:val="auto"/>
                <w:spacing w:val="-6"/>
                <w:sz w:val="24"/>
                <w:szCs w:val="24"/>
                <w:lang w:val="en-US" w:eastAsia="zh-CN"/>
              </w:rPr>
            </w:pPr>
            <w:r>
              <w:rPr>
                <w:rFonts w:ascii="Times New Roman" w:hAnsi="Times New Roman" w:eastAsia="宋体" w:cs="Times New Roman"/>
                <w:b/>
                <w:color w:val="auto"/>
                <w:spacing w:val="-6"/>
                <w:sz w:val="24"/>
                <w:szCs w:val="24"/>
              </w:rPr>
              <w:t>▲</w:t>
            </w:r>
            <w:r>
              <w:rPr>
                <w:rFonts w:hint="eastAsia" w:cs="Times New Roman"/>
                <w:b/>
                <w:color w:val="auto"/>
                <w:spacing w:val="-6"/>
                <w:sz w:val="24"/>
                <w:szCs w:val="24"/>
                <w:lang w:val="en-US" w:eastAsia="zh-CN"/>
              </w:rPr>
              <w:t>报价方式</w:t>
            </w:r>
          </w:p>
        </w:tc>
        <w:tc>
          <w:tcPr>
            <w:tcW w:w="40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Times New Roman" w:hAnsi="Times New Roman" w:eastAsia="宋体" w:cs="Times New Roman"/>
                <w:color w:val="auto"/>
                <w:spacing w:val="-6"/>
                <w:sz w:val="24"/>
                <w:szCs w:val="24"/>
                <w:lang w:eastAsia="zh-CN"/>
              </w:rPr>
            </w:pPr>
            <w:r>
              <w:rPr>
                <w:rFonts w:hint="eastAsia" w:ascii="Times New Roman" w:hAnsi="Times New Roman" w:eastAsia="宋体" w:cs="Times New Roman"/>
                <w:color w:val="auto"/>
                <w:spacing w:val="-6"/>
                <w:sz w:val="24"/>
                <w:szCs w:val="24"/>
              </w:rPr>
              <w:t>本项目投标报价为</w:t>
            </w:r>
            <w:r>
              <w:rPr>
                <w:rFonts w:hint="eastAsia" w:cs="Times New Roman"/>
                <w:color w:val="auto"/>
                <w:spacing w:val="-6"/>
                <w:sz w:val="24"/>
                <w:szCs w:val="24"/>
                <w:lang w:val="en-US" w:eastAsia="zh-CN"/>
              </w:rPr>
              <w:t>采购人指定的7名医务人员赴</w:t>
            </w:r>
            <w:r>
              <w:rPr>
                <w:rFonts w:hint="eastAsia" w:ascii="Times New Roman" w:hAnsi="Times New Roman" w:eastAsia="宋体" w:cs="Times New Roman"/>
                <w:color w:val="auto"/>
                <w:spacing w:val="-6"/>
                <w:sz w:val="24"/>
                <w:szCs w:val="24"/>
              </w:rPr>
              <w:t>英国研修的</w:t>
            </w:r>
            <w:r>
              <w:rPr>
                <w:rFonts w:hint="eastAsia" w:cs="Times New Roman"/>
                <w:color w:val="auto"/>
                <w:spacing w:val="-6"/>
                <w:sz w:val="24"/>
                <w:szCs w:val="24"/>
                <w:lang w:val="en-US" w:eastAsia="zh-CN"/>
              </w:rPr>
              <w:t>可能涉及的全部费用的</w:t>
            </w:r>
            <w:r>
              <w:rPr>
                <w:rFonts w:hint="eastAsia" w:ascii="Times New Roman" w:hAnsi="Times New Roman" w:eastAsia="宋体" w:cs="Times New Roman"/>
                <w:color w:val="auto"/>
                <w:spacing w:val="-6"/>
                <w:sz w:val="24"/>
                <w:szCs w:val="24"/>
              </w:rPr>
              <w:t>含税</w:t>
            </w:r>
            <w:r>
              <w:rPr>
                <w:rFonts w:hint="eastAsia" w:cs="Times New Roman"/>
                <w:color w:val="auto"/>
                <w:spacing w:val="-6"/>
                <w:sz w:val="24"/>
                <w:szCs w:val="24"/>
                <w:lang w:val="en-US" w:eastAsia="zh-CN"/>
              </w:rPr>
              <w:t>总</w:t>
            </w:r>
            <w:r>
              <w:rPr>
                <w:rFonts w:hint="eastAsia" w:ascii="Times New Roman" w:hAnsi="Times New Roman" w:eastAsia="宋体" w:cs="Times New Roman"/>
                <w:color w:val="auto"/>
                <w:spacing w:val="-6"/>
                <w:sz w:val="24"/>
                <w:szCs w:val="24"/>
              </w:rPr>
              <w:t>价</w:t>
            </w:r>
            <w:r>
              <w:rPr>
                <w:rFonts w:hint="eastAsia" w:cs="Times New Roman"/>
                <w:color w:val="auto"/>
                <w:spacing w:val="-6"/>
                <w:sz w:val="24"/>
                <w:szCs w:val="24"/>
                <w:lang w:eastAsia="zh-CN"/>
              </w:rPr>
              <w:t>。</w:t>
            </w:r>
          </w:p>
        </w:tc>
      </w:tr>
    </w:tbl>
    <w:p>
      <w:pPr>
        <w:widowControl/>
        <w:adjustRightInd w:val="0"/>
        <w:snapToGrid w:val="0"/>
        <w:spacing w:line="324" w:lineRule="auto"/>
        <w:jc w:val="both"/>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二、基本要求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（一）研修培训和研修人员管理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lang w:val="en-US" w:eastAsia="zh-CN"/>
        </w:rPr>
        <w:t>1、采购人计划拟定7名医务人员分批前往</w:t>
      </w:r>
      <w:r>
        <w:rPr>
          <w:rFonts w:hint="eastAsia" w:cs="仿宋_GB2312" w:asciiTheme="minorEastAsia" w:hAnsiTheme="minorEastAsia" w:eastAsiaTheme="minorEastAsia"/>
          <w:b w:val="0"/>
          <w:bCs/>
          <w:color w:val="auto"/>
          <w:sz w:val="24"/>
          <w:szCs w:val="24"/>
        </w:rPr>
        <w:t>英国国内（伦敦、剑桥、牛津等地区优先）的医院或医学院开展3个月或6个月临床研修。研修单位包括牛津大学医院、皇家帕普沃思医院、皇家布朗普顿喝哈菲尔德医院、帝国理工大学附属医院（查令十字医院、圣玛丽医院、哈默史密斯医院、夏洛特皇后切尔西医院、西方眼科医院）、剑桥大学医院（阿登布鲁克医院、罗西妇产医院）、伦敦大学医院、国王大学附属医院、盖伊和圣托马斯医院、英国艾维琳娜儿童医院、伦敦皇家医院、莫兹利医院、英国圣乔治医院、皇家国立国科医院等英国NHS医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2、研修期间，医务人员所在研修医院或医学院对医务人员进行管理，包括日常行为与着装规范，工作流程与患者管理要求，培训与学习管理，患者安全与隐私保护，考勤等；研修结束离院时，医务人员所在研修医院签发研修结业证书。</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（二）住宿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1、医务人员在英国研修期间的住宿费用含在本次报价中。住宿标准为单人单间住宿，配备简单家具、厨房用具，盥洗室、水电煤气等生活必要设施，住宿地址距离研修医院按地铁出行时间为1小时内。</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（三）项目管理服务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rPr>
        <w:t>服务内容包括为申请人精准匹配医院或医学院、确定合适的导师、指导项目申请、提供接送机服务以及落实住宿安排等重要环节；提供接送机服务以及落实住宿安排等。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kern w:val="2"/>
          <w:sz w:val="24"/>
          <w:szCs w:val="24"/>
          <w:lang w:val="en-US" w:eastAsia="zh-CN" w:bidi="ar-SA"/>
        </w:rPr>
        <w:t>（四）</w:t>
      </w:r>
      <w:r>
        <w:rPr>
          <w:rFonts w:hint="eastAsia" w:cs="仿宋_GB2312" w:asciiTheme="minorEastAsia" w:hAnsiTheme="minorEastAsia" w:eastAsiaTheme="minorEastAsia"/>
          <w:b/>
          <w:bCs w:val="0"/>
          <w:color w:val="auto"/>
          <w:sz w:val="24"/>
          <w:szCs w:val="24"/>
          <w:lang w:val="en-US" w:eastAsia="zh-CN"/>
        </w:rPr>
        <w:t>售后服务要求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成交供应商</w:t>
      </w:r>
      <w:r>
        <w:rPr>
          <w:rFonts w:hint="default" w:cs="仿宋_GB2312" w:asciiTheme="minorEastAsia" w:hAnsiTheme="minorEastAsia" w:eastAsiaTheme="minorEastAsia"/>
          <w:b w:val="0"/>
          <w:bCs/>
          <w:color w:val="auto"/>
          <w:sz w:val="24"/>
          <w:szCs w:val="24"/>
          <w:lang w:val="en-US" w:eastAsia="zh-CN"/>
        </w:rPr>
        <w:t>接到</w:t>
      </w:r>
      <w:r>
        <w:rPr>
          <w:rFonts w:hint="eastAsia" w:cs="仿宋_GB2312" w:asciiTheme="minorEastAsia" w:hAnsiTheme="minorEastAsia" w:eastAsiaTheme="minorEastAsia"/>
          <w:b w:val="0"/>
          <w:bCs/>
          <w:color w:val="auto"/>
          <w:sz w:val="24"/>
          <w:szCs w:val="24"/>
          <w:lang w:val="en-US" w:eastAsia="zh-CN"/>
        </w:rPr>
        <w:t>采购</w:t>
      </w:r>
      <w:r>
        <w:rPr>
          <w:rFonts w:hint="default" w:cs="仿宋_GB2312" w:asciiTheme="minorEastAsia" w:hAnsiTheme="minorEastAsia" w:eastAsiaTheme="minorEastAsia"/>
          <w:b w:val="0"/>
          <w:bCs/>
          <w:color w:val="auto"/>
          <w:sz w:val="24"/>
          <w:szCs w:val="24"/>
          <w:lang w:val="en-US" w:eastAsia="zh-CN"/>
        </w:rPr>
        <w:t>人通知后在要求的</w:t>
      </w:r>
      <w:r>
        <w:rPr>
          <w:rFonts w:hint="eastAsia" w:cs="仿宋_GB2312" w:asciiTheme="minorEastAsia" w:hAnsiTheme="minorEastAsia" w:eastAsiaTheme="minorEastAsia"/>
          <w:b w:val="0"/>
          <w:bCs/>
          <w:color w:val="auto"/>
          <w:sz w:val="24"/>
          <w:szCs w:val="24"/>
          <w:lang w:val="en-US" w:eastAsia="zh-CN"/>
        </w:rPr>
        <w:t>2小时</w:t>
      </w:r>
      <w:r>
        <w:rPr>
          <w:rFonts w:hint="default" w:cs="仿宋_GB2312" w:asciiTheme="minorEastAsia" w:hAnsiTheme="minorEastAsia" w:eastAsiaTheme="minorEastAsia"/>
          <w:b w:val="0"/>
          <w:bCs/>
          <w:color w:val="auto"/>
          <w:sz w:val="24"/>
          <w:szCs w:val="24"/>
          <w:lang w:val="en-US" w:eastAsia="zh-CN"/>
        </w:rPr>
        <w:t>内，需按</w:t>
      </w:r>
      <w:r>
        <w:rPr>
          <w:rFonts w:hint="eastAsia" w:cs="仿宋_GB2312" w:asciiTheme="minorEastAsia" w:hAnsiTheme="minorEastAsia" w:eastAsiaTheme="minorEastAsia"/>
          <w:b w:val="0"/>
          <w:bCs/>
          <w:color w:val="auto"/>
          <w:sz w:val="24"/>
          <w:szCs w:val="24"/>
          <w:lang w:val="en-US" w:eastAsia="zh-CN"/>
        </w:rPr>
        <w:t>采购</w:t>
      </w:r>
      <w:r>
        <w:rPr>
          <w:rFonts w:hint="default" w:cs="仿宋_GB2312" w:asciiTheme="minorEastAsia" w:hAnsiTheme="minorEastAsia" w:eastAsiaTheme="minorEastAsia"/>
          <w:b w:val="0"/>
          <w:bCs/>
          <w:color w:val="auto"/>
          <w:sz w:val="24"/>
          <w:szCs w:val="24"/>
          <w:lang w:val="en-US" w:eastAsia="zh-CN"/>
        </w:rPr>
        <w:t>人要求及时响应。</w:t>
      </w:r>
    </w:p>
    <w:p>
      <w:pPr>
        <w:keepNext w:val="0"/>
        <w:keepLines w:val="0"/>
        <w:pageBreakBefore w:val="0"/>
        <w:widowControl w:val="0"/>
        <w:numPr>
          <w:ilvl w:val="0"/>
          <w:numId w:val="8"/>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服务要求</w:t>
      </w:r>
    </w:p>
    <w:p>
      <w:pPr>
        <w:pStyle w:val="23"/>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cs="仿宋_GB2312"/>
          <w:color w:val="000000"/>
          <w:sz w:val="24"/>
          <w:szCs w:val="24"/>
          <w:highlight w:val="none"/>
        </w:rPr>
      </w:pPr>
      <w:r>
        <w:rPr>
          <w:rFonts w:hint="eastAsia" w:ascii="宋体" w:hAnsi="宋体" w:cs="仿宋_GB2312"/>
          <w:color w:val="000000"/>
          <w:sz w:val="24"/>
          <w:szCs w:val="24"/>
          <w:highlight w:val="none"/>
          <w:lang w:val="en-US" w:eastAsia="zh-CN"/>
        </w:rPr>
        <w:t>（一）安排</w:t>
      </w:r>
      <w:r>
        <w:rPr>
          <w:rFonts w:hint="eastAsia" w:ascii="宋体" w:hAnsi="宋体" w:cs="仿宋_GB2312"/>
          <w:color w:val="000000"/>
          <w:sz w:val="24"/>
          <w:szCs w:val="24"/>
          <w:highlight w:val="none"/>
        </w:rPr>
        <w:t>一次接机和</w:t>
      </w:r>
      <w:r>
        <w:rPr>
          <w:rFonts w:ascii="宋体" w:hAnsi="宋体" w:cs="仿宋_GB2312"/>
          <w:color w:val="000000"/>
          <w:sz w:val="24"/>
          <w:szCs w:val="24"/>
          <w:highlight w:val="none"/>
        </w:rPr>
        <w:t>送机</w:t>
      </w:r>
      <w:r>
        <w:rPr>
          <w:rFonts w:hint="eastAsia" w:ascii="宋体" w:hAnsi="宋体" w:cs="仿宋_GB2312"/>
          <w:color w:val="000000"/>
          <w:sz w:val="24"/>
          <w:szCs w:val="24"/>
          <w:highlight w:val="none"/>
        </w:rPr>
        <w:t>。</w:t>
      </w:r>
    </w:p>
    <w:p>
      <w:pPr>
        <w:pStyle w:val="23"/>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（二）如医务人员在英国研修期间遇到紧急情况（包括但不限于就医、住宿问题），服务</w:t>
      </w:r>
      <w:r>
        <w:rPr>
          <w:rFonts w:hint="eastAsia" w:ascii="宋体" w:hAnsi="宋体" w:cs="Times New Roman"/>
          <w:kern w:val="2"/>
          <w:sz w:val="24"/>
          <w:szCs w:val="24"/>
          <w:highlight w:val="none"/>
          <w:lang w:val="en-US" w:eastAsia="zh-CN" w:bidi="ar-SA"/>
        </w:rPr>
        <w:t>供应</w:t>
      </w:r>
      <w:r>
        <w:rPr>
          <w:rFonts w:hint="eastAsia" w:ascii="宋体" w:hAnsi="宋体" w:eastAsia="宋体" w:cs="Times New Roman"/>
          <w:kern w:val="2"/>
          <w:sz w:val="24"/>
          <w:szCs w:val="24"/>
          <w:highlight w:val="none"/>
          <w:lang w:val="en-US" w:eastAsia="zh-CN" w:bidi="ar-SA"/>
        </w:rPr>
        <w:t>方有义务立即提供必要的援助。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lang w:eastAsia="zh-CN"/>
        </w:rPr>
        <w:t>）</w:t>
      </w:r>
      <w:r>
        <w:rPr>
          <w:rFonts w:hint="eastAsia" w:ascii="宋体" w:hAnsi="宋体"/>
          <w:sz w:val="24"/>
          <w:szCs w:val="24"/>
          <w:highlight w:val="none"/>
        </w:rPr>
        <w:t>检验与验收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（1）符合外事规定的正规邀请函和日程安排；</w:t>
      </w:r>
      <w:r>
        <w:rPr>
          <w:rFonts w:hint="eastAsia" w:ascii="宋体" w:hAnsi="宋体"/>
          <w:color w:val="000000"/>
          <w:sz w:val="24"/>
          <w:highlight w:val="none"/>
        </w:rPr>
        <w:t>必要的与国外导师的面试安排衔接等</w:t>
      </w:r>
      <w:r>
        <w:rPr>
          <w:rFonts w:hint="eastAsia" w:ascii="宋体" w:hAnsi="宋体"/>
          <w:color w:val="000000"/>
          <w:sz w:val="24"/>
          <w:highlight w:val="none"/>
          <w:lang w:eastAsia="zh-CN"/>
        </w:rPr>
        <w:t>；</w:t>
      </w:r>
      <w:r>
        <w:rPr>
          <w:rFonts w:hint="eastAsia" w:ascii="宋体" w:hAnsi="宋体"/>
          <w:color w:val="000000"/>
          <w:sz w:val="24"/>
          <w:szCs w:val="24"/>
          <w:highlight w:val="none"/>
          <w:lang w:val="en-US" w:eastAsia="zh-CN"/>
        </w:rPr>
        <w:t>成交供应商</w:t>
      </w:r>
      <w:r>
        <w:rPr>
          <w:rFonts w:hint="eastAsia" w:ascii="宋体" w:hAnsi="宋体"/>
          <w:color w:val="000000"/>
          <w:sz w:val="24"/>
          <w:szCs w:val="24"/>
          <w:highlight w:val="none"/>
        </w:rPr>
        <w:t>应协助学员办理赴海外进修国家签证事宜，及时提供正规有效的境外邀请函等相关资料信息以供学员办理出国审批手续；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（2）确保进修人员顺利完成研修学习任务后获得进修医院或带教导师签发的研修结业证书</w:t>
      </w:r>
      <w:r>
        <w:rPr>
          <w:rFonts w:hint="eastAsia" w:ascii="宋体" w:hAnsi="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rPr>
        <w:t>（3）提供境外地接服务，包括但不限于接送机、住宿安排和进修医院报到手续、科室协调融入和带教导师关系协助沟通处理等工作。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rPr>
        <w:t>（4）建立应急响应机制，指派专人作为项目紧急联络人，及时妥善处理各类突发情况，保证学员在海外期间的紧急突发状况联系处理与协调。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四</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000000"/>
          <w:sz w:val="24"/>
          <w:szCs w:val="24"/>
          <w:highlight w:val="none"/>
        </w:rPr>
      </w:pPr>
      <w:r>
        <w:rPr>
          <w:rFonts w:hint="eastAsia" w:ascii="宋体" w:hAnsi="宋体" w:cs="仿宋_GB2312"/>
          <w:color w:val="000000"/>
          <w:sz w:val="24"/>
          <w:szCs w:val="24"/>
          <w:highlight w:val="none"/>
        </w:rPr>
        <w:t>（1）如供应商</w:t>
      </w:r>
      <w:r>
        <w:rPr>
          <w:rFonts w:ascii="宋体" w:hAnsi="宋体" w:cs="仿宋_GB2312"/>
          <w:color w:val="000000"/>
          <w:sz w:val="24"/>
          <w:szCs w:val="24"/>
          <w:highlight w:val="none"/>
        </w:rPr>
        <w:t>未能在协议规定日期前为</w:t>
      </w:r>
      <w:r>
        <w:rPr>
          <w:rFonts w:hint="eastAsia" w:ascii="宋体" w:hAnsi="宋体" w:cs="仿宋_GB2312"/>
          <w:color w:val="000000"/>
          <w:sz w:val="24"/>
          <w:szCs w:val="24"/>
          <w:highlight w:val="none"/>
        </w:rPr>
        <w:t>医生</w:t>
      </w:r>
      <w:r>
        <w:rPr>
          <w:rFonts w:ascii="宋体" w:hAnsi="宋体" w:cs="仿宋_GB2312"/>
          <w:color w:val="000000"/>
          <w:sz w:val="24"/>
          <w:szCs w:val="24"/>
          <w:highlight w:val="none"/>
        </w:rPr>
        <w:t>获取正式邀请函，造成研修项目不能履行的，</w:t>
      </w:r>
      <w:r>
        <w:rPr>
          <w:rFonts w:hint="eastAsia" w:ascii="宋体" w:hAnsi="宋体" w:cs="仿宋_GB2312"/>
          <w:color w:val="000000"/>
          <w:sz w:val="24"/>
          <w:szCs w:val="24"/>
          <w:highlight w:val="none"/>
        </w:rPr>
        <w:t>应</w:t>
      </w:r>
      <w:r>
        <w:rPr>
          <w:rFonts w:ascii="宋体" w:hAnsi="宋体" w:cs="仿宋_GB2312"/>
          <w:color w:val="000000"/>
          <w:sz w:val="24"/>
          <w:szCs w:val="24"/>
          <w:highlight w:val="none"/>
        </w:rPr>
        <w:t>承担违约责任，退回</w:t>
      </w:r>
      <w:r>
        <w:rPr>
          <w:rFonts w:hint="eastAsia" w:ascii="宋体" w:hAnsi="宋体" w:cs="仿宋_GB2312"/>
          <w:color w:val="000000"/>
          <w:sz w:val="24"/>
          <w:szCs w:val="24"/>
          <w:highlight w:val="none"/>
          <w:lang w:val="en-US" w:eastAsia="zh-CN"/>
        </w:rPr>
        <w:t>采购人</w:t>
      </w:r>
      <w:r>
        <w:rPr>
          <w:rFonts w:ascii="宋体" w:hAnsi="宋体" w:cs="仿宋_GB2312"/>
          <w:color w:val="000000"/>
          <w:sz w:val="24"/>
          <w:szCs w:val="24"/>
          <w:highlight w:val="none"/>
        </w:rPr>
        <w:t>已</w:t>
      </w:r>
      <w:r>
        <w:rPr>
          <w:rFonts w:hint="eastAsia" w:ascii="宋体" w:hAnsi="宋体" w:cs="仿宋_GB2312"/>
          <w:color w:val="000000"/>
          <w:sz w:val="24"/>
          <w:szCs w:val="24"/>
          <w:highlight w:val="none"/>
        </w:rPr>
        <w:t>支付</w:t>
      </w:r>
      <w:r>
        <w:rPr>
          <w:rFonts w:ascii="宋体" w:hAnsi="宋体" w:cs="仿宋_GB2312"/>
          <w:color w:val="000000"/>
          <w:sz w:val="24"/>
          <w:szCs w:val="24"/>
          <w:highlight w:val="none"/>
        </w:rPr>
        <w:t>的全部费用</w:t>
      </w:r>
      <w:r>
        <w:rPr>
          <w:rFonts w:hint="eastAsia" w:ascii="宋体" w:hAnsi="宋体" w:cs="仿宋_GB2312"/>
          <w:color w:val="000000"/>
          <w:sz w:val="24"/>
          <w:szCs w:val="24"/>
          <w:highlight w:val="none"/>
          <w:lang w:eastAsia="zh-CN"/>
        </w:rPr>
        <w:t>，</w:t>
      </w:r>
      <w:r>
        <w:rPr>
          <w:rFonts w:hint="eastAsia" w:ascii="宋体" w:hAnsi="宋体" w:cs="仿宋_GB2312"/>
          <w:color w:val="000000"/>
          <w:sz w:val="24"/>
          <w:szCs w:val="24"/>
          <w:highlight w:val="none"/>
          <w:lang w:val="en-US" w:eastAsia="zh-CN"/>
        </w:rPr>
        <w:t>并赔偿采购人收到的相应经济损失</w:t>
      </w:r>
      <w:r>
        <w:rPr>
          <w:rFonts w:hint="eastAsia" w:ascii="宋体" w:hAnsi="宋体"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_GB2312"/>
          <w:color w:val="000000"/>
          <w:sz w:val="24"/>
          <w:szCs w:val="24"/>
          <w:highlight w:val="none"/>
        </w:rPr>
      </w:pPr>
      <w:r>
        <w:rPr>
          <w:rFonts w:hint="eastAsia" w:ascii="宋体" w:hAnsi="宋体" w:cs="仿宋_GB2312"/>
          <w:color w:val="000000"/>
          <w:sz w:val="24"/>
          <w:szCs w:val="24"/>
          <w:highlight w:val="none"/>
        </w:rPr>
        <w:t>（2） 如因</w:t>
      </w:r>
      <w:r>
        <w:rPr>
          <w:rFonts w:hint="eastAsia" w:ascii="宋体" w:hAnsi="宋体" w:cs="仿宋_GB2312"/>
          <w:color w:val="000000"/>
          <w:sz w:val="24"/>
          <w:szCs w:val="24"/>
          <w:highlight w:val="none"/>
          <w:lang w:val="en-US" w:eastAsia="zh-CN"/>
        </w:rPr>
        <w:t>服务供应</w:t>
      </w:r>
      <w:r>
        <w:rPr>
          <w:rFonts w:hint="eastAsia" w:ascii="宋体" w:hAnsi="宋体" w:cs="仿宋_GB2312"/>
          <w:color w:val="000000"/>
          <w:sz w:val="24"/>
          <w:szCs w:val="24"/>
          <w:highlight w:val="none"/>
        </w:rPr>
        <w:t>商提供</w:t>
      </w:r>
      <w:r>
        <w:rPr>
          <w:rFonts w:ascii="宋体" w:hAnsi="宋体" w:cs="仿宋_GB2312"/>
          <w:color w:val="000000"/>
          <w:sz w:val="24"/>
          <w:szCs w:val="24"/>
          <w:highlight w:val="none"/>
        </w:rPr>
        <w:t>虚假材料、违反相关外事纪律要求等导致面试不合格、拒签或不能成行的，</w:t>
      </w:r>
      <w:r>
        <w:rPr>
          <w:rFonts w:hint="eastAsia" w:ascii="宋体" w:hAnsi="宋体" w:cs="仿宋_GB2312"/>
          <w:color w:val="000000"/>
          <w:sz w:val="24"/>
          <w:szCs w:val="24"/>
          <w:highlight w:val="none"/>
        </w:rPr>
        <w:t>或医生</w:t>
      </w:r>
      <w:r>
        <w:rPr>
          <w:rFonts w:ascii="宋体" w:hAnsi="宋体" w:cs="仿宋_GB2312"/>
          <w:color w:val="000000"/>
          <w:sz w:val="24"/>
          <w:szCs w:val="24"/>
          <w:highlight w:val="none"/>
        </w:rPr>
        <w:t>实际出行后，在外未按照本协议约定的指定国外城市、指定</w:t>
      </w:r>
      <w:r>
        <w:rPr>
          <w:rFonts w:hint="eastAsia" w:ascii="宋体" w:hAnsi="宋体" w:cs="仿宋_GB2312"/>
          <w:color w:val="000000"/>
          <w:sz w:val="24"/>
          <w:szCs w:val="24"/>
          <w:highlight w:val="none"/>
        </w:rPr>
        <w:t>研</w:t>
      </w:r>
      <w:r>
        <w:rPr>
          <w:rFonts w:ascii="宋体" w:hAnsi="宋体" w:cs="仿宋_GB2312"/>
          <w:color w:val="000000"/>
          <w:sz w:val="24"/>
          <w:szCs w:val="24"/>
          <w:highlight w:val="none"/>
        </w:rPr>
        <w:t>修机构和指定研修时间开展研修学习的，或实际开展的研修学习与</w:t>
      </w:r>
      <w:r>
        <w:rPr>
          <w:rFonts w:hint="eastAsia" w:ascii="宋体" w:hAnsi="宋体" w:cs="仿宋_GB2312"/>
          <w:color w:val="000000"/>
          <w:sz w:val="24"/>
          <w:szCs w:val="24"/>
          <w:highlight w:val="none"/>
          <w:lang w:val="en-US" w:eastAsia="zh-CN"/>
        </w:rPr>
        <w:t>采购人</w:t>
      </w:r>
      <w:r>
        <w:rPr>
          <w:rFonts w:ascii="宋体" w:hAnsi="宋体" w:cs="仿宋_GB2312"/>
          <w:color w:val="000000"/>
          <w:sz w:val="24"/>
          <w:szCs w:val="24"/>
          <w:highlight w:val="none"/>
        </w:rPr>
        <w:t>学员专业和研究方向不符的，或将项目工作分包给与本</w:t>
      </w:r>
      <w:r>
        <w:rPr>
          <w:rFonts w:hint="eastAsia" w:ascii="宋体" w:hAnsi="宋体" w:cs="仿宋_GB2312"/>
          <w:color w:val="000000"/>
          <w:sz w:val="24"/>
          <w:szCs w:val="24"/>
          <w:highlight w:val="none"/>
        </w:rPr>
        <w:t>项目</w:t>
      </w:r>
      <w:r>
        <w:rPr>
          <w:rFonts w:ascii="宋体" w:hAnsi="宋体" w:cs="仿宋_GB2312"/>
          <w:color w:val="000000"/>
          <w:sz w:val="24"/>
          <w:szCs w:val="24"/>
          <w:highlight w:val="none"/>
        </w:rPr>
        <w:t>无关第三方的，导致</w:t>
      </w:r>
      <w:r>
        <w:rPr>
          <w:rFonts w:hint="eastAsia" w:ascii="宋体" w:hAnsi="宋体" w:cs="仿宋_GB2312"/>
          <w:color w:val="000000"/>
          <w:sz w:val="24"/>
          <w:szCs w:val="24"/>
          <w:highlight w:val="none"/>
        </w:rPr>
        <w:t>医生</w:t>
      </w:r>
      <w:r>
        <w:rPr>
          <w:rFonts w:ascii="宋体" w:hAnsi="宋体" w:cs="仿宋_GB2312"/>
          <w:color w:val="000000"/>
          <w:sz w:val="24"/>
          <w:szCs w:val="24"/>
          <w:highlight w:val="none"/>
        </w:rPr>
        <w:t>研修学习无法正常开展或研修质量无法得到保障</w:t>
      </w:r>
      <w:r>
        <w:rPr>
          <w:rFonts w:hint="eastAsia" w:ascii="宋体" w:hAnsi="宋体" w:cs="仿宋_GB2312"/>
          <w:color w:val="000000"/>
          <w:sz w:val="24"/>
          <w:szCs w:val="24"/>
          <w:highlight w:val="none"/>
        </w:rPr>
        <w:t>的</w:t>
      </w: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采购人</w:t>
      </w:r>
      <w:r>
        <w:rPr>
          <w:rFonts w:hint="eastAsia" w:ascii="宋体" w:hAnsi="宋体" w:cs="仿宋_GB2312"/>
          <w:color w:val="000000"/>
          <w:sz w:val="24"/>
          <w:szCs w:val="24"/>
          <w:highlight w:val="none"/>
        </w:rPr>
        <w:t>有权要求</w:t>
      </w:r>
      <w:r>
        <w:rPr>
          <w:rFonts w:hint="eastAsia" w:ascii="宋体" w:hAnsi="宋体" w:cs="仿宋_GB2312"/>
          <w:color w:val="000000"/>
          <w:sz w:val="24"/>
          <w:szCs w:val="24"/>
          <w:highlight w:val="none"/>
          <w:lang w:val="en-US" w:eastAsia="zh-CN"/>
        </w:rPr>
        <w:t>成交供应商</w:t>
      </w:r>
      <w:r>
        <w:rPr>
          <w:rFonts w:hint="eastAsia" w:ascii="宋体" w:hAnsi="宋体" w:cs="仿宋_GB2312"/>
          <w:color w:val="000000"/>
          <w:sz w:val="24"/>
          <w:szCs w:val="24"/>
          <w:highlight w:val="none"/>
        </w:rPr>
        <w:t>在60天内按照</w:t>
      </w:r>
      <w:r>
        <w:rPr>
          <w:rFonts w:hint="eastAsia" w:ascii="宋体" w:hAnsi="宋体" w:cs="仿宋_GB2312"/>
          <w:color w:val="000000"/>
          <w:sz w:val="24"/>
          <w:szCs w:val="24"/>
          <w:highlight w:val="none"/>
          <w:lang w:val="en-US" w:eastAsia="zh-CN"/>
        </w:rPr>
        <w:t>采购人</w:t>
      </w:r>
      <w:r>
        <w:rPr>
          <w:rFonts w:hint="eastAsia" w:ascii="宋体" w:hAnsi="宋体" w:cs="仿宋_GB2312"/>
          <w:color w:val="000000"/>
          <w:sz w:val="24"/>
          <w:szCs w:val="24"/>
          <w:highlight w:val="none"/>
        </w:rPr>
        <w:t>的要求重新安排研修学习。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_GB2312"/>
          <w:color w:val="000000"/>
          <w:sz w:val="24"/>
          <w:szCs w:val="24"/>
          <w:highlight w:val="none"/>
          <w:lang w:val="en-US" w:eastAsia="zh-CN"/>
        </w:rPr>
      </w:pPr>
      <w:r>
        <w:rPr>
          <w:rFonts w:hint="eastAsia" w:ascii="宋体" w:hAnsi="宋体" w:cs="仿宋_GB2312"/>
          <w:color w:val="000000"/>
          <w:sz w:val="24"/>
          <w:szCs w:val="24"/>
          <w:highlight w:val="none"/>
          <w:lang w:val="en-US" w:eastAsia="zh-CN"/>
        </w:rPr>
        <w:t>（3）不可抗力的的情形出现时导致项目无法顺利开展的，采购人有权要求成交供应商对无法履约部分进行退款。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000000"/>
          <w:sz w:val="24"/>
          <w:szCs w:val="24"/>
          <w:highlight w:val="none"/>
        </w:rPr>
      </w:pPr>
      <w:r>
        <w:rPr>
          <w:rFonts w:hint="eastAsia"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五</w:t>
      </w:r>
      <w:r>
        <w:rPr>
          <w:rFonts w:hint="eastAsia" w:ascii="宋体" w:hAnsi="宋体" w:cs="仿宋_GB2312"/>
          <w:color w:val="000000"/>
          <w:sz w:val="24"/>
          <w:szCs w:val="24"/>
          <w:highlight w:val="none"/>
        </w:rPr>
        <w:t>）采购项目的其他要求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u w:val="none"/>
        </w:rPr>
      </w:pPr>
      <w:r>
        <w:rPr>
          <w:rFonts w:hint="eastAsia" w:ascii="宋体" w:hAnsi="宋体"/>
          <w:color w:val="000000"/>
          <w:sz w:val="24"/>
          <w:szCs w:val="24"/>
          <w:highlight w:val="none"/>
          <w:u w:val="none"/>
        </w:rPr>
        <w:t>1、培训要求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000000"/>
          <w:sz w:val="24"/>
          <w:szCs w:val="24"/>
          <w:highlight w:val="none"/>
          <w:u w:val="none"/>
        </w:rPr>
      </w:pPr>
      <w:r>
        <w:rPr>
          <w:rFonts w:hint="eastAsia" w:ascii="宋体" w:hAnsi="宋体" w:cs="宋体"/>
          <w:color w:val="000000"/>
          <w:sz w:val="24"/>
          <w:szCs w:val="24"/>
          <w:highlight w:val="none"/>
          <w:u w:val="none"/>
        </w:rPr>
        <w:t>（1）如英国接收机构要求对医务人员进行面试，</w:t>
      </w:r>
      <w:r>
        <w:rPr>
          <w:rFonts w:hint="eastAsia" w:ascii="宋体" w:hAnsi="宋体" w:cs="宋体"/>
          <w:color w:val="000000"/>
          <w:sz w:val="24"/>
          <w:szCs w:val="24"/>
          <w:highlight w:val="none"/>
          <w:u w:val="none"/>
          <w:lang w:val="en-US" w:eastAsia="zh-CN"/>
        </w:rPr>
        <w:t>成交供应商</w:t>
      </w:r>
      <w:r>
        <w:rPr>
          <w:rFonts w:hint="eastAsia" w:ascii="宋体" w:hAnsi="宋体" w:cs="宋体"/>
          <w:color w:val="000000"/>
          <w:sz w:val="24"/>
          <w:szCs w:val="24"/>
          <w:highlight w:val="none"/>
          <w:u w:val="none"/>
        </w:rPr>
        <w:t>应在面试前为医务人员进行1次一对一面试辅导，辅导时间不少于30分钟。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000000"/>
          <w:sz w:val="24"/>
          <w:szCs w:val="24"/>
          <w:highlight w:val="none"/>
          <w:u w:val="none"/>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eastAsia="zh-CN"/>
        </w:rPr>
        <w:t>成交供应商</w:t>
      </w:r>
      <w:r>
        <w:rPr>
          <w:rFonts w:hint="eastAsia" w:ascii="宋体" w:hAnsi="宋体" w:cs="宋体"/>
          <w:color w:val="000000"/>
          <w:sz w:val="24"/>
          <w:szCs w:val="24"/>
          <w:highlight w:val="none"/>
          <w:u w:val="none"/>
        </w:rPr>
        <w:t>应对学员、访问团组在境外期间的学习、交流和生活事务给予必要的安排和指导，介绍需要注意的风俗、禁忌、安全事项等。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u w:val="none"/>
        </w:rPr>
      </w:pPr>
      <w:r>
        <w:rPr>
          <w:rFonts w:hint="eastAsia" w:ascii="宋体" w:hAnsi="宋体"/>
          <w:color w:val="000000"/>
          <w:sz w:val="24"/>
          <w:szCs w:val="24"/>
          <w:highlight w:val="none"/>
          <w:u w:val="none"/>
        </w:rPr>
        <w:t>2、质量保证</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szCs w:val="24"/>
          <w:highlight w:val="none"/>
          <w:u w:val="none"/>
          <w:lang w:val="en-US" w:eastAsia="zh-CN"/>
        </w:rPr>
      </w:pPr>
      <w:r>
        <w:rPr>
          <w:rFonts w:hint="eastAsia" w:ascii="宋体" w:hAnsi="宋体"/>
          <w:color w:val="000000"/>
          <w:sz w:val="24"/>
          <w:szCs w:val="24"/>
          <w:highlight w:val="none"/>
          <w:u w:val="none"/>
        </w:rPr>
        <w:t>投标</w:t>
      </w:r>
      <w:r>
        <w:rPr>
          <w:rFonts w:hint="eastAsia" w:ascii="宋体" w:hAnsi="宋体"/>
          <w:color w:val="000000"/>
          <w:sz w:val="24"/>
          <w:szCs w:val="24"/>
          <w:highlight w:val="none"/>
          <w:u w:val="none"/>
          <w:lang w:val="en-US" w:eastAsia="zh-CN"/>
        </w:rPr>
        <w:t>服务</w:t>
      </w:r>
      <w:r>
        <w:rPr>
          <w:rFonts w:hint="eastAsia" w:ascii="宋体" w:hAnsi="宋体"/>
          <w:color w:val="000000"/>
          <w:sz w:val="24"/>
          <w:szCs w:val="24"/>
          <w:highlight w:val="none"/>
          <w:u w:val="none"/>
        </w:rPr>
        <w:t>必须是符合</w:t>
      </w:r>
      <w:r>
        <w:rPr>
          <w:rFonts w:hint="eastAsia" w:ascii="宋体" w:hAnsi="宋体"/>
          <w:color w:val="000000"/>
          <w:sz w:val="24"/>
          <w:szCs w:val="24"/>
          <w:highlight w:val="none"/>
          <w:u w:val="none"/>
          <w:lang w:val="en-US" w:eastAsia="zh-CN"/>
        </w:rPr>
        <w:t>以下条件：确保医务人员按照邀请函中所约定的研修单位、研究项目进入英国相关医院或医学院开展研修任务；确保医务人员在出发前往英国研修前确定导师和紧急事件联络人员。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3、</w:t>
      </w:r>
      <w:r>
        <w:rPr>
          <w:rFonts w:hint="eastAsia" w:ascii="宋体" w:hAnsi="宋体"/>
          <w:color w:val="000000"/>
          <w:sz w:val="24"/>
          <w:highlight w:val="none"/>
          <w:u w:val="none"/>
        </w:rPr>
        <w:t>验收、交付标准和方法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rPr>
        <w:t>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对所供服务质量进行最终验收。采购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和</w:t>
      </w:r>
      <w:r>
        <w:rPr>
          <w:rFonts w:hint="eastAsia" w:ascii="宋体" w:hAnsi="宋体"/>
          <w:color w:val="000000"/>
          <w:sz w:val="24"/>
          <w:highlight w:val="none"/>
          <w:u w:val="none"/>
          <w:lang w:val="en-US" w:eastAsia="zh-CN"/>
        </w:rPr>
        <w:t>成交供应商须</w:t>
      </w:r>
      <w:r>
        <w:rPr>
          <w:rFonts w:hint="eastAsia" w:ascii="宋体" w:hAnsi="宋体"/>
          <w:color w:val="000000"/>
          <w:sz w:val="24"/>
          <w:highlight w:val="none"/>
          <w:u w:val="none"/>
        </w:rPr>
        <w:t>双方共同签署服务验收合格</w:t>
      </w:r>
      <w:r>
        <w:rPr>
          <w:rFonts w:hint="eastAsia" w:ascii="宋体" w:hAnsi="宋体"/>
          <w:color w:val="000000"/>
          <w:sz w:val="24"/>
          <w:highlight w:val="none"/>
          <w:u w:val="none"/>
          <w:lang w:val="en-US" w:eastAsia="zh-CN"/>
        </w:rPr>
        <w:t>报告。</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4、</w:t>
      </w:r>
      <w:r>
        <w:rPr>
          <w:rFonts w:hint="eastAsia" w:ascii="宋体" w:hAnsi="宋体"/>
          <w:iCs/>
          <w:sz w:val="24"/>
          <w:u w:val="none"/>
        </w:rPr>
        <w:t>违约责任与解决争议的方法：</w:t>
      </w:r>
      <w:r>
        <w:rPr>
          <w:rFonts w:hint="eastAsia" w:ascii="宋体" w:hAnsi="宋体"/>
          <w:color w:val="000000"/>
          <w:sz w:val="24"/>
          <w:highlight w:val="none"/>
          <w:u w:val="none"/>
        </w:rPr>
        <w:t>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和</w:t>
      </w:r>
      <w:r>
        <w:rPr>
          <w:rFonts w:hint="eastAsia" w:ascii="宋体" w:hAnsi="宋体"/>
          <w:color w:val="000000"/>
          <w:sz w:val="24"/>
          <w:highlight w:val="none"/>
          <w:u w:val="none"/>
          <w:lang w:val="en-US" w:eastAsia="zh-CN"/>
        </w:rPr>
        <w:t>成交供应商</w:t>
      </w:r>
      <w:r>
        <w:rPr>
          <w:rFonts w:hint="eastAsia" w:ascii="宋体" w:hAnsi="宋体"/>
          <w:color w:val="000000"/>
          <w:sz w:val="24"/>
          <w:highlight w:val="none"/>
          <w:u w:val="none"/>
        </w:rPr>
        <w:t>应严格按协议内容履行，一方违约，给另一方造成损失的，另一方有权要求违约方立即改正并赔偿损失，同时有权解除协议。如果采购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原定赴英研修的医务人员临行前计划有变更，无法出行，</w:t>
      </w:r>
      <w:r>
        <w:rPr>
          <w:rFonts w:hint="eastAsia" w:ascii="宋体" w:hAnsi="宋体"/>
          <w:color w:val="000000"/>
          <w:sz w:val="24"/>
          <w:highlight w:val="none"/>
          <w:u w:val="none"/>
          <w:lang w:val="en-US" w:eastAsia="zh-CN"/>
        </w:rPr>
        <w:t>成交供应商</w:t>
      </w:r>
      <w:r>
        <w:rPr>
          <w:rFonts w:hint="eastAsia" w:ascii="宋体" w:hAnsi="宋体"/>
          <w:color w:val="000000"/>
          <w:sz w:val="24"/>
          <w:highlight w:val="none"/>
          <w:u w:val="none"/>
        </w:rPr>
        <w:t>扣除实际已经发生的费用（医院合同费、研修预付费、租房定金、服务费</w:t>
      </w:r>
      <w:r>
        <w:rPr>
          <w:rFonts w:hint="eastAsia" w:ascii="宋体" w:hAnsi="宋体"/>
          <w:color w:val="000000"/>
          <w:sz w:val="24"/>
          <w:highlight w:val="none"/>
          <w:u w:val="none"/>
          <w:lang w:eastAsia="zh-CN"/>
        </w:rPr>
        <w:t>（</w:t>
      </w:r>
      <w:r>
        <w:rPr>
          <w:rFonts w:hint="eastAsia" w:ascii="宋体" w:hAnsi="宋体"/>
          <w:color w:val="000000"/>
          <w:sz w:val="24"/>
          <w:highlight w:val="none"/>
          <w:u w:val="none"/>
        </w:rPr>
        <w:t>万元/人</w:t>
      </w:r>
      <w:r>
        <w:rPr>
          <w:rFonts w:hint="eastAsia" w:ascii="宋体" w:hAnsi="宋体"/>
          <w:color w:val="000000"/>
          <w:sz w:val="24"/>
          <w:highlight w:val="none"/>
          <w:u w:val="none"/>
          <w:lang w:eastAsia="zh-CN"/>
        </w:rPr>
        <w:t>）</w:t>
      </w:r>
      <w:r>
        <w:rPr>
          <w:rFonts w:hint="eastAsia" w:ascii="宋体" w:hAnsi="宋体"/>
          <w:color w:val="000000"/>
          <w:sz w:val="24"/>
          <w:highlight w:val="none"/>
          <w:u w:val="none"/>
        </w:rPr>
        <w:t>，其他采购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已支付</w:t>
      </w:r>
      <w:r>
        <w:rPr>
          <w:rFonts w:hint="eastAsia" w:ascii="宋体" w:hAnsi="宋体"/>
          <w:color w:val="000000"/>
          <w:sz w:val="24"/>
          <w:highlight w:val="none"/>
          <w:u w:val="none"/>
          <w:lang w:val="en-US" w:eastAsia="zh-CN"/>
        </w:rPr>
        <w:t>供应商</w:t>
      </w:r>
      <w:r>
        <w:rPr>
          <w:rFonts w:hint="eastAsia" w:ascii="宋体" w:hAnsi="宋体"/>
          <w:color w:val="000000"/>
          <w:sz w:val="24"/>
          <w:highlight w:val="none"/>
          <w:u w:val="none"/>
        </w:rPr>
        <w:t>的费用，服务供应方应全额退还采购方。迟延退还的，每日按应退款的0.1%支付违约金。如因服务供应方原因导致采购方申请人不能如期前往，则服务供应方须退还采购方所有已付款项。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5、</w:t>
      </w:r>
      <w:r>
        <w:rPr>
          <w:rFonts w:hint="eastAsia" w:ascii="宋体" w:hAnsi="宋体"/>
          <w:color w:val="000000"/>
          <w:sz w:val="24"/>
          <w:highlight w:val="none"/>
          <w:u w:val="none"/>
        </w:rPr>
        <w:t>争议处理：合同在履行过程中发生争议时，双方及时协商解决。协商不成时，</w:t>
      </w:r>
      <w:r>
        <w:rPr>
          <w:rFonts w:hint="eastAsia" w:ascii="宋体" w:hAnsi="宋体"/>
          <w:color w:val="000000"/>
          <w:sz w:val="24"/>
          <w:highlight w:val="none"/>
          <w:u w:val="none"/>
          <w:lang w:val="en-US" w:eastAsia="zh-CN"/>
        </w:rPr>
        <w:t>须在采购人所在地提起</w:t>
      </w:r>
      <w:r>
        <w:rPr>
          <w:rFonts w:hint="eastAsia" w:ascii="宋体" w:hAnsi="宋体"/>
          <w:color w:val="000000"/>
          <w:sz w:val="24"/>
          <w:highlight w:val="none"/>
          <w:u w:val="none"/>
        </w:rPr>
        <w:t>仲裁。</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cs="仿宋_GB2312" w:asciiTheme="minorEastAsia" w:hAnsiTheme="minorEastAsia" w:eastAsiaTheme="minorEastAsia"/>
          <w:b w:val="0"/>
          <w:bCs/>
          <w:color w:val="auto"/>
          <w:sz w:val="24"/>
          <w:szCs w:val="24"/>
        </w:rPr>
      </w:pPr>
    </w:p>
    <w:p>
      <w:pPr>
        <w:adjustRightInd/>
        <w:spacing w:line="240" w:lineRule="auto"/>
        <w:jc w:val="left"/>
        <w:outlineLvl w:val="9"/>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br w:type="page"/>
      </w: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60"/>
        <w:gridCol w:w="4760"/>
        <w:gridCol w:w="560"/>
        <w:gridCol w:w="97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9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评审</w:t>
            </w:r>
          </w:p>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内容</w:t>
            </w:r>
          </w:p>
        </w:tc>
        <w:tc>
          <w:tcPr>
            <w:tcW w:w="47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560"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976" w:type="dxa"/>
            <w:vAlign w:val="center"/>
          </w:tcPr>
          <w:p>
            <w:pPr>
              <w:pStyle w:val="393"/>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9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业绩</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投标人自202</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年1月1日（以签订合同时间为准）以来具有</w:t>
            </w:r>
            <w:r>
              <w:rPr>
                <w:rFonts w:hint="eastAsia" w:cs="仿宋_GB2312" w:asciiTheme="minorEastAsia" w:hAnsiTheme="minorEastAsia" w:eastAsiaTheme="minorEastAsia"/>
                <w:color w:val="auto"/>
                <w:szCs w:val="24"/>
                <w:lang w:val="en-US" w:eastAsia="zh-CN"/>
              </w:rPr>
              <w:t>类似国外研修</w:t>
            </w:r>
            <w:r>
              <w:rPr>
                <w:rFonts w:hint="eastAsia" w:cs="仿宋_GB2312" w:asciiTheme="minorEastAsia" w:hAnsiTheme="minorEastAsia" w:eastAsiaTheme="minorEastAsia"/>
                <w:color w:val="auto"/>
                <w:szCs w:val="24"/>
              </w:rPr>
              <w:t>服务业绩，每个合同得</w:t>
            </w:r>
            <w:r>
              <w:rPr>
                <w:rFonts w:hint="eastAsia" w:cs="仿宋_GB2312" w:asciiTheme="minorEastAsia" w:hAnsiTheme="minorEastAsia" w:eastAsiaTheme="minorEastAsia"/>
                <w:color w:val="auto"/>
                <w:szCs w:val="24"/>
                <w:lang w:val="en-US" w:eastAsia="zh-CN"/>
              </w:rPr>
              <w:t>1</w:t>
            </w:r>
            <w:r>
              <w:rPr>
                <w:rFonts w:hint="eastAsia" w:cs="仿宋_GB2312" w:asciiTheme="minorEastAsia" w:hAnsiTheme="minorEastAsia" w:eastAsiaTheme="minorEastAsia"/>
                <w:color w:val="auto"/>
                <w:szCs w:val="24"/>
              </w:rPr>
              <w:t>分，最多</w:t>
            </w: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分。投标文件中应提供内容完整的合同复印件，材料不齐全不得分。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7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响应</w:t>
            </w:r>
          </w:p>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情况</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rPr>
              <w:t>不符合（负偏离）</w:t>
            </w:r>
            <w:r>
              <w:rPr>
                <w:rFonts w:hint="eastAsia" w:cs="仿宋_GB2312" w:asciiTheme="minorEastAsia" w:hAnsiTheme="minorEastAsia" w:eastAsiaTheme="minorEastAsia"/>
                <w:color w:val="auto"/>
                <w:szCs w:val="24"/>
                <w:lang w:val="en-US" w:eastAsia="zh-CN"/>
              </w:rPr>
              <w:t>采购需求中</w:t>
            </w:r>
            <w:r>
              <w:rPr>
                <w:rFonts w:hint="eastAsia" w:cs="仿宋_GB2312" w:asciiTheme="minorEastAsia" w:hAnsiTheme="minorEastAsia" w:eastAsiaTheme="minorEastAsia"/>
                <w:color w:val="auto"/>
                <w:szCs w:val="24"/>
              </w:rPr>
              <w:t>注“▲”条款（不可偏离）的响应无效；满足或明显优于采购文件第三部分 采购需求 中 二、基本要求</w:t>
            </w:r>
            <w:r>
              <w:rPr>
                <w:rFonts w:hint="eastAsia" w:cs="仿宋_GB2312" w:asciiTheme="minorEastAsia" w:hAnsiTheme="minorEastAsia" w:eastAsiaTheme="minorEastAsia"/>
                <w:color w:val="auto"/>
                <w:szCs w:val="24"/>
                <w:lang w:val="en-US" w:eastAsia="zh-CN"/>
              </w:rPr>
              <w:t xml:space="preserve"> </w:t>
            </w:r>
            <w:r>
              <w:rPr>
                <w:rFonts w:hint="eastAsia" w:cs="仿宋_GB2312" w:asciiTheme="minorEastAsia" w:hAnsiTheme="minorEastAsia" w:eastAsiaTheme="minorEastAsia"/>
                <w:color w:val="auto"/>
                <w:szCs w:val="24"/>
              </w:rPr>
              <w:t>三、服务要求的</w:t>
            </w:r>
            <w:r>
              <w:rPr>
                <w:rFonts w:hint="eastAsia" w:cs="仿宋_GB2312" w:asciiTheme="minorEastAsia" w:hAnsiTheme="minorEastAsia" w:eastAsiaTheme="minorEastAsia"/>
                <w:color w:val="auto"/>
                <w:szCs w:val="24"/>
                <w:lang w:val="en-US" w:eastAsia="zh-CN"/>
              </w:rPr>
              <w:t>得5分，不完全满足的不得分。</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整体服务方案</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lang w:eastAsia="zh-CN"/>
              </w:rPr>
              <w:t>整体服务方案的科学性、合理性和可操作性。方案科学合理、内容详尽、针对性强。</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60"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olor w:val="000000"/>
                <w:szCs w:val="21"/>
                <w:highlight w:val="none"/>
              </w:rPr>
              <w:t>项目理解情况</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eastAsia="宋体" w:cs="仿宋_GB2312" w:asciiTheme="minorEastAsia" w:hAnsiTheme="minorEastAsia"/>
                <w:color w:val="auto"/>
                <w:szCs w:val="24"/>
                <w:lang w:val="en-US" w:eastAsia="zh-CN"/>
              </w:rPr>
            </w:pPr>
            <w:r>
              <w:rPr>
                <w:rFonts w:hint="eastAsia" w:ascii="Arial" w:hAnsi="Arial" w:cs="Arial"/>
                <w:color w:val="000000"/>
                <w:highlight w:val="none"/>
              </w:rPr>
              <w:t>对本项目思路、原则、特点、技术要求的理解情况。</w:t>
            </w:r>
            <w:r>
              <w:rPr>
                <w:rFonts w:hint="eastAsia"/>
                <w:color w:val="000000"/>
                <w:highlight w:val="none"/>
              </w:rPr>
              <w:t>项目需求分析合理、对业务和流程理解清晰、详细</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60" w:type="dxa"/>
            <w:vAlign w:val="center"/>
          </w:tcPr>
          <w:p>
            <w:pPr>
              <w:pStyle w:val="393"/>
              <w:spacing w:before="0"/>
              <w:ind w:firstLine="0" w:firstLineChars="0"/>
              <w:jc w:val="center"/>
              <w:rPr>
                <w:rFonts w:hint="eastAsia" w:ascii="宋体" w:hAnsi="宋体" w:cs="宋体"/>
                <w:color w:val="auto"/>
                <w:kern w:val="0"/>
                <w:szCs w:val="21"/>
                <w:highlight w:val="none"/>
              </w:rPr>
            </w:pPr>
            <w:r>
              <w:rPr>
                <w:rFonts w:hint="eastAsia"/>
                <w:color w:val="000000"/>
                <w:highlight w:val="none"/>
              </w:rPr>
              <w:t>服务管理模式</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服务管理模式：管理理念领先，管理目标、架构、模式科学，现场服务标准化</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both"/>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960" w:type="dxa"/>
            <w:vAlign w:val="center"/>
          </w:tcPr>
          <w:p>
            <w:pPr>
              <w:pStyle w:val="393"/>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重点、难点分析</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color w:val="000000"/>
                <w:szCs w:val="21"/>
                <w:highlight w:val="none"/>
              </w:rPr>
              <w:t>供应商对项目现状、存在的问题和难点、要点等问题进行调查剖析，提出克服难点和要点技术措施。措施针对性强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960" w:type="dxa"/>
            <w:vAlign w:val="center"/>
          </w:tcPr>
          <w:p>
            <w:pPr>
              <w:pStyle w:val="393"/>
              <w:spacing w:before="0"/>
              <w:ind w:firstLine="0" w:firstLineChars="0"/>
              <w:jc w:val="center"/>
              <w:rPr>
                <w:rFonts w:hint="eastAsia" w:ascii="宋体" w:hAnsi="宋体" w:cs="宋体"/>
                <w:color w:val="auto"/>
                <w:kern w:val="0"/>
                <w:szCs w:val="21"/>
                <w:highlight w:val="none"/>
              </w:rPr>
            </w:pPr>
            <w:r>
              <w:rPr>
                <w:color w:val="000000"/>
                <w:szCs w:val="21"/>
                <w:highlight w:val="none"/>
              </w:rPr>
              <w:t>项目实施方案</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eastAsia="宋体" w:cs="仿宋_GB2312" w:asciiTheme="minorEastAsia" w:hAnsiTheme="minorEastAsia"/>
                <w:color w:val="auto"/>
                <w:szCs w:val="24"/>
                <w:lang w:eastAsia="zh-CN"/>
              </w:rPr>
              <w:t>项目组织实施方案的科学性、合理性和可操作性。方案内容针对性强</w:t>
            </w:r>
            <w:r>
              <w:rPr>
                <w:rFonts w:hint="eastAsia" w:cs="仿宋_GB2312" w:asciiTheme="minorEastAsia" w:hAnsi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项目进度安排</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ascii="Arial" w:hAnsi="Arial" w:cs="Arial"/>
                <w:color w:val="000000"/>
                <w:highlight w:val="none"/>
              </w:rPr>
              <w:t>进度安排方案的科学性、合理性、规范性和可操作性。</w:t>
            </w:r>
            <w:r>
              <w:rPr>
                <w:color w:val="000000"/>
                <w:szCs w:val="21"/>
                <w:highlight w:val="none"/>
              </w:rPr>
              <w:t>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人员</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匹配</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供应商根据</w:t>
            </w:r>
            <w:r>
              <w:rPr>
                <w:rFonts w:hint="eastAsia" w:cs="仿宋_GB2312" w:asciiTheme="minorEastAsia" w:hAnsiTheme="minorEastAsia" w:eastAsiaTheme="minorEastAsia"/>
                <w:color w:val="auto"/>
                <w:szCs w:val="24"/>
                <w:lang w:val="en-US" w:eastAsia="zh-CN"/>
              </w:rPr>
              <w:t>医务人员</w:t>
            </w:r>
            <w:r>
              <w:rPr>
                <w:rFonts w:hint="eastAsia" w:cs="仿宋_GB2312" w:asciiTheme="minorEastAsia" w:hAnsiTheme="minorEastAsia" w:eastAsiaTheme="minorEastAsia"/>
                <w:color w:val="auto"/>
                <w:szCs w:val="24"/>
              </w:rPr>
              <w:t>情况与海外对口专业及医院进行匹配。方案内容针对性强</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手续</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办理</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供应商提供为</w:t>
            </w:r>
            <w:r>
              <w:rPr>
                <w:rFonts w:hint="eastAsia" w:cs="仿宋_GB2312" w:asciiTheme="minorEastAsia" w:hAnsiTheme="minorEastAsia" w:eastAsiaTheme="minorEastAsia"/>
                <w:color w:val="auto"/>
                <w:szCs w:val="24"/>
                <w:lang w:val="en-US" w:eastAsia="zh-CN"/>
              </w:rPr>
              <w:t>医务人员</w:t>
            </w:r>
            <w:r>
              <w:rPr>
                <w:rFonts w:hint="eastAsia" w:cs="仿宋_GB2312" w:asciiTheme="minorEastAsia" w:hAnsiTheme="minorEastAsia" w:eastAsiaTheme="minorEastAsia"/>
                <w:color w:val="auto"/>
                <w:szCs w:val="24"/>
              </w:rPr>
              <w:t>办理签证</w:t>
            </w:r>
            <w:r>
              <w:rPr>
                <w:rFonts w:hint="eastAsia" w:cs="仿宋_GB2312" w:asciiTheme="minorEastAsia" w:hAnsiTheme="minorEastAsia" w:eastAsiaTheme="minorEastAsia"/>
                <w:color w:val="auto"/>
                <w:szCs w:val="24"/>
                <w:lang w:val="en-US" w:eastAsia="zh-CN"/>
              </w:rPr>
              <w:t>指导</w:t>
            </w:r>
            <w:r>
              <w:rPr>
                <w:rFonts w:hint="eastAsia" w:cs="仿宋_GB2312" w:asciiTheme="minorEastAsia" w:hAnsiTheme="minorEastAsia" w:eastAsiaTheme="minorEastAsia"/>
                <w:color w:val="auto"/>
                <w:szCs w:val="24"/>
              </w:rPr>
              <w:t>的方案。方案内容针对性强</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11</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行前</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指导</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bCs/>
                <w:color w:val="000000"/>
                <w:kern w:val="0"/>
                <w:szCs w:val="21"/>
                <w:highlight w:val="none"/>
              </w:rPr>
              <w:t>供应商对</w:t>
            </w:r>
            <w:r>
              <w:rPr>
                <w:rFonts w:hint="eastAsia" w:cs="仿宋_GB2312" w:asciiTheme="minorEastAsia" w:hAnsiTheme="minorEastAsia" w:eastAsiaTheme="minorEastAsia"/>
                <w:color w:val="auto"/>
                <w:szCs w:val="24"/>
                <w:lang w:val="en-US" w:eastAsia="zh-CN"/>
              </w:rPr>
              <w:t>医务人员</w:t>
            </w:r>
            <w:r>
              <w:rPr>
                <w:rFonts w:hint="eastAsia"/>
                <w:bCs/>
                <w:color w:val="000000"/>
                <w:kern w:val="0"/>
                <w:szCs w:val="21"/>
                <w:highlight w:val="none"/>
              </w:rPr>
              <w:t>在海外期间的学习和生活进行指导。</w:t>
            </w:r>
            <w:r>
              <w:rPr>
                <w:color w:val="000000"/>
                <w:szCs w:val="21"/>
                <w:highlight w:val="none"/>
              </w:rPr>
              <w:t>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安全</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保障</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eastAsia="宋体" w:cs="仿宋_GB2312" w:asciiTheme="minorEastAsia" w:hAnsiTheme="minorEastAsia"/>
                <w:color w:val="auto"/>
                <w:szCs w:val="24"/>
                <w:lang w:eastAsia="zh-CN"/>
              </w:rPr>
              <w:t>供应商负责</w:t>
            </w:r>
            <w:r>
              <w:rPr>
                <w:rFonts w:hint="eastAsia" w:cs="仿宋_GB2312" w:asciiTheme="minorEastAsia" w:hAnsiTheme="minorEastAsia" w:eastAsiaTheme="minorEastAsia"/>
                <w:color w:val="auto"/>
                <w:szCs w:val="24"/>
                <w:lang w:val="en-US" w:eastAsia="zh-CN"/>
              </w:rPr>
              <w:t>医务人员</w:t>
            </w:r>
            <w:r>
              <w:rPr>
                <w:rFonts w:hint="eastAsia" w:eastAsia="宋体" w:cs="仿宋_GB2312" w:asciiTheme="minorEastAsia" w:hAnsiTheme="minorEastAsia"/>
                <w:color w:val="auto"/>
                <w:szCs w:val="24"/>
                <w:lang w:eastAsia="zh-CN"/>
              </w:rPr>
              <w:t>的安全问题，提供完善的措施方案。方案内容针对性强</w:t>
            </w:r>
            <w:r>
              <w:rPr>
                <w:rFonts w:hint="eastAsia" w:cs="仿宋_GB2312" w:asciiTheme="minorEastAsia" w:hAnsi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960" w:type="dxa"/>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应急</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方案</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olor w:val="000000"/>
                <w:szCs w:val="21"/>
                <w:highlight w:val="none"/>
              </w:rPr>
              <w:t>针对进修人员</w:t>
            </w:r>
            <w:r>
              <w:rPr>
                <w:color w:val="000000"/>
                <w:szCs w:val="21"/>
                <w:highlight w:val="none"/>
              </w:rPr>
              <w:t>日常</w:t>
            </w:r>
            <w:r>
              <w:rPr>
                <w:rFonts w:hint="eastAsia"/>
                <w:color w:val="000000"/>
                <w:szCs w:val="21"/>
                <w:highlight w:val="none"/>
              </w:rPr>
              <w:t>工作，生活中</w:t>
            </w:r>
            <w:r>
              <w:rPr>
                <w:color w:val="000000"/>
                <w:szCs w:val="21"/>
                <w:highlight w:val="none"/>
              </w:rPr>
              <w:t>可能遇到的问题及其应对措施的考虑情况。方案内容针对性强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restart"/>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14</w:t>
            </w:r>
          </w:p>
        </w:tc>
        <w:tc>
          <w:tcPr>
            <w:tcW w:w="960" w:type="dxa"/>
            <w:vMerge w:val="restart"/>
            <w:vAlign w:val="center"/>
          </w:tcPr>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w:t>
            </w:r>
          </w:p>
          <w:p>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团队</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color w:val="000000"/>
                <w:highlight w:val="none"/>
              </w:rPr>
              <w:t>根据拟投入本项目负责人的工作经历、相关资格证书、类似项目经验等打分</w:t>
            </w:r>
            <w:r>
              <w:rPr>
                <w:rFonts w:hint="eastAsia"/>
                <w:color w:val="000000"/>
                <w:highlight w:val="none"/>
                <w:lang w:eastAsia="zh-CN"/>
              </w:rPr>
              <w:t>（</w:t>
            </w:r>
            <w:r>
              <w:rPr>
                <w:rFonts w:hint="eastAsia"/>
                <w:color w:val="000000"/>
                <w:highlight w:val="none"/>
              </w:rPr>
              <w:t>提供证书复印件，工作履历</w:t>
            </w:r>
            <w:r>
              <w:rPr>
                <w:rFonts w:hint="eastAsia"/>
                <w:color w:val="000000"/>
                <w:highlight w:val="none"/>
                <w:lang w:val="en-US" w:eastAsia="zh-CN"/>
              </w:rPr>
              <w:t>等证明文件，否则不得分</w:t>
            </w:r>
            <w:r>
              <w:rPr>
                <w:rFonts w:hint="eastAsia"/>
                <w:color w:val="000000"/>
                <w:highlight w:val="none"/>
                <w:lang w:eastAsia="zh-CN"/>
              </w:rPr>
              <w:t>）</w:t>
            </w:r>
            <w:r>
              <w:rPr>
                <w:rFonts w:hint="eastAsia"/>
                <w:color w:val="000000"/>
                <w:highlight w:val="none"/>
              </w:rPr>
              <w:t>。经验丰富，资格证书齐全</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p>
        </w:tc>
        <w:tc>
          <w:tcPr>
            <w:tcW w:w="960" w:type="dxa"/>
            <w:vMerge w:val="continue"/>
            <w:vAlign w:val="center"/>
          </w:tcPr>
          <w:p>
            <w:pPr>
              <w:widowControl/>
              <w:spacing w:line="360" w:lineRule="auto"/>
              <w:rPr>
                <w:rFonts w:hint="eastAsia" w:ascii="宋体" w:hAnsi="宋体" w:eastAsia="宋体" w:cs="宋体"/>
                <w:color w:val="auto"/>
                <w:kern w:val="0"/>
                <w:sz w:val="24"/>
                <w:szCs w:val="21"/>
                <w:highlight w:val="none"/>
                <w:lang w:val="en-US" w:eastAsia="zh-CN" w:bidi="ar-SA"/>
              </w:rPr>
            </w:pP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color w:val="000000"/>
                <w:highlight w:val="none"/>
              </w:rPr>
              <w:t>根据拟投入的工作人员（不包括项目负责人）的数量配置、岗位设置、职责分工评分，提供人员的数量、工作经验、业务水平等。人员数量充足，经验丰富</w:t>
            </w:r>
            <w:r>
              <w:rPr>
                <w:rFonts w:hint="eastAsia"/>
                <w:color w:val="000000"/>
                <w:highlight w:val="none"/>
                <w:lang w:eastAsia="zh-CN"/>
              </w:rPr>
              <w:t>（</w:t>
            </w:r>
            <w:r>
              <w:rPr>
                <w:rFonts w:hint="eastAsia"/>
                <w:color w:val="000000"/>
                <w:highlight w:val="none"/>
                <w:lang w:val="en-US" w:eastAsia="zh-CN"/>
              </w:rPr>
              <w:t>提供相关证明材料，否则不得分</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15</w:t>
            </w:r>
          </w:p>
        </w:tc>
        <w:tc>
          <w:tcPr>
            <w:tcW w:w="960" w:type="dxa"/>
            <w:vAlign w:val="center"/>
          </w:tcPr>
          <w:p>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紧急联络人</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lang w:eastAsia="zh-CN"/>
              </w:rPr>
            </w:pPr>
            <w:r>
              <w:rPr>
                <w:rFonts w:hint="eastAsia"/>
                <w:color w:val="000000"/>
                <w:highlight w:val="none"/>
              </w:rPr>
              <w:t>根据拟投入本项目紧急联络人的工作经历、类似项目经验等打分。提供工作履历。经验丰富，执行能力强</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hint="eastAsia"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16</w:t>
            </w:r>
          </w:p>
        </w:tc>
        <w:tc>
          <w:tcPr>
            <w:tcW w:w="960" w:type="dxa"/>
            <w:vAlign w:val="center"/>
          </w:tcPr>
          <w:p>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资源</w:t>
            </w:r>
          </w:p>
          <w:p>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情况</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lang w:eastAsia="zh-CN"/>
              </w:rPr>
            </w:pPr>
            <w:r>
              <w:rPr>
                <w:rFonts w:hint="eastAsia" w:ascii="Arial" w:hAnsi="Arial" w:cs="Arial"/>
                <w:color w:val="000000"/>
                <w:highlight w:val="none"/>
              </w:rPr>
              <w:t>供应商为完成本项目所需的海外资源情况，提供与海外协会的合作协议等。海外资源丰富</w:t>
            </w:r>
            <w:r>
              <w:rPr>
                <w:rFonts w:hint="eastAsia" w:ascii="Arial" w:hAnsi="Arial" w:cs="Arial"/>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hint="eastAsia"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17</w:t>
            </w:r>
          </w:p>
        </w:tc>
        <w:tc>
          <w:tcPr>
            <w:tcW w:w="960" w:type="dxa"/>
            <w:vAlign w:val="center"/>
          </w:tcPr>
          <w:p>
            <w:pPr>
              <w:pStyle w:val="393"/>
              <w:spacing w:before="0"/>
              <w:ind w:left="0" w:lef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合理化建议</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供应商提供合理化建议，建议内容针对性强，切实可行</w:t>
            </w:r>
            <w:r>
              <w:rPr>
                <w:rFonts w:hint="eastAsia" w:cs="仿宋_GB2312" w:asciiTheme="minorEastAsia" w:hAnsiTheme="minorEastAsia" w:eastAsiaTheme="minorEastAsia"/>
                <w:color w:val="auto"/>
                <w:lang w:eastAsia="zh-CN"/>
              </w:rPr>
              <w:t>。</w:t>
            </w:r>
            <w:r>
              <w:rPr>
                <w:rFonts w:hint="eastAsia" w:ascii="宋体" w:hAnsi="宋体" w:cs="宋体"/>
                <w:color w:val="auto"/>
                <w:kern w:val="0"/>
                <w:szCs w:val="21"/>
                <w:highlight w:val="none"/>
                <w:lang w:val="en-US" w:eastAsia="zh-CN"/>
              </w:rPr>
              <w:t>（评审分值：2分或1分或0分）</w:t>
            </w:r>
          </w:p>
        </w:tc>
        <w:tc>
          <w:tcPr>
            <w:tcW w:w="560"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kern w:val="2"/>
                <w:sz w:val="24"/>
                <w:szCs w:val="24"/>
                <w:lang w:val="en-US" w:eastAsia="zh-CN" w:bidi="ar-SA"/>
              </w:rPr>
              <w:t>2</w:t>
            </w:r>
          </w:p>
        </w:tc>
        <w:tc>
          <w:tcPr>
            <w:tcW w:w="976"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hint="eastAsia"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18</w:t>
            </w:r>
          </w:p>
        </w:tc>
        <w:tc>
          <w:tcPr>
            <w:tcW w:w="960" w:type="dxa"/>
            <w:vAlign w:val="center"/>
          </w:tcPr>
          <w:p>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合作</w:t>
            </w:r>
          </w:p>
          <w:p>
            <w:pPr>
              <w:pStyle w:val="393"/>
              <w:spacing w:before="0"/>
              <w:ind w:left="0" w:lef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能力</w:t>
            </w:r>
          </w:p>
        </w:tc>
        <w:tc>
          <w:tcPr>
            <w:tcW w:w="4760" w:type="dxa"/>
            <w:vAlign w:val="center"/>
          </w:tcPr>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供应商对本项目要求范围内的医院或医学院的相关合作协议等，能反应其能胜任履行此项目的能力。每提供1份，得1分，最高得5分。</w:t>
            </w:r>
          </w:p>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注：提供相关证明材料（MOU和邀请函之类）。</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pPr>
              <w:pStyle w:val="393"/>
              <w:spacing w:before="0"/>
              <w:ind w:firstLine="0" w:firstLineChars="0"/>
              <w:jc w:val="center"/>
              <w:rPr>
                <w:rFonts w:hint="eastAsia" w:cs="仿宋_GB2312" w:asciiTheme="minorEastAsia" w:hAnsiTheme="minorEastAsia" w:eastAsiaTheme="minorEastAsia"/>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19</w:t>
            </w:r>
          </w:p>
        </w:tc>
        <w:tc>
          <w:tcPr>
            <w:tcW w:w="960" w:type="dxa"/>
            <w:vAlign w:val="center"/>
          </w:tcPr>
          <w:p>
            <w:pPr>
              <w:pStyle w:val="393"/>
              <w:spacing w:before="0"/>
              <w:ind w:left="0" w:leftChars="0" w:firstLine="0" w:firstLineChars="0"/>
              <w:jc w:val="left"/>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价格分</w:t>
            </w:r>
          </w:p>
        </w:tc>
        <w:tc>
          <w:tcPr>
            <w:tcW w:w="4760" w:type="dxa"/>
            <w:vAlign w:val="center"/>
          </w:tcPr>
          <w:p>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0］的计算公式计算。</w:t>
            </w:r>
          </w:p>
          <w:p>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lang w:val="en-US" w:eastAsia="zh-CN"/>
              </w:rPr>
              <w:t>本项目专门面向中小企业，对供应商不进行价格扣除。</w:t>
            </w:r>
          </w:p>
        </w:tc>
        <w:tc>
          <w:tcPr>
            <w:tcW w:w="560" w:type="dxa"/>
            <w:vAlign w:val="center"/>
          </w:tcPr>
          <w:p>
            <w:pPr>
              <w:pStyle w:val="393"/>
              <w:spacing w:before="0"/>
              <w:ind w:firstLine="0" w:firstLineChars="0"/>
              <w:jc w:val="center"/>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lang w:val="en-US" w:eastAsia="zh-CN"/>
              </w:rPr>
              <w:t>10</w:t>
            </w:r>
          </w:p>
        </w:tc>
        <w:tc>
          <w:tcPr>
            <w:tcW w:w="976" w:type="dxa"/>
            <w:vAlign w:val="center"/>
          </w:tcPr>
          <w:p>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pPr>
        <w:pStyle w:val="393"/>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pPr>
        <w:snapToGrid w:val="0"/>
        <w:spacing w:line="360" w:lineRule="auto"/>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pPr>
        <w:spacing w:line="360" w:lineRule="auto"/>
        <w:rPr>
          <w:rFonts w:asciiTheme="minorEastAsia" w:hAnsiTheme="minorEastAsia" w:eastAsiaTheme="minorEastAsia"/>
          <w:color w:val="auto"/>
          <w:sz w:val="24"/>
        </w:rPr>
      </w:pPr>
      <w:bookmarkStart w:id="67" w:name="第五部分"/>
      <w:bookmarkStart w:id="68" w:name="_Toc86217003"/>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pPr>
        <w:spacing w:line="360" w:lineRule="auto"/>
        <w:rPr>
          <w:rFonts w:asciiTheme="minorEastAsia" w:hAnsiTheme="minorEastAsia" w:eastAsiaTheme="minorEastAsia"/>
          <w:color w:val="auto"/>
          <w:sz w:val="24"/>
          <w:u w:val="single"/>
        </w:rPr>
      </w:pPr>
    </w:p>
    <w:p>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pPr>
        <w:pStyle w:val="282"/>
        <w:rPr>
          <w:rFonts w:asciiTheme="minorEastAsia" w:hAnsiTheme="minorEastAsia" w:eastAsiaTheme="minorEastAsia"/>
          <w:color w:val="auto"/>
          <w:szCs w:val="24"/>
        </w:rPr>
      </w:pPr>
    </w:p>
    <w:p>
      <w:pPr>
        <w:pStyle w:val="282"/>
        <w:rPr>
          <w:rFonts w:asciiTheme="minorEastAsia" w:hAnsiTheme="minorEastAsia" w:eastAsiaTheme="minorEastAsia"/>
          <w:color w:val="auto"/>
          <w:szCs w:val="24"/>
        </w:rPr>
      </w:pP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pPr>
        <w:pStyle w:val="617"/>
        <w:spacing w:before="120"/>
        <w:rPr>
          <w:rFonts w:asciiTheme="minorEastAsia" w:hAnsiTheme="minorEastAsia" w:eastAsiaTheme="minorEastAsia"/>
          <w:color w:val="auto"/>
          <w:szCs w:val="24"/>
        </w:rPr>
      </w:pPr>
    </w:p>
    <w:p>
      <w:pPr>
        <w:spacing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pPr>
        <w:spacing w:before="120" w:line="360" w:lineRule="auto"/>
        <w:rPr>
          <w:rFonts w:asciiTheme="minorEastAsia" w:hAnsiTheme="minorEastAsia" w:eastAsiaTheme="minorEastAsia"/>
          <w:color w:val="auto"/>
          <w:sz w:val="24"/>
        </w:rPr>
      </w:pPr>
    </w:p>
    <w:p>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rPr>
          <w:rFonts w:ascii="宋体" w:hAnsi="宋体" w:cs="宋体"/>
          <w:b/>
          <w:color w:val="auto"/>
          <w:sz w:val="24"/>
        </w:rPr>
      </w:pPr>
    </w:p>
    <w:p>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杭州市第一人民医院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杭州市第一人民医院2025年度医务人员赴英国研修项目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杭州市第一人民医院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69" w:name="_Toc19273"/>
      <w:bookmarkStart w:id="70" w:name="_Toc15367"/>
      <w:bookmarkStart w:id="71" w:name="_Toc22967"/>
      <w:bookmarkStart w:id="72" w:name="_Toc20421"/>
      <w:bookmarkStart w:id="73" w:name="_Toc28855"/>
      <w:r>
        <w:rPr>
          <w:rFonts w:ascii="宋体" w:hAnsi="宋体"/>
          <w:b/>
          <w:color w:val="auto"/>
          <w:sz w:val="24"/>
        </w:rPr>
        <w:t xml:space="preserve">1.1 </w:t>
      </w:r>
      <w:r>
        <w:rPr>
          <w:rFonts w:hint="eastAsia" w:ascii="宋体" w:hAnsi="宋体"/>
          <w:b/>
          <w:color w:val="auto"/>
          <w:sz w:val="24"/>
        </w:rPr>
        <w:t>合同组成部分</w:t>
      </w:r>
      <w:bookmarkEnd w:id="69"/>
      <w:bookmarkEnd w:id="70"/>
      <w:bookmarkEnd w:id="71"/>
      <w:bookmarkEnd w:id="72"/>
      <w:bookmarkEnd w:id="73"/>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74" w:name="_Toc22185"/>
      <w:bookmarkStart w:id="75" w:name="_Toc18585"/>
      <w:bookmarkStart w:id="76" w:name="_Toc2918"/>
      <w:bookmarkStart w:id="77" w:name="_Toc6773"/>
      <w:bookmarkStart w:id="78" w:name="_Toc6311"/>
      <w:r>
        <w:rPr>
          <w:rFonts w:ascii="宋体" w:hAnsi="宋体"/>
          <w:b/>
          <w:color w:val="auto"/>
          <w:sz w:val="24"/>
        </w:rPr>
        <w:t xml:space="preserve">1.2 </w:t>
      </w:r>
      <w:r>
        <w:rPr>
          <w:rFonts w:hint="eastAsia" w:ascii="宋体" w:hAnsi="宋体"/>
          <w:b/>
          <w:color w:val="auto"/>
          <w:sz w:val="24"/>
        </w:rPr>
        <w:t>标的</w:t>
      </w:r>
      <w:bookmarkEnd w:id="74"/>
      <w:bookmarkEnd w:id="75"/>
      <w:bookmarkEnd w:id="76"/>
      <w:bookmarkEnd w:id="77"/>
      <w:bookmarkEnd w:id="78"/>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pPr>
        <w:spacing w:line="560" w:lineRule="exact"/>
        <w:ind w:firstLine="480" w:firstLineChars="200"/>
        <w:rPr>
          <w:rFonts w:ascii="宋体" w:hAnsi="宋体" w:cs="宋体"/>
          <w:color w:val="auto"/>
          <w:sz w:val="24"/>
          <w:u w:val="single"/>
        </w:rPr>
      </w:pPr>
      <w:bookmarkStart w:id="79" w:name="_Toc4929"/>
      <w:bookmarkStart w:id="80" w:name="_Toc5635"/>
      <w:bookmarkStart w:id="81" w:name="_Toc21124"/>
      <w:bookmarkStart w:id="82" w:name="_Toc13918"/>
      <w:bookmarkStart w:id="83" w:name="_Toc1386"/>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9"/>
      <w:bookmarkEnd w:id="80"/>
      <w:bookmarkEnd w:id="81"/>
      <w:bookmarkEnd w:id="82"/>
      <w:bookmarkEnd w:id="83"/>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w:t>
      </w:r>
      <w:r>
        <w:rPr>
          <w:rFonts w:hint="eastAsia" w:ascii="宋体" w:hAnsi="宋体"/>
          <w:color w:val="auto"/>
          <w:sz w:val="24"/>
          <w:lang w:val="en-US" w:eastAsia="zh-CN"/>
        </w:rPr>
        <w:t>单价</w:t>
      </w:r>
      <w:r>
        <w:rPr>
          <w:rFonts w:hint="eastAsia" w:ascii="宋体" w:hAnsi="宋体"/>
          <w:color w:val="auto"/>
          <w:sz w:val="24"/>
        </w:rPr>
        <w:t>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lang w:val="en-US" w:eastAsia="zh-CN"/>
        </w:rPr>
        <w:t>/人</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/人</w:t>
      </w:r>
      <w:r>
        <w:rPr>
          <w:rFonts w:hint="eastAsia" w:ascii="宋体" w:hAnsi="宋体"/>
          <w:color w:val="auto"/>
          <w:sz w:val="24"/>
        </w:rPr>
        <w:t>）</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622"/>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rPr>
            </w:pPr>
          </w:p>
        </w:tc>
        <w:tc>
          <w:tcPr>
            <w:tcW w:w="3402" w:type="dxa"/>
            <w:vAlign w:val="center"/>
          </w:tcPr>
          <w:p>
            <w:pPr>
              <w:pStyle w:val="622"/>
              <w:spacing w:line="560" w:lineRule="exact"/>
              <w:ind w:firstLine="200"/>
              <w:jc w:val="center"/>
              <w:rPr>
                <w:rFonts w:hAnsi="宋体"/>
                <w:color w:val="auto"/>
                <w:sz w:val="24"/>
                <w:szCs w:val="24"/>
              </w:rPr>
            </w:pPr>
          </w:p>
        </w:tc>
        <w:tc>
          <w:tcPr>
            <w:tcW w:w="2552" w:type="dxa"/>
            <w:vAlign w:val="center"/>
          </w:tcPr>
          <w:p>
            <w:pPr>
              <w:pStyle w:val="6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rPr>
            </w:pPr>
          </w:p>
        </w:tc>
        <w:tc>
          <w:tcPr>
            <w:tcW w:w="3402" w:type="dxa"/>
            <w:vAlign w:val="center"/>
          </w:tcPr>
          <w:p>
            <w:pPr>
              <w:pStyle w:val="622"/>
              <w:spacing w:line="560" w:lineRule="exact"/>
              <w:ind w:firstLine="200"/>
              <w:jc w:val="center"/>
              <w:rPr>
                <w:rFonts w:hAnsi="宋体"/>
                <w:color w:val="auto"/>
                <w:sz w:val="24"/>
                <w:szCs w:val="24"/>
              </w:rPr>
            </w:pPr>
          </w:p>
        </w:tc>
        <w:tc>
          <w:tcPr>
            <w:tcW w:w="2552" w:type="dxa"/>
            <w:vAlign w:val="center"/>
          </w:tcPr>
          <w:p>
            <w:pPr>
              <w:pStyle w:val="6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rPr>
            </w:pPr>
          </w:p>
        </w:tc>
        <w:tc>
          <w:tcPr>
            <w:tcW w:w="3402" w:type="dxa"/>
            <w:vAlign w:val="center"/>
          </w:tcPr>
          <w:p>
            <w:pPr>
              <w:pStyle w:val="622"/>
              <w:spacing w:line="560" w:lineRule="exact"/>
              <w:ind w:firstLine="200"/>
              <w:jc w:val="center"/>
              <w:rPr>
                <w:rFonts w:hAnsi="宋体"/>
                <w:color w:val="auto"/>
                <w:sz w:val="24"/>
                <w:szCs w:val="24"/>
              </w:rPr>
            </w:pPr>
          </w:p>
        </w:tc>
        <w:tc>
          <w:tcPr>
            <w:tcW w:w="2552" w:type="dxa"/>
            <w:vAlign w:val="center"/>
          </w:tcPr>
          <w:p>
            <w:pPr>
              <w:pStyle w:val="6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hAnsi="宋体"/>
                <w:color w:val="auto"/>
                <w:sz w:val="24"/>
                <w:szCs w:val="24"/>
              </w:rPr>
            </w:pPr>
          </w:p>
        </w:tc>
        <w:tc>
          <w:tcPr>
            <w:tcW w:w="3402" w:type="dxa"/>
            <w:vAlign w:val="center"/>
          </w:tcPr>
          <w:p>
            <w:pPr>
              <w:pStyle w:val="622"/>
              <w:spacing w:line="560" w:lineRule="exact"/>
              <w:ind w:firstLine="200"/>
              <w:jc w:val="center"/>
              <w:rPr>
                <w:rFonts w:hAnsi="宋体"/>
                <w:color w:val="auto"/>
                <w:sz w:val="24"/>
                <w:szCs w:val="24"/>
              </w:rPr>
            </w:pPr>
          </w:p>
        </w:tc>
        <w:tc>
          <w:tcPr>
            <w:tcW w:w="2552" w:type="dxa"/>
            <w:vAlign w:val="center"/>
          </w:tcPr>
          <w:p>
            <w:pPr>
              <w:pStyle w:val="622"/>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622"/>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84" w:name="_Toc30158"/>
      <w:bookmarkStart w:id="85" w:name="_Toc14993"/>
      <w:bookmarkStart w:id="86" w:name="_Toc3654"/>
      <w:bookmarkStart w:id="87" w:name="_Toc30506"/>
      <w:bookmarkStart w:id="88" w:name="_Toc2691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4"/>
    <w:bookmarkEnd w:id="85"/>
    <w:bookmarkEnd w:id="86"/>
    <w:bookmarkEnd w:id="87"/>
    <w:bookmarkEnd w:id="88"/>
    <w:p>
      <w:pPr>
        <w:pStyle w:val="630"/>
        <w:spacing w:before="0" w:beforeAutospacing="0" w:after="0" w:afterAutospacing="0" w:line="360" w:lineRule="auto"/>
        <w:ind w:firstLine="480"/>
        <w:rPr>
          <w:b/>
          <w:color w:val="auto"/>
        </w:rPr>
      </w:pPr>
      <w:bookmarkStart w:id="89" w:name="_Toc1814"/>
      <w:bookmarkStart w:id="90" w:name="_Toc10340"/>
      <w:bookmarkStart w:id="91" w:name="_Toc22618"/>
      <w:bookmarkStart w:id="92" w:name="_Toc4760"/>
      <w:bookmarkStart w:id="93" w:name="_Toc11108"/>
      <w:bookmarkStart w:id="94" w:name="_Toc3625"/>
      <w:bookmarkStart w:id="95" w:name="_Toc31421"/>
      <w:bookmarkStart w:id="96" w:name="_Toc8772"/>
      <w:r>
        <w:rPr>
          <w:rFonts w:hint="eastAsia"/>
          <w:b/>
          <w:color w:val="auto"/>
        </w:rPr>
        <w:t>1.4履约保证金</w:t>
      </w:r>
    </w:p>
    <w:p>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9"/>
      <w:bookmarkEnd w:id="90"/>
      <w:bookmarkEnd w:id="91"/>
      <w:r>
        <w:rPr>
          <w:rFonts w:hint="eastAsia" w:ascii="宋体" w:hAnsi="宋体" w:cs="宋体"/>
          <w:b/>
          <w:color w:val="auto"/>
          <w:sz w:val="24"/>
        </w:rPr>
        <w:t>预付款</w:t>
      </w:r>
    </w:p>
    <w:p>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630"/>
        <w:spacing w:before="0" w:beforeAutospacing="0" w:after="0" w:afterAutospacing="0" w:line="360" w:lineRule="auto"/>
        <w:ind w:firstLine="480"/>
        <w:rPr>
          <w:b/>
          <w:bCs/>
          <w:color w:val="auto"/>
        </w:rPr>
      </w:pPr>
      <w:r>
        <w:rPr>
          <w:rFonts w:hint="eastAsia"/>
          <w:b/>
          <w:bCs/>
          <w:color w:val="auto"/>
        </w:rPr>
        <w:t>1.6资金支付</w:t>
      </w:r>
    </w:p>
    <w:p>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2"/>
      <w:bookmarkEnd w:id="93"/>
      <w:bookmarkEnd w:id="94"/>
      <w:bookmarkEnd w:id="95"/>
      <w:bookmarkEnd w:id="96"/>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97" w:name="_Toc5698"/>
      <w:bookmarkStart w:id="98" w:name="_Toc8586"/>
      <w:bookmarkStart w:id="99" w:name="_Toc24662"/>
      <w:bookmarkStart w:id="100" w:name="_Toc2375"/>
      <w:bookmarkStart w:id="101" w:name="_Toc3079"/>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7"/>
      <w:bookmarkEnd w:id="98"/>
      <w:bookmarkEnd w:id="99"/>
      <w:bookmarkEnd w:id="100"/>
      <w:bookmarkEnd w:id="101"/>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102" w:name="_Toc26807"/>
      <w:bookmarkStart w:id="103" w:name="_Toc9497"/>
      <w:bookmarkStart w:id="104" w:name="_Toc30329"/>
      <w:bookmarkStart w:id="105" w:name="_Toc18683"/>
      <w:bookmarkStart w:id="106"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2"/>
    <w:bookmarkEnd w:id="103"/>
    <w:bookmarkEnd w:id="104"/>
    <w:bookmarkEnd w:id="105"/>
    <w:bookmarkEnd w:id="106"/>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107" w:name="_Toc14021"/>
      <w:bookmarkStart w:id="108" w:name="_Toc31297"/>
      <w:bookmarkStart w:id="109" w:name="_Toc19680"/>
      <w:bookmarkStart w:id="110" w:name="_Toc25079"/>
      <w:bookmarkStart w:id="111" w:name="_Toc5228"/>
      <w:r>
        <w:rPr>
          <w:rFonts w:ascii="宋体" w:hAnsi="宋体"/>
          <w:b/>
          <w:color w:val="auto"/>
          <w:sz w:val="24"/>
        </w:rPr>
        <w:t>2.1 定义</w:t>
      </w:r>
      <w:bookmarkEnd w:id="107"/>
      <w:bookmarkEnd w:id="108"/>
      <w:bookmarkEnd w:id="109"/>
      <w:bookmarkEnd w:id="110"/>
      <w:bookmarkEnd w:id="111"/>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112" w:name="_Toc31402"/>
      <w:bookmarkStart w:id="113" w:name="_Toc23289"/>
      <w:bookmarkStart w:id="114" w:name="_Toc19539"/>
      <w:bookmarkStart w:id="115" w:name="_Toc3769"/>
      <w:bookmarkStart w:id="116" w:name="_Toc16752"/>
      <w:r>
        <w:rPr>
          <w:rFonts w:ascii="宋体" w:hAnsi="宋体"/>
          <w:b/>
          <w:color w:val="auto"/>
          <w:sz w:val="24"/>
        </w:rPr>
        <w:t>2.2 技术规范</w:t>
      </w:r>
      <w:bookmarkEnd w:id="112"/>
      <w:bookmarkEnd w:id="113"/>
      <w:bookmarkEnd w:id="114"/>
      <w:bookmarkEnd w:id="115"/>
      <w:bookmarkEnd w:id="116"/>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117" w:name="_Toc13673"/>
      <w:bookmarkStart w:id="118" w:name="_Toc12412"/>
      <w:bookmarkStart w:id="119" w:name="_Toc4133"/>
      <w:bookmarkStart w:id="120" w:name="_Toc9161"/>
      <w:bookmarkStart w:id="121" w:name="_Toc27945"/>
      <w:r>
        <w:rPr>
          <w:rFonts w:ascii="宋体" w:hAnsi="宋体"/>
          <w:b/>
          <w:color w:val="auto"/>
          <w:sz w:val="24"/>
        </w:rPr>
        <w:t>2.3 知识产权</w:t>
      </w:r>
      <w:bookmarkEnd w:id="117"/>
      <w:bookmarkEnd w:id="118"/>
      <w:bookmarkEnd w:id="119"/>
      <w:bookmarkEnd w:id="120"/>
      <w:bookmarkEnd w:id="121"/>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122" w:name="_Toc26555"/>
      <w:bookmarkStart w:id="123" w:name="_Toc15447"/>
      <w:bookmarkStart w:id="124" w:name="_Toc32670"/>
      <w:bookmarkStart w:id="125" w:name="_Toc22011"/>
      <w:bookmarkStart w:id="126" w:name="_Toc31233"/>
      <w:r>
        <w:rPr>
          <w:rFonts w:ascii="宋体" w:hAnsi="宋体"/>
          <w:b/>
          <w:color w:val="auto"/>
          <w:sz w:val="24"/>
        </w:rPr>
        <w:t>2.5 结算方式和付款条件</w:t>
      </w:r>
      <w:bookmarkEnd w:id="122"/>
      <w:bookmarkEnd w:id="123"/>
      <w:bookmarkEnd w:id="124"/>
      <w:bookmarkEnd w:id="125"/>
      <w:bookmarkEnd w:id="126"/>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27" w:name="_Toc16163"/>
      <w:bookmarkStart w:id="128" w:name="_Toc13467"/>
      <w:bookmarkStart w:id="129" w:name="_Toc18990"/>
      <w:bookmarkStart w:id="130" w:name="_Toc30507"/>
      <w:bookmarkStart w:id="131" w:name="_Toc13154"/>
      <w:r>
        <w:rPr>
          <w:rFonts w:ascii="宋体" w:hAnsi="宋体"/>
          <w:b/>
          <w:color w:val="auto"/>
          <w:sz w:val="24"/>
        </w:rPr>
        <w:t>2.6 技术资料和保密义务</w:t>
      </w:r>
      <w:bookmarkEnd w:id="127"/>
      <w:bookmarkEnd w:id="128"/>
      <w:bookmarkEnd w:id="129"/>
      <w:bookmarkEnd w:id="130"/>
      <w:bookmarkEnd w:id="131"/>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132" w:name="_Toc19069"/>
      <w:r>
        <w:rPr>
          <w:rFonts w:ascii="宋体" w:hAnsi="宋体"/>
          <w:b/>
          <w:color w:val="auto"/>
          <w:sz w:val="24"/>
        </w:rPr>
        <w:t xml:space="preserve">2.7 </w:t>
      </w:r>
      <w:r>
        <w:rPr>
          <w:rFonts w:hint="eastAsia" w:ascii="宋体" w:hAnsi="宋体"/>
          <w:b/>
          <w:color w:val="auto"/>
          <w:sz w:val="24"/>
        </w:rPr>
        <w:t>质量保证</w:t>
      </w:r>
      <w:bookmarkEnd w:id="132"/>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133" w:name="_Toc22267"/>
      <w:r>
        <w:rPr>
          <w:rFonts w:ascii="宋体" w:hAnsi="宋体"/>
          <w:b/>
          <w:color w:val="auto"/>
          <w:sz w:val="24"/>
        </w:rPr>
        <w:t xml:space="preserve">2.8 </w:t>
      </w:r>
      <w:r>
        <w:rPr>
          <w:rFonts w:hint="eastAsia" w:ascii="宋体" w:hAnsi="宋体"/>
          <w:b/>
          <w:color w:val="auto"/>
          <w:sz w:val="24"/>
        </w:rPr>
        <w:t>延迟履行</w:t>
      </w:r>
      <w:bookmarkEnd w:id="133"/>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134" w:name="_Toc10611"/>
      <w:r>
        <w:rPr>
          <w:rFonts w:ascii="宋体" w:hAnsi="宋体"/>
          <w:b/>
          <w:color w:val="auto"/>
          <w:sz w:val="24"/>
        </w:rPr>
        <w:t xml:space="preserve">2.9 </w:t>
      </w:r>
      <w:r>
        <w:rPr>
          <w:rFonts w:hint="eastAsia" w:ascii="宋体" w:hAnsi="宋体"/>
          <w:b/>
          <w:color w:val="auto"/>
          <w:sz w:val="24"/>
        </w:rPr>
        <w:t>合同变更</w:t>
      </w:r>
      <w:bookmarkEnd w:id="134"/>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35" w:name="_Toc10663"/>
      <w:bookmarkStart w:id="136" w:name="_Toc23368"/>
      <w:bookmarkStart w:id="137" w:name="_Toc42"/>
      <w:bookmarkStart w:id="138" w:name="_Toc21830"/>
      <w:bookmarkStart w:id="139" w:name="_Toc26689"/>
      <w:r>
        <w:rPr>
          <w:rFonts w:ascii="宋体" w:hAnsi="宋体"/>
          <w:b/>
          <w:color w:val="auto"/>
          <w:sz w:val="24"/>
        </w:rPr>
        <w:t>2.10 合同转让和分包</w:t>
      </w:r>
      <w:bookmarkEnd w:id="135"/>
      <w:bookmarkEnd w:id="136"/>
      <w:bookmarkEnd w:id="137"/>
      <w:bookmarkEnd w:id="138"/>
      <w:bookmarkEnd w:id="139"/>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140" w:name="_Toc25571"/>
      <w:bookmarkStart w:id="141" w:name="_Toc14371"/>
      <w:bookmarkStart w:id="142" w:name="_Toc4720"/>
      <w:bookmarkStart w:id="143" w:name="_Toc32494"/>
      <w:bookmarkStart w:id="144" w:name="_Toc26633"/>
      <w:r>
        <w:rPr>
          <w:rFonts w:ascii="宋体" w:hAnsi="宋体"/>
          <w:b/>
          <w:color w:val="auto"/>
          <w:sz w:val="24"/>
        </w:rPr>
        <w:t>2.11 不可抗力</w:t>
      </w:r>
      <w:bookmarkEnd w:id="140"/>
      <w:bookmarkEnd w:id="141"/>
      <w:bookmarkEnd w:id="142"/>
      <w:bookmarkEnd w:id="143"/>
      <w:bookmarkEnd w:id="144"/>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45" w:name="_Toc23854"/>
      <w:bookmarkStart w:id="146" w:name="_Toc3638"/>
      <w:bookmarkStart w:id="147" w:name="_Toc24465"/>
      <w:bookmarkStart w:id="148" w:name="_Toc25783"/>
      <w:bookmarkStart w:id="149" w:name="_Toc14115"/>
      <w:r>
        <w:rPr>
          <w:rFonts w:ascii="宋体" w:hAnsi="宋体"/>
          <w:b/>
          <w:color w:val="auto"/>
          <w:sz w:val="24"/>
        </w:rPr>
        <w:t>2.12 税费</w:t>
      </w:r>
      <w:bookmarkEnd w:id="145"/>
      <w:bookmarkEnd w:id="146"/>
      <w:bookmarkEnd w:id="147"/>
      <w:bookmarkEnd w:id="148"/>
      <w:bookmarkEnd w:id="149"/>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150" w:name="_Toc26883"/>
      <w:bookmarkStart w:id="151" w:name="_Toc30105"/>
      <w:bookmarkStart w:id="152" w:name="_Toc14814"/>
      <w:bookmarkStart w:id="153" w:name="_Toc25525"/>
      <w:bookmarkStart w:id="154" w:name="_Toc7315"/>
      <w:r>
        <w:rPr>
          <w:rFonts w:ascii="宋体" w:hAnsi="宋体"/>
          <w:b/>
          <w:color w:val="auto"/>
          <w:sz w:val="24"/>
        </w:rPr>
        <w:t>2.13 乙方破产</w:t>
      </w:r>
      <w:bookmarkEnd w:id="150"/>
      <w:bookmarkEnd w:id="151"/>
      <w:bookmarkEnd w:id="152"/>
      <w:bookmarkEnd w:id="153"/>
      <w:bookmarkEnd w:id="154"/>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155" w:name="_Toc2016"/>
      <w:bookmarkStart w:id="156" w:name="_Toc23323"/>
      <w:bookmarkStart w:id="157" w:name="_Toc1123"/>
      <w:r>
        <w:rPr>
          <w:rFonts w:ascii="宋体" w:hAnsi="宋体"/>
          <w:b/>
          <w:color w:val="auto"/>
          <w:sz w:val="24"/>
        </w:rPr>
        <w:t>2.14 合同中止、终止</w:t>
      </w:r>
      <w:bookmarkEnd w:id="155"/>
      <w:bookmarkEnd w:id="156"/>
      <w:bookmarkEnd w:id="157"/>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58" w:name="_Toc1969"/>
      <w:bookmarkStart w:id="159" w:name="_Toc17363"/>
      <w:bookmarkStart w:id="160" w:name="_Toc14525"/>
      <w:r>
        <w:rPr>
          <w:rFonts w:ascii="宋体" w:hAnsi="宋体"/>
          <w:b/>
          <w:color w:val="auto"/>
          <w:sz w:val="24"/>
        </w:rPr>
        <w:t>2.15 检验和验收</w:t>
      </w:r>
      <w:bookmarkEnd w:id="158"/>
      <w:bookmarkEnd w:id="159"/>
      <w:bookmarkEnd w:id="160"/>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161" w:name="_Toc12666"/>
      <w:bookmarkStart w:id="162" w:name="_Toc9808"/>
      <w:bookmarkStart w:id="163" w:name="_Toc31892"/>
      <w:bookmarkStart w:id="164" w:name="_Toc2308"/>
      <w:bookmarkStart w:id="165" w:name="_Toc25198"/>
      <w:r>
        <w:rPr>
          <w:rFonts w:ascii="宋体" w:hAnsi="宋体"/>
          <w:b/>
          <w:color w:val="auto"/>
          <w:sz w:val="24"/>
        </w:rPr>
        <w:t>2.16 通知和送达</w:t>
      </w:r>
      <w:bookmarkEnd w:id="161"/>
      <w:bookmarkEnd w:id="162"/>
      <w:bookmarkEnd w:id="163"/>
      <w:bookmarkEnd w:id="164"/>
      <w:bookmarkEnd w:id="165"/>
    </w:p>
    <w:p>
      <w:pPr>
        <w:spacing w:line="560" w:lineRule="exact"/>
        <w:ind w:firstLine="480" w:firstLineChars="200"/>
        <w:rPr>
          <w:rFonts w:ascii="宋体" w:hAnsi="宋体"/>
          <w:color w:val="auto"/>
          <w:sz w:val="24"/>
        </w:rPr>
      </w:pPr>
      <w:bookmarkStart w:id="166" w:name="_Toc18401"/>
      <w:bookmarkStart w:id="167"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6"/>
      <w:bookmarkEnd w:id="167"/>
    </w:p>
    <w:p>
      <w:pPr>
        <w:spacing w:line="560" w:lineRule="exact"/>
        <w:ind w:firstLine="482" w:firstLineChars="200"/>
        <w:outlineLvl w:val="0"/>
        <w:rPr>
          <w:rFonts w:ascii="宋体" w:hAnsi="宋体"/>
          <w:b/>
          <w:color w:val="auto"/>
          <w:sz w:val="24"/>
        </w:rPr>
      </w:pPr>
      <w:bookmarkStart w:id="168" w:name="_Toc20808"/>
      <w:bookmarkStart w:id="169" w:name="_Toc28906"/>
      <w:bookmarkStart w:id="170" w:name="_Toc27644"/>
      <w:bookmarkStart w:id="171" w:name="_Toc12254"/>
      <w:bookmarkStart w:id="17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8"/>
      <w:bookmarkEnd w:id="169"/>
      <w:bookmarkEnd w:id="170"/>
      <w:bookmarkEnd w:id="171"/>
      <w:bookmarkEnd w:id="172"/>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firstLine="562" w:firstLineChars="200"/>
        <w:jc w:val="center"/>
        <w:rPr>
          <w:rFonts w:asciiTheme="minorEastAsia" w:hAnsiTheme="minorEastAsia" w:eastAsiaTheme="minorEastAsia"/>
          <w:b/>
          <w:color w:val="auto"/>
          <w:sz w:val="28"/>
          <w:szCs w:val="28"/>
        </w:rPr>
      </w:pPr>
    </w:p>
    <w:p>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p>
    <w:p>
      <w:pPr>
        <w:spacing w:line="360" w:lineRule="auto"/>
        <w:ind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pPr>
        <w:spacing w:line="360" w:lineRule="auto"/>
        <w:ind w:firstLine="480" w:firstLineChars="200"/>
        <w:rPr>
          <w:rFonts w:cs="仿宋_GB2312" w:asciiTheme="minorEastAsia" w:hAnsiTheme="minorEastAsia" w:eastAsiaTheme="minorEastAsia"/>
          <w:color w:val="auto"/>
          <w:sz w:val="24"/>
        </w:rPr>
      </w:pPr>
    </w:p>
    <w:p>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】的有关活动，并对此项目进行响应。为此：</w:t>
      </w:r>
    </w:p>
    <w:p>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pStyle w:val="71"/>
        <w:rPr>
          <w:color w:val="auto"/>
        </w:rPr>
      </w:pPr>
    </w:p>
    <w:p>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widowControl/>
        <w:tabs>
          <w:tab w:val="left" w:pos="1200"/>
        </w:tabs>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宋体" w:asciiTheme="minorEastAsia" w:hAnsiTheme="minorEastAsia" w:eastAsiaTheme="minorEastAsia"/>
          <w:color w:val="auto"/>
          <w:sz w:val="24"/>
        </w:rPr>
        <w:t>：</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w:t>
      </w:r>
      <w:r>
        <w:rPr>
          <w:rFonts w:hint="eastAsia" w:cs="宋体" w:asciiTheme="minorEastAsia" w:hAnsiTheme="minorEastAsia" w:eastAsiaTheme="minorEastAsia"/>
          <w:color w:val="auto"/>
          <w:sz w:val="24"/>
        </w:rPr>
        <w:t>政府采购活动，郑重承诺：</w:t>
      </w:r>
    </w:p>
    <w:p>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pPr>
        <w:snapToGrid w:val="0"/>
        <w:spacing w:line="360" w:lineRule="auto"/>
        <w:ind w:right="480"/>
        <w:jc w:val="center"/>
        <w:rPr>
          <w:rFonts w:cs="仿宋_GB2312" w:asciiTheme="minorEastAsia" w:hAnsiTheme="minorEastAsia" w:eastAsiaTheme="minorEastAsia"/>
          <w:b/>
          <w:color w:val="auto"/>
          <w:kern w:val="0"/>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【项目编号：HSZB-2025-917】响应</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pPr>
        <w:snapToGrid w:val="0"/>
        <w:spacing w:line="360" w:lineRule="auto"/>
        <w:ind w:right="480"/>
        <w:jc w:val="center"/>
        <w:rPr>
          <w:rFonts w:cs="仿宋_GB2312" w:asciiTheme="minorEastAsia" w:hAnsiTheme="minorEastAsia" w:eastAsiaTheme="minorEastAsia"/>
          <w:b/>
          <w:color w:val="auto"/>
          <w:sz w:val="32"/>
          <w:szCs w:val="32"/>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pPr>
        <w:widowControl/>
        <w:spacing w:line="360" w:lineRule="auto"/>
        <w:ind w:firstLine="480"/>
        <w:jc w:val="left"/>
        <w:rPr>
          <w:rFonts w:cs="宋体" w:asciiTheme="minorEastAsia" w:hAnsiTheme="minorEastAsia" w:eastAsiaTheme="minorEastAsia"/>
          <w:color w:val="auto"/>
          <w:sz w:val="24"/>
        </w:rPr>
      </w:pPr>
    </w:p>
    <w:p>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pPr>
        <w:widowControl/>
        <w:spacing w:line="360" w:lineRule="auto"/>
        <w:ind w:firstLine="480" w:firstLineChars="200"/>
        <w:jc w:val="left"/>
        <w:rPr>
          <w:rFonts w:cs="仿宋_GB2312" w:asciiTheme="minorEastAsia" w:hAnsiTheme="minorEastAsia" w:eastAsiaTheme="minorEastAsia"/>
          <w:color w:val="auto"/>
          <w:sz w:val="24"/>
        </w:rPr>
      </w:pPr>
    </w:p>
    <w:p>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pPr>
        <w:snapToGrid w:val="0"/>
        <w:spacing w:line="360" w:lineRule="auto"/>
        <w:rPr>
          <w:rFonts w:cs="仿宋_GB2312" w:asciiTheme="minorEastAsia" w:hAnsiTheme="minorEastAsia" w:eastAsiaTheme="minorEastAsia"/>
          <w:color w:val="auto"/>
          <w:kern w:val="0"/>
          <w:sz w:val="24"/>
          <w:lang w:val="zh-CN"/>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pPr>
              <w:pStyle w:val="619"/>
              <w:spacing w:line="360" w:lineRule="auto"/>
              <w:rPr>
                <w:rFonts w:asciiTheme="minorEastAsia" w:hAnsiTheme="minorEastAsia" w:eastAsiaTheme="minorEastAsia"/>
                <w:bCs/>
                <w:color w:val="auto"/>
                <w:sz w:val="24"/>
              </w:rPr>
            </w:pPr>
          </w:p>
        </w:tc>
      </w:tr>
    </w:tbl>
    <w:p>
      <w:pPr>
        <w:snapToGrid w:val="0"/>
        <w:spacing w:line="360" w:lineRule="auto"/>
        <w:ind w:firstLine="576"/>
        <w:jc w:val="right"/>
        <w:rPr>
          <w:rFonts w:cs="仿宋_GB2312" w:asciiTheme="minorEastAsia" w:hAnsiTheme="minorEastAsia" w:eastAsiaTheme="minorEastAsia"/>
          <w:color w:val="auto"/>
          <w:kern w:val="0"/>
          <w:sz w:val="24"/>
          <w:lang w:val="zh-CN"/>
        </w:rPr>
      </w:pPr>
    </w:p>
    <w:p>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pPr>
        <w:snapToGrid w:val="0"/>
        <w:spacing w:line="360" w:lineRule="auto"/>
        <w:ind w:firstLine="576"/>
        <w:jc w:val="center"/>
        <w:rPr>
          <w:rFonts w:cs="仿宋_GB2312" w:asciiTheme="minorEastAsia" w:hAnsiTheme="minorEastAsia" w:eastAsiaTheme="minorEastAsia"/>
          <w:color w:val="auto"/>
          <w:sz w:val="28"/>
          <w:szCs w:val="28"/>
        </w:rPr>
      </w:pP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杭州市第一人民医院2025年度医务人员赴英国研修项目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HSZB-2025-917</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b/>
          <w:color w:val="auto"/>
          <w:sz w:val="30"/>
          <w:szCs w:val="30"/>
        </w:rPr>
      </w:pPr>
    </w:p>
    <w:p>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pPr>
        <w:spacing w:line="360" w:lineRule="auto"/>
        <w:jc w:val="center"/>
        <w:rPr>
          <w:rFonts w:cs="仿宋_GB2312" w:asciiTheme="minorEastAsia" w:hAnsiTheme="minorEastAsia" w:eastAsiaTheme="minorEastAsia"/>
          <w:b/>
          <w:color w:val="auto"/>
          <w:kern w:val="0"/>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color w:val="auto"/>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rPr>
          <w:rFonts w:cs="仿宋_GB2312" w:asciiTheme="minorEastAsia" w:hAnsiTheme="minorEastAsia" w:eastAsiaTheme="minorEastAsia"/>
          <w:b/>
          <w:bCs/>
          <w:color w:val="auto"/>
          <w:kern w:val="0"/>
          <w:sz w:val="24"/>
        </w:rPr>
      </w:pPr>
    </w:p>
    <w:p>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92"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275" w:type="pct"/>
            <w:vAlign w:val="center"/>
          </w:tcPr>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c>
          <w:tcPr>
            <w:tcW w:w="275" w:type="pct"/>
          </w:tcPr>
          <w:p>
            <w:pPr>
              <w:spacing w:line="360" w:lineRule="auto"/>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pPr>
        <w:autoSpaceDE w:val="0"/>
        <w:autoSpaceDN w:val="0"/>
        <w:spacing w:line="360" w:lineRule="auto"/>
        <w:rPr>
          <w:rFonts w:cs="仿宋_GB2312" w:asciiTheme="minorEastAsia" w:hAnsiTheme="minorEastAsia" w:eastAsiaTheme="minorEastAsia"/>
          <w:color w:val="auto"/>
          <w:kern w:val="0"/>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p>
        </w:tc>
      </w:tr>
    </w:tbl>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color w:val="auto"/>
                <w:sz w:val="24"/>
              </w:rPr>
            </w:pPr>
          </w:p>
        </w:tc>
      </w:tr>
    </w:tbl>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jc w:val="center"/>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b/>
          <w:bCs/>
          <w:color w:val="auto"/>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color w:val="auto"/>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color w:val="auto"/>
          <w:kern w:val="0"/>
          <w:sz w:val="24"/>
        </w:rPr>
      </w:pPr>
    </w:p>
    <w:p>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w:t>
      </w:r>
      <w:r>
        <w:rPr>
          <w:rFonts w:hint="eastAsia" w:cs="仿宋_GB2312" w:asciiTheme="minorEastAsia" w:hAnsiTheme="minorEastAsia" w:eastAsiaTheme="minorEastAsia"/>
          <w:b/>
          <w:bCs/>
          <w:color w:val="auto"/>
          <w:sz w:val="32"/>
          <w:szCs w:val="32"/>
          <w:lang w:val="en-US" w:eastAsia="zh-CN"/>
        </w:rPr>
        <w:t>五</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pPr>
        <w:spacing w:line="360" w:lineRule="auto"/>
        <w:rPr>
          <w:rFonts w:cs="仿宋_GB2312" w:asciiTheme="minorEastAsia" w:hAnsiTheme="minorEastAsia" w:eastAsiaTheme="minorEastAsia"/>
          <w:color w:val="auto"/>
          <w:sz w:val="24"/>
        </w:rPr>
      </w:pPr>
    </w:p>
    <w:p>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pPr>
        <w:spacing w:line="360" w:lineRule="auto"/>
        <w:jc w:val="center"/>
        <w:rPr>
          <w:rFonts w:cs="仿宋_GB2312" w:asciiTheme="minorEastAsia" w:hAnsiTheme="minorEastAsia" w:eastAsiaTheme="minorEastAsia"/>
          <w:b/>
          <w:bCs/>
          <w:color w:val="auto"/>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val="en-US" w:eastAsia="zh-CN"/>
        </w:rPr>
        <w:t>六</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kern w:val="0"/>
          <w:sz w:val="24"/>
          <w:lang w:val="zh-CN"/>
        </w:rPr>
        <w:t xml:space="preserve">：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pPr>
        <w:spacing w:line="360" w:lineRule="auto"/>
        <w:jc w:val="center"/>
        <w:rPr>
          <w:rFonts w:cs="仿宋_GB2312" w:asciiTheme="minorEastAsia" w:hAnsiTheme="minorEastAsia" w:eastAsiaTheme="minorEastAsia"/>
          <w:b/>
          <w:color w:val="auto"/>
          <w:sz w:val="36"/>
          <w:szCs w:val="36"/>
        </w:rPr>
      </w:pPr>
    </w:p>
    <w:p>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w:t>
      </w:r>
      <w:r>
        <w:rPr>
          <w:rFonts w:hint="eastAsia" w:cs="仿宋_GB2312" w:asciiTheme="minorEastAsia" w:hAnsiTheme="minorEastAsia" w:eastAsiaTheme="minorEastAsia"/>
          <w:b/>
          <w:color w:val="auto"/>
          <w:kern w:val="0"/>
          <w:sz w:val="24"/>
          <w:lang w:val="en-US" w:eastAsia="zh-CN"/>
        </w:rPr>
        <w:t>1</w:t>
      </w: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185"/>
        <w:gridCol w:w="5531"/>
        <w:gridCol w:w="2280"/>
        <w:gridCol w:w="17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92" w:type="pct"/>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07" w:type="pct"/>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1749" w:type="pct"/>
            <w:vAlign w:val="center"/>
          </w:tcPr>
          <w:p>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投标报价</w:t>
            </w:r>
          </w:p>
        </w:tc>
        <w:tc>
          <w:tcPr>
            <w:tcW w:w="721" w:type="pct"/>
            <w:vAlign w:val="center"/>
          </w:tcPr>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545" w:type="pct"/>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683" w:type="pct"/>
            <w:vAlign w:val="center"/>
          </w:tcPr>
          <w:p>
            <w:pPr>
              <w:spacing w:line="360" w:lineRule="auto"/>
              <w:jc w:val="center"/>
              <w:rPr>
                <w:rFonts w:cs="宋体" w:asciiTheme="minorEastAsia" w:hAnsiTheme="minorEastAsia" w:eastAsiaTheme="minorEastAsia"/>
                <w:b/>
                <w:color w:val="auto"/>
                <w:sz w:val="24"/>
              </w:rPr>
            </w:pPr>
          </w:p>
          <w:p>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w:t>
            </w:r>
          </w:p>
          <w:p>
            <w:pPr>
              <w:spacing w:line="360" w:lineRule="auto"/>
              <w:jc w:val="center"/>
              <w:rPr>
                <w:rFonts w:cs="宋体" w:asciiTheme="minorEastAsia" w:hAnsiTheme="minorEastAsia" w:eastAsia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92" w:type="pct"/>
            <w:vAlign w:val="center"/>
          </w:tcPr>
          <w:p>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07" w:type="pct"/>
            <w:vAlign w:val="center"/>
          </w:tcPr>
          <w:p>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eastAsia="zh-CN"/>
              </w:rPr>
              <w:t>杭州市第一人民医院2025年度医务人员赴英国研修项目</w:t>
            </w:r>
          </w:p>
        </w:tc>
        <w:tc>
          <w:tcPr>
            <w:tcW w:w="1749" w:type="pct"/>
            <w:vAlign w:val="center"/>
          </w:tcPr>
          <w:p>
            <w:pPr>
              <w:spacing w:line="360" w:lineRule="auto"/>
              <w:rPr>
                <w:color w:val="000000"/>
                <w:szCs w:val="21"/>
                <w:highlight w:val="none"/>
              </w:rPr>
            </w:pPr>
            <w:r>
              <w:rPr>
                <w:color w:val="000000"/>
                <w:szCs w:val="21"/>
                <w:highlight w:val="none"/>
              </w:rPr>
              <w:t>小写：</w:t>
            </w:r>
            <w:r>
              <w:rPr>
                <w:color w:val="000000"/>
                <w:szCs w:val="21"/>
                <w:highlight w:val="none"/>
                <w:u w:val="single"/>
              </w:rPr>
              <w:t xml:space="preserve">            </w:t>
            </w:r>
            <w:r>
              <w:rPr>
                <w:rFonts w:hint="eastAsia"/>
                <w:color w:val="000000"/>
                <w:szCs w:val="21"/>
                <w:highlight w:val="none"/>
              </w:rPr>
              <w:t>（含税）</w:t>
            </w:r>
          </w:p>
          <w:p>
            <w:pPr>
              <w:spacing w:line="360" w:lineRule="auto"/>
              <w:rPr>
                <w:color w:val="000000"/>
                <w:szCs w:val="21"/>
                <w:highlight w:val="none"/>
              </w:rPr>
            </w:pPr>
          </w:p>
          <w:p>
            <w:pPr>
              <w:spacing w:line="360" w:lineRule="auto"/>
              <w:jc w:val="left"/>
              <w:rPr>
                <w:rFonts w:hint="default" w:cs="宋体" w:asciiTheme="minorEastAsia" w:hAnsiTheme="minorEastAsia" w:eastAsiaTheme="minorEastAsia"/>
                <w:color w:val="auto"/>
                <w:sz w:val="24"/>
                <w:lang w:val="en-US" w:eastAsia="zh-CN"/>
              </w:rPr>
            </w:pPr>
            <w:r>
              <w:rPr>
                <w:color w:val="000000"/>
                <w:szCs w:val="21"/>
                <w:highlight w:val="none"/>
              </w:rPr>
              <w:t>大写：</w:t>
            </w:r>
            <w:r>
              <w:rPr>
                <w:color w:val="000000"/>
                <w:szCs w:val="21"/>
                <w:highlight w:val="none"/>
                <w:u w:val="single"/>
              </w:rPr>
              <w:t xml:space="preserve">            </w:t>
            </w:r>
            <w:r>
              <w:rPr>
                <w:rFonts w:hint="eastAsia"/>
                <w:color w:val="000000"/>
                <w:szCs w:val="21"/>
                <w:highlight w:val="none"/>
              </w:rPr>
              <w:t>（含税）</w:t>
            </w:r>
            <w:r>
              <w:rPr>
                <w:rFonts w:hint="eastAsia" w:cs="宋体" w:asciiTheme="minorEastAsia" w:hAnsiTheme="minorEastAsia" w:eastAsiaTheme="minorEastAsia"/>
                <w:color w:val="auto"/>
                <w:sz w:val="24"/>
                <w:lang w:val="en-US" w:eastAsia="zh-CN"/>
              </w:rPr>
              <w:t xml:space="preserve">  </w:t>
            </w:r>
          </w:p>
        </w:tc>
        <w:tc>
          <w:tcPr>
            <w:tcW w:w="721" w:type="pct"/>
            <w:vAlign w:val="center"/>
          </w:tcPr>
          <w:p>
            <w:pPr>
              <w:spacing w:line="360" w:lineRule="auto"/>
              <w:jc w:val="center"/>
              <w:rPr>
                <w:rFonts w:cs="宋体" w:asciiTheme="minorEastAsia" w:hAnsiTheme="minorEastAsia" w:eastAsiaTheme="minorEastAsia"/>
                <w:color w:val="auto"/>
                <w:sz w:val="24"/>
              </w:rPr>
            </w:pPr>
          </w:p>
        </w:tc>
        <w:tc>
          <w:tcPr>
            <w:tcW w:w="545" w:type="pct"/>
          </w:tcPr>
          <w:p>
            <w:pPr>
              <w:spacing w:line="360" w:lineRule="auto"/>
              <w:jc w:val="center"/>
              <w:rPr>
                <w:rFonts w:cs="宋体" w:asciiTheme="minorEastAsia" w:hAnsiTheme="minorEastAsia" w:eastAsiaTheme="minorEastAsia"/>
                <w:color w:val="auto"/>
                <w:sz w:val="24"/>
              </w:rPr>
            </w:pPr>
          </w:p>
        </w:tc>
        <w:tc>
          <w:tcPr>
            <w:tcW w:w="683" w:type="pct"/>
            <w:vAlign w:val="center"/>
          </w:tcPr>
          <w:p>
            <w:pPr>
              <w:spacing w:line="360" w:lineRule="auto"/>
              <w:jc w:val="center"/>
              <w:rPr>
                <w:rFonts w:hint="default" w:cs="宋体" w:asciiTheme="minorEastAsia" w:hAnsiTheme="minorEastAsia" w:eastAsiaTheme="minorEastAsia"/>
                <w:color w:val="auto"/>
                <w:sz w:val="24"/>
                <w:lang w:val="en-US" w:eastAsia="zh-CN"/>
              </w:rPr>
            </w:pPr>
          </w:p>
        </w:tc>
      </w:tr>
    </w:tbl>
    <w:p>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pPr>
        <w:spacing w:line="360" w:lineRule="auto"/>
        <w:ind w:firstLine="480" w:firstLineChars="200"/>
        <w:rPr>
          <w:rFonts w:cs="仿宋_GB2312" w:asciiTheme="minorEastAsia" w:hAnsiTheme="minorEastAsia" w:eastAsiaTheme="minorEastAsia"/>
          <w:color w:val="auto"/>
          <w:kern w:val="0"/>
          <w:sz w:val="24"/>
          <w:u w:val="single"/>
          <w:lang w:val="zh-CN"/>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sz w:val="24"/>
        </w:rPr>
      </w:pPr>
    </w:p>
    <w:p>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pPr>
        <w:snapToGrid w:val="0"/>
        <w:spacing w:line="300" w:lineRule="auto"/>
        <w:jc w:val="center"/>
        <w:rPr>
          <w:rFonts w:hint="eastAsia" w:eastAsia="宋体"/>
          <w:b/>
          <w:bCs/>
          <w:color w:val="000000"/>
          <w:sz w:val="32"/>
          <w:szCs w:val="32"/>
          <w:highlight w:val="none"/>
          <w:lang w:eastAsia="zh-CN"/>
        </w:rPr>
      </w:pPr>
      <w:r>
        <w:rPr>
          <w:rFonts w:hint="eastAsia"/>
          <w:b/>
          <w:bCs/>
          <w:color w:val="000000"/>
          <w:sz w:val="32"/>
          <w:szCs w:val="32"/>
          <w:highlight w:val="none"/>
          <w:lang w:eastAsia="zh-CN"/>
        </w:rPr>
        <w:t>（</w:t>
      </w:r>
      <w:r>
        <w:rPr>
          <w:rFonts w:hint="eastAsia"/>
          <w:b/>
          <w:bCs/>
          <w:color w:val="000000"/>
          <w:sz w:val="32"/>
          <w:szCs w:val="32"/>
          <w:highlight w:val="none"/>
          <w:lang w:val="en-US" w:eastAsia="zh-CN"/>
        </w:rPr>
        <w:t>2</w:t>
      </w:r>
      <w:r>
        <w:rPr>
          <w:rFonts w:hint="eastAsia"/>
          <w:b/>
          <w:bCs/>
          <w:color w:val="000000"/>
          <w:sz w:val="32"/>
          <w:szCs w:val="32"/>
          <w:highlight w:val="none"/>
          <w:lang w:eastAsia="zh-CN"/>
        </w:rPr>
        <w:t>）</w:t>
      </w:r>
      <w:r>
        <w:rPr>
          <w:b/>
          <w:bCs/>
          <w:color w:val="000000"/>
          <w:sz w:val="32"/>
          <w:szCs w:val="32"/>
          <w:highlight w:val="none"/>
        </w:rPr>
        <w:t>投标价格组成明细表</w:t>
      </w:r>
      <w:r>
        <w:rPr>
          <w:rFonts w:hint="eastAsia"/>
          <w:b/>
          <w:bCs/>
          <w:color w:val="000000"/>
          <w:sz w:val="32"/>
          <w:szCs w:val="32"/>
          <w:highlight w:val="none"/>
          <w:lang w:eastAsia="zh-CN"/>
        </w:rPr>
        <w:t>（</w:t>
      </w:r>
      <w:r>
        <w:rPr>
          <w:rFonts w:hint="eastAsia"/>
          <w:b/>
          <w:bCs/>
          <w:color w:val="000000"/>
          <w:sz w:val="32"/>
          <w:szCs w:val="32"/>
          <w:highlight w:val="none"/>
          <w:lang w:val="en-US" w:eastAsia="zh-CN"/>
        </w:rPr>
        <w:t>如有</w:t>
      </w:r>
      <w:r>
        <w:rPr>
          <w:rFonts w:hint="eastAsia"/>
          <w:b/>
          <w:bCs/>
          <w:color w:val="000000"/>
          <w:sz w:val="32"/>
          <w:szCs w:val="32"/>
          <w:highlight w:val="none"/>
          <w:lang w:eastAsia="zh-CN"/>
        </w:rPr>
        <w:t>）</w:t>
      </w:r>
    </w:p>
    <w:p>
      <w:pPr>
        <w:snapToGrid w:val="0"/>
        <w:spacing w:line="300" w:lineRule="auto"/>
        <w:rPr>
          <w:color w:val="000000"/>
          <w:highlight w:val="none"/>
          <w:u w:val="single"/>
        </w:rPr>
      </w:pPr>
      <w:r>
        <w:rPr>
          <w:color w:val="000000"/>
          <w:highlight w:val="none"/>
        </w:rPr>
        <w:t>项目名称：</w:t>
      </w:r>
    </w:p>
    <w:p>
      <w:pPr>
        <w:snapToGrid w:val="0"/>
        <w:spacing w:line="300" w:lineRule="auto"/>
        <w:rPr>
          <w:color w:val="000000"/>
          <w:highlight w:val="none"/>
          <w:u w:val="single"/>
        </w:rPr>
      </w:pPr>
      <w:r>
        <w:rPr>
          <w:color w:val="000000"/>
          <w:highlight w:val="none"/>
        </w:rPr>
        <w:t>招标项目编号：</w:t>
      </w:r>
    </w:p>
    <w:p>
      <w:pPr>
        <w:snapToGrid w:val="0"/>
        <w:spacing w:line="300" w:lineRule="auto"/>
        <w:rPr>
          <w:color w:val="000000"/>
          <w:highlight w:val="none"/>
        </w:rPr>
      </w:pPr>
      <w:r>
        <w:rPr>
          <w:color w:val="000000"/>
          <w:highlight w:val="none"/>
        </w:rPr>
        <w:t>标项内容：</w:t>
      </w:r>
    </w:p>
    <w:p>
      <w:pPr>
        <w:snapToGrid w:val="0"/>
        <w:spacing w:line="300" w:lineRule="auto"/>
        <w:rPr>
          <w:color w:val="000000"/>
          <w:highlight w:val="none"/>
        </w:rPr>
      </w:pPr>
      <w:r>
        <w:rPr>
          <w:color w:val="000000"/>
          <w:highlight w:val="none"/>
        </w:rPr>
        <w:t>价格单位：元人民币</w:t>
      </w:r>
    </w:p>
    <w:p>
      <w:pPr>
        <w:pStyle w:val="99"/>
        <w:rPr>
          <w:color w:val="000000"/>
          <w:highlight w:val="none"/>
        </w:rPr>
      </w:pP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720"/>
        <w:gridCol w:w="1014"/>
        <w:gridCol w:w="1146"/>
        <w:gridCol w:w="1440"/>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pPr>
              <w:spacing w:line="360" w:lineRule="auto"/>
              <w:jc w:val="center"/>
              <w:rPr>
                <w:color w:val="000000"/>
                <w:highlight w:val="none"/>
              </w:rPr>
            </w:pPr>
            <w:r>
              <w:rPr>
                <w:color w:val="000000"/>
                <w:highlight w:val="none"/>
              </w:rPr>
              <w:t>服务费名称</w:t>
            </w:r>
          </w:p>
        </w:tc>
        <w:tc>
          <w:tcPr>
            <w:tcW w:w="1842" w:type="dxa"/>
            <w:noWrap w:val="0"/>
            <w:vAlign w:val="center"/>
          </w:tcPr>
          <w:p>
            <w:pPr>
              <w:spacing w:line="360" w:lineRule="auto"/>
              <w:jc w:val="center"/>
              <w:rPr>
                <w:color w:val="000000"/>
                <w:highlight w:val="none"/>
              </w:rPr>
            </w:pPr>
            <w:r>
              <w:rPr>
                <w:color w:val="000000"/>
                <w:highlight w:val="none"/>
              </w:rPr>
              <w:t>内容描述</w:t>
            </w:r>
          </w:p>
        </w:tc>
        <w:tc>
          <w:tcPr>
            <w:tcW w:w="720" w:type="dxa"/>
            <w:noWrap w:val="0"/>
            <w:vAlign w:val="center"/>
          </w:tcPr>
          <w:p>
            <w:pPr>
              <w:spacing w:line="360" w:lineRule="auto"/>
              <w:jc w:val="center"/>
              <w:rPr>
                <w:color w:val="000000"/>
                <w:highlight w:val="none"/>
              </w:rPr>
            </w:pPr>
            <w:r>
              <w:rPr>
                <w:color w:val="000000"/>
                <w:highlight w:val="none"/>
              </w:rPr>
              <w:t>数量</w:t>
            </w:r>
          </w:p>
        </w:tc>
        <w:tc>
          <w:tcPr>
            <w:tcW w:w="1014" w:type="dxa"/>
            <w:noWrap w:val="0"/>
            <w:vAlign w:val="center"/>
          </w:tcPr>
          <w:p>
            <w:pPr>
              <w:spacing w:line="360" w:lineRule="auto"/>
              <w:jc w:val="center"/>
              <w:rPr>
                <w:color w:val="000000"/>
                <w:highlight w:val="none"/>
              </w:rPr>
            </w:pPr>
            <w:r>
              <w:rPr>
                <w:color w:val="000000"/>
                <w:highlight w:val="none"/>
              </w:rPr>
              <w:t>单位</w:t>
            </w:r>
          </w:p>
        </w:tc>
        <w:tc>
          <w:tcPr>
            <w:tcW w:w="1146" w:type="dxa"/>
            <w:noWrap w:val="0"/>
            <w:vAlign w:val="center"/>
          </w:tcPr>
          <w:p>
            <w:pPr>
              <w:spacing w:line="360" w:lineRule="auto"/>
              <w:jc w:val="center"/>
              <w:rPr>
                <w:color w:val="000000"/>
                <w:highlight w:val="none"/>
              </w:rPr>
            </w:pPr>
            <w:r>
              <w:rPr>
                <w:color w:val="000000"/>
                <w:highlight w:val="none"/>
              </w:rPr>
              <w:t>单价</w:t>
            </w:r>
          </w:p>
        </w:tc>
        <w:tc>
          <w:tcPr>
            <w:tcW w:w="1440" w:type="dxa"/>
            <w:noWrap w:val="0"/>
            <w:vAlign w:val="center"/>
          </w:tcPr>
          <w:p>
            <w:pPr>
              <w:spacing w:line="360" w:lineRule="auto"/>
              <w:jc w:val="center"/>
              <w:rPr>
                <w:color w:val="000000"/>
                <w:highlight w:val="none"/>
              </w:rPr>
            </w:pPr>
            <w:r>
              <w:rPr>
                <w:color w:val="000000"/>
                <w:highlight w:val="none"/>
              </w:rPr>
              <w:t>合价</w:t>
            </w:r>
          </w:p>
        </w:tc>
        <w:tc>
          <w:tcPr>
            <w:tcW w:w="1209" w:type="dxa"/>
            <w:noWrap w:val="0"/>
            <w:vAlign w:val="center"/>
          </w:tcPr>
          <w:p>
            <w:pPr>
              <w:spacing w:line="360" w:lineRule="auto"/>
              <w:jc w:val="center"/>
              <w:rPr>
                <w:color w:val="000000"/>
                <w:highlight w:val="none"/>
              </w:rPr>
            </w:pPr>
            <w:r>
              <w:rPr>
                <w:color w:val="00000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pPr>
              <w:spacing w:line="360" w:lineRule="auto"/>
              <w:rPr>
                <w:color w:val="000000"/>
                <w:highlight w:val="none"/>
              </w:rPr>
            </w:pPr>
            <w:r>
              <w:rPr>
                <w:rFonts w:hint="eastAsia"/>
                <w:color w:val="000000"/>
                <w:highlight w:val="none"/>
              </w:rPr>
              <w:t>项目服务费</w:t>
            </w:r>
          </w:p>
        </w:tc>
        <w:tc>
          <w:tcPr>
            <w:tcW w:w="1842" w:type="dxa"/>
            <w:noWrap w:val="0"/>
            <w:vAlign w:val="center"/>
          </w:tcPr>
          <w:p>
            <w:pPr>
              <w:spacing w:line="360" w:lineRule="auto"/>
              <w:rPr>
                <w:color w:val="000000"/>
                <w:highlight w:val="none"/>
              </w:rPr>
            </w:pPr>
          </w:p>
        </w:tc>
        <w:tc>
          <w:tcPr>
            <w:tcW w:w="720" w:type="dxa"/>
            <w:noWrap w:val="0"/>
            <w:vAlign w:val="center"/>
          </w:tcPr>
          <w:p>
            <w:pPr>
              <w:spacing w:line="360" w:lineRule="auto"/>
              <w:rPr>
                <w:color w:val="000000"/>
                <w:highlight w:val="none"/>
              </w:rPr>
            </w:pPr>
          </w:p>
        </w:tc>
        <w:tc>
          <w:tcPr>
            <w:tcW w:w="1014" w:type="dxa"/>
            <w:noWrap w:val="0"/>
            <w:vAlign w:val="center"/>
          </w:tcPr>
          <w:p>
            <w:pPr>
              <w:spacing w:line="360" w:lineRule="auto"/>
              <w:rPr>
                <w:color w:val="000000"/>
                <w:highlight w:val="none"/>
              </w:rPr>
            </w:pPr>
          </w:p>
        </w:tc>
        <w:tc>
          <w:tcPr>
            <w:tcW w:w="1146" w:type="dxa"/>
            <w:noWrap w:val="0"/>
            <w:vAlign w:val="center"/>
          </w:tcPr>
          <w:p>
            <w:pPr>
              <w:spacing w:line="360" w:lineRule="auto"/>
              <w:rPr>
                <w:color w:val="000000"/>
                <w:highlight w:val="none"/>
              </w:rPr>
            </w:pP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pPr>
              <w:spacing w:line="360" w:lineRule="auto"/>
              <w:rPr>
                <w:color w:val="000000"/>
                <w:highlight w:val="none"/>
              </w:rPr>
            </w:pPr>
            <w:r>
              <w:rPr>
                <w:rFonts w:hint="eastAsia"/>
                <w:color w:val="000000"/>
                <w:highlight w:val="none"/>
              </w:rPr>
              <w:t>境外机构管理费</w:t>
            </w:r>
          </w:p>
        </w:tc>
        <w:tc>
          <w:tcPr>
            <w:tcW w:w="1842" w:type="dxa"/>
            <w:noWrap w:val="0"/>
            <w:vAlign w:val="center"/>
          </w:tcPr>
          <w:p>
            <w:pPr>
              <w:spacing w:line="360" w:lineRule="auto"/>
              <w:rPr>
                <w:color w:val="000000"/>
                <w:highlight w:val="none"/>
              </w:rPr>
            </w:pPr>
          </w:p>
        </w:tc>
        <w:tc>
          <w:tcPr>
            <w:tcW w:w="720" w:type="dxa"/>
            <w:noWrap w:val="0"/>
            <w:vAlign w:val="center"/>
          </w:tcPr>
          <w:p>
            <w:pPr>
              <w:spacing w:line="360" w:lineRule="auto"/>
              <w:rPr>
                <w:color w:val="000000"/>
                <w:highlight w:val="none"/>
              </w:rPr>
            </w:pPr>
          </w:p>
        </w:tc>
        <w:tc>
          <w:tcPr>
            <w:tcW w:w="1014" w:type="dxa"/>
            <w:noWrap w:val="0"/>
            <w:vAlign w:val="center"/>
          </w:tcPr>
          <w:p>
            <w:pPr>
              <w:spacing w:line="360" w:lineRule="auto"/>
              <w:rPr>
                <w:color w:val="000000"/>
                <w:highlight w:val="none"/>
              </w:rPr>
            </w:pPr>
          </w:p>
        </w:tc>
        <w:tc>
          <w:tcPr>
            <w:tcW w:w="1146" w:type="dxa"/>
            <w:noWrap w:val="0"/>
            <w:vAlign w:val="center"/>
          </w:tcPr>
          <w:p>
            <w:pPr>
              <w:spacing w:line="360" w:lineRule="auto"/>
              <w:rPr>
                <w:color w:val="000000"/>
                <w:highlight w:val="none"/>
              </w:rPr>
            </w:pP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pPr>
              <w:spacing w:line="360" w:lineRule="auto"/>
              <w:rPr>
                <w:color w:val="000000"/>
                <w:highlight w:val="none"/>
              </w:rPr>
            </w:pPr>
            <w:r>
              <w:rPr>
                <w:rFonts w:hint="eastAsia"/>
                <w:color w:val="000000"/>
                <w:highlight w:val="none"/>
                <w:lang w:eastAsia="zh-CN"/>
              </w:rPr>
              <w:t>（</w:t>
            </w:r>
            <w:r>
              <w:rPr>
                <w:rFonts w:hint="eastAsia"/>
                <w:color w:val="000000"/>
                <w:highlight w:val="none"/>
                <w:lang w:val="en-US" w:eastAsia="zh-CN"/>
              </w:rPr>
              <w:t>其他</w:t>
            </w:r>
            <w:r>
              <w:rPr>
                <w:rFonts w:hint="eastAsia"/>
                <w:color w:val="000000"/>
                <w:highlight w:val="none"/>
                <w:lang w:eastAsia="zh-CN"/>
              </w:rPr>
              <w:t>）</w:t>
            </w:r>
            <w:r>
              <w:rPr>
                <w:rFonts w:hint="eastAsia"/>
                <w:color w:val="000000"/>
                <w:highlight w:val="none"/>
              </w:rPr>
              <w:t>......</w:t>
            </w:r>
          </w:p>
        </w:tc>
        <w:tc>
          <w:tcPr>
            <w:tcW w:w="1842" w:type="dxa"/>
            <w:noWrap w:val="0"/>
            <w:vAlign w:val="center"/>
          </w:tcPr>
          <w:p>
            <w:pPr>
              <w:spacing w:line="360" w:lineRule="auto"/>
              <w:rPr>
                <w:color w:val="000000"/>
                <w:highlight w:val="none"/>
              </w:rPr>
            </w:pPr>
          </w:p>
        </w:tc>
        <w:tc>
          <w:tcPr>
            <w:tcW w:w="720" w:type="dxa"/>
            <w:noWrap w:val="0"/>
            <w:vAlign w:val="center"/>
          </w:tcPr>
          <w:p>
            <w:pPr>
              <w:spacing w:line="360" w:lineRule="auto"/>
              <w:rPr>
                <w:color w:val="000000"/>
                <w:highlight w:val="none"/>
              </w:rPr>
            </w:pPr>
          </w:p>
        </w:tc>
        <w:tc>
          <w:tcPr>
            <w:tcW w:w="1014" w:type="dxa"/>
            <w:noWrap w:val="0"/>
            <w:vAlign w:val="center"/>
          </w:tcPr>
          <w:p>
            <w:pPr>
              <w:spacing w:line="360" w:lineRule="auto"/>
              <w:rPr>
                <w:color w:val="000000"/>
                <w:highlight w:val="none"/>
              </w:rPr>
            </w:pPr>
          </w:p>
        </w:tc>
        <w:tc>
          <w:tcPr>
            <w:tcW w:w="1146" w:type="dxa"/>
            <w:noWrap w:val="0"/>
            <w:vAlign w:val="center"/>
          </w:tcPr>
          <w:p>
            <w:pPr>
              <w:spacing w:line="360" w:lineRule="auto"/>
              <w:rPr>
                <w:color w:val="000000"/>
                <w:highlight w:val="none"/>
              </w:rPr>
            </w:pP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pPr>
              <w:spacing w:line="360" w:lineRule="auto"/>
              <w:rPr>
                <w:color w:val="000000"/>
                <w:highlight w:val="none"/>
              </w:rPr>
            </w:pPr>
          </w:p>
        </w:tc>
        <w:tc>
          <w:tcPr>
            <w:tcW w:w="1842" w:type="dxa"/>
            <w:noWrap w:val="0"/>
            <w:vAlign w:val="center"/>
          </w:tcPr>
          <w:p>
            <w:pPr>
              <w:spacing w:line="360" w:lineRule="auto"/>
              <w:rPr>
                <w:color w:val="000000"/>
                <w:highlight w:val="none"/>
              </w:rPr>
            </w:pPr>
          </w:p>
        </w:tc>
        <w:tc>
          <w:tcPr>
            <w:tcW w:w="720" w:type="dxa"/>
            <w:noWrap w:val="0"/>
            <w:vAlign w:val="center"/>
          </w:tcPr>
          <w:p>
            <w:pPr>
              <w:spacing w:line="360" w:lineRule="auto"/>
              <w:rPr>
                <w:color w:val="000000"/>
                <w:highlight w:val="none"/>
              </w:rPr>
            </w:pPr>
          </w:p>
        </w:tc>
        <w:tc>
          <w:tcPr>
            <w:tcW w:w="1014" w:type="dxa"/>
            <w:noWrap w:val="0"/>
            <w:vAlign w:val="center"/>
          </w:tcPr>
          <w:p>
            <w:pPr>
              <w:spacing w:line="360" w:lineRule="auto"/>
              <w:rPr>
                <w:color w:val="000000"/>
                <w:highlight w:val="none"/>
              </w:rPr>
            </w:pPr>
          </w:p>
        </w:tc>
        <w:tc>
          <w:tcPr>
            <w:tcW w:w="1146" w:type="dxa"/>
            <w:noWrap w:val="0"/>
            <w:vAlign w:val="center"/>
          </w:tcPr>
          <w:p>
            <w:pPr>
              <w:spacing w:line="360" w:lineRule="auto"/>
              <w:rPr>
                <w:color w:val="000000"/>
                <w:highlight w:val="none"/>
              </w:rPr>
            </w:pP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pPr>
              <w:spacing w:line="360" w:lineRule="auto"/>
              <w:rPr>
                <w:color w:val="000000"/>
                <w:highlight w:val="none"/>
              </w:rPr>
            </w:pPr>
            <w:r>
              <w:rPr>
                <w:color w:val="000000"/>
                <w:highlight w:val="none"/>
              </w:rPr>
              <w:t>利润</w:t>
            </w: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pPr>
              <w:spacing w:line="360" w:lineRule="auto"/>
              <w:rPr>
                <w:color w:val="000000"/>
                <w:highlight w:val="none"/>
              </w:rPr>
            </w:pPr>
            <w:r>
              <w:rPr>
                <w:color w:val="000000"/>
                <w:highlight w:val="none"/>
              </w:rPr>
              <w:t>税金</w:t>
            </w: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pPr>
              <w:spacing w:line="360" w:lineRule="auto"/>
              <w:rPr>
                <w:color w:val="000000"/>
                <w:highlight w:val="none"/>
              </w:rPr>
            </w:pPr>
            <w:r>
              <w:rPr>
                <w:rFonts w:hint="eastAsia"/>
                <w:color w:val="000000"/>
                <w:highlight w:val="none"/>
              </w:rPr>
              <w:t>投标报价</w:t>
            </w:r>
          </w:p>
        </w:tc>
        <w:tc>
          <w:tcPr>
            <w:tcW w:w="1440" w:type="dxa"/>
            <w:noWrap w:val="0"/>
            <w:vAlign w:val="top"/>
          </w:tcPr>
          <w:p>
            <w:pPr>
              <w:spacing w:line="360" w:lineRule="auto"/>
              <w:rPr>
                <w:color w:val="000000"/>
                <w:highlight w:val="none"/>
              </w:rPr>
            </w:pPr>
          </w:p>
        </w:tc>
        <w:tc>
          <w:tcPr>
            <w:tcW w:w="1209" w:type="dxa"/>
            <w:noWrap w:val="0"/>
            <w:vAlign w:val="center"/>
          </w:tcPr>
          <w:p>
            <w:pPr>
              <w:spacing w:line="360" w:lineRule="auto"/>
              <w:rPr>
                <w:color w:val="000000"/>
                <w:highlight w:val="none"/>
              </w:rPr>
            </w:pPr>
          </w:p>
        </w:tc>
      </w:tr>
    </w:tbl>
    <w:p>
      <w:pP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pPr>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6" w:name="_Toc465665161"/>
      <w:r>
        <w:rPr>
          <w:rFonts w:hint="eastAsia" w:asciiTheme="minorEastAsia" w:hAnsiTheme="minorEastAsia" w:eastAsiaTheme="minorEastAsia"/>
          <w:b/>
          <w:color w:val="auto"/>
          <w:sz w:val="32"/>
          <w:szCs w:val="32"/>
        </w:rPr>
        <w:t>（如果有）</w:t>
      </w:r>
    </w:p>
    <w:p>
      <w:pPr>
        <w:widowControl/>
        <w:spacing w:line="360" w:lineRule="auto"/>
        <w:ind w:firstLine="120" w:firstLineChars="50"/>
        <w:jc w:val="left"/>
        <w:rPr>
          <w:rFonts w:cs="宋体" w:asciiTheme="minorEastAsia" w:hAnsiTheme="minorEastAsia" w:eastAsiaTheme="minorEastAsia"/>
          <w:b/>
          <w:color w:val="auto"/>
          <w:sz w:val="24"/>
        </w:rPr>
      </w:pPr>
    </w:p>
    <w:p>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pPr>
        <w:widowControl/>
        <w:adjustRightInd/>
        <w:jc w:val="center"/>
        <w:rPr>
          <w:rFonts w:cs="仿宋_GB2312" w:asciiTheme="minorEastAsia" w:hAnsiTheme="minorEastAsia" w:eastAsiaTheme="minorEastAsia"/>
          <w:color w:val="auto"/>
          <w:sz w:val="24"/>
        </w:rPr>
      </w:pPr>
    </w:p>
    <w:p>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6"/>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仿宋_GB2312" w:asciiTheme="minorEastAsia" w:hAnsiTheme="minorEastAsia" w:eastAsiaTheme="minorEastAsia"/>
          <w:color w:val="auto"/>
          <w:sz w:val="30"/>
          <w:szCs w:val="30"/>
        </w:rPr>
      </w:pPr>
    </w:p>
    <w:p>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pPr>
        <w:spacing w:line="360" w:lineRule="auto"/>
        <w:jc w:val="center"/>
        <w:rPr>
          <w:rFonts w:cs="仿宋_GB2312" w:asciiTheme="minorEastAsia" w:hAnsiTheme="minorEastAsia" w:eastAsiaTheme="minorEastAsia"/>
          <w:b/>
          <w:color w:val="auto"/>
          <w:sz w:val="24"/>
        </w:rPr>
      </w:pPr>
    </w:p>
    <w:p>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p>
    <w:p>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pPr>
        <w:spacing w:line="360" w:lineRule="auto"/>
        <w:rPr>
          <w:rFonts w:asciiTheme="minorEastAsia" w:hAnsiTheme="minorEastAsia" w:eastAsiaTheme="minorEastAsia"/>
          <w:b/>
          <w:color w:val="auto"/>
          <w:spacing w:val="6"/>
          <w:sz w:val="32"/>
          <w:szCs w:val="32"/>
        </w:rPr>
      </w:pPr>
    </w:p>
    <w:p>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pPr>
        <w:spacing w:line="360" w:lineRule="auto"/>
        <w:rPr>
          <w:rFonts w:asciiTheme="minorEastAsia" w:hAnsiTheme="minorEastAsia" w:eastAsiaTheme="minorEastAsia"/>
          <w:b/>
          <w:color w:val="auto"/>
          <w:spacing w:val="6"/>
          <w:sz w:val="30"/>
          <w:szCs w:val="30"/>
        </w:rPr>
      </w:pP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杭州市第一人民医院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杭州市第一人民医院2025年度医务人员赴英国研修项目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color w:val="auto"/>
          <w:sz w:val="24"/>
        </w:rPr>
      </w:pPr>
    </w:p>
    <w:p>
      <w:pPr>
        <w:spacing w:line="360" w:lineRule="auto"/>
        <w:ind w:firstLine="480" w:firstLineChars="200"/>
        <w:rPr>
          <w:rFonts w:cs="仿宋_GB2312" w:asciiTheme="minorEastAsia" w:hAnsiTheme="minorEastAsia" w:eastAsiaTheme="minorEastAsia"/>
          <w:color w:val="auto"/>
          <w:sz w:val="24"/>
        </w:rPr>
      </w:pP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pPr>
        <w:spacing w:line="360" w:lineRule="auto"/>
        <w:ind w:firstLine="480" w:firstLineChars="200"/>
        <w:rPr>
          <w:rFonts w:cs="仿宋_GB2312" w:asciiTheme="minorEastAsia" w:hAnsiTheme="minorEastAsia" w:eastAsiaTheme="minorEastAsia"/>
          <w:color w:val="auto"/>
          <w:sz w:val="24"/>
        </w:rPr>
      </w:pPr>
    </w:p>
    <w:p>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pPr>
        <w:spacing w:line="360" w:lineRule="auto"/>
        <w:jc w:val="left"/>
        <w:rPr>
          <w:rFonts w:cs="仿宋_GB2312" w:asciiTheme="minorEastAsia" w:hAnsiTheme="minorEastAsia" w:eastAsiaTheme="minorEastAsia"/>
          <w:b/>
          <w:color w:val="auto"/>
          <w:sz w:val="24"/>
        </w:rPr>
      </w:pPr>
    </w:p>
    <w:p>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pPr>
        <w:autoSpaceDE w:val="0"/>
        <w:autoSpaceDN w:val="0"/>
        <w:jc w:val="center"/>
        <w:rPr>
          <w:rFonts w:asciiTheme="minorEastAsia" w:hAnsiTheme="minorEastAsia" w:eastAsiaTheme="minorEastAsia"/>
          <w:b/>
          <w:bCs/>
          <w:color w:val="auto"/>
          <w:sz w:val="32"/>
          <w:szCs w:val="32"/>
        </w:rPr>
      </w:pPr>
    </w:p>
    <w:p>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firstLine="494"/>
        <w:rPr>
          <w:rFonts w:cs="宋体" w:asciiTheme="minorEastAsia" w:hAnsiTheme="minorEastAsia" w:eastAsiaTheme="minorEastAsia"/>
          <w:color w:val="auto"/>
          <w:sz w:val="24"/>
        </w:rPr>
      </w:pP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pPr>
        <w:widowControl/>
        <w:spacing w:line="360" w:lineRule="auto"/>
        <w:ind w:firstLine="480" w:firstLineChars="200"/>
        <w:jc w:val="left"/>
        <w:rPr>
          <w:rFonts w:cs="宋体" w:asciiTheme="minorEastAsia" w:hAnsiTheme="minorEastAsia" w:eastAsiaTheme="minorEastAsia"/>
          <w:color w:val="auto"/>
          <w:kern w:val="0"/>
          <w:sz w:val="24"/>
        </w:rPr>
      </w:pPr>
    </w:p>
    <w:p>
      <w:pPr>
        <w:snapToGrid w:val="0"/>
        <w:spacing w:line="360" w:lineRule="auto"/>
        <w:jc w:val="center"/>
        <w:rPr>
          <w:rFonts w:cs="仿宋_GB2312" w:asciiTheme="minorEastAsia" w:hAnsiTheme="minorEastAsia" w:eastAsiaTheme="minorEastAsia"/>
          <w:b/>
          <w:color w:val="auto"/>
          <w:sz w:val="24"/>
        </w:rPr>
      </w:pPr>
    </w:p>
    <w:p>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pPr>
        <w:spacing w:line="360" w:lineRule="auto"/>
        <w:jc w:val="center"/>
        <w:rPr>
          <w:rFonts w:cs="宋体" w:asciiTheme="minorEastAsia" w:hAnsiTheme="minorEastAsia" w:eastAsiaTheme="minorEastAsia"/>
          <w:b/>
          <w:color w:val="auto"/>
          <w:sz w:val="32"/>
          <w:szCs w:val="32"/>
        </w:rPr>
      </w:pPr>
    </w:p>
    <w:p>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pPr>
        <w:spacing w:line="360" w:lineRule="auto"/>
        <w:jc w:val="center"/>
        <w:rPr>
          <w:rFonts w:cs="宋体" w:asciiTheme="minorEastAsia" w:hAnsiTheme="minorEastAsia" w:eastAsiaTheme="minorEastAsia"/>
          <w:b/>
          <w:color w:val="auto"/>
          <w:sz w:val="32"/>
          <w:szCs w:val="32"/>
        </w:rPr>
      </w:pPr>
    </w:p>
    <w:p>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杭州市第一人民医院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杭州市第一人民医院2025年度医务人员赴英国研修项目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164085800"/>
    <w:bookmarkStart w:id="178" w:name="_Toc91899912"/>
    <w:bookmarkStart w:id="179" w:name="_Toc131845147"/>
    <w:bookmarkStart w:id="180" w:name="_Toc36110187"/>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杭州市第一人民医院竞争性磋商文件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lang w:eastAsia="zh-CN"/>
      </w:rPr>
      <w:t>杭州市第一人民医院</w:t>
    </w:r>
    <w:r>
      <w:rPr>
        <w:rFonts w:hint="eastAsia" w:eastAsia="仿宋_GB2312"/>
        <w:i/>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仿宋_GB2312"/>
        <w:lang w:eastAsia="zh-CN"/>
      </w:rPr>
    </w:pPr>
    <w:r>
      <w:rPr>
        <w:rFonts w:hint="eastAsia" w:eastAsia="仿宋_GB2312"/>
        <w:i/>
        <w:iCs/>
        <w:lang w:eastAsia="zh-CN"/>
      </w:rPr>
      <w:t>杭州市第一人民医院竞争性磋商文件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hint="eastAsia" w:eastAsia="仿宋_GB2312"/>
        <w:lang w:eastAsia="zh-CN"/>
      </w:rPr>
    </w:pPr>
    <w:r>
      <w:rPr>
        <w:rFonts w:hint="eastAsia" w:eastAsia="仿宋_GB2312"/>
        <w:i/>
        <w:iCs/>
        <w:lang w:eastAsia="zh-CN"/>
      </w:rPr>
      <w:t>杭州市第一人民医院竞争性磋商文件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C7A9A85"/>
    <w:multiLevelType w:val="singleLevel"/>
    <w:tmpl w:val="1C7A9A85"/>
    <w:lvl w:ilvl="0" w:tentative="0">
      <w:start w:val="3"/>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300"/>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C91AD3"/>
    <w:rsid w:val="02CB569C"/>
    <w:rsid w:val="02DA0C0E"/>
    <w:rsid w:val="03912F41"/>
    <w:rsid w:val="03DD35E4"/>
    <w:rsid w:val="064A1765"/>
    <w:rsid w:val="065A6178"/>
    <w:rsid w:val="072B00F8"/>
    <w:rsid w:val="074E5106"/>
    <w:rsid w:val="075562B7"/>
    <w:rsid w:val="079031B9"/>
    <w:rsid w:val="07F6164B"/>
    <w:rsid w:val="087A1B7A"/>
    <w:rsid w:val="093D1475"/>
    <w:rsid w:val="096B2097"/>
    <w:rsid w:val="0A5B7E63"/>
    <w:rsid w:val="0ACD4199"/>
    <w:rsid w:val="0C87121B"/>
    <w:rsid w:val="0DF702FE"/>
    <w:rsid w:val="0E3F698B"/>
    <w:rsid w:val="0F21508F"/>
    <w:rsid w:val="0F816ACD"/>
    <w:rsid w:val="0FB06C6A"/>
    <w:rsid w:val="0FB94501"/>
    <w:rsid w:val="10B047CF"/>
    <w:rsid w:val="10FC16EA"/>
    <w:rsid w:val="115728E4"/>
    <w:rsid w:val="118963A1"/>
    <w:rsid w:val="125F420A"/>
    <w:rsid w:val="127723A9"/>
    <w:rsid w:val="13072A44"/>
    <w:rsid w:val="132F6A72"/>
    <w:rsid w:val="145044FA"/>
    <w:rsid w:val="179D1A5D"/>
    <w:rsid w:val="186742B0"/>
    <w:rsid w:val="18BC4164"/>
    <w:rsid w:val="1B0E2C78"/>
    <w:rsid w:val="1B2A271F"/>
    <w:rsid w:val="1B890139"/>
    <w:rsid w:val="1D266CE1"/>
    <w:rsid w:val="1D3963AF"/>
    <w:rsid w:val="1E714A66"/>
    <w:rsid w:val="1FE868A9"/>
    <w:rsid w:val="211E26D6"/>
    <w:rsid w:val="21283D08"/>
    <w:rsid w:val="2335523F"/>
    <w:rsid w:val="24236BDA"/>
    <w:rsid w:val="25B440B3"/>
    <w:rsid w:val="265873BF"/>
    <w:rsid w:val="27B150B0"/>
    <w:rsid w:val="2AA1365A"/>
    <w:rsid w:val="2DC46415"/>
    <w:rsid w:val="2DD15014"/>
    <w:rsid w:val="2EB33F54"/>
    <w:rsid w:val="2FB44A0F"/>
    <w:rsid w:val="2FD25781"/>
    <w:rsid w:val="30EB0500"/>
    <w:rsid w:val="319C6071"/>
    <w:rsid w:val="31A905EB"/>
    <w:rsid w:val="322E1CFE"/>
    <w:rsid w:val="32DB72BE"/>
    <w:rsid w:val="342E63AB"/>
    <w:rsid w:val="345D260B"/>
    <w:rsid w:val="365302AE"/>
    <w:rsid w:val="371D3960"/>
    <w:rsid w:val="37F142D2"/>
    <w:rsid w:val="38E56968"/>
    <w:rsid w:val="39A13F14"/>
    <w:rsid w:val="3B6A5AD3"/>
    <w:rsid w:val="3B79C5FC"/>
    <w:rsid w:val="3C5F759A"/>
    <w:rsid w:val="3D5C78D4"/>
    <w:rsid w:val="3FFF72A6"/>
    <w:rsid w:val="42103979"/>
    <w:rsid w:val="42221657"/>
    <w:rsid w:val="42E1381E"/>
    <w:rsid w:val="43FB717C"/>
    <w:rsid w:val="451E447A"/>
    <w:rsid w:val="45345B76"/>
    <w:rsid w:val="45B44352"/>
    <w:rsid w:val="47307808"/>
    <w:rsid w:val="47855EE6"/>
    <w:rsid w:val="486F747C"/>
    <w:rsid w:val="4AC62A0B"/>
    <w:rsid w:val="4D671BE9"/>
    <w:rsid w:val="4D861CF6"/>
    <w:rsid w:val="4E205F85"/>
    <w:rsid w:val="4E4D5946"/>
    <w:rsid w:val="51A0432A"/>
    <w:rsid w:val="5268443A"/>
    <w:rsid w:val="527140E5"/>
    <w:rsid w:val="5292508F"/>
    <w:rsid w:val="52A96B6F"/>
    <w:rsid w:val="538F5633"/>
    <w:rsid w:val="545735C7"/>
    <w:rsid w:val="550764A4"/>
    <w:rsid w:val="551926E0"/>
    <w:rsid w:val="553D0290"/>
    <w:rsid w:val="554F625A"/>
    <w:rsid w:val="561279B9"/>
    <w:rsid w:val="56515F3B"/>
    <w:rsid w:val="5676E2BD"/>
    <w:rsid w:val="572B71CA"/>
    <w:rsid w:val="57E958DA"/>
    <w:rsid w:val="588E3757"/>
    <w:rsid w:val="58AE4F0C"/>
    <w:rsid w:val="5A2A7C7B"/>
    <w:rsid w:val="5AA40352"/>
    <w:rsid w:val="5BE02A4F"/>
    <w:rsid w:val="5C80234E"/>
    <w:rsid w:val="5CA32EE6"/>
    <w:rsid w:val="5E261785"/>
    <w:rsid w:val="5EB97218"/>
    <w:rsid w:val="5FCC5339"/>
    <w:rsid w:val="5FE70807"/>
    <w:rsid w:val="607F75CE"/>
    <w:rsid w:val="60A30D33"/>
    <w:rsid w:val="60E53485"/>
    <w:rsid w:val="61054A27"/>
    <w:rsid w:val="611D2366"/>
    <w:rsid w:val="612A3574"/>
    <w:rsid w:val="62885958"/>
    <w:rsid w:val="62D8695C"/>
    <w:rsid w:val="63151451"/>
    <w:rsid w:val="64CE2EAA"/>
    <w:rsid w:val="662E75B1"/>
    <w:rsid w:val="66342C2E"/>
    <w:rsid w:val="663E784C"/>
    <w:rsid w:val="685867EC"/>
    <w:rsid w:val="6AAF3E65"/>
    <w:rsid w:val="6E26203D"/>
    <w:rsid w:val="6E8E12EF"/>
    <w:rsid w:val="71463740"/>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544"/>
    <w:qFormat/>
    <w:uiPriority w:val="0"/>
    <w:pPr>
      <w:ind w:firstLine="420"/>
    </w:pPr>
    <w:rPr>
      <w:szCs w:val="20"/>
    </w:rPr>
  </w:style>
  <w:style w:type="paragraph" w:styleId="59">
    <w:name w:val="Body Text First Indent 2"/>
    <w:basedOn w:val="23"/>
    <w:next w:val="55"/>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5493</Words>
  <Characters>6063</Characters>
  <Lines>379</Lines>
  <Paragraphs>106</Paragraphs>
  <TotalTime>73</TotalTime>
  <ScaleCrop>false</ScaleCrop>
  <LinksUpToDate>false</LinksUpToDate>
  <CharactersWithSpaces>6373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小桃儿</cp:lastModifiedBy>
  <cp:lastPrinted>2021-10-23T18:37:00Z</cp:lastPrinted>
  <dcterms:modified xsi:type="dcterms:W3CDTF">2025-07-11T07:56:10Z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C9F17F67EA204320B02B9325F3746AB0_13</vt:lpwstr>
  </property>
  <property fmtid="{D5CDD505-2E9C-101B-9397-08002B2CF9AE}" pid="4" name="KSOTemplateDocerSaveRecord">
    <vt:lpwstr>eyJoZGlkIjoiYTc1MzdiYjNlNGFjZGNhMTNhNzRmYTRmODY5N2U0ODUiLCJ1c2VySWQiOiI2OTczODQyNDMifQ==</vt:lpwstr>
  </property>
</Properties>
</file>