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D0168">
      <w:pPr>
        <w:spacing w:line="360" w:lineRule="auto"/>
        <w:ind w:left="780" w:hanging="360"/>
        <w:jc w:val="center"/>
        <w:rPr>
          <w:rFonts w:ascii="宋体" w:hAnsi="宋体" w:cs="宋体"/>
          <w:sz w:val="36"/>
          <w:szCs w:val="36"/>
        </w:rPr>
      </w:pPr>
    </w:p>
    <w:p w14:paraId="12762F12">
      <w:pPr>
        <w:spacing w:line="360" w:lineRule="auto"/>
        <w:ind w:left="780" w:hanging="360"/>
        <w:jc w:val="center"/>
        <w:rPr>
          <w:rFonts w:ascii="宋体" w:hAnsi="宋体" w:cs="宋体"/>
          <w:sz w:val="36"/>
          <w:szCs w:val="36"/>
        </w:rPr>
      </w:pPr>
    </w:p>
    <w:p w14:paraId="75EE8393">
      <w:pPr>
        <w:spacing w:line="800" w:lineRule="exact"/>
        <w:ind w:left="942" w:hanging="522"/>
        <w:jc w:val="center"/>
        <w:rPr>
          <w:rFonts w:hint="eastAsia" w:ascii="黑体" w:hAnsi="黑体" w:eastAsia="黑体" w:cs="黑体"/>
          <w:b/>
          <w:spacing w:val="-10"/>
          <w:sz w:val="44"/>
          <w:szCs w:val="44"/>
        </w:rPr>
      </w:pPr>
      <w:r>
        <w:rPr>
          <w:rFonts w:hint="eastAsia" w:ascii="黑体" w:hAnsi="黑体" w:eastAsia="黑体" w:cs="黑体"/>
          <w:b/>
          <w:sz w:val="52"/>
          <w:szCs w:val="52"/>
        </w:rPr>
        <w:t xml:space="preserve"> </w:t>
      </w:r>
      <w:r>
        <w:rPr>
          <w:rFonts w:hint="eastAsia" w:ascii="黑体" w:hAnsi="黑体" w:eastAsia="黑体" w:cs="黑体"/>
          <w:b/>
          <w:sz w:val="44"/>
          <w:szCs w:val="44"/>
          <w:u w:val="single"/>
        </w:rPr>
        <w:t>舟山市定海区公路照明能源托管项目</w:t>
      </w:r>
    </w:p>
    <w:p w14:paraId="041FA9D9">
      <w:pPr>
        <w:spacing w:line="360" w:lineRule="auto"/>
        <w:ind w:left="781" w:hanging="361"/>
        <w:jc w:val="center"/>
        <w:rPr>
          <w:rFonts w:ascii="宋体" w:hAnsi="宋体" w:cs="宋体"/>
          <w:b/>
          <w:sz w:val="36"/>
          <w:szCs w:val="36"/>
          <w:u w:val="single"/>
        </w:rPr>
      </w:pPr>
    </w:p>
    <w:p w14:paraId="798D02C8">
      <w:pPr>
        <w:spacing w:line="360" w:lineRule="auto"/>
        <w:ind w:left="1140" w:hanging="720"/>
        <w:jc w:val="center"/>
        <w:rPr>
          <w:rFonts w:ascii="宋体" w:hAnsi="宋体" w:cs="宋体"/>
          <w:sz w:val="72"/>
          <w:szCs w:val="72"/>
        </w:rPr>
      </w:pPr>
    </w:p>
    <w:p w14:paraId="257B1BC9">
      <w:pPr>
        <w:spacing w:line="360" w:lineRule="auto"/>
        <w:ind w:left="1263" w:hanging="843"/>
        <w:jc w:val="center"/>
        <w:rPr>
          <w:rFonts w:ascii="黑体" w:hAnsi="黑体" w:eastAsia="黑体" w:cs="黑体"/>
          <w:b/>
          <w:color w:val="000000"/>
          <w:sz w:val="44"/>
          <w:szCs w:val="44"/>
        </w:rPr>
      </w:pPr>
      <w:r>
        <w:rPr>
          <w:rFonts w:hint="eastAsia" w:ascii="黑体" w:hAnsi="黑体" w:eastAsia="黑体" w:cs="黑体"/>
          <w:b/>
          <w:bCs/>
          <w:color w:val="000000"/>
          <w:sz w:val="84"/>
          <w:szCs w:val="84"/>
        </w:rPr>
        <w:t>公开招标文件</w:t>
      </w:r>
    </w:p>
    <w:p w14:paraId="380B178D">
      <w:pPr>
        <w:snapToGrid w:val="0"/>
        <w:spacing w:line="360" w:lineRule="auto"/>
        <w:ind w:left="720" w:hanging="300"/>
        <w:jc w:val="center"/>
        <w:rPr>
          <w:rFonts w:ascii="黑体" w:hAnsi="黑体" w:eastAsia="黑体" w:cs="黑体"/>
          <w:color w:val="000000"/>
          <w:sz w:val="30"/>
          <w:szCs w:val="30"/>
        </w:rPr>
      </w:pPr>
      <w:r>
        <w:rPr>
          <w:rFonts w:hint="eastAsia" w:ascii="黑体" w:hAnsi="黑体" w:eastAsia="黑体" w:cs="黑体"/>
          <w:color w:val="000000"/>
          <w:sz w:val="30"/>
          <w:szCs w:val="30"/>
        </w:rPr>
        <w:t>项目编号：ZJCT2025-</w:t>
      </w:r>
      <w:r>
        <w:rPr>
          <w:rFonts w:hint="eastAsia" w:ascii="黑体" w:hAnsi="黑体" w:eastAsia="黑体" w:cs="黑体"/>
          <w:color w:val="000000"/>
          <w:sz w:val="30"/>
          <w:szCs w:val="30"/>
          <w:lang w:val="en-US" w:eastAsia="zh-CN"/>
        </w:rPr>
        <w:t>C</w:t>
      </w:r>
      <w:r>
        <w:rPr>
          <w:rFonts w:hint="eastAsia" w:ascii="黑体" w:hAnsi="黑体" w:eastAsia="黑体" w:cs="黑体"/>
          <w:color w:val="000000"/>
          <w:sz w:val="30"/>
          <w:szCs w:val="30"/>
        </w:rPr>
        <w:t xml:space="preserve">006 </w:t>
      </w:r>
    </w:p>
    <w:p w14:paraId="7B5D4D6D">
      <w:pPr>
        <w:snapToGrid w:val="0"/>
        <w:spacing w:line="360" w:lineRule="auto"/>
        <w:ind w:left="420" w:firstLine="964" w:firstLineChars="300"/>
        <w:rPr>
          <w:rFonts w:ascii="宋体" w:hAnsi="宋体" w:cs="宋体"/>
          <w:b/>
          <w:bCs/>
          <w:sz w:val="32"/>
          <w:szCs w:val="32"/>
        </w:rPr>
      </w:pPr>
    </w:p>
    <w:p w14:paraId="319E88BF">
      <w:pPr>
        <w:snapToGrid w:val="0"/>
        <w:spacing w:line="360" w:lineRule="auto"/>
        <w:ind w:left="420" w:firstLine="964" w:firstLineChars="300"/>
        <w:rPr>
          <w:rFonts w:ascii="宋体" w:hAnsi="宋体" w:cs="宋体"/>
          <w:b/>
          <w:bCs/>
          <w:sz w:val="32"/>
          <w:szCs w:val="32"/>
        </w:rPr>
      </w:pPr>
    </w:p>
    <w:p w14:paraId="529A4158">
      <w:pPr>
        <w:snapToGrid w:val="0"/>
        <w:spacing w:line="360" w:lineRule="auto"/>
        <w:ind w:left="420" w:firstLine="964" w:firstLineChars="300"/>
        <w:rPr>
          <w:rFonts w:ascii="宋体" w:hAnsi="宋体" w:cs="宋体"/>
          <w:b/>
          <w:bCs/>
          <w:sz w:val="32"/>
          <w:szCs w:val="32"/>
        </w:rPr>
      </w:pPr>
    </w:p>
    <w:p w14:paraId="72AB8CC1">
      <w:pPr>
        <w:pStyle w:val="73"/>
      </w:pPr>
    </w:p>
    <w:p w14:paraId="547A4001">
      <w:pPr>
        <w:ind w:left="741" w:hanging="321"/>
        <w:rPr>
          <w:rFonts w:ascii="宋体" w:hAnsi="宋体" w:cs="宋体"/>
          <w:b/>
          <w:bCs/>
          <w:sz w:val="32"/>
          <w:szCs w:val="32"/>
        </w:rPr>
      </w:pPr>
    </w:p>
    <w:p w14:paraId="08E8840A"/>
    <w:p w14:paraId="13CC2E8B">
      <w:pPr>
        <w:widowControl/>
        <w:spacing w:line="480" w:lineRule="auto"/>
        <w:jc w:val="center"/>
        <w:rPr>
          <w:rFonts w:ascii="黑体" w:hAnsi="黑体" w:eastAsia="黑体" w:cs="黑体"/>
          <w:b/>
          <w:sz w:val="30"/>
          <w:szCs w:val="30"/>
        </w:rPr>
      </w:pPr>
      <w:r>
        <w:rPr>
          <w:rFonts w:hint="eastAsia" w:ascii="黑体" w:hAnsi="黑体" w:eastAsia="黑体" w:cs="黑体"/>
          <w:b/>
          <w:sz w:val="30"/>
          <w:szCs w:val="30"/>
        </w:rPr>
        <w:t>采购人：舟山市定海区公路与运输管理中心</w:t>
      </w:r>
    </w:p>
    <w:p w14:paraId="3BC0FB62">
      <w:pPr>
        <w:widowControl/>
        <w:spacing w:line="480" w:lineRule="auto"/>
        <w:jc w:val="center"/>
        <w:rPr>
          <w:rFonts w:ascii="黑体" w:hAnsi="黑体" w:eastAsia="黑体" w:cs="黑体"/>
          <w:b/>
          <w:bCs/>
          <w:w w:val="95"/>
          <w:sz w:val="32"/>
          <w:szCs w:val="32"/>
        </w:rPr>
      </w:pPr>
      <w:r>
        <w:rPr>
          <w:rFonts w:hint="eastAsia" w:ascii="黑体" w:hAnsi="黑体" w:eastAsia="黑体" w:cs="黑体"/>
          <w:b/>
          <w:sz w:val="30"/>
          <w:szCs w:val="30"/>
        </w:rPr>
        <w:t>采购代理机构：浙江省成套工程有限公司</w:t>
      </w:r>
    </w:p>
    <w:p w14:paraId="1C6AEEBE">
      <w:pPr>
        <w:widowControl/>
        <w:ind w:left="721" w:hanging="301"/>
        <w:jc w:val="center"/>
        <w:rPr>
          <w:rFonts w:ascii="黑体" w:hAnsi="黑体" w:eastAsia="黑体" w:cs="黑体"/>
          <w:b/>
          <w:bCs/>
          <w:color w:val="000000"/>
          <w:kern w:val="0"/>
          <w:sz w:val="30"/>
          <w:szCs w:val="30"/>
          <w:lang w:bidi="ar"/>
        </w:rPr>
      </w:pPr>
      <w:r>
        <w:rPr>
          <w:rFonts w:hint="eastAsia" w:ascii="黑体" w:hAnsi="黑体" w:eastAsia="黑体" w:cs="黑体"/>
          <w:b/>
          <w:bCs/>
          <w:color w:val="000000"/>
          <w:kern w:val="0"/>
          <w:sz w:val="30"/>
          <w:szCs w:val="30"/>
          <w:lang w:bidi="ar"/>
        </w:rPr>
        <w:t xml:space="preserve"> 2025年 </w:t>
      </w:r>
      <w:r>
        <w:rPr>
          <w:rFonts w:hint="eastAsia" w:ascii="黑体" w:hAnsi="黑体" w:eastAsia="黑体" w:cs="黑体"/>
          <w:b/>
          <w:bCs/>
          <w:color w:val="000000"/>
          <w:kern w:val="0"/>
          <w:sz w:val="30"/>
          <w:szCs w:val="30"/>
          <w:lang w:val="en-US" w:eastAsia="zh-CN" w:bidi="ar"/>
        </w:rPr>
        <w:t>5</w:t>
      </w:r>
      <w:r>
        <w:rPr>
          <w:rFonts w:hint="eastAsia" w:ascii="黑体" w:hAnsi="黑体" w:eastAsia="黑体" w:cs="黑体"/>
          <w:b/>
          <w:bCs/>
          <w:color w:val="000000"/>
          <w:kern w:val="0"/>
          <w:sz w:val="30"/>
          <w:szCs w:val="30"/>
          <w:lang w:bidi="ar"/>
        </w:rPr>
        <w:t xml:space="preserve"> 月  </w:t>
      </w:r>
      <w:r>
        <w:rPr>
          <w:rFonts w:hint="eastAsia" w:ascii="黑体" w:hAnsi="黑体" w:eastAsia="黑体" w:cs="黑体"/>
          <w:b/>
          <w:bCs/>
          <w:color w:val="000000"/>
          <w:kern w:val="0"/>
          <w:sz w:val="30"/>
          <w:szCs w:val="30"/>
          <w:lang w:val="en-US" w:eastAsia="zh-CN" w:bidi="ar"/>
        </w:rPr>
        <w:t>23</w:t>
      </w:r>
      <w:r>
        <w:rPr>
          <w:rFonts w:hint="eastAsia" w:ascii="黑体" w:hAnsi="黑体" w:eastAsia="黑体" w:cs="黑体"/>
          <w:b/>
          <w:bCs/>
          <w:color w:val="000000"/>
          <w:kern w:val="0"/>
          <w:sz w:val="30"/>
          <w:szCs w:val="30"/>
          <w:lang w:bidi="ar"/>
        </w:rPr>
        <w:t xml:space="preserve"> 日</w:t>
      </w:r>
    </w:p>
    <w:p w14:paraId="3C9034CB">
      <w:pPr>
        <w:snapToGrid w:val="0"/>
        <w:spacing w:line="360" w:lineRule="auto"/>
        <w:ind w:left="707" w:hanging="287"/>
        <w:jc w:val="center"/>
        <w:rPr>
          <w:rFonts w:ascii="宋体" w:hAnsi="宋体" w:cs="宋体"/>
          <w:b/>
          <w:bCs/>
          <w:w w:val="95"/>
          <w:sz w:val="30"/>
          <w:szCs w:val="30"/>
        </w:rPr>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NumType w:start="0"/>
          <w:cols w:space="720" w:num="1"/>
          <w:docGrid w:linePitch="312" w:charSpace="0"/>
        </w:sectPr>
      </w:pPr>
      <w:r>
        <w:rPr>
          <w:rFonts w:hint="eastAsia" w:ascii="宋体" w:hAnsi="宋体" w:cs="宋体"/>
          <w:b/>
          <w:bCs/>
          <w:w w:val="95"/>
          <w:sz w:val="30"/>
          <w:szCs w:val="30"/>
        </w:rPr>
        <w:t xml:space="preserve"> </w:t>
      </w:r>
    </w:p>
    <w:p w14:paraId="19CFC282">
      <w:pPr>
        <w:pStyle w:val="32"/>
        <w:spacing w:before="0" w:beforeLines="0" w:after="0" w:afterLines="0" w:line="360" w:lineRule="auto"/>
        <w:ind w:left="780" w:hanging="360"/>
        <w:jc w:val="center"/>
        <w:rPr>
          <w:rFonts w:hAnsi="宋体" w:cs="宋体"/>
          <w:sz w:val="36"/>
          <w:szCs w:val="36"/>
        </w:rPr>
      </w:pPr>
    </w:p>
    <w:p w14:paraId="77B7454B">
      <w:pPr>
        <w:pStyle w:val="32"/>
        <w:spacing w:before="0" w:beforeLines="0" w:after="0" w:afterLines="0" w:line="360" w:lineRule="auto"/>
        <w:ind w:left="781" w:hanging="361"/>
        <w:jc w:val="center"/>
        <w:rPr>
          <w:rFonts w:ascii="黑体" w:hAnsi="黑体" w:eastAsia="黑体" w:cs="黑体"/>
          <w:b/>
          <w:sz w:val="36"/>
          <w:szCs w:val="36"/>
        </w:rPr>
      </w:pPr>
      <w:r>
        <w:rPr>
          <w:rFonts w:hint="eastAsia" w:ascii="黑体" w:hAnsi="黑体" w:eastAsia="黑体" w:cs="黑体"/>
          <w:b/>
          <w:sz w:val="36"/>
          <w:szCs w:val="36"/>
        </w:rPr>
        <w:t>目    录</w:t>
      </w:r>
    </w:p>
    <w:p w14:paraId="79AE1A70">
      <w:pPr>
        <w:ind w:left="660" w:hanging="240"/>
        <w:rPr>
          <w:bCs/>
          <w:kern w:val="0"/>
          <w:sz w:val="24"/>
        </w:rPr>
      </w:pPr>
    </w:p>
    <w:p w14:paraId="28A2598F">
      <w:pPr>
        <w:spacing w:line="480" w:lineRule="auto"/>
        <w:ind w:left="700" w:hanging="280"/>
        <w:rPr>
          <w:rFonts w:ascii="黑体" w:hAnsi="黑体" w:eastAsia="黑体" w:cs="黑体"/>
          <w:sz w:val="28"/>
          <w:szCs w:val="28"/>
        </w:rPr>
      </w:pPr>
      <w:r>
        <w:rPr>
          <w:rFonts w:hint="eastAsia" w:ascii="黑体" w:hAnsi="黑体" w:eastAsia="黑体" w:cs="黑体"/>
          <w:bCs/>
          <w:kern w:val="0"/>
          <w:sz w:val="28"/>
          <w:szCs w:val="28"/>
        </w:rPr>
        <w:t>电子交易须知</w:t>
      </w:r>
    </w:p>
    <w:p w14:paraId="7A1545B5">
      <w:pPr>
        <w:pStyle w:val="41"/>
        <w:tabs>
          <w:tab w:val="right" w:leader="dot" w:pos="9638"/>
        </w:tabs>
        <w:spacing w:line="480" w:lineRule="auto"/>
        <w:ind w:left="701" w:hanging="281"/>
        <w:rPr>
          <w:rFonts w:ascii="黑体" w:hAnsi="黑体" w:eastAsia="黑体" w:cs="黑体"/>
          <w:sz w:val="28"/>
          <w:szCs w:val="28"/>
        </w:rPr>
      </w:pPr>
      <w:r>
        <w:rPr>
          <w:rFonts w:hint="eastAsia" w:ascii="黑体" w:hAnsi="黑体" w:eastAsia="黑体" w:cs="黑体"/>
          <w:b/>
          <w:sz w:val="28"/>
          <w:szCs w:val="28"/>
        </w:rPr>
        <w:fldChar w:fldCharType="begin"/>
      </w:r>
      <w:r>
        <w:rPr>
          <w:rFonts w:hint="eastAsia" w:ascii="黑体" w:hAnsi="黑体" w:eastAsia="黑体" w:cs="黑体"/>
          <w:b/>
          <w:sz w:val="28"/>
          <w:szCs w:val="28"/>
        </w:rPr>
        <w:instrText xml:space="preserve"> TOC \o "1-1" \h \z \u </w:instrText>
      </w:r>
      <w:r>
        <w:rPr>
          <w:rFonts w:hint="eastAsia" w:ascii="黑体" w:hAnsi="黑体" w:eastAsia="黑体" w:cs="黑体"/>
          <w:b/>
          <w:sz w:val="28"/>
          <w:szCs w:val="28"/>
        </w:rPr>
        <w:fldChar w:fldCharType="separate"/>
      </w:r>
      <w:r>
        <w:fldChar w:fldCharType="begin"/>
      </w:r>
      <w:r>
        <w:instrText xml:space="preserve"> HYPERLINK \l "_Toc30228" </w:instrText>
      </w:r>
      <w:r>
        <w:fldChar w:fldCharType="separate"/>
      </w:r>
      <w:r>
        <w:rPr>
          <w:rFonts w:hint="eastAsia" w:ascii="黑体" w:hAnsi="黑体" w:eastAsia="黑体" w:cs="黑体"/>
          <w:sz w:val="28"/>
          <w:szCs w:val="28"/>
        </w:rPr>
        <w:t>第一章  招标公告</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_Toc30228 \h </w:instrText>
      </w:r>
      <w:r>
        <w:rPr>
          <w:rFonts w:hint="eastAsia" w:ascii="黑体" w:hAnsi="黑体" w:eastAsia="黑体" w:cs="黑体"/>
          <w:sz w:val="28"/>
          <w:szCs w:val="28"/>
        </w:rPr>
        <w:fldChar w:fldCharType="separate"/>
      </w:r>
      <w:r>
        <w:rPr>
          <w:rFonts w:hint="eastAsia" w:ascii="黑体" w:hAnsi="黑体" w:eastAsia="黑体" w:cs="黑体"/>
          <w:sz w:val="28"/>
          <w:szCs w:val="28"/>
        </w:rPr>
        <w:t>3</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5BDAEAC3">
      <w:pPr>
        <w:pStyle w:val="41"/>
        <w:tabs>
          <w:tab w:val="right" w:leader="dot" w:pos="9638"/>
        </w:tabs>
        <w:spacing w:line="480" w:lineRule="auto"/>
        <w:ind w:left="700" w:hanging="280"/>
        <w:rPr>
          <w:rFonts w:ascii="黑体" w:hAnsi="黑体" w:eastAsia="黑体" w:cs="黑体"/>
          <w:sz w:val="28"/>
          <w:szCs w:val="28"/>
        </w:rPr>
      </w:pPr>
      <w:r>
        <w:fldChar w:fldCharType="begin"/>
      </w:r>
      <w:r>
        <w:instrText xml:space="preserve"> HYPERLINK \l "_Toc11871" </w:instrText>
      </w:r>
      <w:r>
        <w:fldChar w:fldCharType="separate"/>
      </w:r>
      <w:r>
        <w:rPr>
          <w:rFonts w:hint="eastAsia" w:ascii="黑体" w:hAnsi="黑体" w:eastAsia="黑体" w:cs="黑体"/>
          <w:sz w:val="28"/>
          <w:szCs w:val="28"/>
        </w:rPr>
        <w:t>第二章  采购需求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_Toc11871 \h </w:instrText>
      </w:r>
      <w:r>
        <w:rPr>
          <w:rFonts w:hint="eastAsia" w:ascii="黑体" w:hAnsi="黑体" w:eastAsia="黑体" w:cs="黑体"/>
          <w:sz w:val="28"/>
          <w:szCs w:val="28"/>
        </w:rPr>
        <w:fldChar w:fldCharType="separate"/>
      </w:r>
      <w:r>
        <w:rPr>
          <w:rFonts w:hint="eastAsia" w:ascii="黑体" w:hAnsi="黑体" w:eastAsia="黑体" w:cs="黑体"/>
          <w:sz w:val="28"/>
          <w:szCs w:val="28"/>
        </w:rPr>
        <w:t>7</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2B010400">
      <w:pPr>
        <w:pStyle w:val="41"/>
        <w:tabs>
          <w:tab w:val="right" w:leader="dot" w:pos="9638"/>
        </w:tabs>
        <w:spacing w:line="480" w:lineRule="auto"/>
        <w:ind w:left="700" w:hanging="280"/>
        <w:rPr>
          <w:rFonts w:ascii="黑体" w:hAnsi="黑体" w:eastAsia="黑体" w:cs="黑体"/>
          <w:sz w:val="28"/>
          <w:szCs w:val="28"/>
        </w:rPr>
      </w:pPr>
      <w:r>
        <w:fldChar w:fldCharType="begin"/>
      </w:r>
      <w:r>
        <w:instrText xml:space="preserve"> HYPERLINK \l "_Toc16218" </w:instrText>
      </w:r>
      <w:r>
        <w:fldChar w:fldCharType="separate"/>
      </w:r>
      <w:r>
        <w:rPr>
          <w:rFonts w:hint="eastAsia" w:ascii="黑体" w:hAnsi="黑体" w:eastAsia="黑体" w:cs="黑体"/>
          <w:sz w:val="28"/>
          <w:szCs w:val="28"/>
        </w:rPr>
        <w:t>第三章  投标人须知</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_Toc16218 \h </w:instrText>
      </w:r>
      <w:r>
        <w:rPr>
          <w:rFonts w:hint="eastAsia" w:ascii="黑体" w:hAnsi="黑体" w:eastAsia="黑体" w:cs="黑体"/>
          <w:sz w:val="28"/>
          <w:szCs w:val="28"/>
        </w:rPr>
        <w:fldChar w:fldCharType="separate"/>
      </w:r>
      <w:r>
        <w:rPr>
          <w:rFonts w:hint="eastAsia" w:ascii="黑体" w:hAnsi="黑体" w:eastAsia="黑体" w:cs="黑体"/>
          <w:sz w:val="28"/>
          <w:szCs w:val="28"/>
        </w:rPr>
        <w:t>29</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0D225317">
      <w:pPr>
        <w:pStyle w:val="41"/>
        <w:tabs>
          <w:tab w:val="right" w:leader="dot" w:pos="9638"/>
        </w:tabs>
        <w:spacing w:line="480" w:lineRule="auto"/>
        <w:ind w:left="700" w:hanging="280"/>
        <w:rPr>
          <w:rFonts w:ascii="黑体" w:hAnsi="黑体" w:eastAsia="黑体" w:cs="黑体"/>
          <w:sz w:val="28"/>
          <w:szCs w:val="28"/>
        </w:rPr>
      </w:pPr>
      <w:r>
        <w:fldChar w:fldCharType="begin"/>
      </w:r>
      <w:r>
        <w:instrText xml:space="preserve"> HYPERLINK \l "_Toc21510" </w:instrText>
      </w:r>
      <w:r>
        <w:fldChar w:fldCharType="separate"/>
      </w:r>
      <w:r>
        <w:rPr>
          <w:rFonts w:hint="eastAsia" w:ascii="黑体" w:hAnsi="黑体" w:eastAsia="黑体" w:cs="黑体"/>
          <w:sz w:val="28"/>
          <w:szCs w:val="28"/>
        </w:rPr>
        <w:t>第四章  评标办法</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_Toc21510 \h </w:instrText>
      </w:r>
      <w:r>
        <w:rPr>
          <w:rFonts w:hint="eastAsia" w:ascii="黑体" w:hAnsi="黑体" w:eastAsia="黑体" w:cs="黑体"/>
          <w:sz w:val="28"/>
          <w:szCs w:val="28"/>
        </w:rPr>
        <w:fldChar w:fldCharType="separate"/>
      </w:r>
      <w:r>
        <w:rPr>
          <w:rFonts w:hint="eastAsia" w:ascii="黑体" w:hAnsi="黑体" w:eastAsia="黑体" w:cs="黑体"/>
          <w:sz w:val="28"/>
          <w:szCs w:val="28"/>
        </w:rPr>
        <w:t>54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1B28A58A">
      <w:pPr>
        <w:pStyle w:val="41"/>
        <w:tabs>
          <w:tab w:val="right" w:leader="dot" w:pos="9638"/>
        </w:tabs>
        <w:spacing w:line="480" w:lineRule="auto"/>
        <w:ind w:left="700" w:hanging="280"/>
        <w:rPr>
          <w:rFonts w:ascii="黑体" w:hAnsi="黑体" w:eastAsia="黑体" w:cs="黑体"/>
          <w:sz w:val="28"/>
          <w:szCs w:val="28"/>
        </w:rPr>
      </w:pPr>
      <w:r>
        <w:fldChar w:fldCharType="begin"/>
      </w:r>
      <w:r>
        <w:instrText xml:space="preserve"> HYPERLINK \l "_Toc8090" </w:instrText>
      </w:r>
      <w:r>
        <w:fldChar w:fldCharType="separate"/>
      </w:r>
      <w:r>
        <w:rPr>
          <w:rFonts w:hint="eastAsia" w:ascii="黑体" w:hAnsi="黑体" w:eastAsia="黑体" w:cs="黑体"/>
          <w:sz w:val="28"/>
          <w:szCs w:val="28"/>
        </w:rPr>
        <w:t>第五章  合同主要条款</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_Toc8090 \h </w:instrText>
      </w:r>
      <w:r>
        <w:rPr>
          <w:rFonts w:hint="eastAsia" w:ascii="黑体" w:hAnsi="黑体" w:eastAsia="黑体" w:cs="黑体"/>
          <w:sz w:val="28"/>
          <w:szCs w:val="28"/>
        </w:rPr>
        <w:fldChar w:fldCharType="separate"/>
      </w:r>
      <w:r>
        <w:rPr>
          <w:rFonts w:hint="eastAsia" w:ascii="黑体" w:hAnsi="黑体" w:eastAsia="黑体" w:cs="黑体"/>
          <w:sz w:val="28"/>
          <w:szCs w:val="28"/>
        </w:rPr>
        <w:t>64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2F1A32D2">
      <w:pPr>
        <w:pStyle w:val="41"/>
        <w:tabs>
          <w:tab w:val="right" w:leader="dot" w:pos="9638"/>
        </w:tabs>
        <w:spacing w:line="480" w:lineRule="auto"/>
        <w:ind w:left="700" w:hanging="280"/>
        <w:rPr>
          <w:rFonts w:ascii="黑体" w:hAnsi="黑体" w:eastAsia="黑体" w:cs="黑体"/>
          <w:sz w:val="28"/>
          <w:szCs w:val="28"/>
        </w:rPr>
      </w:pPr>
      <w:r>
        <w:fldChar w:fldCharType="begin"/>
      </w:r>
      <w:r>
        <w:instrText xml:space="preserve"> HYPERLINK \l "_Toc16069" </w:instrText>
      </w:r>
      <w:r>
        <w:fldChar w:fldCharType="separate"/>
      </w:r>
      <w:r>
        <w:rPr>
          <w:rFonts w:hint="eastAsia" w:ascii="黑体" w:hAnsi="黑体" w:eastAsia="黑体" w:cs="黑体"/>
          <w:bCs/>
          <w:sz w:val="28"/>
          <w:szCs w:val="28"/>
        </w:rPr>
        <w:t>第六章　投标文件格式</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_Toc16069 \h </w:instrText>
      </w:r>
      <w:r>
        <w:rPr>
          <w:rFonts w:hint="eastAsia" w:ascii="黑体" w:hAnsi="黑体" w:eastAsia="黑体" w:cs="黑体"/>
          <w:sz w:val="28"/>
          <w:szCs w:val="28"/>
        </w:rPr>
        <w:fldChar w:fldCharType="separate"/>
      </w:r>
      <w:r>
        <w:rPr>
          <w:rFonts w:hint="eastAsia" w:ascii="黑体" w:hAnsi="黑体" w:eastAsia="黑体" w:cs="黑体"/>
          <w:sz w:val="28"/>
          <w:szCs w:val="28"/>
        </w:rPr>
        <w:t>64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0C819C65">
      <w:pPr>
        <w:pStyle w:val="41"/>
        <w:tabs>
          <w:tab w:val="right" w:leader="dot" w:pos="9638"/>
        </w:tabs>
        <w:spacing w:line="480" w:lineRule="auto"/>
        <w:ind w:left="700" w:hanging="280"/>
        <w:rPr>
          <w:rFonts w:ascii="黑体" w:hAnsi="黑体" w:eastAsia="黑体" w:cs="黑体"/>
          <w:sz w:val="28"/>
          <w:szCs w:val="28"/>
        </w:rPr>
      </w:pPr>
      <w:r>
        <w:fldChar w:fldCharType="begin"/>
      </w:r>
      <w:r>
        <w:instrText xml:space="preserve"> HYPERLINK \l "_Toc16252" </w:instrText>
      </w:r>
      <w:r>
        <w:fldChar w:fldCharType="separate"/>
      </w:r>
      <w:r>
        <w:rPr>
          <w:rFonts w:hint="eastAsia" w:ascii="黑体" w:hAnsi="黑体" w:eastAsia="黑体" w:cs="黑体"/>
          <w:sz w:val="28"/>
          <w:szCs w:val="28"/>
        </w:rPr>
        <w:t>第七章  其它</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_Toc16252 \h </w:instrText>
      </w:r>
      <w:r>
        <w:rPr>
          <w:rFonts w:hint="eastAsia" w:ascii="黑体" w:hAnsi="黑体" w:eastAsia="黑体" w:cs="黑体"/>
          <w:sz w:val="28"/>
          <w:szCs w:val="28"/>
        </w:rPr>
        <w:fldChar w:fldCharType="separate"/>
      </w:r>
      <w:r>
        <w:rPr>
          <w:rFonts w:hint="eastAsia" w:ascii="黑体" w:hAnsi="黑体" w:eastAsia="黑体" w:cs="黑体"/>
          <w:sz w:val="28"/>
          <w:szCs w:val="28"/>
        </w:rPr>
        <w:t>93</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14:paraId="5BEEF6D1">
      <w:pPr>
        <w:pStyle w:val="32"/>
        <w:spacing w:before="0" w:beforeLines="0" w:after="0" w:afterLines="0" w:line="480" w:lineRule="auto"/>
        <w:ind w:left="700" w:hanging="280"/>
        <w:jc w:val="center"/>
        <w:rPr>
          <w:rFonts w:hAnsi="宋体" w:cs="宋体"/>
          <w:b/>
          <w:sz w:val="36"/>
          <w:szCs w:val="36"/>
        </w:rPr>
        <w:sectPr>
          <w:footerReference r:id="rId12" w:type="first"/>
          <w:headerReference r:id="rId9" w:type="default"/>
          <w:footerReference r:id="rId10" w:type="default"/>
          <w:footerReference r:id="rId11" w:type="even"/>
          <w:pgSz w:w="11906" w:h="16838"/>
          <w:pgMar w:top="1134" w:right="1134" w:bottom="1134" w:left="1134" w:header="851" w:footer="992" w:gutter="0"/>
          <w:pgNumType w:start="1"/>
          <w:cols w:space="720" w:num="1"/>
          <w:titlePg/>
          <w:docGrid w:type="lines" w:linePitch="312" w:charSpace="117"/>
        </w:sectPr>
      </w:pPr>
      <w:r>
        <w:rPr>
          <w:rFonts w:hint="eastAsia" w:ascii="黑体" w:hAnsi="黑体" w:eastAsia="黑体" w:cs="黑体"/>
          <w:sz w:val="28"/>
          <w:szCs w:val="28"/>
        </w:rPr>
        <w:fldChar w:fldCharType="end"/>
      </w:r>
    </w:p>
    <w:p w14:paraId="077365E3">
      <w:pPr>
        <w:pStyle w:val="32"/>
        <w:spacing w:before="0" w:beforeLines="0" w:after="0" w:afterLines="0" w:line="360" w:lineRule="auto"/>
        <w:ind w:left="741" w:hanging="321"/>
        <w:jc w:val="center"/>
        <w:rPr>
          <w:rFonts w:ascii="黑体" w:hAnsi="黑体" w:eastAsia="黑体" w:cs="黑体"/>
        </w:rPr>
      </w:pPr>
      <w:r>
        <w:rPr>
          <w:rFonts w:hint="eastAsia" w:ascii="黑体" w:hAnsi="黑体" w:eastAsia="黑体" w:cs="黑体"/>
          <w:b/>
          <w:sz w:val="32"/>
          <w:szCs w:val="32"/>
        </w:rPr>
        <w:t>电子交易须知</w:t>
      </w:r>
    </w:p>
    <w:p w14:paraId="0FF5E164">
      <w:pPr>
        <w:pStyle w:val="32"/>
        <w:snapToGrid w:val="0"/>
        <w:spacing w:before="0" w:beforeLines="0" w:after="0" w:afterLines="0" w:line="360" w:lineRule="auto"/>
        <w:ind w:left="420" w:firstLine="420" w:firstLineChars="200"/>
        <w:jc w:val="left"/>
        <w:rPr>
          <w:rFonts w:hAnsi="宋体" w:cs="宋体"/>
          <w:sz w:val="21"/>
          <w:szCs w:val="21"/>
        </w:rPr>
      </w:pPr>
      <w:r>
        <w:rPr>
          <w:rFonts w:hint="eastAsia" w:hAnsi="宋体" w:cs="宋体"/>
          <w:sz w:val="21"/>
          <w:szCs w:val="21"/>
        </w:rPr>
        <w:t>1、本次采购采用电子交易方式，电子交易平台为“政府采购云平台（www.zcygov.cn）”。投标人参与本项目电子交易活动前，应通过浙江政府采购网“浙江政府采购投标人信息登记管理系统”进行信息登记，获得线上政府采购活动操作权限。编制电子投标文件前还需申领CA证书并绑定帐号，投标人应充分考虑完成登记、申领CA证书等所需的时间。</w:t>
      </w:r>
    </w:p>
    <w:p w14:paraId="4B97832F">
      <w:pPr>
        <w:pStyle w:val="32"/>
        <w:snapToGrid w:val="0"/>
        <w:spacing w:before="0" w:beforeLines="0" w:after="0" w:afterLines="0" w:line="360" w:lineRule="auto"/>
        <w:ind w:left="420" w:firstLine="420" w:firstLineChars="200"/>
        <w:jc w:val="left"/>
        <w:rPr>
          <w:rFonts w:hAnsi="宋体" w:cs="宋体"/>
          <w:sz w:val="21"/>
          <w:szCs w:val="21"/>
        </w:rPr>
      </w:pPr>
      <w:r>
        <w:rPr>
          <w:rFonts w:hint="eastAsia" w:hAnsi="宋体" w:cs="宋体"/>
          <w:sz w:val="21"/>
          <w:szCs w:val="21"/>
        </w:rPr>
        <w:t>2、投标人编制电子投标文件应安装“电子交易客户端”软件，并按照本招标文件和电子交易平台的要求编制并加密投标文件。未按规定加密的投标文件，将被电子交易平台拒收。“电子交易客户端”请投标人自行前往“浙江政府采购网（zfcg.czt.zj.gov.cn）— 下载专区 — 电子交易客户端”版块获取。</w:t>
      </w:r>
    </w:p>
    <w:p w14:paraId="4391856C">
      <w:pPr>
        <w:pStyle w:val="32"/>
        <w:snapToGrid w:val="0"/>
        <w:spacing w:before="0" w:beforeLines="0" w:after="0" w:afterLines="0" w:line="360" w:lineRule="auto"/>
        <w:ind w:left="420" w:firstLine="420" w:firstLineChars="200"/>
        <w:jc w:val="left"/>
        <w:rPr>
          <w:rFonts w:hAnsi="宋体" w:cs="宋体"/>
          <w:sz w:val="21"/>
          <w:szCs w:val="21"/>
        </w:rPr>
      </w:pPr>
      <w:r>
        <w:rPr>
          <w:rFonts w:hint="eastAsia" w:hAnsi="宋体" w:cs="宋体"/>
          <w:sz w:val="21"/>
          <w:szCs w:val="21"/>
        </w:rPr>
        <w:t>3、投标人应当在投标截止时间前，将“电子交易客户端”生成的“电子加密投标文件”上传电子交易平台。</w:t>
      </w:r>
    </w:p>
    <w:p w14:paraId="1A698139">
      <w:pPr>
        <w:pStyle w:val="32"/>
        <w:snapToGrid w:val="0"/>
        <w:spacing w:before="0" w:beforeLines="0" w:after="0" w:afterLines="0" w:line="360" w:lineRule="auto"/>
        <w:ind w:left="420" w:firstLine="420" w:firstLineChars="200"/>
        <w:jc w:val="left"/>
        <w:rPr>
          <w:rFonts w:hAnsi="宋体" w:cs="宋体"/>
          <w:sz w:val="21"/>
          <w:szCs w:val="21"/>
        </w:rPr>
      </w:pPr>
      <w:r>
        <w:rPr>
          <w:rFonts w:hint="eastAsia" w:hAnsi="宋体" w:cs="宋体"/>
          <w:sz w:val="21"/>
          <w:szCs w:val="21"/>
        </w:rPr>
        <w:t>4、“电子备份投标文件”是指与“电子加密投标文件”同时生成的数据电文形式的投标文件。投标人在电子交易平台上传“电子加密投标文件”后，还可以邮寄或送达的方式在投标截止时间前提交以介质（U盘）存储的“电子备份投标文件”。“电子备份投标文件”应当密封包装并在包装上标注采购项目编号、项目名称、投标单位名称等并加盖公章。</w:t>
      </w:r>
    </w:p>
    <w:p w14:paraId="27F94FFA">
      <w:pPr>
        <w:pStyle w:val="32"/>
        <w:snapToGrid w:val="0"/>
        <w:spacing w:before="0" w:beforeLines="0" w:after="0" w:afterLines="0" w:line="360" w:lineRule="auto"/>
        <w:ind w:left="420" w:firstLine="420" w:firstLineChars="200"/>
        <w:jc w:val="left"/>
        <w:rPr>
          <w:rFonts w:hAnsi="宋体" w:cs="宋体"/>
          <w:sz w:val="21"/>
          <w:szCs w:val="21"/>
        </w:rPr>
      </w:pPr>
      <w:r>
        <w:rPr>
          <w:rFonts w:hint="eastAsia" w:hAnsi="宋体" w:cs="宋体"/>
          <w:sz w:val="21"/>
          <w:szCs w:val="21"/>
        </w:rPr>
        <w:t>5、开标时，通过“政府采购云平台”递交的“电子加密投标文件”如无法按时解密的，如投标人提交了“电子备份投标文件”的，则由采购组织机构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投标人未按规定递交“电子备份投标文件”的，视为投标文件撤回。未上传“电子加密投标文件”，仅提交“电子备份投标文件”的，投标无效。</w:t>
      </w:r>
    </w:p>
    <w:p w14:paraId="12F47FFA">
      <w:pPr>
        <w:pStyle w:val="32"/>
        <w:snapToGrid w:val="0"/>
        <w:spacing w:before="0" w:beforeLines="0" w:after="0" w:afterLines="0" w:line="360" w:lineRule="auto"/>
        <w:ind w:hanging="210"/>
        <w:jc w:val="left"/>
        <w:rPr>
          <w:rFonts w:hAnsi="宋体" w:cs="宋体"/>
        </w:rPr>
      </w:pPr>
      <w:bookmarkStart w:id="0" w:name="_Toc66379535"/>
      <w:r>
        <w:rPr>
          <w:rFonts w:hint="eastAsia" w:hAnsi="宋体" w:cs="宋体"/>
          <w:sz w:val="21"/>
          <w:szCs w:val="21"/>
        </w:rPr>
        <w:t>6、投标人在参加电子交易过程中,可登录电子交易平台“帮助文档”版面获取《电子交易管理操作指南》，或致电平台400-881-7190获取相关服务支持。</w:t>
      </w:r>
      <w:bookmarkEnd w:id="0"/>
    </w:p>
    <w:p w14:paraId="0207223F">
      <w:pPr>
        <w:spacing w:line="360" w:lineRule="auto"/>
        <w:ind w:hanging="210"/>
      </w:pPr>
    </w:p>
    <w:p w14:paraId="7DC1A62B">
      <w:pPr>
        <w:pStyle w:val="23"/>
        <w:ind w:left="700" w:hanging="280"/>
      </w:pPr>
    </w:p>
    <w:p w14:paraId="596410A3">
      <w:pPr>
        <w:pStyle w:val="59"/>
        <w:ind w:left="420" w:firstLine="210"/>
      </w:pPr>
    </w:p>
    <w:p w14:paraId="1FE65798">
      <w:pPr>
        <w:pStyle w:val="46"/>
      </w:pPr>
    </w:p>
    <w:p w14:paraId="6E8C5E68"/>
    <w:p w14:paraId="4FC1F8E1">
      <w:pPr>
        <w:pStyle w:val="23"/>
        <w:ind w:left="700" w:hanging="280"/>
      </w:pPr>
    </w:p>
    <w:p w14:paraId="51FA9F1F">
      <w:pPr>
        <w:pStyle w:val="59"/>
        <w:ind w:left="420" w:firstLine="210"/>
      </w:pPr>
    </w:p>
    <w:p w14:paraId="1A9F7721"/>
    <w:p w14:paraId="03D0FD79"/>
    <w:p w14:paraId="43B768BD"/>
    <w:p w14:paraId="328148D3">
      <w:pPr>
        <w:pStyle w:val="46"/>
      </w:pPr>
    </w:p>
    <w:p w14:paraId="73349741">
      <w:pPr>
        <w:pStyle w:val="46"/>
        <w:ind w:left="210" w:leftChars="0"/>
      </w:pPr>
    </w:p>
    <w:p w14:paraId="7AF63FAE">
      <w:pPr>
        <w:pStyle w:val="32"/>
        <w:snapToGrid w:val="0"/>
        <w:spacing w:before="0" w:beforeLines="0" w:after="0" w:afterLines="0" w:line="360" w:lineRule="auto"/>
        <w:ind w:left="721" w:hanging="301"/>
        <w:jc w:val="center"/>
        <w:outlineLvl w:val="0"/>
        <w:rPr>
          <w:rFonts w:ascii="黑体" w:hAnsi="黑体" w:eastAsia="黑体" w:cs="黑体"/>
          <w:b/>
          <w:sz w:val="30"/>
          <w:szCs w:val="30"/>
        </w:rPr>
      </w:pPr>
      <w:bookmarkStart w:id="1" w:name="_Toc66379536"/>
      <w:bookmarkStart w:id="2" w:name="_Toc30228"/>
      <w:r>
        <w:rPr>
          <w:rFonts w:hint="eastAsia" w:ascii="黑体" w:hAnsi="黑体" w:eastAsia="黑体" w:cs="黑体"/>
          <w:b/>
          <w:sz w:val="30"/>
          <w:szCs w:val="30"/>
        </w:rPr>
        <w:t>第一章  招标公告</w:t>
      </w:r>
      <w:bookmarkEnd w:id="1"/>
      <w:bookmarkEnd w:id="2"/>
    </w:p>
    <w:tbl>
      <w:tblPr>
        <w:tblStyle w:val="61"/>
        <w:tblpPr w:leftFromText="180" w:rightFromText="180" w:vertAnchor="text" w:horzAnchor="page" w:tblpX="1331" w:tblpY="2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4"/>
      </w:tblGrid>
      <w:tr w14:paraId="2BCCD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4" w:type="dxa"/>
          </w:tcPr>
          <w:p w14:paraId="6698665E">
            <w:pPr>
              <w:spacing w:line="360" w:lineRule="auto"/>
              <w:rPr>
                <w:rFonts w:hint="eastAsia" w:ascii="宋体" w:hAnsi="宋体" w:cs="宋体"/>
                <w:szCs w:val="21"/>
                <w:lang w:val="en-US" w:eastAsia="zh-CN"/>
              </w:rPr>
            </w:pPr>
            <w:r>
              <w:rPr>
                <w:rFonts w:hint="eastAsia" w:ascii="宋体" w:hAnsi="宋体" w:cs="宋体"/>
                <w:szCs w:val="21"/>
                <w:lang w:val="en-US" w:eastAsia="zh-CN"/>
              </w:rPr>
              <w:t>项目概况</w:t>
            </w:r>
          </w:p>
          <w:p w14:paraId="6BD05E97">
            <w:pPr>
              <w:spacing w:line="360" w:lineRule="auto"/>
              <w:ind w:firstLine="420" w:firstLineChars="200"/>
              <w:rPr>
                <w:rFonts w:hint="eastAsia" w:ascii="宋体" w:hAnsi="宋体" w:cs="宋体"/>
                <w:szCs w:val="21"/>
              </w:rPr>
            </w:pPr>
            <w:r>
              <w:rPr>
                <w:rFonts w:hint="eastAsia" w:ascii="宋体" w:hAnsi="宋体" w:cs="宋体"/>
                <w:szCs w:val="21"/>
              </w:rPr>
              <w:t>舟山市定海区公路照明能源托管项目的潜在供应商应在https://www.zcygov.cn获取（下载）招标文件，并于2025年</w:t>
            </w:r>
            <w:r>
              <w:rPr>
                <w:rFonts w:hint="eastAsia" w:ascii="宋体" w:hAnsi="宋体" w:cs="宋体"/>
                <w:szCs w:val="21"/>
                <w:lang w:val="en-US" w:eastAsia="zh-CN"/>
              </w:rPr>
              <w:t xml:space="preserve"> 7</w:t>
            </w:r>
            <w:r>
              <w:rPr>
                <w:rFonts w:hint="eastAsia" w:ascii="宋体" w:hAnsi="宋体" w:cs="宋体"/>
                <w:szCs w:val="21"/>
              </w:rPr>
              <w:t xml:space="preserve"> 月</w:t>
            </w:r>
            <w:r>
              <w:rPr>
                <w:rFonts w:hint="eastAsia" w:ascii="宋体" w:hAnsi="宋体" w:cs="宋体"/>
                <w:szCs w:val="21"/>
                <w:lang w:val="en-US" w:eastAsia="zh-CN"/>
              </w:rPr>
              <w:t xml:space="preserve"> 11</w:t>
            </w:r>
            <w:r>
              <w:rPr>
                <w:rFonts w:hint="eastAsia" w:ascii="宋体" w:hAnsi="宋体" w:cs="宋体"/>
                <w:szCs w:val="21"/>
              </w:rPr>
              <w:t xml:space="preserve"> 日 </w:t>
            </w:r>
            <w:r>
              <w:rPr>
                <w:rFonts w:hint="eastAsia" w:ascii="宋体" w:hAnsi="宋体" w:cs="宋体"/>
                <w:szCs w:val="21"/>
                <w:lang w:val="en-US" w:eastAsia="zh-CN"/>
              </w:rPr>
              <w:t xml:space="preserve">9 </w:t>
            </w:r>
            <w:r>
              <w:rPr>
                <w:rFonts w:hint="eastAsia" w:ascii="宋体" w:hAnsi="宋体" w:cs="宋体"/>
                <w:szCs w:val="21"/>
              </w:rPr>
              <w:t>时</w:t>
            </w:r>
            <w:r>
              <w:rPr>
                <w:rFonts w:hint="eastAsia" w:ascii="宋体" w:hAnsi="宋体" w:cs="宋体"/>
                <w:szCs w:val="21"/>
                <w:lang w:val="en-US" w:eastAsia="zh-CN"/>
              </w:rPr>
              <w:t xml:space="preserve"> 30</w:t>
            </w:r>
            <w:r>
              <w:rPr>
                <w:rFonts w:hint="eastAsia" w:ascii="宋体" w:hAnsi="宋体" w:cs="宋体"/>
                <w:szCs w:val="21"/>
              </w:rPr>
              <w:t xml:space="preserve"> 分（北京时间）前递交（上传）投标文件。</w:t>
            </w:r>
          </w:p>
        </w:tc>
      </w:tr>
    </w:tbl>
    <w:p w14:paraId="174F29B4">
      <w:pPr>
        <w:keepNext/>
        <w:keepLines/>
        <w:spacing w:line="360" w:lineRule="auto"/>
        <w:outlineLvl w:val="9"/>
        <w:rPr>
          <w:rFonts w:hint="eastAsia" w:ascii="黑体" w:hAnsi="黑体" w:eastAsia="黑体" w:cs="黑体"/>
          <w:b/>
          <w:sz w:val="24"/>
        </w:rPr>
      </w:pPr>
    </w:p>
    <w:p w14:paraId="3B538F60">
      <w:pPr>
        <w:keepNext/>
        <w:keepLines/>
        <w:spacing w:line="360" w:lineRule="auto"/>
        <w:ind w:left="661" w:hanging="241"/>
        <w:outlineLvl w:val="1"/>
        <w:rPr>
          <w:rFonts w:ascii="黑体" w:hAnsi="黑体" w:eastAsia="黑体" w:cs="黑体"/>
          <w:b/>
          <w:sz w:val="24"/>
        </w:rPr>
      </w:pPr>
      <w:r>
        <w:rPr>
          <w:rFonts w:hint="eastAsia" w:ascii="黑体" w:hAnsi="黑体" w:eastAsia="黑体" w:cs="黑体"/>
          <w:b/>
          <w:sz w:val="24"/>
        </w:rPr>
        <w:t>一、项目基本情况</w:t>
      </w:r>
    </w:p>
    <w:p w14:paraId="5481AEC2">
      <w:pPr>
        <w:spacing w:line="360" w:lineRule="auto"/>
        <w:ind w:left="420" w:firstLine="420" w:firstLineChars="200"/>
        <w:rPr>
          <w:rFonts w:ascii="宋体" w:hAnsi="宋体" w:cs="宋体"/>
          <w:bCs/>
          <w:szCs w:val="21"/>
        </w:rPr>
      </w:pPr>
      <w:r>
        <w:rPr>
          <w:rFonts w:hint="eastAsia" w:ascii="宋体" w:hAnsi="宋体" w:cs="宋体"/>
          <w:szCs w:val="21"/>
        </w:rPr>
        <w:t>项目编号：ZJCT2025-</w:t>
      </w:r>
      <w:r>
        <w:rPr>
          <w:rFonts w:hint="eastAsia" w:ascii="宋体" w:hAnsi="宋体" w:cs="宋体"/>
          <w:szCs w:val="21"/>
          <w:lang w:val="en-US" w:eastAsia="zh-CN"/>
        </w:rPr>
        <w:t>C</w:t>
      </w:r>
      <w:r>
        <w:rPr>
          <w:rFonts w:hint="eastAsia" w:ascii="宋体" w:hAnsi="宋体" w:cs="宋体"/>
          <w:szCs w:val="21"/>
        </w:rPr>
        <w:t>006</w:t>
      </w:r>
    </w:p>
    <w:p w14:paraId="3E2CF62A">
      <w:pPr>
        <w:spacing w:line="360" w:lineRule="auto"/>
        <w:ind w:left="420" w:firstLine="420" w:firstLineChars="200"/>
        <w:rPr>
          <w:rFonts w:ascii="宋体" w:hAnsi="宋体" w:cs="宋体"/>
          <w:szCs w:val="21"/>
        </w:rPr>
      </w:pPr>
      <w:r>
        <w:rPr>
          <w:rFonts w:hint="eastAsia" w:ascii="宋体" w:hAnsi="宋体" w:cs="宋体"/>
          <w:szCs w:val="21"/>
        </w:rPr>
        <w:t>项目名称：舟山市定海区公路照明能源托管项目</w:t>
      </w:r>
    </w:p>
    <w:p w14:paraId="272C9AA8">
      <w:pPr>
        <w:spacing w:line="360" w:lineRule="auto"/>
        <w:ind w:left="420" w:firstLine="420" w:firstLineChars="200"/>
        <w:rPr>
          <w:rFonts w:ascii="宋体" w:hAnsi="宋体" w:cs="宋体"/>
          <w:szCs w:val="21"/>
        </w:rPr>
      </w:pPr>
      <w:r>
        <w:rPr>
          <w:rFonts w:hint="eastAsia" w:ascii="宋体" w:hAnsi="宋体" w:cs="宋体"/>
          <w:szCs w:val="21"/>
        </w:rPr>
        <w:t>采购方式：公开招标</w:t>
      </w:r>
    </w:p>
    <w:p w14:paraId="0F705EAF">
      <w:pPr>
        <w:spacing w:line="360" w:lineRule="auto"/>
        <w:ind w:left="420" w:firstLine="420" w:firstLineChars="200"/>
        <w:rPr>
          <w:rFonts w:ascii="宋体" w:hAnsi="宋体" w:cs="宋体"/>
          <w:szCs w:val="21"/>
        </w:rPr>
      </w:pPr>
      <w:r>
        <w:rPr>
          <w:rFonts w:hint="eastAsia" w:ascii="宋体" w:hAnsi="宋体" w:cs="宋体"/>
          <w:szCs w:val="21"/>
        </w:rPr>
        <w:t>预算金额（元）：87405487</w:t>
      </w:r>
    </w:p>
    <w:p w14:paraId="3F1969D9">
      <w:pPr>
        <w:spacing w:line="360" w:lineRule="auto"/>
        <w:ind w:left="420" w:firstLine="420" w:firstLineChars="200"/>
        <w:rPr>
          <w:rFonts w:ascii="宋体" w:hAnsi="宋体" w:cs="宋体"/>
          <w:szCs w:val="21"/>
        </w:rPr>
      </w:pPr>
      <w:r>
        <w:rPr>
          <w:rFonts w:hint="eastAsia" w:ascii="宋体" w:hAnsi="宋体" w:cs="宋体"/>
          <w:szCs w:val="21"/>
        </w:rPr>
        <w:t>最高限价（元）：87405487</w:t>
      </w:r>
    </w:p>
    <w:p w14:paraId="1088D314">
      <w:pPr>
        <w:spacing w:line="360" w:lineRule="auto"/>
        <w:ind w:left="420" w:firstLine="420" w:firstLineChars="200"/>
        <w:rPr>
          <w:rFonts w:ascii="宋体" w:hAnsi="宋体" w:cs="宋体"/>
          <w:szCs w:val="21"/>
        </w:rPr>
      </w:pPr>
      <w:r>
        <w:rPr>
          <w:rFonts w:hint="eastAsia" w:ascii="宋体" w:hAnsi="宋体" w:cs="宋体"/>
          <w:szCs w:val="21"/>
        </w:rPr>
        <w:t>采购需求：</w:t>
      </w:r>
    </w:p>
    <w:p w14:paraId="1A2F459B">
      <w:pPr>
        <w:spacing w:line="360" w:lineRule="auto"/>
        <w:ind w:left="420" w:firstLine="420" w:firstLineChars="200"/>
        <w:rPr>
          <w:rFonts w:ascii="宋体" w:hAnsi="宋体" w:cs="宋体"/>
          <w:szCs w:val="21"/>
        </w:rPr>
      </w:pPr>
      <w:r>
        <w:rPr>
          <w:rFonts w:hint="eastAsia" w:ascii="宋体" w:hAnsi="宋体" w:cs="宋体"/>
          <w:szCs w:val="21"/>
        </w:rPr>
        <w:t xml:space="preserve">    标项一：</w:t>
      </w:r>
    </w:p>
    <w:p w14:paraId="52E4E9F9">
      <w:pPr>
        <w:spacing w:line="360" w:lineRule="auto"/>
        <w:ind w:left="420" w:firstLine="420" w:firstLineChars="200"/>
        <w:rPr>
          <w:rFonts w:ascii="宋体" w:hAnsi="宋体" w:cs="宋体"/>
          <w:szCs w:val="21"/>
        </w:rPr>
      </w:pPr>
      <w:r>
        <w:rPr>
          <w:rFonts w:hint="eastAsia" w:ascii="宋体" w:hAnsi="宋体" w:cs="宋体"/>
          <w:szCs w:val="21"/>
        </w:rPr>
        <w:tab/>
      </w:r>
      <w:r>
        <w:rPr>
          <w:rFonts w:hint="eastAsia" w:ascii="宋体" w:hAnsi="宋体" w:cs="宋体"/>
          <w:szCs w:val="21"/>
        </w:rPr>
        <w:t>标项名称：舟山市定海区公路照明能源托管项目</w:t>
      </w:r>
    </w:p>
    <w:p w14:paraId="2DD58838">
      <w:pPr>
        <w:spacing w:line="360" w:lineRule="auto"/>
        <w:ind w:left="420" w:firstLine="420" w:firstLineChars="200"/>
        <w:rPr>
          <w:rFonts w:ascii="宋体" w:hAnsi="宋体" w:cs="宋体"/>
          <w:szCs w:val="21"/>
        </w:rPr>
      </w:pPr>
      <w:r>
        <w:rPr>
          <w:rFonts w:hint="eastAsia" w:ascii="宋体" w:hAnsi="宋体" w:cs="宋体"/>
          <w:szCs w:val="21"/>
        </w:rPr>
        <w:tab/>
      </w:r>
      <w:r>
        <w:rPr>
          <w:rFonts w:hint="eastAsia" w:ascii="宋体" w:hAnsi="宋体" w:cs="宋体"/>
          <w:szCs w:val="21"/>
        </w:rPr>
        <w:t>数量：1</w:t>
      </w:r>
    </w:p>
    <w:p w14:paraId="74152DD6">
      <w:pPr>
        <w:spacing w:line="360" w:lineRule="auto"/>
        <w:ind w:left="420" w:firstLine="420" w:firstLineChars="200"/>
        <w:rPr>
          <w:rFonts w:ascii="宋体" w:hAnsi="宋体" w:cs="宋体"/>
          <w:szCs w:val="21"/>
        </w:rPr>
      </w:pPr>
      <w:r>
        <w:rPr>
          <w:rFonts w:hint="eastAsia" w:ascii="宋体" w:hAnsi="宋体" w:cs="宋体"/>
          <w:szCs w:val="21"/>
        </w:rPr>
        <w:tab/>
      </w:r>
      <w:r>
        <w:rPr>
          <w:rFonts w:hint="eastAsia" w:ascii="宋体" w:hAnsi="宋体" w:cs="宋体"/>
          <w:szCs w:val="21"/>
        </w:rPr>
        <w:t>单位：项</w:t>
      </w:r>
    </w:p>
    <w:p w14:paraId="187A513E">
      <w:pPr>
        <w:spacing w:line="360" w:lineRule="auto"/>
        <w:ind w:left="420" w:firstLine="420" w:firstLineChars="200"/>
        <w:rPr>
          <w:rFonts w:ascii="宋体" w:hAnsi="宋体" w:cs="宋体"/>
          <w:szCs w:val="21"/>
        </w:rPr>
      </w:pPr>
      <w:r>
        <w:rPr>
          <w:rFonts w:hint="eastAsia" w:ascii="宋体" w:hAnsi="宋体" w:cs="宋体"/>
          <w:szCs w:val="21"/>
        </w:rPr>
        <w:tab/>
      </w:r>
      <w:r>
        <w:rPr>
          <w:rFonts w:hint="eastAsia" w:ascii="宋体" w:hAnsi="宋体" w:cs="宋体"/>
          <w:szCs w:val="21"/>
        </w:rPr>
        <w:t>预算金额（元）：87405487</w:t>
      </w:r>
    </w:p>
    <w:p w14:paraId="5CDA7A34">
      <w:pPr>
        <w:spacing w:line="360" w:lineRule="auto"/>
        <w:ind w:left="420" w:firstLine="420" w:firstLineChars="200"/>
        <w:rPr>
          <w:rFonts w:ascii="宋体" w:hAnsi="宋体" w:cs="宋体"/>
          <w:szCs w:val="21"/>
        </w:rPr>
      </w:pPr>
      <w:r>
        <w:rPr>
          <w:rFonts w:hint="eastAsia" w:ascii="宋体" w:hAnsi="宋体" w:cs="宋体"/>
          <w:szCs w:val="21"/>
        </w:rPr>
        <w:tab/>
      </w:r>
      <w:r>
        <w:rPr>
          <w:rFonts w:hint="eastAsia" w:ascii="宋体" w:hAnsi="宋体" w:cs="宋体"/>
          <w:szCs w:val="21"/>
        </w:rPr>
        <w:t>简要规格描述或项目基本概况介绍、用途：舟山市定海区公路照明能源托管项目</w:t>
      </w:r>
      <w:r>
        <w:rPr>
          <w:rFonts w:hint="eastAsia"/>
          <w:szCs w:val="21"/>
        </w:rPr>
        <w:t>。</w:t>
      </w:r>
      <w:r>
        <w:rPr>
          <w:rFonts w:hint="eastAsia" w:ascii="宋体" w:hAnsi="宋体" w:cs="宋体"/>
          <w:szCs w:val="21"/>
        </w:rPr>
        <w:t>具体要求详见招标文件“第二章 采购需求”。</w:t>
      </w:r>
    </w:p>
    <w:p w14:paraId="3F91FD37">
      <w:pPr>
        <w:spacing w:line="360" w:lineRule="auto"/>
        <w:ind w:left="420" w:firstLine="735" w:firstLineChars="350"/>
        <w:rPr>
          <w:rFonts w:ascii="宋体" w:hAnsi="宋体" w:cs="宋体"/>
          <w:szCs w:val="21"/>
        </w:rPr>
      </w:pPr>
      <w:r>
        <w:rPr>
          <w:rFonts w:hint="eastAsia" w:ascii="宋体" w:hAnsi="宋体" w:cs="宋体"/>
          <w:szCs w:val="21"/>
        </w:rPr>
        <w:t>备注： 本项目不允许进口。</w:t>
      </w:r>
    </w:p>
    <w:p w14:paraId="3B2DCA68">
      <w:pPr>
        <w:spacing w:line="360" w:lineRule="auto"/>
        <w:ind w:left="420" w:firstLine="420" w:firstLineChars="200"/>
        <w:rPr>
          <w:rFonts w:ascii="宋体" w:hAnsi="宋体" w:cs="宋体"/>
          <w:szCs w:val="21"/>
          <w:highlight w:val="green"/>
        </w:rPr>
      </w:pPr>
      <w:r>
        <w:rPr>
          <w:rFonts w:hint="eastAsia" w:ascii="宋体" w:hAnsi="宋体" w:cs="宋体"/>
          <w:szCs w:val="21"/>
        </w:rPr>
        <w:t>合同履行期限：</w:t>
      </w:r>
      <w:r>
        <w:rPr>
          <w:rFonts w:hint="eastAsia" w:ascii="宋体" w:hAnsi="宋体" w:cs="宋体"/>
          <w:szCs w:val="21"/>
          <w:highlight w:val="none"/>
        </w:rPr>
        <w:t>标项一,</w:t>
      </w:r>
      <w:r>
        <w:rPr>
          <w:rFonts w:hint="eastAsia"/>
          <w:szCs w:val="21"/>
          <w:highlight w:val="none"/>
        </w:rPr>
        <w:t>自合同签订起10年（含节能改造期3个月）。</w:t>
      </w:r>
    </w:p>
    <w:p w14:paraId="342A762D">
      <w:pPr>
        <w:spacing w:line="420" w:lineRule="exact"/>
        <w:ind w:left="420" w:firstLine="420" w:firstLineChars="200"/>
        <w:contextualSpacing/>
        <w:rPr>
          <w:rFonts w:ascii="宋体" w:hAnsi="宋体" w:cs="宋体"/>
          <w:szCs w:val="21"/>
        </w:rPr>
      </w:pPr>
      <w:r>
        <w:rPr>
          <w:rFonts w:hint="eastAsia" w:ascii="宋体" w:hAnsi="宋体" w:cs="宋体"/>
          <w:szCs w:val="21"/>
        </w:rPr>
        <w:t>本项目接受联合体投标：</w:t>
      </w:r>
      <w:r>
        <w:rPr>
          <w:rFonts w:hint="eastAsia" w:ascii="宋体" w:hAnsi="宋体" w:cs="宋体"/>
          <w:b/>
          <w:szCs w:val="21"/>
        </w:rPr>
        <w:sym w:font="Wingdings" w:char="00A8"/>
      </w:r>
      <w:r>
        <w:rPr>
          <w:rFonts w:hint="eastAsia" w:ascii="宋体" w:hAnsi="宋体" w:cs="宋体"/>
          <w:szCs w:val="21"/>
        </w:rPr>
        <w:t>是，</w:t>
      </w:r>
      <w:r>
        <w:rPr>
          <w:rFonts w:hint="eastAsia" w:ascii="宋体" w:hAnsi="宋体" w:cs="宋体"/>
          <w:b/>
          <w:szCs w:val="21"/>
        </w:rPr>
        <w:sym w:font="Wingdings" w:char="00FE"/>
      </w:r>
      <w:r>
        <w:rPr>
          <w:rFonts w:hint="eastAsia" w:ascii="宋体" w:hAnsi="宋体" w:cs="宋体"/>
          <w:szCs w:val="21"/>
        </w:rPr>
        <w:t>否</w:t>
      </w:r>
    </w:p>
    <w:p w14:paraId="6660957E">
      <w:pPr>
        <w:keepNext/>
        <w:keepLines/>
        <w:spacing w:line="360" w:lineRule="auto"/>
        <w:ind w:left="661" w:hanging="241"/>
        <w:outlineLvl w:val="1"/>
        <w:rPr>
          <w:rFonts w:ascii="黑体" w:hAnsi="黑体" w:eastAsia="黑体" w:cs="黑体"/>
          <w:b/>
          <w:sz w:val="24"/>
        </w:rPr>
      </w:pPr>
      <w:bookmarkStart w:id="3" w:name="_Toc35393791"/>
      <w:bookmarkStart w:id="4" w:name="_Toc28359080"/>
      <w:bookmarkStart w:id="5" w:name="_Toc35393622"/>
      <w:bookmarkStart w:id="6" w:name="_Toc28359003"/>
      <w:r>
        <w:rPr>
          <w:rFonts w:hint="eastAsia" w:ascii="黑体" w:hAnsi="黑体" w:eastAsia="黑体" w:cs="黑体"/>
          <w:b/>
          <w:sz w:val="24"/>
        </w:rPr>
        <w:t>二、申请人的资格要求：</w:t>
      </w:r>
      <w:bookmarkEnd w:id="3"/>
      <w:bookmarkEnd w:id="4"/>
      <w:bookmarkEnd w:id="5"/>
      <w:bookmarkEnd w:id="6"/>
    </w:p>
    <w:p w14:paraId="23579E57">
      <w:pPr>
        <w:spacing w:line="360" w:lineRule="auto"/>
        <w:ind w:left="420" w:firstLine="420" w:firstLineChars="200"/>
        <w:rPr>
          <w:rFonts w:ascii="宋体" w:hAnsi="宋体" w:cs="宋体"/>
          <w:szCs w:val="21"/>
        </w:rPr>
      </w:pPr>
      <w:r>
        <w:rPr>
          <w:rFonts w:hint="eastAsia" w:ascii="宋体" w:hAnsi="宋体" w:cs="宋体"/>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7E03109A">
      <w:pPr>
        <w:spacing w:line="360" w:lineRule="auto"/>
        <w:ind w:left="420" w:firstLine="420" w:firstLineChars="200"/>
        <w:rPr>
          <w:rFonts w:ascii="宋体" w:hAnsi="宋体" w:cs="宋体"/>
          <w:szCs w:val="21"/>
          <w:highlight w:val="none"/>
        </w:rPr>
      </w:pPr>
      <w:bookmarkStart w:id="7" w:name="_Toc28359004"/>
      <w:bookmarkStart w:id="8" w:name="_Toc28359081"/>
      <w:r>
        <w:rPr>
          <w:rFonts w:hint="eastAsia" w:ascii="宋体" w:hAnsi="宋体" w:cs="宋体"/>
          <w:szCs w:val="21"/>
          <w:highlight w:val="none"/>
        </w:rPr>
        <w:t>2.落实政府采购政策需满足的资格要求：</w:t>
      </w:r>
    </w:p>
    <w:p w14:paraId="718ADC54">
      <w:pPr>
        <w:spacing w:line="420" w:lineRule="exact"/>
        <w:ind w:left="420" w:firstLine="420" w:firstLineChars="200"/>
        <w:contextualSpacing/>
        <w:rPr>
          <w:rFonts w:ascii="宋体" w:hAnsi="宋体" w:cs="宋体"/>
          <w:szCs w:val="21"/>
          <w:highlight w:val="none"/>
        </w:rPr>
      </w:pPr>
      <w:r>
        <w:rPr>
          <w:rFonts w:hint="eastAsia" w:ascii="宋体" w:hAnsi="宋体" w:cs="宋体"/>
          <w:szCs w:val="21"/>
          <w:highlight w:val="none"/>
        </w:rPr>
        <w:sym w:font="Wingdings" w:char="00A8"/>
      </w:r>
      <w:r>
        <w:rPr>
          <w:rFonts w:hint="eastAsia" w:ascii="宋体" w:hAnsi="宋体" w:cs="宋体"/>
          <w:szCs w:val="21"/>
          <w:highlight w:val="none"/>
        </w:rPr>
        <w:t>无</w:t>
      </w:r>
    </w:p>
    <w:p w14:paraId="1BAF4B65">
      <w:pPr>
        <w:spacing w:line="420" w:lineRule="exact"/>
        <w:ind w:left="420" w:firstLine="422" w:firstLineChars="200"/>
        <w:contextualSpacing/>
        <w:rPr>
          <w:rFonts w:ascii="宋体" w:hAnsi="宋体" w:cs="宋体"/>
          <w:szCs w:val="21"/>
          <w:highlight w:val="none"/>
        </w:rPr>
      </w:pPr>
      <w:r>
        <w:rPr>
          <w:rFonts w:hint="eastAsia" w:ascii="宋体" w:hAnsi="宋体" w:cs="宋体"/>
          <w:b/>
          <w:szCs w:val="21"/>
          <w:highlight w:val="none"/>
        </w:rPr>
        <w:sym w:font="Wingdings" w:char="00FE"/>
      </w:r>
      <w:r>
        <w:rPr>
          <w:rFonts w:hint="eastAsia" w:ascii="宋体" w:hAnsi="宋体" w:cs="宋体"/>
          <w:szCs w:val="21"/>
          <w:highlight w:val="none"/>
        </w:rPr>
        <w:t>专门面向中小企业</w:t>
      </w:r>
    </w:p>
    <w:p w14:paraId="7CD20600">
      <w:pPr>
        <w:spacing w:line="420" w:lineRule="exact"/>
        <w:ind w:left="420" w:firstLine="840" w:firstLineChars="400"/>
        <w:contextualSpacing/>
        <w:rPr>
          <w:rFonts w:ascii="宋体" w:hAnsi="宋体" w:cs="宋体"/>
          <w:szCs w:val="21"/>
          <w:highlight w:val="none"/>
        </w:rPr>
      </w:pPr>
      <w:r>
        <w:rPr>
          <w:rFonts w:hint="eastAsia" w:ascii="宋体" w:hAnsi="宋体" w:cs="宋体"/>
          <w:szCs w:val="21"/>
          <w:highlight w:val="none"/>
        </w:rPr>
        <w:t>☐货物全部由符合政策要求的中小企业制造，提供中小企业声明函；</w:t>
      </w:r>
    </w:p>
    <w:p w14:paraId="5D680685">
      <w:pPr>
        <w:spacing w:line="420" w:lineRule="exact"/>
        <w:ind w:left="420" w:firstLine="843" w:firstLineChars="400"/>
        <w:contextualSpacing/>
        <w:rPr>
          <w:rFonts w:ascii="宋体" w:hAnsi="宋体" w:cs="宋体"/>
          <w:szCs w:val="21"/>
          <w:highlight w:val="none"/>
        </w:rPr>
      </w:pPr>
      <w:r>
        <w:rPr>
          <w:rFonts w:hint="eastAsia" w:ascii="宋体" w:hAnsi="宋体" w:cs="宋体"/>
          <w:b/>
          <w:szCs w:val="21"/>
          <w:highlight w:val="none"/>
        </w:rPr>
        <w:sym w:font="Wingdings" w:char="00FE"/>
      </w:r>
      <w:r>
        <w:rPr>
          <w:rFonts w:hint="eastAsia" w:ascii="宋体" w:hAnsi="宋体" w:cs="宋体"/>
          <w:szCs w:val="21"/>
          <w:highlight w:val="none"/>
        </w:rPr>
        <w:t>服务全部由符合政策要求的中小企业承接，提供中小企业声明函；</w:t>
      </w:r>
    </w:p>
    <w:p w14:paraId="531EA95F">
      <w:pPr>
        <w:pStyle w:val="23"/>
        <w:spacing w:line="360" w:lineRule="auto"/>
        <w:ind w:left="420" w:firstLine="420" w:firstLineChars="200"/>
        <w:rPr>
          <w:rFonts w:ascii="宋体" w:hAnsi="宋体" w:cs="宋体"/>
          <w:kern w:val="2"/>
          <w:sz w:val="21"/>
          <w:szCs w:val="21"/>
        </w:rPr>
      </w:pPr>
      <w:r>
        <w:rPr>
          <w:rFonts w:hint="eastAsia" w:ascii="宋体" w:hAnsi="宋体" w:cs="宋体"/>
          <w:kern w:val="2"/>
          <w:sz w:val="21"/>
          <w:szCs w:val="21"/>
        </w:rPr>
        <w:t>3、本项目的特定资格要求：/</w:t>
      </w:r>
    </w:p>
    <w:p w14:paraId="5FDB3E9A">
      <w:pPr>
        <w:pStyle w:val="23"/>
        <w:ind w:left="661" w:hanging="241"/>
        <w:outlineLvl w:val="1"/>
        <w:rPr>
          <w:rFonts w:ascii="黑体" w:hAnsi="黑体" w:eastAsia="黑体" w:cs="黑体"/>
          <w:b/>
          <w:sz w:val="24"/>
        </w:rPr>
      </w:pPr>
      <w:bookmarkStart w:id="9" w:name="_Toc35393792"/>
      <w:bookmarkStart w:id="10" w:name="_Toc35393623"/>
      <w:r>
        <w:rPr>
          <w:rFonts w:hint="eastAsia" w:ascii="黑体" w:hAnsi="黑体" w:eastAsia="黑体" w:cs="黑体"/>
          <w:b/>
          <w:sz w:val="24"/>
        </w:rPr>
        <w:t>三、获取</w:t>
      </w:r>
      <w:bookmarkEnd w:id="7"/>
      <w:bookmarkEnd w:id="8"/>
      <w:bookmarkEnd w:id="9"/>
      <w:bookmarkEnd w:id="10"/>
      <w:r>
        <w:rPr>
          <w:rFonts w:hint="eastAsia" w:ascii="黑体" w:hAnsi="黑体" w:eastAsia="黑体" w:cs="黑体"/>
          <w:b/>
          <w:sz w:val="24"/>
        </w:rPr>
        <w:t>招标文件</w:t>
      </w:r>
    </w:p>
    <w:p w14:paraId="7BAB349C">
      <w:pPr>
        <w:spacing w:line="360" w:lineRule="auto"/>
        <w:ind w:left="210" w:leftChars="100" w:firstLine="420" w:firstLineChars="200"/>
        <w:jc w:val="both"/>
        <w:rPr>
          <w:rFonts w:ascii="宋体" w:hAnsi="宋体" w:cs="宋体"/>
          <w:szCs w:val="21"/>
        </w:rPr>
      </w:pPr>
      <w:r>
        <w:rPr>
          <w:rFonts w:hint="eastAsia" w:ascii="宋体" w:hAnsi="宋体" w:cs="宋体"/>
          <w:szCs w:val="21"/>
        </w:rPr>
        <w:t xml:space="preserve">1.时间：/至2025年 </w:t>
      </w:r>
      <w:r>
        <w:rPr>
          <w:rFonts w:hint="eastAsia" w:ascii="宋体" w:hAnsi="宋体" w:cs="宋体"/>
          <w:szCs w:val="21"/>
          <w:lang w:val="en-US" w:eastAsia="zh-CN"/>
        </w:rPr>
        <w:t>7</w:t>
      </w:r>
      <w:r>
        <w:rPr>
          <w:rFonts w:hint="eastAsia" w:ascii="宋体" w:hAnsi="宋体" w:cs="宋体"/>
          <w:szCs w:val="21"/>
        </w:rPr>
        <w:t xml:space="preserve"> 月 </w:t>
      </w:r>
      <w:r>
        <w:rPr>
          <w:rFonts w:hint="eastAsia" w:ascii="宋体" w:hAnsi="宋体" w:cs="宋体"/>
          <w:szCs w:val="21"/>
          <w:lang w:val="en-US" w:eastAsia="zh-CN"/>
        </w:rPr>
        <w:t>11</w:t>
      </w:r>
      <w:r>
        <w:rPr>
          <w:rFonts w:hint="eastAsia" w:ascii="宋体" w:hAnsi="宋体" w:cs="宋体"/>
          <w:szCs w:val="21"/>
        </w:rPr>
        <w:t xml:space="preserve"> 日，每天上午00:00至12:00，下午12:00至23:59（北京时间，线上获取法定节假日均可，线下获取文件法定节假日除外）。</w:t>
      </w:r>
    </w:p>
    <w:p w14:paraId="051D951A">
      <w:pPr>
        <w:spacing w:line="360" w:lineRule="auto"/>
        <w:ind w:left="210" w:leftChars="100" w:firstLine="420" w:firstLineChars="200"/>
        <w:jc w:val="both"/>
        <w:rPr>
          <w:rFonts w:ascii="宋体" w:hAnsi="宋体" w:cs="宋体"/>
          <w:szCs w:val="21"/>
          <w:u w:val="single"/>
        </w:rPr>
      </w:pPr>
      <w:r>
        <w:rPr>
          <w:rFonts w:hint="eastAsia" w:ascii="宋体" w:hAnsi="宋体" w:cs="宋体"/>
          <w:szCs w:val="21"/>
        </w:rPr>
        <w:t>2.地点（网址）：https://www.zcygov.cn</w:t>
      </w:r>
    </w:p>
    <w:p w14:paraId="735AA580">
      <w:pPr>
        <w:spacing w:line="360" w:lineRule="auto"/>
        <w:ind w:left="210" w:leftChars="100" w:firstLine="420" w:firstLineChars="200"/>
        <w:jc w:val="both"/>
        <w:rPr>
          <w:rFonts w:ascii="宋体" w:hAnsi="宋体" w:cs="宋体"/>
          <w:szCs w:val="21"/>
          <w:u w:val="single"/>
        </w:rPr>
      </w:pPr>
      <w:r>
        <w:rPr>
          <w:rFonts w:hint="eastAsia" w:ascii="宋体" w:hAnsi="宋体" w:cs="宋体"/>
          <w:szCs w:val="21"/>
        </w:rPr>
        <w:t>3.方式：（1）线上获取（登录政府采购云平台 → 项目采购 → 获取招标文件 → 申请，审核通过后可下载招标文件）。本次采购不提供纸质版招标文件。（2）投标人获取招标文件前应通过浙江政府采购网“浙江政府采购投标人信息登记管理系统”进行信息登记，获得线上政府采购活动操作权限。（3）招标公告所附招标文件仅供阅览使用，投标人只有在“政府采购云平台”完成获取招标文件申请并下载了招标文件后才被视为合法获取了招标文件，否则其投标将被拒绝。</w:t>
      </w:r>
    </w:p>
    <w:p w14:paraId="2288661D">
      <w:pPr>
        <w:spacing w:line="360" w:lineRule="auto"/>
        <w:ind w:left="210" w:leftChars="100" w:firstLine="420" w:firstLineChars="200"/>
        <w:jc w:val="both"/>
        <w:rPr>
          <w:rFonts w:ascii="宋体" w:hAnsi="宋体" w:cs="宋体"/>
          <w:szCs w:val="21"/>
        </w:rPr>
      </w:pPr>
      <w:r>
        <w:rPr>
          <w:rFonts w:hint="eastAsia" w:ascii="宋体" w:hAnsi="宋体" w:cs="宋体"/>
          <w:szCs w:val="21"/>
        </w:rPr>
        <w:t>4.售价（元）：0</w:t>
      </w:r>
    </w:p>
    <w:p w14:paraId="05F200BE">
      <w:pPr>
        <w:keepNext/>
        <w:keepLines/>
        <w:spacing w:line="360" w:lineRule="auto"/>
        <w:ind w:left="661" w:hanging="241"/>
        <w:outlineLvl w:val="1"/>
        <w:rPr>
          <w:rFonts w:ascii="黑体" w:hAnsi="黑体" w:eastAsia="黑体" w:cs="黑体"/>
          <w:b/>
          <w:sz w:val="24"/>
        </w:rPr>
      </w:pPr>
      <w:r>
        <w:rPr>
          <w:rFonts w:hint="eastAsia" w:ascii="黑体" w:hAnsi="黑体" w:eastAsia="黑体" w:cs="黑体"/>
          <w:b/>
          <w:sz w:val="24"/>
        </w:rPr>
        <w:t>四、提交投标文件截止时间、开标时间和地点</w:t>
      </w:r>
    </w:p>
    <w:p w14:paraId="70304C30">
      <w:pPr>
        <w:spacing w:line="360" w:lineRule="auto"/>
        <w:ind w:firstLine="630" w:firstLineChars="300"/>
        <w:rPr>
          <w:rFonts w:ascii="宋体" w:hAnsi="宋体" w:cs="宋体"/>
          <w:bCs/>
          <w:szCs w:val="21"/>
        </w:rPr>
      </w:pPr>
      <w:r>
        <w:rPr>
          <w:rFonts w:hint="eastAsia" w:ascii="宋体" w:hAnsi="宋体" w:cs="宋体"/>
          <w:bCs/>
          <w:szCs w:val="21"/>
        </w:rPr>
        <w:t>1.提交投标文件截止时间：</w:t>
      </w:r>
      <w:r>
        <w:rPr>
          <w:rFonts w:hint="eastAsia" w:ascii="宋体" w:hAnsi="宋体" w:cs="宋体"/>
          <w:szCs w:val="21"/>
        </w:rPr>
        <w:t xml:space="preserve">2025年 </w:t>
      </w:r>
      <w:r>
        <w:rPr>
          <w:rFonts w:hint="eastAsia" w:ascii="宋体" w:hAnsi="宋体" w:cs="宋体"/>
          <w:szCs w:val="21"/>
          <w:lang w:val="en-US" w:eastAsia="zh-CN"/>
        </w:rPr>
        <w:t>7</w:t>
      </w:r>
      <w:r>
        <w:rPr>
          <w:rFonts w:hint="eastAsia" w:ascii="宋体" w:hAnsi="宋体" w:cs="宋体"/>
          <w:szCs w:val="21"/>
        </w:rPr>
        <w:t xml:space="preserve"> 月</w:t>
      </w:r>
      <w:r>
        <w:rPr>
          <w:rFonts w:hint="eastAsia" w:ascii="宋体" w:hAnsi="宋体" w:cs="宋体"/>
          <w:szCs w:val="21"/>
          <w:lang w:val="en-US" w:eastAsia="zh-CN"/>
        </w:rPr>
        <w:t>11</w:t>
      </w:r>
      <w:r>
        <w:rPr>
          <w:rFonts w:hint="eastAsia" w:ascii="宋体" w:hAnsi="宋体" w:cs="宋体"/>
          <w:szCs w:val="21"/>
        </w:rPr>
        <w:t xml:space="preserve"> 日</w:t>
      </w:r>
      <w:r>
        <w:rPr>
          <w:rFonts w:hint="eastAsia" w:ascii="宋体" w:hAnsi="宋体" w:cs="宋体"/>
          <w:szCs w:val="21"/>
          <w:lang w:val="en-US" w:eastAsia="zh-CN"/>
        </w:rPr>
        <w:t xml:space="preserve"> 9</w:t>
      </w:r>
      <w:r>
        <w:rPr>
          <w:rFonts w:hint="eastAsia" w:ascii="宋体" w:hAnsi="宋体" w:cs="宋体"/>
          <w:szCs w:val="21"/>
        </w:rPr>
        <w:t xml:space="preserve"> 时</w:t>
      </w:r>
      <w:r>
        <w:rPr>
          <w:rFonts w:hint="eastAsia" w:ascii="宋体" w:hAnsi="宋体" w:cs="宋体"/>
          <w:szCs w:val="21"/>
          <w:lang w:val="en-US" w:eastAsia="zh-CN"/>
        </w:rPr>
        <w:t>30</w:t>
      </w:r>
      <w:r>
        <w:rPr>
          <w:rFonts w:hint="eastAsia" w:ascii="宋体" w:hAnsi="宋体" w:cs="宋体"/>
          <w:szCs w:val="21"/>
        </w:rPr>
        <w:t>分</w:t>
      </w:r>
      <w:bookmarkStart w:id="95" w:name="_GoBack"/>
      <w:bookmarkEnd w:id="95"/>
      <w:r>
        <w:rPr>
          <w:rFonts w:hint="eastAsia" w:ascii="宋体" w:hAnsi="宋体" w:cs="宋体"/>
          <w:bCs/>
          <w:szCs w:val="21"/>
        </w:rPr>
        <w:t>（北京时间）</w:t>
      </w:r>
    </w:p>
    <w:p w14:paraId="1236EB36">
      <w:pPr>
        <w:spacing w:line="360" w:lineRule="auto"/>
        <w:ind w:firstLine="630" w:firstLineChars="300"/>
        <w:rPr>
          <w:rFonts w:ascii="宋体" w:hAnsi="宋体" w:cs="宋体"/>
          <w:bCs/>
          <w:szCs w:val="21"/>
        </w:rPr>
      </w:pPr>
      <w:r>
        <w:rPr>
          <w:rFonts w:hint="eastAsia" w:ascii="宋体" w:hAnsi="宋体" w:cs="宋体"/>
          <w:bCs/>
          <w:szCs w:val="21"/>
        </w:rPr>
        <w:t>2.投标地点（网址）：（1）“电子加密投标文件”：https://www.zcygov.cn在线投标；</w:t>
      </w:r>
    </w:p>
    <w:p w14:paraId="64CC031E">
      <w:pPr>
        <w:spacing w:line="360" w:lineRule="auto"/>
        <w:ind w:firstLine="2730" w:firstLineChars="1300"/>
        <w:rPr>
          <w:rFonts w:ascii="宋体" w:hAnsi="宋体" w:cs="宋体"/>
          <w:bCs/>
          <w:szCs w:val="21"/>
        </w:rPr>
      </w:pPr>
      <w:r>
        <w:rPr>
          <w:rFonts w:hint="eastAsia" w:ascii="宋体" w:hAnsi="宋体" w:cs="宋体"/>
          <w:bCs/>
          <w:szCs w:val="21"/>
        </w:rPr>
        <w:t>（2）“电子备份投标文件”邮寄或送达地址：详见招标文件第三章。</w:t>
      </w:r>
    </w:p>
    <w:p w14:paraId="658AE546">
      <w:pPr>
        <w:spacing w:line="360" w:lineRule="auto"/>
        <w:ind w:firstLine="630" w:firstLineChars="300"/>
        <w:rPr>
          <w:rFonts w:ascii="宋体" w:hAnsi="宋体" w:cs="宋体"/>
          <w:bCs/>
          <w:szCs w:val="21"/>
        </w:rPr>
      </w:pPr>
      <w:r>
        <w:rPr>
          <w:rFonts w:hint="eastAsia" w:ascii="宋体" w:hAnsi="宋体" w:cs="宋体"/>
          <w:bCs/>
          <w:szCs w:val="21"/>
        </w:rPr>
        <w:t xml:space="preserve">3.开标时间：2025年 </w:t>
      </w:r>
      <w:r>
        <w:rPr>
          <w:rFonts w:hint="eastAsia" w:ascii="宋体" w:hAnsi="宋体" w:cs="宋体"/>
          <w:bCs/>
          <w:szCs w:val="21"/>
          <w:lang w:val="en-US" w:eastAsia="zh-CN"/>
        </w:rPr>
        <w:t>7</w:t>
      </w:r>
      <w:r>
        <w:rPr>
          <w:rFonts w:hint="eastAsia" w:ascii="宋体" w:hAnsi="宋体" w:cs="宋体"/>
          <w:bCs/>
          <w:szCs w:val="21"/>
        </w:rPr>
        <w:t xml:space="preserve"> 月</w:t>
      </w:r>
      <w:r>
        <w:rPr>
          <w:rFonts w:hint="eastAsia" w:ascii="宋体" w:hAnsi="宋体" w:cs="宋体"/>
          <w:bCs/>
          <w:szCs w:val="21"/>
          <w:lang w:val="en-US" w:eastAsia="zh-CN"/>
        </w:rPr>
        <w:t xml:space="preserve"> 11</w:t>
      </w:r>
      <w:r>
        <w:rPr>
          <w:rFonts w:hint="eastAsia" w:ascii="宋体" w:hAnsi="宋体" w:cs="宋体"/>
          <w:bCs/>
          <w:szCs w:val="21"/>
        </w:rPr>
        <w:t xml:space="preserve"> 日</w:t>
      </w:r>
      <w:r>
        <w:rPr>
          <w:rFonts w:hint="eastAsia" w:ascii="宋体" w:hAnsi="宋体" w:cs="宋体"/>
          <w:bCs/>
          <w:szCs w:val="21"/>
          <w:lang w:val="en-US" w:eastAsia="zh-CN"/>
        </w:rPr>
        <w:t>9</w:t>
      </w:r>
      <w:r>
        <w:rPr>
          <w:rFonts w:hint="eastAsia" w:ascii="宋体" w:hAnsi="宋体" w:cs="宋体"/>
          <w:bCs/>
          <w:szCs w:val="21"/>
        </w:rPr>
        <w:t xml:space="preserve"> 时</w:t>
      </w:r>
      <w:r>
        <w:rPr>
          <w:rFonts w:hint="eastAsia" w:ascii="宋体" w:hAnsi="宋体" w:cs="宋体"/>
          <w:bCs/>
          <w:szCs w:val="21"/>
          <w:lang w:val="en-US" w:eastAsia="zh-CN"/>
        </w:rPr>
        <w:t>30</w:t>
      </w:r>
      <w:r>
        <w:rPr>
          <w:rFonts w:hint="eastAsia" w:ascii="宋体" w:hAnsi="宋体" w:cs="宋体"/>
          <w:bCs/>
          <w:szCs w:val="21"/>
        </w:rPr>
        <w:t>分（北京时间）</w:t>
      </w:r>
    </w:p>
    <w:p w14:paraId="73D6D7D5">
      <w:pPr>
        <w:spacing w:line="360" w:lineRule="auto"/>
        <w:ind w:firstLine="630" w:firstLineChars="300"/>
        <w:rPr>
          <w:rFonts w:ascii="宋体" w:hAnsi="宋体" w:cs="宋体"/>
          <w:bCs/>
          <w:szCs w:val="21"/>
        </w:rPr>
      </w:pPr>
      <w:r>
        <w:rPr>
          <w:rFonts w:hint="eastAsia" w:ascii="宋体" w:hAnsi="宋体" w:cs="宋体"/>
          <w:bCs/>
          <w:szCs w:val="21"/>
        </w:rPr>
        <w:t>4.开标地点（网址）：https://www.zcygov.cn</w:t>
      </w:r>
    </w:p>
    <w:p w14:paraId="4D28252B">
      <w:pPr>
        <w:keepNext/>
        <w:keepLines/>
        <w:spacing w:line="360" w:lineRule="auto"/>
        <w:ind w:left="661" w:hanging="241"/>
        <w:outlineLvl w:val="1"/>
        <w:rPr>
          <w:rFonts w:ascii="黑体" w:hAnsi="黑体" w:eastAsia="黑体" w:cs="黑体"/>
          <w:b/>
          <w:sz w:val="24"/>
        </w:rPr>
      </w:pPr>
      <w:r>
        <w:rPr>
          <w:rFonts w:hint="eastAsia" w:ascii="黑体" w:hAnsi="黑体" w:eastAsia="黑体" w:cs="黑体"/>
          <w:b/>
          <w:sz w:val="24"/>
        </w:rPr>
        <w:t>五、公告期限</w:t>
      </w:r>
    </w:p>
    <w:p w14:paraId="042415DA">
      <w:pPr>
        <w:spacing w:line="360" w:lineRule="auto"/>
        <w:ind w:left="420" w:firstLine="420" w:firstLineChars="200"/>
        <w:rPr>
          <w:rFonts w:ascii="宋体" w:hAnsi="宋体" w:cs="宋体"/>
          <w:kern w:val="0"/>
          <w:szCs w:val="21"/>
        </w:rPr>
      </w:pPr>
      <w:r>
        <w:rPr>
          <w:rFonts w:hint="eastAsia" w:ascii="宋体" w:hAnsi="宋体" w:cs="宋体"/>
          <w:kern w:val="0"/>
          <w:szCs w:val="21"/>
        </w:rPr>
        <w:t>自本公告发布之日起5个工作日。</w:t>
      </w:r>
    </w:p>
    <w:p w14:paraId="53A54AF0">
      <w:pPr>
        <w:keepNext/>
        <w:keepLines/>
        <w:spacing w:line="360" w:lineRule="auto"/>
        <w:ind w:left="661" w:hanging="241"/>
        <w:outlineLvl w:val="1"/>
        <w:rPr>
          <w:rFonts w:ascii="黑体" w:hAnsi="黑体" w:eastAsia="黑体" w:cs="黑体"/>
          <w:b/>
          <w:sz w:val="24"/>
        </w:rPr>
      </w:pPr>
      <w:r>
        <w:rPr>
          <w:rFonts w:hint="eastAsia" w:ascii="黑体" w:hAnsi="黑体" w:eastAsia="黑体" w:cs="黑体"/>
          <w:b/>
          <w:sz w:val="24"/>
        </w:rPr>
        <w:t>六、其他补充事宜</w:t>
      </w:r>
    </w:p>
    <w:p w14:paraId="47525272">
      <w:pPr>
        <w:spacing w:line="360" w:lineRule="auto"/>
        <w:ind w:left="420" w:firstLine="420" w:firstLineChars="200"/>
        <w:jc w:val="left"/>
        <w:rPr>
          <w:szCs w:val="21"/>
        </w:rPr>
      </w:pPr>
      <w:r>
        <w:rPr>
          <w:rFonts w:hint="eastAsia" w:ascii="宋体" w:hAnsi="宋体" w:cs="宋体"/>
          <w:szCs w:val="21"/>
        </w:rPr>
        <w:t>1.</w:t>
      </w:r>
      <w:r>
        <w:rPr>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80F7E55">
      <w:pPr>
        <w:spacing w:line="360" w:lineRule="auto"/>
        <w:ind w:left="420" w:firstLine="420" w:firstLineChars="200"/>
        <w:rPr>
          <w:rFonts w:ascii="宋体" w:hAnsi="宋体" w:cs="宋体"/>
          <w:szCs w:val="21"/>
        </w:rPr>
      </w:pPr>
      <w:r>
        <w:rPr>
          <w:rFonts w:hint="eastAsia" w:ascii="宋体" w:hAnsi="宋体" w:cs="宋体"/>
          <w:szCs w:val="21"/>
        </w:rPr>
        <w:t>2.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14:paraId="2A4166F9">
      <w:pPr>
        <w:spacing w:line="360" w:lineRule="auto"/>
        <w:ind w:left="420" w:firstLine="420" w:firstLineChars="200"/>
        <w:rPr>
          <w:rFonts w:ascii="宋体" w:hAnsi="宋体" w:cs="宋体"/>
          <w:szCs w:val="21"/>
        </w:rPr>
      </w:pPr>
      <w:r>
        <w:rPr>
          <w:rFonts w:hint="eastAsia" w:ascii="宋体" w:hAnsi="宋体" w:cs="宋体"/>
          <w:szCs w:val="21"/>
        </w:rPr>
        <w:t>3.投标人认为招标文件使自己的权益受到损害的，可以自获取招标文件之日或者采购公告期限届满之日（公告期限届满后获取招标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A50FB8C">
      <w:pPr>
        <w:spacing w:line="360" w:lineRule="auto"/>
        <w:ind w:left="420" w:firstLine="420" w:firstLineChars="200"/>
        <w:rPr>
          <w:rFonts w:ascii="宋体" w:hAnsi="宋体" w:cs="宋体"/>
          <w:szCs w:val="21"/>
        </w:rPr>
      </w:pPr>
      <w:r>
        <w:rPr>
          <w:rFonts w:hint="eastAsia" w:ascii="宋体" w:hAnsi="宋体" w:cs="宋体"/>
          <w:szCs w:val="21"/>
        </w:rPr>
        <w:t>4.其他事项：</w:t>
      </w:r>
    </w:p>
    <w:p w14:paraId="6078A5A6">
      <w:pPr>
        <w:spacing w:line="360" w:lineRule="auto"/>
        <w:ind w:left="420" w:firstLine="420" w:firstLineChars="200"/>
        <w:rPr>
          <w:rFonts w:ascii="宋体" w:hAnsi="宋体" w:cs="宋体"/>
          <w:szCs w:val="21"/>
        </w:rPr>
      </w:pPr>
      <w:r>
        <w:rPr>
          <w:rFonts w:hint="eastAsia" w:ascii="宋体" w:hAnsi="宋体" w:cs="宋体"/>
          <w:szCs w:val="21"/>
        </w:rPr>
        <w:t>（1）投标人对招标文件的质疑应以书面形式一次性提出。</w:t>
      </w:r>
    </w:p>
    <w:p w14:paraId="157777D8">
      <w:pPr>
        <w:spacing w:line="360" w:lineRule="auto"/>
        <w:ind w:left="420" w:firstLine="420" w:firstLineChars="200"/>
        <w:rPr>
          <w:rFonts w:ascii="宋体" w:hAnsi="宋体" w:cs="宋体"/>
          <w:szCs w:val="21"/>
        </w:rPr>
      </w:pPr>
      <w:r>
        <w:rPr>
          <w:rFonts w:hint="eastAsia" w:ascii="宋体" w:hAnsi="宋体" w:cs="宋体"/>
          <w:szCs w:val="21"/>
        </w:rPr>
        <w:t>（2）单位负责人为同一人或者存在直接控股、管理关系的不同投标人，不得同时参加同一合同项下的投标。</w:t>
      </w:r>
    </w:p>
    <w:p w14:paraId="50A9EBA4">
      <w:pPr>
        <w:spacing w:line="360" w:lineRule="auto"/>
        <w:ind w:left="420" w:firstLine="420" w:firstLineChars="200"/>
        <w:rPr>
          <w:rFonts w:ascii="宋体" w:hAnsi="宋体" w:cs="宋体"/>
          <w:szCs w:val="21"/>
        </w:rPr>
      </w:pPr>
      <w:r>
        <w:rPr>
          <w:rFonts w:hint="eastAsia" w:ascii="宋体" w:hAnsi="宋体" w:cs="宋体"/>
          <w:szCs w:val="21"/>
        </w:rPr>
        <w:t>（3）为项目提供整体设计、规范编制或者项目管理、监理、检测等服务的投标人，不得再参加该采购项目的其他采购活动。</w:t>
      </w:r>
    </w:p>
    <w:p w14:paraId="420DBE95">
      <w:pPr>
        <w:spacing w:line="360" w:lineRule="auto"/>
        <w:ind w:left="420" w:firstLine="420" w:firstLineChars="200"/>
        <w:rPr>
          <w:rFonts w:ascii="宋体" w:hAnsi="宋体" w:cs="宋体"/>
          <w:szCs w:val="21"/>
        </w:rPr>
      </w:pPr>
      <w:r>
        <w:rPr>
          <w:rFonts w:hint="eastAsia" w:ascii="宋体" w:hAnsi="宋体" w:cs="宋体"/>
          <w:szCs w:val="21"/>
        </w:rPr>
        <w:t>（4）本项目不收取投标保证金。</w:t>
      </w:r>
    </w:p>
    <w:p w14:paraId="1657A4BE">
      <w:pPr>
        <w:spacing w:line="360" w:lineRule="auto"/>
        <w:ind w:left="420" w:firstLine="420" w:firstLineChars="200"/>
        <w:rPr>
          <w:rFonts w:ascii="宋体" w:hAnsi="宋体" w:cs="宋体"/>
          <w:szCs w:val="21"/>
        </w:rPr>
      </w:pPr>
      <w:r>
        <w:rPr>
          <w:rFonts w:hint="eastAsia" w:ascii="宋体" w:hAnsi="宋体" w:cs="宋体"/>
          <w:szCs w:val="21"/>
        </w:rPr>
        <w:t>（5）本项目执行促进中小企业发展（监狱企业、残疾人福利性单位视同小型、微型企业）。</w:t>
      </w:r>
    </w:p>
    <w:p w14:paraId="2AACDD60">
      <w:pPr>
        <w:widowControl/>
        <w:spacing w:line="360" w:lineRule="auto"/>
        <w:ind w:left="661" w:hanging="241"/>
        <w:jc w:val="left"/>
        <w:outlineLvl w:val="1"/>
        <w:rPr>
          <w:rFonts w:ascii="黑体" w:hAnsi="黑体" w:eastAsia="黑体" w:cs="黑体"/>
          <w:kern w:val="0"/>
          <w:sz w:val="24"/>
        </w:rPr>
      </w:pPr>
      <w:r>
        <w:rPr>
          <w:rFonts w:hint="eastAsia" w:ascii="黑体" w:hAnsi="黑体" w:eastAsia="黑体" w:cs="黑体"/>
          <w:b/>
          <w:bCs/>
          <w:kern w:val="0"/>
          <w:sz w:val="24"/>
        </w:rPr>
        <w:t>七、对本次采购提出询问、质疑、投诉，请按以下方式联系</w:t>
      </w:r>
    </w:p>
    <w:p w14:paraId="563FF9EA">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1.采购人信息</w:t>
      </w:r>
    </w:p>
    <w:p w14:paraId="024A703A">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名称：舟山市定海区公路与运输管理中心</w:t>
      </w:r>
    </w:p>
    <w:p w14:paraId="08E57C14">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地址：定海区盐仓街道建胜路1号</w:t>
      </w:r>
    </w:p>
    <w:p w14:paraId="5C6F54C9">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项目联系人（询问）：徐先生</w:t>
      </w:r>
    </w:p>
    <w:p w14:paraId="695EA23C">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项目联系方式（询问）：0580-8890027</w:t>
      </w:r>
    </w:p>
    <w:p w14:paraId="7F122534">
      <w:pPr>
        <w:widowControl/>
        <w:spacing w:line="360" w:lineRule="auto"/>
        <w:ind w:left="420"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rPr>
        <w:t>质疑联系人：</w:t>
      </w:r>
      <w:r>
        <w:rPr>
          <w:rFonts w:hint="eastAsia" w:ascii="宋体" w:hAnsi="宋体" w:cs="宋体"/>
          <w:kern w:val="0"/>
          <w:szCs w:val="21"/>
          <w:lang w:val="en-US" w:eastAsia="zh-CN"/>
        </w:rPr>
        <w:t>戎先生</w:t>
      </w:r>
    </w:p>
    <w:p w14:paraId="37DDB301">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质疑联系方式： 0580</w:t>
      </w:r>
      <w:r>
        <w:rPr>
          <w:rFonts w:hint="eastAsia" w:ascii="宋体" w:hAnsi="宋体" w:cs="宋体"/>
          <w:kern w:val="0"/>
          <w:szCs w:val="21"/>
          <w:lang w:val="en-US" w:eastAsia="zh-CN"/>
        </w:rPr>
        <w:t>-</w:t>
      </w:r>
      <w:r>
        <w:rPr>
          <w:rFonts w:hint="eastAsia" w:ascii="宋体" w:hAnsi="宋体" w:cs="宋体"/>
          <w:kern w:val="0"/>
          <w:szCs w:val="21"/>
        </w:rPr>
        <w:t>8171037</w:t>
      </w:r>
    </w:p>
    <w:p w14:paraId="2E16E53E">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 xml:space="preserve">2.采购代理机构信息 </w:t>
      </w:r>
    </w:p>
    <w:p w14:paraId="3A6E4305">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名称：浙江省成套工程有限公司</w:t>
      </w:r>
    </w:p>
    <w:p w14:paraId="0D908E62">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地址：舟山市普陀区东港街道海莲路97号</w:t>
      </w:r>
    </w:p>
    <w:p w14:paraId="1ED5CF01">
      <w:pPr>
        <w:widowControl/>
        <w:spacing w:line="360" w:lineRule="auto"/>
        <w:ind w:left="420" w:firstLine="420" w:firstLineChars="200"/>
        <w:jc w:val="left"/>
        <w:rPr>
          <w:rFonts w:hint="eastAsia" w:ascii="宋体" w:hAnsi="宋体" w:eastAsia="宋体" w:cs="宋体"/>
          <w:kern w:val="0"/>
          <w:szCs w:val="21"/>
          <w:lang w:eastAsia="zh-CN"/>
        </w:rPr>
      </w:pPr>
      <w:r>
        <w:rPr>
          <w:rFonts w:hint="eastAsia" w:ascii="宋体" w:hAnsi="宋体" w:cs="宋体"/>
          <w:kern w:val="0"/>
          <w:szCs w:val="21"/>
        </w:rPr>
        <w:t>项目联系人（询问）：林</w:t>
      </w:r>
      <w:r>
        <w:rPr>
          <w:rFonts w:hint="eastAsia" w:ascii="宋体" w:hAnsi="宋体" w:cs="宋体"/>
          <w:kern w:val="0"/>
          <w:szCs w:val="21"/>
          <w:lang w:val="en-US" w:eastAsia="zh-CN"/>
        </w:rPr>
        <w:t>女士</w:t>
      </w:r>
    </w:p>
    <w:p w14:paraId="628399F0">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项目联系方式（询问）：0580-3026696</w:t>
      </w:r>
    </w:p>
    <w:p w14:paraId="05CC38CF">
      <w:pPr>
        <w:widowControl/>
        <w:spacing w:line="360" w:lineRule="auto"/>
        <w:ind w:left="420" w:firstLine="420" w:firstLineChars="200"/>
        <w:jc w:val="left"/>
        <w:rPr>
          <w:rFonts w:hint="eastAsia" w:ascii="宋体" w:hAnsi="宋体" w:eastAsia="宋体" w:cs="宋体"/>
          <w:kern w:val="0"/>
          <w:szCs w:val="21"/>
          <w:lang w:val="en-US" w:eastAsia="zh-CN"/>
        </w:rPr>
      </w:pPr>
      <w:r>
        <w:rPr>
          <w:rFonts w:hint="eastAsia" w:ascii="宋体" w:hAnsi="宋体" w:cs="宋体"/>
          <w:kern w:val="0"/>
          <w:szCs w:val="21"/>
        </w:rPr>
        <w:t>质疑联系人：章</w:t>
      </w:r>
      <w:r>
        <w:rPr>
          <w:rFonts w:hint="eastAsia" w:ascii="宋体" w:hAnsi="宋体" w:cs="宋体"/>
          <w:kern w:val="0"/>
          <w:szCs w:val="21"/>
          <w:lang w:val="en-US" w:eastAsia="zh-CN"/>
        </w:rPr>
        <w:t>女士</w:t>
      </w:r>
    </w:p>
    <w:p w14:paraId="5811AC1A">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质疑联系方式：0580-3026696</w:t>
      </w:r>
    </w:p>
    <w:p w14:paraId="4F521D25">
      <w:pPr>
        <w:spacing w:line="360" w:lineRule="auto"/>
        <w:ind w:left="420" w:firstLine="420" w:firstLineChars="200"/>
        <w:rPr>
          <w:rFonts w:ascii="宋体" w:hAnsi="宋体" w:cs="宋体"/>
          <w:szCs w:val="21"/>
        </w:rPr>
      </w:pPr>
      <w:r>
        <w:rPr>
          <w:rFonts w:hint="eastAsia" w:ascii="宋体" w:hAnsi="宋体" w:cs="宋体"/>
          <w:szCs w:val="21"/>
        </w:rPr>
        <w:t>3.同级政府采购监督管理部门</w:t>
      </w:r>
    </w:p>
    <w:p w14:paraId="6353F84A">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名 称：定海区财政局</w:t>
      </w:r>
    </w:p>
    <w:p w14:paraId="30FDB417">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地 址：舟山市定海区港务码头1号港务大楼6楼</w:t>
      </w:r>
    </w:p>
    <w:p w14:paraId="3A4BA1E1">
      <w:pPr>
        <w:widowControl/>
        <w:spacing w:line="360" w:lineRule="auto"/>
        <w:ind w:left="420" w:firstLine="420" w:firstLineChars="200"/>
        <w:jc w:val="left"/>
        <w:rPr>
          <w:rFonts w:ascii="宋体" w:hAnsi="宋体" w:cs="宋体"/>
          <w:kern w:val="0"/>
          <w:szCs w:val="21"/>
        </w:rPr>
      </w:pPr>
      <w:r>
        <w:rPr>
          <w:rFonts w:hint="eastAsia" w:ascii="宋体" w:hAnsi="宋体" w:cs="宋体"/>
          <w:kern w:val="0"/>
          <w:szCs w:val="21"/>
        </w:rPr>
        <w:t>联系人 ：林秀奇</w:t>
      </w:r>
    </w:p>
    <w:p w14:paraId="1C3B0185">
      <w:pPr>
        <w:spacing w:line="360" w:lineRule="auto"/>
        <w:ind w:left="420" w:firstLine="420" w:firstLineChars="200"/>
        <w:rPr>
          <w:rFonts w:ascii="宋体" w:hAnsi="宋体" w:cs="宋体"/>
          <w:kern w:val="0"/>
          <w:szCs w:val="21"/>
          <w:highlight w:val="yellow"/>
        </w:rPr>
      </w:pPr>
      <w:r>
        <w:rPr>
          <w:rFonts w:hint="eastAsia" w:ascii="宋体" w:hAnsi="宋体" w:cs="宋体"/>
          <w:kern w:val="0"/>
          <w:szCs w:val="21"/>
        </w:rPr>
        <w:t>监督投诉电话：0580-2027798</w:t>
      </w:r>
    </w:p>
    <w:p w14:paraId="1F6BB932">
      <w:pPr>
        <w:spacing w:line="360" w:lineRule="auto"/>
        <w:ind w:left="420" w:firstLine="420" w:firstLineChars="200"/>
        <w:rPr>
          <w:rFonts w:ascii="宋体" w:hAnsi="宋体" w:cs="宋体"/>
          <w:szCs w:val="21"/>
        </w:rPr>
      </w:pPr>
    </w:p>
    <w:p w14:paraId="6CD45ADB">
      <w:pPr>
        <w:spacing w:line="360" w:lineRule="auto"/>
        <w:ind w:left="420" w:firstLine="420" w:firstLineChars="200"/>
        <w:rPr>
          <w:rFonts w:ascii="宋体" w:hAnsi="宋体" w:cs="宋体"/>
          <w:szCs w:val="21"/>
        </w:rPr>
      </w:pPr>
    </w:p>
    <w:p w14:paraId="7777E8E6">
      <w:pPr>
        <w:spacing w:line="360" w:lineRule="auto"/>
        <w:ind w:left="420" w:firstLine="420" w:firstLineChars="200"/>
        <w:rPr>
          <w:rFonts w:ascii="宋体" w:hAnsi="宋体" w:cs="宋体"/>
          <w:szCs w:val="21"/>
        </w:rPr>
      </w:pPr>
    </w:p>
    <w:p w14:paraId="7BB4ACE5">
      <w:pPr>
        <w:spacing w:line="360" w:lineRule="auto"/>
        <w:ind w:left="420" w:firstLine="420" w:firstLineChars="200"/>
        <w:rPr>
          <w:rFonts w:ascii="宋体" w:hAnsi="宋体" w:cs="宋体"/>
          <w:szCs w:val="21"/>
        </w:rPr>
      </w:pPr>
    </w:p>
    <w:p w14:paraId="26387F16">
      <w:pPr>
        <w:spacing w:line="360" w:lineRule="auto"/>
        <w:ind w:left="420" w:firstLine="420" w:firstLineChars="200"/>
        <w:rPr>
          <w:rFonts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若对项目采购电子交易系统操作有疑问，可登录政采云（https://www.zcygov.cn/），点击右侧咨询小采，获取采小蜜智能服务管家帮助，或拨打政采云服务热线95763获取热线服务帮助。</w:t>
      </w:r>
    </w:p>
    <w:p w14:paraId="36163F18">
      <w:pPr>
        <w:spacing w:line="420" w:lineRule="exact"/>
        <w:ind w:left="420" w:firstLine="420" w:firstLineChars="200"/>
        <w:contextualSpacing/>
        <w:rPr>
          <w:rFonts w:ascii="仿宋_GB2312" w:eastAsia="仿宋_GB2312"/>
          <w:sz w:val="24"/>
        </w:rPr>
      </w:pPr>
      <w:r>
        <w:rPr>
          <w:rFonts w:hint="eastAsia" w:ascii="宋体" w:hAnsi="宋体" w:cs="宋体"/>
          <w:szCs w:val="21"/>
        </w:rPr>
        <w:t>CA问题联系电话（人工）：汇信CA 400-888-4636；天谷CA 400-087-8198。</w:t>
      </w:r>
    </w:p>
    <w:p w14:paraId="64E33338">
      <w:pPr>
        <w:pStyle w:val="23"/>
        <w:ind w:left="660" w:hanging="240"/>
        <w:rPr>
          <w:rFonts w:ascii="宋体" w:hAnsi="宋体" w:cs="宋体"/>
          <w:sz w:val="24"/>
          <w:highlight w:val="yellow"/>
        </w:rPr>
      </w:pPr>
    </w:p>
    <w:p w14:paraId="595E2F74">
      <w:pPr>
        <w:pStyle w:val="46"/>
        <w:ind w:left="2340" w:hanging="240"/>
        <w:rPr>
          <w:rFonts w:ascii="宋体" w:hAnsi="宋体" w:cs="宋体"/>
          <w:sz w:val="24"/>
        </w:rPr>
      </w:pPr>
    </w:p>
    <w:p w14:paraId="229EB3B9">
      <w:pPr>
        <w:ind w:left="660" w:hanging="240"/>
        <w:rPr>
          <w:rFonts w:ascii="宋体" w:hAnsi="宋体" w:cs="宋体"/>
          <w:sz w:val="24"/>
        </w:rPr>
      </w:pPr>
    </w:p>
    <w:p w14:paraId="54B95B52">
      <w:pPr>
        <w:ind w:left="660" w:hanging="240"/>
        <w:rPr>
          <w:rFonts w:ascii="宋体" w:hAnsi="宋体" w:cs="宋体"/>
          <w:sz w:val="24"/>
        </w:rPr>
      </w:pPr>
    </w:p>
    <w:p w14:paraId="5ADCAD6B">
      <w:pPr>
        <w:ind w:left="660" w:hanging="240"/>
        <w:rPr>
          <w:rFonts w:ascii="宋体" w:hAnsi="宋体" w:cs="宋体"/>
          <w:sz w:val="24"/>
        </w:rPr>
      </w:pPr>
    </w:p>
    <w:p w14:paraId="70AED016">
      <w:pPr>
        <w:pStyle w:val="32"/>
        <w:ind w:left="660" w:hanging="240"/>
      </w:pPr>
    </w:p>
    <w:p w14:paraId="570EAF28"/>
    <w:p w14:paraId="1186C83F"/>
    <w:p w14:paraId="4ABFB789"/>
    <w:p w14:paraId="4AF04C09"/>
    <w:p w14:paraId="3CB47975">
      <w:pPr>
        <w:pStyle w:val="23"/>
        <w:ind w:left="700" w:hanging="280"/>
      </w:pPr>
    </w:p>
    <w:p w14:paraId="10B7531E">
      <w:pPr>
        <w:pStyle w:val="43"/>
        <w:ind w:left="700" w:hanging="280"/>
        <w:rPr>
          <w:lang w:eastAsia="zh-CN"/>
        </w:rPr>
      </w:pPr>
    </w:p>
    <w:p w14:paraId="5C9B4A1B"/>
    <w:p w14:paraId="1F0B5588">
      <w:pPr>
        <w:pStyle w:val="73"/>
      </w:pPr>
    </w:p>
    <w:p w14:paraId="1B46BA2F"/>
    <w:p w14:paraId="564B091A">
      <w:pPr>
        <w:pStyle w:val="23"/>
        <w:ind w:left="700" w:hanging="280"/>
      </w:pPr>
    </w:p>
    <w:p w14:paraId="0999C179"/>
    <w:p w14:paraId="4F5DB64B"/>
    <w:p w14:paraId="713132FF"/>
    <w:p w14:paraId="5D8CFD94"/>
    <w:p w14:paraId="304940EF"/>
    <w:p w14:paraId="6F221C34">
      <w:pPr>
        <w:pStyle w:val="23"/>
        <w:ind w:left="741" w:hanging="321"/>
        <w:jc w:val="center"/>
        <w:outlineLvl w:val="0"/>
        <w:rPr>
          <w:rFonts w:ascii="黑体" w:hAnsi="黑体" w:eastAsia="黑体" w:cs="黑体"/>
          <w:b/>
          <w:bCs/>
          <w:sz w:val="21"/>
          <w:szCs w:val="21"/>
        </w:rPr>
      </w:pPr>
      <w:bookmarkStart w:id="11" w:name="_Toc11871"/>
      <w:r>
        <w:rPr>
          <w:rFonts w:hint="eastAsia" w:ascii="黑体" w:hAnsi="黑体" w:eastAsia="黑体" w:cs="黑体"/>
          <w:b/>
          <w:sz w:val="32"/>
          <w:szCs w:val="32"/>
        </w:rPr>
        <w:t>第二章 采购需求</w:t>
      </w:r>
      <w:bookmarkEnd w:id="11"/>
    </w:p>
    <w:p w14:paraId="6D60D367">
      <w:pPr>
        <w:pStyle w:val="3"/>
        <w:numPr>
          <w:ilvl w:val="0"/>
          <w:numId w:val="0"/>
        </w:numPr>
        <w:tabs>
          <w:tab w:val="left" w:pos="-420"/>
        </w:tabs>
        <w:spacing w:before="0" w:after="0"/>
        <w:rPr>
          <w:rFonts w:ascii="黑体" w:hAnsi="黑体" w:cs="黑体"/>
          <w:b/>
          <w:bCs/>
          <w:sz w:val="21"/>
          <w:szCs w:val="21"/>
        </w:rPr>
      </w:pPr>
      <w:bookmarkStart w:id="12" w:name="_Toc4464"/>
      <w:bookmarkStart w:id="13" w:name="_Toc2065"/>
      <w:bookmarkStart w:id="14" w:name="_Toc66379537"/>
      <w:r>
        <w:rPr>
          <w:rFonts w:hint="eastAsia" w:ascii="黑体" w:hAnsi="黑体" w:eastAsia="黑体" w:cs="黑体"/>
          <w:b/>
          <w:bCs/>
          <w:kern w:val="0"/>
          <w:sz w:val="21"/>
          <w:szCs w:val="21"/>
          <w:lang w:val="en-US" w:eastAsia="zh-CN" w:bidi="ar-SA"/>
        </w:rPr>
        <w:t>一、</w:t>
      </w:r>
      <w:r>
        <w:rPr>
          <w:rFonts w:hint="eastAsia" w:ascii="黑体" w:hAnsi="黑体" w:cs="黑体"/>
          <w:b/>
          <w:bCs/>
          <w:sz w:val="21"/>
          <w:szCs w:val="21"/>
        </w:rPr>
        <w:t>项目</w:t>
      </w:r>
      <w:bookmarkEnd w:id="12"/>
      <w:bookmarkEnd w:id="13"/>
      <w:r>
        <w:rPr>
          <w:rFonts w:hint="eastAsia" w:ascii="黑体" w:hAnsi="黑体" w:cs="黑体"/>
          <w:b/>
          <w:bCs/>
          <w:sz w:val="21"/>
          <w:szCs w:val="21"/>
        </w:rPr>
        <w:t>基本情况</w:t>
      </w:r>
    </w:p>
    <w:p w14:paraId="6FC01C01">
      <w:pPr>
        <w:pStyle w:val="4"/>
        <w:tabs>
          <w:tab w:val="left" w:pos="-420"/>
        </w:tabs>
        <w:spacing w:before="0" w:after="0"/>
        <w:ind w:left="661" w:hanging="241"/>
        <w:rPr>
          <w:rFonts w:ascii="宋体" w:hAnsi="宋体" w:eastAsia="宋体" w:cs="宋体"/>
          <w:sz w:val="21"/>
          <w:szCs w:val="21"/>
        </w:rPr>
      </w:pPr>
      <w:r>
        <w:rPr>
          <w:rFonts w:hint="eastAsia" w:ascii="宋体" w:hAnsi="宋体" w:eastAsia="宋体" w:cs="宋体"/>
          <w:sz w:val="21"/>
          <w:szCs w:val="21"/>
        </w:rPr>
        <w:t>1、项目背景</w:t>
      </w:r>
    </w:p>
    <w:p w14:paraId="41A671F9">
      <w:pPr>
        <w:spacing w:line="360" w:lineRule="auto"/>
        <w:ind w:left="420" w:firstLine="420" w:firstLineChars="200"/>
      </w:pPr>
      <w:r>
        <w:rPr>
          <w:rFonts w:hint="eastAsia"/>
        </w:rPr>
        <w:t>为响应国家节能减排政策。推动能源管理的科学化、精细化，提高能源利用效率，降低能源消耗，本项目</w:t>
      </w:r>
      <w:r>
        <w:rPr>
          <w:rFonts w:hint="eastAsia" w:ascii="宋体" w:hAnsi="宋体" w:cs="宋体"/>
          <w:sz w:val="22"/>
          <w:szCs w:val="22"/>
        </w:rPr>
        <w:t>拟</w:t>
      </w:r>
      <w:r>
        <w:rPr>
          <w:rFonts w:hint="eastAsia"/>
        </w:rPr>
        <w:t>采用</w:t>
      </w:r>
      <w:r>
        <w:rPr>
          <w:rFonts w:hint="eastAsia" w:ascii="宋体" w:hAnsi="宋体" w:cs="宋体"/>
          <w:szCs w:val="21"/>
        </w:rPr>
        <w:t>托管型合同能源管理</w:t>
      </w:r>
      <w:r>
        <w:rPr>
          <w:rFonts w:hint="eastAsia"/>
        </w:rPr>
        <w:t>方式，委托专业能源服务公司，利用国内外最新能源及信息技术发展成果，</w:t>
      </w:r>
      <w:r>
        <w:rPr>
          <w:rFonts w:hint="eastAsia" w:ascii="宋体" w:hAnsi="宋体" w:cs="宋体"/>
          <w:sz w:val="22"/>
          <w:szCs w:val="22"/>
        </w:rPr>
        <w:t>对本项目区域范围内现有的照明设施实施节能技术改造，并通过科学合理的运行管理，</w:t>
      </w:r>
      <w:r>
        <w:rPr>
          <w:rFonts w:hint="eastAsia" w:ascii="宋体" w:hAnsi="宋体"/>
          <w:szCs w:val="21"/>
        </w:rPr>
        <w:t>为采购人提供数字化运维管理平台支撑下的集能源托管、节能技改及能源经营运维服务为一体的综合型能源托管服务</w:t>
      </w:r>
      <w:r>
        <w:rPr>
          <w:rFonts w:hint="eastAsia" w:ascii="新宋体" w:hAnsi="新宋体" w:eastAsia="新宋体" w:cs="新宋体"/>
          <w:szCs w:val="21"/>
        </w:rPr>
        <w:t>，</w:t>
      </w:r>
      <w:r>
        <w:rPr>
          <w:rFonts w:hint="eastAsia"/>
        </w:rPr>
        <w:t>实现能源利用高效化、清洁化、智能化、数字化，逐步降低综合能耗。</w:t>
      </w:r>
    </w:p>
    <w:p w14:paraId="4BC83292">
      <w:pPr>
        <w:pStyle w:val="4"/>
        <w:tabs>
          <w:tab w:val="left" w:pos="-420"/>
        </w:tabs>
        <w:spacing w:before="0" w:after="0"/>
        <w:ind w:left="661" w:hanging="241"/>
        <w:rPr>
          <w:rFonts w:hint="eastAsia" w:ascii="宋体" w:hAnsi="宋体" w:eastAsia="宋体" w:cs="宋体"/>
          <w:sz w:val="21"/>
          <w:szCs w:val="21"/>
        </w:rPr>
      </w:pPr>
      <w:r>
        <w:rPr>
          <w:rFonts w:hint="eastAsia" w:ascii="宋体" w:hAnsi="宋体" w:eastAsia="宋体" w:cs="宋体"/>
          <w:sz w:val="21"/>
          <w:szCs w:val="21"/>
        </w:rPr>
        <w:t>2、能源托管范围</w:t>
      </w:r>
    </w:p>
    <w:p w14:paraId="0717CF4F">
      <w:pPr>
        <w:snapToGrid w:val="0"/>
        <w:spacing w:line="360" w:lineRule="auto"/>
        <w:ind w:left="420" w:firstLine="420" w:firstLineChars="200"/>
      </w:pPr>
      <w:r>
        <w:rPr>
          <w:rFonts w:hint="eastAsia"/>
        </w:rPr>
        <w:t>本项目实施范围内</w:t>
      </w:r>
      <w:r>
        <w:rPr>
          <w:rFonts w:hint="eastAsia" w:ascii="宋体" w:hAnsi="宋体" w:cs="宋体"/>
          <w:szCs w:val="21"/>
        </w:rPr>
        <w:t>的公路照明设施共计</w:t>
      </w:r>
      <w:r>
        <w:rPr>
          <w:rFonts w:hint="eastAsia" w:ascii="宋体" w:hAnsi="宋体" w:cs="宋体"/>
          <w:szCs w:val="21"/>
          <w:lang w:val="en-US" w:eastAsia="zh-CN"/>
        </w:rPr>
        <w:t>14670</w:t>
      </w:r>
      <w:r>
        <w:rPr>
          <w:rFonts w:hint="eastAsia" w:ascii="宋体" w:hAnsi="宋体" w:cs="宋体"/>
          <w:szCs w:val="21"/>
        </w:rPr>
        <w:t>盏，其中路灯3402盏、</w:t>
      </w:r>
      <w:r>
        <w:rPr>
          <w:rFonts w:hint="eastAsia" w:ascii="宋体" w:hAnsi="宋体"/>
          <w:szCs w:val="21"/>
        </w:rPr>
        <w:t>隧道照明灯</w:t>
      </w:r>
      <w:r>
        <w:rPr>
          <w:rFonts w:hint="eastAsia" w:ascii="宋体" w:hAnsi="宋体" w:cs="宋体"/>
          <w:szCs w:val="21"/>
          <w:lang w:val="en-US" w:eastAsia="zh-CN"/>
        </w:rPr>
        <w:t>11268</w:t>
      </w:r>
      <w:r>
        <w:rPr>
          <w:rFonts w:hint="eastAsia" w:ascii="宋体" w:hAnsi="宋体" w:cs="宋体"/>
          <w:szCs w:val="21"/>
        </w:rPr>
        <w:t>盏。</w:t>
      </w:r>
      <w:r>
        <w:rPr>
          <w:rFonts w:hint="eastAsia" w:ascii="宋体" w:hAnsi="宋体" w:cs="宋体"/>
          <w:sz w:val="22"/>
          <w:szCs w:val="22"/>
        </w:rPr>
        <w:t>项目</w:t>
      </w:r>
      <w:r>
        <w:rPr>
          <w:rFonts w:hint="eastAsia"/>
        </w:rPr>
        <w:t>范围及照明灯具数量见下表。</w:t>
      </w:r>
    </w:p>
    <w:tbl>
      <w:tblPr>
        <w:tblStyle w:val="60"/>
        <w:tblW w:w="9688"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900"/>
        <w:gridCol w:w="1353"/>
        <w:gridCol w:w="1385"/>
        <w:gridCol w:w="1277"/>
        <w:gridCol w:w="1213"/>
        <w:gridCol w:w="1250"/>
        <w:gridCol w:w="1285"/>
      </w:tblGrid>
      <w:tr w14:paraId="6DBE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63" w:type="dxa"/>
            <w:gridSpan w:val="4"/>
            <w:vAlign w:val="center"/>
          </w:tcPr>
          <w:p w14:paraId="3B859672">
            <w:pPr>
              <w:widowControl/>
              <w:spacing w:line="360" w:lineRule="auto"/>
              <w:jc w:val="center"/>
              <w:rPr>
                <w:rFonts w:ascii="宋体" w:hAnsi="宋体"/>
                <w:szCs w:val="21"/>
              </w:rPr>
            </w:pPr>
            <w:r>
              <w:rPr>
                <w:rFonts w:hint="eastAsia" w:ascii="宋体" w:hAnsi="宋体" w:cs="宋体"/>
                <w:szCs w:val="21"/>
              </w:rPr>
              <w:t>路灯（3402盏）</w:t>
            </w:r>
          </w:p>
        </w:tc>
        <w:tc>
          <w:tcPr>
            <w:tcW w:w="2490" w:type="dxa"/>
            <w:gridSpan w:val="2"/>
            <w:vAlign w:val="center"/>
          </w:tcPr>
          <w:p w14:paraId="76502C92">
            <w:pPr>
              <w:widowControl/>
              <w:spacing w:line="360" w:lineRule="auto"/>
              <w:jc w:val="center"/>
              <w:rPr>
                <w:rFonts w:ascii="宋体" w:hAnsi="宋体"/>
                <w:szCs w:val="21"/>
              </w:rPr>
            </w:pPr>
            <w:r>
              <w:rPr>
                <w:rFonts w:hint="eastAsia" w:ascii="宋体" w:hAnsi="宋体"/>
                <w:szCs w:val="21"/>
              </w:rPr>
              <w:t>隧道照明灯（</w:t>
            </w:r>
            <w:r>
              <w:rPr>
                <w:rFonts w:hint="eastAsia" w:ascii="宋体" w:hAnsi="宋体" w:cs="宋体"/>
                <w:szCs w:val="21"/>
              </w:rPr>
              <w:t>11</w:t>
            </w:r>
            <w:r>
              <w:rPr>
                <w:rFonts w:hint="eastAsia" w:ascii="宋体" w:hAnsi="宋体" w:cs="宋体"/>
                <w:szCs w:val="21"/>
                <w:lang w:val="en-US" w:eastAsia="zh-CN"/>
              </w:rPr>
              <w:t>268</w:t>
            </w:r>
            <w:r>
              <w:rPr>
                <w:rFonts w:hint="eastAsia" w:ascii="宋体" w:hAnsi="宋体" w:cs="宋体"/>
                <w:szCs w:val="21"/>
              </w:rPr>
              <w:t>盏）</w:t>
            </w:r>
          </w:p>
        </w:tc>
        <w:tc>
          <w:tcPr>
            <w:tcW w:w="2535" w:type="dxa"/>
            <w:gridSpan w:val="2"/>
            <w:vAlign w:val="center"/>
          </w:tcPr>
          <w:p w14:paraId="2A623C2E">
            <w:pPr>
              <w:widowControl/>
              <w:spacing w:line="360" w:lineRule="auto"/>
              <w:jc w:val="center"/>
              <w:rPr>
                <w:rFonts w:hint="eastAsia" w:ascii="宋体" w:hAnsi="宋体"/>
                <w:szCs w:val="21"/>
                <w:highlight w:val="none"/>
              </w:rPr>
            </w:pPr>
            <w:r>
              <w:rPr>
                <w:rFonts w:hint="eastAsia" w:ascii="宋体" w:hAnsi="宋体"/>
                <w:szCs w:val="21"/>
                <w:highlight w:val="none"/>
              </w:rPr>
              <w:t>其它</w:t>
            </w:r>
          </w:p>
        </w:tc>
      </w:tr>
      <w:tr w14:paraId="2D0D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278" w:type="dxa"/>
            <w:gridSpan w:val="3"/>
            <w:vAlign w:val="center"/>
          </w:tcPr>
          <w:p w14:paraId="18061302">
            <w:pPr>
              <w:widowControl/>
              <w:spacing w:line="360" w:lineRule="auto"/>
              <w:jc w:val="center"/>
              <w:rPr>
                <w:rFonts w:ascii="宋体" w:hAnsi="宋体"/>
                <w:szCs w:val="21"/>
              </w:rPr>
            </w:pPr>
            <w:r>
              <w:rPr>
                <w:rFonts w:hint="eastAsia" w:ascii="宋体" w:hAnsi="宋体"/>
                <w:szCs w:val="21"/>
              </w:rPr>
              <w:t>高压钠灯（2360盏）</w:t>
            </w:r>
          </w:p>
        </w:tc>
        <w:tc>
          <w:tcPr>
            <w:tcW w:w="1385" w:type="dxa"/>
            <w:vAlign w:val="center"/>
          </w:tcPr>
          <w:p w14:paraId="07CF646C">
            <w:pPr>
              <w:widowControl/>
              <w:spacing w:line="360" w:lineRule="auto"/>
              <w:jc w:val="center"/>
              <w:rPr>
                <w:rFonts w:ascii="宋体" w:hAnsi="宋体"/>
                <w:szCs w:val="21"/>
              </w:rPr>
            </w:pPr>
            <w:r>
              <w:rPr>
                <w:rFonts w:hint="eastAsia" w:ascii="宋体" w:hAnsi="宋体"/>
                <w:szCs w:val="21"/>
              </w:rPr>
              <w:t>LED路灯</w:t>
            </w:r>
          </w:p>
        </w:tc>
        <w:tc>
          <w:tcPr>
            <w:tcW w:w="1277" w:type="dxa"/>
            <w:vAlign w:val="center"/>
          </w:tcPr>
          <w:p w14:paraId="43B17C66">
            <w:pPr>
              <w:widowControl/>
              <w:spacing w:line="360" w:lineRule="auto"/>
              <w:jc w:val="center"/>
              <w:rPr>
                <w:rFonts w:ascii="宋体" w:hAnsi="宋体"/>
                <w:szCs w:val="21"/>
              </w:rPr>
            </w:pPr>
            <w:r>
              <w:rPr>
                <w:rFonts w:hint="eastAsia" w:ascii="宋体" w:hAnsi="宋体"/>
                <w:szCs w:val="21"/>
              </w:rPr>
              <w:t>隧道灯</w:t>
            </w:r>
          </w:p>
        </w:tc>
        <w:tc>
          <w:tcPr>
            <w:tcW w:w="1213" w:type="dxa"/>
            <w:vAlign w:val="center"/>
          </w:tcPr>
          <w:p w14:paraId="146FEDA0">
            <w:pPr>
              <w:widowControl/>
              <w:spacing w:line="360" w:lineRule="auto"/>
              <w:jc w:val="center"/>
              <w:rPr>
                <w:rFonts w:ascii="宋体" w:hAnsi="宋体"/>
                <w:szCs w:val="21"/>
              </w:rPr>
            </w:pPr>
            <w:r>
              <w:rPr>
                <w:rFonts w:hint="eastAsia" w:ascii="宋体" w:hAnsi="宋体"/>
                <w:szCs w:val="21"/>
              </w:rPr>
              <w:t>无极隧道灯</w:t>
            </w:r>
          </w:p>
        </w:tc>
        <w:tc>
          <w:tcPr>
            <w:tcW w:w="1250" w:type="dxa"/>
            <w:vAlign w:val="center"/>
          </w:tcPr>
          <w:p w14:paraId="58B38E5A">
            <w:pPr>
              <w:widowControl/>
              <w:spacing w:line="360" w:lineRule="auto"/>
              <w:jc w:val="center"/>
              <w:rPr>
                <w:rFonts w:ascii="宋体" w:hAnsi="宋体"/>
                <w:szCs w:val="21"/>
                <w:highlight w:val="none"/>
              </w:rPr>
            </w:pPr>
            <w:r>
              <w:rPr>
                <w:rFonts w:hint="eastAsia" w:ascii="宋体" w:hAnsi="宋体"/>
                <w:szCs w:val="21"/>
                <w:highlight w:val="none"/>
              </w:rPr>
              <w:t>隧道内所有用电设施</w:t>
            </w:r>
          </w:p>
        </w:tc>
        <w:tc>
          <w:tcPr>
            <w:tcW w:w="1285" w:type="dxa"/>
            <w:vAlign w:val="center"/>
          </w:tcPr>
          <w:p w14:paraId="21B8C541">
            <w:pPr>
              <w:widowControl/>
              <w:spacing w:line="360" w:lineRule="auto"/>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所有管辖路段的交通信号灯及交通设施</w:t>
            </w:r>
          </w:p>
        </w:tc>
      </w:tr>
      <w:tr w14:paraId="3584F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25" w:type="dxa"/>
            <w:vAlign w:val="center"/>
          </w:tcPr>
          <w:p w14:paraId="7D1B9A68">
            <w:pPr>
              <w:widowControl/>
              <w:spacing w:line="360" w:lineRule="auto"/>
              <w:jc w:val="center"/>
              <w:rPr>
                <w:rFonts w:ascii="宋体" w:hAnsi="宋体"/>
                <w:szCs w:val="21"/>
              </w:rPr>
            </w:pPr>
            <w:r>
              <w:rPr>
                <w:rFonts w:hint="eastAsia" w:ascii="宋体" w:hAnsi="宋体"/>
                <w:szCs w:val="21"/>
              </w:rPr>
              <w:t>鸭东线定海段</w:t>
            </w:r>
          </w:p>
        </w:tc>
        <w:tc>
          <w:tcPr>
            <w:tcW w:w="900" w:type="dxa"/>
            <w:vAlign w:val="center"/>
          </w:tcPr>
          <w:p w14:paraId="6775A9F2">
            <w:pPr>
              <w:widowControl/>
              <w:spacing w:line="360" w:lineRule="auto"/>
              <w:jc w:val="center"/>
              <w:rPr>
                <w:rFonts w:ascii="宋体" w:hAnsi="宋体"/>
                <w:szCs w:val="21"/>
              </w:rPr>
            </w:pPr>
            <w:r>
              <w:rPr>
                <w:rFonts w:hint="eastAsia" w:ascii="宋体" w:hAnsi="宋体"/>
                <w:szCs w:val="21"/>
              </w:rPr>
              <w:t>临北线定海段</w:t>
            </w:r>
          </w:p>
        </w:tc>
        <w:tc>
          <w:tcPr>
            <w:tcW w:w="1353" w:type="dxa"/>
            <w:vAlign w:val="center"/>
          </w:tcPr>
          <w:p w14:paraId="48489AF2">
            <w:pPr>
              <w:widowControl/>
              <w:spacing w:line="360" w:lineRule="auto"/>
              <w:jc w:val="center"/>
              <w:rPr>
                <w:rFonts w:ascii="宋体" w:hAnsi="宋体"/>
                <w:szCs w:val="21"/>
              </w:rPr>
            </w:pPr>
            <w:r>
              <w:rPr>
                <w:rFonts w:hint="eastAsia"/>
              </w:rPr>
              <w:t>G526定马线定海段</w:t>
            </w:r>
          </w:p>
        </w:tc>
        <w:tc>
          <w:tcPr>
            <w:tcW w:w="1385" w:type="dxa"/>
            <w:vAlign w:val="center"/>
          </w:tcPr>
          <w:p w14:paraId="751A2FB9">
            <w:pPr>
              <w:widowControl/>
              <w:spacing w:line="360" w:lineRule="auto"/>
              <w:jc w:val="center"/>
              <w:rPr>
                <w:rFonts w:ascii="宋体" w:hAnsi="宋体"/>
                <w:szCs w:val="21"/>
              </w:rPr>
            </w:pPr>
            <w:r>
              <w:rPr>
                <w:rFonts w:hint="eastAsia" w:ascii="宋体" w:hAnsi="宋体"/>
                <w:szCs w:val="21"/>
              </w:rPr>
              <w:t>所有实施范围路段</w:t>
            </w:r>
          </w:p>
        </w:tc>
        <w:tc>
          <w:tcPr>
            <w:tcW w:w="5025" w:type="dxa"/>
            <w:gridSpan w:val="4"/>
            <w:vAlign w:val="center"/>
          </w:tcPr>
          <w:p w14:paraId="33B2A397">
            <w:pPr>
              <w:widowControl/>
              <w:spacing w:line="360" w:lineRule="auto"/>
              <w:jc w:val="center"/>
              <w:rPr>
                <w:rFonts w:hint="eastAsia" w:ascii="宋体" w:hAnsi="宋体"/>
                <w:szCs w:val="21"/>
              </w:rPr>
            </w:pPr>
            <w:r>
              <w:rPr>
                <w:rFonts w:hint="eastAsia" w:ascii="宋体" w:hAnsi="宋体"/>
                <w:szCs w:val="21"/>
              </w:rPr>
              <w:t>定海区隧道（</w:t>
            </w:r>
            <w:r>
              <w:rPr>
                <w:rFonts w:hint="eastAsia"/>
                <w:lang w:val="zh-CN"/>
              </w:rPr>
              <w:t>不含东西快速路部分</w:t>
            </w:r>
            <w:r>
              <w:rPr>
                <w:rFonts w:hint="eastAsia" w:ascii="宋体" w:hAnsi="宋体"/>
                <w:szCs w:val="21"/>
              </w:rPr>
              <w:t>）</w:t>
            </w:r>
          </w:p>
        </w:tc>
      </w:tr>
      <w:tr w14:paraId="641D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5" w:type="dxa"/>
            <w:vAlign w:val="center"/>
          </w:tcPr>
          <w:p w14:paraId="641B50F5">
            <w:pPr>
              <w:widowControl/>
              <w:spacing w:line="360" w:lineRule="auto"/>
              <w:jc w:val="center"/>
              <w:rPr>
                <w:rFonts w:ascii="宋体" w:hAnsi="宋体"/>
                <w:szCs w:val="21"/>
              </w:rPr>
            </w:pPr>
            <w:r>
              <w:rPr>
                <w:rFonts w:hint="eastAsia" w:ascii="宋体" w:hAnsi="宋体"/>
                <w:szCs w:val="21"/>
              </w:rPr>
              <w:t>1900盏</w:t>
            </w:r>
          </w:p>
        </w:tc>
        <w:tc>
          <w:tcPr>
            <w:tcW w:w="900" w:type="dxa"/>
            <w:vAlign w:val="center"/>
          </w:tcPr>
          <w:p w14:paraId="1EC57E8C">
            <w:pPr>
              <w:widowControl/>
              <w:spacing w:line="360" w:lineRule="auto"/>
              <w:jc w:val="center"/>
              <w:rPr>
                <w:rFonts w:ascii="宋体" w:hAnsi="宋体"/>
                <w:szCs w:val="21"/>
              </w:rPr>
            </w:pPr>
            <w:r>
              <w:rPr>
                <w:rFonts w:hint="eastAsia" w:ascii="宋体" w:hAnsi="宋体"/>
                <w:szCs w:val="21"/>
              </w:rPr>
              <w:t>83盏</w:t>
            </w:r>
          </w:p>
        </w:tc>
        <w:tc>
          <w:tcPr>
            <w:tcW w:w="1353" w:type="dxa"/>
            <w:vAlign w:val="center"/>
          </w:tcPr>
          <w:p w14:paraId="0DFD4F59">
            <w:pPr>
              <w:widowControl/>
              <w:spacing w:line="360" w:lineRule="auto"/>
              <w:jc w:val="center"/>
              <w:rPr>
                <w:rFonts w:ascii="宋体" w:hAnsi="宋体"/>
                <w:szCs w:val="21"/>
              </w:rPr>
            </w:pPr>
            <w:r>
              <w:rPr>
                <w:rFonts w:hint="eastAsia" w:ascii="宋体" w:hAnsi="宋体"/>
                <w:szCs w:val="21"/>
              </w:rPr>
              <w:t>377盏</w:t>
            </w:r>
          </w:p>
        </w:tc>
        <w:tc>
          <w:tcPr>
            <w:tcW w:w="1385" w:type="dxa"/>
            <w:vAlign w:val="center"/>
          </w:tcPr>
          <w:p w14:paraId="205B0EE6">
            <w:pPr>
              <w:widowControl/>
              <w:spacing w:line="360" w:lineRule="auto"/>
              <w:jc w:val="center"/>
              <w:rPr>
                <w:rFonts w:ascii="宋体" w:hAnsi="宋体"/>
                <w:szCs w:val="21"/>
              </w:rPr>
            </w:pPr>
            <w:r>
              <w:rPr>
                <w:rFonts w:hint="eastAsia" w:ascii="宋体" w:hAnsi="宋体"/>
                <w:szCs w:val="21"/>
              </w:rPr>
              <w:t>1042盏</w:t>
            </w:r>
          </w:p>
        </w:tc>
        <w:tc>
          <w:tcPr>
            <w:tcW w:w="1277" w:type="dxa"/>
            <w:vAlign w:val="center"/>
          </w:tcPr>
          <w:p w14:paraId="613778AE">
            <w:pPr>
              <w:widowControl/>
              <w:spacing w:line="360" w:lineRule="auto"/>
              <w:jc w:val="center"/>
              <w:rPr>
                <w:rFonts w:ascii="宋体" w:hAnsi="宋体"/>
                <w:szCs w:val="21"/>
              </w:rPr>
            </w:pPr>
            <w:r>
              <w:rPr>
                <w:rFonts w:hint="eastAsia" w:ascii="宋体" w:hAnsi="宋体"/>
                <w:szCs w:val="21"/>
              </w:rPr>
              <w:t>10</w:t>
            </w:r>
            <w:r>
              <w:rPr>
                <w:rFonts w:hint="eastAsia" w:ascii="宋体" w:hAnsi="宋体"/>
                <w:szCs w:val="21"/>
                <w:lang w:val="en-US" w:eastAsia="zh-CN"/>
              </w:rPr>
              <w:t>294</w:t>
            </w:r>
            <w:r>
              <w:rPr>
                <w:rFonts w:hint="eastAsia" w:ascii="宋体" w:hAnsi="宋体"/>
                <w:szCs w:val="21"/>
              </w:rPr>
              <w:t>盏</w:t>
            </w:r>
          </w:p>
        </w:tc>
        <w:tc>
          <w:tcPr>
            <w:tcW w:w="1213" w:type="dxa"/>
            <w:vAlign w:val="center"/>
          </w:tcPr>
          <w:p w14:paraId="12D7F22C">
            <w:pPr>
              <w:widowControl/>
              <w:spacing w:line="360" w:lineRule="auto"/>
              <w:jc w:val="center"/>
              <w:rPr>
                <w:rFonts w:ascii="宋体" w:hAnsi="宋体"/>
                <w:szCs w:val="21"/>
              </w:rPr>
            </w:pPr>
            <w:r>
              <w:rPr>
                <w:rFonts w:hint="eastAsia" w:ascii="宋体" w:hAnsi="宋体"/>
                <w:szCs w:val="21"/>
              </w:rPr>
              <w:t>974盏</w:t>
            </w:r>
          </w:p>
        </w:tc>
        <w:tc>
          <w:tcPr>
            <w:tcW w:w="1250" w:type="dxa"/>
            <w:vAlign w:val="center"/>
          </w:tcPr>
          <w:p w14:paraId="16989480">
            <w:pPr>
              <w:widowControl/>
              <w:spacing w:line="360" w:lineRule="auto"/>
              <w:jc w:val="center"/>
              <w:rPr>
                <w:rFonts w:ascii="宋体" w:hAnsi="宋体"/>
                <w:szCs w:val="21"/>
                <w:highlight w:val="none"/>
              </w:rPr>
            </w:pPr>
            <w:r>
              <w:rPr>
                <w:rFonts w:hint="eastAsia" w:ascii="宋体" w:hAnsi="宋体"/>
                <w:szCs w:val="21"/>
                <w:highlight w:val="none"/>
              </w:rPr>
              <w:t>具体数量自行踏勘确定</w:t>
            </w:r>
          </w:p>
        </w:tc>
        <w:tc>
          <w:tcPr>
            <w:tcW w:w="1285" w:type="dxa"/>
            <w:vAlign w:val="center"/>
          </w:tcPr>
          <w:p w14:paraId="30D47D82">
            <w:pPr>
              <w:widowControl/>
              <w:spacing w:line="360" w:lineRule="auto"/>
              <w:jc w:val="center"/>
              <w:rPr>
                <w:rFonts w:hint="eastAsia" w:ascii="宋体" w:hAnsi="宋体" w:eastAsia="宋体"/>
                <w:szCs w:val="21"/>
                <w:highlight w:val="none"/>
                <w:lang w:eastAsia="zh-CN"/>
              </w:rPr>
            </w:pPr>
            <w:r>
              <w:rPr>
                <w:rFonts w:hint="eastAsia" w:ascii="宋体" w:hAnsi="宋体"/>
                <w:szCs w:val="21"/>
                <w:highlight w:val="none"/>
              </w:rPr>
              <w:t>具体数量自行踏勘确定</w:t>
            </w:r>
            <w:r>
              <w:rPr>
                <w:rFonts w:hint="eastAsia" w:ascii="宋体" w:hAnsi="宋体"/>
                <w:szCs w:val="21"/>
                <w:highlight w:val="none"/>
                <w:lang w:eastAsia="zh-CN"/>
              </w:rPr>
              <w:t>（</w:t>
            </w:r>
            <w:r>
              <w:rPr>
                <w:rFonts w:hint="eastAsia" w:ascii="宋体" w:hAnsi="宋体"/>
                <w:szCs w:val="21"/>
                <w:highlight w:val="none"/>
                <w:lang w:val="en-US" w:eastAsia="zh-CN"/>
              </w:rPr>
              <w:t>不包含运维</w:t>
            </w:r>
            <w:r>
              <w:rPr>
                <w:rFonts w:hint="eastAsia" w:ascii="宋体" w:hAnsi="宋体"/>
                <w:szCs w:val="21"/>
                <w:highlight w:val="none"/>
                <w:lang w:eastAsia="zh-CN"/>
              </w:rPr>
              <w:t>）</w:t>
            </w:r>
          </w:p>
        </w:tc>
      </w:tr>
    </w:tbl>
    <w:p w14:paraId="70CBBE02">
      <w:pPr>
        <w:snapToGrid w:val="0"/>
        <w:spacing w:line="400" w:lineRule="exact"/>
        <w:rPr>
          <w:rFonts w:ascii="宋体" w:hAnsi="宋体" w:cs="宋体"/>
          <w:bCs/>
          <w:szCs w:val="21"/>
          <w:highlight w:val="green"/>
        </w:rPr>
      </w:pPr>
    </w:p>
    <w:p w14:paraId="59A24967">
      <w:pPr>
        <w:snapToGrid w:val="0"/>
        <w:spacing w:line="400" w:lineRule="exact"/>
        <w:ind w:left="420" w:firstLine="210" w:firstLineChars="100"/>
        <w:rPr>
          <w:rFonts w:ascii="宋体" w:hAnsi="宋体" w:cs="宋体"/>
          <w:bCs/>
          <w:szCs w:val="21"/>
        </w:rPr>
      </w:pPr>
      <w:r>
        <w:rPr>
          <w:rFonts w:hint="eastAsia" w:ascii="宋体" w:hAnsi="宋体" w:cs="宋体"/>
          <w:bCs/>
          <w:szCs w:val="21"/>
        </w:rPr>
        <w:t>注：以上数据仅作参考，最终数量以投标人实地勘察为准。</w:t>
      </w:r>
    </w:p>
    <w:p w14:paraId="4A43346C">
      <w:pPr>
        <w:widowControl/>
        <w:spacing w:line="360" w:lineRule="auto"/>
        <w:ind w:left="420" w:firstLine="630" w:firstLineChars="300"/>
        <w:rPr>
          <w:rFonts w:ascii="宋体" w:hAnsi="宋体" w:cs="宋体"/>
          <w:b/>
          <w:bCs/>
          <w:szCs w:val="21"/>
          <w:highlight w:val="none"/>
        </w:rPr>
      </w:pPr>
      <w:r>
        <w:rPr>
          <w:rFonts w:hint="eastAsia"/>
        </w:rPr>
        <w:t>具体灯具分布范围及数量见附件</w:t>
      </w:r>
      <w:r>
        <w:rPr>
          <w:rFonts w:hint="eastAsia"/>
          <w:highlight w:val="none"/>
        </w:rPr>
        <w:t>1</w:t>
      </w:r>
      <w:r>
        <w:rPr>
          <w:rFonts w:hint="eastAsia" w:ascii="宋体" w:hAnsi="宋体" w:cs="宋体"/>
          <w:b/>
          <w:bCs/>
          <w:szCs w:val="21"/>
          <w:highlight w:val="none"/>
        </w:rPr>
        <w:t>《现状灯具情况表》。</w:t>
      </w:r>
    </w:p>
    <w:p w14:paraId="3D9BF15B">
      <w:pPr>
        <w:pStyle w:val="4"/>
        <w:tabs>
          <w:tab w:val="left" w:pos="-420"/>
        </w:tabs>
        <w:spacing w:before="0" w:after="0"/>
        <w:ind w:left="661" w:hanging="241"/>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改造前用电总能耗</w:t>
      </w:r>
    </w:p>
    <w:p w14:paraId="639BA71F">
      <w:pPr>
        <w:widowControl/>
        <w:spacing w:line="360" w:lineRule="auto"/>
        <w:ind w:left="420" w:firstLine="420" w:firstLineChars="200"/>
        <w:rPr>
          <w:rFonts w:ascii="宋体" w:hAnsi="宋体" w:cs="宋体"/>
          <w:szCs w:val="21"/>
        </w:rPr>
      </w:pPr>
      <w:r>
        <w:rPr>
          <w:rFonts w:hint="eastAsia" w:ascii="宋体" w:hAnsi="宋体" w:cs="宋体"/>
          <w:szCs w:val="21"/>
        </w:rPr>
        <w:t>3.1本项目</w:t>
      </w:r>
      <w:r>
        <w:rPr>
          <w:rFonts w:hint="eastAsia" w:ascii="宋体" w:hAnsi="宋体"/>
          <w:szCs w:val="21"/>
        </w:rPr>
        <w:t>托管范围内2024年</w:t>
      </w:r>
      <w:r>
        <w:rPr>
          <w:rFonts w:hint="eastAsia" w:ascii="宋体" w:hAnsi="宋体"/>
          <w:szCs w:val="21"/>
          <w:lang w:val="en-US" w:eastAsia="zh-CN"/>
        </w:rPr>
        <w:t>3月至2025年2月</w:t>
      </w:r>
      <w:r>
        <w:rPr>
          <w:rFonts w:hint="eastAsia" w:ascii="宋体" w:hAnsi="宋体"/>
          <w:szCs w:val="21"/>
        </w:rPr>
        <w:t>用</w:t>
      </w:r>
      <w:r>
        <w:rPr>
          <w:rFonts w:hint="eastAsia" w:ascii="宋体" w:hAnsi="宋体" w:cs="宋体"/>
          <w:szCs w:val="21"/>
        </w:rPr>
        <w:t>电总能耗见下表</w:t>
      </w:r>
    </w:p>
    <w:tbl>
      <w:tblPr>
        <w:tblStyle w:val="60"/>
        <w:tblpPr w:leftFromText="180" w:rightFromText="180" w:vertAnchor="text" w:horzAnchor="page" w:tblpX="1494" w:tblpY="93"/>
        <w:tblW w:w="9208" w:type="dxa"/>
        <w:tblInd w:w="0" w:type="dxa"/>
        <w:shd w:val="clear" w:color="auto" w:fill="auto"/>
        <w:tblLayout w:type="fixed"/>
        <w:tblCellMar>
          <w:top w:w="15" w:type="dxa"/>
          <w:left w:w="15" w:type="dxa"/>
          <w:bottom w:w="15" w:type="dxa"/>
          <w:right w:w="15" w:type="dxa"/>
        </w:tblCellMar>
      </w:tblPr>
      <w:tblGrid>
        <w:gridCol w:w="866"/>
        <w:gridCol w:w="4232"/>
        <w:gridCol w:w="2040"/>
        <w:gridCol w:w="2070"/>
      </w:tblGrid>
      <w:tr w14:paraId="0FB84C94">
        <w:tblPrEx>
          <w:shd w:val="clear" w:color="auto" w:fill="auto"/>
          <w:tblCellMar>
            <w:top w:w="15" w:type="dxa"/>
            <w:left w:w="15" w:type="dxa"/>
            <w:bottom w:w="15" w:type="dxa"/>
            <w:right w:w="15" w:type="dxa"/>
          </w:tblCellMar>
        </w:tblPrEx>
        <w:trPr>
          <w:trHeight w:val="408"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B613">
            <w:pPr>
              <w:snapToGrid w:val="0"/>
              <w:spacing w:line="400" w:lineRule="exact"/>
              <w:jc w:val="center"/>
              <w:rPr>
                <w:rFonts w:ascii="宋体" w:hAnsi="宋体" w:cs="宋体"/>
                <w:bCs/>
                <w:szCs w:val="21"/>
              </w:rPr>
            </w:pPr>
            <w:r>
              <w:rPr>
                <w:rFonts w:hint="eastAsia" w:ascii="宋体" w:hAnsi="宋体" w:cs="宋体"/>
                <w:bCs/>
                <w:szCs w:val="21"/>
              </w:rPr>
              <w:t>序号</w:t>
            </w:r>
          </w:p>
        </w:tc>
        <w:tc>
          <w:tcPr>
            <w:tcW w:w="4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7568">
            <w:pPr>
              <w:snapToGrid w:val="0"/>
              <w:spacing w:line="400" w:lineRule="exact"/>
              <w:jc w:val="center"/>
              <w:rPr>
                <w:rFonts w:ascii="宋体" w:hAnsi="宋体" w:cs="宋体"/>
                <w:bCs/>
                <w:szCs w:val="21"/>
              </w:rPr>
            </w:pPr>
            <w:r>
              <w:rPr>
                <w:rFonts w:hint="eastAsia" w:ascii="宋体" w:hAnsi="宋体" w:cs="宋体"/>
                <w:bCs/>
                <w:szCs w:val="21"/>
              </w:rPr>
              <w:t>区域</w:t>
            </w:r>
          </w:p>
        </w:tc>
        <w:tc>
          <w:tcPr>
            <w:tcW w:w="20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2A6D3AF">
            <w:pPr>
              <w:snapToGrid w:val="0"/>
              <w:spacing w:line="400" w:lineRule="exact"/>
              <w:jc w:val="center"/>
              <w:rPr>
                <w:rFonts w:ascii="宋体" w:hAnsi="宋体" w:cs="宋体"/>
                <w:bCs/>
                <w:szCs w:val="21"/>
              </w:rPr>
            </w:pPr>
            <w:r>
              <w:rPr>
                <w:rFonts w:hint="eastAsia" w:ascii="宋体" w:hAnsi="宋体" w:cs="宋体"/>
                <w:bCs/>
                <w:szCs w:val="21"/>
              </w:rPr>
              <w:t>能耗（kwh/年）</w:t>
            </w:r>
          </w:p>
        </w:tc>
        <w:tc>
          <w:tcPr>
            <w:tcW w:w="2070" w:type="dxa"/>
            <w:tcBorders>
              <w:top w:val="single" w:color="000000" w:sz="4" w:space="0"/>
              <w:left w:val="single" w:color="auto" w:sz="4" w:space="0"/>
              <w:bottom w:val="single" w:color="000000" w:sz="4" w:space="0"/>
              <w:right w:val="single" w:color="000000" w:sz="4" w:space="0"/>
            </w:tcBorders>
            <w:shd w:val="clear" w:color="auto" w:fill="auto"/>
            <w:vAlign w:val="center"/>
          </w:tcPr>
          <w:p w14:paraId="428133FD">
            <w:pPr>
              <w:snapToGrid w:val="0"/>
              <w:spacing w:line="400" w:lineRule="exact"/>
              <w:jc w:val="center"/>
              <w:rPr>
                <w:rFonts w:hint="default" w:ascii="宋体" w:hAnsi="宋体" w:eastAsia="宋体" w:cs="宋体"/>
                <w:bCs/>
                <w:szCs w:val="21"/>
                <w:lang w:val="en-US" w:eastAsia="zh-CN"/>
              </w:rPr>
            </w:pPr>
            <w:r>
              <w:rPr>
                <w:rFonts w:hint="eastAsia" w:ascii="宋体" w:hAnsi="宋体" w:cs="宋体"/>
                <w:bCs/>
                <w:szCs w:val="21"/>
                <w:lang w:val="en-US" w:eastAsia="zh-CN"/>
              </w:rPr>
              <w:t>能耗费用（元）</w:t>
            </w:r>
          </w:p>
        </w:tc>
      </w:tr>
      <w:tr w14:paraId="689A124F">
        <w:tblPrEx>
          <w:shd w:val="clear" w:color="auto" w:fill="auto"/>
          <w:tblCellMar>
            <w:top w:w="15" w:type="dxa"/>
            <w:left w:w="15" w:type="dxa"/>
            <w:bottom w:w="15" w:type="dxa"/>
            <w:right w:w="15" w:type="dxa"/>
          </w:tblCellMar>
        </w:tblPrEx>
        <w:trPr>
          <w:trHeight w:val="841" w:hRule="exact"/>
        </w:trPr>
        <w:tc>
          <w:tcPr>
            <w:tcW w:w="866" w:type="dxa"/>
            <w:tcBorders>
              <w:top w:val="single" w:color="000000" w:sz="4" w:space="0"/>
              <w:left w:val="single" w:color="000000" w:sz="4" w:space="0"/>
              <w:bottom w:val="single" w:color="auto" w:sz="4" w:space="0"/>
              <w:right w:val="single" w:color="000000" w:sz="4" w:space="0"/>
            </w:tcBorders>
            <w:shd w:val="clear" w:color="auto" w:fill="auto"/>
            <w:vAlign w:val="center"/>
          </w:tcPr>
          <w:p w14:paraId="024ACF36">
            <w:pPr>
              <w:snapToGrid w:val="0"/>
              <w:spacing w:line="400" w:lineRule="exact"/>
              <w:jc w:val="center"/>
              <w:rPr>
                <w:rFonts w:ascii="宋体" w:hAnsi="宋体" w:cs="宋体"/>
                <w:bCs/>
                <w:szCs w:val="21"/>
              </w:rPr>
            </w:pPr>
            <w:bookmarkStart w:id="15" w:name="OLE_LINK2" w:colFirst="3" w:colLast="3"/>
            <w:r>
              <w:rPr>
                <w:rFonts w:hint="eastAsia" w:ascii="宋体" w:hAnsi="宋体" w:cs="宋体"/>
                <w:bCs/>
                <w:szCs w:val="21"/>
              </w:rPr>
              <w:t>1</w:t>
            </w:r>
          </w:p>
        </w:tc>
        <w:tc>
          <w:tcPr>
            <w:tcW w:w="4232" w:type="dxa"/>
            <w:tcBorders>
              <w:top w:val="single" w:color="000000" w:sz="4" w:space="0"/>
              <w:left w:val="single" w:color="000000" w:sz="4" w:space="0"/>
              <w:bottom w:val="single" w:color="auto" w:sz="4" w:space="0"/>
              <w:right w:val="single" w:color="auto" w:sz="4" w:space="0"/>
            </w:tcBorders>
            <w:shd w:val="clear" w:color="auto" w:fill="auto"/>
            <w:vAlign w:val="center"/>
          </w:tcPr>
          <w:p w14:paraId="72C2FD69">
            <w:pPr>
              <w:widowControl/>
              <w:spacing w:line="360" w:lineRule="auto"/>
              <w:jc w:val="center"/>
              <w:textAlignment w:val="center"/>
              <w:rPr>
                <w:rFonts w:hint="eastAsia" w:ascii="宋体" w:hAnsi="宋体" w:eastAsia="宋体" w:cs="宋体"/>
                <w:bCs/>
                <w:szCs w:val="21"/>
                <w:lang w:eastAsia="zh-CN"/>
              </w:rPr>
            </w:pPr>
            <w:r>
              <w:rPr>
                <w:rFonts w:hint="eastAsia" w:ascii="宋体" w:hAnsi="宋体"/>
                <w:szCs w:val="21"/>
              </w:rPr>
              <w:t>鸭东线定海段</w:t>
            </w:r>
            <w:r>
              <w:rPr>
                <w:rFonts w:hint="eastAsia" w:ascii="宋体" w:hAnsi="宋体"/>
                <w:szCs w:val="21"/>
                <w:lang w:eastAsia="zh-CN"/>
              </w:rPr>
              <w:t>、</w:t>
            </w:r>
            <w:r>
              <w:rPr>
                <w:rFonts w:hint="eastAsia" w:ascii="宋体" w:hAnsi="宋体"/>
                <w:szCs w:val="21"/>
              </w:rPr>
              <w:t>临北线定海段</w:t>
            </w:r>
            <w:r>
              <w:rPr>
                <w:rFonts w:hint="eastAsia" w:ascii="宋体" w:hAnsi="宋体"/>
                <w:szCs w:val="21"/>
                <w:lang w:eastAsia="zh-CN"/>
              </w:rPr>
              <w:t>、</w:t>
            </w:r>
            <w:r>
              <w:rPr>
                <w:rFonts w:hint="eastAsia" w:ascii="宋体" w:hAnsi="宋体"/>
                <w:szCs w:val="21"/>
              </w:rPr>
              <w:t>所有实施范围路段LED路灯</w:t>
            </w:r>
          </w:p>
        </w:tc>
        <w:tc>
          <w:tcPr>
            <w:tcW w:w="2040" w:type="dxa"/>
            <w:tcBorders>
              <w:top w:val="single" w:color="000000" w:sz="4" w:space="0"/>
              <w:left w:val="single" w:color="auto" w:sz="4" w:space="0"/>
              <w:bottom w:val="single" w:color="auto" w:sz="4" w:space="0"/>
              <w:right w:val="single" w:color="auto" w:sz="4" w:space="0"/>
            </w:tcBorders>
            <w:shd w:val="clear" w:color="auto" w:fill="auto"/>
            <w:vAlign w:val="center"/>
          </w:tcPr>
          <w:p w14:paraId="032D117C">
            <w:pPr>
              <w:snapToGrid w:val="0"/>
              <w:spacing w:line="400" w:lineRule="exact"/>
              <w:jc w:val="center"/>
              <w:rPr>
                <w:rFonts w:hint="default" w:ascii="宋体" w:hAnsi="宋体" w:eastAsia="宋体" w:cs="宋体"/>
                <w:bCs/>
                <w:szCs w:val="21"/>
                <w:lang w:val="en-US" w:eastAsia="zh-CN"/>
              </w:rPr>
            </w:pPr>
            <w:r>
              <w:rPr>
                <w:rFonts w:hint="eastAsia" w:ascii="宋体" w:hAnsi="宋体" w:cs="宋体"/>
                <w:bCs/>
                <w:szCs w:val="21"/>
                <w:lang w:val="en-US" w:eastAsia="zh-CN"/>
              </w:rPr>
              <w:t>3348069</w:t>
            </w:r>
          </w:p>
        </w:tc>
        <w:tc>
          <w:tcPr>
            <w:tcW w:w="2070" w:type="dxa"/>
            <w:tcBorders>
              <w:top w:val="single" w:color="000000" w:sz="4" w:space="0"/>
              <w:left w:val="single" w:color="auto" w:sz="4" w:space="0"/>
              <w:bottom w:val="single" w:color="auto" w:sz="4" w:space="0"/>
              <w:right w:val="single" w:color="000000" w:sz="4" w:space="0"/>
            </w:tcBorders>
            <w:shd w:val="clear" w:color="auto" w:fill="auto"/>
            <w:vAlign w:val="center"/>
          </w:tcPr>
          <w:p w14:paraId="4A0EEFC3">
            <w:pPr>
              <w:snapToGrid w:val="0"/>
              <w:spacing w:line="400" w:lineRule="exact"/>
              <w:jc w:val="center"/>
              <w:rPr>
                <w:rFonts w:hint="default" w:ascii="宋体" w:hAnsi="宋体" w:eastAsia="宋体" w:cs="宋体"/>
                <w:bCs/>
                <w:szCs w:val="21"/>
                <w:lang w:val="en-US" w:eastAsia="zh-CN"/>
              </w:rPr>
            </w:pPr>
            <w:r>
              <w:rPr>
                <w:rFonts w:hint="eastAsia" w:ascii="宋体" w:hAnsi="宋体" w:cs="宋体"/>
                <w:bCs/>
                <w:szCs w:val="21"/>
                <w:lang w:val="en-US" w:eastAsia="zh-CN"/>
              </w:rPr>
              <w:t>2479603.16</w:t>
            </w:r>
          </w:p>
        </w:tc>
      </w:tr>
      <w:tr w14:paraId="3C938FD9">
        <w:tblPrEx>
          <w:shd w:val="clear" w:color="auto" w:fill="auto"/>
          <w:tblCellMar>
            <w:top w:w="15" w:type="dxa"/>
            <w:left w:w="15" w:type="dxa"/>
            <w:bottom w:w="15" w:type="dxa"/>
            <w:right w:w="15" w:type="dxa"/>
          </w:tblCellMar>
        </w:tblPrEx>
        <w:trPr>
          <w:trHeight w:val="643" w:hRule="exact"/>
        </w:trPr>
        <w:tc>
          <w:tcPr>
            <w:tcW w:w="866" w:type="dxa"/>
            <w:tcBorders>
              <w:top w:val="single" w:color="auto" w:sz="4" w:space="0"/>
              <w:left w:val="single" w:color="000000" w:sz="4" w:space="0"/>
              <w:bottom w:val="single" w:color="auto" w:sz="4" w:space="0"/>
              <w:right w:val="single" w:color="000000" w:sz="4" w:space="0"/>
            </w:tcBorders>
            <w:shd w:val="clear" w:color="auto" w:fill="auto"/>
            <w:vAlign w:val="center"/>
          </w:tcPr>
          <w:p w14:paraId="2A2BE30E">
            <w:pPr>
              <w:widowControl/>
              <w:spacing w:line="360" w:lineRule="auto"/>
              <w:jc w:val="center"/>
              <w:textAlignment w:val="center"/>
              <w:rPr>
                <w:rFonts w:ascii="宋体" w:hAnsi="宋体" w:cs="宋体"/>
                <w:bCs/>
                <w:szCs w:val="21"/>
              </w:rPr>
            </w:pPr>
            <w:r>
              <w:rPr>
                <w:rFonts w:hint="eastAsia" w:ascii="宋体" w:hAnsi="宋体" w:cs="宋体"/>
                <w:bCs/>
                <w:szCs w:val="21"/>
              </w:rPr>
              <w:t>2</w:t>
            </w:r>
          </w:p>
        </w:tc>
        <w:tc>
          <w:tcPr>
            <w:tcW w:w="4232" w:type="dxa"/>
            <w:tcBorders>
              <w:top w:val="single" w:color="auto" w:sz="4" w:space="0"/>
              <w:left w:val="single" w:color="000000" w:sz="4" w:space="0"/>
              <w:bottom w:val="single" w:color="auto" w:sz="4" w:space="0"/>
              <w:right w:val="single" w:color="auto" w:sz="4" w:space="0"/>
            </w:tcBorders>
            <w:shd w:val="clear" w:color="auto" w:fill="auto"/>
            <w:vAlign w:val="center"/>
          </w:tcPr>
          <w:p w14:paraId="6B0F7776">
            <w:pPr>
              <w:widowControl/>
              <w:spacing w:line="360" w:lineRule="auto"/>
              <w:jc w:val="center"/>
              <w:textAlignment w:val="center"/>
              <w:rPr>
                <w:rFonts w:ascii="宋体" w:hAnsi="宋体" w:cs="宋体"/>
                <w:bCs/>
                <w:szCs w:val="21"/>
              </w:rPr>
            </w:pPr>
            <w:r>
              <w:rPr>
                <w:rFonts w:hint="eastAsia" w:ascii="宋体" w:hAnsi="宋体" w:cs="宋体"/>
                <w:bCs/>
                <w:szCs w:val="21"/>
              </w:rPr>
              <w:t>定马线G526</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4B9896AB">
            <w:pPr>
              <w:widowControl/>
              <w:spacing w:line="360" w:lineRule="auto"/>
              <w:jc w:val="center"/>
              <w:textAlignment w:val="center"/>
              <w:rPr>
                <w:rFonts w:hint="default" w:ascii="宋体" w:hAnsi="宋体" w:cs="宋体"/>
                <w:bCs/>
                <w:szCs w:val="21"/>
                <w:lang w:val="en-US" w:eastAsia="zh-CN"/>
              </w:rPr>
            </w:pPr>
            <w:r>
              <w:rPr>
                <w:rFonts w:hint="eastAsia" w:ascii="宋体" w:hAnsi="宋体" w:cs="宋体"/>
                <w:bCs/>
                <w:szCs w:val="21"/>
              </w:rPr>
              <w:t>2244109</w:t>
            </w:r>
          </w:p>
        </w:tc>
        <w:tc>
          <w:tcPr>
            <w:tcW w:w="2070" w:type="dxa"/>
            <w:tcBorders>
              <w:top w:val="single" w:color="auto" w:sz="4" w:space="0"/>
              <w:left w:val="single" w:color="auto" w:sz="4" w:space="0"/>
              <w:bottom w:val="single" w:color="auto" w:sz="4" w:space="0"/>
              <w:right w:val="single" w:color="000000" w:sz="4" w:space="0"/>
            </w:tcBorders>
            <w:shd w:val="clear" w:color="auto" w:fill="auto"/>
            <w:vAlign w:val="center"/>
          </w:tcPr>
          <w:p w14:paraId="04C42EBA">
            <w:pPr>
              <w:widowControl/>
              <w:spacing w:line="360" w:lineRule="auto"/>
              <w:jc w:val="center"/>
              <w:textAlignment w:val="center"/>
              <w:rPr>
                <w:rFonts w:hint="eastAsia" w:ascii="宋体" w:hAnsi="宋体" w:cs="宋体"/>
                <w:bCs/>
                <w:szCs w:val="21"/>
                <w:lang w:val="en-US" w:eastAsia="zh-CN"/>
              </w:rPr>
            </w:pPr>
            <w:r>
              <w:rPr>
                <w:rFonts w:hint="eastAsia" w:ascii="宋体" w:hAnsi="宋体" w:cs="宋体"/>
                <w:bCs/>
                <w:szCs w:val="21"/>
                <w:lang w:val="en-US" w:eastAsia="zh-CN"/>
              </w:rPr>
              <w:t>1666067.52</w:t>
            </w:r>
          </w:p>
        </w:tc>
      </w:tr>
      <w:tr w14:paraId="25DD9BA2">
        <w:tblPrEx>
          <w:shd w:val="clear" w:color="auto" w:fill="auto"/>
          <w:tblCellMar>
            <w:top w:w="15" w:type="dxa"/>
            <w:left w:w="15" w:type="dxa"/>
            <w:bottom w:w="15" w:type="dxa"/>
            <w:right w:w="15" w:type="dxa"/>
          </w:tblCellMar>
        </w:tblPrEx>
        <w:trPr>
          <w:trHeight w:val="641" w:hRule="exact"/>
        </w:trPr>
        <w:tc>
          <w:tcPr>
            <w:tcW w:w="866" w:type="dxa"/>
            <w:tcBorders>
              <w:top w:val="single" w:color="auto" w:sz="4" w:space="0"/>
              <w:left w:val="single" w:color="000000" w:sz="4" w:space="0"/>
              <w:bottom w:val="single" w:color="auto" w:sz="4" w:space="0"/>
              <w:right w:val="single" w:color="000000" w:sz="4" w:space="0"/>
            </w:tcBorders>
            <w:shd w:val="clear" w:color="auto" w:fill="auto"/>
            <w:vAlign w:val="center"/>
          </w:tcPr>
          <w:p w14:paraId="25934C0A">
            <w:pPr>
              <w:widowControl/>
              <w:spacing w:line="360" w:lineRule="auto"/>
              <w:jc w:val="center"/>
              <w:textAlignment w:val="center"/>
              <w:rPr>
                <w:rFonts w:hint="eastAsia" w:ascii="宋体" w:hAnsi="宋体" w:eastAsia="宋体" w:cs="宋体"/>
                <w:bCs/>
                <w:szCs w:val="21"/>
                <w:lang w:val="en-US" w:eastAsia="zh-CN"/>
              </w:rPr>
            </w:pPr>
            <w:r>
              <w:rPr>
                <w:rFonts w:hint="eastAsia" w:ascii="宋体" w:hAnsi="宋体" w:cs="宋体"/>
                <w:bCs/>
                <w:szCs w:val="21"/>
                <w:lang w:val="en-US" w:eastAsia="zh-CN"/>
              </w:rPr>
              <w:t>3</w:t>
            </w:r>
          </w:p>
        </w:tc>
        <w:tc>
          <w:tcPr>
            <w:tcW w:w="4232" w:type="dxa"/>
            <w:tcBorders>
              <w:top w:val="single" w:color="auto" w:sz="4" w:space="0"/>
              <w:left w:val="single" w:color="000000" w:sz="4" w:space="0"/>
              <w:bottom w:val="single" w:color="auto" w:sz="4" w:space="0"/>
              <w:right w:val="single" w:color="auto" w:sz="4" w:space="0"/>
            </w:tcBorders>
            <w:shd w:val="clear" w:color="auto" w:fill="auto"/>
            <w:vAlign w:val="center"/>
          </w:tcPr>
          <w:p w14:paraId="4CBF5A25">
            <w:pPr>
              <w:snapToGrid w:val="0"/>
              <w:spacing w:line="400" w:lineRule="exact"/>
              <w:jc w:val="center"/>
              <w:rPr>
                <w:rFonts w:hint="eastAsia" w:ascii="宋体" w:hAnsi="宋体" w:cs="宋体"/>
                <w:bCs/>
                <w:szCs w:val="21"/>
              </w:rPr>
            </w:pPr>
            <w:r>
              <w:rPr>
                <w:rFonts w:hint="eastAsia" w:ascii="宋体" w:hAnsi="宋体" w:cs="宋体"/>
                <w:bCs/>
                <w:szCs w:val="21"/>
              </w:rPr>
              <w:t>区管隧道</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5F82398A">
            <w:pPr>
              <w:snapToGrid w:val="0"/>
              <w:spacing w:line="400" w:lineRule="exact"/>
              <w:jc w:val="center"/>
              <w:rPr>
                <w:rFonts w:hint="eastAsia" w:ascii="宋体" w:hAnsi="宋体" w:cs="宋体"/>
                <w:bCs/>
                <w:szCs w:val="21"/>
              </w:rPr>
            </w:pPr>
            <w:r>
              <w:rPr>
                <w:rFonts w:hint="eastAsia" w:ascii="宋体" w:hAnsi="宋体" w:cs="宋体"/>
                <w:bCs/>
                <w:szCs w:val="21"/>
                <w:lang w:val="en-US" w:eastAsia="zh-CN"/>
              </w:rPr>
              <w:t>1802526</w:t>
            </w:r>
          </w:p>
        </w:tc>
        <w:tc>
          <w:tcPr>
            <w:tcW w:w="2070" w:type="dxa"/>
            <w:tcBorders>
              <w:top w:val="single" w:color="auto" w:sz="4" w:space="0"/>
              <w:left w:val="single" w:color="auto" w:sz="4" w:space="0"/>
              <w:bottom w:val="single" w:color="auto" w:sz="4" w:space="0"/>
              <w:right w:val="single" w:color="000000" w:sz="4" w:space="0"/>
            </w:tcBorders>
            <w:shd w:val="clear" w:color="auto" w:fill="auto"/>
            <w:vAlign w:val="center"/>
          </w:tcPr>
          <w:p w14:paraId="7A61A185">
            <w:pPr>
              <w:snapToGrid w:val="0"/>
              <w:spacing w:line="400" w:lineRule="exact"/>
              <w:jc w:val="center"/>
              <w:rPr>
                <w:rFonts w:hint="default" w:ascii="宋体" w:hAnsi="宋体" w:cs="宋体"/>
                <w:bCs/>
                <w:szCs w:val="21"/>
                <w:lang w:val="en-US"/>
              </w:rPr>
            </w:pPr>
            <w:r>
              <w:rPr>
                <w:rFonts w:hint="eastAsia" w:ascii="宋体" w:hAnsi="宋体" w:cs="宋体"/>
                <w:bCs/>
                <w:szCs w:val="21"/>
                <w:lang w:val="en-US" w:eastAsia="zh-CN"/>
              </w:rPr>
              <w:t>1574221.33</w:t>
            </w:r>
          </w:p>
        </w:tc>
      </w:tr>
      <w:tr w14:paraId="75F19226">
        <w:tblPrEx>
          <w:shd w:val="clear" w:color="auto" w:fill="auto"/>
          <w:tblCellMar>
            <w:top w:w="15" w:type="dxa"/>
            <w:left w:w="15" w:type="dxa"/>
            <w:bottom w:w="15" w:type="dxa"/>
            <w:right w:w="15" w:type="dxa"/>
          </w:tblCellMar>
        </w:tblPrEx>
        <w:trPr>
          <w:trHeight w:val="651" w:hRule="exact"/>
        </w:trPr>
        <w:tc>
          <w:tcPr>
            <w:tcW w:w="866" w:type="dxa"/>
            <w:tcBorders>
              <w:top w:val="single" w:color="auto" w:sz="4" w:space="0"/>
              <w:left w:val="single" w:color="000000" w:sz="4" w:space="0"/>
              <w:bottom w:val="single" w:color="auto" w:sz="4" w:space="0"/>
              <w:right w:val="single" w:color="000000" w:sz="4" w:space="0"/>
            </w:tcBorders>
            <w:shd w:val="clear" w:color="auto" w:fill="auto"/>
            <w:vAlign w:val="center"/>
          </w:tcPr>
          <w:p w14:paraId="0A933055">
            <w:pPr>
              <w:widowControl/>
              <w:spacing w:line="360" w:lineRule="auto"/>
              <w:jc w:val="center"/>
              <w:textAlignment w:val="center"/>
              <w:rPr>
                <w:rFonts w:ascii="宋体" w:hAnsi="宋体" w:cs="宋体"/>
                <w:bCs/>
                <w:szCs w:val="21"/>
              </w:rPr>
            </w:pPr>
            <w:r>
              <w:rPr>
                <w:rFonts w:hint="eastAsia" w:ascii="宋体" w:hAnsi="宋体" w:cs="宋体"/>
                <w:bCs/>
                <w:szCs w:val="21"/>
              </w:rPr>
              <w:t>4</w:t>
            </w:r>
          </w:p>
        </w:tc>
        <w:tc>
          <w:tcPr>
            <w:tcW w:w="4232" w:type="dxa"/>
            <w:tcBorders>
              <w:top w:val="single" w:color="auto" w:sz="4" w:space="0"/>
              <w:left w:val="single" w:color="000000" w:sz="4" w:space="0"/>
              <w:bottom w:val="single" w:color="auto" w:sz="4" w:space="0"/>
              <w:right w:val="single" w:color="auto" w:sz="4" w:space="0"/>
            </w:tcBorders>
            <w:shd w:val="clear" w:color="auto" w:fill="auto"/>
            <w:vAlign w:val="center"/>
          </w:tcPr>
          <w:p w14:paraId="72DC7625">
            <w:pPr>
              <w:widowControl/>
              <w:spacing w:line="360" w:lineRule="auto"/>
              <w:jc w:val="center"/>
              <w:textAlignment w:val="center"/>
              <w:rPr>
                <w:rFonts w:ascii="宋体" w:hAnsi="宋体" w:cs="宋体"/>
                <w:bCs/>
                <w:szCs w:val="21"/>
              </w:rPr>
            </w:pPr>
            <w:r>
              <w:rPr>
                <w:rFonts w:hint="eastAsia" w:ascii="宋体" w:hAnsi="宋体" w:cs="宋体"/>
                <w:bCs/>
                <w:szCs w:val="21"/>
              </w:rPr>
              <w:t>市管隧道</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1B534BB3">
            <w:pPr>
              <w:widowControl/>
              <w:spacing w:line="360" w:lineRule="auto"/>
              <w:jc w:val="center"/>
              <w:textAlignment w:val="center"/>
              <w:rPr>
                <w:rFonts w:ascii="宋体" w:hAnsi="宋体" w:cs="宋体"/>
                <w:bCs/>
                <w:szCs w:val="21"/>
              </w:rPr>
            </w:pPr>
            <w:r>
              <w:rPr>
                <w:rFonts w:hint="eastAsia" w:ascii="宋体" w:hAnsi="宋体" w:cs="宋体"/>
                <w:bCs/>
                <w:szCs w:val="21"/>
              </w:rPr>
              <w:t>4788433</w:t>
            </w:r>
          </w:p>
        </w:tc>
        <w:tc>
          <w:tcPr>
            <w:tcW w:w="2070" w:type="dxa"/>
            <w:tcBorders>
              <w:top w:val="single" w:color="auto" w:sz="4" w:space="0"/>
              <w:left w:val="single" w:color="auto" w:sz="4" w:space="0"/>
              <w:bottom w:val="single" w:color="auto" w:sz="4" w:space="0"/>
              <w:right w:val="single" w:color="000000" w:sz="4" w:space="0"/>
            </w:tcBorders>
            <w:shd w:val="clear" w:color="auto" w:fill="auto"/>
            <w:vAlign w:val="center"/>
          </w:tcPr>
          <w:p w14:paraId="6D47F7D0">
            <w:pPr>
              <w:widowControl/>
              <w:spacing w:line="360" w:lineRule="auto"/>
              <w:jc w:val="center"/>
              <w:textAlignment w:val="center"/>
              <w:rPr>
                <w:rFonts w:hint="eastAsia" w:ascii="宋体" w:hAnsi="宋体" w:cs="宋体"/>
                <w:bCs/>
                <w:szCs w:val="21"/>
              </w:rPr>
            </w:pPr>
            <w:r>
              <w:rPr>
                <w:rFonts w:hint="eastAsia" w:ascii="宋体" w:hAnsi="宋体" w:cs="宋体"/>
                <w:bCs/>
                <w:szCs w:val="21"/>
              </w:rPr>
              <w:t>3617586.45</w:t>
            </w:r>
          </w:p>
        </w:tc>
      </w:tr>
      <w:bookmarkEnd w:id="15"/>
      <w:tr w14:paraId="6B447DF8">
        <w:tblPrEx>
          <w:shd w:val="clear" w:color="auto" w:fill="auto"/>
          <w:tblCellMar>
            <w:top w:w="15" w:type="dxa"/>
            <w:left w:w="15" w:type="dxa"/>
            <w:bottom w:w="15" w:type="dxa"/>
            <w:right w:w="15" w:type="dxa"/>
          </w:tblCellMar>
        </w:tblPrEx>
        <w:trPr>
          <w:trHeight w:val="651" w:hRule="exact"/>
        </w:trPr>
        <w:tc>
          <w:tcPr>
            <w:tcW w:w="5098"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14:paraId="444E7A5E">
            <w:pPr>
              <w:widowControl/>
              <w:spacing w:line="360" w:lineRule="auto"/>
              <w:jc w:val="center"/>
              <w:textAlignment w:val="center"/>
              <w:rPr>
                <w:rFonts w:hint="eastAsia" w:ascii="宋体" w:hAnsi="宋体" w:cs="宋体"/>
                <w:bCs/>
                <w:szCs w:val="21"/>
              </w:rPr>
            </w:pPr>
            <w:r>
              <w:rPr>
                <w:rFonts w:hint="eastAsia" w:ascii="宋体" w:hAnsi="宋体" w:cs="宋体"/>
                <w:bCs/>
                <w:szCs w:val="21"/>
              </w:rPr>
              <w:t>合计</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1AA0793F">
            <w:pPr>
              <w:widowControl/>
              <w:spacing w:line="360" w:lineRule="auto"/>
              <w:jc w:val="center"/>
              <w:textAlignment w:val="center"/>
              <w:rPr>
                <w:rFonts w:hint="default" w:ascii="宋体" w:hAnsi="宋体" w:eastAsia="宋体" w:cs="宋体"/>
                <w:bCs/>
                <w:szCs w:val="21"/>
                <w:lang w:val="en-US" w:eastAsia="zh-CN"/>
              </w:rPr>
            </w:pPr>
            <w:r>
              <w:rPr>
                <w:rFonts w:hint="eastAsia" w:ascii="宋体" w:hAnsi="宋体" w:cs="宋体"/>
                <w:bCs/>
                <w:szCs w:val="21"/>
                <w:lang w:val="en-US" w:eastAsia="zh-CN"/>
              </w:rPr>
              <w:t>12183137</w:t>
            </w:r>
          </w:p>
        </w:tc>
        <w:tc>
          <w:tcPr>
            <w:tcW w:w="2070" w:type="dxa"/>
            <w:tcBorders>
              <w:top w:val="single" w:color="auto" w:sz="4" w:space="0"/>
              <w:left w:val="single" w:color="auto" w:sz="4" w:space="0"/>
              <w:bottom w:val="single" w:color="auto" w:sz="4" w:space="0"/>
              <w:right w:val="single" w:color="000000" w:sz="4" w:space="0"/>
            </w:tcBorders>
            <w:shd w:val="clear" w:color="auto" w:fill="auto"/>
            <w:vAlign w:val="center"/>
          </w:tcPr>
          <w:p w14:paraId="62357653">
            <w:pPr>
              <w:widowControl/>
              <w:spacing w:line="360" w:lineRule="auto"/>
              <w:jc w:val="center"/>
              <w:textAlignment w:val="center"/>
              <w:rPr>
                <w:rFonts w:hint="default" w:ascii="宋体" w:hAnsi="宋体" w:eastAsia="宋体" w:cs="宋体"/>
                <w:bCs/>
                <w:szCs w:val="21"/>
                <w:lang w:val="en-US" w:eastAsia="zh-CN"/>
              </w:rPr>
            </w:pPr>
            <w:r>
              <w:rPr>
                <w:rFonts w:hint="eastAsia" w:ascii="宋体" w:hAnsi="宋体" w:cs="宋体"/>
                <w:bCs/>
                <w:szCs w:val="21"/>
                <w:lang w:val="en-US" w:eastAsia="zh-CN"/>
              </w:rPr>
              <w:t>9337478.46</w:t>
            </w:r>
          </w:p>
        </w:tc>
      </w:tr>
    </w:tbl>
    <w:p w14:paraId="3984C7E3">
      <w:pPr>
        <w:pStyle w:val="32"/>
        <w:tabs>
          <w:tab w:val="left" w:pos="360"/>
          <w:tab w:val="left" w:pos="420"/>
          <w:tab w:val="left" w:pos="540"/>
        </w:tabs>
        <w:adjustRightInd w:val="0"/>
        <w:snapToGrid w:val="0"/>
        <w:spacing w:before="0" w:beforeLines="0" w:after="0" w:afterLines="0" w:line="360" w:lineRule="auto"/>
        <w:ind w:left="420" w:firstLine="420" w:firstLineChars="200"/>
        <w:rPr>
          <w:rFonts w:ascii="Times New Roman" w:hAnsi="Times New Roman"/>
          <w:kern w:val="2"/>
          <w:sz w:val="21"/>
        </w:rPr>
      </w:pPr>
      <w:bookmarkStart w:id="16" w:name="_Toc10195"/>
      <w:bookmarkStart w:id="17" w:name="_Toc487"/>
      <w:r>
        <w:rPr>
          <w:rFonts w:hint="eastAsia" w:ascii="Times New Roman" w:hAnsi="Times New Roman"/>
          <w:kern w:val="2"/>
          <w:sz w:val="21"/>
        </w:rPr>
        <w:t>3.2本采购项目电消耗量以项目范围能耗数据为参考依据。</w:t>
      </w:r>
      <w:r>
        <w:rPr>
          <w:rFonts w:hint="eastAsia" w:ascii="Times New Roman" w:hAnsi="Times New Roman"/>
          <w:kern w:val="2"/>
          <w:sz w:val="21"/>
          <w:highlight w:val="none"/>
        </w:rPr>
        <w:t>若清单中能耗与实际不一致，</w:t>
      </w:r>
      <w:r>
        <w:rPr>
          <w:rFonts w:hint="eastAsia" w:ascii="Times New Roman" w:hAnsi="Times New Roman"/>
          <w:kern w:val="2"/>
          <w:sz w:val="21"/>
        </w:rPr>
        <w:t>以实际为准；若因日常维修造成个别或小部分光源与该区域道路的大部分光源不一致时，以大部分光源规格为准。</w:t>
      </w:r>
    </w:p>
    <w:p w14:paraId="1425E402">
      <w:pPr>
        <w:pStyle w:val="32"/>
        <w:tabs>
          <w:tab w:val="left" w:pos="360"/>
          <w:tab w:val="left" w:pos="420"/>
          <w:tab w:val="left" w:pos="540"/>
        </w:tabs>
        <w:adjustRightInd w:val="0"/>
        <w:snapToGrid w:val="0"/>
        <w:spacing w:before="0" w:beforeLines="0" w:after="0" w:afterLines="0" w:line="360" w:lineRule="auto"/>
        <w:ind w:left="420" w:firstLine="420" w:firstLineChars="200"/>
        <w:rPr>
          <w:rFonts w:ascii="Times New Roman" w:hAnsi="Times New Roman"/>
          <w:kern w:val="2"/>
          <w:sz w:val="21"/>
          <w:highlight w:val="cyan"/>
        </w:rPr>
      </w:pPr>
      <w:r>
        <w:rPr>
          <w:rFonts w:hint="eastAsia" w:ascii="Times New Roman" w:hAnsi="Times New Roman"/>
          <w:kern w:val="2"/>
          <w:sz w:val="21"/>
        </w:rPr>
        <w:t>3.3全年平均亮灯时间约4015个小时。</w:t>
      </w:r>
      <w:r>
        <w:rPr>
          <w:rFonts w:hint="eastAsia" w:ascii="Times New Roman" w:hAnsi="Times New Roman"/>
          <w:kern w:val="2"/>
          <w:sz w:val="21"/>
          <w:lang w:val="zh-CN"/>
        </w:rPr>
        <w:t>一年之中每天路灯亮灯时间折合成平均值约为11小时，除隧道照明常规照明灯外，本招标文件其他路灯（包括隧道的加强照明灯）的亮灯时间均以11小时进行计算，不得变更；隧道灯常规照明灯按24个小时计算。</w:t>
      </w:r>
    </w:p>
    <w:p w14:paraId="2A2C534F">
      <w:pPr>
        <w:pStyle w:val="3"/>
        <w:numPr>
          <w:ilvl w:val="0"/>
          <w:numId w:val="0"/>
        </w:numPr>
        <w:tabs>
          <w:tab w:val="left" w:pos="-420"/>
        </w:tabs>
        <w:spacing w:before="0" w:after="0"/>
        <w:rPr>
          <w:rFonts w:hint="eastAsia" w:ascii="黑体" w:hAnsi="黑体" w:cs="黑体"/>
          <w:b/>
          <w:bCs/>
          <w:sz w:val="21"/>
          <w:szCs w:val="21"/>
        </w:rPr>
      </w:pPr>
      <w:r>
        <w:rPr>
          <w:rFonts w:hint="eastAsia" w:ascii="黑体" w:hAnsi="黑体" w:cs="黑体"/>
          <w:b/>
          <w:bCs/>
          <w:sz w:val="21"/>
          <w:szCs w:val="21"/>
        </w:rPr>
        <w:t>二、能源托管方式及目标</w:t>
      </w:r>
    </w:p>
    <w:p w14:paraId="1590E067">
      <w:pPr>
        <w:adjustRightInd w:val="0"/>
        <w:snapToGrid w:val="0"/>
        <w:spacing w:line="360" w:lineRule="auto"/>
        <w:ind w:left="420" w:firstLine="420" w:firstLineChars="200"/>
        <w:jc w:val="left"/>
        <w:rPr>
          <w:rFonts w:ascii="宋体" w:hAnsi="宋体"/>
          <w:szCs w:val="21"/>
        </w:rPr>
      </w:pPr>
      <w:r>
        <w:rPr>
          <w:rFonts w:hint="eastAsia" w:ascii="宋体" w:hAnsi="宋体"/>
          <w:szCs w:val="21"/>
        </w:rPr>
        <w:t>（一）</w:t>
      </w:r>
      <w:r>
        <w:rPr>
          <w:rFonts w:hint="eastAsia" w:ascii="宋体" w:hAnsi="宋体" w:cs="宋体"/>
          <w:b/>
          <w:szCs w:val="21"/>
        </w:rPr>
        <w:t>能源托管方式</w:t>
      </w:r>
    </w:p>
    <w:p w14:paraId="6A1FD042">
      <w:pPr>
        <w:spacing w:line="360" w:lineRule="auto"/>
        <w:ind w:left="420" w:firstLine="420" w:firstLineChars="200"/>
        <w:rPr>
          <w:highlight w:val="none"/>
        </w:rPr>
      </w:pPr>
      <w:r>
        <w:rPr>
          <w:rFonts w:hint="eastAsia"/>
        </w:rPr>
        <w:t>1、</w:t>
      </w:r>
      <w:r>
        <w:rPr>
          <w:rFonts w:hint="eastAsia"/>
          <w:lang w:val="zh-CN"/>
        </w:rPr>
        <w:t>采购人采用能源包干的方式将能源费用托管给供应商（即：每年支付供应商合同约定金额的能源托管费），由中标供应商负责向能源供应公司支付</w:t>
      </w:r>
      <w:r>
        <w:rPr>
          <w:rFonts w:hint="eastAsia"/>
        </w:rPr>
        <w:t>本项目</w:t>
      </w:r>
      <w:r>
        <w:rPr>
          <w:rFonts w:hint="eastAsia"/>
          <w:lang w:val="zh-CN"/>
        </w:rPr>
        <w:t>范围</w:t>
      </w:r>
      <w:r>
        <w:rPr>
          <w:rFonts w:hint="eastAsia"/>
        </w:rPr>
        <w:t>内</w:t>
      </w:r>
      <w:r>
        <w:rPr>
          <w:rFonts w:hint="eastAsia"/>
          <w:lang w:val="zh-CN"/>
        </w:rPr>
        <w:t>的能源费用（电费）以及项目的相关</w:t>
      </w:r>
      <w:r>
        <w:rPr>
          <w:rFonts w:hint="eastAsia"/>
        </w:rPr>
        <w:t>节能技改</w:t>
      </w:r>
      <w:r>
        <w:rPr>
          <w:rFonts w:hint="eastAsia"/>
          <w:lang w:val="zh-CN"/>
        </w:rPr>
        <w:t>投资建设</w:t>
      </w:r>
      <w:r>
        <w:rPr>
          <w:rFonts w:hint="eastAsia"/>
        </w:rPr>
        <w:t>及运行管理</w:t>
      </w:r>
      <w:r>
        <w:rPr>
          <w:rFonts w:hint="eastAsia"/>
          <w:lang w:val="zh-CN"/>
        </w:rPr>
        <w:t>，享有</w:t>
      </w:r>
      <w:r>
        <w:rPr>
          <w:rFonts w:hint="eastAsia"/>
        </w:rPr>
        <w:t>合同</w:t>
      </w:r>
      <w:r>
        <w:rPr>
          <w:rFonts w:hint="eastAsia"/>
          <w:lang w:val="zh-CN"/>
        </w:rPr>
        <w:t>托管期内的所有节能收益，利用节能收益向采购人提供综合能源服务。</w:t>
      </w:r>
      <w:r>
        <w:rPr>
          <w:rFonts w:hint="eastAsia"/>
          <w:highlight w:val="none"/>
          <w:lang w:val="zh-CN"/>
        </w:rPr>
        <w:t>（</w:t>
      </w:r>
      <w:r>
        <w:rPr>
          <w:rFonts w:hint="eastAsia"/>
          <w:highlight w:val="none"/>
          <w:lang w:val="en-US" w:eastAsia="zh-CN"/>
        </w:rPr>
        <w:t>注：服务期间，采购方提交服务范围内的户号，仅作为缴纳电费使用，户号及用电设备的产权不移交</w:t>
      </w:r>
      <w:r>
        <w:rPr>
          <w:rFonts w:hint="eastAsia"/>
          <w:highlight w:val="none"/>
          <w:lang w:val="zh-CN"/>
        </w:rPr>
        <w:t>）</w:t>
      </w:r>
    </w:p>
    <w:p w14:paraId="38A6CF47">
      <w:pPr>
        <w:spacing w:line="360" w:lineRule="auto"/>
        <w:ind w:left="420" w:firstLine="420" w:firstLineChars="200"/>
        <w:rPr>
          <w:rFonts w:hint="eastAsia"/>
        </w:rPr>
      </w:pPr>
      <w:r>
        <w:rPr>
          <w:rFonts w:hint="eastAsia"/>
        </w:rPr>
        <w:t>2、中标后合同签订前，建立经采购人中标供应商双方确认的本项目实施范围内的所有照明设施及用电设备数量（照明设施数量及设备数量如有变化增减，中标价不做调整）；合同签订后如采购人提出用能设备（能耗）增减，在采购人、中标供应商双方确权后，能源托管单位出具设备（能耗）增减分析报告，由采购人对超支部分进行审核确认，如双方存有异议，可委托第三方机构进行审核。合同期内，（能耗）设备额定功率增减在15kw（含）以内的合同金额不作调整；（能耗）设备额定功率增减超过15KW的，超出（或减少）部分的耗能量应以新增（减少）设备（设施）的额定功率为依据，电价以当期单价为准，计算电费作为新增（减少）设备（设施）的托管费用。</w:t>
      </w:r>
    </w:p>
    <w:p w14:paraId="2C2EFDA3">
      <w:pPr>
        <w:spacing w:line="360" w:lineRule="auto"/>
        <w:ind w:left="420" w:firstLine="420" w:firstLineChars="200"/>
      </w:pPr>
      <w:r>
        <w:rPr>
          <w:rFonts w:hint="eastAsia"/>
        </w:rPr>
        <w:t>3、合同签订后采购人按合同约定支付能源托管费用。</w:t>
      </w:r>
    </w:p>
    <w:p w14:paraId="00A03F3C">
      <w:pPr>
        <w:spacing w:line="360" w:lineRule="auto"/>
        <w:ind w:left="420" w:firstLine="420" w:firstLineChars="200"/>
      </w:pPr>
      <w:r>
        <w:rPr>
          <w:rFonts w:hint="eastAsia"/>
        </w:rPr>
        <w:t>4</w:t>
      </w:r>
      <w:r>
        <w:rPr>
          <w:rFonts w:hint="eastAsia"/>
          <w:lang w:val="zh-CN"/>
        </w:rPr>
        <w:t>、</w:t>
      </w:r>
      <w:r>
        <w:rPr>
          <w:rFonts w:hint="eastAsia"/>
        </w:rPr>
        <w:t>供应商</w:t>
      </w:r>
      <w:r>
        <w:rPr>
          <w:rFonts w:hint="eastAsia"/>
          <w:lang w:val="zh-CN"/>
        </w:rPr>
        <w:t>全额投资节能改造的设备和技术，并通过能源包干的模式来回收投资。合同中另</w:t>
      </w:r>
      <w:r>
        <w:rPr>
          <w:rFonts w:hint="eastAsia"/>
        </w:rPr>
        <w:t>行</w:t>
      </w:r>
      <w:r>
        <w:rPr>
          <w:rFonts w:hint="eastAsia"/>
          <w:lang w:val="zh-CN"/>
        </w:rPr>
        <w:t>约定的</w:t>
      </w:r>
      <w:r>
        <w:rPr>
          <w:rFonts w:hint="eastAsia"/>
        </w:rPr>
        <w:t>按合同约定。</w:t>
      </w:r>
    </w:p>
    <w:p w14:paraId="3964C429">
      <w:pPr>
        <w:spacing w:line="360" w:lineRule="auto"/>
        <w:ind w:left="420" w:firstLine="420" w:firstLineChars="200"/>
        <w:rPr>
          <w:highlight w:val="yellow"/>
        </w:rPr>
      </w:pPr>
      <w:r>
        <w:rPr>
          <w:rFonts w:hint="eastAsia"/>
        </w:rPr>
        <w:t>5、</w:t>
      </w:r>
      <w:r>
        <w:rPr>
          <w:rFonts w:hint="eastAsia"/>
          <w:highlight w:val="none"/>
        </w:rPr>
        <w:t>项目托管期限届满前一个月，供应商需对所有能源系统进行全面检修，确保</w:t>
      </w:r>
      <w:r>
        <w:rPr>
          <w:rFonts w:hint="eastAsia"/>
          <w:highlight w:val="none"/>
          <w:lang w:val="en-US" w:eastAsia="zh-CN"/>
        </w:rPr>
        <w:t>实施</w:t>
      </w:r>
      <w:r>
        <w:rPr>
          <w:rFonts w:hint="eastAsia"/>
          <w:highlight w:val="none"/>
        </w:rPr>
        <w:t>范围内用电设备设施正常运行</w:t>
      </w:r>
      <w:r>
        <w:rPr>
          <w:rFonts w:hint="eastAsia"/>
          <w:highlight w:val="none"/>
          <w:lang w:eastAsia="zh-CN"/>
        </w:rPr>
        <w:t>，</w:t>
      </w:r>
      <w:r>
        <w:rPr>
          <w:rFonts w:hint="eastAsia"/>
          <w:highlight w:val="none"/>
        </w:rPr>
        <w:t>完</w:t>
      </w:r>
      <w:r>
        <w:rPr>
          <w:rFonts w:hint="eastAsia"/>
          <w:highlight w:val="none"/>
          <w:lang w:val="en-US" w:eastAsia="zh-CN"/>
        </w:rPr>
        <w:t>好率为100%</w:t>
      </w:r>
      <w:r>
        <w:rPr>
          <w:rFonts w:hint="eastAsia"/>
          <w:highlight w:val="none"/>
        </w:rPr>
        <w:t>。项目托管期限届满后，供应商需将本项目的全部设施及其投资的项目资产（包括硬件、软件</w:t>
      </w:r>
      <w:r>
        <w:rPr>
          <w:rFonts w:hint="eastAsia"/>
          <w:highlight w:val="none"/>
          <w:lang w:val="en-US" w:eastAsia="zh-CN"/>
        </w:rPr>
        <w:t>的永久使用权</w:t>
      </w:r>
      <w:r>
        <w:rPr>
          <w:rFonts w:hint="eastAsia"/>
          <w:highlight w:val="none"/>
        </w:rPr>
        <w:t>）无偿移交给采购人，项目范围内的全部设备设施的所有权归项目采购人所有。供应商还应将项目竣工资料及运行管理的所有台账资料移交给采购人归档。</w:t>
      </w:r>
    </w:p>
    <w:p w14:paraId="0D395C0E">
      <w:pPr>
        <w:spacing w:line="360" w:lineRule="auto"/>
        <w:ind w:left="420" w:firstLine="420" w:firstLineChars="200"/>
      </w:pPr>
      <w:r>
        <w:rPr>
          <w:rFonts w:hint="eastAsia"/>
        </w:rPr>
        <w:t>6、</w:t>
      </w:r>
      <w:r>
        <w:rPr>
          <w:rFonts w:hint="eastAsia"/>
          <w:highlight w:val="none"/>
        </w:rPr>
        <w:t>本项目为一次性包干项目</w:t>
      </w:r>
      <w:r>
        <w:rPr>
          <w:rFonts w:hint="eastAsia"/>
        </w:rPr>
        <w:t>，合同期间如遇国家相关部门对能源单价做出调整，合同金额不作调整。</w:t>
      </w:r>
    </w:p>
    <w:p w14:paraId="62961B0A">
      <w:pPr>
        <w:adjustRightInd w:val="0"/>
        <w:snapToGrid w:val="0"/>
        <w:spacing w:line="360" w:lineRule="auto"/>
        <w:ind w:left="420" w:firstLine="440" w:firstLineChars="200"/>
        <w:jc w:val="left"/>
        <w:rPr>
          <w:rFonts w:ascii="宋体" w:hAnsi="宋体" w:cs="宋体"/>
          <w:b/>
          <w:szCs w:val="21"/>
        </w:rPr>
      </w:pPr>
      <w:r>
        <w:rPr>
          <w:rFonts w:hint="eastAsia" w:ascii="宋体" w:hAnsi="宋体" w:cs="宋体"/>
          <w:sz w:val="22"/>
          <w:szCs w:val="22"/>
        </w:rPr>
        <w:t>（二）</w:t>
      </w:r>
      <w:r>
        <w:rPr>
          <w:rFonts w:hint="eastAsia" w:ascii="宋体" w:hAnsi="宋体" w:cs="宋体"/>
          <w:b/>
          <w:szCs w:val="21"/>
        </w:rPr>
        <w:t>能源托管目标</w:t>
      </w:r>
    </w:p>
    <w:p w14:paraId="7C6B7526">
      <w:pPr>
        <w:spacing w:line="360" w:lineRule="auto"/>
        <w:ind w:left="420" w:firstLine="420" w:firstLineChars="200"/>
      </w:pPr>
      <w:r>
        <w:rPr>
          <w:rFonts w:hint="eastAsia"/>
        </w:rPr>
        <w:t>1、通过整体改善和提升区道路路面照明质量，方便人们的生产和生活；</w:t>
      </w:r>
    </w:p>
    <w:p w14:paraId="3BDA85BD">
      <w:pPr>
        <w:spacing w:line="360" w:lineRule="auto"/>
        <w:ind w:left="420" w:firstLine="420" w:firstLineChars="200"/>
        <w:rPr>
          <w:color w:val="auto"/>
        </w:rPr>
      </w:pPr>
      <w:r>
        <w:rPr>
          <w:rFonts w:hint="eastAsia"/>
        </w:rPr>
        <w:t>2、提升道路照明品质；增装路灯配电箱远程控制终端并入</w:t>
      </w:r>
      <w:r>
        <w:rPr>
          <w:rFonts w:hint="eastAsia"/>
          <w:color w:val="auto"/>
        </w:rPr>
        <w:t>智慧照明管理平台，提升路灯管理智能化和精细化管理水平。</w:t>
      </w:r>
    </w:p>
    <w:p w14:paraId="70318B4D">
      <w:pPr>
        <w:spacing w:line="360" w:lineRule="auto"/>
        <w:ind w:left="420" w:firstLine="420" w:firstLineChars="200"/>
        <w:rPr>
          <w:rFonts w:ascii="宋体" w:hAnsi="宋体" w:cs="宋体"/>
          <w:sz w:val="22"/>
          <w:szCs w:val="22"/>
        </w:rPr>
      </w:pPr>
      <w:r>
        <w:rPr>
          <w:rFonts w:hint="eastAsia"/>
          <w:highlight w:val="none"/>
        </w:rPr>
        <w:t>3、确保定海区公路照明灯具在托管期内，相较于节能改造前，综合节电率达到 12 %及以上；</w:t>
      </w:r>
    </w:p>
    <w:p w14:paraId="39168ED4">
      <w:pPr>
        <w:pStyle w:val="3"/>
        <w:numPr>
          <w:ilvl w:val="0"/>
          <w:numId w:val="0"/>
        </w:numPr>
        <w:tabs>
          <w:tab w:val="left" w:pos="-420"/>
        </w:tabs>
        <w:spacing w:before="0" w:after="0"/>
        <w:rPr>
          <w:rFonts w:hint="eastAsia" w:ascii="黑体" w:hAnsi="黑体" w:cs="黑体"/>
          <w:b/>
          <w:bCs/>
          <w:sz w:val="21"/>
          <w:szCs w:val="21"/>
        </w:rPr>
      </w:pPr>
      <w:r>
        <w:rPr>
          <w:rFonts w:hint="eastAsia" w:ascii="黑体" w:hAnsi="黑体" w:cs="黑体"/>
          <w:b/>
          <w:bCs/>
          <w:sz w:val="21"/>
          <w:szCs w:val="21"/>
        </w:rPr>
        <w:t>三、托管服务内容及要求</w:t>
      </w:r>
    </w:p>
    <w:p w14:paraId="312CA3A1">
      <w:pPr>
        <w:pStyle w:val="3"/>
        <w:tabs>
          <w:tab w:val="left" w:pos="-420"/>
        </w:tabs>
        <w:spacing w:before="240" w:after="240"/>
        <w:ind w:left="631" w:hanging="211"/>
        <w:rPr>
          <w:rFonts w:ascii="宋体" w:hAnsi="宋体" w:cs="宋体"/>
          <w:b/>
          <w:bCs/>
          <w:szCs w:val="21"/>
        </w:rPr>
      </w:pPr>
      <w:r>
        <w:rPr>
          <w:rFonts w:hint="eastAsia" w:ascii="宋体" w:hAnsi="宋体" w:eastAsia="宋体" w:cs="宋体"/>
          <w:sz w:val="21"/>
          <w:szCs w:val="21"/>
        </w:rPr>
        <w:t>（一）节能技术改造内容及要求</w:t>
      </w:r>
    </w:p>
    <w:p w14:paraId="2D02C6A3">
      <w:pPr>
        <w:adjustRightInd w:val="0"/>
        <w:snapToGrid w:val="0"/>
        <w:spacing w:line="360" w:lineRule="auto"/>
        <w:ind w:left="631" w:hanging="211"/>
        <w:jc w:val="left"/>
        <w:rPr>
          <w:rFonts w:ascii="宋体" w:hAnsi="宋体" w:cs="宋体"/>
          <w:b/>
          <w:bCs/>
          <w:szCs w:val="21"/>
        </w:rPr>
      </w:pPr>
      <w:r>
        <w:rPr>
          <w:rFonts w:hint="eastAsia" w:ascii="宋体" w:hAnsi="宋体" w:cs="宋体"/>
          <w:b/>
          <w:bCs/>
          <w:szCs w:val="21"/>
        </w:rPr>
        <w:t>1、对托管范围内的道路及公共照明设施进行节能技术改造。</w:t>
      </w:r>
    </w:p>
    <w:p w14:paraId="0B7480B8">
      <w:pPr>
        <w:spacing w:line="360" w:lineRule="auto"/>
        <w:ind w:left="420" w:firstLine="420" w:firstLineChars="200"/>
      </w:pPr>
      <w:r>
        <w:rPr>
          <w:rFonts w:hint="eastAsia"/>
        </w:rPr>
        <w:t>根据能源设备实际情况，寻找节能潜力，实施节能改造，降低整体能源消耗。路灯照明效果升级，对采购人所辖范围内照度不符合国家道路照明设计标准或已达到使用寿命的老旧LED路灯、隧道灯以及对托管范围内的道路及公共照明设施传统高压钠灯采用绿色环保的高光效LED光源进行升级改造。</w:t>
      </w:r>
    </w:p>
    <w:p w14:paraId="3D0DF59F">
      <w:pPr>
        <w:spacing w:line="360" w:lineRule="auto"/>
        <w:ind w:left="420" w:firstLine="420" w:firstLineChars="200"/>
        <w:rPr>
          <w:highlight w:val="none"/>
        </w:rPr>
      </w:pPr>
      <w:r>
        <w:rPr>
          <w:rFonts w:hint="eastAsia"/>
        </w:rPr>
        <w:t>1.1采用低功率LED灯替换高功率高压钠灯。所有灯具的功率替换方式：原高压钠灯250W的根据道路状况更换为120W—150W的LED灯具，</w:t>
      </w:r>
      <w:r>
        <w:rPr>
          <w:rFonts w:hint="eastAsia"/>
          <w:highlight w:val="none"/>
        </w:rPr>
        <w:t>隧道灯中钠灯及无极灯均更换为LED隧道灯。</w:t>
      </w:r>
    </w:p>
    <w:p w14:paraId="628F572B">
      <w:pPr>
        <w:spacing w:line="360" w:lineRule="auto"/>
        <w:ind w:left="420" w:firstLine="420" w:firstLineChars="200"/>
        <w:rPr>
          <w:rFonts w:hint="default" w:eastAsia="宋体"/>
          <w:lang w:val="en-US" w:eastAsia="zh-CN"/>
        </w:rPr>
      </w:pPr>
      <w:r>
        <w:rPr>
          <w:rFonts w:hint="eastAsia"/>
        </w:rPr>
        <w:t>1.2采用高光效LED替代低光效LED灯具。对年数比较长的LED照明灯具根据实际情况升级改造为最新的高光效LED灯具，同时选用可调光电源配以照明控制系统，以实现最优的照明及最优的用能。</w:t>
      </w:r>
    </w:p>
    <w:p w14:paraId="35D7FE6D">
      <w:pPr>
        <w:spacing w:line="360" w:lineRule="auto"/>
        <w:ind w:left="420" w:firstLine="420" w:firstLineChars="200"/>
      </w:pPr>
      <w:r>
        <w:rPr>
          <w:rFonts w:hint="eastAsia"/>
        </w:rPr>
        <w:t>1.3合理选配专用变压器容量。对老旧的高功耗变压器进行节能改造，采用高能效的变压器，并根据改造后的用电情况选用合适的专用变压器容量或采取低压供电，减少变压器的无功损耗，降低电费支出。</w:t>
      </w:r>
    </w:p>
    <w:p w14:paraId="05C9A4AA">
      <w:pPr>
        <w:spacing w:line="360" w:lineRule="auto"/>
        <w:ind w:left="420" w:firstLine="420" w:firstLineChars="200"/>
      </w:pPr>
      <w:r>
        <w:rPr>
          <w:rFonts w:hint="eastAsia"/>
        </w:rPr>
        <w:t>1.4建设路灯单灯控制系统。建设单灯控制系统（路灯为主，不含隧道灯），根据经纬度，自动计算日出日落时间，按日（节季变化）动态精确调整开关灯时间，有利于发现故障点，方便及时维护。</w:t>
      </w:r>
    </w:p>
    <w:p w14:paraId="5A8305A2">
      <w:pPr>
        <w:spacing w:line="360" w:lineRule="auto"/>
        <w:ind w:left="420" w:firstLine="420" w:firstLineChars="200"/>
      </w:pPr>
      <w:r>
        <w:rPr>
          <w:rFonts w:hint="eastAsia"/>
        </w:rPr>
        <w:t>1.5隧道灯回路控制系统。建设回路控制系统（含路灯及隧道灯），对所有隧道进行线路改造，重新合理组合灯具线路接线方式，减少照明浪费，让照明更合理更节能，同时还能提高灯具的使用寿命。</w:t>
      </w:r>
      <w:bookmarkStart w:id="18" w:name="_Toc8437"/>
    </w:p>
    <w:p w14:paraId="48E41FFE">
      <w:pPr>
        <w:spacing w:line="360" w:lineRule="auto"/>
        <w:ind w:left="420" w:firstLine="420" w:firstLineChars="200"/>
      </w:pPr>
      <w:r>
        <w:rPr>
          <w:rFonts w:hint="eastAsia"/>
        </w:rPr>
        <w:t>1.6统一灯具样式及颜色</w:t>
      </w:r>
      <w:bookmarkEnd w:id="18"/>
      <w:r>
        <w:rPr>
          <w:rFonts w:hint="eastAsia"/>
        </w:rPr>
        <w:t>。对于灯具的样式和颜色，尽量统一，以方便维修和管理。</w:t>
      </w:r>
    </w:p>
    <w:p w14:paraId="0E915E48">
      <w:pPr>
        <w:spacing w:line="360" w:lineRule="auto"/>
        <w:ind w:left="420" w:firstLine="420" w:firstLineChars="200"/>
        <w:rPr>
          <w:highlight w:val="none"/>
        </w:rPr>
      </w:pPr>
      <w:bookmarkStart w:id="19" w:name="_Toc30711"/>
      <w:r>
        <w:rPr>
          <w:rFonts w:hint="eastAsia"/>
          <w:highlight w:val="none"/>
        </w:rPr>
        <w:t>1.7</w:t>
      </w:r>
      <w:r>
        <w:rPr>
          <w:rFonts w:hint="eastAsia"/>
          <w:highlight w:val="none"/>
          <w:lang w:val="en-US" w:eastAsia="zh-CN"/>
        </w:rPr>
        <w:t>对原有故障的灯具、电缆、变压器等托管范围内的设备进行修复</w:t>
      </w:r>
      <w:bookmarkEnd w:id="19"/>
      <w:r>
        <w:rPr>
          <w:rFonts w:hint="eastAsia"/>
          <w:highlight w:val="none"/>
          <w:lang w:val="en-US" w:eastAsia="zh-CN"/>
        </w:rPr>
        <w:t>，确保使用正常（参加投标的</w:t>
      </w:r>
      <w:r>
        <w:rPr>
          <w:rFonts w:hint="eastAsia"/>
          <w:highlight w:val="none"/>
        </w:rPr>
        <w:t>供应商</w:t>
      </w:r>
      <w:r>
        <w:rPr>
          <w:rFonts w:hint="eastAsia"/>
          <w:highlight w:val="none"/>
          <w:lang w:eastAsia="zh-CN"/>
        </w:rPr>
        <w:t>需在</w:t>
      </w:r>
      <w:r>
        <w:rPr>
          <w:rFonts w:hint="eastAsia"/>
          <w:highlight w:val="none"/>
          <w:lang w:val="en-US" w:eastAsia="zh-CN"/>
        </w:rPr>
        <w:t>投标前</w:t>
      </w:r>
      <w:r>
        <w:rPr>
          <w:rFonts w:hint="eastAsia"/>
          <w:highlight w:val="none"/>
          <w:lang w:eastAsia="zh-CN"/>
        </w:rPr>
        <w:t>对原有灯具等设备情况自行踏勘，掌握设备</w:t>
      </w:r>
      <w:r>
        <w:rPr>
          <w:rFonts w:hint="eastAsia"/>
          <w:highlight w:val="none"/>
          <w:lang w:val="en-US" w:eastAsia="zh-CN"/>
        </w:rPr>
        <w:t>数量和</w:t>
      </w:r>
      <w:r>
        <w:rPr>
          <w:rFonts w:hint="eastAsia"/>
          <w:highlight w:val="none"/>
          <w:lang w:eastAsia="zh-CN"/>
        </w:rPr>
        <w:t>运行情况，故障设备修复费用不另行支出，综合考虑在报价内</w:t>
      </w:r>
      <w:r>
        <w:rPr>
          <w:rFonts w:hint="eastAsia"/>
          <w:highlight w:val="none"/>
          <w:lang w:val="en-US" w:eastAsia="zh-CN"/>
        </w:rPr>
        <w:t>）</w:t>
      </w:r>
      <w:r>
        <w:rPr>
          <w:rFonts w:hint="eastAsia"/>
          <w:highlight w:val="none"/>
        </w:rPr>
        <w:t>。</w:t>
      </w:r>
      <w:r>
        <w:rPr>
          <w:rFonts w:hint="eastAsia"/>
          <w:highlight w:val="none"/>
          <w:lang w:val="en-US" w:eastAsia="zh-CN"/>
        </w:rPr>
        <w:t>并</w:t>
      </w:r>
      <w:r>
        <w:rPr>
          <w:rFonts w:hint="eastAsia"/>
          <w:highlight w:val="none"/>
        </w:rPr>
        <w:t>根据道路实际运行情况，定期清洗灯具，以便灯具处在最佳发光状态。</w:t>
      </w:r>
    </w:p>
    <w:p w14:paraId="37CFAD9D">
      <w:pPr>
        <w:spacing w:line="360" w:lineRule="auto"/>
        <w:ind w:left="420" w:firstLine="420" w:firstLineChars="200"/>
      </w:pPr>
      <w:r>
        <w:rPr>
          <w:rFonts w:hint="eastAsia"/>
        </w:rPr>
        <w:t>2、对托管范围内的道路及公共照明设施进行智能化节能改造及技术升级。</w:t>
      </w:r>
    </w:p>
    <w:p w14:paraId="5C69536D">
      <w:pPr>
        <w:spacing w:line="360" w:lineRule="auto"/>
        <w:ind w:left="420" w:firstLine="420" w:firstLineChars="200"/>
      </w:pPr>
      <w:r>
        <w:rPr>
          <w:rFonts w:hint="eastAsia"/>
        </w:rPr>
        <w:t>2.1负责搭建一套融合人工智能与物联网技术的数字化智慧路灯管理平台并接</w:t>
      </w:r>
      <w:r>
        <w:rPr>
          <w:rFonts w:hint="eastAsia"/>
          <w:highlight w:val="none"/>
        </w:rPr>
        <w:t>入定海区交通应急指挥中心，实现“资产-监控-运维”一体化管理，智慧路灯管理平台信息系统由中标方进行三级等保</w:t>
      </w:r>
      <w:r>
        <w:rPr>
          <w:rFonts w:hint="eastAsia"/>
        </w:rPr>
        <w:t>测评。涉及到的费用由中标单位承担。</w:t>
      </w:r>
    </w:p>
    <w:p w14:paraId="41342DC2">
      <w:pPr>
        <w:spacing w:line="360" w:lineRule="auto"/>
        <w:ind w:left="420" w:firstLine="420" w:firstLineChars="200"/>
        <w:rPr>
          <w:highlight w:val="none"/>
        </w:rPr>
      </w:pPr>
      <w:r>
        <w:rPr>
          <w:rFonts w:hint="eastAsia"/>
          <w:highlight w:val="none"/>
        </w:rPr>
        <w:t>2.2所有实施范围内的照明设施灯具需同步增装路灯单灯监控模块，具体数量以实际为准。</w:t>
      </w:r>
    </w:p>
    <w:p w14:paraId="0DEED434">
      <w:pPr>
        <w:spacing w:line="360" w:lineRule="auto"/>
        <w:ind w:left="420" w:firstLine="420" w:firstLineChars="200"/>
        <w:rPr>
          <w:highlight w:val="none"/>
        </w:rPr>
      </w:pPr>
      <w:r>
        <w:rPr>
          <w:rFonts w:hint="eastAsia"/>
          <w:highlight w:val="none"/>
        </w:rPr>
        <w:t>2.3</w:t>
      </w:r>
      <w:r>
        <w:rPr>
          <w:rFonts w:hint="eastAsia"/>
          <w:highlight w:val="none"/>
          <w:lang w:val="en-US" w:eastAsia="zh-CN"/>
        </w:rPr>
        <w:t>实施范围</w:t>
      </w:r>
      <w:r>
        <w:rPr>
          <w:rFonts w:hint="eastAsia"/>
          <w:highlight w:val="none"/>
        </w:rPr>
        <w:t>内所有隧道灯具要求实现远程回路控制，并接入智慧照明控制平台实现智能化管理。（包括但不限于对核心指标、能源子系统指标以及整体运行情况分析（指标管理、能源指标分析、能源生产运行报告等）。</w:t>
      </w:r>
    </w:p>
    <w:p w14:paraId="7CF5989F">
      <w:pPr>
        <w:adjustRightInd w:val="0"/>
        <w:snapToGrid w:val="0"/>
        <w:spacing w:line="360" w:lineRule="auto"/>
        <w:ind w:left="631" w:hanging="211"/>
        <w:jc w:val="left"/>
        <w:rPr>
          <w:b/>
          <w:bCs/>
        </w:rPr>
      </w:pPr>
      <w:r>
        <w:rPr>
          <w:rFonts w:hint="eastAsia"/>
          <w:b/>
          <w:bCs/>
        </w:rPr>
        <w:t>（二）运行管理内容及要求</w:t>
      </w:r>
    </w:p>
    <w:p w14:paraId="7A535186">
      <w:pPr>
        <w:adjustRightInd w:val="0"/>
        <w:snapToGrid w:val="0"/>
        <w:spacing w:line="360" w:lineRule="auto"/>
        <w:ind w:left="420" w:firstLine="420" w:firstLineChars="200"/>
        <w:jc w:val="left"/>
        <w:rPr>
          <w:highlight w:val="none"/>
        </w:rPr>
      </w:pPr>
      <w:r>
        <w:rPr>
          <w:rFonts w:hint="eastAsia"/>
        </w:rPr>
        <w:t>为了确保平台软、硬件安全，并予以可靠运行；便于后期路灯维护管理，确保路灯亮灯率，为市民营造良好的照明环境</w:t>
      </w:r>
      <w:r>
        <w:rPr>
          <w:rFonts w:hint="eastAsia"/>
          <w:highlight w:val="none"/>
        </w:rPr>
        <w:t>，中标人从合同签订生效之日起就要对项目进行运行管理。本项目合同履约期为10年，具体服务要求如下：</w:t>
      </w:r>
    </w:p>
    <w:p w14:paraId="661D6C04">
      <w:pPr>
        <w:spacing w:line="360" w:lineRule="auto"/>
        <w:ind w:left="420" w:firstLine="420" w:firstLineChars="200"/>
      </w:pPr>
      <w:r>
        <w:rPr>
          <w:rFonts w:hint="eastAsia"/>
        </w:rPr>
        <w:t>1、能源管理与优化。对现有照明设施的能耗进行全面评估，制定科学合理的能源管理方案，优化照明系统运行模式，降低能耗。</w:t>
      </w:r>
    </w:p>
    <w:p w14:paraId="6883E97E">
      <w:pPr>
        <w:spacing w:line="360" w:lineRule="auto"/>
        <w:ind w:left="420" w:firstLine="420" w:firstLineChars="200"/>
      </w:pPr>
      <w:r>
        <w:rPr>
          <w:rFonts w:hint="eastAsia"/>
        </w:rPr>
        <w:t>2、承担路灯智能化节能改造集中控制器网络资费、智慧路灯管理平台运维费等相关维护工作费用。</w:t>
      </w:r>
    </w:p>
    <w:p w14:paraId="16B25C4F">
      <w:pPr>
        <w:spacing w:line="360" w:lineRule="auto"/>
        <w:ind w:left="420" w:firstLine="420" w:firstLineChars="200"/>
      </w:pPr>
      <w:r>
        <w:rPr>
          <w:rFonts w:hint="eastAsia"/>
        </w:rPr>
        <w:t>3、设备维护与升级。</w:t>
      </w:r>
    </w:p>
    <w:p w14:paraId="5831584B">
      <w:pPr>
        <w:spacing w:line="360" w:lineRule="auto"/>
        <w:ind w:left="420" w:firstLine="420" w:firstLineChars="200"/>
      </w:pPr>
      <w:r>
        <w:rPr>
          <w:rFonts w:hint="eastAsia"/>
        </w:rPr>
        <w:t>3.1负责提供</w:t>
      </w:r>
      <w:r>
        <w:rPr>
          <w:rFonts w:hint="eastAsia"/>
          <w:lang w:val="en-US" w:eastAsia="zh-CN"/>
        </w:rPr>
        <w:t>实施</w:t>
      </w:r>
      <w:r>
        <w:rPr>
          <w:rFonts w:hint="eastAsia"/>
        </w:rPr>
        <w:t>范围内路灯灯具、灯具模组、驱动电源、单灯控制器、集中控制器等改造内容涉及的设施设备，备品备件等。</w:t>
      </w:r>
    </w:p>
    <w:p w14:paraId="7E063738">
      <w:pPr>
        <w:spacing w:line="360" w:lineRule="auto"/>
        <w:ind w:left="420" w:firstLine="420" w:firstLineChars="200"/>
      </w:pPr>
      <w:r>
        <w:rPr>
          <w:rFonts w:hint="eastAsia"/>
        </w:rPr>
        <w:t>3.2负责节能改造过的路灯在运营期内因光衰、路灯各指标检测、节能不达标等产品更换为LED路灯或路灯模组等工作。</w:t>
      </w:r>
    </w:p>
    <w:p w14:paraId="3AD34082">
      <w:pPr>
        <w:spacing w:line="360" w:lineRule="auto"/>
        <w:ind w:left="420" w:firstLine="420" w:firstLineChars="200"/>
      </w:pPr>
      <w:r>
        <w:rPr>
          <w:rFonts w:hint="eastAsia"/>
        </w:rPr>
        <w:t>3.3</w:t>
      </w:r>
      <w:r>
        <w:rPr>
          <w:rFonts w:hint="eastAsia"/>
          <w:lang w:val="zh-CN"/>
        </w:rPr>
        <w:t>运维范围。</w:t>
      </w:r>
      <w:r>
        <w:rPr>
          <w:rFonts w:hint="eastAsia"/>
        </w:rPr>
        <w:t>负责安装后产品质量及故障等问题处理。</w:t>
      </w:r>
      <w:r>
        <w:rPr>
          <w:rFonts w:hint="eastAsia"/>
          <w:lang w:val="zh-CN"/>
        </w:rPr>
        <w:t>运维范围从变压器开始一直延伸到灯杆顶部（隧道灯同），</w:t>
      </w:r>
      <w:r>
        <w:rPr>
          <w:rFonts w:hint="eastAsia"/>
        </w:rPr>
        <w:t>负责</w:t>
      </w:r>
      <w:r>
        <w:rPr>
          <w:rFonts w:hint="eastAsia"/>
          <w:lang w:val="zh-CN"/>
        </w:rPr>
        <w:t>变压器、灯杆、灯具、线路的维护及损毁更换及日常维护更换等相关服务</w:t>
      </w:r>
      <w:r>
        <w:rPr>
          <w:rFonts w:hint="eastAsia"/>
        </w:rPr>
        <w:t>。</w:t>
      </w:r>
    </w:p>
    <w:p w14:paraId="75B70299">
      <w:pPr>
        <w:spacing w:line="360" w:lineRule="auto"/>
        <w:ind w:left="420" w:firstLine="420" w:firstLineChars="200"/>
      </w:pPr>
      <w:r>
        <w:rPr>
          <w:rFonts w:hint="eastAsia"/>
        </w:rPr>
        <w:t>3.4能源托管期内，供应商可根据国家相关规定实行按需照明。如有道路照明质量未达到招标文件要求，供应商应需负责实施整改，满足《城市道路照明设计标准》、《公路隧道照明设计细则》规范要求。供应商按采购人原有方式亮灯。中标人有权对现有路灯进行按需照明控制管理，照度标准需满足《城市道路照明设计标准》、《公路隧道照明设计细则》规范要求。</w:t>
      </w:r>
    </w:p>
    <w:p w14:paraId="17E77B49">
      <w:pPr>
        <w:spacing w:line="360" w:lineRule="auto"/>
        <w:ind w:left="420" w:firstLine="420" w:firstLineChars="200"/>
      </w:pPr>
      <w:r>
        <w:rPr>
          <w:rFonts w:hint="eastAsia"/>
        </w:rPr>
        <w:t>3.5</w:t>
      </w:r>
      <w:r>
        <w:rPr>
          <w:rFonts w:hint="eastAsia"/>
          <w:lang w:val="zh-CN"/>
        </w:rPr>
        <w:t>制定合理的日常运维制度，提升道路照明运维的响应及时率，</w:t>
      </w:r>
      <w:r>
        <w:rPr>
          <w:rFonts w:hint="eastAsia"/>
        </w:rPr>
        <w:t>维修时间</w:t>
      </w:r>
      <w:r>
        <w:rPr>
          <w:rFonts w:hint="eastAsia"/>
          <w:lang w:val="zh-CN"/>
        </w:rPr>
        <w:t>。</w:t>
      </w:r>
      <w:r>
        <w:rPr>
          <w:rFonts w:hint="eastAsia"/>
        </w:rPr>
        <w:t>供应商应承担托管期间所有需要维修维护的问题，如线路故障等，无论任何时间段，供应商应做到及时响应，响应时间应≤1小时；</w:t>
      </w:r>
      <w:r>
        <w:rPr>
          <w:rFonts w:hint="eastAsia"/>
          <w:lang w:val="zh-CN"/>
        </w:rPr>
        <w:t>对于普通灯具故障24小时内完成修复。</w:t>
      </w:r>
      <w:r>
        <w:rPr>
          <w:rFonts w:hint="eastAsia"/>
        </w:rPr>
        <w:t>由维护维修所产生的所有</w:t>
      </w:r>
      <w:r>
        <w:rPr>
          <w:rFonts w:hint="eastAsia"/>
          <w:lang w:val="zh-CN"/>
        </w:rPr>
        <w:t>费用由</w:t>
      </w:r>
      <w:r>
        <w:rPr>
          <w:rFonts w:hint="eastAsia"/>
        </w:rPr>
        <w:t>供应商</w:t>
      </w:r>
      <w:r>
        <w:rPr>
          <w:rFonts w:hint="eastAsia"/>
          <w:lang w:val="zh-CN"/>
        </w:rPr>
        <w:t>承担。</w:t>
      </w:r>
    </w:p>
    <w:p w14:paraId="2E4AE742">
      <w:pPr>
        <w:spacing w:line="360" w:lineRule="auto"/>
        <w:ind w:left="420" w:firstLine="420" w:firstLineChars="200"/>
      </w:pPr>
      <w:r>
        <w:rPr>
          <w:rFonts w:hint="eastAsia"/>
        </w:rPr>
        <w:t>4、负责及时</w:t>
      </w:r>
      <w:r>
        <w:rPr>
          <w:rFonts w:hint="eastAsia"/>
          <w:lang w:val="zh-CN"/>
        </w:rPr>
        <w:t>向能源供应公司</w:t>
      </w:r>
      <w:r>
        <w:rPr>
          <w:rFonts w:hint="eastAsia"/>
        </w:rPr>
        <w:t>支付项目范围内</w:t>
      </w:r>
      <w:r>
        <w:rPr>
          <w:rFonts w:hint="eastAsia"/>
          <w:lang w:val="zh-CN"/>
        </w:rPr>
        <w:t>道路及公共照明设施</w:t>
      </w:r>
      <w:r>
        <w:rPr>
          <w:rFonts w:hint="eastAsia"/>
        </w:rPr>
        <w:t>的</w:t>
      </w:r>
      <w:r>
        <w:rPr>
          <w:rFonts w:hint="eastAsia"/>
          <w:lang w:val="zh-CN"/>
        </w:rPr>
        <w:t>能源费用，保障</w:t>
      </w:r>
      <w:r>
        <w:rPr>
          <w:rFonts w:hint="eastAsia"/>
        </w:rPr>
        <w:t>采购人</w:t>
      </w:r>
      <w:r>
        <w:rPr>
          <w:rFonts w:hint="eastAsia"/>
          <w:lang w:val="zh-CN"/>
        </w:rPr>
        <w:t>能源日常使用</w:t>
      </w:r>
      <w:r>
        <w:rPr>
          <w:rFonts w:hint="eastAsia"/>
        </w:rPr>
        <w:t>要求</w:t>
      </w:r>
      <w:r>
        <w:rPr>
          <w:rFonts w:hint="eastAsia"/>
          <w:lang w:val="zh-CN"/>
        </w:rPr>
        <w:t>。</w:t>
      </w:r>
    </w:p>
    <w:p w14:paraId="1434DC1A">
      <w:pPr>
        <w:spacing w:line="360" w:lineRule="auto"/>
        <w:ind w:left="420" w:firstLine="420" w:firstLineChars="200"/>
        <w:rPr>
          <w:lang w:val="zh-CN"/>
        </w:rPr>
      </w:pPr>
      <w:r>
        <w:rPr>
          <w:rFonts w:hint="eastAsia"/>
        </w:rPr>
        <w:t>5、设备</w:t>
      </w:r>
      <w:r>
        <w:rPr>
          <w:rFonts w:hint="eastAsia"/>
          <w:lang w:val="zh-CN"/>
        </w:rPr>
        <w:t>维护台账。结合服务情况，做好路灯维护台账，相关资料定期存档，便于相关设备维修更换需要提前备货。</w:t>
      </w:r>
    </w:p>
    <w:p w14:paraId="03ED2D80">
      <w:pPr>
        <w:spacing w:line="360" w:lineRule="auto"/>
        <w:ind w:left="420" w:firstLine="420" w:firstLineChars="200"/>
      </w:pPr>
      <w:r>
        <w:rPr>
          <w:rFonts w:hint="eastAsia"/>
        </w:rPr>
        <w:t>6</w:t>
      </w:r>
      <w:r>
        <w:rPr>
          <w:rFonts w:hint="eastAsia"/>
          <w:lang w:val="zh-CN"/>
        </w:rPr>
        <w:t>、</w:t>
      </w:r>
      <w:r>
        <w:rPr>
          <w:rFonts w:hint="eastAsia"/>
        </w:rPr>
        <w:t>能耗监测与分析。建立完善的能耗监测体系，实时监测照明设施的能耗数据，定期进行能耗分析。按季出具“能源系统运行报告”，具体内容包括：当季用能情况分析、能源利用能力分析、运维情况分析等。形成道路公共照明能耗管理、质量监测和评价体系，同时总结运行规律，制定运行调度方案，适时调整系统运行。</w:t>
      </w:r>
    </w:p>
    <w:p w14:paraId="3EF02260">
      <w:pPr>
        <w:spacing w:line="360" w:lineRule="auto"/>
        <w:ind w:left="420" w:firstLine="420" w:firstLineChars="200"/>
      </w:pPr>
      <w:r>
        <w:rPr>
          <w:rFonts w:hint="eastAsia"/>
        </w:rPr>
        <w:t>7、建立应急预案。供应商应建立完善的应急响应机制，对可能出现的突发情况（如交通事故、台风等恶劣天气影响）造成的对托管范围内照明设施的损毁或停电等其他情况，中标人应及时响应并妥善处理。</w:t>
      </w:r>
    </w:p>
    <w:p w14:paraId="7C48602D">
      <w:pPr>
        <w:spacing w:line="360" w:lineRule="auto"/>
        <w:ind w:left="420" w:firstLine="420" w:firstLineChars="200"/>
      </w:pPr>
      <w:r>
        <w:rPr>
          <w:rFonts w:hint="eastAsia"/>
        </w:rPr>
        <w:t>8</w:t>
      </w:r>
      <w:r>
        <w:rPr>
          <w:rFonts w:hint="eastAsia"/>
          <w:lang w:val="zh-CN"/>
        </w:rPr>
        <w:t>、</w:t>
      </w:r>
      <w:r>
        <w:rPr>
          <w:rFonts w:hint="eastAsia"/>
        </w:rPr>
        <w:t>监督和管理。</w:t>
      </w:r>
      <w:r>
        <w:rPr>
          <w:rFonts w:hint="eastAsia"/>
          <w:lang w:val="zh-CN"/>
        </w:rPr>
        <w:t>运营期内，采购人有权对节能改造路灯亮灯率及照明质量、系统平台、日常维护进行监管。</w:t>
      </w:r>
      <w:r>
        <w:rPr>
          <w:rFonts w:hint="eastAsia"/>
        </w:rPr>
        <w:t>供应商因定期向采购人提供服务进展情况报告，包括能耗数据、节能措施实施情况、设备维护等内容，接受采购人的监督和管理。托管期间，采购人对供应商的服务进行考核，考核标准见附件2。</w:t>
      </w:r>
    </w:p>
    <w:p w14:paraId="5AAA65CC">
      <w:pPr>
        <w:spacing w:line="360" w:lineRule="auto"/>
        <w:ind w:left="420" w:firstLine="420" w:firstLineChars="200"/>
        <w:rPr>
          <w:lang w:val="zh-CN"/>
        </w:rPr>
      </w:pPr>
      <w:r>
        <w:rPr>
          <w:rFonts w:hint="eastAsia"/>
        </w:rPr>
        <w:t>9</w:t>
      </w:r>
      <w:r>
        <w:rPr>
          <w:rFonts w:hint="eastAsia"/>
          <w:lang w:val="zh-CN"/>
        </w:rPr>
        <w:t>、托管期内所有改造内容需经采购人同意。</w:t>
      </w:r>
    </w:p>
    <w:p w14:paraId="4CDF43A9">
      <w:pPr>
        <w:spacing w:line="360" w:lineRule="auto"/>
        <w:ind w:left="420" w:firstLine="420" w:firstLineChars="200"/>
      </w:pPr>
      <w:r>
        <w:rPr>
          <w:rFonts w:hint="eastAsia"/>
        </w:rPr>
        <w:t>10、供应商在服务过程中应严格遵守采购人的管理制度和安全规定，确保人员和设备的安全。</w:t>
      </w:r>
    </w:p>
    <w:p w14:paraId="71771CA4">
      <w:pPr>
        <w:spacing w:line="360" w:lineRule="auto"/>
        <w:ind w:left="420" w:firstLine="420" w:firstLineChars="200"/>
        <w:rPr>
          <w:lang w:val="zh-CN"/>
        </w:rPr>
      </w:pPr>
      <w:r>
        <w:rPr>
          <w:rFonts w:hint="eastAsia"/>
        </w:rPr>
        <w:t>11、</w:t>
      </w:r>
      <w:r>
        <w:rPr>
          <w:rFonts w:hint="eastAsia"/>
          <w:lang w:val="zh-CN"/>
        </w:rPr>
        <w:t>项目范围内为确</w:t>
      </w:r>
      <w:r>
        <w:rPr>
          <w:rFonts w:hint="eastAsia"/>
          <w:lang w:val="en-US" w:eastAsia="zh-CN"/>
        </w:rPr>
        <w:t>保</w:t>
      </w:r>
      <w:r>
        <w:rPr>
          <w:rFonts w:hint="eastAsia"/>
          <w:lang w:val="zh-CN"/>
        </w:rPr>
        <w:t>道路及公共照明设施正常运行而进行的其他合同内的作业。</w:t>
      </w:r>
    </w:p>
    <w:p w14:paraId="3C64CB00">
      <w:pPr>
        <w:adjustRightInd w:val="0"/>
        <w:snapToGrid w:val="0"/>
        <w:spacing w:line="360" w:lineRule="auto"/>
        <w:ind w:left="631" w:hanging="211"/>
        <w:jc w:val="left"/>
        <w:rPr>
          <w:rFonts w:ascii="宋体" w:hAnsi="宋体" w:cs="宋体"/>
          <w:bCs/>
          <w:szCs w:val="21"/>
        </w:rPr>
      </w:pPr>
      <w:r>
        <w:rPr>
          <w:rFonts w:hint="eastAsia" w:ascii="宋体" w:hAnsi="宋体" w:cs="宋体"/>
          <w:b/>
          <w:szCs w:val="21"/>
        </w:rPr>
        <w:t>（三）其它</w:t>
      </w:r>
    </w:p>
    <w:p w14:paraId="0A9F5DE0">
      <w:pPr>
        <w:spacing w:line="360" w:lineRule="auto"/>
        <w:ind w:left="420" w:firstLine="420" w:firstLineChars="200"/>
        <w:rPr>
          <w:rFonts w:ascii="宋体" w:hAnsi="宋体" w:cs="宋体"/>
          <w:highlight w:val="none"/>
        </w:rPr>
      </w:pPr>
      <w:r>
        <w:rPr>
          <w:rFonts w:hint="eastAsia" w:ascii="宋体" w:hAnsi="宋体" w:cs="宋体"/>
          <w:highlight w:val="none"/>
        </w:rPr>
        <w:t>1、后续新增用能设施功率增量部分，以及建设中未移交的道路设备，在政策允许范围内一并列入本合同托管范围内并在合同期内进行运行管理，供应商不得推诿，相关费用按本招标文件相关约定</w:t>
      </w:r>
      <w:bookmarkEnd w:id="16"/>
      <w:bookmarkEnd w:id="17"/>
      <w:r>
        <w:rPr>
          <w:rFonts w:hint="eastAsia" w:ascii="宋体" w:hAnsi="宋体" w:cs="宋体"/>
          <w:highlight w:val="none"/>
        </w:rPr>
        <w:t>。</w:t>
      </w:r>
    </w:p>
    <w:p w14:paraId="46A099DC">
      <w:pPr>
        <w:pStyle w:val="59"/>
        <w:spacing w:line="360" w:lineRule="auto"/>
        <w:ind w:left="420" w:firstLineChars="200"/>
        <w:rPr>
          <w:rFonts w:ascii="宋体" w:hAnsi="宋体" w:cs="宋体"/>
          <w:highlight w:val="none"/>
        </w:rPr>
      </w:pPr>
      <w:r>
        <w:rPr>
          <w:rFonts w:hint="eastAsia" w:ascii="宋体" w:hAnsi="宋体" w:cs="宋体"/>
          <w:highlight w:val="none"/>
        </w:rPr>
        <w:t xml:space="preserve"> 2、在本项目招标范围中，包括舟山北向疏港公路新小展岭隧道、旧小展岭隧道、新摩鼻岭隧道、旧摩鼻岭隧道的照明设施的运行管理，但由于该区域照明设施在2026年6月21日前无法移交，故中标供应商在该区域照明设施移交前无需进行相关的维保工作，但需按项目要求交纳相应的能耗费用，并在该区域照明设施移交后对其按项目招标要求进行节能技术改造。</w:t>
      </w:r>
    </w:p>
    <w:p w14:paraId="70D3006A">
      <w:pPr>
        <w:adjustRightInd w:val="0"/>
        <w:snapToGrid w:val="0"/>
        <w:spacing w:line="360" w:lineRule="auto"/>
        <w:jc w:val="left"/>
        <w:rPr>
          <w:rFonts w:ascii="宋体" w:hAnsi="宋体" w:cs="宋体"/>
          <w:szCs w:val="21"/>
        </w:rPr>
      </w:pPr>
      <w:r>
        <w:rPr>
          <w:rFonts w:hint="eastAsia" w:ascii="黑体" w:hAnsi="黑体" w:eastAsia="黑体" w:cs="黑体"/>
          <w:bCs/>
          <w:szCs w:val="21"/>
        </w:rPr>
        <w:t>四、节能改造技术要求及标准</w:t>
      </w:r>
    </w:p>
    <w:p w14:paraId="7E8A2625">
      <w:pPr>
        <w:spacing w:line="360" w:lineRule="auto"/>
        <w:ind w:left="631" w:hanging="211"/>
        <w:rPr>
          <w:rFonts w:ascii="宋体" w:hAnsi="宋体" w:cs="宋体"/>
          <w:b/>
          <w:bCs/>
          <w:kern w:val="0"/>
          <w:szCs w:val="21"/>
        </w:rPr>
      </w:pPr>
      <w:bookmarkStart w:id="20" w:name="_Toc12689"/>
      <w:bookmarkStart w:id="21" w:name="_Toc29102"/>
      <w:r>
        <w:rPr>
          <w:rFonts w:hint="eastAsia" w:ascii="宋体" w:hAnsi="宋体" w:cs="宋体"/>
          <w:b/>
          <w:bCs/>
          <w:kern w:val="0"/>
          <w:szCs w:val="21"/>
        </w:rPr>
        <w:t>（一）灯具的技术特点及功能要求</w:t>
      </w:r>
      <w:bookmarkEnd w:id="20"/>
      <w:bookmarkEnd w:id="21"/>
    </w:p>
    <w:p w14:paraId="5A106535">
      <w:pPr>
        <w:spacing w:line="360" w:lineRule="auto"/>
        <w:ind w:left="420" w:firstLine="422" w:firstLineChars="200"/>
        <w:rPr>
          <w:rFonts w:ascii="宋体" w:hAnsi="宋体" w:cs="宋体"/>
          <w:b/>
          <w:bCs/>
          <w:kern w:val="0"/>
          <w:szCs w:val="21"/>
        </w:rPr>
      </w:pPr>
      <w:r>
        <w:rPr>
          <w:rFonts w:hint="eastAsia" w:ascii="宋体" w:hAnsi="宋体" w:cs="宋体"/>
          <w:b/>
          <w:bCs/>
          <w:kern w:val="0"/>
          <w:szCs w:val="21"/>
        </w:rPr>
        <w:t>1、灯具结构特点</w:t>
      </w:r>
    </w:p>
    <w:p w14:paraId="6D96A714">
      <w:pPr>
        <w:spacing w:line="360" w:lineRule="auto"/>
        <w:ind w:left="420" w:firstLine="420" w:firstLineChars="200"/>
      </w:pPr>
      <w:r>
        <w:rPr>
          <w:rFonts w:hint="eastAsia"/>
        </w:rPr>
        <w:t>1.1灯具要求模块化设计，方便操作，灯体结构不能采用塑料。金属灯壳采用喷户外塑粉工艺或者为户外阳极氧化工艺作为防护；抗紫外线辐射，喷涂件表面色泽应均匀一致，涂膜光滑，厚度均匀，无流挂、堆积、露底、皱纹等影响外观的缺陷。</w:t>
      </w:r>
    </w:p>
    <w:p w14:paraId="43E6C5A1">
      <w:pPr>
        <w:spacing w:line="360" w:lineRule="auto"/>
        <w:ind w:left="420" w:firstLine="420" w:firstLineChars="200"/>
      </w:pPr>
      <w:r>
        <w:rPr>
          <w:rFonts w:hint="eastAsia"/>
        </w:rPr>
        <w:t xml:space="preserve">1.2模组为保持良好的可替换性，整体结构需满足《GB/T 34846-2017LED照明应用与接口要求非集成式模块的道路灯具》； </w:t>
      </w:r>
    </w:p>
    <w:p w14:paraId="2DDD1F8B">
      <w:pPr>
        <w:spacing w:line="360" w:lineRule="auto"/>
        <w:ind w:left="420" w:firstLine="420" w:firstLineChars="200"/>
      </w:pPr>
      <w:r>
        <w:rPr>
          <w:rFonts w:hint="eastAsia"/>
        </w:rPr>
        <w:t>1.3模块采用透镜进行二次配光，透光率＞90%，对于同一模块提供不少于3种不同的配光选择。</w:t>
      </w:r>
    </w:p>
    <w:p w14:paraId="71FB85A3">
      <w:pPr>
        <w:spacing w:line="360" w:lineRule="auto"/>
        <w:ind w:left="420" w:firstLine="420" w:firstLineChars="200"/>
        <w:rPr>
          <w:rFonts w:hint="eastAsia" w:eastAsia="宋体"/>
          <w:lang w:eastAsia="zh-CN"/>
        </w:rPr>
      </w:pPr>
      <w:r>
        <w:rPr>
          <w:rFonts w:hint="eastAsia"/>
        </w:rPr>
        <w:t>1.4合同期内光通维持率大于等于设定值光通量的70%</w:t>
      </w:r>
      <w:r>
        <w:rPr>
          <w:rFonts w:hint="eastAsia"/>
          <w:lang w:eastAsia="zh-CN"/>
        </w:rPr>
        <w:t>；</w:t>
      </w:r>
    </w:p>
    <w:p w14:paraId="3B8888B2">
      <w:pPr>
        <w:spacing w:line="360" w:lineRule="auto"/>
        <w:ind w:left="420" w:firstLine="420" w:firstLineChars="200"/>
      </w:pPr>
      <w:r>
        <w:rPr>
          <w:rFonts w:hint="eastAsia"/>
        </w:rPr>
        <w:t>1.5灯具：光源芯片采用相当或不低于科锐、日亚、亮锐、欧司朗同等档次产品；</w:t>
      </w:r>
    </w:p>
    <w:p w14:paraId="3DE24223">
      <w:pPr>
        <w:spacing w:line="360" w:lineRule="auto"/>
        <w:ind w:left="420" w:firstLine="420" w:firstLineChars="200"/>
      </w:pPr>
      <w:r>
        <w:rPr>
          <w:rFonts w:hint="eastAsia"/>
          <w:highlight w:val="none"/>
        </w:rPr>
        <w:t>1.6外观专利：对所提供的路灯灯头技术和服务等拥有合法的占有和处置权，确保日后无专利纠</w:t>
      </w:r>
      <w:r>
        <w:rPr>
          <w:rFonts w:hint="eastAsia"/>
        </w:rPr>
        <w:t>纷。</w:t>
      </w:r>
    </w:p>
    <w:p w14:paraId="2D96020C">
      <w:pPr>
        <w:spacing w:line="360" w:lineRule="auto"/>
        <w:ind w:left="420" w:firstLine="420" w:firstLineChars="200"/>
      </w:pPr>
      <w:r>
        <w:rPr>
          <w:rFonts w:hint="eastAsia"/>
        </w:rPr>
        <w:t>1.7抗风措施：符合抗风要求。</w:t>
      </w:r>
    </w:p>
    <w:p w14:paraId="4D070205">
      <w:pPr>
        <w:spacing w:line="360" w:lineRule="auto"/>
        <w:ind w:left="420" w:firstLine="420" w:firstLineChars="200"/>
      </w:pPr>
      <w:r>
        <w:rPr>
          <w:rFonts w:hint="eastAsia"/>
        </w:rPr>
        <w:t>2、基本性能要求</w:t>
      </w:r>
    </w:p>
    <w:p w14:paraId="590BFE11">
      <w:pPr>
        <w:spacing w:line="360" w:lineRule="auto"/>
        <w:ind w:left="420" w:firstLine="420" w:firstLineChars="200"/>
        <w:rPr>
          <w:rFonts w:hint="eastAsia" w:eastAsia="宋体"/>
          <w:lang w:val="en-US" w:eastAsia="zh-CN"/>
        </w:rPr>
      </w:pPr>
      <w:r>
        <w:rPr>
          <w:rFonts w:hint="eastAsia"/>
        </w:rPr>
        <w:t>2.1▲防护等级：整灯防水≥</w:t>
      </w:r>
      <w:r>
        <w:rPr>
          <w:rFonts w:hint="eastAsia"/>
          <w:highlight w:val="none"/>
        </w:rPr>
        <w:t>IP6</w:t>
      </w:r>
      <w:r>
        <w:rPr>
          <w:rFonts w:hint="eastAsia"/>
          <w:highlight w:val="none"/>
          <w:lang w:val="en-US" w:eastAsia="zh-CN"/>
        </w:rPr>
        <w:t>6</w:t>
      </w:r>
    </w:p>
    <w:p w14:paraId="53750F5E">
      <w:pPr>
        <w:spacing w:line="360" w:lineRule="auto"/>
        <w:ind w:left="420" w:firstLine="420" w:firstLineChars="200"/>
      </w:pPr>
      <w:r>
        <w:rPr>
          <w:rFonts w:hint="eastAsia"/>
        </w:rPr>
        <w:t>2.2工作环境：温度：－40℃～＋45℃，湿度：小于95%</w:t>
      </w:r>
    </w:p>
    <w:p w14:paraId="692548DE">
      <w:pPr>
        <w:spacing w:line="360" w:lineRule="auto"/>
        <w:ind w:left="420" w:firstLine="420" w:firstLineChars="200"/>
      </w:pPr>
      <w:r>
        <w:rPr>
          <w:rFonts w:hint="eastAsia"/>
        </w:rPr>
        <w:t>2.3防触电保护等级：Ⅰ类</w:t>
      </w:r>
    </w:p>
    <w:p w14:paraId="4A34F511">
      <w:pPr>
        <w:spacing w:line="360" w:lineRule="auto"/>
        <w:ind w:left="420" w:firstLine="420" w:firstLineChars="200"/>
      </w:pPr>
      <w:r>
        <w:rPr>
          <w:rFonts w:hint="eastAsia"/>
        </w:rPr>
        <w:t>2.4工作电压：AC176～277V</w:t>
      </w:r>
    </w:p>
    <w:p w14:paraId="7F7C219B">
      <w:pPr>
        <w:spacing w:line="360" w:lineRule="auto"/>
        <w:ind w:left="420" w:firstLine="420" w:firstLineChars="200"/>
      </w:pPr>
      <w:r>
        <w:rPr>
          <w:rFonts w:hint="eastAsia"/>
        </w:rPr>
        <w:t>2.5▲显色指数：Ra＞70</w:t>
      </w:r>
    </w:p>
    <w:p w14:paraId="69565024">
      <w:pPr>
        <w:spacing w:line="360" w:lineRule="auto"/>
        <w:ind w:left="420" w:firstLine="420" w:firstLineChars="200"/>
      </w:pPr>
      <w:r>
        <w:rPr>
          <w:rFonts w:hint="eastAsia"/>
        </w:rPr>
        <w:t>2.6整灯光效：≥160 lm/W</w:t>
      </w:r>
    </w:p>
    <w:p w14:paraId="02D06BBB">
      <w:pPr>
        <w:spacing w:line="360" w:lineRule="auto"/>
        <w:ind w:left="420" w:firstLine="420" w:firstLineChars="200"/>
      </w:pPr>
      <w:r>
        <w:rPr>
          <w:rFonts w:hint="eastAsia"/>
        </w:rPr>
        <w:t xml:space="preserve">2.7▲色温：3000±200k </w:t>
      </w:r>
    </w:p>
    <w:p w14:paraId="31818416">
      <w:pPr>
        <w:spacing w:line="360" w:lineRule="auto"/>
        <w:ind w:left="420" w:firstLine="420" w:firstLineChars="200"/>
      </w:pPr>
      <w:r>
        <w:rPr>
          <w:rFonts w:hint="eastAsia"/>
        </w:rPr>
        <w:t>2.8安装方式：侧装式，灯头与灯杆接口以原有灯杆直径为准。</w:t>
      </w:r>
    </w:p>
    <w:p w14:paraId="009616B0">
      <w:pPr>
        <w:pStyle w:val="59"/>
        <w:spacing w:line="360" w:lineRule="auto"/>
        <w:ind w:left="420" w:firstLineChars="200"/>
        <w:rPr>
          <w:highlight w:val="none"/>
        </w:rPr>
      </w:pPr>
      <w:r>
        <w:rPr>
          <w:rFonts w:hint="eastAsia"/>
          <w:highlight w:val="none"/>
        </w:rPr>
        <w:t>投标人必须在投标文件中明确所投LED灯具的品牌、制造商和技术参数，</w:t>
      </w:r>
      <w:r>
        <w:rPr>
          <w:rFonts w:hint="eastAsia"/>
          <w:highlight w:val="none"/>
          <w:lang w:val="en-US" w:eastAsia="zh-CN"/>
        </w:rPr>
        <w:t>投标人需在中标后提供相关品牌产品的制造商授权书，</w:t>
      </w:r>
      <w:r>
        <w:rPr>
          <w:rFonts w:hint="eastAsia"/>
          <w:highlight w:val="none"/>
        </w:rPr>
        <w:t>对以上“▲”条款须提供国家权威检测机构出具的相关检测报告。</w:t>
      </w:r>
    </w:p>
    <w:p w14:paraId="69265872">
      <w:pPr>
        <w:pStyle w:val="3"/>
        <w:tabs>
          <w:tab w:val="left" w:pos="-420"/>
        </w:tabs>
        <w:spacing w:before="240" w:after="240"/>
        <w:ind w:left="631" w:hanging="211"/>
        <w:rPr>
          <w:rFonts w:ascii="宋体" w:hAnsi="宋体" w:eastAsia="宋体" w:cs="宋体"/>
          <w:sz w:val="21"/>
          <w:szCs w:val="21"/>
        </w:rPr>
      </w:pPr>
      <w:r>
        <w:rPr>
          <w:rFonts w:hint="eastAsia" w:ascii="宋体" w:hAnsi="宋体" w:eastAsia="宋体" w:cs="宋体"/>
          <w:sz w:val="21"/>
          <w:szCs w:val="21"/>
        </w:rPr>
        <w:t>（二）智能控制系统的技术特点及功能要求</w:t>
      </w:r>
    </w:p>
    <w:p w14:paraId="70108A64">
      <w:pPr>
        <w:keepNext/>
        <w:keepLines/>
        <w:spacing w:before="156" w:beforeLines="50" w:after="156" w:afterLines="50"/>
        <w:ind w:left="420" w:firstLine="422" w:firstLineChars="200"/>
        <w:outlineLvl w:val="2"/>
        <w:rPr>
          <w:rFonts w:ascii="宋体" w:hAnsi="宋体" w:cs="宋体"/>
          <w:b/>
          <w:bCs/>
          <w:kern w:val="0"/>
          <w:szCs w:val="21"/>
        </w:rPr>
      </w:pPr>
      <w:r>
        <w:rPr>
          <w:rFonts w:hint="eastAsia" w:ascii="宋体" w:hAnsi="宋体" w:cs="宋体"/>
          <w:b/>
          <w:bCs/>
          <w:kern w:val="0"/>
          <w:szCs w:val="21"/>
        </w:rPr>
        <w:t>1、单灯4G通信设备功能及参数要求</w:t>
      </w:r>
    </w:p>
    <w:p w14:paraId="35F0FC1E">
      <w:pPr>
        <w:spacing w:line="360" w:lineRule="auto"/>
        <w:ind w:left="420" w:firstLine="420" w:firstLineChars="200"/>
      </w:pPr>
      <w:r>
        <w:rPr>
          <w:rFonts w:hint="eastAsia"/>
        </w:rPr>
        <w:t>1.1通信方式采用CAT-1低速4G通信模式，控制器能与软件平台进行双向通信；</w:t>
      </w:r>
    </w:p>
    <w:p w14:paraId="2E16A5D7">
      <w:pPr>
        <w:spacing w:line="360" w:lineRule="auto"/>
        <w:ind w:left="420" w:firstLine="420" w:firstLineChars="200"/>
      </w:pPr>
      <w:r>
        <w:rPr>
          <w:rFonts w:hint="eastAsia"/>
        </w:rPr>
        <w:t>1.2控制中心通信中断时，能自主独立运行，按设定的计划（含开关灯和调光等控制策略）自主开关灯的功能；</w:t>
      </w:r>
    </w:p>
    <w:p w14:paraId="7E263D5C">
      <w:pPr>
        <w:spacing w:line="360" w:lineRule="auto"/>
        <w:ind w:left="420" w:firstLine="420" w:firstLineChars="200"/>
      </w:pPr>
      <w:r>
        <w:rPr>
          <w:rFonts w:hint="eastAsia"/>
        </w:rPr>
        <w:t>1.3▲具备1路0-10V/PWM调光方式远程切换功能，能根据控制中心发送的调光命令对LED灯具进行无级调光控制。支持正反向调光逻辑；</w:t>
      </w:r>
    </w:p>
    <w:p w14:paraId="74BB0382">
      <w:pPr>
        <w:spacing w:line="360" w:lineRule="auto"/>
        <w:ind w:left="420" w:firstLine="420" w:firstLineChars="200"/>
      </w:pPr>
      <w:r>
        <w:rPr>
          <w:rFonts w:hint="eastAsia"/>
        </w:rPr>
        <w:t>1.4支持电压、电流、频率、有功功率、无功功率、视在功率、功率因数、漏电流、开关状态、信号强度、亮灯总时长、总能耗等灯具及控制器运行数据的实时监测、采集和上报，可远程监测灯具状态；</w:t>
      </w:r>
    </w:p>
    <w:p w14:paraId="1A238C97">
      <w:pPr>
        <w:spacing w:line="360" w:lineRule="auto"/>
        <w:ind w:left="420" w:firstLine="420" w:firstLineChars="200"/>
      </w:pPr>
      <w:r>
        <w:rPr>
          <w:rFonts w:hint="eastAsia"/>
        </w:rPr>
        <w:t>1.5具有支持补偿电容故障、灯具故障、电源故障、欠流、过流、欠压、过压、漏电流越限、路灯异常开关灯等故障检测功能；</w:t>
      </w:r>
    </w:p>
    <w:p w14:paraId="19C5CB15">
      <w:pPr>
        <w:spacing w:line="360" w:lineRule="auto"/>
        <w:ind w:left="420" w:firstLine="420" w:firstLineChars="200"/>
      </w:pPr>
      <w:r>
        <w:rPr>
          <w:rFonts w:hint="eastAsia"/>
        </w:rPr>
        <w:t>1.6具有对路灯异常开关灯、电压/电流超限、灯具故障、电容故障、漏电流故障、终端温度故障等故障信息主动上报的功能；</w:t>
      </w:r>
    </w:p>
    <w:p w14:paraId="0C50277D">
      <w:pPr>
        <w:spacing w:line="360" w:lineRule="auto"/>
        <w:ind w:left="420" w:firstLine="420" w:firstLineChars="200"/>
      </w:pPr>
      <w:r>
        <w:rPr>
          <w:rFonts w:hint="eastAsia"/>
        </w:rPr>
        <w:t>1.7具备掉电保护功能，断电后重新恢复，所有参数（包括基本、通信、工作等参数）和数据信息不丢失；</w:t>
      </w:r>
    </w:p>
    <w:p w14:paraId="2B7269F8">
      <w:pPr>
        <w:spacing w:line="360" w:lineRule="auto"/>
        <w:ind w:left="420" w:firstLine="420" w:firstLineChars="200"/>
      </w:pPr>
      <w:r>
        <w:rPr>
          <w:rFonts w:hint="eastAsia"/>
        </w:rPr>
        <w:t>1.8具备自动记录灯具亮灯时长、故障时长和能耗累计的功能;</w:t>
      </w:r>
    </w:p>
    <w:p w14:paraId="15CBFE0D">
      <w:pPr>
        <w:spacing w:line="360" w:lineRule="auto"/>
        <w:ind w:left="420" w:firstLine="420" w:firstLineChars="200"/>
      </w:pPr>
      <w:r>
        <w:rPr>
          <w:rFonts w:hint="eastAsia"/>
        </w:rPr>
        <w:t>1.9▲控制器内部出现供电故障的情况下，调光输出处于高阻状态，不会影响灯具的满功率输出。具有独立性，开关控制处在继电器常闭触点，终端自身故障不影响正常亮灯；</w:t>
      </w:r>
    </w:p>
    <w:p w14:paraId="4F0164C4">
      <w:pPr>
        <w:spacing w:line="360" w:lineRule="auto"/>
        <w:ind w:left="420" w:firstLine="420" w:firstLineChars="200"/>
      </w:pPr>
      <w:r>
        <w:rPr>
          <w:rFonts w:hint="eastAsia"/>
        </w:rPr>
        <w:t xml:space="preserve">1.10具备连接备用服务器功能，具备IP地址和端口的本地设置功能，支持域名； </w:t>
      </w:r>
    </w:p>
    <w:p w14:paraId="3070B04E">
      <w:pPr>
        <w:spacing w:line="360" w:lineRule="auto"/>
        <w:ind w:left="420" w:firstLine="420" w:firstLineChars="200"/>
      </w:pPr>
      <w:r>
        <w:rPr>
          <w:rFonts w:hint="eastAsia"/>
        </w:rPr>
        <w:t>1.11支持对电能、亮灯时长、灯具故障时长的数据累计及清零；</w:t>
      </w:r>
    </w:p>
    <w:p w14:paraId="4013C869">
      <w:pPr>
        <w:spacing w:line="360" w:lineRule="auto"/>
        <w:ind w:left="420" w:firstLine="420" w:firstLineChars="200"/>
      </w:pPr>
      <w:r>
        <w:rPr>
          <w:rFonts w:hint="eastAsia"/>
        </w:rPr>
        <w:t>1.12▲具有漏电流检测功能，200mA量程，误差不超过±0.5%，接触电流＜0.75mA；</w:t>
      </w:r>
    </w:p>
    <w:p w14:paraId="3EE2E345">
      <w:pPr>
        <w:spacing w:line="360" w:lineRule="auto"/>
        <w:ind w:left="420" w:firstLine="420" w:firstLineChars="200"/>
      </w:pPr>
      <w:r>
        <w:rPr>
          <w:rFonts w:hint="eastAsia"/>
        </w:rPr>
        <w:t>工作温度：-40℃~85℃；</w:t>
      </w:r>
    </w:p>
    <w:p w14:paraId="215E948F">
      <w:pPr>
        <w:spacing w:line="360" w:lineRule="auto"/>
        <w:ind w:left="420" w:firstLine="420" w:firstLineChars="200"/>
      </w:pPr>
      <w:r>
        <w:rPr>
          <w:rFonts w:hint="eastAsia"/>
        </w:rPr>
        <w:t>1.14▲防护等级不低于IP68</w:t>
      </w:r>
    </w:p>
    <w:p w14:paraId="5B0EBA7B">
      <w:pPr>
        <w:keepNext/>
        <w:keepLines/>
        <w:spacing w:before="156" w:beforeLines="50" w:after="156" w:afterLines="50"/>
        <w:ind w:left="420" w:firstLine="420" w:firstLineChars="200"/>
        <w:outlineLvl w:val="2"/>
        <w:rPr>
          <w:rFonts w:hint="eastAsia"/>
          <w:highlight w:val="none"/>
        </w:rPr>
      </w:pPr>
      <w:r>
        <w:rPr>
          <w:rFonts w:hint="eastAsia"/>
          <w:highlight w:val="none"/>
        </w:rPr>
        <w:t>对以上“▲”条款需提供国家认可的CMA和CNAS标识的第三方检验报告复印件。</w:t>
      </w:r>
    </w:p>
    <w:p w14:paraId="008377EE">
      <w:pPr>
        <w:keepNext/>
        <w:keepLines/>
        <w:spacing w:before="156" w:beforeLines="50" w:after="156" w:afterLines="50"/>
        <w:ind w:left="420" w:firstLine="422" w:firstLineChars="200"/>
        <w:outlineLvl w:val="2"/>
        <w:rPr>
          <w:rFonts w:ascii="宋体" w:hAnsi="宋体" w:cs="宋体"/>
          <w:b/>
          <w:bCs/>
          <w:kern w:val="0"/>
          <w:szCs w:val="21"/>
        </w:rPr>
      </w:pPr>
      <w:r>
        <w:rPr>
          <w:rFonts w:hint="eastAsia" w:ascii="宋体" w:hAnsi="宋体" w:cs="宋体"/>
          <w:b/>
          <w:bCs/>
          <w:kern w:val="0"/>
          <w:szCs w:val="21"/>
        </w:rPr>
        <w:t>2、集中控制器</w:t>
      </w:r>
    </w:p>
    <w:p w14:paraId="53557438">
      <w:pPr>
        <w:spacing w:line="360" w:lineRule="auto"/>
        <w:ind w:left="420" w:firstLine="420" w:firstLineChars="200"/>
      </w:pPr>
      <w:r>
        <w:rPr>
          <w:rFonts w:hint="eastAsia"/>
        </w:rPr>
        <w:t>2.1具备液晶显示，按键操作，方便现场人员手动操作；</w:t>
      </w:r>
    </w:p>
    <w:p w14:paraId="4321E3B8">
      <w:pPr>
        <w:spacing w:line="360" w:lineRule="auto"/>
        <w:ind w:left="420" w:firstLine="420" w:firstLineChars="200"/>
      </w:pPr>
      <w:r>
        <w:rPr>
          <w:rFonts w:hint="eastAsia"/>
        </w:rPr>
        <w:t xml:space="preserve">2.2基于高性能32位工业级ARM9作为微控制器；  </w:t>
      </w:r>
    </w:p>
    <w:p w14:paraId="0F36A846">
      <w:pPr>
        <w:spacing w:line="360" w:lineRule="auto"/>
        <w:ind w:left="420" w:firstLine="420" w:firstLineChars="200"/>
      </w:pPr>
      <w:r>
        <w:rPr>
          <w:rFonts w:hint="eastAsia"/>
        </w:rPr>
        <w:t>2.3具有 10/100M 以太网接口、RS485 接口、USB 接口；</w:t>
      </w:r>
    </w:p>
    <w:p w14:paraId="63B63B8B">
      <w:pPr>
        <w:spacing w:line="360" w:lineRule="auto"/>
        <w:ind w:left="420" w:firstLine="420" w:firstLineChars="200"/>
      </w:pPr>
      <w:r>
        <w:rPr>
          <w:rFonts w:hint="eastAsia"/>
        </w:rPr>
        <w:t xml:space="preserve">2.4支持以太网、4G全网通讯方式；  </w:t>
      </w:r>
    </w:p>
    <w:p w14:paraId="60179DA4">
      <w:pPr>
        <w:spacing w:line="360" w:lineRule="auto"/>
        <w:ind w:left="420" w:firstLine="420" w:firstLineChars="200"/>
      </w:pPr>
      <w:r>
        <w:rPr>
          <w:rFonts w:hint="eastAsia"/>
        </w:rPr>
        <w:t>2.5支持远程和本地程序升级； </w:t>
      </w:r>
    </w:p>
    <w:p w14:paraId="15377FF8">
      <w:pPr>
        <w:spacing w:line="360" w:lineRule="auto"/>
        <w:ind w:left="420" w:firstLine="420" w:firstLineChars="200"/>
      </w:pPr>
      <w:r>
        <w:rPr>
          <w:rFonts w:hint="eastAsia"/>
        </w:rPr>
        <w:t>2.6▲具备漏电检测功能；</w:t>
      </w:r>
    </w:p>
    <w:p w14:paraId="57F38F4F">
      <w:pPr>
        <w:spacing w:line="360" w:lineRule="auto"/>
        <w:ind w:left="420" w:firstLine="420" w:firstLineChars="200"/>
      </w:pPr>
      <w:r>
        <w:rPr>
          <w:rFonts w:hint="eastAsia"/>
        </w:rPr>
        <w:t xml:space="preserve">2.7具备配电箱状态故障报警功能； </w:t>
      </w:r>
    </w:p>
    <w:p w14:paraId="3C0B907C">
      <w:pPr>
        <w:spacing w:line="360" w:lineRule="auto"/>
        <w:ind w:left="420" w:firstLine="420" w:firstLineChars="200"/>
      </w:pPr>
      <w:r>
        <w:rPr>
          <w:rFonts w:hint="eastAsia"/>
        </w:rPr>
        <w:t xml:space="preserve">2.8具备自主运行功能； </w:t>
      </w:r>
    </w:p>
    <w:p w14:paraId="13024FED">
      <w:pPr>
        <w:spacing w:line="360" w:lineRule="auto"/>
        <w:ind w:left="420" w:firstLine="420" w:firstLineChars="200"/>
      </w:pPr>
      <w:r>
        <w:rPr>
          <w:rFonts w:hint="eastAsia"/>
        </w:rPr>
        <w:t>2.9集中控制器应在2000V,50Hz环境下，一分钟内应无击穿飞弧现象 ；</w:t>
      </w:r>
    </w:p>
    <w:p w14:paraId="354ECA28">
      <w:pPr>
        <w:spacing w:line="360" w:lineRule="auto"/>
        <w:ind w:left="420" w:firstLine="420" w:firstLineChars="200"/>
      </w:pPr>
      <w:r>
        <w:rPr>
          <w:rFonts w:hint="eastAsia"/>
        </w:rPr>
        <w:t>2.10集中控制器应在输入2倍额定电流或1.2倍额定电压时，应能正常工作；</w:t>
      </w:r>
    </w:p>
    <w:p w14:paraId="762818FE">
      <w:pPr>
        <w:spacing w:line="360" w:lineRule="auto"/>
        <w:ind w:left="420" w:firstLine="420" w:firstLineChars="200"/>
      </w:pPr>
      <w:r>
        <w:rPr>
          <w:rFonts w:hint="eastAsia"/>
        </w:rPr>
        <w:t>2.11▲防护等级不低于IP54；</w:t>
      </w:r>
    </w:p>
    <w:p w14:paraId="36004897">
      <w:pPr>
        <w:spacing w:line="360" w:lineRule="auto"/>
        <w:ind w:left="420" w:firstLine="420" w:firstLineChars="200"/>
      </w:pPr>
      <w:r>
        <w:rPr>
          <w:rFonts w:hint="eastAsia"/>
        </w:rPr>
        <w:t>2.12适用范围公共照明，远程配电箱线控开关控制，远程灯具开关；</w:t>
      </w:r>
    </w:p>
    <w:p w14:paraId="1D76C84B">
      <w:pPr>
        <w:keepNext/>
        <w:keepLines/>
        <w:spacing w:line="360" w:lineRule="auto"/>
        <w:ind w:left="420" w:firstLine="420" w:firstLineChars="200"/>
        <w:outlineLvl w:val="2"/>
        <w:rPr>
          <w:rFonts w:hint="eastAsia"/>
        </w:rPr>
      </w:pPr>
      <w:r>
        <w:rPr>
          <w:rFonts w:hint="eastAsia"/>
        </w:rPr>
        <w:t>对以上“▲”条款需提供国家认可的CMA和CNAS标识的第三方检验报告复印件。</w:t>
      </w:r>
    </w:p>
    <w:p w14:paraId="639151F2">
      <w:pPr>
        <w:keepNext/>
        <w:keepLines/>
        <w:spacing w:line="360" w:lineRule="auto"/>
        <w:ind w:left="420" w:firstLine="420" w:firstLineChars="200"/>
        <w:outlineLvl w:val="2"/>
        <w:rPr>
          <w:rFonts w:ascii="宋体" w:hAnsi="宋体" w:cs="宋体"/>
          <w:kern w:val="0"/>
          <w:szCs w:val="21"/>
        </w:rPr>
      </w:pPr>
      <w:r>
        <w:rPr>
          <w:rFonts w:hint="eastAsia" w:ascii="宋体" w:hAnsi="宋体" w:cs="宋体"/>
          <w:kern w:val="0"/>
          <w:szCs w:val="21"/>
        </w:rPr>
        <w:t>3、系统软件平台</w:t>
      </w:r>
    </w:p>
    <w:p w14:paraId="08B8ABA2">
      <w:pPr>
        <w:spacing w:line="360" w:lineRule="auto"/>
        <w:ind w:left="420" w:firstLine="420" w:firstLineChars="200"/>
      </w:pPr>
      <w:r>
        <w:rPr>
          <w:rFonts w:hint="eastAsia"/>
        </w:rPr>
        <w:t>系统应具备智能感知、实时监控、数据增值、数据分析等物联网核心功能，</w:t>
      </w:r>
      <w:r>
        <w:rPr>
          <w:rFonts w:hint="eastAsia"/>
          <w:lang w:val="en-US" w:eastAsia="zh-CN"/>
        </w:rPr>
        <w:t>应</w:t>
      </w:r>
      <w:r>
        <w:rPr>
          <w:rFonts w:hint="eastAsia"/>
        </w:rPr>
        <w:t>具备强大的用户组态功能和海量设备接入及大数据计算能力; 通过简单的配置，就可以实现个性化应用，简化日常管理工作；具备设备状态监控功能，及完整的设备信息管理功能，为日常运维工作及设备生命周期管理提供可靠便捷的支持服务；具备高效的工单管理功能，支持自动生成工单，手动录入工单以及工单的流程管理；拥有实时文本、实时表格、实时曲线、仪表盘、图表等行业监控图形单元；提供完备的API接口，用于与设备端管理系统进行对接交互。</w:t>
      </w:r>
    </w:p>
    <w:p w14:paraId="35C90D64">
      <w:pPr>
        <w:spacing w:line="360" w:lineRule="auto"/>
        <w:ind w:left="420" w:firstLine="420" w:firstLineChars="200"/>
      </w:pPr>
      <w:r>
        <w:t>平台硬件搭设：系统涉及的现场硬件产品经过规模应用实践验证，具有极高的可靠性，特别是抗高温环境和恶劣电磁环境具有异常突出的表现。系统建成后，为保证数据传输的安全性，平台对数据在传输过程中采用加解密的技术。同时，中心服务器软件具有防数据误删除机制和完善的数据备份、容错措施。</w:t>
      </w:r>
    </w:p>
    <w:p w14:paraId="0E8511DD">
      <w:pPr>
        <w:spacing w:line="360" w:lineRule="auto"/>
        <w:ind w:left="420" w:firstLine="420" w:firstLineChars="200"/>
      </w:pPr>
      <w:r>
        <w:t>软件架构合理化：系统架构采用模块化，多层级设计，考虑后续智慧平台的发展，可以将整个市、整个省、整个国家的照明系统纳入统一的监控平台。监控平台随着业务需求的变化和扩展，通过部署，使得扩展升级均非常方便且不必改变现有设备的状态。系统总体的规划能支持多种设备的接入及不同的操作系统环境，允许未来改变操作系统和硬件环境。本设计未涉及安全的部分采用开放协议标准，使得不同的厂商生产的设备可以实现兼容；同时在通信接口方面，均按通用的规范和标准进行设计，从根本上保证了系统良好的可扩展性。</w:t>
      </w:r>
    </w:p>
    <w:p w14:paraId="27F4F48E">
      <w:pPr>
        <w:spacing w:line="360" w:lineRule="auto"/>
        <w:ind w:left="420" w:firstLine="420" w:firstLineChars="200"/>
      </w:pPr>
      <w:r>
        <w:t>服务器及网络架构设计：智慧城市道路照明大数据系统依据海量设备接入，大数据计算，具备高扩展性和高安全性原则，使用互联网及物联网业内最先进并且可靠的技术，搭建高可用的大数据系统。</w:t>
      </w:r>
    </w:p>
    <w:p w14:paraId="4F035B21">
      <w:pPr>
        <w:spacing w:line="360" w:lineRule="auto"/>
        <w:ind w:left="420" w:firstLine="420" w:firstLineChars="200"/>
      </w:pPr>
      <w:r>
        <w:t>服务器及网络架构采用应用服务与数据服务分离的方式，前端WEB服务可采用负载平衡方式扩展，数据服务和应用服务可采用服务器集群扩展，IOT接入服务可采用水平复制方式扩展；终端采用专网与平台服务通信，保证数据传输安全；内网与外网分别部署应用服务器，并对操作访问权限做精细化控制，保证数据访问安全。</w:t>
      </w:r>
    </w:p>
    <w:p w14:paraId="51A7999F">
      <w:pPr>
        <w:spacing w:line="360" w:lineRule="auto"/>
        <w:ind w:left="420" w:firstLine="420" w:firstLineChars="200"/>
      </w:pPr>
      <w:r>
        <w:rPr>
          <w:rFonts w:hint="eastAsia"/>
        </w:rPr>
        <w:t>3.1</w:t>
      </w:r>
      <w:r>
        <w:t>具备用户名和密码进行校验，可识别非法登陆，并给出提示。</w:t>
      </w:r>
    </w:p>
    <w:p w14:paraId="36BE0E8E">
      <w:pPr>
        <w:spacing w:line="360" w:lineRule="auto"/>
        <w:ind w:left="420" w:firstLine="420" w:firstLineChars="200"/>
      </w:pPr>
      <w:r>
        <w:rPr>
          <w:rFonts w:hint="eastAsia"/>
        </w:rPr>
        <w:t>3.2</w:t>
      </w:r>
      <w:r>
        <w:t>平台应支持2D/3D地图、卫星地图、百度地图切换，切换地图模式，模式包括网页版地图、离线地图、海量地图模式，对地图进行拖动、漫游、缩放、测距。</w:t>
      </w:r>
    </w:p>
    <w:p w14:paraId="5F224737">
      <w:pPr>
        <w:spacing w:line="360" w:lineRule="auto"/>
        <w:ind w:left="420" w:firstLine="420" w:firstLineChars="200"/>
      </w:pPr>
      <w:r>
        <w:rPr>
          <w:rFonts w:hint="eastAsia"/>
        </w:rPr>
        <w:t>3.3</w:t>
      </w:r>
      <w:r>
        <w:t>系统项终端发送命令，反馈时间应不大于15秒。</w:t>
      </w:r>
    </w:p>
    <w:p w14:paraId="5AC73F2E">
      <w:pPr>
        <w:spacing w:line="360" w:lineRule="auto"/>
        <w:ind w:left="420" w:firstLine="420" w:firstLineChars="200"/>
      </w:pPr>
      <w:r>
        <w:rPr>
          <w:rFonts w:hint="eastAsia"/>
        </w:rPr>
        <w:t>3.4</w:t>
      </w:r>
      <w:r>
        <w:t>具备大于100万台配电箱，150万只灯杆，350万个灯具的信息储存量。</w:t>
      </w:r>
    </w:p>
    <w:p w14:paraId="38C8B2DE">
      <w:pPr>
        <w:spacing w:line="360" w:lineRule="auto"/>
        <w:ind w:left="420" w:firstLine="420" w:firstLineChars="200"/>
      </w:pPr>
      <w:r>
        <w:rPr>
          <w:rFonts w:hint="eastAsia"/>
        </w:rPr>
        <w:t>3.5</w:t>
      </w:r>
      <w:r>
        <w:t>具备展示控制柜列表，包括名称、UID、集中器连接状态、回路最后一次的开关时间、内置电表三相电参数、外置电表三相电参数、集中器版本、备注等信息。</w:t>
      </w:r>
    </w:p>
    <w:p w14:paraId="01B53650">
      <w:pPr>
        <w:spacing w:line="360" w:lineRule="auto"/>
        <w:ind w:left="420" w:firstLine="420" w:firstLineChars="200"/>
      </w:pPr>
      <w:r>
        <w:rPr>
          <w:rFonts w:hint="eastAsia"/>
        </w:rPr>
        <w:t>3.6</w:t>
      </w:r>
      <w:r>
        <w:t>支持不少于可支持2G/3G/4G/CDMA、Ethernet、RS485、USB、电力载波（PLC）、433、 Zigbee、915MHz、lora等多种通信方式。</w:t>
      </w:r>
    </w:p>
    <w:p w14:paraId="2F6CD507">
      <w:pPr>
        <w:spacing w:line="360" w:lineRule="auto"/>
        <w:ind w:left="420" w:firstLine="420" w:firstLineChars="200"/>
      </w:pPr>
      <w:r>
        <w:rPr>
          <w:rFonts w:hint="eastAsia"/>
        </w:rPr>
        <w:t>3.7</w:t>
      </w:r>
      <w:r>
        <w:t>系统应能设置光照阈值。可选择时控、光控、经纬度、时控+光控、经纬度+光控等控制方式。</w:t>
      </w:r>
    </w:p>
    <w:p w14:paraId="7218244B">
      <w:pPr>
        <w:spacing w:line="360" w:lineRule="auto"/>
        <w:ind w:left="420" w:firstLine="420" w:firstLineChars="200"/>
      </w:pPr>
      <w:r>
        <w:rPr>
          <w:rFonts w:hint="eastAsia"/>
        </w:rPr>
        <w:t>3.8</w:t>
      </w:r>
      <w:r>
        <w:t>告警类型包括但不限于意外亮灯，意外灭灯，灯具故障，电源故障，欠压，过压，过流，控制柜缺相，灯杆漏电，灯杆倾斜，节点丢失，补偿电容故障，塑壳断路器故障，漏电保护器故障，交流接触器故障等。</w:t>
      </w:r>
    </w:p>
    <w:p w14:paraId="2EF71D09">
      <w:pPr>
        <w:spacing w:line="360" w:lineRule="auto"/>
        <w:ind w:left="420" w:firstLine="420" w:firstLineChars="200"/>
      </w:pPr>
      <w:r>
        <w:rPr>
          <w:rFonts w:hint="eastAsia"/>
        </w:rPr>
        <w:t>3.9</w:t>
      </w:r>
      <w:r>
        <w:t>系统应具备告警统计分析，可统计告警数据，展示历史状态、数据、警情。</w:t>
      </w:r>
    </w:p>
    <w:p w14:paraId="694BD4EE">
      <w:pPr>
        <w:spacing w:line="360" w:lineRule="auto"/>
        <w:ind w:left="420" w:firstLine="420" w:firstLineChars="200"/>
      </w:pPr>
      <w:r>
        <w:rPr>
          <w:rFonts w:hint="eastAsia"/>
        </w:rPr>
        <w:t>3.10</w:t>
      </w:r>
      <w:r>
        <w:t>具备弹图像、声光报警、语音、短信、APP推送等多种告警提示。</w:t>
      </w:r>
    </w:p>
    <w:p w14:paraId="384C0D71">
      <w:pPr>
        <w:spacing w:line="240" w:lineRule="auto"/>
        <w:ind w:left="420" w:firstLine="420" w:firstLineChars="200"/>
        <w:rPr>
          <w:b/>
          <w:bCs/>
        </w:rPr>
      </w:pPr>
      <w:r>
        <w:rPr>
          <w:rFonts w:hint="eastAsia"/>
        </w:rPr>
        <w:t>3.11</w:t>
      </w:r>
      <w:r>
        <w:t>具备统计亮灯率、设备数量、开灯时长，并通过图形进行展示。</w:t>
      </w:r>
    </w:p>
    <w:p w14:paraId="591B1782">
      <w:pPr>
        <w:pStyle w:val="3"/>
        <w:tabs>
          <w:tab w:val="left" w:pos="-420"/>
        </w:tabs>
        <w:spacing w:before="240" w:after="240" w:line="240" w:lineRule="auto"/>
        <w:ind w:left="631" w:hanging="211"/>
        <w:rPr>
          <w:rFonts w:hint="eastAsia" w:ascii="宋体" w:hAnsi="宋体" w:eastAsia="宋体" w:cs="宋体"/>
          <w:sz w:val="21"/>
          <w:szCs w:val="21"/>
        </w:rPr>
      </w:pPr>
      <w:r>
        <w:rPr>
          <w:rFonts w:hint="eastAsia" w:ascii="宋体" w:hAnsi="宋体" w:eastAsia="宋体" w:cs="宋体"/>
          <w:sz w:val="21"/>
          <w:szCs w:val="21"/>
        </w:rPr>
        <w:t>（三）技术标准</w:t>
      </w:r>
    </w:p>
    <w:p w14:paraId="7553D327">
      <w:pPr>
        <w:pStyle w:val="59"/>
        <w:ind w:left="420" w:firstLine="422" w:firstLineChars="200"/>
        <w:rPr>
          <w:rFonts w:ascii="宋体" w:hAnsi="宋体" w:cs="宋体"/>
          <w:b/>
          <w:bCs/>
          <w:kern w:val="0"/>
          <w:szCs w:val="21"/>
        </w:rPr>
      </w:pPr>
      <w:bookmarkStart w:id="22" w:name="_Toc22107"/>
      <w:bookmarkStart w:id="23" w:name="_Toc9973"/>
      <w:r>
        <w:rPr>
          <w:rFonts w:hint="eastAsia" w:ascii="宋体" w:hAnsi="宋体" w:cs="宋体"/>
          <w:b/>
          <w:bCs/>
          <w:kern w:val="0"/>
          <w:szCs w:val="21"/>
        </w:rPr>
        <w:t>1、规范与标准</w:t>
      </w:r>
    </w:p>
    <w:p w14:paraId="3E94E1E2">
      <w:pPr>
        <w:spacing w:line="360" w:lineRule="auto"/>
        <w:ind w:left="420" w:firstLine="420" w:firstLineChars="200"/>
        <w:rPr>
          <w:highlight w:val="none"/>
        </w:rPr>
      </w:pPr>
      <w:r>
        <w:rPr>
          <w:rFonts w:hint="eastAsia"/>
          <w:highlight w:val="none"/>
        </w:rPr>
        <w:t>1.1道路照明指标在合同期内必须满足《城市道路照明设计标准》（CJJ45-2015）、《公路隧道照明设计细则》。</w:t>
      </w:r>
    </w:p>
    <w:p w14:paraId="6E334344">
      <w:pPr>
        <w:spacing w:line="360" w:lineRule="auto"/>
        <w:ind w:left="420" w:firstLine="420" w:firstLineChars="200"/>
        <w:rPr>
          <w:rFonts w:hint="eastAsia"/>
          <w:highlight w:val="none"/>
        </w:rPr>
      </w:pPr>
      <w:r>
        <w:rPr>
          <w:rFonts w:hint="eastAsia"/>
          <w:highlight w:val="none"/>
        </w:rPr>
        <w:t>1.2路灯安装型式选择LED路灯灯具仰角宜采用可调式，应与原灯具安装方式相匹配。</w:t>
      </w:r>
    </w:p>
    <w:p w14:paraId="59578BD6">
      <w:pPr>
        <w:spacing w:line="360" w:lineRule="auto"/>
        <w:ind w:left="420" w:firstLine="420" w:firstLineChars="200"/>
        <w:rPr>
          <w:rFonts w:hint="eastAsia"/>
          <w:highlight w:val="none"/>
        </w:rPr>
      </w:pPr>
      <w:bookmarkStart w:id="24" w:name="_Toc24393"/>
      <w:bookmarkStart w:id="25" w:name="_Toc23200"/>
      <w:r>
        <w:rPr>
          <w:rFonts w:hint="eastAsia"/>
          <w:highlight w:val="none"/>
        </w:rPr>
        <w:t>1.3所投灯具具有中国质量认证中心颁发的CQC产品认证证书。</w:t>
      </w:r>
    </w:p>
    <w:p w14:paraId="07BD4796">
      <w:pPr>
        <w:spacing w:line="360" w:lineRule="auto"/>
        <w:ind w:left="420" w:firstLine="420" w:firstLineChars="200"/>
        <w:rPr>
          <w:rFonts w:hint="eastAsia"/>
          <w:highlight w:val="none"/>
        </w:rPr>
      </w:pPr>
      <w:r>
        <w:rPr>
          <w:rFonts w:hint="eastAsia"/>
          <w:highlight w:val="none"/>
        </w:rPr>
        <w:t>1.4所投单灯通信设备具有中国质量认证中心颁发的CQC产品认证证书。</w:t>
      </w:r>
    </w:p>
    <w:p w14:paraId="4FB37280">
      <w:pPr>
        <w:spacing w:line="360" w:lineRule="auto"/>
        <w:ind w:left="420" w:firstLine="420" w:firstLineChars="200"/>
        <w:rPr>
          <w:rFonts w:hint="eastAsia"/>
          <w:highlight w:val="none"/>
        </w:rPr>
      </w:pPr>
      <w:r>
        <w:rPr>
          <w:rFonts w:hint="eastAsia"/>
          <w:highlight w:val="none"/>
        </w:rPr>
        <w:t>1.5所投集中控制器具有中国质量认证中心颁发的CQC产品认证证书。</w:t>
      </w:r>
    </w:p>
    <w:p w14:paraId="1B0DD90F">
      <w:pPr>
        <w:pStyle w:val="59"/>
        <w:spacing w:line="360" w:lineRule="auto"/>
        <w:ind w:left="420" w:firstLine="422" w:firstLineChars="200"/>
        <w:rPr>
          <w:rFonts w:ascii="宋体" w:hAnsi="宋体" w:cs="宋体"/>
          <w:b/>
          <w:bCs/>
          <w:kern w:val="0"/>
          <w:szCs w:val="21"/>
        </w:rPr>
      </w:pPr>
      <w:r>
        <w:rPr>
          <w:rFonts w:hint="eastAsia" w:ascii="宋体" w:hAnsi="宋体" w:cs="宋体"/>
          <w:b/>
          <w:bCs/>
          <w:kern w:val="0"/>
          <w:szCs w:val="21"/>
        </w:rPr>
        <w:t>2、城市道路照明标准值</w:t>
      </w:r>
      <w:bookmarkEnd w:id="24"/>
      <w:bookmarkEnd w:id="25"/>
    </w:p>
    <w:p w14:paraId="40C01F68">
      <w:pPr>
        <w:spacing w:line="240" w:lineRule="auto"/>
        <w:ind w:left="420" w:firstLine="420" w:firstLineChars="200"/>
      </w:pPr>
      <w:bookmarkStart w:id="26" w:name="_Toc32574"/>
      <w:r>
        <w:rPr>
          <w:rFonts w:hint="eastAsia"/>
        </w:rPr>
        <w:t>照明设计参数要求本项目根据各条道路的使用功能、等级、车道宽度、树木遮光情况等分别确定道路照明方</w:t>
      </w:r>
      <w:r>
        <w:rPr>
          <w:rFonts w:hint="eastAsia"/>
          <w:highlight w:val="none"/>
        </w:rPr>
        <w:t>案</w:t>
      </w:r>
      <w:r>
        <w:rPr>
          <w:rFonts w:hint="eastAsia"/>
          <w:highlight w:val="none"/>
          <w:lang w:eastAsia="zh-CN"/>
        </w:rPr>
        <w:t>；</w:t>
      </w:r>
      <w:r>
        <w:rPr>
          <w:rFonts w:hint="eastAsia"/>
          <w:highlight w:val="none"/>
        </w:rPr>
        <w:t>城市（</w:t>
      </w:r>
      <w:r>
        <w:rPr>
          <w:rFonts w:hint="eastAsia"/>
        </w:rPr>
        <w:t>公路）道路照明值标准详见下表 。</w:t>
      </w:r>
    </w:p>
    <w:p w14:paraId="3392E9DD">
      <w:pPr>
        <w:keepNext/>
        <w:keepLines/>
        <w:spacing w:before="156" w:beforeLines="50" w:after="156" w:afterLines="50" w:line="240" w:lineRule="auto"/>
        <w:ind w:left="420" w:firstLine="422" w:firstLineChars="200"/>
        <w:jc w:val="center"/>
        <w:outlineLvl w:val="3"/>
        <w:rPr>
          <w:rFonts w:ascii="宋体" w:hAnsi="宋体" w:cs="宋体"/>
          <w:b/>
          <w:bCs/>
          <w:szCs w:val="21"/>
        </w:rPr>
      </w:pPr>
      <w:r>
        <w:rPr>
          <w:rFonts w:hint="eastAsia" w:ascii="宋体" w:hAnsi="宋体" w:cs="宋体"/>
          <w:b/>
          <w:bCs/>
          <w:szCs w:val="21"/>
        </w:rPr>
        <w:t>表一、城市道路机动车交通道路的照明标准值</w:t>
      </w:r>
      <w:bookmarkEnd w:id="26"/>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1418"/>
        <w:gridCol w:w="1134"/>
        <w:gridCol w:w="1276"/>
        <w:gridCol w:w="1134"/>
        <w:gridCol w:w="850"/>
        <w:gridCol w:w="1276"/>
        <w:gridCol w:w="850"/>
      </w:tblGrid>
      <w:tr w14:paraId="544F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restart"/>
            <w:vAlign w:val="center"/>
          </w:tcPr>
          <w:p w14:paraId="4AF7BF55">
            <w:pPr>
              <w:spacing w:before="31" w:beforeLines="10" w:after="31" w:afterLines="10" w:line="320" w:lineRule="exact"/>
              <w:jc w:val="both"/>
              <w:rPr>
                <w:rFonts w:ascii="宋体" w:hAnsi="宋体" w:cs="宋体"/>
                <w:b/>
                <w:sz w:val="22"/>
                <w:szCs w:val="22"/>
              </w:rPr>
            </w:pPr>
            <w:r>
              <w:rPr>
                <w:rFonts w:hint="eastAsia" w:ascii="宋体" w:hAnsi="宋体" w:cs="宋体"/>
                <w:b/>
                <w:sz w:val="22"/>
                <w:szCs w:val="22"/>
              </w:rPr>
              <w:t>级别</w:t>
            </w:r>
          </w:p>
        </w:tc>
        <w:tc>
          <w:tcPr>
            <w:tcW w:w="1134" w:type="dxa"/>
            <w:vMerge w:val="restart"/>
            <w:vAlign w:val="center"/>
          </w:tcPr>
          <w:p w14:paraId="7C8FB587">
            <w:pPr>
              <w:spacing w:before="31" w:beforeLines="10" w:after="31" w:afterLines="10" w:line="320" w:lineRule="exact"/>
              <w:jc w:val="both"/>
              <w:rPr>
                <w:rFonts w:ascii="宋体" w:hAnsi="宋体" w:cs="宋体"/>
                <w:b/>
                <w:sz w:val="22"/>
                <w:szCs w:val="22"/>
              </w:rPr>
            </w:pPr>
            <w:r>
              <w:rPr>
                <w:rFonts w:hint="eastAsia" w:ascii="宋体" w:hAnsi="宋体" w:cs="宋体"/>
                <w:b/>
                <w:sz w:val="22"/>
                <w:szCs w:val="22"/>
              </w:rPr>
              <w:t>道路类型</w:t>
            </w:r>
          </w:p>
        </w:tc>
        <w:tc>
          <w:tcPr>
            <w:tcW w:w="3828" w:type="dxa"/>
            <w:gridSpan w:val="3"/>
            <w:vAlign w:val="center"/>
          </w:tcPr>
          <w:p w14:paraId="2507D474">
            <w:pPr>
              <w:spacing w:before="31" w:beforeLines="10" w:after="31" w:afterLines="10" w:line="320" w:lineRule="exact"/>
              <w:ind w:left="641" w:hanging="221"/>
              <w:jc w:val="center"/>
              <w:rPr>
                <w:rFonts w:ascii="宋体" w:hAnsi="宋体" w:cs="宋体"/>
                <w:b/>
                <w:sz w:val="22"/>
                <w:szCs w:val="22"/>
              </w:rPr>
            </w:pPr>
            <w:r>
              <w:rPr>
                <w:rFonts w:hint="eastAsia" w:ascii="宋体" w:hAnsi="宋体" w:cs="宋体"/>
                <w:b/>
                <w:sz w:val="22"/>
                <w:szCs w:val="22"/>
              </w:rPr>
              <w:t>路面亮度</w:t>
            </w:r>
          </w:p>
        </w:tc>
        <w:tc>
          <w:tcPr>
            <w:tcW w:w="1984" w:type="dxa"/>
            <w:gridSpan w:val="2"/>
            <w:vAlign w:val="center"/>
          </w:tcPr>
          <w:p w14:paraId="1671E592">
            <w:pPr>
              <w:spacing w:before="31" w:beforeLines="10" w:after="31" w:afterLines="10" w:line="320" w:lineRule="exact"/>
              <w:ind w:left="641" w:hanging="221"/>
              <w:jc w:val="center"/>
              <w:rPr>
                <w:rFonts w:ascii="宋体" w:hAnsi="宋体" w:cs="宋体"/>
                <w:b/>
                <w:sz w:val="22"/>
                <w:szCs w:val="22"/>
              </w:rPr>
            </w:pPr>
            <w:r>
              <w:rPr>
                <w:rFonts w:hint="eastAsia" w:ascii="宋体" w:hAnsi="宋体" w:cs="宋体"/>
                <w:b/>
                <w:sz w:val="22"/>
                <w:szCs w:val="22"/>
              </w:rPr>
              <w:t>路面照度</w:t>
            </w:r>
          </w:p>
        </w:tc>
        <w:tc>
          <w:tcPr>
            <w:tcW w:w="1276" w:type="dxa"/>
            <w:vMerge w:val="restart"/>
            <w:vAlign w:val="center"/>
          </w:tcPr>
          <w:p w14:paraId="0DEDFC58">
            <w:pPr>
              <w:spacing w:before="31" w:beforeLines="10" w:after="31" w:afterLines="10" w:line="320" w:lineRule="exact"/>
              <w:jc w:val="center"/>
              <w:rPr>
                <w:rFonts w:ascii="宋体" w:hAnsi="宋体" w:cs="宋体"/>
                <w:b/>
                <w:sz w:val="22"/>
                <w:szCs w:val="22"/>
              </w:rPr>
            </w:pPr>
            <w:r>
              <w:rPr>
                <w:rFonts w:hint="eastAsia" w:ascii="宋体" w:hAnsi="宋体" w:cs="宋体"/>
                <w:b/>
                <w:sz w:val="22"/>
                <w:szCs w:val="22"/>
              </w:rPr>
              <w:t>眩光限制</w:t>
            </w:r>
          </w:p>
          <w:p w14:paraId="11D4465F">
            <w:pPr>
              <w:spacing w:before="31" w:beforeLines="10" w:after="31" w:afterLines="10" w:line="320" w:lineRule="exact"/>
              <w:jc w:val="center"/>
              <w:rPr>
                <w:rFonts w:ascii="宋体" w:hAnsi="宋体" w:cs="宋体"/>
                <w:sz w:val="22"/>
                <w:szCs w:val="22"/>
              </w:rPr>
            </w:pPr>
            <w:r>
              <w:rPr>
                <w:rFonts w:hint="eastAsia" w:ascii="宋体" w:hAnsi="宋体" w:cs="宋体"/>
                <w:sz w:val="22"/>
                <w:szCs w:val="22"/>
              </w:rPr>
              <w:t>TI（%）</w:t>
            </w:r>
          </w:p>
          <w:p w14:paraId="094D25AB">
            <w:pPr>
              <w:spacing w:before="31" w:beforeLines="10" w:after="31" w:afterLines="10" w:line="320" w:lineRule="exact"/>
              <w:jc w:val="center"/>
              <w:rPr>
                <w:rFonts w:ascii="宋体" w:hAnsi="宋体" w:cs="宋体"/>
                <w:sz w:val="22"/>
                <w:szCs w:val="22"/>
              </w:rPr>
            </w:pPr>
            <w:r>
              <w:rPr>
                <w:rFonts w:hint="eastAsia" w:ascii="宋体" w:hAnsi="宋体" w:cs="宋体"/>
                <w:sz w:val="22"/>
                <w:szCs w:val="22"/>
              </w:rPr>
              <w:t>最大初始值</w:t>
            </w:r>
          </w:p>
        </w:tc>
        <w:tc>
          <w:tcPr>
            <w:tcW w:w="850" w:type="dxa"/>
            <w:vMerge w:val="restart"/>
            <w:vAlign w:val="center"/>
          </w:tcPr>
          <w:p w14:paraId="7D21C6BD">
            <w:pPr>
              <w:spacing w:before="31" w:beforeLines="10" w:after="31" w:afterLines="10" w:line="320" w:lineRule="exact"/>
              <w:jc w:val="center"/>
              <w:rPr>
                <w:rFonts w:ascii="宋体" w:hAnsi="宋体" w:cs="宋体"/>
                <w:b/>
                <w:sz w:val="22"/>
                <w:szCs w:val="22"/>
              </w:rPr>
            </w:pPr>
            <w:r>
              <w:rPr>
                <w:rFonts w:hint="eastAsia" w:ascii="宋体" w:hAnsi="宋体" w:cs="宋体"/>
                <w:b/>
                <w:sz w:val="22"/>
                <w:szCs w:val="22"/>
              </w:rPr>
              <w:t>环境比</w:t>
            </w:r>
          </w:p>
          <w:p w14:paraId="23133CF9">
            <w:pPr>
              <w:spacing w:before="31" w:beforeLines="10" w:after="31" w:afterLines="10" w:line="320" w:lineRule="exact"/>
              <w:jc w:val="center"/>
              <w:rPr>
                <w:rFonts w:ascii="宋体" w:hAnsi="宋体" w:cs="宋体"/>
                <w:sz w:val="22"/>
                <w:szCs w:val="22"/>
              </w:rPr>
            </w:pPr>
            <w:r>
              <w:rPr>
                <w:rFonts w:hint="eastAsia" w:ascii="宋体" w:hAnsi="宋体" w:cs="宋体"/>
                <w:sz w:val="22"/>
                <w:szCs w:val="22"/>
              </w:rPr>
              <w:t>S最小值</w:t>
            </w:r>
          </w:p>
        </w:tc>
      </w:tr>
      <w:tr w14:paraId="7E27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jc w:val="center"/>
        </w:trPr>
        <w:tc>
          <w:tcPr>
            <w:tcW w:w="675" w:type="dxa"/>
            <w:vMerge w:val="continue"/>
            <w:vAlign w:val="center"/>
          </w:tcPr>
          <w:p w14:paraId="051834FA">
            <w:pPr>
              <w:spacing w:before="31" w:beforeLines="10" w:after="31" w:afterLines="10" w:line="320" w:lineRule="exact"/>
              <w:ind w:left="640" w:hanging="220"/>
              <w:jc w:val="center"/>
              <w:rPr>
                <w:rFonts w:ascii="宋体" w:hAnsi="宋体" w:cs="宋体"/>
                <w:sz w:val="22"/>
                <w:szCs w:val="22"/>
              </w:rPr>
            </w:pPr>
          </w:p>
        </w:tc>
        <w:tc>
          <w:tcPr>
            <w:tcW w:w="1134" w:type="dxa"/>
            <w:vMerge w:val="continue"/>
            <w:vAlign w:val="center"/>
          </w:tcPr>
          <w:p w14:paraId="5878ECFB">
            <w:pPr>
              <w:spacing w:before="31" w:beforeLines="10" w:after="31" w:afterLines="10" w:line="320" w:lineRule="exact"/>
              <w:ind w:left="640" w:hanging="220"/>
              <w:jc w:val="center"/>
              <w:rPr>
                <w:rFonts w:ascii="宋体" w:hAnsi="宋体" w:cs="宋体"/>
                <w:sz w:val="22"/>
                <w:szCs w:val="22"/>
              </w:rPr>
            </w:pPr>
          </w:p>
        </w:tc>
        <w:tc>
          <w:tcPr>
            <w:tcW w:w="1418" w:type="dxa"/>
            <w:vAlign w:val="center"/>
          </w:tcPr>
          <w:p w14:paraId="3B788B64">
            <w:pPr>
              <w:spacing w:before="31" w:beforeLines="10" w:after="31" w:afterLines="10" w:line="320" w:lineRule="exact"/>
              <w:jc w:val="center"/>
              <w:rPr>
                <w:rFonts w:ascii="宋体" w:hAnsi="宋体" w:cs="宋体"/>
                <w:b/>
                <w:sz w:val="22"/>
                <w:szCs w:val="22"/>
              </w:rPr>
            </w:pPr>
            <w:r>
              <w:rPr>
                <w:rFonts w:hint="eastAsia" w:ascii="宋体" w:hAnsi="宋体" w:cs="宋体"/>
                <w:b/>
                <w:sz w:val="22"/>
                <w:szCs w:val="22"/>
              </w:rPr>
              <w:t>平均亮度</w:t>
            </w:r>
          </w:p>
          <w:p w14:paraId="3FF884D3">
            <w:pPr>
              <w:spacing w:before="31" w:beforeLines="10" w:after="31" w:afterLines="10" w:line="320" w:lineRule="exact"/>
              <w:jc w:val="center"/>
              <w:rPr>
                <w:rFonts w:ascii="宋体" w:hAnsi="宋体" w:cs="宋体"/>
                <w:sz w:val="22"/>
                <w:szCs w:val="22"/>
              </w:rPr>
            </w:pPr>
            <w:r>
              <w:rPr>
                <w:rFonts w:hint="eastAsia" w:ascii="宋体" w:hAnsi="宋体" w:cs="宋体"/>
                <w:sz w:val="22"/>
                <w:szCs w:val="22"/>
              </w:rPr>
              <w:t>Lav（cd/m</w:t>
            </w:r>
            <w:r>
              <w:rPr>
                <w:rFonts w:hint="eastAsia" w:ascii="宋体" w:hAnsi="宋体" w:cs="宋体"/>
                <w:sz w:val="22"/>
                <w:szCs w:val="22"/>
                <w:vertAlign w:val="superscript"/>
              </w:rPr>
              <w:t>2</w:t>
            </w:r>
            <w:r>
              <w:rPr>
                <w:rFonts w:hint="eastAsia" w:ascii="宋体" w:hAnsi="宋体" w:cs="宋体"/>
                <w:sz w:val="22"/>
                <w:szCs w:val="22"/>
              </w:rPr>
              <w:t>）</w:t>
            </w:r>
          </w:p>
          <w:p w14:paraId="29081D55">
            <w:pPr>
              <w:spacing w:before="31" w:beforeLines="10" w:after="31" w:afterLines="10" w:line="320" w:lineRule="exact"/>
              <w:jc w:val="center"/>
              <w:rPr>
                <w:rFonts w:ascii="宋体" w:hAnsi="宋体" w:cs="宋体"/>
                <w:sz w:val="22"/>
                <w:szCs w:val="22"/>
              </w:rPr>
            </w:pPr>
            <w:r>
              <w:rPr>
                <w:rFonts w:hint="eastAsia" w:ascii="宋体" w:hAnsi="宋体" w:cs="宋体"/>
                <w:sz w:val="22"/>
                <w:szCs w:val="22"/>
              </w:rPr>
              <w:t>维持值</w:t>
            </w:r>
          </w:p>
        </w:tc>
        <w:tc>
          <w:tcPr>
            <w:tcW w:w="1134" w:type="dxa"/>
            <w:vAlign w:val="center"/>
          </w:tcPr>
          <w:p w14:paraId="66AB9C55">
            <w:pPr>
              <w:spacing w:before="31" w:beforeLines="10" w:after="31" w:afterLines="10" w:line="320" w:lineRule="exact"/>
              <w:jc w:val="center"/>
              <w:rPr>
                <w:rFonts w:hint="eastAsia" w:ascii="宋体" w:hAnsi="宋体" w:cs="宋体"/>
                <w:sz w:val="22"/>
                <w:szCs w:val="22"/>
              </w:rPr>
            </w:pPr>
            <w:r>
              <w:rPr>
                <w:rFonts w:hint="eastAsia" w:ascii="宋体" w:hAnsi="宋体" w:cs="宋体"/>
                <w:b/>
                <w:sz w:val="22"/>
                <w:szCs w:val="22"/>
              </w:rPr>
              <w:t>总均匀度</w:t>
            </w:r>
            <w:r>
              <w:rPr>
                <w:rFonts w:hint="eastAsia" w:ascii="宋体" w:hAnsi="宋体" w:cs="宋体"/>
                <w:sz w:val="22"/>
                <w:szCs w:val="22"/>
              </w:rPr>
              <w:t>Uo</w:t>
            </w:r>
          </w:p>
          <w:p w14:paraId="453B4F79">
            <w:pPr>
              <w:spacing w:before="31" w:beforeLines="10" w:after="31" w:afterLines="10" w:line="320" w:lineRule="exact"/>
              <w:jc w:val="center"/>
              <w:rPr>
                <w:rFonts w:ascii="宋体" w:hAnsi="宋体" w:cs="宋体"/>
                <w:sz w:val="22"/>
                <w:szCs w:val="22"/>
              </w:rPr>
            </w:pPr>
            <w:r>
              <w:rPr>
                <w:rFonts w:hint="eastAsia" w:ascii="宋体" w:hAnsi="宋体" w:cs="宋体"/>
                <w:sz w:val="22"/>
                <w:szCs w:val="22"/>
              </w:rPr>
              <w:t>最小值</w:t>
            </w:r>
          </w:p>
        </w:tc>
        <w:tc>
          <w:tcPr>
            <w:tcW w:w="1276" w:type="dxa"/>
            <w:vAlign w:val="center"/>
          </w:tcPr>
          <w:p w14:paraId="5FCDC5B0">
            <w:pPr>
              <w:spacing w:before="31" w:beforeLines="10" w:after="31" w:afterLines="10" w:line="320" w:lineRule="exact"/>
              <w:jc w:val="center"/>
              <w:rPr>
                <w:rFonts w:hint="eastAsia" w:ascii="宋体" w:hAnsi="宋体" w:cs="宋体"/>
                <w:b/>
                <w:sz w:val="22"/>
                <w:szCs w:val="22"/>
              </w:rPr>
            </w:pPr>
            <w:r>
              <w:rPr>
                <w:rFonts w:hint="eastAsia" w:ascii="宋体" w:hAnsi="宋体" w:cs="宋体"/>
                <w:b/>
                <w:sz w:val="22"/>
                <w:szCs w:val="22"/>
              </w:rPr>
              <w:t>纵向均匀度</w:t>
            </w:r>
          </w:p>
          <w:p w14:paraId="3613934C">
            <w:pPr>
              <w:spacing w:before="31" w:beforeLines="10" w:after="31" w:afterLines="10" w:line="320" w:lineRule="exact"/>
              <w:jc w:val="center"/>
              <w:rPr>
                <w:rFonts w:ascii="宋体" w:hAnsi="宋体" w:cs="宋体"/>
                <w:sz w:val="22"/>
                <w:szCs w:val="22"/>
              </w:rPr>
            </w:pPr>
            <w:r>
              <w:rPr>
                <w:rFonts w:hint="eastAsia" w:ascii="宋体" w:hAnsi="宋体" w:cs="宋体"/>
                <w:sz w:val="22"/>
                <w:szCs w:val="22"/>
              </w:rPr>
              <w:t>U</w:t>
            </w:r>
            <w:r>
              <w:rPr>
                <w:rFonts w:hint="eastAsia" w:ascii="宋体" w:hAnsi="宋体" w:cs="宋体"/>
                <w:sz w:val="22"/>
                <w:szCs w:val="22"/>
                <w:vertAlign w:val="subscript"/>
              </w:rPr>
              <w:t>L</w:t>
            </w:r>
            <w:r>
              <w:rPr>
                <w:rFonts w:hint="eastAsia" w:ascii="宋体" w:hAnsi="宋体" w:cs="宋体"/>
                <w:sz w:val="22"/>
                <w:szCs w:val="22"/>
              </w:rPr>
              <w:t>最小值</w:t>
            </w:r>
          </w:p>
        </w:tc>
        <w:tc>
          <w:tcPr>
            <w:tcW w:w="1134" w:type="dxa"/>
            <w:vAlign w:val="center"/>
          </w:tcPr>
          <w:p w14:paraId="6B0F6B76">
            <w:pPr>
              <w:spacing w:before="31" w:beforeLines="10" w:after="31" w:afterLines="10" w:line="320" w:lineRule="exact"/>
              <w:ind w:left="641" w:hanging="221"/>
              <w:jc w:val="center"/>
              <w:rPr>
                <w:rFonts w:hint="eastAsia" w:ascii="宋体" w:hAnsi="宋体" w:cs="宋体"/>
                <w:b/>
                <w:sz w:val="22"/>
                <w:szCs w:val="22"/>
              </w:rPr>
            </w:pPr>
          </w:p>
          <w:p w14:paraId="745465E3">
            <w:pPr>
              <w:spacing w:before="31" w:beforeLines="10" w:after="31" w:afterLines="10" w:line="320" w:lineRule="exact"/>
              <w:jc w:val="center"/>
              <w:rPr>
                <w:rFonts w:ascii="宋体" w:hAnsi="宋体" w:cs="宋体"/>
                <w:b/>
                <w:sz w:val="22"/>
                <w:szCs w:val="22"/>
              </w:rPr>
            </w:pPr>
            <w:r>
              <w:rPr>
                <w:rFonts w:hint="eastAsia" w:ascii="宋体" w:hAnsi="宋体" w:cs="宋体"/>
                <w:b/>
                <w:sz w:val="22"/>
                <w:szCs w:val="22"/>
              </w:rPr>
              <w:t>平均照度</w:t>
            </w:r>
          </w:p>
          <w:p w14:paraId="66631CE3">
            <w:pPr>
              <w:spacing w:before="31" w:beforeLines="10" w:after="31" w:afterLines="10" w:line="320" w:lineRule="exact"/>
              <w:jc w:val="center"/>
              <w:rPr>
                <w:rFonts w:ascii="宋体" w:hAnsi="宋体" w:cs="宋体"/>
                <w:sz w:val="22"/>
                <w:szCs w:val="22"/>
              </w:rPr>
            </w:pPr>
            <w:r>
              <w:rPr>
                <w:rFonts w:hint="eastAsia" w:ascii="宋体" w:hAnsi="宋体" w:cs="宋体"/>
                <w:sz w:val="22"/>
                <w:szCs w:val="22"/>
              </w:rPr>
              <w:t>Eav（lx）</w:t>
            </w:r>
          </w:p>
          <w:p w14:paraId="44B1113E">
            <w:pPr>
              <w:spacing w:before="31" w:beforeLines="10" w:after="31" w:afterLines="10" w:line="320" w:lineRule="exact"/>
              <w:jc w:val="center"/>
              <w:rPr>
                <w:rFonts w:ascii="宋体" w:hAnsi="宋体" w:cs="宋体"/>
                <w:sz w:val="22"/>
                <w:szCs w:val="22"/>
              </w:rPr>
            </w:pPr>
            <w:r>
              <w:rPr>
                <w:rFonts w:hint="eastAsia" w:ascii="宋体" w:hAnsi="宋体" w:cs="宋体"/>
                <w:sz w:val="22"/>
                <w:szCs w:val="22"/>
              </w:rPr>
              <w:t>维持值</w:t>
            </w:r>
          </w:p>
        </w:tc>
        <w:tc>
          <w:tcPr>
            <w:tcW w:w="850" w:type="dxa"/>
            <w:vAlign w:val="center"/>
          </w:tcPr>
          <w:p w14:paraId="7B4AEE02">
            <w:pPr>
              <w:spacing w:before="31" w:beforeLines="10" w:after="31" w:afterLines="10" w:line="320" w:lineRule="exact"/>
              <w:jc w:val="center"/>
              <w:rPr>
                <w:rFonts w:ascii="宋体" w:hAnsi="宋体" w:cs="宋体"/>
                <w:b/>
                <w:sz w:val="22"/>
                <w:szCs w:val="22"/>
              </w:rPr>
            </w:pPr>
            <w:r>
              <w:rPr>
                <w:rFonts w:hint="eastAsia" w:ascii="宋体" w:hAnsi="宋体" w:cs="宋体"/>
                <w:b/>
                <w:sz w:val="22"/>
                <w:szCs w:val="22"/>
              </w:rPr>
              <w:t>均匀度</w:t>
            </w:r>
          </w:p>
          <w:p w14:paraId="03648F05">
            <w:pPr>
              <w:spacing w:before="31" w:beforeLines="10" w:after="31" w:afterLines="10" w:line="320" w:lineRule="exact"/>
              <w:jc w:val="center"/>
              <w:rPr>
                <w:rFonts w:ascii="宋体" w:hAnsi="宋体" w:cs="宋体"/>
                <w:sz w:val="22"/>
                <w:szCs w:val="22"/>
              </w:rPr>
            </w:pPr>
            <w:r>
              <w:rPr>
                <w:rFonts w:hint="eastAsia" w:ascii="宋体" w:hAnsi="宋体" w:cs="宋体"/>
                <w:sz w:val="22"/>
                <w:szCs w:val="22"/>
              </w:rPr>
              <w:t>U</w:t>
            </w:r>
            <w:r>
              <w:rPr>
                <w:rFonts w:hint="eastAsia" w:ascii="宋体" w:hAnsi="宋体" w:cs="宋体"/>
                <w:sz w:val="22"/>
                <w:szCs w:val="22"/>
                <w:vertAlign w:val="subscript"/>
              </w:rPr>
              <w:t>E</w:t>
            </w:r>
            <w:r>
              <w:rPr>
                <w:rFonts w:hint="eastAsia" w:ascii="宋体" w:hAnsi="宋体" w:cs="宋体"/>
                <w:sz w:val="22"/>
                <w:szCs w:val="22"/>
              </w:rPr>
              <w:t>最小值</w:t>
            </w:r>
          </w:p>
        </w:tc>
        <w:tc>
          <w:tcPr>
            <w:tcW w:w="1276" w:type="dxa"/>
            <w:vMerge w:val="continue"/>
            <w:vAlign w:val="center"/>
          </w:tcPr>
          <w:p w14:paraId="1700D51F">
            <w:pPr>
              <w:spacing w:before="31" w:beforeLines="10" w:after="31" w:afterLines="10" w:line="320" w:lineRule="exact"/>
              <w:ind w:left="640" w:hanging="220"/>
              <w:jc w:val="left"/>
              <w:rPr>
                <w:rFonts w:ascii="宋体" w:hAnsi="宋体" w:cs="宋体"/>
                <w:sz w:val="22"/>
                <w:szCs w:val="22"/>
              </w:rPr>
            </w:pPr>
          </w:p>
        </w:tc>
        <w:tc>
          <w:tcPr>
            <w:tcW w:w="850" w:type="dxa"/>
            <w:vMerge w:val="continue"/>
            <w:vAlign w:val="center"/>
          </w:tcPr>
          <w:p w14:paraId="3577CE3C">
            <w:pPr>
              <w:spacing w:before="31" w:beforeLines="10" w:after="31" w:afterLines="10" w:line="320" w:lineRule="exact"/>
              <w:ind w:left="640" w:hanging="220"/>
              <w:jc w:val="left"/>
              <w:rPr>
                <w:rFonts w:ascii="宋体" w:hAnsi="宋体" w:cs="宋体"/>
                <w:sz w:val="22"/>
                <w:szCs w:val="22"/>
              </w:rPr>
            </w:pPr>
          </w:p>
        </w:tc>
      </w:tr>
      <w:tr w14:paraId="3A832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675" w:type="dxa"/>
            <w:vAlign w:val="center"/>
          </w:tcPr>
          <w:p w14:paraId="091BEECA">
            <w:pPr>
              <w:spacing w:line="360" w:lineRule="auto"/>
            </w:pPr>
            <w:r>
              <w:rPr>
                <w:rFonts w:hint="eastAsia"/>
              </w:rPr>
              <w:t>Ⅰ</w:t>
            </w:r>
          </w:p>
        </w:tc>
        <w:tc>
          <w:tcPr>
            <w:tcW w:w="1134" w:type="dxa"/>
            <w:vAlign w:val="center"/>
          </w:tcPr>
          <w:p w14:paraId="42681F76">
            <w:pPr>
              <w:spacing w:line="360" w:lineRule="auto"/>
              <w:jc w:val="center"/>
            </w:pPr>
            <w:r>
              <w:rPr>
                <w:rFonts w:hint="eastAsia"/>
              </w:rPr>
              <w:t>快速路、主干路</w:t>
            </w:r>
          </w:p>
        </w:tc>
        <w:tc>
          <w:tcPr>
            <w:tcW w:w="1418" w:type="dxa"/>
            <w:vAlign w:val="center"/>
          </w:tcPr>
          <w:p w14:paraId="6D51F9A5">
            <w:pPr>
              <w:spacing w:line="360" w:lineRule="auto"/>
              <w:jc w:val="center"/>
            </w:pPr>
            <w:r>
              <w:rPr>
                <w:rFonts w:hint="eastAsia"/>
              </w:rPr>
              <w:t>1.5/2.0</w:t>
            </w:r>
          </w:p>
        </w:tc>
        <w:tc>
          <w:tcPr>
            <w:tcW w:w="1134" w:type="dxa"/>
            <w:vAlign w:val="center"/>
          </w:tcPr>
          <w:p w14:paraId="38F738F9">
            <w:pPr>
              <w:spacing w:line="360" w:lineRule="auto"/>
              <w:jc w:val="center"/>
            </w:pPr>
            <w:r>
              <w:rPr>
                <w:rFonts w:hint="eastAsia"/>
              </w:rPr>
              <w:t>0.4</w:t>
            </w:r>
          </w:p>
        </w:tc>
        <w:tc>
          <w:tcPr>
            <w:tcW w:w="1276" w:type="dxa"/>
            <w:vAlign w:val="center"/>
          </w:tcPr>
          <w:p w14:paraId="60CF942E">
            <w:pPr>
              <w:spacing w:line="360" w:lineRule="auto"/>
              <w:jc w:val="center"/>
            </w:pPr>
            <w:r>
              <w:rPr>
                <w:rFonts w:hint="eastAsia"/>
              </w:rPr>
              <w:t>0.7</w:t>
            </w:r>
          </w:p>
        </w:tc>
        <w:tc>
          <w:tcPr>
            <w:tcW w:w="1134" w:type="dxa"/>
            <w:vAlign w:val="center"/>
          </w:tcPr>
          <w:p w14:paraId="0734F359">
            <w:pPr>
              <w:spacing w:line="360" w:lineRule="auto"/>
              <w:jc w:val="center"/>
            </w:pPr>
            <w:r>
              <w:rPr>
                <w:rFonts w:hint="eastAsia"/>
              </w:rPr>
              <w:t>20/30</w:t>
            </w:r>
          </w:p>
        </w:tc>
        <w:tc>
          <w:tcPr>
            <w:tcW w:w="850" w:type="dxa"/>
            <w:vAlign w:val="center"/>
          </w:tcPr>
          <w:p w14:paraId="7EC0560B">
            <w:pPr>
              <w:spacing w:line="360" w:lineRule="auto"/>
              <w:jc w:val="center"/>
            </w:pPr>
            <w:r>
              <w:rPr>
                <w:rFonts w:hint="eastAsia"/>
              </w:rPr>
              <w:t>0.4</w:t>
            </w:r>
          </w:p>
        </w:tc>
        <w:tc>
          <w:tcPr>
            <w:tcW w:w="1276" w:type="dxa"/>
            <w:vAlign w:val="center"/>
          </w:tcPr>
          <w:p w14:paraId="5D60DBA5">
            <w:pPr>
              <w:spacing w:line="360" w:lineRule="auto"/>
              <w:ind w:firstLine="420" w:firstLineChars="200"/>
              <w:jc w:val="both"/>
            </w:pPr>
            <w:r>
              <w:rPr>
                <w:rFonts w:hint="eastAsia"/>
              </w:rPr>
              <w:t>10</w:t>
            </w:r>
          </w:p>
        </w:tc>
        <w:tc>
          <w:tcPr>
            <w:tcW w:w="850" w:type="dxa"/>
            <w:vAlign w:val="center"/>
          </w:tcPr>
          <w:p w14:paraId="547BD19D">
            <w:pPr>
              <w:spacing w:line="360" w:lineRule="auto"/>
              <w:jc w:val="center"/>
            </w:pPr>
            <w:r>
              <w:rPr>
                <w:rFonts w:hint="eastAsia"/>
              </w:rPr>
              <w:t>0.5</w:t>
            </w:r>
          </w:p>
        </w:tc>
      </w:tr>
      <w:tr w14:paraId="390A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2E491CEF">
            <w:pPr>
              <w:spacing w:line="360" w:lineRule="auto"/>
            </w:pPr>
            <w:r>
              <w:rPr>
                <w:rFonts w:hint="eastAsia"/>
              </w:rPr>
              <w:t>Ⅱ</w:t>
            </w:r>
          </w:p>
        </w:tc>
        <w:tc>
          <w:tcPr>
            <w:tcW w:w="1134" w:type="dxa"/>
            <w:vAlign w:val="center"/>
          </w:tcPr>
          <w:p w14:paraId="1FF62AF6">
            <w:pPr>
              <w:spacing w:line="360" w:lineRule="auto"/>
              <w:jc w:val="center"/>
            </w:pPr>
            <w:r>
              <w:rPr>
                <w:rFonts w:hint="eastAsia"/>
              </w:rPr>
              <w:t>次干路</w:t>
            </w:r>
          </w:p>
        </w:tc>
        <w:tc>
          <w:tcPr>
            <w:tcW w:w="1418" w:type="dxa"/>
            <w:vAlign w:val="center"/>
          </w:tcPr>
          <w:p w14:paraId="5A4998FF">
            <w:pPr>
              <w:spacing w:line="360" w:lineRule="auto"/>
              <w:jc w:val="center"/>
            </w:pPr>
            <w:r>
              <w:rPr>
                <w:rFonts w:hint="eastAsia"/>
              </w:rPr>
              <w:t>1.0/1.5</w:t>
            </w:r>
          </w:p>
        </w:tc>
        <w:tc>
          <w:tcPr>
            <w:tcW w:w="1134" w:type="dxa"/>
            <w:vAlign w:val="center"/>
          </w:tcPr>
          <w:p w14:paraId="6E2788DE">
            <w:pPr>
              <w:spacing w:line="360" w:lineRule="auto"/>
              <w:jc w:val="center"/>
            </w:pPr>
            <w:r>
              <w:rPr>
                <w:rFonts w:hint="eastAsia"/>
              </w:rPr>
              <w:t>0.4</w:t>
            </w:r>
          </w:p>
        </w:tc>
        <w:tc>
          <w:tcPr>
            <w:tcW w:w="1276" w:type="dxa"/>
            <w:vAlign w:val="center"/>
          </w:tcPr>
          <w:p w14:paraId="4511D303">
            <w:pPr>
              <w:spacing w:line="360" w:lineRule="auto"/>
              <w:jc w:val="center"/>
            </w:pPr>
            <w:r>
              <w:rPr>
                <w:rFonts w:hint="eastAsia"/>
              </w:rPr>
              <w:t>0.5</w:t>
            </w:r>
          </w:p>
        </w:tc>
        <w:tc>
          <w:tcPr>
            <w:tcW w:w="1134" w:type="dxa"/>
            <w:vAlign w:val="center"/>
          </w:tcPr>
          <w:p w14:paraId="5129E676">
            <w:pPr>
              <w:spacing w:line="360" w:lineRule="auto"/>
              <w:jc w:val="center"/>
            </w:pPr>
            <w:r>
              <w:rPr>
                <w:rFonts w:hint="eastAsia"/>
              </w:rPr>
              <w:t>15/20</w:t>
            </w:r>
          </w:p>
        </w:tc>
        <w:tc>
          <w:tcPr>
            <w:tcW w:w="850" w:type="dxa"/>
            <w:vAlign w:val="center"/>
          </w:tcPr>
          <w:p w14:paraId="36CCAADA">
            <w:pPr>
              <w:spacing w:line="360" w:lineRule="auto"/>
              <w:jc w:val="center"/>
            </w:pPr>
            <w:r>
              <w:rPr>
                <w:rFonts w:hint="eastAsia"/>
              </w:rPr>
              <w:t>0.4</w:t>
            </w:r>
          </w:p>
        </w:tc>
        <w:tc>
          <w:tcPr>
            <w:tcW w:w="1276" w:type="dxa"/>
            <w:vAlign w:val="center"/>
          </w:tcPr>
          <w:p w14:paraId="7B6B5C6D">
            <w:pPr>
              <w:spacing w:line="360" w:lineRule="auto"/>
              <w:ind w:firstLine="420" w:firstLineChars="200"/>
              <w:jc w:val="both"/>
            </w:pPr>
            <w:r>
              <w:rPr>
                <w:rFonts w:hint="eastAsia"/>
              </w:rPr>
              <w:t>10</w:t>
            </w:r>
          </w:p>
        </w:tc>
        <w:tc>
          <w:tcPr>
            <w:tcW w:w="850" w:type="dxa"/>
            <w:vAlign w:val="center"/>
          </w:tcPr>
          <w:p w14:paraId="155AEC2F">
            <w:pPr>
              <w:spacing w:line="360" w:lineRule="auto"/>
              <w:jc w:val="center"/>
            </w:pPr>
            <w:r>
              <w:rPr>
                <w:rFonts w:hint="eastAsia"/>
              </w:rPr>
              <w:t>0.5</w:t>
            </w:r>
          </w:p>
        </w:tc>
      </w:tr>
      <w:tr w14:paraId="0216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290BFA6A">
            <w:pPr>
              <w:spacing w:line="360" w:lineRule="auto"/>
            </w:pPr>
            <w:r>
              <w:rPr>
                <w:rFonts w:hint="eastAsia"/>
              </w:rPr>
              <w:t>Ⅲ</w:t>
            </w:r>
          </w:p>
        </w:tc>
        <w:tc>
          <w:tcPr>
            <w:tcW w:w="1134" w:type="dxa"/>
            <w:vAlign w:val="center"/>
          </w:tcPr>
          <w:p w14:paraId="12EF82B8">
            <w:pPr>
              <w:spacing w:line="360" w:lineRule="auto"/>
              <w:jc w:val="center"/>
            </w:pPr>
            <w:r>
              <w:rPr>
                <w:rFonts w:hint="eastAsia"/>
              </w:rPr>
              <w:t>支路</w:t>
            </w:r>
          </w:p>
        </w:tc>
        <w:tc>
          <w:tcPr>
            <w:tcW w:w="1418" w:type="dxa"/>
            <w:vAlign w:val="center"/>
          </w:tcPr>
          <w:p w14:paraId="53EA8A14">
            <w:pPr>
              <w:spacing w:line="360" w:lineRule="auto"/>
              <w:jc w:val="center"/>
            </w:pPr>
            <w:r>
              <w:rPr>
                <w:rFonts w:hint="eastAsia"/>
              </w:rPr>
              <w:t>0.5/0.75</w:t>
            </w:r>
          </w:p>
        </w:tc>
        <w:tc>
          <w:tcPr>
            <w:tcW w:w="1134" w:type="dxa"/>
            <w:vAlign w:val="center"/>
          </w:tcPr>
          <w:p w14:paraId="47CC1388">
            <w:pPr>
              <w:spacing w:line="360" w:lineRule="auto"/>
              <w:jc w:val="center"/>
            </w:pPr>
            <w:r>
              <w:rPr>
                <w:rFonts w:hint="eastAsia"/>
              </w:rPr>
              <w:t>0.4</w:t>
            </w:r>
          </w:p>
        </w:tc>
        <w:tc>
          <w:tcPr>
            <w:tcW w:w="1276" w:type="dxa"/>
            <w:vAlign w:val="center"/>
          </w:tcPr>
          <w:p w14:paraId="6416EC61">
            <w:pPr>
              <w:spacing w:line="360" w:lineRule="auto"/>
              <w:jc w:val="center"/>
            </w:pPr>
            <w:r>
              <w:rPr>
                <w:rFonts w:hint="eastAsia"/>
              </w:rPr>
              <w:t>——</w:t>
            </w:r>
          </w:p>
        </w:tc>
        <w:tc>
          <w:tcPr>
            <w:tcW w:w="1134" w:type="dxa"/>
            <w:vAlign w:val="center"/>
          </w:tcPr>
          <w:p w14:paraId="342003EB">
            <w:pPr>
              <w:spacing w:line="360" w:lineRule="auto"/>
              <w:jc w:val="center"/>
            </w:pPr>
            <w:r>
              <w:rPr>
                <w:rFonts w:hint="eastAsia"/>
              </w:rPr>
              <w:t>8/10</w:t>
            </w:r>
          </w:p>
        </w:tc>
        <w:tc>
          <w:tcPr>
            <w:tcW w:w="850" w:type="dxa"/>
            <w:vAlign w:val="center"/>
          </w:tcPr>
          <w:p w14:paraId="5B9FD3BF">
            <w:pPr>
              <w:spacing w:line="360" w:lineRule="auto"/>
              <w:jc w:val="center"/>
            </w:pPr>
            <w:r>
              <w:rPr>
                <w:rFonts w:hint="eastAsia"/>
              </w:rPr>
              <w:t>0.3</w:t>
            </w:r>
          </w:p>
        </w:tc>
        <w:tc>
          <w:tcPr>
            <w:tcW w:w="1276" w:type="dxa"/>
            <w:vAlign w:val="center"/>
          </w:tcPr>
          <w:p w14:paraId="602F95F4">
            <w:pPr>
              <w:spacing w:line="360" w:lineRule="auto"/>
              <w:ind w:firstLine="420" w:firstLineChars="200"/>
              <w:jc w:val="both"/>
            </w:pPr>
            <w:r>
              <w:rPr>
                <w:rFonts w:hint="eastAsia"/>
              </w:rPr>
              <w:t>15</w:t>
            </w:r>
          </w:p>
        </w:tc>
        <w:tc>
          <w:tcPr>
            <w:tcW w:w="850" w:type="dxa"/>
            <w:vAlign w:val="center"/>
          </w:tcPr>
          <w:p w14:paraId="7B2BAD00">
            <w:pPr>
              <w:spacing w:line="360" w:lineRule="auto"/>
              <w:jc w:val="center"/>
            </w:pPr>
            <w:r>
              <w:rPr>
                <w:rFonts w:hint="eastAsia"/>
              </w:rPr>
              <w:t>——</w:t>
            </w:r>
          </w:p>
        </w:tc>
      </w:tr>
      <w:bookmarkEnd w:id="22"/>
      <w:bookmarkEnd w:id="23"/>
    </w:tbl>
    <w:p w14:paraId="19EA222B">
      <w:pPr>
        <w:keepNext/>
        <w:keepLines/>
        <w:spacing w:line="360" w:lineRule="auto"/>
        <w:ind w:left="631" w:hanging="211"/>
        <w:outlineLvl w:val="9"/>
        <w:rPr>
          <w:rFonts w:ascii="宋体" w:hAnsi="宋体" w:cs="宋体"/>
          <w:b/>
          <w:bCs/>
          <w:kern w:val="0"/>
          <w:szCs w:val="21"/>
          <w:highlight w:val="none"/>
        </w:rPr>
      </w:pPr>
      <w:bookmarkStart w:id="27" w:name="_Toc11580"/>
      <w:bookmarkStart w:id="28" w:name="_Toc28725"/>
      <w:r>
        <w:rPr>
          <w:rFonts w:hint="eastAsia" w:ascii="宋体" w:hAnsi="宋体" w:cs="宋体"/>
          <w:b/>
          <w:bCs/>
          <w:kern w:val="0"/>
          <w:szCs w:val="21"/>
          <w:highlight w:val="none"/>
        </w:rPr>
        <w:t>注：一级公路、四车道以上参考快速路、主干路道路类型；</w:t>
      </w:r>
    </w:p>
    <w:p w14:paraId="339EE668">
      <w:pPr>
        <w:pStyle w:val="72"/>
        <w:spacing w:line="360" w:lineRule="auto"/>
        <w:ind w:left="623" w:hanging="203"/>
        <w:rPr>
          <w:rFonts w:hAnsi="宋体" w:cs="宋体"/>
          <w:b/>
          <w:bCs/>
          <w:sz w:val="21"/>
          <w:szCs w:val="21"/>
          <w:highlight w:val="none"/>
        </w:rPr>
      </w:pPr>
      <w:r>
        <w:rPr>
          <w:rFonts w:hint="eastAsia" w:hAnsi="宋体" w:cs="宋体"/>
          <w:b/>
          <w:bCs/>
          <w:sz w:val="21"/>
          <w:szCs w:val="21"/>
          <w:highlight w:val="none"/>
        </w:rPr>
        <w:t>二级公路、二车道参考次干路道路类型；</w:t>
      </w:r>
    </w:p>
    <w:p w14:paraId="36B33E45">
      <w:pPr>
        <w:pStyle w:val="72"/>
        <w:spacing w:line="360" w:lineRule="auto"/>
        <w:ind w:left="623" w:hanging="203"/>
        <w:rPr>
          <w:rFonts w:hint="eastAsia" w:hAnsi="宋体" w:cs="宋体"/>
          <w:b/>
          <w:bCs/>
          <w:sz w:val="21"/>
          <w:szCs w:val="21"/>
          <w:highlight w:val="none"/>
        </w:rPr>
      </w:pPr>
      <w:r>
        <w:rPr>
          <w:rFonts w:hint="eastAsia" w:hAnsi="宋体" w:cs="宋体"/>
          <w:b/>
          <w:bCs/>
          <w:sz w:val="21"/>
          <w:szCs w:val="21"/>
          <w:highlight w:val="none"/>
        </w:rPr>
        <w:t>三路及以下参考支路道路类型。</w:t>
      </w:r>
    </w:p>
    <w:p w14:paraId="36D602EA">
      <w:pPr>
        <w:keepNext/>
        <w:keepLines/>
        <w:spacing w:line="240" w:lineRule="auto"/>
        <w:ind w:left="420" w:firstLine="422" w:firstLineChars="200"/>
        <w:jc w:val="center"/>
        <w:outlineLvl w:val="3"/>
        <w:rPr>
          <w:rFonts w:ascii="宋体" w:hAnsi="宋体" w:cs="宋体"/>
          <w:b/>
          <w:bCs/>
          <w:szCs w:val="21"/>
        </w:rPr>
      </w:pPr>
      <w:r>
        <w:rPr>
          <w:rFonts w:hint="eastAsia" w:ascii="宋体" w:hAnsi="宋体" w:cs="宋体"/>
          <w:b/>
          <w:bCs/>
          <w:szCs w:val="21"/>
        </w:rPr>
        <w:t>表二、城市道路交会区照明标准值</w:t>
      </w:r>
      <w:bookmarkEnd w:id="27"/>
      <w:bookmarkEnd w:id="28"/>
    </w:p>
    <w:tbl>
      <w:tblPr>
        <w:tblStyle w:val="6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40"/>
        <w:gridCol w:w="1818"/>
        <w:gridCol w:w="1516"/>
        <w:gridCol w:w="3563"/>
      </w:tblGrid>
      <w:tr w14:paraId="40769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jc w:val="center"/>
        </w:trPr>
        <w:tc>
          <w:tcPr>
            <w:tcW w:w="2540" w:type="dxa"/>
            <w:tcBorders>
              <w:left w:val="single" w:color="auto" w:sz="4" w:space="0"/>
            </w:tcBorders>
            <w:vAlign w:val="center"/>
          </w:tcPr>
          <w:p w14:paraId="484DB20D">
            <w:pPr>
              <w:keepNext/>
              <w:keepLines/>
              <w:spacing w:before="156" w:beforeLines="50" w:after="156" w:afterLines="50" w:line="360" w:lineRule="auto"/>
              <w:ind w:left="631" w:hanging="211"/>
              <w:jc w:val="center"/>
              <w:outlineLvl w:val="3"/>
              <w:rPr>
                <w:rFonts w:ascii="宋体" w:hAnsi="宋体" w:cs="宋体"/>
                <w:b/>
                <w:bCs/>
                <w:szCs w:val="21"/>
              </w:rPr>
            </w:pPr>
            <w:r>
              <w:rPr>
                <w:rFonts w:hint="eastAsia" w:ascii="宋体" w:hAnsi="宋体" w:cs="宋体"/>
                <w:b/>
                <w:bCs/>
                <w:szCs w:val="21"/>
              </w:rPr>
              <w:t>交会区类型</w:t>
            </w:r>
          </w:p>
        </w:tc>
        <w:tc>
          <w:tcPr>
            <w:tcW w:w="1818" w:type="dxa"/>
            <w:vAlign w:val="center"/>
          </w:tcPr>
          <w:p w14:paraId="624BCA7C">
            <w:pPr>
              <w:keepNext/>
              <w:keepLines/>
              <w:spacing w:before="156" w:beforeLines="50" w:after="156" w:afterLines="50" w:line="360" w:lineRule="auto"/>
              <w:jc w:val="both"/>
              <w:outlineLvl w:val="3"/>
              <w:rPr>
                <w:rFonts w:ascii="宋体" w:hAnsi="宋体" w:cs="宋体"/>
                <w:b/>
                <w:bCs/>
                <w:szCs w:val="21"/>
              </w:rPr>
            </w:pPr>
            <w:r>
              <w:rPr>
                <w:rFonts w:hint="eastAsia" w:ascii="宋体" w:hAnsi="宋体" w:cs="宋体"/>
                <w:b/>
                <w:bCs/>
                <w:szCs w:val="21"/>
              </w:rPr>
              <w:t>路面平均照度(lx)维持值</w:t>
            </w:r>
          </w:p>
        </w:tc>
        <w:tc>
          <w:tcPr>
            <w:tcW w:w="1516" w:type="dxa"/>
            <w:vAlign w:val="center"/>
          </w:tcPr>
          <w:p w14:paraId="0E1A8A89">
            <w:pPr>
              <w:keepNext/>
              <w:keepLines/>
              <w:spacing w:before="156" w:beforeLines="50" w:after="156" w:afterLines="50" w:line="360" w:lineRule="auto"/>
              <w:ind w:left="631" w:hanging="211"/>
              <w:jc w:val="center"/>
              <w:outlineLvl w:val="3"/>
              <w:rPr>
                <w:rFonts w:ascii="宋体" w:hAnsi="宋体" w:cs="宋体"/>
                <w:b/>
                <w:bCs/>
                <w:szCs w:val="21"/>
              </w:rPr>
            </w:pPr>
            <w:r>
              <w:rPr>
                <w:rFonts w:hint="eastAsia" w:ascii="宋体" w:hAnsi="宋体" w:cs="宋体"/>
                <w:b/>
                <w:bCs/>
                <w:szCs w:val="21"/>
              </w:rPr>
              <w:t>照度均匀度</w:t>
            </w:r>
          </w:p>
        </w:tc>
        <w:tc>
          <w:tcPr>
            <w:tcW w:w="3563" w:type="dxa"/>
            <w:vAlign w:val="center"/>
          </w:tcPr>
          <w:p w14:paraId="76BE1BB6">
            <w:pPr>
              <w:keepNext/>
              <w:keepLines/>
              <w:spacing w:before="156" w:beforeLines="50" w:after="156" w:afterLines="50" w:line="360" w:lineRule="auto"/>
              <w:ind w:left="631" w:hanging="211"/>
              <w:jc w:val="center"/>
              <w:outlineLvl w:val="3"/>
              <w:rPr>
                <w:rFonts w:ascii="宋体" w:hAnsi="宋体" w:cs="宋体"/>
                <w:b/>
                <w:bCs/>
                <w:szCs w:val="21"/>
              </w:rPr>
            </w:pPr>
            <w:r>
              <w:rPr>
                <w:rFonts w:hint="eastAsia" w:ascii="宋体" w:hAnsi="宋体" w:cs="宋体"/>
                <w:b/>
                <w:bCs/>
                <w:szCs w:val="21"/>
              </w:rPr>
              <w:t>眩光限制</w:t>
            </w:r>
          </w:p>
        </w:tc>
      </w:tr>
      <w:tr w14:paraId="5911C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2540" w:type="dxa"/>
            <w:tcBorders>
              <w:left w:val="single" w:color="auto" w:sz="4" w:space="0"/>
            </w:tcBorders>
            <w:vAlign w:val="center"/>
          </w:tcPr>
          <w:p w14:paraId="1CD2E853">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主干路与主干路交会</w:t>
            </w:r>
          </w:p>
        </w:tc>
        <w:tc>
          <w:tcPr>
            <w:tcW w:w="1818" w:type="dxa"/>
            <w:vMerge w:val="restart"/>
            <w:vAlign w:val="center"/>
          </w:tcPr>
          <w:p w14:paraId="4932EE71">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30/50</w:t>
            </w:r>
          </w:p>
        </w:tc>
        <w:tc>
          <w:tcPr>
            <w:tcW w:w="1516" w:type="dxa"/>
            <w:vMerge w:val="restart"/>
            <w:vAlign w:val="center"/>
          </w:tcPr>
          <w:p w14:paraId="76E4A104">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0.4</w:t>
            </w:r>
          </w:p>
        </w:tc>
        <w:tc>
          <w:tcPr>
            <w:tcW w:w="3563" w:type="dxa"/>
            <w:vMerge w:val="restart"/>
            <w:vAlign w:val="center"/>
          </w:tcPr>
          <w:p w14:paraId="77686C77">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在驾驶员观看灯具的方位角上，灯具在80°和90°高度角方向上的光强分别不得超过30cd/1000lm 和10cd/1000lm</w:t>
            </w:r>
          </w:p>
        </w:tc>
      </w:tr>
      <w:tr w14:paraId="716DC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2540" w:type="dxa"/>
            <w:tcBorders>
              <w:left w:val="single" w:color="auto" w:sz="4" w:space="0"/>
            </w:tcBorders>
            <w:vAlign w:val="center"/>
          </w:tcPr>
          <w:p w14:paraId="4B04D1A1">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主干路与次干路交会</w:t>
            </w:r>
          </w:p>
        </w:tc>
        <w:tc>
          <w:tcPr>
            <w:tcW w:w="1818" w:type="dxa"/>
            <w:vMerge w:val="continue"/>
            <w:vAlign w:val="center"/>
          </w:tcPr>
          <w:p w14:paraId="6827869F">
            <w:pPr>
              <w:keepNext/>
              <w:keepLines/>
              <w:spacing w:before="156" w:beforeLines="50" w:after="156" w:afterLines="50" w:line="360" w:lineRule="auto"/>
              <w:outlineLvl w:val="3"/>
              <w:rPr>
                <w:rFonts w:ascii="宋体" w:hAnsi="宋体" w:cs="宋体"/>
                <w:szCs w:val="21"/>
              </w:rPr>
            </w:pPr>
          </w:p>
        </w:tc>
        <w:tc>
          <w:tcPr>
            <w:tcW w:w="1516" w:type="dxa"/>
            <w:vMerge w:val="continue"/>
          </w:tcPr>
          <w:p w14:paraId="7CC43019">
            <w:pPr>
              <w:keepNext/>
              <w:keepLines/>
              <w:spacing w:before="156" w:beforeLines="50" w:after="156" w:afterLines="50" w:line="360" w:lineRule="auto"/>
              <w:outlineLvl w:val="3"/>
              <w:rPr>
                <w:rFonts w:ascii="宋体" w:hAnsi="宋体" w:cs="宋体"/>
                <w:szCs w:val="21"/>
              </w:rPr>
            </w:pPr>
          </w:p>
        </w:tc>
        <w:tc>
          <w:tcPr>
            <w:tcW w:w="3563" w:type="dxa"/>
            <w:vMerge w:val="continue"/>
          </w:tcPr>
          <w:p w14:paraId="077832EF">
            <w:pPr>
              <w:keepNext/>
              <w:keepLines/>
              <w:spacing w:before="156" w:beforeLines="50" w:after="156" w:afterLines="50" w:line="360" w:lineRule="auto"/>
              <w:outlineLvl w:val="3"/>
              <w:rPr>
                <w:rFonts w:ascii="宋体" w:hAnsi="宋体" w:cs="宋体"/>
                <w:szCs w:val="21"/>
              </w:rPr>
            </w:pPr>
          </w:p>
        </w:tc>
      </w:tr>
      <w:tr w14:paraId="00E6C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2540" w:type="dxa"/>
            <w:tcBorders>
              <w:left w:val="single" w:color="auto" w:sz="4" w:space="0"/>
            </w:tcBorders>
            <w:vAlign w:val="center"/>
          </w:tcPr>
          <w:p w14:paraId="3A97A0F0">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主干路与支路交会</w:t>
            </w:r>
          </w:p>
        </w:tc>
        <w:tc>
          <w:tcPr>
            <w:tcW w:w="1818" w:type="dxa"/>
            <w:vMerge w:val="continue"/>
            <w:vAlign w:val="center"/>
          </w:tcPr>
          <w:p w14:paraId="502802E0">
            <w:pPr>
              <w:keepNext/>
              <w:keepLines/>
              <w:spacing w:before="156" w:beforeLines="50" w:after="156" w:afterLines="50" w:line="360" w:lineRule="auto"/>
              <w:outlineLvl w:val="3"/>
              <w:rPr>
                <w:rFonts w:ascii="宋体" w:hAnsi="宋体" w:cs="宋体"/>
                <w:szCs w:val="21"/>
              </w:rPr>
            </w:pPr>
          </w:p>
        </w:tc>
        <w:tc>
          <w:tcPr>
            <w:tcW w:w="1516" w:type="dxa"/>
            <w:vMerge w:val="continue"/>
          </w:tcPr>
          <w:p w14:paraId="30EDA9DF">
            <w:pPr>
              <w:keepNext/>
              <w:keepLines/>
              <w:spacing w:before="156" w:beforeLines="50" w:after="156" w:afterLines="50" w:line="360" w:lineRule="auto"/>
              <w:outlineLvl w:val="3"/>
              <w:rPr>
                <w:rFonts w:ascii="宋体" w:hAnsi="宋体" w:cs="宋体"/>
                <w:szCs w:val="21"/>
              </w:rPr>
            </w:pPr>
          </w:p>
        </w:tc>
        <w:tc>
          <w:tcPr>
            <w:tcW w:w="3563" w:type="dxa"/>
            <w:vMerge w:val="continue"/>
          </w:tcPr>
          <w:p w14:paraId="66A72F85">
            <w:pPr>
              <w:keepNext/>
              <w:keepLines/>
              <w:spacing w:before="156" w:beforeLines="50" w:after="156" w:afterLines="50" w:line="360" w:lineRule="auto"/>
              <w:outlineLvl w:val="3"/>
              <w:rPr>
                <w:rFonts w:ascii="宋体" w:hAnsi="宋体" w:cs="宋体"/>
                <w:szCs w:val="21"/>
              </w:rPr>
            </w:pPr>
          </w:p>
        </w:tc>
      </w:tr>
      <w:tr w14:paraId="0C5EF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2540" w:type="dxa"/>
            <w:tcBorders>
              <w:left w:val="single" w:color="auto" w:sz="4" w:space="0"/>
            </w:tcBorders>
            <w:vAlign w:val="center"/>
          </w:tcPr>
          <w:p w14:paraId="5996082D">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次干路与次干路交会</w:t>
            </w:r>
          </w:p>
        </w:tc>
        <w:tc>
          <w:tcPr>
            <w:tcW w:w="1818" w:type="dxa"/>
            <w:vMerge w:val="restart"/>
            <w:vAlign w:val="center"/>
          </w:tcPr>
          <w:p w14:paraId="1D028483">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20/30</w:t>
            </w:r>
          </w:p>
        </w:tc>
        <w:tc>
          <w:tcPr>
            <w:tcW w:w="1516" w:type="dxa"/>
            <w:vMerge w:val="continue"/>
          </w:tcPr>
          <w:p w14:paraId="789421F8">
            <w:pPr>
              <w:keepNext/>
              <w:keepLines/>
              <w:spacing w:before="156" w:beforeLines="50" w:after="156" w:afterLines="50" w:line="360" w:lineRule="auto"/>
              <w:outlineLvl w:val="3"/>
              <w:rPr>
                <w:rFonts w:ascii="宋体" w:hAnsi="宋体" w:cs="宋体"/>
                <w:szCs w:val="21"/>
              </w:rPr>
            </w:pPr>
          </w:p>
        </w:tc>
        <w:tc>
          <w:tcPr>
            <w:tcW w:w="3563" w:type="dxa"/>
            <w:vMerge w:val="continue"/>
          </w:tcPr>
          <w:p w14:paraId="4F73CA31">
            <w:pPr>
              <w:keepNext/>
              <w:keepLines/>
              <w:spacing w:before="156" w:beforeLines="50" w:after="156" w:afterLines="50" w:line="360" w:lineRule="auto"/>
              <w:outlineLvl w:val="3"/>
              <w:rPr>
                <w:rFonts w:ascii="宋体" w:hAnsi="宋体" w:cs="宋体"/>
                <w:szCs w:val="21"/>
              </w:rPr>
            </w:pPr>
          </w:p>
        </w:tc>
      </w:tr>
      <w:tr w14:paraId="13665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2540" w:type="dxa"/>
            <w:tcBorders>
              <w:left w:val="single" w:color="auto" w:sz="4" w:space="0"/>
            </w:tcBorders>
            <w:vAlign w:val="center"/>
          </w:tcPr>
          <w:p w14:paraId="40B483B6">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次干路与支路交会</w:t>
            </w:r>
          </w:p>
        </w:tc>
        <w:tc>
          <w:tcPr>
            <w:tcW w:w="1818" w:type="dxa"/>
            <w:vMerge w:val="continue"/>
            <w:vAlign w:val="center"/>
          </w:tcPr>
          <w:p w14:paraId="5D3C8E1B">
            <w:pPr>
              <w:keepNext/>
              <w:keepLines/>
              <w:spacing w:before="156" w:beforeLines="50" w:after="156" w:afterLines="50" w:line="360" w:lineRule="auto"/>
              <w:outlineLvl w:val="3"/>
              <w:rPr>
                <w:rFonts w:ascii="宋体" w:hAnsi="宋体" w:cs="宋体"/>
                <w:szCs w:val="21"/>
              </w:rPr>
            </w:pPr>
          </w:p>
        </w:tc>
        <w:tc>
          <w:tcPr>
            <w:tcW w:w="1516" w:type="dxa"/>
            <w:vMerge w:val="continue"/>
          </w:tcPr>
          <w:p w14:paraId="0854A1D0">
            <w:pPr>
              <w:keepNext/>
              <w:keepLines/>
              <w:spacing w:before="156" w:beforeLines="50" w:after="156" w:afterLines="50" w:line="360" w:lineRule="auto"/>
              <w:outlineLvl w:val="3"/>
              <w:rPr>
                <w:rFonts w:ascii="宋体" w:hAnsi="宋体" w:cs="宋体"/>
                <w:szCs w:val="21"/>
              </w:rPr>
            </w:pPr>
          </w:p>
        </w:tc>
        <w:tc>
          <w:tcPr>
            <w:tcW w:w="3563" w:type="dxa"/>
            <w:vMerge w:val="continue"/>
          </w:tcPr>
          <w:p w14:paraId="1AD7D983">
            <w:pPr>
              <w:keepNext/>
              <w:keepLines/>
              <w:spacing w:before="156" w:beforeLines="50" w:after="156" w:afterLines="50" w:line="360" w:lineRule="auto"/>
              <w:outlineLvl w:val="3"/>
              <w:rPr>
                <w:rFonts w:ascii="宋体" w:hAnsi="宋体" w:cs="宋体"/>
                <w:szCs w:val="21"/>
              </w:rPr>
            </w:pPr>
          </w:p>
        </w:tc>
      </w:tr>
      <w:tr w14:paraId="0CA5F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2540" w:type="dxa"/>
            <w:tcBorders>
              <w:left w:val="single" w:color="auto" w:sz="4" w:space="0"/>
            </w:tcBorders>
            <w:vAlign w:val="center"/>
          </w:tcPr>
          <w:p w14:paraId="36372681">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支路与支路交会</w:t>
            </w:r>
          </w:p>
        </w:tc>
        <w:tc>
          <w:tcPr>
            <w:tcW w:w="1818" w:type="dxa"/>
            <w:vAlign w:val="center"/>
          </w:tcPr>
          <w:p w14:paraId="3A47D636">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15/20</w:t>
            </w:r>
          </w:p>
        </w:tc>
        <w:tc>
          <w:tcPr>
            <w:tcW w:w="1516" w:type="dxa"/>
            <w:vMerge w:val="continue"/>
          </w:tcPr>
          <w:p w14:paraId="34E260CA">
            <w:pPr>
              <w:keepNext/>
              <w:keepLines/>
              <w:spacing w:before="156" w:beforeLines="50" w:after="156" w:afterLines="50" w:line="360" w:lineRule="auto"/>
              <w:outlineLvl w:val="3"/>
              <w:rPr>
                <w:rFonts w:ascii="宋体" w:hAnsi="宋体" w:cs="宋体"/>
                <w:szCs w:val="21"/>
              </w:rPr>
            </w:pPr>
          </w:p>
        </w:tc>
        <w:tc>
          <w:tcPr>
            <w:tcW w:w="3563" w:type="dxa"/>
            <w:vMerge w:val="continue"/>
          </w:tcPr>
          <w:p w14:paraId="13D353E4">
            <w:pPr>
              <w:keepNext/>
              <w:keepLines/>
              <w:spacing w:before="156" w:beforeLines="50" w:after="156" w:afterLines="50" w:line="360" w:lineRule="auto"/>
              <w:outlineLvl w:val="3"/>
              <w:rPr>
                <w:rFonts w:ascii="宋体" w:hAnsi="宋体" w:cs="宋体"/>
                <w:szCs w:val="21"/>
              </w:rPr>
            </w:pPr>
          </w:p>
        </w:tc>
      </w:tr>
    </w:tbl>
    <w:p w14:paraId="43304B03">
      <w:pPr>
        <w:keepNext/>
        <w:keepLines/>
        <w:spacing w:line="360" w:lineRule="auto"/>
        <w:ind w:left="420" w:firstLine="422" w:firstLineChars="200"/>
        <w:jc w:val="center"/>
        <w:outlineLvl w:val="3"/>
        <w:rPr>
          <w:rFonts w:ascii="宋体" w:hAnsi="宋体" w:cs="宋体"/>
          <w:b/>
          <w:bCs/>
          <w:sz w:val="22"/>
          <w:szCs w:val="22"/>
        </w:rPr>
      </w:pPr>
      <w:r>
        <w:rPr>
          <w:rFonts w:hint="eastAsia" w:ascii="宋体" w:hAnsi="宋体" w:cs="宋体"/>
          <w:b/>
          <w:bCs/>
          <w:szCs w:val="21"/>
        </w:rPr>
        <w:t>表三  人行及非机动车道照明标准值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870"/>
        <w:gridCol w:w="1612"/>
        <w:gridCol w:w="1579"/>
        <w:gridCol w:w="1548"/>
        <w:gridCol w:w="1994"/>
      </w:tblGrid>
      <w:tr w14:paraId="2177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47" w:type="dxa"/>
            <w:vAlign w:val="center"/>
          </w:tcPr>
          <w:p w14:paraId="6C3F8EA6">
            <w:pPr>
              <w:spacing w:line="280" w:lineRule="exact"/>
              <w:jc w:val="both"/>
              <w:rPr>
                <w:rFonts w:ascii="宋体" w:hAnsi="宋体" w:cs="宋体"/>
                <w:b/>
                <w:bCs/>
                <w:kern w:val="0"/>
                <w:sz w:val="22"/>
                <w:szCs w:val="22"/>
              </w:rPr>
            </w:pPr>
            <w:r>
              <w:rPr>
                <w:rFonts w:hint="eastAsia" w:ascii="宋体" w:hAnsi="宋体" w:cs="宋体"/>
                <w:b/>
                <w:bCs/>
                <w:kern w:val="0"/>
                <w:sz w:val="22"/>
                <w:szCs w:val="22"/>
              </w:rPr>
              <w:t>级别</w:t>
            </w:r>
          </w:p>
        </w:tc>
        <w:tc>
          <w:tcPr>
            <w:tcW w:w="1870" w:type="dxa"/>
            <w:vAlign w:val="center"/>
          </w:tcPr>
          <w:p w14:paraId="7FB6AE2F">
            <w:pPr>
              <w:spacing w:line="280" w:lineRule="exact"/>
              <w:ind w:left="641" w:hanging="221"/>
              <w:jc w:val="both"/>
              <w:rPr>
                <w:rFonts w:ascii="宋体" w:hAnsi="宋体" w:cs="宋体"/>
                <w:b/>
                <w:bCs/>
                <w:kern w:val="0"/>
                <w:sz w:val="22"/>
                <w:szCs w:val="22"/>
              </w:rPr>
            </w:pPr>
            <w:r>
              <w:rPr>
                <w:rFonts w:hint="eastAsia" w:ascii="宋体" w:hAnsi="宋体" w:cs="宋体"/>
                <w:b/>
                <w:bCs/>
                <w:sz w:val="22"/>
                <w:szCs w:val="22"/>
              </w:rPr>
              <w:t>道路类型</w:t>
            </w:r>
          </w:p>
          <w:p w14:paraId="726A378D">
            <w:pPr>
              <w:spacing w:line="280" w:lineRule="exact"/>
              <w:ind w:left="641" w:hanging="221"/>
              <w:jc w:val="center"/>
              <w:rPr>
                <w:rFonts w:ascii="宋体" w:hAnsi="宋体" w:cs="宋体"/>
                <w:b/>
                <w:bCs/>
                <w:kern w:val="0"/>
                <w:sz w:val="22"/>
                <w:szCs w:val="22"/>
              </w:rPr>
            </w:pPr>
          </w:p>
        </w:tc>
        <w:tc>
          <w:tcPr>
            <w:tcW w:w="1612" w:type="dxa"/>
            <w:vAlign w:val="center"/>
          </w:tcPr>
          <w:p w14:paraId="220410FA">
            <w:pPr>
              <w:spacing w:line="280" w:lineRule="exact"/>
              <w:jc w:val="left"/>
              <w:rPr>
                <w:rFonts w:ascii="宋体" w:hAnsi="宋体" w:cs="宋体"/>
                <w:b/>
                <w:bCs/>
                <w:kern w:val="0"/>
                <w:sz w:val="22"/>
                <w:szCs w:val="22"/>
              </w:rPr>
            </w:pPr>
            <w:r>
              <w:rPr>
                <w:rFonts w:hint="eastAsia" w:ascii="宋体" w:hAnsi="宋体" w:cs="宋体"/>
                <w:b/>
                <w:bCs/>
                <w:kern w:val="0"/>
                <w:sz w:val="22"/>
                <w:szCs w:val="22"/>
              </w:rPr>
              <w:t xml:space="preserve">路面平均照度 </w:t>
            </w:r>
          </w:p>
          <w:p w14:paraId="7BE1FD2C">
            <w:pPr>
              <w:spacing w:line="280" w:lineRule="exact"/>
              <w:jc w:val="left"/>
              <w:rPr>
                <w:rFonts w:ascii="宋体" w:hAnsi="宋体" w:cs="宋体"/>
                <w:b/>
                <w:bCs/>
                <w:kern w:val="0"/>
                <w:sz w:val="22"/>
                <w:szCs w:val="22"/>
              </w:rPr>
            </w:pPr>
            <w:r>
              <w:rPr>
                <w:rFonts w:hint="eastAsia" w:ascii="宋体" w:hAnsi="宋体" w:cs="宋体"/>
                <w:b/>
                <w:bCs/>
                <w:kern w:val="0"/>
                <w:sz w:val="22"/>
                <w:szCs w:val="22"/>
              </w:rPr>
              <w:t xml:space="preserve"> E</w:t>
            </w:r>
            <w:r>
              <w:rPr>
                <w:rFonts w:hint="eastAsia" w:ascii="宋体" w:hAnsi="宋体" w:cs="宋体"/>
                <w:b/>
                <w:bCs/>
                <w:kern w:val="0"/>
                <w:sz w:val="22"/>
                <w:szCs w:val="22"/>
                <w:vertAlign w:val="subscript"/>
              </w:rPr>
              <w:t>h，av</w:t>
            </w:r>
            <w:r>
              <w:rPr>
                <w:rFonts w:hint="eastAsia" w:ascii="宋体" w:hAnsi="宋体" w:cs="宋体"/>
                <w:b/>
                <w:bCs/>
                <w:kern w:val="0"/>
                <w:sz w:val="22"/>
                <w:szCs w:val="22"/>
              </w:rPr>
              <w:t xml:space="preserve"> (lx) </w:t>
            </w:r>
          </w:p>
          <w:p w14:paraId="752BBB21">
            <w:pPr>
              <w:spacing w:line="280" w:lineRule="exact"/>
              <w:jc w:val="left"/>
              <w:rPr>
                <w:rFonts w:ascii="宋体" w:hAnsi="宋体" w:cs="宋体"/>
                <w:b/>
                <w:bCs/>
                <w:kern w:val="0"/>
                <w:sz w:val="22"/>
                <w:szCs w:val="22"/>
              </w:rPr>
            </w:pPr>
            <w:r>
              <w:rPr>
                <w:rFonts w:hint="eastAsia" w:ascii="宋体" w:hAnsi="宋体" w:cs="宋体"/>
                <w:b/>
                <w:bCs/>
                <w:kern w:val="0"/>
                <w:sz w:val="22"/>
                <w:szCs w:val="22"/>
              </w:rPr>
              <w:t>维持值</w:t>
            </w:r>
          </w:p>
        </w:tc>
        <w:tc>
          <w:tcPr>
            <w:tcW w:w="1579" w:type="dxa"/>
            <w:vAlign w:val="center"/>
          </w:tcPr>
          <w:p w14:paraId="1D3C68F4">
            <w:pPr>
              <w:spacing w:line="280" w:lineRule="exact"/>
              <w:jc w:val="left"/>
              <w:rPr>
                <w:rFonts w:ascii="宋体" w:hAnsi="宋体" w:cs="宋体"/>
                <w:b/>
                <w:bCs/>
                <w:kern w:val="0"/>
                <w:sz w:val="22"/>
                <w:szCs w:val="22"/>
                <w:lang w:val="de-DE"/>
              </w:rPr>
            </w:pPr>
            <w:r>
              <w:rPr>
                <w:rFonts w:hint="eastAsia" w:ascii="宋体" w:hAnsi="宋体" w:cs="宋体"/>
                <w:b/>
                <w:bCs/>
                <w:kern w:val="0"/>
                <w:sz w:val="22"/>
                <w:szCs w:val="22"/>
              </w:rPr>
              <w:t>路面最小照度</w:t>
            </w:r>
          </w:p>
          <w:p w14:paraId="10E9927B">
            <w:pPr>
              <w:spacing w:line="280" w:lineRule="exact"/>
              <w:jc w:val="left"/>
              <w:rPr>
                <w:rFonts w:ascii="宋体" w:hAnsi="宋体" w:cs="宋体"/>
                <w:b/>
                <w:bCs/>
                <w:kern w:val="0"/>
                <w:sz w:val="22"/>
                <w:szCs w:val="22"/>
                <w:lang w:val="de-DE"/>
              </w:rPr>
            </w:pPr>
            <w:r>
              <w:rPr>
                <w:rFonts w:hint="eastAsia" w:ascii="宋体" w:hAnsi="宋体" w:cs="宋体"/>
                <w:b/>
                <w:bCs/>
                <w:kern w:val="0"/>
                <w:sz w:val="22"/>
                <w:szCs w:val="22"/>
                <w:lang w:val="de-DE"/>
              </w:rPr>
              <w:t>E</w:t>
            </w:r>
            <w:r>
              <w:rPr>
                <w:rFonts w:hint="eastAsia" w:ascii="宋体" w:hAnsi="宋体" w:cs="宋体"/>
                <w:b/>
                <w:bCs/>
                <w:kern w:val="0"/>
                <w:sz w:val="22"/>
                <w:szCs w:val="22"/>
                <w:vertAlign w:val="subscript"/>
                <w:lang w:val="de-DE"/>
              </w:rPr>
              <w:t xml:space="preserve"> h，min</w:t>
            </w:r>
            <w:r>
              <w:rPr>
                <w:rFonts w:hint="eastAsia" w:ascii="宋体" w:hAnsi="宋体" w:cs="宋体"/>
                <w:b/>
                <w:bCs/>
                <w:kern w:val="0"/>
                <w:sz w:val="22"/>
                <w:szCs w:val="22"/>
                <w:lang w:val="de-DE"/>
              </w:rPr>
              <w:t xml:space="preserve">(lx)  </w:t>
            </w:r>
          </w:p>
          <w:p w14:paraId="503B7E83">
            <w:pPr>
              <w:spacing w:line="280" w:lineRule="exact"/>
              <w:jc w:val="left"/>
              <w:rPr>
                <w:rFonts w:ascii="宋体" w:hAnsi="宋体" w:cs="宋体"/>
                <w:b/>
                <w:bCs/>
                <w:kern w:val="0"/>
                <w:sz w:val="22"/>
                <w:szCs w:val="22"/>
              </w:rPr>
            </w:pPr>
            <w:r>
              <w:rPr>
                <w:rFonts w:hint="eastAsia" w:ascii="宋体" w:hAnsi="宋体" w:cs="宋体"/>
                <w:b/>
                <w:bCs/>
                <w:kern w:val="0"/>
                <w:sz w:val="22"/>
                <w:szCs w:val="22"/>
              </w:rPr>
              <w:t>维持值</w:t>
            </w:r>
          </w:p>
        </w:tc>
        <w:tc>
          <w:tcPr>
            <w:tcW w:w="1548" w:type="dxa"/>
            <w:vAlign w:val="center"/>
          </w:tcPr>
          <w:p w14:paraId="5687AE51">
            <w:pPr>
              <w:spacing w:line="280" w:lineRule="exact"/>
              <w:jc w:val="left"/>
              <w:rPr>
                <w:rFonts w:ascii="宋体" w:hAnsi="宋体" w:cs="宋体"/>
                <w:b/>
                <w:bCs/>
                <w:kern w:val="0"/>
                <w:sz w:val="22"/>
                <w:szCs w:val="22"/>
              </w:rPr>
            </w:pPr>
            <w:r>
              <w:rPr>
                <w:rFonts w:hint="eastAsia" w:ascii="宋体" w:hAnsi="宋体" w:cs="宋体"/>
                <w:b/>
                <w:bCs/>
                <w:kern w:val="0"/>
                <w:sz w:val="22"/>
                <w:szCs w:val="22"/>
              </w:rPr>
              <w:t xml:space="preserve">最小垂直照度    </w:t>
            </w:r>
          </w:p>
          <w:p w14:paraId="7B6D36E1">
            <w:pPr>
              <w:spacing w:line="280" w:lineRule="exact"/>
              <w:jc w:val="left"/>
              <w:rPr>
                <w:rFonts w:ascii="宋体" w:hAnsi="宋体" w:cs="宋体"/>
                <w:b/>
                <w:bCs/>
                <w:kern w:val="0"/>
                <w:sz w:val="22"/>
                <w:szCs w:val="22"/>
              </w:rPr>
            </w:pPr>
            <w:r>
              <w:rPr>
                <w:rFonts w:hint="eastAsia" w:ascii="宋体" w:hAnsi="宋体" w:cs="宋体"/>
                <w:b/>
                <w:bCs/>
                <w:kern w:val="0"/>
                <w:sz w:val="22"/>
                <w:szCs w:val="22"/>
              </w:rPr>
              <w:t>E</w:t>
            </w:r>
            <w:r>
              <w:rPr>
                <w:rFonts w:hint="eastAsia" w:ascii="宋体" w:hAnsi="宋体" w:cs="宋体"/>
                <w:b/>
                <w:bCs/>
                <w:kern w:val="0"/>
                <w:sz w:val="22"/>
                <w:szCs w:val="22"/>
                <w:vertAlign w:val="subscript"/>
              </w:rPr>
              <w:t xml:space="preserve"> v，min</w:t>
            </w:r>
            <w:r>
              <w:rPr>
                <w:rFonts w:hint="eastAsia" w:ascii="宋体" w:hAnsi="宋体" w:cs="宋体"/>
                <w:b/>
                <w:bCs/>
                <w:kern w:val="0"/>
                <w:sz w:val="22"/>
                <w:szCs w:val="22"/>
              </w:rPr>
              <w:t xml:space="preserve">（lx） </w:t>
            </w:r>
          </w:p>
          <w:p w14:paraId="37B62FFD">
            <w:pPr>
              <w:spacing w:line="280" w:lineRule="exact"/>
              <w:jc w:val="left"/>
              <w:rPr>
                <w:rFonts w:ascii="宋体" w:hAnsi="宋体" w:cs="宋体"/>
                <w:b/>
                <w:bCs/>
                <w:kern w:val="0"/>
                <w:sz w:val="22"/>
                <w:szCs w:val="22"/>
              </w:rPr>
            </w:pPr>
            <w:r>
              <w:rPr>
                <w:rFonts w:hint="eastAsia" w:ascii="宋体" w:hAnsi="宋体" w:cs="宋体"/>
                <w:b/>
                <w:bCs/>
                <w:kern w:val="0"/>
                <w:sz w:val="22"/>
                <w:szCs w:val="22"/>
              </w:rPr>
              <w:t>维持值</w:t>
            </w:r>
          </w:p>
        </w:tc>
        <w:tc>
          <w:tcPr>
            <w:tcW w:w="1994" w:type="dxa"/>
            <w:vAlign w:val="center"/>
          </w:tcPr>
          <w:p w14:paraId="4CCFC3DF">
            <w:pPr>
              <w:spacing w:line="280" w:lineRule="exact"/>
              <w:jc w:val="left"/>
              <w:rPr>
                <w:rFonts w:ascii="宋体" w:hAnsi="宋体" w:cs="宋体"/>
                <w:b/>
                <w:bCs/>
                <w:kern w:val="0"/>
                <w:sz w:val="22"/>
                <w:szCs w:val="22"/>
              </w:rPr>
            </w:pPr>
            <w:r>
              <w:rPr>
                <w:rFonts w:hint="eastAsia" w:ascii="宋体" w:hAnsi="宋体" w:cs="宋体"/>
                <w:b/>
                <w:bCs/>
                <w:kern w:val="0"/>
                <w:sz w:val="22"/>
                <w:szCs w:val="22"/>
              </w:rPr>
              <w:t>最小半柱面照度</w:t>
            </w:r>
          </w:p>
          <w:p w14:paraId="481248A8">
            <w:pPr>
              <w:spacing w:line="280" w:lineRule="exact"/>
              <w:jc w:val="left"/>
              <w:rPr>
                <w:rFonts w:ascii="宋体" w:hAnsi="宋体" w:cs="宋体"/>
                <w:b/>
                <w:bCs/>
                <w:kern w:val="0"/>
                <w:sz w:val="22"/>
                <w:szCs w:val="22"/>
              </w:rPr>
            </w:pPr>
            <w:r>
              <w:rPr>
                <w:rFonts w:hint="eastAsia" w:ascii="宋体" w:hAnsi="宋体" w:cs="宋体"/>
                <w:b/>
                <w:bCs/>
                <w:kern w:val="0"/>
                <w:sz w:val="22"/>
                <w:szCs w:val="22"/>
              </w:rPr>
              <w:t>E</w:t>
            </w:r>
            <w:r>
              <w:rPr>
                <w:rFonts w:hint="eastAsia" w:ascii="宋体" w:hAnsi="宋体" w:cs="宋体"/>
                <w:b/>
                <w:bCs/>
                <w:kern w:val="0"/>
                <w:sz w:val="22"/>
                <w:szCs w:val="22"/>
                <w:vertAlign w:val="subscript"/>
              </w:rPr>
              <w:t xml:space="preserve"> sc,min</w:t>
            </w:r>
            <w:r>
              <w:rPr>
                <w:rFonts w:hint="eastAsia" w:ascii="宋体" w:hAnsi="宋体" w:cs="宋体"/>
                <w:b/>
                <w:bCs/>
                <w:kern w:val="0"/>
                <w:sz w:val="22"/>
                <w:szCs w:val="22"/>
              </w:rPr>
              <w:t>（lx）</w:t>
            </w:r>
          </w:p>
          <w:p w14:paraId="11CB3F70">
            <w:pPr>
              <w:spacing w:line="280" w:lineRule="exact"/>
              <w:jc w:val="left"/>
              <w:rPr>
                <w:rFonts w:ascii="宋体" w:hAnsi="宋体" w:cs="宋体"/>
                <w:b/>
                <w:bCs/>
                <w:kern w:val="0"/>
                <w:sz w:val="22"/>
                <w:szCs w:val="22"/>
              </w:rPr>
            </w:pPr>
            <w:r>
              <w:rPr>
                <w:rFonts w:hint="eastAsia" w:ascii="宋体" w:hAnsi="宋体" w:cs="宋体"/>
                <w:b/>
                <w:bCs/>
                <w:kern w:val="0"/>
                <w:sz w:val="22"/>
                <w:szCs w:val="22"/>
              </w:rPr>
              <w:t>维持值</w:t>
            </w:r>
          </w:p>
        </w:tc>
      </w:tr>
      <w:tr w14:paraId="0E6E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5" w:hRule="atLeast"/>
          <w:jc w:val="center"/>
        </w:trPr>
        <w:tc>
          <w:tcPr>
            <w:tcW w:w="847" w:type="dxa"/>
            <w:vAlign w:val="center"/>
          </w:tcPr>
          <w:p w14:paraId="5B88D1D0">
            <w:pPr>
              <w:spacing w:line="280" w:lineRule="exact"/>
              <w:ind w:firstLine="220" w:firstLineChars="100"/>
              <w:jc w:val="both"/>
              <w:rPr>
                <w:rFonts w:ascii="宋体" w:hAnsi="宋体" w:cs="宋体"/>
                <w:kern w:val="0"/>
                <w:sz w:val="22"/>
                <w:szCs w:val="22"/>
              </w:rPr>
            </w:pPr>
            <w:r>
              <w:rPr>
                <w:rFonts w:hint="eastAsia" w:ascii="宋体" w:hAnsi="宋体" w:cs="宋体"/>
                <w:kern w:val="0"/>
                <w:sz w:val="22"/>
                <w:szCs w:val="22"/>
              </w:rPr>
              <w:t>1</w:t>
            </w:r>
          </w:p>
        </w:tc>
        <w:tc>
          <w:tcPr>
            <w:tcW w:w="1870" w:type="dxa"/>
            <w:vAlign w:val="center"/>
          </w:tcPr>
          <w:p w14:paraId="34DFFDD1">
            <w:pPr>
              <w:keepNext/>
              <w:keepLines/>
              <w:spacing w:before="156" w:beforeLines="50" w:after="156" w:afterLines="50" w:line="240" w:lineRule="auto"/>
              <w:outlineLvl w:val="3"/>
              <w:rPr>
                <w:rFonts w:ascii="宋体" w:hAnsi="宋体" w:cs="宋体"/>
                <w:szCs w:val="21"/>
              </w:rPr>
            </w:pPr>
            <w:r>
              <w:rPr>
                <w:rFonts w:hint="eastAsia" w:ascii="宋体" w:hAnsi="宋体" w:cs="宋体"/>
                <w:szCs w:val="21"/>
              </w:rPr>
              <w:t>商业步行街；市中心或商业区行人流量高的道路；机动车与行人混合使用、与城市机动车道路连接的居住区出入道路</w:t>
            </w:r>
          </w:p>
        </w:tc>
        <w:tc>
          <w:tcPr>
            <w:tcW w:w="1612" w:type="dxa"/>
            <w:vAlign w:val="center"/>
          </w:tcPr>
          <w:p w14:paraId="47B1270E">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15</w:t>
            </w:r>
          </w:p>
        </w:tc>
        <w:tc>
          <w:tcPr>
            <w:tcW w:w="1579" w:type="dxa"/>
            <w:vAlign w:val="center"/>
          </w:tcPr>
          <w:p w14:paraId="0A6F2378">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3</w:t>
            </w:r>
          </w:p>
        </w:tc>
        <w:tc>
          <w:tcPr>
            <w:tcW w:w="1548" w:type="dxa"/>
            <w:vAlign w:val="center"/>
          </w:tcPr>
          <w:p w14:paraId="34144107">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5</w:t>
            </w:r>
          </w:p>
        </w:tc>
        <w:tc>
          <w:tcPr>
            <w:tcW w:w="1994" w:type="dxa"/>
            <w:vAlign w:val="center"/>
          </w:tcPr>
          <w:p w14:paraId="03F0194E">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3</w:t>
            </w:r>
          </w:p>
        </w:tc>
      </w:tr>
      <w:tr w14:paraId="301F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847" w:type="dxa"/>
            <w:vAlign w:val="center"/>
          </w:tcPr>
          <w:p w14:paraId="3368C7A6">
            <w:pPr>
              <w:pBdr>
                <w:top w:val="none" w:color="auto" w:sz="0" w:space="1"/>
                <w:left w:val="none" w:color="auto" w:sz="0" w:space="4"/>
                <w:right w:val="none" w:color="auto" w:sz="0" w:space="4"/>
              </w:pBdr>
              <w:spacing w:line="280" w:lineRule="exact"/>
              <w:ind w:firstLine="220" w:firstLineChars="100"/>
              <w:jc w:val="both"/>
              <w:rPr>
                <w:rFonts w:ascii="宋体" w:hAnsi="宋体" w:cs="宋体"/>
                <w:kern w:val="0"/>
                <w:sz w:val="22"/>
                <w:szCs w:val="22"/>
              </w:rPr>
            </w:pPr>
            <w:r>
              <w:rPr>
                <w:rFonts w:hint="eastAsia" w:ascii="宋体" w:hAnsi="宋体" w:cs="宋体"/>
                <w:kern w:val="0"/>
                <w:sz w:val="22"/>
                <w:szCs w:val="22"/>
              </w:rPr>
              <w:t>2</w:t>
            </w:r>
          </w:p>
        </w:tc>
        <w:tc>
          <w:tcPr>
            <w:tcW w:w="1870" w:type="dxa"/>
            <w:vAlign w:val="center"/>
          </w:tcPr>
          <w:p w14:paraId="6D08714B">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流量较高的道路</w:t>
            </w:r>
          </w:p>
        </w:tc>
        <w:tc>
          <w:tcPr>
            <w:tcW w:w="1612" w:type="dxa"/>
            <w:vAlign w:val="center"/>
          </w:tcPr>
          <w:p w14:paraId="3EBB2D70">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10</w:t>
            </w:r>
          </w:p>
        </w:tc>
        <w:tc>
          <w:tcPr>
            <w:tcW w:w="1579" w:type="dxa"/>
            <w:vAlign w:val="center"/>
          </w:tcPr>
          <w:p w14:paraId="7E87282D">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2</w:t>
            </w:r>
          </w:p>
        </w:tc>
        <w:tc>
          <w:tcPr>
            <w:tcW w:w="1548" w:type="dxa"/>
            <w:vAlign w:val="center"/>
          </w:tcPr>
          <w:p w14:paraId="5C09A971">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3</w:t>
            </w:r>
          </w:p>
        </w:tc>
        <w:tc>
          <w:tcPr>
            <w:tcW w:w="1994" w:type="dxa"/>
            <w:vAlign w:val="center"/>
          </w:tcPr>
          <w:p w14:paraId="3BCDACF7">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2</w:t>
            </w:r>
          </w:p>
        </w:tc>
      </w:tr>
      <w:tr w14:paraId="7CFE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47" w:type="dxa"/>
            <w:vAlign w:val="center"/>
          </w:tcPr>
          <w:p w14:paraId="012B5810">
            <w:pPr>
              <w:spacing w:line="280" w:lineRule="exact"/>
              <w:ind w:firstLine="220" w:firstLineChars="100"/>
              <w:jc w:val="both"/>
              <w:rPr>
                <w:rFonts w:ascii="宋体" w:hAnsi="宋体" w:cs="宋体"/>
                <w:kern w:val="0"/>
                <w:sz w:val="22"/>
                <w:szCs w:val="22"/>
              </w:rPr>
            </w:pPr>
            <w:r>
              <w:rPr>
                <w:rFonts w:hint="eastAsia" w:ascii="宋体" w:hAnsi="宋体" w:cs="宋体"/>
                <w:kern w:val="0"/>
                <w:sz w:val="22"/>
                <w:szCs w:val="22"/>
              </w:rPr>
              <w:t>3</w:t>
            </w:r>
          </w:p>
        </w:tc>
        <w:tc>
          <w:tcPr>
            <w:tcW w:w="1870" w:type="dxa"/>
            <w:vAlign w:val="center"/>
          </w:tcPr>
          <w:p w14:paraId="2AB2215F">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流量中等的道路</w:t>
            </w:r>
          </w:p>
        </w:tc>
        <w:tc>
          <w:tcPr>
            <w:tcW w:w="1612" w:type="dxa"/>
            <w:vAlign w:val="center"/>
          </w:tcPr>
          <w:p w14:paraId="6DB20245">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7.5</w:t>
            </w:r>
          </w:p>
        </w:tc>
        <w:tc>
          <w:tcPr>
            <w:tcW w:w="1579" w:type="dxa"/>
            <w:vAlign w:val="center"/>
          </w:tcPr>
          <w:p w14:paraId="4362A523">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1.5</w:t>
            </w:r>
          </w:p>
        </w:tc>
        <w:tc>
          <w:tcPr>
            <w:tcW w:w="1548" w:type="dxa"/>
            <w:vAlign w:val="center"/>
          </w:tcPr>
          <w:p w14:paraId="362168D1">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2.5</w:t>
            </w:r>
          </w:p>
        </w:tc>
        <w:tc>
          <w:tcPr>
            <w:tcW w:w="1994" w:type="dxa"/>
            <w:vAlign w:val="center"/>
          </w:tcPr>
          <w:p w14:paraId="01CDB6FD">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1.5</w:t>
            </w:r>
          </w:p>
        </w:tc>
      </w:tr>
      <w:tr w14:paraId="5796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847" w:type="dxa"/>
            <w:vAlign w:val="center"/>
          </w:tcPr>
          <w:p w14:paraId="33A8D3EE">
            <w:pPr>
              <w:spacing w:line="280" w:lineRule="exact"/>
              <w:ind w:firstLine="220" w:firstLineChars="100"/>
              <w:jc w:val="both"/>
              <w:rPr>
                <w:rFonts w:ascii="宋体" w:hAnsi="宋体" w:cs="宋体"/>
                <w:kern w:val="0"/>
                <w:sz w:val="22"/>
                <w:szCs w:val="22"/>
              </w:rPr>
            </w:pPr>
            <w:r>
              <w:rPr>
                <w:rFonts w:hint="eastAsia" w:ascii="宋体" w:hAnsi="宋体" w:cs="宋体"/>
                <w:kern w:val="0"/>
                <w:sz w:val="22"/>
                <w:szCs w:val="22"/>
              </w:rPr>
              <w:t>4</w:t>
            </w:r>
          </w:p>
        </w:tc>
        <w:tc>
          <w:tcPr>
            <w:tcW w:w="1870" w:type="dxa"/>
            <w:vAlign w:val="center"/>
          </w:tcPr>
          <w:p w14:paraId="5A755664">
            <w:pPr>
              <w:keepNext/>
              <w:keepLines/>
              <w:spacing w:before="156" w:beforeLines="50" w:after="156" w:afterLines="50" w:line="360" w:lineRule="auto"/>
              <w:outlineLvl w:val="3"/>
              <w:rPr>
                <w:rFonts w:ascii="宋体" w:hAnsi="宋体" w:cs="宋体"/>
                <w:szCs w:val="21"/>
              </w:rPr>
            </w:pPr>
            <w:r>
              <w:rPr>
                <w:rFonts w:hint="eastAsia" w:ascii="宋体" w:hAnsi="宋体" w:cs="宋体"/>
                <w:szCs w:val="21"/>
              </w:rPr>
              <w:t>流量较低的道路</w:t>
            </w:r>
          </w:p>
        </w:tc>
        <w:tc>
          <w:tcPr>
            <w:tcW w:w="1612" w:type="dxa"/>
            <w:vAlign w:val="center"/>
          </w:tcPr>
          <w:p w14:paraId="2188DBB5">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5</w:t>
            </w:r>
          </w:p>
        </w:tc>
        <w:tc>
          <w:tcPr>
            <w:tcW w:w="1579" w:type="dxa"/>
            <w:vAlign w:val="center"/>
          </w:tcPr>
          <w:p w14:paraId="734BEA66">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1</w:t>
            </w:r>
          </w:p>
        </w:tc>
        <w:tc>
          <w:tcPr>
            <w:tcW w:w="1548" w:type="dxa"/>
            <w:vAlign w:val="center"/>
          </w:tcPr>
          <w:p w14:paraId="1C900710">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1.5</w:t>
            </w:r>
          </w:p>
        </w:tc>
        <w:tc>
          <w:tcPr>
            <w:tcW w:w="1994" w:type="dxa"/>
            <w:vAlign w:val="center"/>
          </w:tcPr>
          <w:p w14:paraId="0763DE14">
            <w:pPr>
              <w:keepNext/>
              <w:keepLines/>
              <w:spacing w:before="156" w:beforeLines="50" w:after="156" w:afterLines="50" w:line="360" w:lineRule="auto"/>
              <w:jc w:val="center"/>
              <w:outlineLvl w:val="3"/>
              <w:rPr>
                <w:rFonts w:ascii="宋体" w:hAnsi="宋体" w:cs="宋体"/>
                <w:szCs w:val="21"/>
              </w:rPr>
            </w:pPr>
            <w:r>
              <w:rPr>
                <w:rFonts w:hint="eastAsia" w:ascii="宋体" w:hAnsi="宋体" w:cs="宋体"/>
                <w:szCs w:val="21"/>
              </w:rPr>
              <w:t>1</w:t>
            </w:r>
          </w:p>
        </w:tc>
      </w:tr>
    </w:tbl>
    <w:p w14:paraId="751D4982">
      <w:pPr>
        <w:ind w:left="420" w:firstLine="660" w:firstLineChars="300"/>
        <w:jc w:val="left"/>
        <w:rPr>
          <w:rFonts w:ascii="宋体" w:hAnsi="宋体" w:cs="宋体"/>
          <w:kern w:val="0"/>
          <w:sz w:val="22"/>
          <w:szCs w:val="22"/>
        </w:rPr>
      </w:pPr>
    </w:p>
    <w:p w14:paraId="4ECAC21A">
      <w:pPr>
        <w:ind w:left="641" w:hanging="221"/>
        <w:jc w:val="center"/>
        <w:rPr>
          <w:rFonts w:ascii="宋体" w:hAnsi="宋体" w:cs="宋体"/>
          <w:b/>
          <w:bCs/>
          <w:sz w:val="22"/>
          <w:szCs w:val="22"/>
        </w:rPr>
      </w:pPr>
    </w:p>
    <w:p w14:paraId="1D7210EF">
      <w:pPr>
        <w:keepNext/>
        <w:keepLines/>
        <w:spacing w:line="360" w:lineRule="auto"/>
        <w:ind w:left="420" w:firstLine="422" w:firstLineChars="200"/>
        <w:jc w:val="center"/>
        <w:outlineLvl w:val="3"/>
        <w:rPr>
          <w:rFonts w:hint="eastAsia" w:ascii="宋体" w:hAnsi="宋体" w:cs="宋体"/>
          <w:b/>
          <w:bCs/>
          <w:szCs w:val="21"/>
        </w:rPr>
      </w:pPr>
      <w:r>
        <w:rPr>
          <w:rFonts w:hint="eastAsia" w:ascii="宋体" w:hAnsi="宋体" w:cs="宋体"/>
          <w:b/>
          <w:bCs/>
          <w:szCs w:val="21"/>
        </w:rPr>
        <w:t>表四  人行及非机动车道照明眩光限值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946"/>
        <w:gridCol w:w="2225"/>
        <w:gridCol w:w="2033"/>
        <w:gridCol w:w="1686"/>
      </w:tblGrid>
      <w:tr w14:paraId="45D2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89" w:type="dxa"/>
            <w:vMerge w:val="restart"/>
            <w:vAlign w:val="center"/>
          </w:tcPr>
          <w:p w14:paraId="253B648E">
            <w:pPr>
              <w:spacing w:line="280" w:lineRule="exact"/>
              <w:jc w:val="center"/>
              <w:rPr>
                <w:rFonts w:ascii="宋体" w:hAnsi="宋体" w:cs="宋体"/>
                <w:b/>
                <w:bCs/>
                <w:kern w:val="0"/>
                <w:sz w:val="22"/>
                <w:szCs w:val="22"/>
              </w:rPr>
            </w:pPr>
            <w:r>
              <w:rPr>
                <w:rFonts w:hint="eastAsia" w:ascii="宋体" w:hAnsi="宋体" w:cs="宋体"/>
                <w:b/>
                <w:bCs/>
                <w:kern w:val="0"/>
                <w:sz w:val="22"/>
                <w:szCs w:val="22"/>
              </w:rPr>
              <w:t>级别</w:t>
            </w:r>
          </w:p>
        </w:tc>
        <w:tc>
          <w:tcPr>
            <w:tcW w:w="7890" w:type="dxa"/>
            <w:gridSpan w:val="4"/>
            <w:vAlign w:val="center"/>
          </w:tcPr>
          <w:p w14:paraId="59953C0E">
            <w:pPr>
              <w:spacing w:line="280" w:lineRule="exact"/>
              <w:ind w:left="641" w:hanging="221"/>
              <w:jc w:val="center"/>
              <w:rPr>
                <w:rFonts w:ascii="宋体" w:hAnsi="宋体" w:cs="宋体"/>
                <w:b/>
                <w:bCs/>
                <w:kern w:val="0"/>
                <w:sz w:val="22"/>
                <w:szCs w:val="22"/>
              </w:rPr>
            </w:pPr>
            <w:r>
              <w:rPr>
                <w:rFonts w:hint="eastAsia" w:ascii="宋体" w:hAnsi="宋体" w:cs="宋体"/>
                <w:b/>
                <w:bCs/>
                <w:kern w:val="0"/>
                <w:sz w:val="22"/>
                <w:szCs w:val="22"/>
              </w:rPr>
              <w:t xml:space="preserve"> 最大光强Imax（cd/1000lm）</w:t>
            </w:r>
          </w:p>
        </w:tc>
      </w:tr>
      <w:tr w14:paraId="7395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189" w:type="dxa"/>
            <w:vMerge w:val="continue"/>
            <w:vAlign w:val="center"/>
          </w:tcPr>
          <w:p w14:paraId="3EEF4604">
            <w:pPr>
              <w:spacing w:line="280" w:lineRule="exact"/>
              <w:ind w:left="641" w:hanging="221"/>
              <w:jc w:val="center"/>
              <w:rPr>
                <w:rFonts w:ascii="宋体" w:hAnsi="宋体" w:cs="宋体"/>
                <w:b/>
                <w:bCs/>
                <w:kern w:val="0"/>
                <w:sz w:val="22"/>
                <w:szCs w:val="22"/>
              </w:rPr>
            </w:pPr>
          </w:p>
        </w:tc>
        <w:tc>
          <w:tcPr>
            <w:tcW w:w="1946" w:type="dxa"/>
            <w:vAlign w:val="center"/>
          </w:tcPr>
          <w:p w14:paraId="0A408112">
            <w:pPr>
              <w:spacing w:line="280" w:lineRule="exact"/>
              <w:ind w:left="641" w:hanging="221"/>
              <w:jc w:val="center"/>
              <w:rPr>
                <w:rFonts w:ascii="宋体" w:hAnsi="宋体" w:cs="宋体"/>
                <w:b/>
                <w:bCs/>
                <w:kern w:val="0"/>
                <w:sz w:val="22"/>
                <w:szCs w:val="22"/>
              </w:rPr>
            </w:pPr>
            <w:r>
              <w:rPr>
                <w:rFonts w:hint="eastAsia" w:ascii="宋体" w:hAnsi="宋体" w:cs="宋体"/>
                <w:b/>
                <w:bCs/>
                <w:kern w:val="0"/>
                <w:sz w:val="22"/>
                <w:szCs w:val="22"/>
              </w:rPr>
              <w:t>≥70°</w:t>
            </w:r>
          </w:p>
        </w:tc>
        <w:tc>
          <w:tcPr>
            <w:tcW w:w="2225" w:type="dxa"/>
            <w:vAlign w:val="center"/>
          </w:tcPr>
          <w:p w14:paraId="19B9C166">
            <w:pPr>
              <w:spacing w:line="280" w:lineRule="exact"/>
              <w:ind w:left="641" w:hanging="221"/>
              <w:jc w:val="center"/>
              <w:rPr>
                <w:rFonts w:ascii="宋体" w:hAnsi="宋体" w:cs="宋体"/>
                <w:b/>
                <w:bCs/>
                <w:kern w:val="0"/>
                <w:sz w:val="22"/>
                <w:szCs w:val="22"/>
              </w:rPr>
            </w:pPr>
            <w:r>
              <w:rPr>
                <w:rFonts w:hint="eastAsia" w:ascii="宋体" w:hAnsi="宋体" w:cs="宋体"/>
                <w:b/>
                <w:bCs/>
                <w:kern w:val="0"/>
                <w:sz w:val="22"/>
                <w:szCs w:val="22"/>
              </w:rPr>
              <w:t>≥80°</w:t>
            </w:r>
          </w:p>
        </w:tc>
        <w:tc>
          <w:tcPr>
            <w:tcW w:w="2033" w:type="dxa"/>
            <w:vAlign w:val="center"/>
          </w:tcPr>
          <w:p w14:paraId="6F16D5ED">
            <w:pPr>
              <w:spacing w:line="280" w:lineRule="exact"/>
              <w:ind w:left="641" w:hanging="221"/>
              <w:jc w:val="center"/>
              <w:rPr>
                <w:rFonts w:ascii="宋体" w:hAnsi="宋体" w:cs="宋体"/>
                <w:b/>
                <w:bCs/>
                <w:kern w:val="0"/>
                <w:sz w:val="22"/>
                <w:szCs w:val="22"/>
              </w:rPr>
            </w:pPr>
            <w:r>
              <w:rPr>
                <w:rFonts w:hint="eastAsia" w:ascii="宋体" w:hAnsi="宋体" w:cs="宋体"/>
                <w:b/>
                <w:bCs/>
                <w:kern w:val="0"/>
                <w:sz w:val="22"/>
                <w:szCs w:val="22"/>
              </w:rPr>
              <w:t xml:space="preserve"> ≥90°</w:t>
            </w:r>
          </w:p>
        </w:tc>
        <w:tc>
          <w:tcPr>
            <w:tcW w:w="1686" w:type="dxa"/>
            <w:vAlign w:val="center"/>
          </w:tcPr>
          <w:p w14:paraId="4B9F1A99">
            <w:pPr>
              <w:spacing w:line="280" w:lineRule="exact"/>
              <w:ind w:left="641" w:hanging="221"/>
              <w:jc w:val="center"/>
              <w:rPr>
                <w:rFonts w:ascii="宋体" w:hAnsi="宋体" w:cs="宋体"/>
                <w:b/>
                <w:bCs/>
                <w:kern w:val="0"/>
                <w:sz w:val="22"/>
                <w:szCs w:val="22"/>
              </w:rPr>
            </w:pPr>
            <w:r>
              <w:rPr>
                <w:rFonts w:hint="eastAsia" w:ascii="宋体" w:hAnsi="宋体" w:cs="宋体"/>
                <w:b/>
                <w:bCs/>
                <w:kern w:val="0"/>
                <w:sz w:val="22"/>
                <w:szCs w:val="22"/>
              </w:rPr>
              <w:t>&gt;95°</w:t>
            </w:r>
          </w:p>
        </w:tc>
      </w:tr>
      <w:tr w14:paraId="1D2D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189" w:type="dxa"/>
            <w:vAlign w:val="center"/>
          </w:tcPr>
          <w:p w14:paraId="32E6F527">
            <w:pPr>
              <w:spacing w:line="280" w:lineRule="exact"/>
              <w:ind w:left="641" w:hanging="221"/>
              <w:jc w:val="both"/>
              <w:rPr>
                <w:rFonts w:ascii="宋体" w:hAnsi="宋体" w:cs="宋体"/>
                <w:b/>
                <w:kern w:val="0"/>
                <w:sz w:val="22"/>
                <w:szCs w:val="22"/>
              </w:rPr>
            </w:pPr>
            <w:r>
              <w:rPr>
                <w:rFonts w:hint="eastAsia" w:ascii="宋体" w:hAnsi="宋体" w:cs="宋体"/>
                <w:b/>
                <w:kern w:val="0"/>
                <w:sz w:val="22"/>
                <w:szCs w:val="22"/>
              </w:rPr>
              <w:t>1</w:t>
            </w:r>
          </w:p>
        </w:tc>
        <w:tc>
          <w:tcPr>
            <w:tcW w:w="1946" w:type="dxa"/>
            <w:vAlign w:val="center"/>
          </w:tcPr>
          <w:p w14:paraId="2B970113">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500</w:t>
            </w:r>
          </w:p>
        </w:tc>
        <w:tc>
          <w:tcPr>
            <w:tcW w:w="2225" w:type="dxa"/>
            <w:vAlign w:val="center"/>
          </w:tcPr>
          <w:p w14:paraId="42BD9030">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100</w:t>
            </w:r>
          </w:p>
        </w:tc>
        <w:tc>
          <w:tcPr>
            <w:tcW w:w="2033" w:type="dxa"/>
            <w:vAlign w:val="center"/>
          </w:tcPr>
          <w:p w14:paraId="79A01CFD">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10</w:t>
            </w:r>
          </w:p>
        </w:tc>
        <w:tc>
          <w:tcPr>
            <w:tcW w:w="1686" w:type="dxa"/>
            <w:vAlign w:val="center"/>
          </w:tcPr>
          <w:p w14:paraId="3D493694">
            <w:pPr>
              <w:spacing w:line="280" w:lineRule="exact"/>
              <w:ind w:left="420" w:firstLine="442" w:firstLineChars="200"/>
              <w:jc w:val="center"/>
              <w:rPr>
                <w:rFonts w:ascii="宋体" w:hAnsi="宋体" w:cs="宋体"/>
                <w:b/>
                <w:kern w:val="0"/>
                <w:sz w:val="22"/>
                <w:szCs w:val="22"/>
              </w:rPr>
            </w:pPr>
            <w:r>
              <w:rPr>
                <w:rFonts w:hint="eastAsia" w:ascii="宋体" w:hAnsi="宋体" w:cs="宋体"/>
                <w:b/>
                <w:kern w:val="0"/>
                <w:sz w:val="22"/>
                <w:szCs w:val="22"/>
              </w:rPr>
              <w:t>＜1</w:t>
            </w:r>
          </w:p>
        </w:tc>
      </w:tr>
      <w:tr w14:paraId="6A459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189" w:type="dxa"/>
            <w:vAlign w:val="center"/>
          </w:tcPr>
          <w:p w14:paraId="5A4DADC3">
            <w:pPr>
              <w:pBdr>
                <w:top w:val="none" w:color="auto" w:sz="0" w:space="1"/>
                <w:left w:val="none" w:color="auto" w:sz="0" w:space="4"/>
                <w:right w:val="none" w:color="auto" w:sz="0" w:space="4"/>
              </w:pBdr>
              <w:spacing w:line="280" w:lineRule="exact"/>
              <w:ind w:left="641" w:hanging="221"/>
              <w:jc w:val="both"/>
              <w:rPr>
                <w:rFonts w:ascii="宋体" w:hAnsi="宋体" w:cs="宋体"/>
                <w:b/>
                <w:kern w:val="0"/>
                <w:sz w:val="22"/>
                <w:szCs w:val="22"/>
              </w:rPr>
            </w:pPr>
            <w:r>
              <w:rPr>
                <w:rFonts w:hint="eastAsia" w:ascii="宋体" w:hAnsi="宋体" w:cs="宋体"/>
                <w:b/>
                <w:kern w:val="0"/>
                <w:sz w:val="22"/>
                <w:szCs w:val="22"/>
              </w:rPr>
              <w:t>2</w:t>
            </w:r>
          </w:p>
        </w:tc>
        <w:tc>
          <w:tcPr>
            <w:tcW w:w="1946" w:type="dxa"/>
            <w:vAlign w:val="center"/>
          </w:tcPr>
          <w:p w14:paraId="11BC5E24">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w:t>
            </w:r>
          </w:p>
        </w:tc>
        <w:tc>
          <w:tcPr>
            <w:tcW w:w="2225" w:type="dxa"/>
            <w:vAlign w:val="center"/>
          </w:tcPr>
          <w:p w14:paraId="2CF34851">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100</w:t>
            </w:r>
          </w:p>
        </w:tc>
        <w:tc>
          <w:tcPr>
            <w:tcW w:w="2033" w:type="dxa"/>
            <w:vAlign w:val="center"/>
          </w:tcPr>
          <w:p w14:paraId="7EB52F1E">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20</w:t>
            </w:r>
          </w:p>
        </w:tc>
        <w:tc>
          <w:tcPr>
            <w:tcW w:w="1686" w:type="dxa"/>
            <w:vAlign w:val="center"/>
          </w:tcPr>
          <w:p w14:paraId="003A6DEC">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w:t>
            </w:r>
          </w:p>
        </w:tc>
      </w:tr>
      <w:tr w14:paraId="1A4DC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189" w:type="dxa"/>
            <w:vAlign w:val="center"/>
          </w:tcPr>
          <w:p w14:paraId="3E52E81D">
            <w:pPr>
              <w:spacing w:line="280" w:lineRule="exact"/>
              <w:ind w:left="641" w:hanging="221"/>
              <w:jc w:val="both"/>
              <w:rPr>
                <w:rFonts w:ascii="宋体" w:hAnsi="宋体" w:cs="宋体"/>
                <w:b/>
                <w:kern w:val="0"/>
                <w:sz w:val="22"/>
                <w:szCs w:val="22"/>
              </w:rPr>
            </w:pPr>
            <w:r>
              <w:rPr>
                <w:rFonts w:hint="eastAsia" w:ascii="宋体" w:hAnsi="宋体" w:cs="宋体"/>
                <w:b/>
                <w:kern w:val="0"/>
                <w:sz w:val="22"/>
                <w:szCs w:val="22"/>
              </w:rPr>
              <w:t>3</w:t>
            </w:r>
          </w:p>
        </w:tc>
        <w:tc>
          <w:tcPr>
            <w:tcW w:w="1946" w:type="dxa"/>
            <w:vAlign w:val="center"/>
          </w:tcPr>
          <w:p w14:paraId="1C7AE755">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w:t>
            </w:r>
          </w:p>
        </w:tc>
        <w:tc>
          <w:tcPr>
            <w:tcW w:w="2225" w:type="dxa"/>
            <w:vAlign w:val="center"/>
          </w:tcPr>
          <w:p w14:paraId="5AE6F701">
            <w:pPr>
              <w:spacing w:line="280" w:lineRule="exact"/>
              <w:ind w:firstLine="1104" w:firstLineChars="500"/>
              <w:jc w:val="both"/>
              <w:rPr>
                <w:rFonts w:ascii="宋体" w:hAnsi="宋体" w:cs="宋体"/>
                <w:b/>
                <w:kern w:val="0"/>
                <w:sz w:val="22"/>
                <w:szCs w:val="22"/>
              </w:rPr>
            </w:pPr>
            <w:r>
              <w:rPr>
                <w:rFonts w:hint="eastAsia" w:ascii="宋体" w:hAnsi="宋体" w:cs="宋体"/>
                <w:b/>
                <w:kern w:val="0"/>
                <w:sz w:val="22"/>
                <w:szCs w:val="22"/>
              </w:rPr>
              <w:t>150</w:t>
            </w:r>
          </w:p>
        </w:tc>
        <w:tc>
          <w:tcPr>
            <w:tcW w:w="2033" w:type="dxa"/>
            <w:vAlign w:val="center"/>
          </w:tcPr>
          <w:p w14:paraId="6682E137">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30</w:t>
            </w:r>
          </w:p>
        </w:tc>
        <w:tc>
          <w:tcPr>
            <w:tcW w:w="1686" w:type="dxa"/>
            <w:vAlign w:val="center"/>
          </w:tcPr>
          <w:p w14:paraId="17F7494E">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w:t>
            </w:r>
          </w:p>
        </w:tc>
      </w:tr>
      <w:tr w14:paraId="6C3C9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189" w:type="dxa"/>
            <w:vAlign w:val="center"/>
          </w:tcPr>
          <w:p w14:paraId="19DD4359">
            <w:pPr>
              <w:spacing w:line="280" w:lineRule="exact"/>
              <w:ind w:left="641" w:hanging="221"/>
              <w:jc w:val="both"/>
              <w:rPr>
                <w:rFonts w:ascii="宋体" w:hAnsi="宋体" w:cs="宋体"/>
                <w:b/>
                <w:kern w:val="0"/>
                <w:sz w:val="22"/>
                <w:szCs w:val="22"/>
              </w:rPr>
            </w:pPr>
            <w:r>
              <w:rPr>
                <w:rFonts w:hint="eastAsia" w:ascii="宋体" w:hAnsi="宋体" w:cs="宋体"/>
                <w:b/>
                <w:kern w:val="0"/>
                <w:sz w:val="22"/>
                <w:szCs w:val="22"/>
              </w:rPr>
              <w:t>4</w:t>
            </w:r>
          </w:p>
        </w:tc>
        <w:tc>
          <w:tcPr>
            <w:tcW w:w="1946" w:type="dxa"/>
            <w:vAlign w:val="center"/>
          </w:tcPr>
          <w:p w14:paraId="1055F409">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w:t>
            </w:r>
          </w:p>
        </w:tc>
        <w:tc>
          <w:tcPr>
            <w:tcW w:w="2225" w:type="dxa"/>
            <w:vAlign w:val="center"/>
          </w:tcPr>
          <w:p w14:paraId="40245BB0">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200</w:t>
            </w:r>
          </w:p>
        </w:tc>
        <w:tc>
          <w:tcPr>
            <w:tcW w:w="2033" w:type="dxa"/>
            <w:vAlign w:val="center"/>
          </w:tcPr>
          <w:p w14:paraId="514BFD5A">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50</w:t>
            </w:r>
          </w:p>
        </w:tc>
        <w:tc>
          <w:tcPr>
            <w:tcW w:w="1686" w:type="dxa"/>
            <w:vAlign w:val="center"/>
          </w:tcPr>
          <w:p w14:paraId="74CE2D79">
            <w:pPr>
              <w:spacing w:line="280" w:lineRule="exact"/>
              <w:ind w:left="641" w:hanging="221"/>
              <w:jc w:val="center"/>
              <w:rPr>
                <w:rFonts w:ascii="宋体" w:hAnsi="宋体" w:cs="宋体"/>
                <w:b/>
                <w:kern w:val="0"/>
                <w:sz w:val="22"/>
                <w:szCs w:val="22"/>
              </w:rPr>
            </w:pPr>
            <w:r>
              <w:rPr>
                <w:rFonts w:hint="eastAsia" w:ascii="宋体" w:hAnsi="宋体" w:cs="宋体"/>
                <w:b/>
                <w:kern w:val="0"/>
                <w:sz w:val="22"/>
                <w:szCs w:val="22"/>
              </w:rPr>
              <w:t>---</w:t>
            </w:r>
          </w:p>
        </w:tc>
      </w:tr>
    </w:tbl>
    <w:p w14:paraId="73A0CF75">
      <w:pPr>
        <w:keepNext/>
        <w:keepLines/>
        <w:spacing w:before="156" w:beforeLines="50" w:after="156" w:afterLines="50" w:line="240" w:lineRule="auto"/>
        <w:ind w:left="420" w:firstLine="3584" w:firstLineChars="1700"/>
        <w:outlineLvl w:val="3"/>
        <w:rPr>
          <w:rFonts w:ascii="宋体" w:hAnsi="宋体" w:cs="宋体"/>
          <w:b/>
          <w:bCs/>
          <w:kern w:val="0"/>
          <w:szCs w:val="21"/>
          <w:highlight w:val="none"/>
        </w:rPr>
      </w:pPr>
      <w:r>
        <w:rPr>
          <w:rFonts w:hint="eastAsia" w:ascii="宋体" w:hAnsi="宋体" w:cs="宋体"/>
          <w:b/>
          <w:bCs/>
          <w:szCs w:val="21"/>
          <w:highlight w:val="none"/>
        </w:rPr>
        <w:t>表五、隧道照明标准值</w:t>
      </w:r>
    </w:p>
    <w:tbl>
      <w:tblPr>
        <w:tblStyle w:val="60"/>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336"/>
        <w:gridCol w:w="1255"/>
        <w:gridCol w:w="1486"/>
        <w:gridCol w:w="1159"/>
        <w:gridCol w:w="1362"/>
        <w:gridCol w:w="1502"/>
      </w:tblGrid>
      <w:tr w14:paraId="2F8C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noWrap w:val="0"/>
            <w:vAlign w:val="center"/>
          </w:tcPr>
          <w:p w14:paraId="5CB739FE">
            <w:pPr>
              <w:spacing w:line="280" w:lineRule="exact"/>
              <w:jc w:val="center"/>
              <w:rPr>
                <w:rFonts w:hint="default"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照明区域</w:t>
            </w:r>
          </w:p>
        </w:tc>
        <w:tc>
          <w:tcPr>
            <w:tcW w:w="1336" w:type="dxa"/>
            <w:noWrap w:val="0"/>
            <w:vAlign w:val="center"/>
          </w:tcPr>
          <w:p w14:paraId="019D22DD">
            <w:pPr>
              <w:spacing w:line="280" w:lineRule="exact"/>
              <w:jc w:val="center"/>
              <w:rPr>
                <w:rFonts w:hint="default"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设计车速（KM/H）</w:t>
            </w:r>
          </w:p>
        </w:tc>
        <w:tc>
          <w:tcPr>
            <w:tcW w:w="1255" w:type="dxa"/>
            <w:noWrap w:val="0"/>
            <w:vAlign w:val="center"/>
          </w:tcPr>
          <w:p w14:paraId="2A0FCCFE">
            <w:pPr>
              <w:spacing w:line="280" w:lineRule="exact"/>
              <w:jc w:val="center"/>
              <w:rPr>
                <w:rFonts w:hint="default"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洞外亮度(cd/㎡）</w:t>
            </w:r>
          </w:p>
        </w:tc>
        <w:tc>
          <w:tcPr>
            <w:tcW w:w="1486" w:type="dxa"/>
            <w:noWrap w:val="0"/>
            <w:vAlign w:val="center"/>
          </w:tcPr>
          <w:p w14:paraId="599207C8">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亮度标准值(cd/㎡）</w:t>
            </w:r>
          </w:p>
        </w:tc>
        <w:tc>
          <w:tcPr>
            <w:tcW w:w="1159" w:type="dxa"/>
            <w:noWrap w:val="0"/>
            <w:vAlign w:val="center"/>
          </w:tcPr>
          <w:p w14:paraId="0A0B4279">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均匀度（U₀）</w:t>
            </w:r>
          </w:p>
        </w:tc>
        <w:tc>
          <w:tcPr>
            <w:tcW w:w="1362" w:type="dxa"/>
            <w:noWrap w:val="0"/>
            <w:vAlign w:val="center"/>
          </w:tcPr>
          <w:p w14:paraId="0DD64C45">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区域长度</w:t>
            </w:r>
          </w:p>
        </w:tc>
        <w:tc>
          <w:tcPr>
            <w:tcW w:w="1502" w:type="dxa"/>
            <w:noWrap w:val="0"/>
            <w:vAlign w:val="center"/>
          </w:tcPr>
          <w:p w14:paraId="158F627B">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备注</w:t>
            </w:r>
          </w:p>
        </w:tc>
      </w:tr>
      <w:tr w14:paraId="3240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restart"/>
            <w:noWrap w:val="0"/>
            <w:vAlign w:val="center"/>
          </w:tcPr>
          <w:p w14:paraId="3A88094E">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入口段</w:t>
            </w:r>
          </w:p>
        </w:tc>
        <w:tc>
          <w:tcPr>
            <w:tcW w:w="1336" w:type="dxa"/>
            <w:shd w:val="clear" w:color="auto" w:fill="auto"/>
            <w:noWrap w:val="0"/>
            <w:vAlign w:val="center"/>
          </w:tcPr>
          <w:p w14:paraId="07534DFB">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60</w:t>
            </w:r>
          </w:p>
        </w:tc>
        <w:tc>
          <w:tcPr>
            <w:tcW w:w="1255" w:type="dxa"/>
            <w:shd w:val="clear" w:color="auto" w:fill="auto"/>
            <w:noWrap w:val="0"/>
            <w:vAlign w:val="center"/>
          </w:tcPr>
          <w:p w14:paraId="050D82FB">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2500</w:t>
            </w:r>
          </w:p>
        </w:tc>
        <w:tc>
          <w:tcPr>
            <w:tcW w:w="1486" w:type="dxa"/>
            <w:shd w:val="clear" w:color="auto" w:fill="auto"/>
            <w:noWrap w:val="0"/>
            <w:vAlign w:val="center"/>
          </w:tcPr>
          <w:p w14:paraId="64E2BFDB">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55</w:t>
            </w:r>
          </w:p>
        </w:tc>
        <w:tc>
          <w:tcPr>
            <w:tcW w:w="1159" w:type="dxa"/>
            <w:shd w:val="clear" w:color="auto" w:fill="auto"/>
            <w:noWrap w:val="0"/>
            <w:vAlign w:val="center"/>
          </w:tcPr>
          <w:p w14:paraId="2F3B281B">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default" w:ascii="宋体" w:hAnsi="宋体" w:cs="宋体"/>
                <w:b/>
                <w:bCs/>
                <w:color w:val="auto"/>
                <w:kern w:val="0"/>
                <w:sz w:val="22"/>
                <w:szCs w:val="22"/>
                <w:highlight w:val="none"/>
                <w:lang w:val="en-US" w:eastAsia="zh-CN"/>
              </w:rPr>
              <w:t>≥0.4</w:t>
            </w:r>
          </w:p>
        </w:tc>
        <w:tc>
          <w:tcPr>
            <w:tcW w:w="1362" w:type="dxa"/>
            <w:shd w:val="clear" w:color="auto" w:fill="auto"/>
            <w:noWrap w:val="0"/>
            <w:vAlign w:val="center"/>
          </w:tcPr>
          <w:p w14:paraId="5F54DB83">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60</w:t>
            </w:r>
          </w:p>
        </w:tc>
        <w:tc>
          <w:tcPr>
            <w:tcW w:w="1502" w:type="dxa"/>
            <w:shd w:val="clear" w:color="auto" w:fill="auto"/>
            <w:noWrap w:val="0"/>
            <w:vAlign w:val="center"/>
          </w:tcPr>
          <w:p w14:paraId="7B167EE5">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白天</w:t>
            </w:r>
          </w:p>
        </w:tc>
      </w:tr>
      <w:tr w14:paraId="1401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20822103">
            <w:pPr>
              <w:spacing w:line="280" w:lineRule="exact"/>
              <w:jc w:val="center"/>
              <w:rPr>
                <w:rFonts w:hint="default" w:ascii="宋体" w:hAnsi="宋体" w:cs="宋体"/>
                <w:b/>
                <w:bCs/>
                <w:color w:val="auto"/>
                <w:kern w:val="0"/>
                <w:sz w:val="22"/>
                <w:szCs w:val="22"/>
                <w:highlight w:val="none"/>
                <w:lang w:val="en-US" w:eastAsia="zh-CN"/>
              </w:rPr>
            </w:pPr>
          </w:p>
        </w:tc>
        <w:tc>
          <w:tcPr>
            <w:tcW w:w="1336" w:type="dxa"/>
            <w:shd w:val="clear" w:color="auto" w:fill="auto"/>
            <w:noWrap w:val="0"/>
            <w:vAlign w:val="center"/>
          </w:tcPr>
          <w:p w14:paraId="53B9979B">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80</w:t>
            </w:r>
          </w:p>
        </w:tc>
        <w:tc>
          <w:tcPr>
            <w:tcW w:w="1255" w:type="dxa"/>
            <w:shd w:val="clear" w:color="auto" w:fill="auto"/>
            <w:noWrap w:val="0"/>
            <w:vAlign w:val="center"/>
          </w:tcPr>
          <w:p w14:paraId="067484B7">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3000</w:t>
            </w:r>
          </w:p>
        </w:tc>
        <w:tc>
          <w:tcPr>
            <w:tcW w:w="1486" w:type="dxa"/>
            <w:shd w:val="clear" w:color="auto" w:fill="auto"/>
            <w:noWrap w:val="0"/>
            <w:vAlign w:val="center"/>
          </w:tcPr>
          <w:p w14:paraId="6D63CA4D">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105</w:t>
            </w:r>
          </w:p>
        </w:tc>
        <w:tc>
          <w:tcPr>
            <w:tcW w:w="1159" w:type="dxa"/>
            <w:shd w:val="clear" w:color="auto" w:fill="auto"/>
            <w:noWrap w:val="0"/>
            <w:vAlign w:val="center"/>
          </w:tcPr>
          <w:p w14:paraId="48BC7BB2">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default" w:ascii="宋体" w:hAnsi="宋体" w:cs="宋体"/>
                <w:b/>
                <w:bCs/>
                <w:color w:val="auto"/>
                <w:kern w:val="0"/>
                <w:sz w:val="22"/>
                <w:szCs w:val="22"/>
                <w:highlight w:val="none"/>
                <w:lang w:val="en-US" w:eastAsia="zh-CN"/>
              </w:rPr>
              <w:t>≥0.4</w:t>
            </w:r>
          </w:p>
        </w:tc>
        <w:tc>
          <w:tcPr>
            <w:tcW w:w="1362" w:type="dxa"/>
            <w:shd w:val="clear" w:color="auto" w:fill="auto"/>
            <w:noWrap w:val="0"/>
            <w:vAlign w:val="center"/>
          </w:tcPr>
          <w:p w14:paraId="3C1DEBB2">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96</w:t>
            </w:r>
          </w:p>
        </w:tc>
        <w:tc>
          <w:tcPr>
            <w:tcW w:w="1502" w:type="dxa"/>
            <w:shd w:val="clear" w:color="auto" w:fill="auto"/>
            <w:noWrap w:val="0"/>
            <w:vAlign w:val="center"/>
          </w:tcPr>
          <w:p w14:paraId="31DD222C">
            <w:pPr>
              <w:spacing w:line="280" w:lineRule="exact"/>
              <w:jc w:val="center"/>
              <w:rPr>
                <w:rFonts w:hint="eastAsia"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白天</w:t>
            </w:r>
          </w:p>
        </w:tc>
      </w:tr>
      <w:tr w14:paraId="3872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80" w:type="dxa"/>
            <w:vMerge w:val="continue"/>
            <w:noWrap w:val="0"/>
            <w:vAlign w:val="center"/>
          </w:tcPr>
          <w:p w14:paraId="2425CA77">
            <w:pPr>
              <w:spacing w:line="280" w:lineRule="exact"/>
              <w:jc w:val="center"/>
              <w:rPr>
                <w:rFonts w:hint="default" w:ascii="宋体" w:hAnsi="宋体" w:cs="宋体"/>
                <w:b/>
                <w:bCs/>
                <w:color w:val="auto"/>
                <w:kern w:val="0"/>
                <w:sz w:val="22"/>
                <w:szCs w:val="22"/>
                <w:highlight w:val="none"/>
                <w:lang w:val="en-US" w:eastAsia="zh-CN"/>
              </w:rPr>
            </w:pPr>
          </w:p>
        </w:tc>
        <w:tc>
          <w:tcPr>
            <w:tcW w:w="1336" w:type="dxa"/>
            <w:shd w:val="clear" w:color="auto" w:fill="auto"/>
            <w:noWrap w:val="0"/>
            <w:vAlign w:val="center"/>
          </w:tcPr>
          <w:p w14:paraId="3F73002C">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100</w:t>
            </w:r>
          </w:p>
        </w:tc>
        <w:tc>
          <w:tcPr>
            <w:tcW w:w="1255" w:type="dxa"/>
            <w:shd w:val="clear" w:color="auto" w:fill="auto"/>
            <w:noWrap w:val="0"/>
            <w:vAlign w:val="center"/>
          </w:tcPr>
          <w:p w14:paraId="13CE459F">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3500</w:t>
            </w:r>
          </w:p>
        </w:tc>
        <w:tc>
          <w:tcPr>
            <w:tcW w:w="1486" w:type="dxa"/>
            <w:shd w:val="clear" w:color="auto" w:fill="auto"/>
            <w:noWrap w:val="0"/>
            <w:vAlign w:val="center"/>
          </w:tcPr>
          <w:p w14:paraId="2F629E96">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157.5</w:t>
            </w:r>
          </w:p>
        </w:tc>
        <w:tc>
          <w:tcPr>
            <w:tcW w:w="1159" w:type="dxa"/>
            <w:shd w:val="clear" w:color="auto" w:fill="auto"/>
            <w:noWrap w:val="0"/>
            <w:vAlign w:val="center"/>
          </w:tcPr>
          <w:p w14:paraId="4DE90A73">
            <w:pPr>
              <w:spacing w:line="280" w:lineRule="exact"/>
              <w:jc w:val="center"/>
              <w:rPr>
                <w:rFonts w:hint="eastAsia" w:ascii="宋体" w:hAnsi="宋体" w:eastAsia="宋体" w:cs="宋体"/>
                <w:b/>
                <w:bCs/>
                <w:color w:val="auto"/>
                <w:kern w:val="0"/>
                <w:sz w:val="22"/>
                <w:szCs w:val="22"/>
                <w:highlight w:val="none"/>
                <w:lang w:val="en-US" w:eastAsia="zh-CN" w:bidi="ar-SA"/>
              </w:rPr>
            </w:pPr>
            <w:r>
              <w:rPr>
                <w:rFonts w:hint="default" w:ascii="宋体" w:hAnsi="宋体" w:cs="宋体"/>
                <w:b/>
                <w:bCs/>
                <w:color w:val="auto"/>
                <w:kern w:val="0"/>
                <w:sz w:val="22"/>
                <w:szCs w:val="22"/>
                <w:highlight w:val="none"/>
                <w:lang w:val="en-US" w:eastAsia="zh-CN"/>
              </w:rPr>
              <w:t>≥0.4</w:t>
            </w:r>
          </w:p>
        </w:tc>
        <w:tc>
          <w:tcPr>
            <w:tcW w:w="1362" w:type="dxa"/>
            <w:shd w:val="clear" w:color="auto" w:fill="auto"/>
            <w:noWrap w:val="0"/>
            <w:vAlign w:val="center"/>
          </w:tcPr>
          <w:p w14:paraId="05F23356">
            <w:pPr>
              <w:spacing w:line="280" w:lineRule="exact"/>
              <w:jc w:val="center"/>
              <w:rPr>
                <w:rFonts w:hint="default"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168</w:t>
            </w:r>
          </w:p>
        </w:tc>
        <w:tc>
          <w:tcPr>
            <w:tcW w:w="1502" w:type="dxa"/>
            <w:shd w:val="clear" w:color="auto" w:fill="auto"/>
            <w:noWrap w:val="0"/>
            <w:vAlign w:val="center"/>
          </w:tcPr>
          <w:p w14:paraId="209A9FB6">
            <w:pPr>
              <w:spacing w:line="280" w:lineRule="exact"/>
              <w:jc w:val="center"/>
              <w:rPr>
                <w:rFonts w:hint="eastAsia" w:ascii="宋体" w:hAnsi="宋体" w:eastAsia="宋体" w:cs="宋体"/>
                <w:b/>
                <w:bCs/>
                <w:color w:val="auto"/>
                <w:kern w:val="0"/>
                <w:sz w:val="22"/>
                <w:szCs w:val="22"/>
                <w:highlight w:val="none"/>
                <w:lang w:val="en-US" w:eastAsia="zh-CN" w:bidi="ar-SA"/>
              </w:rPr>
            </w:pPr>
            <w:r>
              <w:rPr>
                <w:rFonts w:hint="eastAsia" w:ascii="宋体" w:hAnsi="宋体" w:cs="宋体"/>
                <w:b/>
                <w:bCs/>
                <w:color w:val="auto"/>
                <w:kern w:val="0"/>
                <w:sz w:val="22"/>
                <w:szCs w:val="22"/>
                <w:highlight w:val="none"/>
                <w:lang w:val="en-US" w:eastAsia="zh-CN"/>
              </w:rPr>
              <w:t>白天</w:t>
            </w:r>
          </w:p>
        </w:tc>
      </w:tr>
      <w:tr w14:paraId="464F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2A77A456">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1407BB4D">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60</w:t>
            </w:r>
          </w:p>
        </w:tc>
        <w:tc>
          <w:tcPr>
            <w:tcW w:w="1255" w:type="dxa"/>
            <w:noWrap w:val="0"/>
            <w:vAlign w:val="center"/>
          </w:tcPr>
          <w:p w14:paraId="69D39064">
            <w:pPr>
              <w:spacing w:line="280" w:lineRule="exact"/>
              <w:jc w:val="center"/>
              <w:rPr>
                <w:rFonts w:hint="default" w:ascii="宋体" w:hAnsi="宋体" w:cs="宋体"/>
                <w:b/>
                <w:bCs/>
                <w:color w:val="auto"/>
                <w:kern w:val="0"/>
                <w:sz w:val="22"/>
                <w:szCs w:val="22"/>
                <w:highlight w:val="none"/>
                <w:lang w:val="en-US" w:eastAsia="zh-CN"/>
              </w:rPr>
            </w:pPr>
          </w:p>
        </w:tc>
        <w:tc>
          <w:tcPr>
            <w:tcW w:w="1486" w:type="dxa"/>
            <w:noWrap w:val="0"/>
            <w:vAlign w:val="center"/>
          </w:tcPr>
          <w:p w14:paraId="71FC40BD">
            <w:pPr>
              <w:spacing w:line="280" w:lineRule="exact"/>
              <w:jc w:val="center"/>
              <w:rPr>
                <w:rFonts w:hint="default" w:ascii="宋体" w:hAnsi="宋体" w:cs="宋体"/>
                <w:b/>
                <w:bCs/>
                <w:color w:val="auto"/>
                <w:kern w:val="0"/>
                <w:sz w:val="22"/>
                <w:szCs w:val="22"/>
                <w:highlight w:val="none"/>
                <w:lang w:val="en-US" w:eastAsia="zh-CN"/>
              </w:rPr>
            </w:pPr>
          </w:p>
        </w:tc>
        <w:tc>
          <w:tcPr>
            <w:tcW w:w="1159" w:type="dxa"/>
            <w:noWrap w:val="0"/>
            <w:vAlign w:val="center"/>
          </w:tcPr>
          <w:p w14:paraId="5282CEB1">
            <w:pPr>
              <w:spacing w:line="280" w:lineRule="exact"/>
              <w:jc w:val="center"/>
              <w:rPr>
                <w:rFonts w:hint="eastAsia" w:ascii="宋体" w:hAnsi="宋体" w:cs="宋体"/>
                <w:b/>
                <w:bCs/>
                <w:color w:val="auto"/>
                <w:kern w:val="0"/>
                <w:sz w:val="22"/>
                <w:szCs w:val="22"/>
                <w:highlight w:val="none"/>
                <w:lang w:val="en-US" w:eastAsia="zh-CN"/>
              </w:rPr>
            </w:pPr>
          </w:p>
        </w:tc>
        <w:tc>
          <w:tcPr>
            <w:tcW w:w="1362" w:type="dxa"/>
            <w:noWrap w:val="0"/>
            <w:vAlign w:val="center"/>
          </w:tcPr>
          <w:p w14:paraId="26A00146">
            <w:pPr>
              <w:spacing w:line="280" w:lineRule="exact"/>
              <w:jc w:val="center"/>
              <w:rPr>
                <w:rFonts w:hint="default" w:ascii="宋体" w:hAnsi="宋体" w:cs="宋体"/>
                <w:b/>
                <w:bCs/>
                <w:color w:val="auto"/>
                <w:kern w:val="0"/>
                <w:sz w:val="22"/>
                <w:szCs w:val="22"/>
                <w:highlight w:val="none"/>
                <w:lang w:val="en-US" w:eastAsia="zh-CN"/>
              </w:rPr>
            </w:pPr>
          </w:p>
        </w:tc>
        <w:tc>
          <w:tcPr>
            <w:tcW w:w="1502" w:type="dxa"/>
            <w:noWrap w:val="0"/>
            <w:vAlign w:val="center"/>
          </w:tcPr>
          <w:p w14:paraId="7B829E35">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夜间</w:t>
            </w:r>
          </w:p>
        </w:tc>
      </w:tr>
      <w:tr w14:paraId="434F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4ECBAF13">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0AAB884E">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80</w:t>
            </w:r>
          </w:p>
        </w:tc>
        <w:tc>
          <w:tcPr>
            <w:tcW w:w="1255" w:type="dxa"/>
            <w:noWrap w:val="0"/>
            <w:vAlign w:val="center"/>
          </w:tcPr>
          <w:p w14:paraId="2A2EBEB1">
            <w:pPr>
              <w:spacing w:line="280" w:lineRule="exact"/>
              <w:jc w:val="center"/>
              <w:rPr>
                <w:rFonts w:hint="default" w:ascii="宋体" w:hAnsi="宋体" w:cs="宋体"/>
                <w:b/>
                <w:bCs/>
                <w:color w:val="auto"/>
                <w:kern w:val="0"/>
                <w:sz w:val="22"/>
                <w:szCs w:val="22"/>
                <w:highlight w:val="none"/>
                <w:lang w:val="en-US" w:eastAsia="zh-CN"/>
              </w:rPr>
            </w:pPr>
          </w:p>
        </w:tc>
        <w:tc>
          <w:tcPr>
            <w:tcW w:w="1486" w:type="dxa"/>
            <w:noWrap w:val="0"/>
            <w:vAlign w:val="center"/>
          </w:tcPr>
          <w:p w14:paraId="6471393E">
            <w:pPr>
              <w:spacing w:line="280" w:lineRule="exact"/>
              <w:jc w:val="center"/>
              <w:rPr>
                <w:rFonts w:hint="default" w:ascii="宋体" w:hAnsi="宋体" w:cs="宋体"/>
                <w:b/>
                <w:bCs/>
                <w:color w:val="auto"/>
                <w:kern w:val="0"/>
                <w:sz w:val="22"/>
                <w:szCs w:val="22"/>
                <w:highlight w:val="none"/>
                <w:lang w:val="en-US" w:eastAsia="zh-CN"/>
              </w:rPr>
            </w:pPr>
          </w:p>
        </w:tc>
        <w:tc>
          <w:tcPr>
            <w:tcW w:w="1159" w:type="dxa"/>
            <w:noWrap w:val="0"/>
            <w:vAlign w:val="center"/>
          </w:tcPr>
          <w:p w14:paraId="1FC739D1">
            <w:pPr>
              <w:spacing w:line="280" w:lineRule="exact"/>
              <w:jc w:val="center"/>
              <w:rPr>
                <w:rFonts w:hint="eastAsia" w:ascii="宋体" w:hAnsi="宋体" w:cs="宋体"/>
                <w:b/>
                <w:bCs/>
                <w:color w:val="auto"/>
                <w:kern w:val="0"/>
                <w:sz w:val="22"/>
                <w:szCs w:val="22"/>
                <w:highlight w:val="none"/>
                <w:lang w:val="en-US" w:eastAsia="zh-CN"/>
              </w:rPr>
            </w:pPr>
          </w:p>
        </w:tc>
        <w:tc>
          <w:tcPr>
            <w:tcW w:w="1362" w:type="dxa"/>
            <w:noWrap w:val="0"/>
            <w:vAlign w:val="center"/>
          </w:tcPr>
          <w:p w14:paraId="1989E2BC">
            <w:pPr>
              <w:spacing w:line="280" w:lineRule="exact"/>
              <w:jc w:val="center"/>
              <w:rPr>
                <w:rFonts w:hint="default" w:ascii="宋体" w:hAnsi="宋体" w:cs="宋体"/>
                <w:b/>
                <w:bCs/>
                <w:color w:val="auto"/>
                <w:kern w:val="0"/>
                <w:sz w:val="22"/>
                <w:szCs w:val="22"/>
                <w:highlight w:val="none"/>
                <w:lang w:val="en-US" w:eastAsia="zh-CN"/>
              </w:rPr>
            </w:pPr>
          </w:p>
        </w:tc>
        <w:tc>
          <w:tcPr>
            <w:tcW w:w="1502" w:type="dxa"/>
            <w:noWrap w:val="0"/>
            <w:vAlign w:val="center"/>
          </w:tcPr>
          <w:p w14:paraId="7220EEEB">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夜间</w:t>
            </w:r>
          </w:p>
        </w:tc>
      </w:tr>
      <w:tr w14:paraId="6F85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1F6E8516">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053A5E8F">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100</w:t>
            </w:r>
          </w:p>
        </w:tc>
        <w:tc>
          <w:tcPr>
            <w:tcW w:w="1255" w:type="dxa"/>
            <w:noWrap w:val="0"/>
            <w:vAlign w:val="center"/>
          </w:tcPr>
          <w:p w14:paraId="009A93C0">
            <w:pPr>
              <w:spacing w:line="280" w:lineRule="exact"/>
              <w:jc w:val="center"/>
              <w:rPr>
                <w:rFonts w:hint="default" w:ascii="宋体" w:hAnsi="宋体" w:cs="宋体"/>
                <w:b/>
                <w:bCs/>
                <w:color w:val="auto"/>
                <w:kern w:val="0"/>
                <w:sz w:val="22"/>
                <w:szCs w:val="22"/>
                <w:highlight w:val="none"/>
                <w:lang w:val="en-US" w:eastAsia="zh-CN"/>
              </w:rPr>
            </w:pPr>
          </w:p>
        </w:tc>
        <w:tc>
          <w:tcPr>
            <w:tcW w:w="1486" w:type="dxa"/>
            <w:noWrap w:val="0"/>
            <w:vAlign w:val="center"/>
          </w:tcPr>
          <w:p w14:paraId="054CF34A">
            <w:pPr>
              <w:spacing w:line="280" w:lineRule="exact"/>
              <w:jc w:val="center"/>
              <w:rPr>
                <w:rFonts w:hint="default" w:ascii="宋体" w:hAnsi="宋体" w:cs="宋体"/>
                <w:b/>
                <w:bCs/>
                <w:color w:val="auto"/>
                <w:kern w:val="0"/>
                <w:sz w:val="22"/>
                <w:szCs w:val="22"/>
                <w:highlight w:val="none"/>
                <w:lang w:val="en-US" w:eastAsia="zh-CN"/>
              </w:rPr>
            </w:pPr>
          </w:p>
        </w:tc>
        <w:tc>
          <w:tcPr>
            <w:tcW w:w="1159" w:type="dxa"/>
            <w:noWrap w:val="0"/>
            <w:vAlign w:val="center"/>
          </w:tcPr>
          <w:p w14:paraId="53792186">
            <w:pPr>
              <w:spacing w:line="280" w:lineRule="exact"/>
              <w:jc w:val="center"/>
              <w:rPr>
                <w:rFonts w:hint="eastAsia" w:ascii="宋体" w:hAnsi="宋体" w:cs="宋体"/>
                <w:b/>
                <w:bCs/>
                <w:color w:val="auto"/>
                <w:kern w:val="0"/>
                <w:sz w:val="22"/>
                <w:szCs w:val="22"/>
                <w:highlight w:val="none"/>
                <w:lang w:val="en-US" w:eastAsia="zh-CN"/>
              </w:rPr>
            </w:pPr>
          </w:p>
        </w:tc>
        <w:tc>
          <w:tcPr>
            <w:tcW w:w="1362" w:type="dxa"/>
            <w:noWrap w:val="0"/>
            <w:vAlign w:val="center"/>
          </w:tcPr>
          <w:p w14:paraId="63A89838">
            <w:pPr>
              <w:spacing w:line="280" w:lineRule="exact"/>
              <w:jc w:val="center"/>
              <w:rPr>
                <w:rFonts w:hint="default" w:ascii="宋体" w:hAnsi="宋体" w:cs="宋体"/>
                <w:b/>
                <w:bCs/>
                <w:color w:val="auto"/>
                <w:kern w:val="0"/>
                <w:sz w:val="22"/>
                <w:szCs w:val="22"/>
                <w:highlight w:val="none"/>
                <w:lang w:val="en-US" w:eastAsia="zh-CN"/>
              </w:rPr>
            </w:pPr>
          </w:p>
        </w:tc>
        <w:tc>
          <w:tcPr>
            <w:tcW w:w="1502" w:type="dxa"/>
            <w:noWrap w:val="0"/>
            <w:vAlign w:val="center"/>
          </w:tcPr>
          <w:p w14:paraId="4C48BCF8">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夜间</w:t>
            </w:r>
          </w:p>
        </w:tc>
      </w:tr>
      <w:tr w14:paraId="217C7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restart"/>
            <w:noWrap w:val="0"/>
            <w:vAlign w:val="center"/>
          </w:tcPr>
          <w:p w14:paraId="55013729">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过渡段</w:t>
            </w:r>
          </w:p>
        </w:tc>
        <w:tc>
          <w:tcPr>
            <w:tcW w:w="1336" w:type="dxa"/>
            <w:noWrap w:val="0"/>
            <w:vAlign w:val="center"/>
          </w:tcPr>
          <w:p w14:paraId="24465426">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60</w:t>
            </w:r>
          </w:p>
        </w:tc>
        <w:tc>
          <w:tcPr>
            <w:tcW w:w="1255" w:type="dxa"/>
            <w:noWrap w:val="0"/>
            <w:vAlign w:val="center"/>
          </w:tcPr>
          <w:p w14:paraId="36CE7820">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020FFC1F">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8.3</w:t>
            </w:r>
          </w:p>
        </w:tc>
        <w:tc>
          <w:tcPr>
            <w:tcW w:w="1159" w:type="dxa"/>
            <w:noWrap w:val="0"/>
            <w:vAlign w:val="center"/>
          </w:tcPr>
          <w:p w14:paraId="5BECDB3C">
            <w:pPr>
              <w:spacing w:line="280" w:lineRule="exact"/>
              <w:jc w:val="center"/>
              <w:rPr>
                <w:rFonts w:hint="default" w:ascii="宋体" w:hAnsi="宋体" w:cs="宋体"/>
                <w:b/>
                <w:bCs/>
                <w:color w:val="auto"/>
                <w:kern w:val="0"/>
                <w:sz w:val="22"/>
                <w:szCs w:val="22"/>
                <w:highlight w:val="none"/>
                <w:lang w:val="en-US" w:eastAsia="zh-CN"/>
              </w:rPr>
            </w:pPr>
            <w:r>
              <w:rPr>
                <w:rFonts w:hint="default" w:ascii="宋体" w:hAnsi="宋体" w:cs="宋体"/>
                <w:b/>
                <w:bCs/>
                <w:color w:val="auto"/>
                <w:kern w:val="0"/>
                <w:sz w:val="22"/>
                <w:szCs w:val="22"/>
                <w:highlight w:val="none"/>
                <w:lang w:val="en-US" w:eastAsia="zh-CN"/>
              </w:rPr>
              <w:t>≥0.4</w:t>
            </w:r>
          </w:p>
        </w:tc>
        <w:tc>
          <w:tcPr>
            <w:tcW w:w="1362" w:type="dxa"/>
            <w:noWrap w:val="0"/>
            <w:vAlign w:val="center"/>
          </w:tcPr>
          <w:p w14:paraId="7D5284B0">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120</w:t>
            </w:r>
          </w:p>
        </w:tc>
        <w:tc>
          <w:tcPr>
            <w:tcW w:w="1502" w:type="dxa"/>
            <w:noWrap w:val="0"/>
            <w:vAlign w:val="center"/>
          </w:tcPr>
          <w:p w14:paraId="6804E217">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白天</w:t>
            </w:r>
          </w:p>
        </w:tc>
      </w:tr>
      <w:tr w14:paraId="6D1F6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6F9C9DB2">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264A5293">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80</w:t>
            </w:r>
          </w:p>
        </w:tc>
        <w:tc>
          <w:tcPr>
            <w:tcW w:w="1255" w:type="dxa"/>
            <w:noWrap w:val="0"/>
            <w:vAlign w:val="center"/>
          </w:tcPr>
          <w:p w14:paraId="339F623A">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6669D35C">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15.8</w:t>
            </w:r>
          </w:p>
        </w:tc>
        <w:tc>
          <w:tcPr>
            <w:tcW w:w="1159" w:type="dxa"/>
            <w:noWrap w:val="0"/>
            <w:vAlign w:val="center"/>
          </w:tcPr>
          <w:p w14:paraId="6CECE6D2">
            <w:pPr>
              <w:spacing w:line="280" w:lineRule="exact"/>
              <w:jc w:val="center"/>
              <w:rPr>
                <w:rFonts w:hint="default" w:ascii="宋体" w:hAnsi="宋体" w:cs="宋体"/>
                <w:b/>
                <w:bCs/>
                <w:color w:val="auto"/>
                <w:kern w:val="0"/>
                <w:sz w:val="22"/>
                <w:szCs w:val="22"/>
                <w:highlight w:val="none"/>
                <w:lang w:val="en-US" w:eastAsia="zh-CN"/>
              </w:rPr>
            </w:pPr>
            <w:r>
              <w:rPr>
                <w:rFonts w:hint="default" w:ascii="宋体" w:hAnsi="宋体" w:cs="宋体"/>
                <w:b/>
                <w:bCs/>
                <w:color w:val="auto"/>
                <w:kern w:val="0"/>
                <w:sz w:val="22"/>
                <w:szCs w:val="22"/>
                <w:highlight w:val="none"/>
                <w:lang w:val="en-US" w:eastAsia="zh-CN"/>
              </w:rPr>
              <w:t>≥0.4</w:t>
            </w:r>
          </w:p>
        </w:tc>
        <w:tc>
          <w:tcPr>
            <w:tcW w:w="1362" w:type="dxa"/>
            <w:noWrap w:val="0"/>
            <w:vAlign w:val="center"/>
          </w:tcPr>
          <w:p w14:paraId="11F6E1A2">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168</w:t>
            </w:r>
          </w:p>
        </w:tc>
        <w:tc>
          <w:tcPr>
            <w:tcW w:w="1502" w:type="dxa"/>
            <w:noWrap w:val="0"/>
            <w:vAlign w:val="center"/>
          </w:tcPr>
          <w:p w14:paraId="2EE1DA00">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白天</w:t>
            </w:r>
          </w:p>
        </w:tc>
      </w:tr>
      <w:tr w14:paraId="69B6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73250914">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49DA479D">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100</w:t>
            </w:r>
          </w:p>
        </w:tc>
        <w:tc>
          <w:tcPr>
            <w:tcW w:w="1255" w:type="dxa"/>
            <w:noWrap w:val="0"/>
            <w:vAlign w:val="center"/>
          </w:tcPr>
          <w:p w14:paraId="772B93A6">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147E2B97">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23.7</w:t>
            </w:r>
          </w:p>
        </w:tc>
        <w:tc>
          <w:tcPr>
            <w:tcW w:w="1159" w:type="dxa"/>
            <w:noWrap w:val="0"/>
            <w:vAlign w:val="center"/>
          </w:tcPr>
          <w:p w14:paraId="16993096">
            <w:pPr>
              <w:spacing w:line="280" w:lineRule="exact"/>
              <w:jc w:val="center"/>
              <w:rPr>
                <w:rFonts w:hint="default" w:ascii="宋体" w:hAnsi="宋体" w:cs="宋体"/>
                <w:b/>
                <w:bCs/>
                <w:color w:val="auto"/>
                <w:kern w:val="0"/>
                <w:sz w:val="22"/>
                <w:szCs w:val="22"/>
                <w:highlight w:val="none"/>
                <w:lang w:val="en-US" w:eastAsia="zh-CN"/>
              </w:rPr>
            </w:pPr>
            <w:r>
              <w:rPr>
                <w:rFonts w:hint="default" w:ascii="宋体" w:hAnsi="宋体" w:cs="宋体"/>
                <w:b/>
                <w:bCs/>
                <w:color w:val="auto"/>
                <w:kern w:val="0"/>
                <w:sz w:val="22"/>
                <w:szCs w:val="22"/>
                <w:highlight w:val="none"/>
                <w:lang w:val="en-US" w:eastAsia="zh-CN"/>
              </w:rPr>
              <w:t>≥0.4</w:t>
            </w:r>
          </w:p>
        </w:tc>
        <w:tc>
          <w:tcPr>
            <w:tcW w:w="1362" w:type="dxa"/>
            <w:noWrap w:val="0"/>
            <w:vAlign w:val="center"/>
          </w:tcPr>
          <w:p w14:paraId="4B0311FE">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228</w:t>
            </w:r>
          </w:p>
        </w:tc>
        <w:tc>
          <w:tcPr>
            <w:tcW w:w="1502" w:type="dxa"/>
            <w:noWrap w:val="0"/>
            <w:vAlign w:val="center"/>
          </w:tcPr>
          <w:p w14:paraId="093CF249">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白天</w:t>
            </w:r>
          </w:p>
        </w:tc>
      </w:tr>
      <w:tr w14:paraId="3274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7BEF3CB8">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727711E3">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60</w:t>
            </w:r>
          </w:p>
        </w:tc>
        <w:tc>
          <w:tcPr>
            <w:tcW w:w="1255" w:type="dxa"/>
            <w:noWrap w:val="0"/>
            <w:vAlign w:val="center"/>
          </w:tcPr>
          <w:p w14:paraId="5D53D50F">
            <w:pPr>
              <w:spacing w:line="280" w:lineRule="exact"/>
              <w:jc w:val="center"/>
              <w:rPr>
                <w:rFonts w:hint="eastAsia" w:ascii="宋体" w:hAnsi="宋体" w:cs="宋体"/>
                <w:b/>
                <w:bCs/>
                <w:color w:val="auto"/>
                <w:kern w:val="0"/>
                <w:sz w:val="22"/>
                <w:szCs w:val="22"/>
                <w:highlight w:val="none"/>
                <w:lang w:val="en-US" w:eastAsia="zh-CN"/>
              </w:rPr>
            </w:pPr>
          </w:p>
        </w:tc>
        <w:tc>
          <w:tcPr>
            <w:tcW w:w="1486" w:type="dxa"/>
            <w:noWrap w:val="0"/>
            <w:vAlign w:val="center"/>
          </w:tcPr>
          <w:p w14:paraId="73221323">
            <w:pPr>
              <w:spacing w:line="280" w:lineRule="exact"/>
              <w:jc w:val="center"/>
              <w:rPr>
                <w:rFonts w:hint="default" w:ascii="宋体" w:hAnsi="宋体" w:cs="宋体"/>
                <w:b/>
                <w:bCs/>
                <w:color w:val="auto"/>
                <w:kern w:val="0"/>
                <w:sz w:val="22"/>
                <w:szCs w:val="22"/>
                <w:highlight w:val="none"/>
                <w:lang w:val="en-US" w:eastAsia="zh-CN"/>
              </w:rPr>
            </w:pPr>
          </w:p>
        </w:tc>
        <w:tc>
          <w:tcPr>
            <w:tcW w:w="1159" w:type="dxa"/>
            <w:noWrap w:val="0"/>
            <w:vAlign w:val="center"/>
          </w:tcPr>
          <w:p w14:paraId="6BC8D901">
            <w:pPr>
              <w:spacing w:line="280" w:lineRule="exact"/>
              <w:jc w:val="center"/>
              <w:rPr>
                <w:rFonts w:hint="default" w:ascii="宋体" w:hAnsi="宋体" w:cs="宋体"/>
                <w:b/>
                <w:bCs/>
                <w:color w:val="auto"/>
                <w:kern w:val="0"/>
                <w:sz w:val="22"/>
                <w:szCs w:val="22"/>
                <w:highlight w:val="none"/>
                <w:lang w:val="en-US" w:eastAsia="zh-CN"/>
              </w:rPr>
            </w:pPr>
          </w:p>
        </w:tc>
        <w:tc>
          <w:tcPr>
            <w:tcW w:w="1362" w:type="dxa"/>
            <w:noWrap w:val="0"/>
            <w:vAlign w:val="center"/>
          </w:tcPr>
          <w:p w14:paraId="77A4A04D">
            <w:pPr>
              <w:spacing w:line="280" w:lineRule="exact"/>
              <w:jc w:val="center"/>
              <w:rPr>
                <w:rFonts w:hint="default" w:ascii="宋体" w:hAnsi="宋体" w:cs="宋体"/>
                <w:b/>
                <w:bCs/>
                <w:color w:val="auto"/>
                <w:kern w:val="0"/>
                <w:sz w:val="22"/>
                <w:szCs w:val="22"/>
                <w:highlight w:val="none"/>
                <w:lang w:val="en-US" w:eastAsia="zh-CN"/>
              </w:rPr>
            </w:pPr>
          </w:p>
        </w:tc>
        <w:tc>
          <w:tcPr>
            <w:tcW w:w="1502" w:type="dxa"/>
            <w:noWrap w:val="0"/>
            <w:vAlign w:val="center"/>
          </w:tcPr>
          <w:p w14:paraId="0F2E0C47">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夜间</w:t>
            </w:r>
          </w:p>
        </w:tc>
      </w:tr>
      <w:tr w14:paraId="7181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11366BEA">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5682BCF1">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80</w:t>
            </w:r>
          </w:p>
        </w:tc>
        <w:tc>
          <w:tcPr>
            <w:tcW w:w="1255" w:type="dxa"/>
            <w:noWrap w:val="0"/>
            <w:vAlign w:val="center"/>
          </w:tcPr>
          <w:p w14:paraId="676DA7DC">
            <w:pPr>
              <w:spacing w:line="280" w:lineRule="exact"/>
              <w:jc w:val="center"/>
              <w:rPr>
                <w:rFonts w:hint="eastAsia" w:ascii="宋体" w:hAnsi="宋体" w:cs="宋体"/>
                <w:b/>
                <w:bCs/>
                <w:color w:val="auto"/>
                <w:kern w:val="0"/>
                <w:sz w:val="22"/>
                <w:szCs w:val="22"/>
                <w:highlight w:val="none"/>
                <w:lang w:val="en-US" w:eastAsia="zh-CN"/>
              </w:rPr>
            </w:pPr>
          </w:p>
        </w:tc>
        <w:tc>
          <w:tcPr>
            <w:tcW w:w="1486" w:type="dxa"/>
            <w:noWrap w:val="0"/>
            <w:vAlign w:val="center"/>
          </w:tcPr>
          <w:p w14:paraId="450DF1B6">
            <w:pPr>
              <w:spacing w:line="280" w:lineRule="exact"/>
              <w:jc w:val="center"/>
              <w:rPr>
                <w:rFonts w:hint="default" w:ascii="宋体" w:hAnsi="宋体" w:cs="宋体"/>
                <w:b/>
                <w:bCs/>
                <w:color w:val="auto"/>
                <w:kern w:val="0"/>
                <w:sz w:val="22"/>
                <w:szCs w:val="22"/>
                <w:highlight w:val="none"/>
                <w:lang w:val="en-US" w:eastAsia="zh-CN"/>
              </w:rPr>
            </w:pPr>
          </w:p>
        </w:tc>
        <w:tc>
          <w:tcPr>
            <w:tcW w:w="1159" w:type="dxa"/>
            <w:noWrap w:val="0"/>
            <w:vAlign w:val="center"/>
          </w:tcPr>
          <w:p w14:paraId="7649F36D">
            <w:pPr>
              <w:spacing w:line="280" w:lineRule="exact"/>
              <w:jc w:val="center"/>
              <w:rPr>
                <w:rFonts w:hint="default" w:ascii="宋体" w:hAnsi="宋体" w:cs="宋体"/>
                <w:b/>
                <w:bCs/>
                <w:color w:val="auto"/>
                <w:kern w:val="0"/>
                <w:sz w:val="22"/>
                <w:szCs w:val="22"/>
                <w:highlight w:val="none"/>
                <w:lang w:val="en-US" w:eastAsia="zh-CN"/>
              </w:rPr>
            </w:pPr>
          </w:p>
        </w:tc>
        <w:tc>
          <w:tcPr>
            <w:tcW w:w="1362" w:type="dxa"/>
            <w:noWrap w:val="0"/>
            <w:vAlign w:val="center"/>
          </w:tcPr>
          <w:p w14:paraId="5028EB13">
            <w:pPr>
              <w:spacing w:line="280" w:lineRule="exact"/>
              <w:jc w:val="center"/>
              <w:rPr>
                <w:rFonts w:hint="default" w:ascii="宋体" w:hAnsi="宋体" w:cs="宋体"/>
                <w:b/>
                <w:bCs/>
                <w:color w:val="auto"/>
                <w:kern w:val="0"/>
                <w:sz w:val="22"/>
                <w:szCs w:val="22"/>
                <w:highlight w:val="none"/>
                <w:lang w:val="en-US" w:eastAsia="zh-CN"/>
              </w:rPr>
            </w:pPr>
          </w:p>
        </w:tc>
        <w:tc>
          <w:tcPr>
            <w:tcW w:w="1502" w:type="dxa"/>
            <w:noWrap w:val="0"/>
            <w:vAlign w:val="center"/>
          </w:tcPr>
          <w:p w14:paraId="4C2731C2">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夜间</w:t>
            </w:r>
          </w:p>
        </w:tc>
      </w:tr>
      <w:tr w14:paraId="2BEC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40982912">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0995B6E8">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100</w:t>
            </w:r>
          </w:p>
        </w:tc>
        <w:tc>
          <w:tcPr>
            <w:tcW w:w="1255" w:type="dxa"/>
            <w:noWrap w:val="0"/>
            <w:vAlign w:val="center"/>
          </w:tcPr>
          <w:p w14:paraId="34BEAFFC">
            <w:pPr>
              <w:spacing w:line="280" w:lineRule="exact"/>
              <w:jc w:val="center"/>
              <w:rPr>
                <w:rFonts w:hint="eastAsia" w:ascii="宋体" w:hAnsi="宋体" w:cs="宋体"/>
                <w:b/>
                <w:bCs/>
                <w:color w:val="auto"/>
                <w:kern w:val="0"/>
                <w:sz w:val="22"/>
                <w:szCs w:val="22"/>
                <w:highlight w:val="none"/>
                <w:lang w:val="en-US" w:eastAsia="zh-CN"/>
              </w:rPr>
            </w:pPr>
          </w:p>
        </w:tc>
        <w:tc>
          <w:tcPr>
            <w:tcW w:w="1486" w:type="dxa"/>
            <w:noWrap w:val="0"/>
            <w:vAlign w:val="center"/>
          </w:tcPr>
          <w:p w14:paraId="6FB4557B">
            <w:pPr>
              <w:spacing w:line="280" w:lineRule="exact"/>
              <w:jc w:val="center"/>
              <w:rPr>
                <w:rFonts w:hint="default" w:ascii="宋体" w:hAnsi="宋体" w:cs="宋体"/>
                <w:b/>
                <w:bCs/>
                <w:color w:val="auto"/>
                <w:kern w:val="0"/>
                <w:sz w:val="22"/>
                <w:szCs w:val="22"/>
                <w:highlight w:val="none"/>
                <w:lang w:val="en-US" w:eastAsia="zh-CN"/>
              </w:rPr>
            </w:pPr>
          </w:p>
        </w:tc>
        <w:tc>
          <w:tcPr>
            <w:tcW w:w="1159" w:type="dxa"/>
            <w:noWrap w:val="0"/>
            <w:vAlign w:val="center"/>
          </w:tcPr>
          <w:p w14:paraId="27FB37B8">
            <w:pPr>
              <w:spacing w:line="280" w:lineRule="exact"/>
              <w:jc w:val="center"/>
              <w:rPr>
                <w:rFonts w:hint="default" w:ascii="宋体" w:hAnsi="宋体" w:cs="宋体"/>
                <w:b/>
                <w:bCs/>
                <w:color w:val="auto"/>
                <w:kern w:val="0"/>
                <w:sz w:val="22"/>
                <w:szCs w:val="22"/>
                <w:highlight w:val="none"/>
                <w:lang w:val="en-US" w:eastAsia="zh-CN"/>
              </w:rPr>
            </w:pPr>
          </w:p>
        </w:tc>
        <w:tc>
          <w:tcPr>
            <w:tcW w:w="1362" w:type="dxa"/>
            <w:noWrap w:val="0"/>
            <w:vAlign w:val="center"/>
          </w:tcPr>
          <w:p w14:paraId="6BC2A274">
            <w:pPr>
              <w:spacing w:line="280" w:lineRule="exact"/>
              <w:jc w:val="center"/>
              <w:rPr>
                <w:rFonts w:hint="default" w:ascii="宋体" w:hAnsi="宋体" w:cs="宋体"/>
                <w:b/>
                <w:bCs/>
                <w:color w:val="auto"/>
                <w:kern w:val="0"/>
                <w:sz w:val="22"/>
                <w:szCs w:val="22"/>
                <w:highlight w:val="none"/>
                <w:lang w:val="en-US" w:eastAsia="zh-CN"/>
              </w:rPr>
            </w:pPr>
          </w:p>
        </w:tc>
        <w:tc>
          <w:tcPr>
            <w:tcW w:w="1502" w:type="dxa"/>
            <w:noWrap w:val="0"/>
            <w:vAlign w:val="center"/>
          </w:tcPr>
          <w:p w14:paraId="6E8EB050">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夜间</w:t>
            </w:r>
          </w:p>
        </w:tc>
      </w:tr>
      <w:tr w14:paraId="03F0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restart"/>
            <w:noWrap w:val="0"/>
            <w:vAlign w:val="center"/>
          </w:tcPr>
          <w:p w14:paraId="115BCCA9">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内部段</w:t>
            </w:r>
          </w:p>
        </w:tc>
        <w:tc>
          <w:tcPr>
            <w:tcW w:w="1336" w:type="dxa"/>
            <w:noWrap w:val="0"/>
            <w:vAlign w:val="center"/>
          </w:tcPr>
          <w:p w14:paraId="59D851CA">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60</w:t>
            </w:r>
          </w:p>
        </w:tc>
        <w:tc>
          <w:tcPr>
            <w:tcW w:w="1255" w:type="dxa"/>
            <w:noWrap w:val="0"/>
            <w:vAlign w:val="center"/>
          </w:tcPr>
          <w:p w14:paraId="30E72935">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75008A39">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2</w:t>
            </w:r>
          </w:p>
        </w:tc>
        <w:tc>
          <w:tcPr>
            <w:tcW w:w="1159" w:type="dxa"/>
            <w:noWrap w:val="0"/>
            <w:vAlign w:val="center"/>
          </w:tcPr>
          <w:p w14:paraId="2ACE1D96">
            <w:pPr>
              <w:spacing w:line="280" w:lineRule="exact"/>
              <w:jc w:val="center"/>
              <w:rPr>
                <w:rFonts w:hint="default" w:ascii="宋体" w:hAnsi="宋体" w:cs="宋体"/>
                <w:b/>
                <w:bCs/>
                <w:color w:val="auto"/>
                <w:kern w:val="0"/>
                <w:sz w:val="22"/>
                <w:szCs w:val="22"/>
                <w:highlight w:val="none"/>
                <w:lang w:val="en-US" w:eastAsia="zh-CN"/>
              </w:rPr>
            </w:pPr>
            <w:r>
              <w:rPr>
                <w:rFonts w:hint="default" w:ascii="宋体" w:hAnsi="宋体" w:cs="宋体"/>
                <w:b/>
                <w:bCs/>
                <w:color w:val="auto"/>
                <w:kern w:val="0"/>
                <w:sz w:val="22"/>
                <w:szCs w:val="22"/>
                <w:highlight w:val="none"/>
                <w:lang w:val="en-US" w:eastAsia="zh-CN"/>
              </w:rPr>
              <w:t>≥0.4</w:t>
            </w:r>
          </w:p>
        </w:tc>
        <w:tc>
          <w:tcPr>
            <w:tcW w:w="1362" w:type="dxa"/>
            <w:noWrap w:val="0"/>
            <w:vAlign w:val="center"/>
          </w:tcPr>
          <w:p w14:paraId="03DD8299">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502" w:type="dxa"/>
            <w:noWrap w:val="0"/>
            <w:vAlign w:val="center"/>
          </w:tcPr>
          <w:p w14:paraId="0019064B">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白天</w:t>
            </w:r>
          </w:p>
        </w:tc>
      </w:tr>
      <w:tr w14:paraId="7ACE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34183094">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38899672">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80</w:t>
            </w:r>
          </w:p>
        </w:tc>
        <w:tc>
          <w:tcPr>
            <w:tcW w:w="1255" w:type="dxa"/>
            <w:noWrap w:val="0"/>
            <w:vAlign w:val="center"/>
          </w:tcPr>
          <w:p w14:paraId="0FEE1ADE">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677C09E2">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3.5</w:t>
            </w:r>
          </w:p>
        </w:tc>
        <w:tc>
          <w:tcPr>
            <w:tcW w:w="1159" w:type="dxa"/>
            <w:noWrap w:val="0"/>
            <w:vAlign w:val="center"/>
          </w:tcPr>
          <w:p w14:paraId="37C6847A">
            <w:pPr>
              <w:spacing w:line="280" w:lineRule="exact"/>
              <w:jc w:val="center"/>
              <w:rPr>
                <w:rFonts w:hint="default" w:ascii="宋体" w:hAnsi="宋体" w:cs="宋体"/>
                <w:b/>
                <w:bCs/>
                <w:color w:val="auto"/>
                <w:kern w:val="0"/>
                <w:sz w:val="22"/>
                <w:szCs w:val="22"/>
                <w:highlight w:val="none"/>
                <w:lang w:val="en-US" w:eastAsia="zh-CN"/>
              </w:rPr>
            </w:pPr>
            <w:r>
              <w:rPr>
                <w:rFonts w:hint="default" w:ascii="宋体" w:hAnsi="宋体" w:cs="宋体"/>
                <w:b/>
                <w:bCs/>
                <w:color w:val="auto"/>
                <w:kern w:val="0"/>
                <w:sz w:val="22"/>
                <w:szCs w:val="22"/>
                <w:highlight w:val="none"/>
                <w:lang w:val="en-US" w:eastAsia="zh-CN"/>
              </w:rPr>
              <w:t>≥0.4</w:t>
            </w:r>
          </w:p>
        </w:tc>
        <w:tc>
          <w:tcPr>
            <w:tcW w:w="1362" w:type="dxa"/>
            <w:noWrap w:val="0"/>
            <w:vAlign w:val="center"/>
          </w:tcPr>
          <w:p w14:paraId="6F211372">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502" w:type="dxa"/>
            <w:noWrap w:val="0"/>
            <w:vAlign w:val="center"/>
          </w:tcPr>
          <w:p w14:paraId="39AD0C04">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白天</w:t>
            </w:r>
          </w:p>
        </w:tc>
      </w:tr>
      <w:tr w14:paraId="6856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33A791D8">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181B2C9D">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100</w:t>
            </w:r>
          </w:p>
        </w:tc>
        <w:tc>
          <w:tcPr>
            <w:tcW w:w="1255" w:type="dxa"/>
            <w:noWrap w:val="0"/>
            <w:vAlign w:val="center"/>
          </w:tcPr>
          <w:p w14:paraId="6E45B42C">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0409A375">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3.5</w:t>
            </w:r>
          </w:p>
        </w:tc>
        <w:tc>
          <w:tcPr>
            <w:tcW w:w="1159" w:type="dxa"/>
            <w:noWrap w:val="0"/>
            <w:vAlign w:val="center"/>
          </w:tcPr>
          <w:p w14:paraId="5A17C45E">
            <w:pPr>
              <w:spacing w:line="280" w:lineRule="exact"/>
              <w:jc w:val="center"/>
              <w:rPr>
                <w:rFonts w:hint="default" w:ascii="宋体" w:hAnsi="宋体" w:cs="宋体"/>
                <w:b/>
                <w:bCs/>
                <w:color w:val="auto"/>
                <w:kern w:val="0"/>
                <w:sz w:val="22"/>
                <w:szCs w:val="22"/>
                <w:highlight w:val="none"/>
                <w:lang w:val="en-US" w:eastAsia="zh-CN"/>
              </w:rPr>
            </w:pPr>
            <w:r>
              <w:rPr>
                <w:rFonts w:hint="default" w:ascii="宋体" w:hAnsi="宋体" w:cs="宋体"/>
                <w:b/>
                <w:bCs/>
                <w:color w:val="auto"/>
                <w:kern w:val="0"/>
                <w:sz w:val="22"/>
                <w:szCs w:val="22"/>
                <w:highlight w:val="none"/>
                <w:lang w:val="en-US" w:eastAsia="zh-CN"/>
              </w:rPr>
              <w:t>≥0.4</w:t>
            </w:r>
          </w:p>
        </w:tc>
        <w:tc>
          <w:tcPr>
            <w:tcW w:w="1362" w:type="dxa"/>
            <w:noWrap w:val="0"/>
            <w:vAlign w:val="center"/>
          </w:tcPr>
          <w:p w14:paraId="1D3BFF21">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502" w:type="dxa"/>
            <w:noWrap w:val="0"/>
            <w:vAlign w:val="center"/>
          </w:tcPr>
          <w:p w14:paraId="07AEAD34">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白天</w:t>
            </w:r>
          </w:p>
        </w:tc>
      </w:tr>
      <w:tr w14:paraId="1C4B2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29A26EA8">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06D7D380">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60</w:t>
            </w:r>
          </w:p>
        </w:tc>
        <w:tc>
          <w:tcPr>
            <w:tcW w:w="1255" w:type="dxa"/>
            <w:noWrap w:val="0"/>
            <w:vAlign w:val="center"/>
          </w:tcPr>
          <w:p w14:paraId="7E31CC2C">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2C978615">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2</w:t>
            </w:r>
          </w:p>
        </w:tc>
        <w:tc>
          <w:tcPr>
            <w:tcW w:w="1159" w:type="dxa"/>
            <w:noWrap w:val="0"/>
            <w:vAlign w:val="center"/>
          </w:tcPr>
          <w:p w14:paraId="04EB63AD">
            <w:pPr>
              <w:spacing w:line="280" w:lineRule="exact"/>
              <w:jc w:val="center"/>
              <w:rPr>
                <w:rFonts w:hint="default" w:ascii="宋体" w:hAnsi="宋体" w:cs="宋体"/>
                <w:b/>
                <w:bCs/>
                <w:color w:val="auto"/>
                <w:kern w:val="0"/>
                <w:sz w:val="22"/>
                <w:szCs w:val="22"/>
                <w:highlight w:val="none"/>
                <w:lang w:val="en-US" w:eastAsia="zh-CN"/>
              </w:rPr>
            </w:pPr>
            <w:r>
              <w:rPr>
                <w:rFonts w:hint="default" w:ascii="宋体" w:hAnsi="宋体" w:cs="宋体"/>
                <w:b/>
                <w:bCs/>
                <w:color w:val="auto"/>
                <w:kern w:val="0"/>
                <w:sz w:val="22"/>
                <w:szCs w:val="22"/>
                <w:highlight w:val="none"/>
                <w:lang w:val="en-US" w:eastAsia="zh-CN"/>
              </w:rPr>
              <w:t>≥0.4</w:t>
            </w:r>
          </w:p>
        </w:tc>
        <w:tc>
          <w:tcPr>
            <w:tcW w:w="1362" w:type="dxa"/>
            <w:noWrap w:val="0"/>
            <w:vAlign w:val="center"/>
          </w:tcPr>
          <w:p w14:paraId="1F36E956">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502" w:type="dxa"/>
            <w:noWrap w:val="0"/>
            <w:vAlign w:val="center"/>
          </w:tcPr>
          <w:p w14:paraId="7EE1D322">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夜间</w:t>
            </w:r>
          </w:p>
        </w:tc>
      </w:tr>
      <w:tr w14:paraId="07ED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3B422ECB">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4317D8ED">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80</w:t>
            </w:r>
          </w:p>
        </w:tc>
        <w:tc>
          <w:tcPr>
            <w:tcW w:w="1255" w:type="dxa"/>
            <w:noWrap w:val="0"/>
            <w:vAlign w:val="center"/>
          </w:tcPr>
          <w:p w14:paraId="0376E2ED">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14E8B89B">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3.5</w:t>
            </w:r>
          </w:p>
        </w:tc>
        <w:tc>
          <w:tcPr>
            <w:tcW w:w="1159" w:type="dxa"/>
            <w:noWrap w:val="0"/>
            <w:vAlign w:val="center"/>
          </w:tcPr>
          <w:p w14:paraId="040FBA97">
            <w:pPr>
              <w:spacing w:line="280" w:lineRule="exact"/>
              <w:jc w:val="center"/>
              <w:rPr>
                <w:rFonts w:hint="default" w:ascii="宋体" w:hAnsi="宋体" w:cs="宋体"/>
                <w:b/>
                <w:bCs/>
                <w:color w:val="auto"/>
                <w:kern w:val="0"/>
                <w:sz w:val="22"/>
                <w:szCs w:val="22"/>
                <w:highlight w:val="none"/>
                <w:lang w:val="en-US" w:eastAsia="zh-CN"/>
              </w:rPr>
            </w:pPr>
            <w:r>
              <w:rPr>
                <w:rFonts w:hint="default" w:ascii="宋体" w:hAnsi="宋体" w:cs="宋体"/>
                <w:b/>
                <w:bCs/>
                <w:color w:val="auto"/>
                <w:kern w:val="0"/>
                <w:sz w:val="22"/>
                <w:szCs w:val="22"/>
                <w:highlight w:val="none"/>
                <w:lang w:val="en-US" w:eastAsia="zh-CN"/>
              </w:rPr>
              <w:t>≥0.4</w:t>
            </w:r>
          </w:p>
        </w:tc>
        <w:tc>
          <w:tcPr>
            <w:tcW w:w="1362" w:type="dxa"/>
            <w:noWrap w:val="0"/>
            <w:vAlign w:val="center"/>
          </w:tcPr>
          <w:p w14:paraId="5DA92F32">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502" w:type="dxa"/>
            <w:noWrap w:val="0"/>
            <w:vAlign w:val="center"/>
          </w:tcPr>
          <w:p w14:paraId="610C809D">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夜间</w:t>
            </w:r>
          </w:p>
        </w:tc>
      </w:tr>
      <w:tr w14:paraId="5EFB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5609413D">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3393227F">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100</w:t>
            </w:r>
          </w:p>
        </w:tc>
        <w:tc>
          <w:tcPr>
            <w:tcW w:w="1255" w:type="dxa"/>
            <w:noWrap w:val="0"/>
            <w:vAlign w:val="center"/>
          </w:tcPr>
          <w:p w14:paraId="632FECE9">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4474C2F4">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3.5</w:t>
            </w:r>
          </w:p>
        </w:tc>
        <w:tc>
          <w:tcPr>
            <w:tcW w:w="1159" w:type="dxa"/>
            <w:noWrap w:val="0"/>
            <w:vAlign w:val="center"/>
          </w:tcPr>
          <w:p w14:paraId="34D68F31">
            <w:pPr>
              <w:spacing w:line="280" w:lineRule="exact"/>
              <w:jc w:val="center"/>
              <w:rPr>
                <w:rFonts w:hint="default" w:ascii="宋体" w:hAnsi="宋体" w:cs="宋体"/>
                <w:b/>
                <w:bCs/>
                <w:color w:val="auto"/>
                <w:kern w:val="0"/>
                <w:sz w:val="22"/>
                <w:szCs w:val="22"/>
                <w:highlight w:val="none"/>
                <w:lang w:val="en-US" w:eastAsia="zh-CN"/>
              </w:rPr>
            </w:pPr>
            <w:r>
              <w:rPr>
                <w:rFonts w:hint="default" w:ascii="宋体" w:hAnsi="宋体" w:cs="宋体"/>
                <w:b/>
                <w:bCs/>
                <w:color w:val="auto"/>
                <w:kern w:val="0"/>
                <w:sz w:val="22"/>
                <w:szCs w:val="22"/>
                <w:highlight w:val="none"/>
                <w:lang w:val="en-US" w:eastAsia="zh-CN"/>
              </w:rPr>
              <w:t>≥0.4</w:t>
            </w:r>
          </w:p>
        </w:tc>
        <w:tc>
          <w:tcPr>
            <w:tcW w:w="1362" w:type="dxa"/>
            <w:noWrap w:val="0"/>
            <w:vAlign w:val="center"/>
          </w:tcPr>
          <w:p w14:paraId="7B9E9D26">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502" w:type="dxa"/>
            <w:noWrap w:val="0"/>
            <w:vAlign w:val="center"/>
          </w:tcPr>
          <w:p w14:paraId="42205138">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夜间</w:t>
            </w:r>
          </w:p>
        </w:tc>
      </w:tr>
      <w:tr w14:paraId="286A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restart"/>
            <w:noWrap w:val="0"/>
            <w:vAlign w:val="center"/>
          </w:tcPr>
          <w:p w14:paraId="26F15EDB">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出口段</w:t>
            </w:r>
          </w:p>
        </w:tc>
        <w:tc>
          <w:tcPr>
            <w:tcW w:w="1336" w:type="dxa"/>
            <w:noWrap w:val="0"/>
            <w:vAlign w:val="center"/>
          </w:tcPr>
          <w:p w14:paraId="515B683D">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60</w:t>
            </w:r>
          </w:p>
        </w:tc>
        <w:tc>
          <w:tcPr>
            <w:tcW w:w="1255" w:type="dxa"/>
            <w:noWrap w:val="0"/>
            <w:vAlign w:val="center"/>
          </w:tcPr>
          <w:p w14:paraId="59E40046">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45C7C7FF">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10</w:t>
            </w:r>
          </w:p>
        </w:tc>
        <w:tc>
          <w:tcPr>
            <w:tcW w:w="1159" w:type="dxa"/>
            <w:noWrap w:val="0"/>
            <w:vAlign w:val="center"/>
          </w:tcPr>
          <w:p w14:paraId="325D9E6F">
            <w:pPr>
              <w:spacing w:line="280" w:lineRule="exact"/>
              <w:jc w:val="center"/>
              <w:rPr>
                <w:rFonts w:hint="default" w:ascii="宋体" w:hAnsi="宋体" w:cs="宋体"/>
                <w:b/>
                <w:bCs/>
                <w:color w:val="auto"/>
                <w:kern w:val="0"/>
                <w:sz w:val="22"/>
                <w:szCs w:val="22"/>
                <w:highlight w:val="none"/>
                <w:lang w:val="en-US" w:eastAsia="zh-CN"/>
              </w:rPr>
            </w:pPr>
            <w:r>
              <w:rPr>
                <w:rFonts w:hint="default" w:ascii="宋体" w:hAnsi="宋体" w:cs="宋体"/>
                <w:b/>
                <w:bCs/>
                <w:color w:val="auto"/>
                <w:kern w:val="0"/>
                <w:sz w:val="22"/>
                <w:szCs w:val="22"/>
                <w:highlight w:val="none"/>
                <w:lang w:val="en-US" w:eastAsia="zh-CN"/>
              </w:rPr>
              <w:t>≥0.4</w:t>
            </w:r>
          </w:p>
        </w:tc>
        <w:tc>
          <w:tcPr>
            <w:tcW w:w="1362" w:type="dxa"/>
            <w:noWrap w:val="0"/>
            <w:vAlign w:val="center"/>
          </w:tcPr>
          <w:p w14:paraId="3F7F9384">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60</w:t>
            </w:r>
          </w:p>
        </w:tc>
        <w:tc>
          <w:tcPr>
            <w:tcW w:w="1502" w:type="dxa"/>
            <w:noWrap w:val="0"/>
            <w:vAlign w:val="center"/>
          </w:tcPr>
          <w:p w14:paraId="7826AE80">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白天</w:t>
            </w:r>
          </w:p>
        </w:tc>
      </w:tr>
      <w:tr w14:paraId="68BF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10C9BB55">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79C6BDA6">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80</w:t>
            </w:r>
          </w:p>
        </w:tc>
        <w:tc>
          <w:tcPr>
            <w:tcW w:w="1255" w:type="dxa"/>
            <w:noWrap w:val="0"/>
            <w:vAlign w:val="center"/>
          </w:tcPr>
          <w:p w14:paraId="0D157925">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4E02D16E">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17.5</w:t>
            </w:r>
          </w:p>
        </w:tc>
        <w:tc>
          <w:tcPr>
            <w:tcW w:w="1159" w:type="dxa"/>
            <w:noWrap w:val="0"/>
            <w:vAlign w:val="center"/>
          </w:tcPr>
          <w:p w14:paraId="29F48F79">
            <w:pPr>
              <w:spacing w:line="280" w:lineRule="exact"/>
              <w:jc w:val="center"/>
              <w:rPr>
                <w:rFonts w:hint="default" w:ascii="宋体" w:hAnsi="宋体" w:cs="宋体"/>
                <w:b/>
                <w:bCs/>
                <w:color w:val="auto"/>
                <w:kern w:val="0"/>
                <w:sz w:val="22"/>
                <w:szCs w:val="22"/>
                <w:highlight w:val="none"/>
                <w:lang w:val="en-US" w:eastAsia="zh-CN"/>
              </w:rPr>
            </w:pPr>
            <w:r>
              <w:rPr>
                <w:rFonts w:hint="default" w:ascii="宋体" w:hAnsi="宋体" w:cs="宋体"/>
                <w:b/>
                <w:bCs/>
                <w:color w:val="auto"/>
                <w:kern w:val="0"/>
                <w:sz w:val="22"/>
                <w:szCs w:val="22"/>
                <w:highlight w:val="none"/>
                <w:lang w:val="en-US" w:eastAsia="zh-CN"/>
              </w:rPr>
              <w:t>≥0.4</w:t>
            </w:r>
          </w:p>
        </w:tc>
        <w:tc>
          <w:tcPr>
            <w:tcW w:w="1362" w:type="dxa"/>
            <w:noWrap w:val="0"/>
            <w:vAlign w:val="center"/>
          </w:tcPr>
          <w:p w14:paraId="2ED67545">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60</w:t>
            </w:r>
          </w:p>
        </w:tc>
        <w:tc>
          <w:tcPr>
            <w:tcW w:w="1502" w:type="dxa"/>
            <w:noWrap w:val="0"/>
            <w:vAlign w:val="center"/>
          </w:tcPr>
          <w:p w14:paraId="0478C3EA">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白天</w:t>
            </w:r>
          </w:p>
        </w:tc>
      </w:tr>
      <w:tr w14:paraId="6703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11FF1D25">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1E027D5F">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100</w:t>
            </w:r>
          </w:p>
        </w:tc>
        <w:tc>
          <w:tcPr>
            <w:tcW w:w="1255" w:type="dxa"/>
            <w:noWrap w:val="0"/>
            <w:vAlign w:val="center"/>
          </w:tcPr>
          <w:p w14:paraId="058411C7">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30015D7C">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17.5</w:t>
            </w:r>
          </w:p>
        </w:tc>
        <w:tc>
          <w:tcPr>
            <w:tcW w:w="1159" w:type="dxa"/>
            <w:noWrap w:val="0"/>
            <w:vAlign w:val="center"/>
          </w:tcPr>
          <w:p w14:paraId="766B6615">
            <w:pPr>
              <w:spacing w:line="280" w:lineRule="exact"/>
              <w:jc w:val="center"/>
              <w:rPr>
                <w:rFonts w:hint="default" w:ascii="宋体" w:hAnsi="宋体" w:cs="宋体"/>
                <w:b/>
                <w:bCs/>
                <w:color w:val="auto"/>
                <w:kern w:val="0"/>
                <w:sz w:val="22"/>
                <w:szCs w:val="22"/>
                <w:highlight w:val="none"/>
                <w:lang w:val="en-US" w:eastAsia="zh-CN"/>
              </w:rPr>
            </w:pPr>
            <w:r>
              <w:rPr>
                <w:rFonts w:hint="default" w:ascii="宋体" w:hAnsi="宋体" w:cs="宋体"/>
                <w:b/>
                <w:bCs/>
                <w:color w:val="auto"/>
                <w:kern w:val="0"/>
                <w:sz w:val="22"/>
                <w:szCs w:val="22"/>
                <w:highlight w:val="none"/>
                <w:lang w:val="en-US" w:eastAsia="zh-CN"/>
              </w:rPr>
              <w:t>≥0.4</w:t>
            </w:r>
          </w:p>
        </w:tc>
        <w:tc>
          <w:tcPr>
            <w:tcW w:w="1362" w:type="dxa"/>
            <w:noWrap w:val="0"/>
            <w:vAlign w:val="center"/>
          </w:tcPr>
          <w:p w14:paraId="31860D3A">
            <w:pPr>
              <w:spacing w:line="280" w:lineRule="exact"/>
              <w:jc w:val="center"/>
              <w:rPr>
                <w:rFonts w:hint="default"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60</w:t>
            </w:r>
          </w:p>
        </w:tc>
        <w:tc>
          <w:tcPr>
            <w:tcW w:w="1502" w:type="dxa"/>
            <w:noWrap w:val="0"/>
            <w:vAlign w:val="center"/>
          </w:tcPr>
          <w:p w14:paraId="39A07CE7">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白天</w:t>
            </w:r>
          </w:p>
        </w:tc>
      </w:tr>
      <w:tr w14:paraId="0812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1558A920">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3A97C3C8">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60</w:t>
            </w:r>
          </w:p>
        </w:tc>
        <w:tc>
          <w:tcPr>
            <w:tcW w:w="1255" w:type="dxa"/>
            <w:noWrap w:val="0"/>
            <w:vAlign w:val="center"/>
          </w:tcPr>
          <w:p w14:paraId="278A94E3">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5F8A32D5">
            <w:pPr>
              <w:spacing w:line="280" w:lineRule="exact"/>
              <w:jc w:val="center"/>
              <w:rPr>
                <w:rFonts w:hint="default" w:ascii="宋体" w:hAnsi="宋体" w:cs="宋体"/>
                <w:b/>
                <w:bCs/>
                <w:color w:val="auto"/>
                <w:kern w:val="0"/>
                <w:sz w:val="22"/>
                <w:szCs w:val="22"/>
                <w:highlight w:val="none"/>
                <w:lang w:val="en-US" w:eastAsia="zh-CN"/>
              </w:rPr>
            </w:pPr>
          </w:p>
        </w:tc>
        <w:tc>
          <w:tcPr>
            <w:tcW w:w="1159" w:type="dxa"/>
            <w:noWrap w:val="0"/>
            <w:vAlign w:val="center"/>
          </w:tcPr>
          <w:p w14:paraId="1617992B">
            <w:pPr>
              <w:spacing w:line="280" w:lineRule="exact"/>
              <w:jc w:val="center"/>
              <w:rPr>
                <w:rFonts w:hint="default" w:ascii="宋体" w:hAnsi="宋体" w:cs="宋体"/>
                <w:b/>
                <w:bCs/>
                <w:color w:val="auto"/>
                <w:kern w:val="0"/>
                <w:sz w:val="22"/>
                <w:szCs w:val="22"/>
                <w:highlight w:val="none"/>
                <w:lang w:val="en-US" w:eastAsia="zh-CN"/>
              </w:rPr>
            </w:pPr>
          </w:p>
        </w:tc>
        <w:tc>
          <w:tcPr>
            <w:tcW w:w="1362" w:type="dxa"/>
            <w:noWrap w:val="0"/>
            <w:vAlign w:val="center"/>
          </w:tcPr>
          <w:p w14:paraId="5A6F33B0">
            <w:pPr>
              <w:spacing w:line="280" w:lineRule="exact"/>
              <w:jc w:val="center"/>
              <w:rPr>
                <w:rFonts w:hint="default" w:ascii="宋体" w:hAnsi="宋体" w:cs="宋体"/>
                <w:b/>
                <w:bCs/>
                <w:color w:val="auto"/>
                <w:kern w:val="0"/>
                <w:sz w:val="22"/>
                <w:szCs w:val="22"/>
                <w:highlight w:val="none"/>
                <w:lang w:val="en-US" w:eastAsia="zh-CN"/>
              </w:rPr>
            </w:pPr>
          </w:p>
        </w:tc>
        <w:tc>
          <w:tcPr>
            <w:tcW w:w="1502" w:type="dxa"/>
            <w:noWrap w:val="0"/>
            <w:vAlign w:val="center"/>
          </w:tcPr>
          <w:p w14:paraId="35B7AB2F">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夜间</w:t>
            </w:r>
          </w:p>
        </w:tc>
      </w:tr>
      <w:tr w14:paraId="7FB0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5DE0E0BA">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50C71508">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80</w:t>
            </w:r>
          </w:p>
        </w:tc>
        <w:tc>
          <w:tcPr>
            <w:tcW w:w="1255" w:type="dxa"/>
            <w:noWrap w:val="0"/>
            <w:vAlign w:val="center"/>
          </w:tcPr>
          <w:p w14:paraId="358D2A9D">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6CCBB705">
            <w:pPr>
              <w:spacing w:line="280" w:lineRule="exact"/>
              <w:jc w:val="center"/>
              <w:rPr>
                <w:rFonts w:hint="default" w:ascii="宋体" w:hAnsi="宋体" w:cs="宋体"/>
                <w:b/>
                <w:bCs/>
                <w:color w:val="auto"/>
                <w:kern w:val="0"/>
                <w:sz w:val="22"/>
                <w:szCs w:val="22"/>
                <w:highlight w:val="none"/>
                <w:lang w:val="en-US" w:eastAsia="zh-CN"/>
              </w:rPr>
            </w:pPr>
          </w:p>
        </w:tc>
        <w:tc>
          <w:tcPr>
            <w:tcW w:w="1159" w:type="dxa"/>
            <w:noWrap w:val="0"/>
            <w:vAlign w:val="center"/>
          </w:tcPr>
          <w:p w14:paraId="64D15F66">
            <w:pPr>
              <w:spacing w:line="280" w:lineRule="exact"/>
              <w:jc w:val="center"/>
              <w:rPr>
                <w:rFonts w:hint="default" w:ascii="宋体" w:hAnsi="宋体" w:cs="宋体"/>
                <w:b/>
                <w:bCs/>
                <w:color w:val="auto"/>
                <w:kern w:val="0"/>
                <w:sz w:val="22"/>
                <w:szCs w:val="22"/>
                <w:highlight w:val="none"/>
                <w:lang w:val="en-US" w:eastAsia="zh-CN"/>
              </w:rPr>
            </w:pPr>
          </w:p>
        </w:tc>
        <w:tc>
          <w:tcPr>
            <w:tcW w:w="1362" w:type="dxa"/>
            <w:noWrap w:val="0"/>
            <w:vAlign w:val="center"/>
          </w:tcPr>
          <w:p w14:paraId="12EA7B10">
            <w:pPr>
              <w:spacing w:line="280" w:lineRule="exact"/>
              <w:jc w:val="center"/>
              <w:rPr>
                <w:rFonts w:hint="default" w:ascii="宋体" w:hAnsi="宋体" w:cs="宋体"/>
                <w:b/>
                <w:bCs/>
                <w:color w:val="auto"/>
                <w:kern w:val="0"/>
                <w:sz w:val="22"/>
                <w:szCs w:val="22"/>
                <w:highlight w:val="none"/>
                <w:lang w:val="en-US" w:eastAsia="zh-CN"/>
              </w:rPr>
            </w:pPr>
          </w:p>
        </w:tc>
        <w:tc>
          <w:tcPr>
            <w:tcW w:w="1502" w:type="dxa"/>
            <w:noWrap w:val="0"/>
            <w:vAlign w:val="center"/>
          </w:tcPr>
          <w:p w14:paraId="75893149">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夜间</w:t>
            </w:r>
          </w:p>
        </w:tc>
      </w:tr>
      <w:tr w14:paraId="0071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80" w:type="dxa"/>
            <w:vMerge w:val="continue"/>
            <w:noWrap w:val="0"/>
            <w:vAlign w:val="center"/>
          </w:tcPr>
          <w:p w14:paraId="1EAD754D">
            <w:pPr>
              <w:spacing w:line="280" w:lineRule="exact"/>
              <w:jc w:val="center"/>
              <w:rPr>
                <w:rFonts w:hint="default" w:ascii="宋体" w:hAnsi="宋体" w:cs="宋体"/>
                <w:b/>
                <w:bCs/>
                <w:color w:val="auto"/>
                <w:kern w:val="0"/>
                <w:sz w:val="22"/>
                <w:szCs w:val="22"/>
                <w:highlight w:val="none"/>
                <w:lang w:val="en-US" w:eastAsia="zh-CN"/>
              </w:rPr>
            </w:pPr>
          </w:p>
        </w:tc>
        <w:tc>
          <w:tcPr>
            <w:tcW w:w="1336" w:type="dxa"/>
            <w:noWrap w:val="0"/>
            <w:vAlign w:val="center"/>
          </w:tcPr>
          <w:p w14:paraId="514A66B0">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100</w:t>
            </w:r>
          </w:p>
        </w:tc>
        <w:tc>
          <w:tcPr>
            <w:tcW w:w="1255" w:type="dxa"/>
            <w:noWrap w:val="0"/>
            <w:vAlign w:val="center"/>
          </w:tcPr>
          <w:p w14:paraId="1AAB9907">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w:t>
            </w:r>
          </w:p>
        </w:tc>
        <w:tc>
          <w:tcPr>
            <w:tcW w:w="1486" w:type="dxa"/>
            <w:noWrap w:val="0"/>
            <w:vAlign w:val="center"/>
          </w:tcPr>
          <w:p w14:paraId="71DDA782">
            <w:pPr>
              <w:spacing w:line="280" w:lineRule="exact"/>
              <w:jc w:val="center"/>
              <w:rPr>
                <w:rFonts w:hint="default" w:ascii="宋体" w:hAnsi="宋体" w:cs="宋体"/>
                <w:b/>
                <w:bCs/>
                <w:color w:val="auto"/>
                <w:kern w:val="0"/>
                <w:sz w:val="22"/>
                <w:szCs w:val="22"/>
                <w:highlight w:val="none"/>
                <w:lang w:val="en-US" w:eastAsia="zh-CN"/>
              </w:rPr>
            </w:pPr>
          </w:p>
        </w:tc>
        <w:tc>
          <w:tcPr>
            <w:tcW w:w="1159" w:type="dxa"/>
            <w:noWrap w:val="0"/>
            <w:vAlign w:val="center"/>
          </w:tcPr>
          <w:p w14:paraId="5B1A6C5F">
            <w:pPr>
              <w:spacing w:line="280" w:lineRule="exact"/>
              <w:jc w:val="center"/>
              <w:rPr>
                <w:rFonts w:hint="default" w:ascii="宋体" w:hAnsi="宋体" w:cs="宋体"/>
                <w:b/>
                <w:bCs/>
                <w:color w:val="auto"/>
                <w:kern w:val="0"/>
                <w:sz w:val="22"/>
                <w:szCs w:val="22"/>
                <w:highlight w:val="none"/>
                <w:lang w:val="en-US" w:eastAsia="zh-CN"/>
              </w:rPr>
            </w:pPr>
          </w:p>
        </w:tc>
        <w:tc>
          <w:tcPr>
            <w:tcW w:w="1362" w:type="dxa"/>
            <w:noWrap w:val="0"/>
            <w:vAlign w:val="center"/>
          </w:tcPr>
          <w:p w14:paraId="41E46EDA">
            <w:pPr>
              <w:spacing w:line="280" w:lineRule="exact"/>
              <w:jc w:val="center"/>
              <w:rPr>
                <w:rFonts w:hint="default" w:ascii="宋体" w:hAnsi="宋体" w:cs="宋体"/>
                <w:b/>
                <w:bCs/>
                <w:color w:val="auto"/>
                <w:kern w:val="0"/>
                <w:sz w:val="22"/>
                <w:szCs w:val="22"/>
                <w:highlight w:val="none"/>
                <w:lang w:val="en-US" w:eastAsia="zh-CN"/>
              </w:rPr>
            </w:pPr>
          </w:p>
        </w:tc>
        <w:tc>
          <w:tcPr>
            <w:tcW w:w="1502" w:type="dxa"/>
            <w:noWrap w:val="0"/>
            <w:vAlign w:val="center"/>
          </w:tcPr>
          <w:p w14:paraId="5057A504">
            <w:pPr>
              <w:spacing w:line="280" w:lineRule="exact"/>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夜间</w:t>
            </w:r>
          </w:p>
        </w:tc>
      </w:tr>
    </w:tbl>
    <w:p w14:paraId="674E485E">
      <w:pPr>
        <w:spacing w:line="360" w:lineRule="auto"/>
        <w:ind w:left="420" w:firstLine="420" w:firstLineChars="200"/>
      </w:pPr>
      <w:r>
        <w:rPr>
          <w:rFonts w:hint="eastAsia"/>
        </w:rPr>
        <w:t>注意事项：</w:t>
      </w:r>
    </w:p>
    <w:p w14:paraId="31A4D6D9">
      <w:pPr>
        <w:spacing w:line="360" w:lineRule="auto"/>
        <w:ind w:left="420" w:firstLine="420" w:firstLineChars="200"/>
        <w:rPr>
          <w:rFonts w:hint="eastAsia"/>
        </w:rPr>
      </w:pPr>
      <w:r>
        <w:rPr>
          <w:rFonts w:hint="eastAsia"/>
        </w:rPr>
        <w:t>- 表格为参考值，具体设计需结合项目实际情况。</w:t>
      </w:r>
    </w:p>
    <w:p w14:paraId="322A63DF">
      <w:pPr>
        <w:spacing w:line="360" w:lineRule="auto"/>
        <w:ind w:left="420" w:firstLine="420" w:firstLineChars="200"/>
        <w:rPr>
          <w:rFonts w:hint="eastAsia"/>
        </w:rPr>
      </w:pPr>
      <w:r>
        <w:rPr>
          <w:rFonts w:hint="eastAsia"/>
        </w:rPr>
        <w:t>- 隧道照明设计还需考虑灯具布置、光源选择、控制方式等。</w:t>
      </w:r>
    </w:p>
    <w:p w14:paraId="6F9682CF">
      <w:pPr>
        <w:spacing w:line="360" w:lineRule="auto"/>
        <w:ind w:left="420" w:firstLine="420" w:firstLineChars="200"/>
        <w:rPr>
          <w:rFonts w:hint="eastAsia"/>
        </w:rPr>
      </w:pPr>
      <w:r>
        <w:rPr>
          <w:rFonts w:hint="eastAsia"/>
        </w:rPr>
        <w:t>- 需符合当地规范和要求。</w:t>
      </w:r>
    </w:p>
    <w:p w14:paraId="4E2F6E81">
      <w:pPr>
        <w:spacing w:line="360" w:lineRule="auto"/>
        <w:ind w:left="420" w:firstLine="420" w:firstLineChars="200"/>
      </w:pPr>
      <w:r>
        <w:rPr>
          <w:rFonts w:hint="eastAsia"/>
          <w:lang w:val="en-US" w:eastAsia="zh-CN"/>
        </w:rPr>
        <w:t>- 最终以国家最新出台的标准为主</w:t>
      </w:r>
    </w:p>
    <w:p w14:paraId="24FDCB45">
      <w:pPr>
        <w:pStyle w:val="3"/>
        <w:tabs>
          <w:tab w:val="left" w:pos="-420"/>
          <w:tab w:val="left" w:pos="411"/>
        </w:tabs>
        <w:spacing w:before="0" w:after="0" w:line="360" w:lineRule="auto"/>
        <w:ind w:left="420" w:firstLine="422" w:firstLineChars="200"/>
        <w:rPr>
          <w:rFonts w:ascii="宋体" w:hAnsi="宋体" w:eastAsia="宋体" w:cs="宋体"/>
          <w:sz w:val="21"/>
          <w:szCs w:val="21"/>
        </w:rPr>
      </w:pPr>
      <w:r>
        <w:rPr>
          <w:rFonts w:hint="eastAsia" w:ascii="宋体" w:hAnsi="宋体" w:eastAsia="宋体" w:cs="宋体"/>
          <w:sz w:val="21"/>
          <w:szCs w:val="21"/>
        </w:rPr>
        <w:t>3、更换LED灯具的技术原则</w:t>
      </w:r>
    </w:p>
    <w:p w14:paraId="60D875BA">
      <w:pPr>
        <w:ind w:left="420" w:firstLine="420" w:firstLineChars="200"/>
      </w:pPr>
      <w:bookmarkStart w:id="29" w:name="_Toc9844"/>
      <w:r>
        <w:rPr>
          <w:rFonts w:hint="eastAsia"/>
        </w:rPr>
        <w:t>3.1灯具应具有良好的整体强度和性能，适用全天候使用。改造后LED路灯的灯壳外罩的材质须与原路灯材质相近。</w:t>
      </w:r>
      <w:bookmarkEnd w:id="29"/>
    </w:p>
    <w:p w14:paraId="08D0DF7B">
      <w:pPr>
        <w:ind w:left="420" w:firstLine="420" w:firstLineChars="200"/>
      </w:pPr>
      <w:bookmarkStart w:id="30" w:name="_Toc8560"/>
      <w:r>
        <w:rPr>
          <w:rFonts w:hint="eastAsia"/>
        </w:rPr>
        <w:t>3.2灯具采用原位置一对一替换。灯具须经招标人认可。</w:t>
      </w:r>
      <w:bookmarkEnd w:id="30"/>
    </w:p>
    <w:p w14:paraId="71D363E2">
      <w:pPr>
        <w:ind w:left="420" w:firstLine="420" w:firstLineChars="200"/>
      </w:pPr>
      <w:bookmarkStart w:id="31" w:name="_Toc3905"/>
      <w:r>
        <w:rPr>
          <w:rFonts w:hint="eastAsia"/>
        </w:rPr>
        <w:t>3.3本项目使用的LED整灯灯具采用模组化设计，技术性能应符合《GBT34846-2017》标准。</w:t>
      </w:r>
      <w:bookmarkEnd w:id="31"/>
    </w:p>
    <w:p w14:paraId="0CC669CE">
      <w:pPr>
        <w:ind w:left="420" w:firstLine="420" w:firstLineChars="200"/>
      </w:pPr>
      <w:bookmarkStart w:id="32" w:name="_Toc2031"/>
      <w:r>
        <w:rPr>
          <w:rFonts w:hint="eastAsia"/>
        </w:rPr>
        <w:t>3.4改造后LED路灯的亮灯时间按路灯管理部门的相关规定执行。</w:t>
      </w:r>
      <w:bookmarkEnd w:id="32"/>
    </w:p>
    <w:p w14:paraId="7E87553A">
      <w:pPr>
        <w:ind w:left="420" w:firstLine="420" w:firstLineChars="200"/>
      </w:pPr>
      <w:bookmarkStart w:id="33" w:name="_Toc31795"/>
      <w:r>
        <w:rPr>
          <w:rFonts w:hint="eastAsia"/>
        </w:rPr>
        <w:t>3.5安全指标：达到表1-1中各项规定；</w:t>
      </w:r>
      <w:bookmarkEnd w:id="33"/>
    </w:p>
    <w:p w14:paraId="72B3CE53">
      <w:pPr>
        <w:spacing w:line="360" w:lineRule="auto"/>
        <w:ind w:left="631" w:hanging="211"/>
        <w:jc w:val="center"/>
        <w:rPr>
          <w:rFonts w:ascii="宋体" w:hAnsi="宋体" w:cs="宋体"/>
          <w:b/>
          <w:szCs w:val="21"/>
        </w:rPr>
      </w:pPr>
      <w:r>
        <w:rPr>
          <w:rFonts w:hint="eastAsia" w:ascii="宋体" w:hAnsi="宋体" w:cs="宋体"/>
          <w:b/>
          <w:szCs w:val="21"/>
        </w:rPr>
        <w:t>表1-1  LED道路照明产品安全指标要求</w:t>
      </w:r>
    </w:p>
    <w:tbl>
      <w:tblPr>
        <w:tblStyle w:val="60"/>
        <w:tblW w:w="9359" w:type="dxa"/>
        <w:jc w:val="center"/>
        <w:tblLayout w:type="fixed"/>
        <w:tblCellMar>
          <w:top w:w="0" w:type="dxa"/>
          <w:left w:w="108" w:type="dxa"/>
          <w:bottom w:w="0" w:type="dxa"/>
          <w:right w:w="108" w:type="dxa"/>
        </w:tblCellMar>
      </w:tblPr>
      <w:tblGrid>
        <w:gridCol w:w="816"/>
        <w:gridCol w:w="1761"/>
        <w:gridCol w:w="6782"/>
      </w:tblGrid>
      <w:tr w14:paraId="3B4C029B">
        <w:tblPrEx>
          <w:tblCellMar>
            <w:top w:w="0" w:type="dxa"/>
            <w:left w:w="108" w:type="dxa"/>
            <w:bottom w:w="0" w:type="dxa"/>
            <w:right w:w="108" w:type="dxa"/>
          </w:tblCellMar>
        </w:tblPrEx>
        <w:trPr>
          <w:jc w:val="center"/>
        </w:trPr>
        <w:tc>
          <w:tcPr>
            <w:tcW w:w="81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47C4EB46">
            <w:pPr>
              <w:spacing w:line="360" w:lineRule="auto"/>
              <w:jc w:val="both"/>
              <w:rPr>
                <w:rFonts w:ascii="宋体" w:hAnsi="宋体" w:cs="宋体"/>
                <w:b/>
                <w:szCs w:val="21"/>
              </w:rPr>
            </w:pPr>
            <w:r>
              <w:rPr>
                <w:rFonts w:hint="eastAsia" w:ascii="宋体" w:hAnsi="宋体" w:cs="宋体"/>
                <w:b/>
                <w:szCs w:val="21"/>
              </w:rPr>
              <w:t>序号</w:t>
            </w:r>
          </w:p>
        </w:tc>
        <w:tc>
          <w:tcPr>
            <w:tcW w:w="1761"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33707C64">
            <w:pPr>
              <w:spacing w:line="360" w:lineRule="auto"/>
              <w:ind w:left="631" w:hanging="211"/>
              <w:jc w:val="center"/>
              <w:rPr>
                <w:rFonts w:ascii="宋体" w:hAnsi="宋体" w:cs="宋体"/>
                <w:b/>
                <w:szCs w:val="21"/>
              </w:rPr>
            </w:pPr>
            <w:r>
              <w:rPr>
                <w:rFonts w:hint="eastAsia" w:ascii="宋体" w:hAnsi="宋体" w:cs="宋体"/>
                <w:b/>
                <w:szCs w:val="21"/>
              </w:rPr>
              <w:t>评定参数</w:t>
            </w:r>
          </w:p>
        </w:tc>
        <w:tc>
          <w:tcPr>
            <w:tcW w:w="678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79C773AA">
            <w:pPr>
              <w:spacing w:line="360" w:lineRule="auto"/>
              <w:ind w:left="631" w:hanging="211"/>
              <w:jc w:val="center"/>
              <w:rPr>
                <w:rFonts w:ascii="宋体" w:hAnsi="宋体" w:cs="宋体"/>
                <w:b/>
                <w:szCs w:val="21"/>
              </w:rPr>
            </w:pPr>
            <w:r>
              <w:rPr>
                <w:rFonts w:hint="eastAsia" w:ascii="宋体" w:hAnsi="宋体" w:cs="宋体"/>
                <w:b/>
                <w:szCs w:val="21"/>
              </w:rPr>
              <w:t>指标要求</w:t>
            </w:r>
          </w:p>
        </w:tc>
      </w:tr>
      <w:tr w14:paraId="6F1CC0F7">
        <w:tblPrEx>
          <w:tblCellMar>
            <w:top w:w="0" w:type="dxa"/>
            <w:left w:w="108" w:type="dxa"/>
            <w:bottom w:w="0" w:type="dxa"/>
            <w:right w:w="108" w:type="dxa"/>
          </w:tblCellMar>
        </w:tblPrEx>
        <w:trPr>
          <w:jc w:val="center"/>
        </w:trPr>
        <w:tc>
          <w:tcPr>
            <w:tcW w:w="81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7597B450">
            <w:pPr>
              <w:spacing w:line="360" w:lineRule="auto"/>
              <w:rPr>
                <w:rFonts w:ascii="宋体" w:hAnsi="宋体" w:cs="宋体"/>
                <w:szCs w:val="21"/>
              </w:rPr>
            </w:pPr>
            <w:r>
              <w:rPr>
                <w:rFonts w:hint="eastAsia" w:ascii="宋体" w:hAnsi="宋体" w:cs="宋体"/>
                <w:szCs w:val="21"/>
              </w:rPr>
              <w:t>1</w:t>
            </w:r>
          </w:p>
        </w:tc>
        <w:tc>
          <w:tcPr>
            <w:tcW w:w="1761"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57EDD79F">
            <w:pPr>
              <w:spacing w:line="360" w:lineRule="auto"/>
              <w:rPr>
                <w:rFonts w:ascii="宋体" w:hAnsi="宋体" w:cs="宋体"/>
                <w:szCs w:val="21"/>
              </w:rPr>
            </w:pPr>
            <w:r>
              <w:rPr>
                <w:rFonts w:hint="eastAsia" w:ascii="宋体" w:hAnsi="宋体" w:cs="宋体"/>
                <w:szCs w:val="21"/>
              </w:rPr>
              <w:t>安全要求</w:t>
            </w:r>
          </w:p>
        </w:tc>
        <w:tc>
          <w:tcPr>
            <w:tcW w:w="678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24C571B9">
            <w:pPr>
              <w:spacing w:line="360" w:lineRule="auto"/>
              <w:rPr>
                <w:rFonts w:ascii="宋体" w:hAnsi="宋体" w:cs="宋体"/>
                <w:szCs w:val="21"/>
              </w:rPr>
            </w:pPr>
            <w:r>
              <w:rPr>
                <w:rFonts w:hint="eastAsia" w:ascii="宋体" w:hAnsi="宋体" w:cs="宋体"/>
                <w:szCs w:val="21"/>
              </w:rPr>
              <w:t>采用GB7000.1-2015以及GB7000.203-2013《道路与街路照明灯具安全要求》规定条款。</w:t>
            </w:r>
          </w:p>
          <w:p w14:paraId="293A1A40">
            <w:pPr>
              <w:spacing w:line="360" w:lineRule="auto"/>
              <w:rPr>
                <w:rFonts w:ascii="宋体" w:hAnsi="宋体" w:cs="宋体"/>
                <w:szCs w:val="21"/>
              </w:rPr>
            </w:pPr>
            <w:r>
              <w:rPr>
                <w:rFonts w:hint="eastAsia" w:ascii="宋体" w:hAnsi="宋体" w:cs="宋体"/>
                <w:szCs w:val="21"/>
              </w:rPr>
              <w:t>防尘、防固体异物和防水等级应为IP65或IP66；</w:t>
            </w:r>
          </w:p>
          <w:p w14:paraId="66AC651E">
            <w:pPr>
              <w:spacing w:line="360" w:lineRule="auto"/>
              <w:rPr>
                <w:rFonts w:ascii="宋体" w:hAnsi="宋体" w:cs="宋体"/>
                <w:szCs w:val="21"/>
              </w:rPr>
            </w:pPr>
            <w:r>
              <w:rPr>
                <w:rFonts w:hint="eastAsia" w:ascii="宋体" w:hAnsi="宋体" w:cs="宋体"/>
                <w:szCs w:val="21"/>
              </w:rPr>
              <w:t>产品标记除满足GB7000.5-2007的条款规定外，尚应提供额定光通量额定相关色温等信息</w:t>
            </w:r>
          </w:p>
          <w:p w14:paraId="0C2DB0E8">
            <w:pPr>
              <w:pStyle w:val="15"/>
              <w:spacing w:line="360" w:lineRule="auto"/>
              <w:ind w:left="620" w:hanging="200"/>
              <w:rPr>
                <w:rFonts w:hAnsi="宋体" w:cs="宋体"/>
                <w:szCs w:val="21"/>
              </w:rPr>
            </w:pPr>
            <w:r>
              <w:rPr>
                <w:rFonts w:hint="eastAsia" w:hAnsi="宋体" w:cs="宋体"/>
                <w:szCs w:val="21"/>
              </w:rPr>
              <w:t>做好路灯灯头等各项接地安全工作</w:t>
            </w:r>
          </w:p>
        </w:tc>
      </w:tr>
      <w:tr w14:paraId="324699C9">
        <w:tblPrEx>
          <w:tblCellMar>
            <w:top w:w="0" w:type="dxa"/>
            <w:left w:w="108" w:type="dxa"/>
            <w:bottom w:w="0" w:type="dxa"/>
            <w:right w:w="108" w:type="dxa"/>
          </w:tblCellMar>
        </w:tblPrEx>
        <w:trPr>
          <w:jc w:val="center"/>
        </w:trPr>
        <w:tc>
          <w:tcPr>
            <w:tcW w:w="81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00BFBA81">
            <w:pPr>
              <w:spacing w:line="360" w:lineRule="auto"/>
              <w:rPr>
                <w:rFonts w:ascii="宋体" w:hAnsi="宋体" w:cs="宋体"/>
                <w:szCs w:val="21"/>
              </w:rPr>
            </w:pPr>
            <w:r>
              <w:rPr>
                <w:rFonts w:hint="eastAsia" w:ascii="宋体" w:hAnsi="宋体" w:cs="宋体"/>
                <w:szCs w:val="21"/>
              </w:rPr>
              <w:t xml:space="preserve">2 </w:t>
            </w:r>
          </w:p>
        </w:tc>
        <w:tc>
          <w:tcPr>
            <w:tcW w:w="1761"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60D3AA46">
            <w:pPr>
              <w:spacing w:line="360" w:lineRule="auto"/>
              <w:rPr>
                <w:rFonts w:ascii="宋体" w:hAnsi="宋体" w:cs="宋体"/>
                <w:szCs w:val="21"/>
              </w:rPr>
            </w:pPr>
            <w:r>
              <w:rPr>
                <w:rFonts w:hint="eastAsia" w:ascii="宋体" w:hAnsi="宋体" w:cs="宋体"/>
                <w:szCs w:val="21"/>
              </w:rPr>
              <w:t xml:space="preserve">骚扰电压 </w:t>
            </w:r>
          </w:p>
        </w:tc>
        <w:tc>
          <w:tcPr>
            <w:tcW w:w="678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67936B5A">
            <w:pPr>
              <w:spacing w:line="360" w:lineRule="auto"/>
              <w:rPr>
                <w:rFonts w:ascii="宋体" w:hAnsi="宋体" w:cs="宋体"/>
                <w:szCs w:val="21"/>
              </w:rPr>
            </w:pPr>
            <w:r>
              <w:rPr>
                <w:rFonts w:hint="eastAsia" w:ascii="宋体" w:hAnsi="宋体" w:cs="宋体"/>
                <w:szCs w:val="21"/>
              </w:rPr>
              <w:t xml:space="preserve">符合GB17743-2017的要求 </w:t>
            </w:r>
          </w:p>
        </w:tc>
      </w:tr>
      <w:tr w14:paraId="1CBCAD93">
        <w:tblPrEx>
          <w:tblCellMar>
            <w:top w:w="0" w:type="dxa"/>
            <w:left w:w="108" w:type="dxa"/>
            <w:bottom w:w="0" w:type="dxa"/>
            <w:right w:w="108" w:type="dxa"/>
          </w:tblCellMar>
        </w:tblPrEx>
        <w:trPr>
          <w:jc w:val="center"/>
        </w:trPr>
        <w:tc>
          <w:tcPr>
            <w:tcW w:w="81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140191F0">
            <w:pPr>
              <w:spacing w:line="360" w:lineRule="auto"/>
              <w:rPr>
                <w:rFonts w:ascii="宋体" w:hAnsi="宋体" w:cs="宋体"/>
                <w:szCs w:val="21"/>
              </w:rPr>
            </w:pPr>
            <w:r>
              <w:rPr>
                <w:rFonts w:hint="eastAsia" w:ascii="宋体" w:hAnsi="宋体" w:cs="宋体"/>
                <w:szCs w:val="21"/>
              </w:rPr>
              <w:t xml:space="preserve">3 </w:t>
            </w:r>
          </w:p>
        </w:tc>
        <w:tc>
          <w:tcPr>
            <w:tcW w:w="1761"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4551399F">
            <w:pPr>
              <w:spacing w:line="360" w:lineRule="auto"/>
              <w:rPr>
                <w:rFonts w:ascii="宋体" w:hAnsi="宋体" w:cs="宋体"/>
                <w:szCs w:val="21"/>
              </w:rPr>
            </w:pPr>
            <w:r>
              <w:rPr>
                <w:rFonts w:hint="eastAsia" w:ascii="宋体" w:hAnsi="宋体" w:cs="宋体"/>
                <w:szCs w:val="21"/>
              </w:rPr>
              <w:t xml:space="preserve">谐波电流限值 </w:t>
            </w:r>
          </w:p>
        </w:tc>
        <w:tc>
          <w:tcPr>
            <w:tcW w:w="678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58A517DB">
            <w:pPr>
              <w:spacing w:line="360" w:lineRule="auto"/>
              <w:rPr>
                <w:rFonts w:ascii="宋体" w:hAnsi="宋体" w:cs="宋体"/>
                <w:szCs w:val="21"/>
              </w:rPr>
            </w:pPr>
            <w:r>
              <w:rPr>
                <w:rFonts w:hint="eastAsia" w:ascii="宋体" w:hAnsi="宋体" w:cs="宋体"/>
                <w:szCs w:val="21"/>
              </w:rPr>
              <w:t xml:space="preserve">符合GB17625.1-2012的要求 </w:t>
            </w:r>
          </w:p>
        </w:tc>
      </w:tr>
      <w:tr w14:paraId="7EB6B961">
        <w:tblPrEx>
          <w:tblCellMar>
            <w:top w:w="0" w:type="dxa"/>
            <w:left w:w="108" w:type="dxa"/>
            <w:bottom w:w="0" w:type="dxa"/>
            <w:right w:w="108" w:type="dxa"/>
          </w:tblCellMar>
        </w:tblPrEx>
        <w:trPr>
          <w:jc w:val="center"/>
        </w:trPr>
        <w:tc>
          <w:tcPr>
            <w:tcW w:w="816"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4879C405">
            <w:pPr>
              <w:spacing w:line="360" w:lineRule="auto"/>
              <w:rPr>
                <w:rFonts w:ascii="宋体" w:hAnsi="宋体" w:cs="宋体"/>
                <w:szCs w:val="21"/>
              </w:rPr>
            </w:pPr>
            <w:r>
              <w:rPr>
                <w:rFonts w:hint="eastAsia" w:ascii="宋体" w:hAnsi="宋体" w:cs="宋体"/>
                <w:szCs w:val="21"/>
              </w:rPr>
              <w:t xml:space="preserve">4 </w:t>
            </w:r>
          </w:p>
        </w:tc>
        <w:tc>
          <w:tcPr>
            <w:tcW w:w="1761"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78339D66">
            <w:pPr>
              <w:spacing w:line="360" w:lineRule="auto"/>
              <w:rPr>
                <w:rFonts w:ascii="宋体" w:hAnsi="宋体" w:cs="宋体"/>
                <w:szCs w:val="21"/>
              </w:rPr>
            </w:pPr>
            <w:r>
              <w:rPr>
                <w:rFonts w:hint="eastAsia" w:ascii="宋体" w:hAnsi="宋体" w:cs="宋体"/>
                <w:szCs w:val="21"/>
              </w:rPr>
              <w:t xml:space="preserve">浪涌试验 </w:t>
            </w:r>
          </w:p>
        </w:tc>
        <w:tc>
          <w:tcPr>
            <w:tcW w:w="6782" w:type="dxa"/>
            <w:tcBorders>
              <w:top w:val="single" w:color="000000" w:sz="8" w:space="0"/>
              <w:left w:val="single" w:color="000000" w:sz="8" w:space="0"/>
              <w:bottom w:val="single" w:color="000000" w:sz="8" w:space="0"/>
              <w:right w:val="single" w:color="000000" w:sz="8" w:space="0"/>
            </w:tcBorders>
            <w:shd w:val="clear" w:color="000000" w:fill="FFFFFF"/>
            <w:tcMar>
              <w:left w:w="108" w:type="dxa"/>
              <w:right w:w="108" w:type="dxa"/>
            </w:tcMar>
            <w:vAlign w:val="center"/>
          </w:tcPr>
          <w:p w14:paraId="6ADE2F5F">
            <w:pPr>
              <w:spacing w:line="360" w:lineRule="auto"/>
              <w:rPr>
                <w:rFonts w:ascii="宋体" w:hAnsi="宋体" w:cs="宋体"/>
                <w:szCs w:val="21"/>
              </w:rPr>
            </w:pPr>
            <w:r>
              <w:rPr>
                <w:rFonts w:hint="eastAsia" w:ascii="宋体" w:hAnsi="宋体" w:cs="宋体"/>
                <w:szCs w:val="21"/>
              </w:rPr>
              <w:t xml:space="preserve">符合GB18595-2014的要求 </w:t>
            </w:r>
          </w:p>
        </w:tc>
      </w:tr>
    </w:tbl>
    <w:p w14:paraId="3D2DC662">
      <w:pPr>
        <w:pStyle w:val="15"/>
        <w:spacing w:line="360" w:lineRule="auto"/>
        <w:ind w:left="620" w:hanging="200"/>
        <w:rPr>
          <w:rFonts w:hAnsi="宋体" w:cs="宋体"/>
          <w:szCs w:val="21"/>
          <w:highlight w:val="yellow"/>
        </w:rPr>
      </w:pPr>
    </w:p>
    <w:p w14:paraId="209AE24C">
      <w:pPr>
        <w:pStyle w:val="3"/>
        <w:tabs>
          <w:tab w:val="left" w:pos="-420"/>
        </w:tabs>
        <w:spacing w:before="0" w:after="0" w:line="360" w:lineRule="auto"/>
        <w:ind w:left="420" w:firstLine="422" w:firstLineChars="200"/>
        <w:rPr>
          <w:rFonts w:ascii="宋体" w:hAnsi="宋体" w:eastAsia="宋体" w:cs="宋体"/>
          <w:sz w:val="21"/>
          <w:szCs w:val="21"/>
        </w:rPr>
      </w:pPr>
      <w:bookmarkStart w:id="34" w:name="_Toc5203"/>
      <w:bookmarkStart w:id="35" w:name="_Toc22132"/>
      <w:r>
        <w:rPr>
          <w:rFonts w:hint="eastAsia" w:ascii="宋体" w:hAnsi="宋体" w:eastAsia="宋体" w:cs="宋体"/>
          <w:sz w:val="21"/>
          <w:szCs w:val="21"/>
        </w:rPr>
        <w:t>4、LED路灯相关技术标准</w:t>
      </w:r>
      <w:bookmarkEnd w:id="34"/>
      <w:bookmarkEnd w:id="35"/>
    </w:p>
    <w:p w14:paraId="4FAF4392">
      <w:pPr>
        <w:spacing w:line="360" w:lineRule="auto"/>
        <w:ind w:left="420" w:firstLine="420" w:firstLineChars="200"/>
        <w:rPr>
          <w:highlight w:val="none"/>
        </w:rPr>
      </w:pPr>
      <w:r>
        <w:rPr>
          <w:rFonts w:hint="eastAsia"/>
        </w:rPr>
        <w:t>项目所选用LED路灯，在设计、制造和检验方面应符合下列标准：</w:t>
      </w:r>
      <w:r>
        <w:rPr>
          <w:rFonts w:hint="eastAsia"/>
          <w:highlight w:val="none"/>
        </w:rPr>
        <w:t>（如果有标准更新以</w:t>
      </w:r>
      <w:r>
        <w:rPr>
          <w:rFonts w:hint="eastAsia"/>
          <w:highlight w:val="none"/>
          <w:lang w:val="en-US" w:eastAsia="zh-CN"/>
        </w:rPr>
        <w:t>最新</w:t>
      </w:r>
      <w:r>
        <w:rPr>
          <w:rFonts w:hint="eastAsia"/>
          <w:highlight w:val="none"/>
        </w:rPr>
        <w:t>现行标准执行）：</w:t>
      </w:r>
    </w:p>
    <w:p w14:paraId="775EF684">
      <w:pPr>
        <w:spacing w:line="360" w:lineRule="auto"/>
        <w:ind w:left="420" w:firstLine="420" w:firstLineChars="200"/>
      </w:pPr>
      <w:bookmarkStart w:id="36" w:name="_Toc27834"/>
      <w:r>
        <w:rPr>
          <w:rFonts w:hint="eastAsia"/>
        </w:rPr>
        <w:t>4.</w:t>
      </w:r>
      <w:r>
        <w:t>1满足《城市道路照明设计标准》（CJJ45-2015</w:t>
      </w:r>
      <w:bookmarkEnd w:id="36"/>
      <w:r>
        <w:rPr>
          <w:rFonts w:hint="eastAsia"/>
        </w:rPr>
        <w:t>）要求；</w:t>
      </w:r>
    </w:p>
    <w:p w14:paraId="073D2D30">
      <w:pPr>
        <w:spacing w:line="360" w:lineRule="auto"/>
        <w:ind w:left="420" w:firstLine="420" w:firstLineChars="200"/>
      </w:pPr>
      <w:r>
        <w:rPr>
          <w:rFonts w:hint="eastAsia"/>
        </w:rPr>
        <w:t>4.</w:t>
      </w:r>
      <w:r>
        <w:t>2《城市道路照明施工及验收规程》（CJJ89-2012）要求</w:t>
      </w:r>
      <w:r>
        <w:rPr>
          <w:rFonts w:hint="eastAsia"/>
        </w:rPr>
        <w:t>；</w:t>
      </w:r>
    </w:p>
    <w:p w14:paraId="7D444312">
      <w:pPr>
        <w:spacing w:line="360" w:lineRule="auto"/>
        <w:ind w:left="420" w:firstLine="420" w:firstLineChars="200"/>
      </w:pPr>
      <w:r>
        <w:rPr>
          <w:rFonts w:hint="eastAsia"/>
        </w:rPr>
        <w:t>4.3</w:t>
      </w:r>
      <w:r>
        <w:t>《最新路灯管理与路灯技能设计、施工、维护技术标准指导手册》</w:t>
      </w:r>
      <w:r>
        <w:rPr>
          <w:rFonts w:hint="eastAsia"/>
        </w:rPr>
        <w:t>；</w:t>
      </w:r>
    </w:p>
    <w:p w14:paraId="143B2136">
      <w:pPr>
        <w:spacing w:line="360" w:lineRule="auto"/>
        <w:ind w:left="420" w:firstLine="420" w:firstLineChars="200"/>
      </w:pPr>
      <w:bookmarkStart w:id="37" w:name="_Toc21104"/>
      <w:r>
        <w:rPr>
          <w:rFonts w:hint="eastAsia"/>
        </w:rPr>
        <w:t>4.4</w:t>
      </w:r>
      <w:r>
        <w:t>《半导体照明产品技术要求》（2010版）</w:t>
      </w:r>
      <w:bookmarkEnd w:id="37"/>
      <w:r>
        <w:rPr>
          <w:rFonts w:hint="eastAsia"/>
        </w:rPr>
        <w:t>；</w:t>
      </w:r>
    </w:p>
    <w:p w14:paraId="76B3242E">
      <w:pPr>
        <w:spacing w:line="360" w:lineRule="auto"/>
        <w:ind w:left="420" w:firstLine="420" w:firstLineChars="200"/>
      </w:pPr>
      <w:r>
        <w:rPr>
          <w:rFonts w:hint="eastAsia"/>
        </w:rPr>
        <w:t>4.5</w:t>
      </w:r>
      <w:r>
        <w:t>《道路与街路照明灯具安全要求》GB7000.203-2013；</w:t>
      </w:r>
    </w:p>
    <w:p w14:paraId="11446BB9">
      <w:pPr>
        <w:spacing w:line="360" w:lineRule="auto"/>
        <w:ind w:left="420" w:firstLine="420" w:firstLineChars="200"/>
      </w:pPr>
      <w:r>
        <w:rPr>
          <w:rFonts w:hint="eastAsia"/>
        </w:rPr>
        <w:t>4.6</w:t>
      </w:r>
      <w:r>
        <w:t>电气照明和类似设备的无线电骚扰特性的限值和测量方法</w:t>
      </w:r>
      <w:r>
        <w:fldChar w:fldCharType="begin"/>
      </w:r>
      <w:r>
        <w:instrText xml:space="preserve"> HYPERLINK "https://std.samr.gov.cn/gb/search/gbDetailed?id=D4BEFFF4EA2AB241E05397BE0A0AF581" \t "_blank" </w:instrText>
      </w:r>
      <w:r>
        <w:fldChar w:fldCharType="separate"/>
      </w:r>
      <w:r>
        <w:t>GB/T 17743-2021</w:t>
      </w:r>
      <w:r>
        <w:rPr>
          <w:rFonts w:hint="eastAsia"/>
        </w:rPr>
        <w:t>；</w:t>
      </w:r>
      <w:r>
        <w:rPr>
          <w:rFonts w:hint="eastAsia"/>
        </w:rPr>
        <w:fldChar w:fldCharType="end"/>
      </w:r>
    </w:p>
    <w:p w14:paraId="77CF40A5">
      <w:pPr>
        <w:spacing w:line="360" w:lineRule="auto"/>
        <w:ind w:left="420" w:firstLine="420" w:firstLineChars="200"/>
      </w:pPr>
      <w:r>
        <w:rPr>
          <w:rFonts w:hint="eastAsia"/>
        </w:rPr>
        <w:t>4.7</w:t>
      </w:r>
      <w:r>
        <w:t>电磁兼容限值谐波电流发射限值(设备每相输入电流镇≤16 A)：符合</w:t>
      </w:r>
      <w:r>
        <w:fldChar w:fldCharType="begin"/>
      </w:r>
      <w:r>
        <w:instrText xml:space="preserve"> HYPERLINK "https://std.samr.gov.cn/gb/search/gbDetailed?id=F113142E3FD04B65E05397BE0A0A5AB9" \t "_blank" </w:instrText>
      </w:r>
      <w:r>
        <w:fldChar w:fldCharType="separate"/>
      </w:r>
      <w:r>
        <w:t>GB</w:t>
      </w:r>
      <w:r>
        <w:rPr>
          <w:rFonts w:hint="eastAsia"/>
        </w:rPr>
        <w:t xml:space="preserve"> </w:t>
      </w:r>
      <w:r>
        <w:t>17625.1-2022</w:t>
      </w:r>
      <w:r>
        <w:fldChar w:fldCharType="end"/>
      </w:r>
      <w:r>
        <w:t>；</w:t>
      </w:r>
    </w:p>
    <w:p w14:paraId="657427D6">
      <w:pPr>
        <w:spacing w:line="360" w:lineRule="auto"/>
        <w:ind w:left="420" w:firstLine="420" w:firstLineChars="200"/>
      </w:pPr>
      <w:r>
        <w:rPr>
          <w:rFonts w:hint="eastAsia"/>
        </w:rPr>
        <w:t>4.8</w:t>
      </w:r>
      <w:r>
        <w:t>一般照明用设备电磁兼容抗扰度要求：符的要求；</w:t>
      </w:r>
      <w:r>
        <w:fldChar w:fldCharType="begin"/>
      </w:r>
      <w:r>
        <w:instrText xml:space="preserve"> HYPERLINK "https://std.samr.gov.cn/gb/search/gbDetailed?id=71F772D7F2AAD3A7E05397BE0A0AB82A" \t "_blank" </w:instrText>
      </w:r>
      <w:r>
        <w:fldChar w:fldCharType="separate"/>
      </w:r>
      <w:r>
        <w:t>GB/T</w:t>
      </w:r>
      <w:r>
        <w:rPr>
          <w:rFonts w:hint="eastAsia"/>
        </w:rPr>
        <w:t xml:space="preserve"> </w:t>
      </w:r>
      <w:r>
        <w:t>18595-2014</w:t>
      </w:r>
      <w:r>
        <w:fldChar w:fldCharType="end"/>
      </w:r>
      <w:r>
        <w:rPr>
          <w:rFonts w:hint="eastAsia"/>
        </w:rPr>
        <w:t>；</w:t>
      </w:r>
    </w:p>
    <w:p w14:paraId="1197C1CF">
      <w:pPr>
        <w:spacing w:line="360" w:lineRule="auto"/>
        <w:ind w:left="420" w:firstLine="420" w:firstLineChars="200"/>
      </w:pPr>
      <w:r>
        <w:rPr>
          <w:rFonts w:hint="eastAsia"/>
        </w:rPr>
        <w:t>4.9</w:t>
      </w:r>
      <w:r>
        <w:t>《灯具 第一部分：一般安全要求与试验》GB</w:t>
      </w:r>
      <w:r>
        <w:rPr>
          <w:rFonts w:hint="eastAsia"/>
        </w:rPr>
        <w:t xml:space="preserve"> </w:t>
      </w:r>
      <w:r>
        <w:t>7000.1-2015；</w:t>
      </w:r>
    </w:p>
    <w:p w14:paraId="5D370AA7">
      <w:pPr>
        <w:spacing w:line="360" w:lineRule="auto"/>
        <w:ind w:left="420" w:firstLine="420" w:firstLineChars="200"/>
      </w:pPr>
      <w:r>
        <w:rPr>
          <w:rFonts w:hint="eastAsia"/>
        </w:rPr>
        <w:t>4.10</w:t>
      </w:r>
      <w:r>
        <w:t>《道路和街路照明灯具性能要求》</w:t>
      </w:r>
      <w:r>
        <w:tab/>
      </w:r>
      <w:r>
        <w:t>GB/T 24827-2015、</w:t>
      </w:r>
    </w:p>
    <w:p w14:paraId="5F6A0E71">
      <w:pPr>
        <w:spacing w:line="360" w:lineRule="auto"/>
        <w:ind w:left="420" w:firstLine="420" w:firstLineChars="200"/>
      </w:pPr>
      <w:r>
        <w:rPr>
          <w:rFonts w:hint="eastAsia"/>
        </w:rPr>
        <w:t>4.11</w:t>
      </w:r>
      <w:r>
        <w:t>《道路照明用LED灯性能要求》GB/T</w:t>
      </w:r>
      <w:r>
        <w:rPr>
          <w:rFonts w:hint="eastAsia"/>
        </w:rPr>
        <w:t xml:space="preserve"> </w:t>
      </w:r>
      <w:r>
        <w:t xml:space="preserve">24907-2010； </w:t>
      </w:r>
    </w:p>
    <w:p w14:paraId="504AC39A">
      <w:pPr>
        <w:spacing w:line="360" w:lineRule="auto"/>
        <w:ind w:left="420" w:firstLine="420" w:firstLineChars="200"/>
      </w:pPr>
      <w:r>
        <w:rPr>
          <w:rFonts w:hint="eastAsia"/>
        </w:rPr>
        <w:t>4.12</w:t>
      </w:r>
      <w:r>
        <w:t>《电能质量公用电网谐波》</w:t>
      </w:r>
      <w:r>
        <w:rPr>
          <w:rFonts w:hint="eastAsia"/>
        </w:rPr>
        <w:t>符合</w:t>
      </w:r>
      <w:r>
        <w:t>GB/T 14549-1993</w:t>
      </w:r>
    </w:p>
    <w:p w14:paraId="2502E521">
      <w:pPr>
        <w:spacing w:line="360" w:lineRule="auto"/>
        <w:ind w:left="420" w:firstLine="420" w:firstLineChars="200"/>
      </w:pPr>
      <w:r>
        <w:rPr>
          <w:rFonts w:hint="eastAsia"/>
        </w:rPr>
        <w:t>4.13</w:t>
      </w:r>
      <w:r>
        <w:t>其它国家、地方标准规范；</w:t>
      </w:r>
    </w:p>
    <w:p w14:paraId="749DD0F7">
      <w:pPr>
        <w:spacing w:line="360" w:lineRule="auto"/>
        <w:ind w:left="420" w:firstLine="420" w:firstLineChars="200"/>
      </w:pPr>
      <w:r>
        <w:rPr>
          <w:rFonts w:hint="eastAsia"/>
        </w:rPr>
        <w:t>4.</w:t>
      </w:r>
      <w:r>
        <w:t>1</w:t>
      </w:r>
      <w:r>
        <w:rPr>
          <w:rFonts w:hint="eastAsia"/>
        </w:rPr>
        <w:t>4</w:t>
      </w:r>
      <w:r>
        <w:t>、</w:t>
      </w:r>
      <w:r>
        <w:rPr>
          <w:rFonts w:hint="eastAsia"/>
        </w:rPr>
        <w:t>发包人</w:t>
      </w:r>
      <w:r>
        <w:t>提出的要求及有关基础资料。</w:t>
      </w:r>
    </w:p>
    <w:p w14:paraId="574B5F16">
      <w:pPr>
        <w:spacing w:line="360" w:lineRule="auto"/>
        <w:ind w:left="631" w:hanging="211"/>
        <w:rPr>
          <w:rFonts w:ascii="宋体" w:hAnsi="宋体" w:cs="宋体"/>
          <w:b/>
          <w:bCs/>
          <w:sz w:val="22"/>
          <w:szCs w:val="22"/>
        </w:rPr>
      </w:pPr>
      <w:r>
        <w:rPr>
          <w:rFonts w:hint="eastAsia"/>
          <w:b/>
          <w:bCs/>
          <w:szCs w:val="21"/>
        </w:rPr>
        <w:t>5、</w:t>
      </w:r>
      <w:r>
        <w:rPr>
          <w:rFonts w:hint="eastAsia" w:ascii="宋体" w:hAnsi="宋体" w:cs="宋体"/>
          <w:b/>
          <w:bCs/>
          <w:sz w:val="22"/>
          <w:szCs w:val="22"/>
        </w:rPr>
        <w:t>路灯竣工验收标准</w:t>
      </w:r>
    </w:p>
    <w:p w14:paraId="1B542771">
      <w:pPr>
        <w:spacing w:line="360" w:lineRule="auto"/>
        <w:ind w:left="420" w:firstLine="420" w:firstLineChars="200"/>
        <w:rPr>
          <w:rFonts w:hint="eastAsia"/>
        </w:rPr>
      </w:pPr>
      <w:r>
        <w:rPr>
          <w:rFonts w:hint="eastAsia"/>
        </w:rPr>
        <w:t>本项目技术验收按照《灯具第2-3部分：特殊要求道路与街路照明灯具》（GB7000.203-2013）、《城市道路照明工程施工及验收规程》（CJJ89-2012）相关细节进行，整体验收按照《城市道路照明设计标准》（CJJ45-2015）执行。如工程未达到验收标准，供应商应根据采购人及相关政府部门的意见进行限期整改，直至本项目工程通过竣工验收。</w:t>
      </w:r>
    </w:p>
    <w:p w14:paraId="56A56E68">
      <w:pPr>
        <w:spacing w:line="360" w:lineRule="auto"/>
        <w:ind w:left="420" w:firstLine="420" w:firstLineChars="200"/>
        <w:rPr>
          <w:rFonts w:hint="eastAsia"/>
        </w:rPr>
      </w:pPr>
      <w:r>
        <w:rPr>
          <w:rFonts w:hint="eastAsia"/>
        </w:rPr>
        <w:t>5.1基本验收标准</w:t>
      </w:r>
    </w:p>
    <w:p w14:paraId="33FE36DB">
      <w:pPr>
        <w:spacing w:line="360" w:lineRule="auto"/>
        <w:ind w:left="420" w:firstLine="420" w:firstLineChars="200"/>
        <w:rPr>
          <w:rFonts w:hint="eastAsia"/>
        </w:rPr>
      </w:pPr>
      <w:r>
        <w:rPr>
          <w:rFonts w:hint="eastAsia"/>
        </w:rPr>
        <w:t>竣工验收时采购人委托第三方检测机构检测改造路段，检测标准根据国家相应标准，同时要求节能率相比改造前达到 12 %以上，并由第三方机构出具《路灯节能改造工程节能量检测报告》、《道路照度质量测试报告》等相关报告。如未能达到 12 %以上的节能率，采购人有权单方提出终止合同。</w:t>
      </w:r>
    </w:p>
    <w:p w14:paraId="78CA85DD">
      <w:pPr>
        <w:spacing w:line="360" w:lineRule="auto"/>
        <w:ind w:left="420" w:firstLine="420" w:firstLineChars="200"/>
        <w:rPr>
          <w:rFonts w:hint="eastAsia"/>
        </w:rPr>
      </w:pPr>
      <w:r>
        <w:rPr>
          <w:rFonts w:hint="eastAsia"/>
        </w:rPr>
        <w:t>5.2特殊情况验收标准</w:t>
      </w:r>
    </w:p>
    <w:p w14:paraId="3D64F834">
      <w:pPr>
        <w:spacing w:line="360" w:lineRule="auto"/>
        <w:ind w:left="420" w:firstLine="420" w:firstLineChars="200"/>
        <w:rPr>
          <w:rFonts w:hint="eastAsia"/>
        </w:rPr>
      </w:pPr>
      <w:bookmarkStart w:id="38" w:name="_Hlk22469461"/>
      <w:r>
        <w:rPr>
          <w:rFonts w:hint="eastAsia"/>
        </w:rPr>
        <w:t>因原有设计限制，改造路段中存在灯杆间距超过45米或灯杆高度不足的情况，对此特殊情况的路灯，改造时要求适当提高LED灯功率。对于提高功率后路灯照度等参数仍旧无法达到《城市道路照明设计标准》（CJJ45-2015）和《城市道路照明工程施工及验收规程》（CJJ89-2012）的规定，则必须要求照度大于改造前的10%以上。</w:t>
      </w:r>
      <w:bookmarkEnd w:id="38"/>
    </w:p>
    <w:p w14:paraId="25DE9DBA">
      <w:pPr>
        <w:pStyle w:val="3"/>
        <w:tabs>
          <w:tab w:val="left" w:pos="-420"/>
        </w:tabs>
        <w:spacing w:before="156" w:beforeLines="50" w:after="156" w:afterLines="50" w:line="360" w:lineRule="auto"/>
        <w:rPr>
          <w:b w:val="0"/>
          <w:bCs w:val="0"/>
          <w:sz w:val="21"/>
          <w:szCs w:val="21"/>
        </w:rPr>
      </w:pPr>
      <w:r>
        <w:rPr>
          <w:rFonts w:hint="eastAsia"/>
          <w:b w:val="0"/>
          <w:bCs w:val="0"/>
          <w:sz w:val="21"/>
          <w:szCs w:val="21"/>
        </w:rPr>
        <w:t>五、管理要求</w:t>
      </w:r>
    </w:p>
    <w:p w14:paraId="5A9EB20F">
      <w:pPr>
        <w:spacing w:line="360" w:lineRule="auto"/>
        <w:ind w:left="420" w:firstLine="420" w:firstLineChars="200"/>
        <w:rPr>
          <w:rFonts w:hint="eastAsia"/>
          <w:lang w:eastAsia="zh-Hans"/>
        </w:rPr>
      </w:pPr>
      <w:r>
        <w:rPr>
          <w:rFonts w:hint="eastAsia"/>
          <w:lang w:eastAsia="zh-Hans"/>
        </w:rPr>
        <w:t>（一）人员组织</w:t>
      </w:r>
    </w:p>
    <w:p w14:paraId="172554A2">
      <w:pPr>
        <w:spacing w:line="360" w:lineRule="auto"/>
        <w:ind w:left="420" w:firstLine="420" w:firstLineChars="200"/>
        <w:rPr>
          <w:rFonts w:hint="eastAsia"/>
          <w:lang w:eastAsia="zh-Hans"/>
        </w:rPr>
      </w:pPr>
      <w:r>
        <w:rPr>
          <w:rFonts w:hint="eastAsia"/>
          <w:lang w:eastAsia="zh-Hans"/>
        </w:rPr>
        <w:t>供应商应为本项目配备经验丰富的项目团队，团队骨干成员应有能源系统管理、</w:t>
      </w:r>
      <w:r>
        <w:rPr>
          <w:rFonts w:hint="eastAsia"/>
        </w:rPr>
        <w:t>照明设施</w:t>
      </w:r>
      <w:r>
        <w:rPr>
          <w:rFonts w:hint="eastAsia"/>
          <w:lang w:eastAsia="zh-Hans"/>
        </w:rPr>
        <w:t>节能改造等相关经验。供应商应保证项目团队主要人员的稳定性，在未经过采购人同意的情况下，供应商不得随意更换人员。采购人或供应商认为需要更换项目</w:t>
      </w:r>
      <w:r>
        <w:rPr>
          <w:rFonts w:hint="eastAsia"/>
        </w:rPr>
        <w:t>负责人</w:t>
      </w:r>
      <w:r>
        <w:rPr>
          <w:rFonts w:hint="eastAsia"/>
          <w:lang w:eastAsia="zh-Hans"/>
        </w:rPr>
        <w:t>或项目团队成员时，均应提早两周向对方申明原因，供应商应同时提出新的符合合同要求的项目经理或项目团队成员人选，经采购人同意并办理交接手续后方可更换。</w:t>
      </w:r>
    </w:p>
    <w:p w14:paraId="3A6227DA">
      <w:pPr>
        <w:spacing w:line="360" w:lineRule="auto"/>
        <w:ind w:left="420" w:firstLine="420" w:firstLineChars="200"/>
        <w:rPr>
          <w:rFonts w:hint="eastAsia"/>
          <w:lang w:eastAsia="zh-Hans"/>
        </w:rPr>
      </w:pPr>
      <w:r>
        <w:rPr>
          <w:rFonts w:hint="eastAsia"/>
          <w:lang w:eastAsia="zh-Hans"/>
        </w:rPr>
        <w:t>供应商应配备专业技术团队为本项目提供专业技术支持服务，专业技术人员应来自不同的专业领域，如网络专家、电力系统专家以及其它专业业务专家等。</w:t>
      </w:r>
    </w:p>
    <w:p w14:paraId="03FFEED1">
      <w:pPr>
        <w:spacing w:line="360" w:lineRule="auto"/>
        <w:ind w:left="420" w:firstLine="420" w:firstLineChars="200"/>
        <w:rPr>
          <w:rFonts w:hint="eastAsia"/>
          <w:lang w:eastAsia="zh-Hans"/>
        </w:rPr>
      </w:pPr>
      <w:r>
        <w:rPr>
          <w:rFonts w:hint="eastAsia"/>
          <w:lang w:eastAsia="zh-Hans"/>
        </w:rPr>
        <w:t>供应商应当确保其工作人员或者其分包的第三方在项目实施、运行的整个过程中遵守采购人的相关规章制度。</w:t>
      </w:r>
    </w:p>
    <w:p w14:paraId="62286376">
      <w:pPr>
        <w:spacing w:line="360" w:lineRule="auto"/>
        <w:ind w:left="420" w:firstLine="420" w:firstLineChars="200"/>
        <w:rPr>
          <w:rFonts w:hint="eastAsia"/>
          <w:lang w:val="en-US" w:eastAsia="zh-CN"/>
        </w:rPr>
      </w:pPr>
      <w:r>
        <w:rPr>
          <w:rFonts w:hint="eastAsia"/>
          <w:lang w:eastAsia="zh-Hans"/>
        </w:rPr>
        <w:t>供应商应确保在项目实施、运行的整个过程中</w:t>
      </w:r>
      <w:r>
        <w:rPr>
          <w:rFonts w:hint="eastAsia"/>
          <w:lang w:val="en-US" w:eastAsia="zh-CN"/>
        </w:rPr>
        <w:t>需配备足够的</w:t>
      </w:r>
      <w:r>
        <w:rPr>
          <w:rFonts w:hint="eastAsia"/>
          <w:lang w:eastAsia="zh-Hans"/>
        </w:rPr>
        <w:t>专业技术人员进行现场服务，确保项目进度正常，能源系统运行正常。</w:t>
      </w:r>
    </w:p>
    <w:p w14:paraId="13FE205B">
      <w:pPr>
        <w:rPr>
          <w:rFonts w:hint="default" w:ascii="Times New Roman" w:hAnsi="Times New Roman" w:eastAsia="宋体" w:cs="Times New Roman"/>
          <w:kern w:val="2"/>
          <w:sz w:val="21"/>
          <w:szCs w:val="24"/>
          <w:highlight w:val="none"/>
          <w:lang w:val="en-US" w:eastAsia="zh-CN" w:bidi="ar-SA"/>
        </w:rPr>
      </w:pPr>
      <w:r>
        <w:rPr>
          <w:rFonts w:hint="eastAsia"/>
          <w:lang w:val="en-US" w:eastAsia="zh-CN"/>
        </w:rPr>
        <w:t xml:space="preserve">     </w:t>
      </w:r>
      <w:r>
        <w:rPr>
          <w:rFonts w:hint="eastAsia" w:ascii="Times New Roman" w:hAnsi="Times New Roman" w:eastAsia="宋体" w:cs="Times New Roman"/>
          <w:kern w:val="2"/>
          <w:sz w:val="21"/>
          <w:szCs w:val="24"/>
          <w:lang w:val="en-US" w:eastAsia="zh-CN" w:bidi="ar-SA"/>
        </w:rPr>
        <w:t xml:space="preserve"> </w:t>
      </w:r>
      <w:r>
        <w:rPr>
          <w:rFonts w:hint="eastAsia" w:ascii="Times New Roman" w:hAnsi="Times New Roman" w:eastAsia="宋体" w:cs="Times New Roman"/>
          <w:kern w:val="2"/>
          <w:sz w:val="21"/>
          <w:szCs w:val="24"/>
          <w:highlight w:val="none"/>
          <w:lang w:val="en-US" w:eastAsia="zh-CN" w:bidi="ar-SA"/>
        </w:rPr>
        <w:t xml:space="preserve">  </w:t>
      </w:r>
      <w:r>
        <w:rPr>
          <w:rFonts w:hint="eastAsia" w:ascii="Times New Roman" w:hAnsi="Times New Roman" w:cs="Times New Roman"/>
          <w:kern w:val="2"/>
          <w:sz w:val="21"/>
          <w:szCs w:val="24"/>
          <w:highlight w:val="none"/>
          <w:lang w:val="en-US" w:eastAsia="zh-CN" w:bidi="ar-SA"/>
        </w:rPr>
        <w:t>项目负责人员需具有</w:t>
      </w:r>
      <w:r>
        <w:rPr>
          <w:rFonts w:hint="eastAsia" w:cs="Times New Roman"/>
          <w:kern w:val="2"/>
          <w:sz w:val="21"/>
          <w:szCs w:val="24"/>
          <w:highlight w:val="none"/>
          <w:lang w:val="en-US" w:eastAsia="zh-CN" w:bidi="ar-SA"/>
        </w:rPr>
        <w:t>机电工程专业二级建造师及以上</w:t>
      </w:r>
      <w:r>
        <w:rPr>
          <w:rFonts w:hint="eastAsia" w:ascii="Times New Roman" w:hAnsi="Times New Roman" w:cs="Times New Roman"/>
          <w:kern w:val="2"/>
          <w:sz w:val="21"/>
          <w:szCs w:val="24"/>
          <w:highlight w:val="none"/>
          <w:lang w:val="en-US" w:eastAsia="zh-CN" w:bidi="ar-SA"/>
        </w:rPr>
        <w:t>资格证书</w:t>
      </w:r>
      <w:r>
        <w:rPr>
          <w:rFonts w:hint="eastAsia" w:cs="Times New Roman"/>
          <w:kern w:val="2"/>
          <w:sz w:val="21"/>
          <w:szCs w:val="24"/>
          <w:highlight w:val="none"/>
          <w:lang w:val="en-US" w:eastAsia="zh-CN" w:bidi="ar-SA"/>
        </w:rPr>
        <w:t>、工程师及以上职称</w:t>
      </w:r>
      <w:r>
        <w:rPr>
          <w:rFonts w:hint="eastAsia" w:ascii="Times New Roman" w:hAnsi="Times New Roman" w:cs="Times New Roman"/>
          <w:kern w:val="2"/>
          <w:sz w:val="21"/>
          <w:szCs w:val="24"/>
          <w:highlight w:val="none"/>
          <w:lang w:val="en-US" w:eastAsia="zh-CN" w:bidi="ar-SA"/>
        </w:rPr>
        <w:t>。</w:t>
      </w:r>
    </w:p>
    <w:p w14:paraId="4872B4AA">
      <w:pPr>
        <w:widowControl/>
        <w:spacing w:line="360" w:lineRule="auto"/>
        <w:ind w:left="631" w:leftChars="200" w:hanging="211" w:hangingChars="100"/>
        <w:rPr>
          <w:rFonts w:ascii="宋体" w:hAnsi="宋体" w:cs="宋体"/>
          <w:b/>
          <w:bCs/>
        </w:rPr>
      </w:pPr>
      <w:r>
        <w:rPr>
          <w:rFonts w:hint="eastAsia"/>
          <w:b/>
          <w:bCs/>
        </w:rPr>
        <w:t>▲请在投标文件中提供</w:t>
      </w:r>
      <w:r>
        <w:rPr>
          <w:rFonts w:hint="eastAsia"/>
          <w:b/>
          <w:bCs/>
          <w:lang w:val="en-US" w:eastAsia="zh-CN"/>
        </w:rPr>
        <w:t>项目负责人相关证书及</w:t>
      </w:r>
      <w:r>
        <w:rPr>
          <w:rFonts w:hint="eastAsia"/>
          <w:b/>
          <w:bCs/>
        </w:rPr>
        <w:t>连续缴纳近三个月的社保证明。</w:t>
      </w:r>
    </w:p>
    <w:p w14:paraId="248C03FC">
      <w:pPr>
        <w:spacing w:line="360" w:lineRule="auto"/>
        <w:ind w:left="420" w:firstLine="420" w:firstLineChars="200"/>
        <w:rPr>
          <w:rFonts w:hint="eastAsia"/>
          <w:lang w:eastAsia="zh-Hans"/>
        </w:rPr>
      </w:pPr>
      <w:r>
        <w:rPr>
          <w:rFonts w:hint="eastAsia"/>
          <w:lang w:eastAsia="zh-Hans"/>
        </w:rPr>
        <w:t>（二）进度管理</w:t>
      </w:r>
    </w:p>
    <w:p w14:paraId="08B80043">
      <w:pPr>
        <w:spacing w:line="360" w:lineRule="auto"/>
        <w:ind w:left="420" w:firstLine="420" w:firstLineChars="200"/>
        <w:rPr>
          <w:rFonts w:hint="eastAsia"/>
          <w:lang w:eastAsia="zh-Hans"/>
        </w:rPr>
      </w:pPr>
      <w:r>
        <w:rPr>
          <w:rFonts w:hint="eastAsia"/>
          <w:lang w:eastAsia="zh-Hans"/>
        </w:rPr>
        <w:t>供应商应有详细计划，明确每个阶段的阶段目标、阶段性成果、验收依据、双方的责任和义务等。节能改造实施方案经采购人同意，供应商应按项目方案文件规定的技术标准和要求以及招标文件的规定，按时完成本项目的方案设计、建设。</w:t>
      </w:r>
    </w:p>
    <w:p w14:paraId="6DD051DB">
      <w:pPr>
        <w:spacing w:line="360" w:lineRule="auto"/>
        <w:ind w:left="420" w:firstLine="420" w:firstLineChars="200"/>
        <w:rPr>
          <w:rFonts w:hint="eastAsia"/>
          <w:lang w:eastAsia="zh-Hans"/>
        </w:rPr>
      </w:pPr>
      <w:r>
        <w:rPr>
          <w:rFonts w:hint="eastAsia"/>
          <w:lang w:eastAsia="zh-Hans"/>
        </w:rPr>
        <w:t>（三）风险管理</w:t>
      </w:r>
    </w:p>
    <w:p w14:paraId="0EA8B5A0">
      <w:pPr>
        <w:spacing w:line="360" w:lineRule="auto"/>
        <w:ind w:left="420" w:firstLine="420" w:firstLineChars="200"/>
        <w:rPr>
          <w:rFonts w:hint="eastAsia"/>
          <w:lang w:eastAsia="zh-Hans"/>
        </w:rPr>
      </w:pPr>
      <w:r>
        <w:rPr>
          <w:rFonts w:hint="eastAsia"/>
          <w:lang w:eastAsia="zh-Hans"/>
        </w:rPr>
        <w:t>实际运行过程中，风险随时可能出现，供应商应根据项目实际情况加强风险管理，做好风险的识别，风险的量化分析，制定风险的应对预案。供应商应当确保其工作人员和其聘请的第三方严格遵守采购人有关施工场地安全和卫生等方面的规定，并听从采购人合理的现场指挥。</w:t>
      </w:r>
    </w:p>
    <w:p w14:paraId="2316707F">
      <w:pPr>
        <w:spacing w:line="360" w:lineRule="auto"/>
        <w:ind w:left="420" w:firstLine="420" w:firstLineChars="200"/>
        <w:rPr>
          <w:rFonts w:hint="eastAsia"/>
          <w:lang w:eastAsia="zh-Hans"/>
        </w:rPr>
      </w:pPr>
      <w:r>
        <w:rPr>
          <w:rFonts w:hint="eastAsia"/>
          <w:lang w:eastAsia="zh-Hans"/>
        </w:rPr>
        <w:t>（四）服务质量</w:t>
      </w:r>
    </w:p>
    <w:p w14:paraId="4CFD9B69">
      <w:pPr>
        <w:spacing w:line="360" w:lineRule="auto"/>
        <w:ind w:left="420" w:firstLine="420" w:firstLineChars="200"/>
        <w:rPr>
          <w:rFonts w:hint="eastAsia"/>
          <w:lang w:eastAsia="zh-Hans"/>
        </w:rPr>
      </w:pPr>
      <w:r>
        <w:rPr>
          <w:rFonts w:hint="eastAsia"/>
          <w:lang w:eastAsia="zh-Hans"/>
        </w:rPr>
        <w:t>1、供应商应建立严格的质量保证体系，制定项目服务质量控制方案和实施措施，并督促落实各环节质量控制内容和目标，确保安装和调试相关设备、设施应符合国家、行业有关施工管理法律法规和与项目相对应的技术标准规范要求，以及采购方合理的特有的施工、管理、质量要求。满足采购人对质量的要求。供应商应根据整个项目周期的工作计划，对阶段性工作成果进行审查和测试，并向项目单位提交阶段性工作成果。通过保证各阶段性成果的质量，最终保证整个项目的质量。供应商应针对项目制定详细的质量管理方案。</w:t>
      </w:r>
    </w:p>
    <w:p w14:paraId="538544EA">
      <w:pPr>
        <w:spacing w:line="360" w:lineRule="auto"/>
        <w:ind w:left="420" w:firstLine="420" w:firstLineChars="200"/>
        <w:rPr>
          <w:rFonts w:hint="eastAsia"/>
          <w:lang w:eastAsia="zh-Hans"/>
        </w:rPr>
      </w:pPr>
      <w:r>
        <w:rPr>
          <w:rFonts w:hint="eastAsia"/>
          <w:lang w:eastAsia="zh-Hans"/>
        </w:rPr>
        <w:t>2、为保证服务质量，供应商应至少配置以下设备：</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3538"/>
        <w:gridCol w:w="3300"/>
        <w:gridCol w:w="1991"/>
      </w:tblGrid>
      <w:tr w14:paraId="014A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14:paraId="216FB2E7">
            <w:pPr>
              <w:pStyle w:val="59"/>
              <w:jc w:val="both"/>
              <w:rPr>
                <w:b/>
                <w:bCs/>
              </w:rPr>
            </w:pPr>
            <w:r>
              <w:rPr>
                <w:rFonts w:hint="eastAsia"/>
                <w:b/>
                <w:bCs/>
              </w:rPr>
              <w:t>序号</w:t>
            </w:r>
          </w:p>
        </w:tc>
        <w:tc>
          <w:tcPr>
            <w:tcW w:w="3538" w:type="dxa"/>
            <w:vAlign w:val="center"/>
          </w:tcPr>
          <w:p w14:paraId="03CB03BE">
            <w:pPr>
              <w:pStyle w:val="59"/>
              <w:ind w:left="420" w:firstLine="632" w:firstLineChars="300"/>
              <w:jc w:val="both"/>
              <w:rPr>
                <w:b/>
                <w:bCs/>
              </w:rPr>
            </w:pPr>
            <w:r>
              <w:rPr>
                <w:rFonts w:hint="eastAsia"/>
                <w:b/>
                <w:bCs/>
              </w:rPr>
              <w:t>设备名称</w:t>
            </w:r>
          </w:p>
        </w:tc>
        <w:tc>
          <w:tcPr>
            <w:tcW w:w="3300" w:type="dxa"/>
            <w:vAlign w:val="center"/>
          </w:tcPr>
          <w:p w14:paraId="2D71B647">
            <w:pPr>
              <w:pStyle w:val="59"/>
              <w:ind w:left="420" w:firstLine="0" w:firstLineChars="0"/>
              <w:jc w:val="center"/>
              <w:rPr>
                <w:b/>
                <w:bCs/>
              </w:rPr>
            </w:pPr>
            <w:r>
              <w:rPr>
                <w:rFonts w:hint="eastAsia"/>
                <w:b/>
                <w:bCs/>
              </w:rPr>
              <w:t>技术参数</w:t>
            </w:r>
          </w:p>
        </w:tc>
        <w:tc>
          <w:tcPr>
            <w:tcW w:w="1991" w:type="dxa"/>
            <w:vAlign w:val="center"/>
          </w:tcPr>
          <w:p w14:paraId="57CC6ED7">
            <w:pPr>
              <w:pStyle w:val="59"/>
              <w:ind w:left="420" w:firstLine="0" w:firstLineChars="0"/>
              <w:jc w:val="center"/>
              <w:rPr>
                <w:b/>
                <w:bCs/>
              </w:rPr>
            </w:pPr>
            <w:r>
              <w:rPr>
                <w:rFonts w:hint="eastAsia"/>
                <w:b/>
                <w:bCs/>
              </w:rPr>
              <w:t>数量</w:t>
            </w:r>
          </w:p>
        </w:tc>
      </w:tr>
      <w:tr w14:paraId="5B73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14:paraId="090F1597">
            <w:pPr>
              <w:pStyle w:val="59"/>
              <w:jc w:val="both"/>
            </w:pPr>
            <w:r>
              <w:rPr>
                <w:rFonts w:hint="eastAsia"/>
              </w:rPr>
              <w:t>1</w:t>
            </w:r>
          </w:p>
        </w:tc>
        <w:tc>
          <w:tcPr>
            <w:tcW w:w="3538" w:type="dxa"/>
            <w:vAlign w:val="center"/>
          </w:tcPr>
          <w:p w14:paraId="0E0F678F">
            <w:pPr>
              <w:pStyle w:val="59"/>
              <w:ind w:left="420" w:firstLine="630" w:firstLineChars="300"/>
              <w:jc w:val="both"/>
            </w:pPr>
            <w:r>
              <w:rPr>
                <w:rFonts w:hint="eastAsia"/>
              </w:rPr>
              <w:t>高空作业车</w:t>
            </w:r>
          </w:p>
        </w:tc>
        <w:tc>
          <w:tcPr>
            <w:tcW w:w="3300" w:type="dxa"/>
            <w:vAlign w:val="center"/>
          </w:tcPr>
          <w:p w14:paraId="6C81BCBA">
            <w:pPr>
              <w:pStyle w:val="59"/>
              <w:ind w:left="420" w:firstLine="0" w:firstLineChars="0"/>
              <w:jc w:val="center"/>
            </w:pPr>
            <w:r>
              <w:rPr>
                <w:rFonts w:hint="eastAsia"/>
                <w:highlight w:val="none"/>
              </w:rPr>
              <w:t>满足22米及以上高空作业</w:t>
            </w:r>
          </w:p>
        </w:tc>
        <w:tc>
          <w:tcPr>
            <w:tcW w:w="1991" w:type="dxa"/>
            <w:vAlign w:val="center"/>
          </w:tcPr>
          <w:p w14:paraId="6AD9CA3A">
            <w:pPr>
              <w:pStyle w:val="59"/>
              <w:ind w:firstLine="840" w:firstLineChars="400"/>
              <w:jc w:val="both"/>
            </w:pPr>
            <w:r>
              <w:rPr>
                <w:rFonts w:hint="eastAsia"/>
              </w:rPr>
              <w:t>1辆</w:t>
            </w:r>
          </w:p>
        </w:tc>
      </w:tr>
      <w:tr w14:paraId="22D77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14:paraId="4095A943">
            <w:pPr>
              <w:pStyle w:val="59"/>
              <w:jc w:val="both"/>
            </w:pPr>
            <w:r>
              <w:rPr>
                <w:rFonts w:hint="eastAsia"/>
              </w:rPr>
              <w:t>2</w:t>
            </w:r>
          </w:p>
        </w:tc>
        <w:tc>
          <w:tcPr>
            <w:tcW w:w="3538" w:type="dxa"/>
            <w:vAlign w:val="center"/>
          </w:tcPr>
          <w:p w14:paraId="677724AB">
            <w:pPr>
              <w:spacing w:line="360" w:lineRule="auto"/>
              <w:ind w:firstLine="1050" w:firstLineChars="500"/>
              <w:jc w:val="both"/>
            </w:pPr>
            <w:r>
              <w:rPr>
                <w:rFonts w:hint="eastAsia"/>
              </w:rPr>
              <w:t>高空作业车</w:t>
            </w:r>
          </w:p>
        </w:tc>
        <w:tc>
          <w:tcPr>
            <w:tcW w:w="3300" w:type="dxa"/>
            <w:vAlign w:val="center"/>
          </w:tcPr>
          <w:p w14:paraId="50F7B7FC">
            <w:pPr>
              <w:spacing w:line="360" w:lineRule="auto"/>
              <w:jc w:val="center"/>
            </w:pPr>
            <w:r>
              <w:rPr>
                <w:rFonts w:hint="eastAsia"/>
                <w:lang w:val="en-US" w:eastAsia="zh-CN"/>
              </w:rPr>
              <w:t xml:space="preserve">   </w:t>
            </w:r>
            <w:r>
              <w:rPr>
                <w:rFonts w:hint="eastAsia"/>
              </w:rPr>
              <w:t>满足16米及以上高空作业</w:t>
            </w:r>
          </w:p>
        </w:tc>
        <w:tc>
          <w:tcPr>
            <w:tcW w:w="1991" w:type="dxa"/>
            <w:vAlign w:val="center"/>
          </w:tcPr>
          <w:p w14:paraId="57A499BD">
            <w:pPr>
              <w:spacing w:line="360" w:lineRule="auto"/>
              <w:jc w:val="center"/>
            </w:pPr>
            <w:r>
              <w:rPr>
                <w:rFonts w:hint="eastAsia"/>
              </w:rPr>
              <w:t>2辆</w:t>
            </w:r>
          </w:p>
        </w:tc>
      </w:tr>
      <w:tr w14:paraId="7FE6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14:paraId="3BFADD0A">
            <w:pPr>
              <w:pStyle w:val="59"/>
              <w:jc w:val="both"/>
            </w:pPr>
            <w:r>
              <w:rPr>
                <w:rFonts w:hint="eastAsia"/>
              </w:rPr>
              <w:t>3</w:t>
            </w:r>
          </w:p>
        </w:tc>
        <w:tc>
          <w:tcPr>
            <w:tcW w:w="3538" w:type="dxa"/>
            <w:vAlign w:val="center"/>
          </w:tcPr>
          <w:p w14:paraId="2BB995C7">
            <w:pPr>
              <w:spacing w:line="360" w:lineRule="auto"/>
              <w:ind w:firstLine="1050" w:firstLineChars="500"/>
              <w:jc w:val="both"/>
              <w:rPr>
                <w:b/>
                <w:bCs/>
              </w:rPr>
            </w:pPr>
            <w:r>
              <w:rPr>
                <w:rFonts w:hint="eastAsia"/>
              </w:rPr>
              <w:t>防撞缓冲车</w:t>
            </w:r>
          </w:p>
        </w:tc>
        <w:tc>
          <w:tcPr>
            <w:tcW w:w="3300" w:type="dxa"/>
            <w:vAlign w:val="center"/>
          </w:tcPr>
          <w:p w14:paraId="793EB462">
            <w:pPr>
              <w:spacing w:line="360" w:lineRule="auto"/>
              <w:jc w:val="center"/>
            </w:pPr>
            <w:r>
              <w:rPr>
                <w:rFonts w:hint="eastAsia"/>
              </w:rPr>
              <w:t>70K及以上</w:t>
            </w:r>
          </w:p>
        </w:tc>
        <w:tc>
          <w:tcPr>
            <w:tcW w:w="1991" w:type="dxa"/>
            <w:vAlign w:val="center"/>
          </w:tcPr>
          <w:p w14:paraId="3AF34815">
            <w:pPr>
              <w:spacing w:line="360" w:lineRule="auto"/>
              <w:jc w:val="center"/>
            </w:pPr>
            <w:r>
              <w:rPr>
                <w:rFonts w:hint="eastAsia"/>
              </w:rPr>
              <w:t>1辆</w:t>
            </w:r>
          </w:p>
        </w:tc>
      </w:tr>
      <w:tr w14:paraId="12C76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14:paraId="136D7021">
            <w:pPr>
              <w:pStyle w:val="59"/>
              <w:jc w:val="both"/>
            </w:pPr>
            <w:r>
              <w:rPr>
                <w:rFonts w:hint="eastAsia"/>
              </w:rPr>
              <w:t>4</w:t>
            </w:r>
          </w:p>
        </w:tc>
        <w:tc>
          <w:tcPr>
            <w:tcW w:w="3538" w:type="dxa"/>
            <w:vAlign w:val="center"/>
          </w:tcPr>
          <w:p w14:paraId="4E139F72">
            <w:pPr>
              <w:spacing w:line="360" w:lineRule="auto"/>
              <w:ind w:firstLine="1050" w:firstLineChars="500"/>
              <w:jc w:val="both"/>
            </w:pPr>
            <w:r>
              <w:rPr>
                <w:rFonts w:hint="eastAsia"/>
              </w:rPr>
              <w:t>工程抢修车</w:t>
            </w:r>
          </w:p>
        </w:tc>
        <w:tc>
          <w:tcPr>
            <w:tcW w:w="3300" w:type="dxa"/>
            <w:vAlign w:val="center"/>
          </w:tcPr>
          <w:p w14:paraId="2E39944C">
            <w:pPr>
              <w:spacing w:line="360" w:lineRule="auto"/>
              <w:jc w:val="center"/>
            </w:pPr>
            <w:r>
              <w:rPr>
                <w:rFonts w:hint="eastAsia"/>
              </w:rPr>
              <w:t>2吨及以上卡车</w:t>
            </w:r>
          </w:p>
        </w:tc>
        <w:tc>
          <w:tcPr>
            <w:tcW w:w="1991" w:type="dxa"/>
            <w:vAlign w:val="center"/>
          </w:tcPr>
          <w:p w14:paraId="68B2A406">
            <w:pPr>
              <w:spacing w:line="360" w:lineRule="auto"/>
              <w:jc w:val="center"/>
            </w:pPr>
            <w:r>
              <w:rPr>
                <w:rFonts w:hint="eastAsia"/>
              </w:rPr>
              <w:t>1辆</w:t>
            </w:r>
          </w:p>
        </w:tc>
      </w:tr>
      <w:tr w14:paraId="75E0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14:paraId="1B913A86">
            <w:pPr>
              <w:pStyle w:val="59"/>
              <w:jc w:val="both"/>
            </w:pPr>
            <w:r>
              <w:rPr>
                <w:rFonts w:hint="eastAsia"/>
              </w:rPr>
              <w:t>5</w:t>
            </w:r>
          </w:p>
        </w:tc>
        <w:tc>
          <w:tcPr>
            <w:tcW w:w="3538" w:type="dxa"/>
            <w:vAlign w:val="center"/>
          </w:tcPr>
          <w:p w14:paraId="4B79CEA6">
            <w:pPr>
              <w:jc w:val="center"/>
            </w:pPr>
            <w:r>
              <w:rPr>
                <w:rFonts w:hint="eastAsia"/>
              </w:rPr>
              <w:t>皮卡或其他巡检车辆。</w:t>
            </w:r>
          </w:p>
        </w:tc>
        <w:tc>
          <w:tcPr>
            <w:tcW w:w="3300" w:type="dxa"/>
            <w:vAlign w:val="center"/>
          </w:tcPr>
          <w:p w14:paraId="49B7368F">
            <w:pPr>
              <w:jc w:val="center"/>
            </w:pPr>
          </w:p>
        </w:tc>
        <w:tc>
          <w:tcPr>
            <w:tcW w:w="1991" w:type="dxa"/>
            <w:vAlign w:val="center"/>
          </w:tcPr>
          <w:p w14:paraId="3B3E31FE">
            <w:pPr>
              <w:jc w:val="center"/>
            </w:pPr>
            <w:r>
              <w:rPr>
                <w:rFonts w:hint="eastAsia"/>
              </w:rPr>
              <w:t>2辆</w:t>
            </w:r>
          </w:p>
        </w:tc>
      </w:tr>
      <w:tr w14:paraId="3E32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4"/>
          </w:tcPr>
          <w:p w14:paraId="2AE3B97F">
            <w:pPr>
              <w:ind w:left="631" w:hanging="211"/>
              <w:rPr>
                <w:b/>
                <w:bCs/>
              </w:rPr>
            </w:pPr>
            <w:r>
              <w:rPr>
                <w:rFonts w:hint="eastAsia" w:ascii="宋体" w:hAnsi="宋体" w:cs="宋体"/>
                <w:b/>
                <w:szCs w:val="21"/>
                <w:lang w:bidi="ar"/>
              </w:rPr>
              <w:t>▲</w:t>
            </w:r>
            <w:r>
              <w:rPr>
                <w:rFonts w:hint="eastAsia"/>
                <w:b/>
                <w:bCs/>
              </w:rPr>
              <w:t>（设备如自有的，请在投标文件中提供车辆行驶证、产权证、车辆外观图片及车辆相关高度等参数的证明材料；如租赁的，请在投标文件中提供车辆租赁合同、车辆行驶证、产权证、车辆外观图片及车辆相关高度等参数的证明材料。车辆相关高度参数证明材料中的车辆型号、车架号、发动机型号、车牌号需与行驶证或产权证中相关参数对应）</w:t>
            </w:r>
          </w:p>
        </w:tc>
      </w:tr>
    </w:tbl>
    <w:p w14:paraId="13D0A522">
      <w:pPr>
        <w:spacing w:line="360" w:lineRule="auto"/>
        <w:ind w:left="420" w:firstLine="420" w:firstLineChars="200"/>
        <w:rPr>
          <w:rFonts w:hint="eastAsia"/>
          <w:lang w:eastAsia="zh-Hans"/>
        </w:rPr>
      </w:pPr>
      <w:r>
        <w:rPr>
          <w:rFonts w:hint="eastAsia"/>
          <w:lang w:eastAsia="zh-Hans"/>
        </w:rPr>
        <w:t>（五）文档要求</w:t>
      </w:r>
    </w:p>
    <w:p w14:paraId="5F3E3D5F">
      <w:pPr>
        <w:spacing w:line="360" w:lineRule="auto"/>
        <w:ind w:left="420" w:firstLine="420" w:firstLineChars="200"/>
        <w:rPr>
          <w:rFonts w:hint="eastAsia"/>
          <w:lang w:eastAsia="zh-Hans"/>
        </w:rPr>
      </w:pPr>
      <w:r>
        <w:rPr>
          <w:rFonts w:hint="eastAsia"/>
          <w:lang w:eastAsia="zh-Hans"/>
        </w:rPr>
        <w:t>供应商应依照要求提供服务周期内的各类文档，除特别要求的文档，可采用电子文档的形式；供应商应按照采购人规定的文档格式、文档要求、提交周期准时提交相关文档；供应商应提供所有的文档，主要包括：各项问题分析报告、典型经验总结、系统数据报告、系统数据分析报告、系统的优化建议方案等；除了常规报告类的文档，供应商需按照服务要求提供相关技术方案等临时性文档，还应配合采购人进行相关项目验收的资料准备、各项规章制度的编制、完善等文档类工作。</w:t>
      </w:r>
    </w:p>
    <w:p w14:paraId="488A5880">
      <w:pPr>
        <w:spacing w:line="360" w:lineRule="auto"/>
        <w:ind w:left="420" w:firstLine="420" w:firstLineChars="200"/>
        <w:rPr>
          <w:rFonts w:hint="eastAsia"/>
          <w:lang w:eastAsia="zh-Hans"/>
        </w:rPr>
      </w:pPr>
      <w:r>
        <w:rPr>
          <w:rFonts w:hint="eastAsia"/>
          <w:lang w:eastAsia="zh-Hans"/>
        </w:rPr>
        <w:t>（六）知识产权</w:t>
      </w:r>
    </w:p>
    <w:p w14:paraId="49F51045">
      <w:pPr>
        <w:spacing w:line="360" w:lineRule="auto"/>
        <w:ind w:left="420" w:firstLine="420" w:firstLineChars="200"/>
        <w:rPr>
          <w:rFonts w:hint="eastAsia"/>
          <w:lang w:eastAsia="zh-Hans"/>
        </w:rPr>
      </w:pPr>
      <w:r>
        <w:rPr>
          <w:rFonts w:hint="eastAsia"/>
          <w:lang w:eastAsia="zh-Hans"/>
        </w:rPr>
        <w:t>对于结合采购人专门服务需求开发的部分，采购人享有知识产权。供应商在项目服务过程中涉及第三方产品，若出现技术、经济或法律上的纠纷，应由供应商全面承担并全权解决，确保不影响工作的正常开展。</w:t>
      </w:r>
    </w:p>
    <w:p w14:paraId="4284054E">
      <w:pPr>
        <w:spacing w:line="360" w:lineRule="auto"/>
        <w:ind w:left="420" w:firstLine="420" w:firstLineChars="200"/>
        <w:rPr>
          <w:rFonts w:hint="eastAsia"/>
          <w:lang w:eastAsia="zh-Hans"/>
        </w:rPr>
      </w:pPr>
      <w:r>
        <w:rPr>
          <w:rFonts w:hint="eastAsia"/>
          <w:lang w:eastAsia="zh-Hans"/>
        </w:rPr>
        <w:t>（七）合同变更要求</w:t>
      </w:r>
    </w:p>
    <w:p w14:paraId="052182E9">
      <w:pPr>
        <w:spacing w:line="360" w:lineRule="auto"/>
        <w:ind w:left="420" w:firstLine="420" w:firstLineChars="200"/>
        <w:rPr>
          <w:rFonts w:hint="eastAsia"/>
          <w:lang w:eastAsia="zh-Hans"/>
        </w:rPr>
      </w:pPr>
      <w:r>
        <w:rPr>
          <w:rFonts w:hint="eastAsia"/>
          <w:lang w:eastAsia="zh-Hans"/>
        </w:rPr>
        <w:t>如在项目服务过程中需要调整合同中规定的工作内容（如：增添设备、改造设备、系统优化等），需经供应商与采购人共同同意，按合同变更程序办理。</w:t>
      </w:r>
    </w:p>
    <w:p w14:paraId="4B6B689E">
      <w:pPr>
        <w:spacing w:line="360" w:lineRule="auto"/>
        <w:ind w:left="420" w:firstLine="420" w:firstLineChars="200"/>
        <w:rPr>
          <w:rFonts w:hint="eastAsia"/>
          <w:lang w:eastAsia="zh-Hans"/>
        </w:rPr>
      </w:pPr>
      <w:r>
        <w:rPr>
          <w:rFonts w:hint="eastAsia"/>
          <w:lang w:eastAsia="zh-Hans"/>
        </w:rPr>
        <w:t>（八）保密要求</w:t>
      </w:r>
    </w:p>
    <w:p w14:paraId="6961A7C8">
      <w:pPr>
        <w:spacing w:line="360" w:lineRule="auto"/>
        <w:ind w:left="420" w:firstLine="420" w:firstLineChars="200"/>
        <w:rPr>
          <w:rFonts w:hint="eastAsia"/>
          <w:lang w:eastAsia="zh-Hans"/>
        </w:rPr>
      </w:pPr>
      <w:r>
        <w:rPr>
          <w:rFonts w:hint="eastAsia"/>
          <w:lang w:eastAsia="zh-Hans"/>
        </w:rPr>
        <w:t>1、供应商必须严格遵守采购人信息安全方面的要求。对于参与项目的人员均需要签订统一的信息保密协议。</w:t>
      </w:r>
    </w:p>
    <w:p w14:paraId="025A47BC">
      <w:pPr>
        <w:spacing w:line="360" w:lineRule="auto"/>
        <w:ind w:left="420" w:firstLine="420" w:firstLineChars="200"/>
        <w:rPr>
          <w:rFonts w:hint="eastAsia"/>
          <w:lang w:eastAsia="zh-Hans"/>
        </w:rPr>
      </w:pPr>
      <w:r>
        <w:rPr>
          <w:rFonts w:hint="eastAsia"/>
          <w:lang w:eastAsia="zh-Hans"/>
        </w:rPr>
        <w:t>2、供应商应对以下信息进行保密，具体包括：</w:t>
      </w:r>
    </w:p>
    <w:p w14:paraId="65BD7361">
      <w:pPr>
        <w:spacing w:line="360" w:lineRule="auto"/>
        <w:ind w:left="420" w:firstLine="420" w:firstLineChars="200"/>
        <w:rPr>
          <w:rFonts w:hint="eastAsia"/>
          <w:lang w:eastAsia="zh-Hans"/>
        </w:rPr>
      </w:pPr>
      <w:r>
        <w:rPr>
          <w:rFonts w:hint="eastAsia"/>
          <w:lang w:eastAsia="zh-Hans"/>
        </w:rPr>
        <w:t>项目信息：如业务流程、技术方案、业务数据（静态数据、动态数据、历史数据）、报表指标、技术指标、计算机软件、数据库、操作手册、技术资料等。</w:t>
      </w:r>
    </w:p>
    <w:p w14:paraId="1BF294EE">
      <w:pPr>
        <w:spacing w:line="360" w:lineRule="auto"/>
        <w:ind w:left="420" w:firstLine="420" w:firstLineChars="200"/>
        <w:rPr>
          <w:rFonts w:hint="eastAsia"/>
          <w:lang w:eastAsia="zh-Hans"/>
        </w:rPr>
      </w:pPr>
      <w:r>
        <w:rPr>
          <w:rFonts w:hint="eastAsia"/>
          <w:lang w:eastAsia="zh-Hans"/>
        </w:rPr>
        <w:t>保密信息既包括书面认定为保密或专有的，又包括口头给予，随即被书面确认为保密或专有的信息。保密信息存储介质包括但不限于纸质文档、电子文档、光盘、U盘、服务器等文档。</w:t>
      </w:r>
    </w:p>
    <w:p w14:paraId="2B308BC8">
      <w:pPr>
        <w:spacing w:line="360" w:lineRule="auto"/>
        <w:ind w:left="420" w:firstLine="420" w:firstLineChars="200"/>
        <w:rPr>
          <w:rFonts w:hint="eastAsia"/>
          <w:lang w:eastAsia="zh-Hans"/>
        </w:rPr>
      </w:pPr>
      <w:r>
        <w:rPr>
          <w:rFonts w:hint="eastAsia"/>
          <w:lang w:eastAsia="zh-Hans"/>
        </w:rPr>
        <w:t>供应商组建的项目成员在项目单位履行职责期间，必须遵守采购人规定的任何成文或不成文的保密规章、制度，履行与其工作岗位相应的保密职责。不得向不承担相应保密义务的任何第三人披露采购人的商业秘密。</w:t>
      </w:r>
    </w:p>
    <w:p w14:paraId="52F964E1">
      <w:pPr>
        <w:pStyle w:val="3"/>
        <w:tabs>
          <w:tab w:val="left" w:pos="-420"/>
        </w:tabs>
        <w:spacing w:before="156" w:beforeLines="50" w:after="156" w:afterLines="50" w:line="360" w:lineRule="auto"/>
        <w:rPr>
          <w:rFonts w:hint="eastAsia"/>
          <w:b w:val="0"/>
          <w:bCs w:val="0"/>
          <w:sz w:val="21"/>
          <w:szCs w:val="21"/>
          <w:lang w:eastAsia="zh-Hans"/>
        </w:rPr>
      </w:pPr>
      <w:bookmarkStart w:id="39" w:name="_Toc13538"/>
      <w:bookmarkStart w:id="40" w:name="_Toc2293"/>
      <w:r>
        <w:rPr>
          <w:rFonts w:hint="eastAsia"/>
          <w:b w:val="0"/>
          <w:bCs w:val="0"/>
          <w:sz w:val="21"/>
          <w:szCs w:val="21"/>
          <w:lang w:eastAsia="zh-Hans"/>
        </w:rPr>
        <w:t>六、项目服务其它要求</w:t>
      </w:r>
    </w:p>
    <w:p w14:paraId="54A3D5F7">
      <w:pPr>
        <w:spacing w:line="360" w:lineRule="auto"/>
        <w:ind w:left="420" w:firstLine="420" w:firstLineChars="200"/>
        <w:rPr>
          <w:rFonts w:hint="eastAsia"/>
          <w:lang w:eastAsia="zh-Hans"/>
        </w:rPr>
      </w:pPr>
      <w:bookmarkStart w:id="41" w:name="_Toc32160"/>
      <w:bookmarkStart w:id="42" w:name="_Toc15323"/>
      <w:bookmarkStart w:id="43" w:name="_Toc7104"/>
      <w:r>
        <w:rPr>
          <w:rFonts w:hint="eastAsia"/>
          <w:lang w:eastAsia="zh-Hans"/>
        </w:rPr>
        <w:t>1、中标供应商必须为采购人提供项目设计、项目融资、设备采购、工程施工、设备安装调试、运行管理、配合第三方检测单位检测、计量确认和保证等一整套的节能服务解决方案。</w:t>
      </w:r>
    </w:p>
    <w:p w14:paraId="22D42F02">
      <w:pPr>
        <w:spacing w:line="360" w:lineRule="auto"/>
        <w:ind w:left="420" w:firstLine="420" w:firstLineChars="200"/>
        <w:rPr>
          <w:rFonts w:hint="eastAsia"/>
          <w:lang w:eastAsia="zh-Hans"/>
        </w:rPr>
      </w:pPr>
      <w:r>
        <w:rPr>
          <w:rFonts w:hint="eastAsia"/>
          <w:lang w:eastAsia="zh-Hans"/>
        </w:rPr>
        <w:t>2、中标人应根据现场实际情况勘察进行方案设计（包括改造前道路照明数据、改造后道路模拟照明文件、拟采用的LED灯具参数、灯杆灯臂受力模拟方案、基础的强度和安全性核算等），把设计方案报送采购人，采购人组织专家审核同意后实施。审核意见并不免除中标人对项目质量所负的完全责任，中标人须对灯具安装的安全性负责。</w:t>
      </w:r>
    </w:p>
    <w:p w14:paraId="3A94EEF5">
      <w:pPr>
        <w:spacing w:line="360" w:lineRule="auto"/>
        <w:ind w:left="420" w:firstLine="420" w:firstLineChars="200"/>
        <w:rPr>
          <w:rFonts w:hint="eastAsia"/>
          <w:lang w:eastAsia="zh-Hans"/>
        </w:rPr>
      </w:pPr>
      <w:r>
        <w:rPr>
          <w:rFonts w:hint="eastAsia"/>
          <w:lang w:eastAsia="zh-Hans"/>
        </w:rPr>
        <w:t>3、本项目涉及改造的所有灯具按采购人及项目要求进行更换及改造。中标供应商自行负责节能改造的投资费用，供应商在报价时应综合考虑，自行承担风险。</w:t>
      </w:r>
    </w:p>
    <w:p w14:paraId="6F44D5E7">
      <w:pPr>
        <w:spacing w:line="360" w:lineRule="auto"/>
        <w:ind w:left="420" w:firstLine="420" w:firstLineChars="200"/>
        <w:rPr>
          <w:rFonts w:hint="eastAsia"/>
          <w:lang w:eastAsia="zh-Hans"/>
        </w:rPr>
      </w:pPr>
      <w:r>
        <w:rPr>
          <w:rFonts w:hint="eastAsia"/>
          <w:lang w:eastAsia="zh-Hans"/>
        </w:rPr>
        <w:t>4、中标供应商施工前，应把施工方案报送采购人，经审核同意后才能实施。审核意见并不免除中标人对项目质量所负的完全责任，中标人须对安装施工的安全负责。中标人须自行办理施工开挖、占道等手续。</w:t>
      </w:r>
    </w:p>
    <w:p w14:paraId="7CAF275C">
      <w:pPr>
        <w:spacing w:line="360" w:lineRule="auto"/>
        <w:ind w:left="420" w:firstLine="420" w:firstLineChars="200"/>
        <w:rPr>
          <w:rFonts w:hint="eastAsia"/>
          <w:lang w:eastAsia="zh-Hans"/>
        </w:rPr>
      </w:pPr>
      <w:r>
        <w:rPr>
          <w:rFonts w:hint="eastAsia"/>
          <w:lang w:eastAsia="zh-Hans"/>
        </w:rPr>
        <w:t>5、投标供应商的投资额为完成招标文件及合同条款所规定的工作内容的各项费用，应包括人工、设备、材料、软件、管理、维护、安装、道路开挖、绿化补偿费、绿地占用费、调试、税金、保险、包干预备费、政策性文件规定及招标文件、合同包含的所有风险（包括施工期间物价上涨、政策性调整等因素）、责任等各项应有的费用。</w:t>
      </w:r>
    </w:p>
    <w:p w14:paraId="6971CC51">
      <w:pPr>
        <w:spacing w:line="360" w:lineRule="auto"/>
        <w:ind w:left="420" w:firstLine="420" w:firstLineChars="200"/>
        <w:rPr>
          <w:rFonts w:hint="eastAsia"/>
          <w:lang w:eastAsia="zh-Hans"/>
        </w:rPr>
      </w:pPr>
      <w:r>
        <w:rPr>
          <w:rFonts w:hint="eastAsia"/>
          <w:lang w:eastAsia="zh-Hans"/>
        </w:rPr>
        <w:t>6、本项目施工期需更换灯具、其他设备及提供备品的所有费用（包含人工、材料、产品、设备、设施、运输费、税费、管理费、保险、利润、代理服务费等一切与完成项目施工有关的所有费用）均应由中标人承担，投标时，应考虑到项目总投资额内。</w:t>
      </w:r>
    </w:p>
    <w:p w14:paraId="1DBCA7D7">
      <w:pPr>
        <w:spacing w:line="360" w:lineRule="auto"/>
        <w:ind w:left="420" w:firstLine="420" w:firstLineChars="200"/>
        <w:rPr>
          <w:rFonts w:hint="eastAsia"/>
          <w:lang w:eastAsia="zh-Hans"/>
        </w:rPr>
      </w:pPr>
      <w:r>
        <w:rPr>
          <w:rFonts w:hint="eastAsia"/>
          <w:lang w:eastAsia="zh-Hans"/>
        </w:rPr>
        <w:t>7、中标供应商应对合同履约期间的生产安全负责，由于安全管理不当或其它自身原因，造成工作人员或第三方人员的人身安全事故和财产损失，由中标供应商自行处理解决与采购人无涉。合同履约期间所涉及的所有安全管理费由中标供应商负责，安全管理费包含路口标志标牌、公告、交通管制费及其他一切与安全相关的费用。</w:t>
      </w:r>
    </w:p>
    <w:p w14:paraId="05991462">
      <w:pPr>
        <w:spacing w:line="360" w:lineRule="auto"/>
        <w:ind w:left="420" w:firstLine="420" w:firstLineChars="200"/>
        <w:rPr>
          <w:rFonts w:hint="eastAsia" w:ascii="Times New Roman" w:hAnsi="Times New Roman" w:cs="Times New Roman"/>
          <w:highlight w:val="none"/>
          <w:lang w:eastAsia="zh-Hans"/>
        </w:rPr>
      </w:pPr>
      <w:r>
        <w:rPr>
          <w:rFonts w:hint="eastAsia" w:ascii="Times New Roman" w:hAnsi="Times New Roman" w:cs="Times New Roman"/>
          <w:highlight w:val="none"/>
          <w:lang w:eastAsia="zh-Hans"/>
        </w:rPr>
        <w:t>8、运至现场的灯具抽测以及项目竣工、设施移交涉及的灯具检测、道路照明质量等项目竣工验收、设施移交所必须检测费用由中标人支付，不属于本项目第三方检测单位的工作内容。项目验收移交后的能源托管合同期（含节能改造）内的节能检测、光照质量测试等由采购人招标或自行委托引入的第三方检测单位检测，所有检测发生的费用由中标人负责。</w:t>
      </w:r>
    </w:p>
    <w:p w14:paraId="18DE666B">
      <w:pPr>
        <w:spacing w:line="360" w:lineRule="auto"/>
        <w:ind w:left="420" w:firstLine="420" w:firstLineChars="200"/>
        <w:rPr>
          <w:rFonts w:hint="eastAsia" w:ascii="Times New Roman" w:hAnsi="Times New Roman" w:cs="Times New Roman"/>
          <w:lang w:eastAsia="zh-Hans"/>
        </w:rPr>
      </w:pPr>
      <w:r>
        <w:rPr>
          <w:rFonts w:hint="eastAsia" w:ascii="Times New Roman" w:hAnsi="Times New Roman" w:cs="Times New Roman"/>
          <w:lang w:eastAsia="zh-Hans"/>
        </w:rPr>
        <w:t>9、合同履约期内，如业主有零星的新建路灯需要中标供应商配合施工，中标供应商应积极配合。</w:t>
      </w:r>
    </w:p>
    <w:p w14:paraId="0879F653">
      <w:pPr>
        <w:spacing w:line="360" w:lineRule="auto"/>
        <w:ind w:left="420" w:firstLine="420" w:firstLineChars="200"/>
        <w:rPr>
          <w:rFonts w:hint="eastAsia" w:ascii="Times New Roman" w:hAnsi="Times New Roman" w:cs="Times New Roman"/>
          <w:lang w:eastAsia="zh-Hans"/>
        </w:rPr>
      </w:pPr>
      <w:r>
        <w:rPr>
          <w:rFonts w:hint="eastAsia" w:ascii="Times New Roman" w:hAnsi="Times New Roman" w:cs="Times New Roman"/>
          <w:lang w:eastAsia="zh-Hans"/>
        </w:rPr>
        <w:t>10、招标范围内隧道的所有机电设备（设施）（包括排风扇、应急灯、消防设施、水泵等）的电费由中标人支付，并确保用电正常。及时向采购人反馈机电设备的运行情况，机电设备的维修保养由采购人负责。</w:t>
      </w:r>
    </w:p>
    <w:p w14:paraId="5DBA1DD6">
      <w:pPr>
        <w:spacing w:line="360" w:lineRule="auto"/>
        <w:ind w:left="420" w:firstLine="420" w:firstLineChars="200"/>
        <w:rPr>
          <w:rFonts w:hint="eastAsia" w:ascii="Times New Roman" w:hAnsi="Times New Roman" w:cs="Times New Roman"/>
          <w:highlight w:val="none"/>
          <w:lang w:eastAsia="zh-Hans"/>
        </w:rPr>
      </w:pPr>
      <w:r>
        <w:rPr>
          <w:rFonts w:hint="eastAsia" w:ascii="Times New Roman" w:hAnsi="Times New Roman" w:cs="Times New Roman"/>
          <w:highlight w:val="none"/>
          <w:lang w:eastAsia="zh-Hans"/>
        </w:rPr>
        <w:t>11、在合同期满后，新一任委托单位接手之前，中标供应商需负责实施范围的</w:t>
      </w:r>
      <w:r>
        <w:rPr>
          <w:rFonts w:hint="eastAsia" w:cs="Times New Roman"/>
          <w:highlight w:val="none"/>
          <w:lang w:val="en-US" w:eastAsia="zh-CN"/>
        </w:rPr>
        <w:t>免费</w:t>
      </w:r>
      <w:r>
        <w:rPr>
          <w:rFonts w:hint="eastAsia" w:ascii="Times New Roman" w:hAnsi="Times New Roman" w:cs="Times New Roman"/>
          <w:highlight w:val="none"/>
          <w:lang w:eastAsia="zh-Hans"/>
        </w:rPr>
        <w:t>维修，不超过一年。</w:t>
      </w:r>
    </w:p>
    <w:p w14:paraId="3FF7E34B">
      <w:pPr>
        <w:spacing w:line="360" w:lineRule="auto"/>
        <w:ind w:left="420" w:firstLine="440" w:firstLineChars="200"/>
        <w:rPr>
          <w:rFonts w:ascii="黑体" w:hAnsi="黑体" w:cs="黑体"/>
          <w:b w:val="0"/>
          <w:bCs w:val="0"/>
          <w:sz w:val="22"/>
          <w:szCs w:val="22"/>
        </w:rPr>
      </w:pPr>
      <w:r>
        <w:rPr>
          <w:rFonts w:hint="eastAsia" w:ascii="黑体" w:hAnsi="黑体" w:cs="黑体"/>
          <w:b w:val="0"/>
          <w:bCs w:val="0"/>
          <w:sz w:val="22"/>
          <w:szCs w:val="22"/>
        </w:rPr>
        <w:t>七、货物质量要求</w:t>
      </w:r>
      <w:bookmarkEnd w:id="41"/>
      <w:bookmarkEnd w:id="42"/>
      <w:bookmarkEnd w:id="43"/>
    </w:p>
    <w:p w14:paraId="523F7D67">
      <w:pPr>
        <w:spacing w:line="360" w:lineRule="auto"/>
        <w:ind w:left="420" w:firstLine="420" w:firstLineChars="200"/>
        <w:rPr>
          <w:rFonts w:hint="eastAsia"/>
          <w:lang w:eastAsia="zh-Hans"/>
        </w:rPr>
      </w:pPr>
      <w:r>
        <w:rPr>
          <w:rFonts w:hint="eastAsia"/>
          <w:lang w:eastAsia="zh-Hans"/>
        </w:rPr>
        <w:t>1、中标供应商应提供全新的原厂原装货物和完善服务。</w:t>
      </w:r>
    </w:p>
    <w:p w14:paraId="191FA471">
      <w:pPr>
        <w:spacing w:line="360" w:lineRule="auto"/>
        <w:ind w:left="420" w:firstLine="420" w:firstLineChars="200"/>
        <w:rPr>
          <w:rFonts w:hint="eastAsia"/>
          <w:lang w:eastAsia="zh-Hans"/>
        </w:rPr>
      </w:pPr>
      <w:r>
        <w:rPr>
          <w:rFonts w:hint="eastAsia"/>
          <w:lang w:eastAsia="zh-Hans"/>
        </w:rPr>
        <w:t>2、货物质量指标达到相应的生产标准及技术要求。货物须经中国政府批准在中国境内销售。</w:t>
      </w:r>
    </w:p>
    <w:p w14:paraId="0DD856D3">
      <w:pPr>
        <w:spacing w:line="360" w:lineRule="auto"/>
        <w:ind w:left="420" w:firstLine="420" w:firstLineChars="200"/>
        <w:rPr>
          <w:rFonts w:hint="eastAsia"/>
          <w:lang w:eastAsia="zh-Hans"/>
        </w:rPr>
      </w:pPr>
      <w:r>
        <w:rPr>
          <w:rFonts w:hint="eastAsia"/>
          <w:lang w:eastAsia="zh-Hans"/>
        </w:rPr>
        <w:t>3、确定中标供应商后，运至现场的每批次灯具由采购人或项目监理单位随机抽取2套灯具，送第三方检测单位检测，检测费由中标人支付，检测符合投标文件中技术要求后，交由采购人封样，方可使用；若检测不合格，该批次路灯灯具不得安装于现场，已安装于现场的必须在7个日历天内拆除。</w:t>
      </w:r>
    </w:p>
    <w:p w14:paraId="52D35441">
      <w:pPr>
        <w:spacing w:line="360" w:lineRule="auto"/>
        <w:ind w:left="420" w:firstLine="420" w:firstLineChars="200"/>
        <w:rPr>
          <w:rFonts w:hint="eastAsia"/>
          <w:lang w:eastAsia="zh-Hans"/>
        </w:rPr>
      </w:pPr>
      <w:r>
        <w:rPr>
          <w:rFonts w:hint="eastAsia"/>
          <w:lang w:eastAsia="zh-Hans"/>
        </w:rPr>
        <w:t>4、中标供应商应按合同要求以及适用法律法规进行任务通知书指定区域道路照明改造的设计工作，选择相应设计资质单位进行设计，并承担相应费用。</w:t>
      </w:r>
    </w:p>
    <w:p w14:paraId="5DEF2EDA">
      <w:pPr>
        <w:spacing w:line="360" w:lineRule="auto"/>
        <w:ind w:left="420" w:firstLine="420" w:firstLineChars="200"/>
        <w:rPr>
          <w:rFonts w:hint="eastAsia"/>
          <w:lang w:eastAsia="zh-Hans"/>
        </w:rPr>
      </w:pPr>
      <w:r>
        <w:rPr>
          <w:rFonts w:hint="eastAsia"/>
          <w:lang w:eastAsia="zh-Hans"/>
        </w:rPr>
        <w:t>5、应向采购人递交的设计方案应经审核通过后方可施工。</w:t>
      </w:r>
    </w:p>
    <w:p w14:paraId="3B7BD748">
      <w:pPr>
        <w:spacing w:line="360" w:lineRule="auto"/>
        <w:ind w:left="420" w:firstLine="420" w:firstLineChars="200"/>
        <w:rPr>
          <w:rFonts w:hint="eastAsia"/>
          <w:lang w:eastAsia="zh-Hans"/>
        </w:rPr>
      </w:pPr>
      <w:r>
        <w:rPr>
          <w:rFonts w:hint="eastAsia"/>
          <w:lang w:eastAsia="zh-Hans"/>
        </w:rPr>
        <w:t>6、施工改造过程中，采购人有权对已使用或即将安装的路灯进行抽检（非采购人委托的第三方检测机构的工作内容），与样品进行比对；若品牌不一致、参数不能满足投标文件和招标文件要求的，该批次路灯灯具不得安装于现场，已安装于现场的必须在7个日历天内拆除。</w:t>
      </w:r>
    </w:p>
    <w:p w14:paraId="72B61B20">
      <w:pPr>
        <w:spacing w:line="360" w:lineRule="auto"/>
        <w:ind w:left="420" w:firstLine="420" w:firstLineChars="200"/>
        <w:rPr>
          <w:rFonts w:hint="eastAsia"/>
          <w:lang w:eastAsia="zh-Hans"/>
        </w:rPr>
      </w:pPr>
      <w:r>
        <w:rPr>
          <w:rFonts w:hint="eastAsia"/>
          <w:lang w:eastAsia="zh-Hans"/>
        </w:rPr>
        <w:t>7、中标供应商在改造过程中，需根据LED灯具的重量、体积等参数，结合原有的灯杆、挑臂进行综合模拟测试，出具改用LED灯具后路灯整体无安全隐患的承诺函，并承担相应责任。</w:t>
      </w:r>
    </w:p>
    <w:p w14:paraId="708FA6DB">
      <w:pPr>
        <w:spacing w:line="360" w:lineRule="auto"/>
        <w:ind w:left="420" w:firstLine="420" w:firstLineChars="200"/>
        <w:rPr>
          <w:rFonts w:hint="eastAsia"/>
          <w:lang w:eastAsia="zh-Hans"/>
        </w:rPr>
      </w:pPr>
      <w:r>
        <w:rPr>
          <w:rFonts w:hint="eastAsia"/>
          <w:lang w:eastAsia="zh-Hans"/>
        </w:rPr>
        <w:t>8、不允许更改中标供应商承诺的灯具品牌及型号。</w:t>
      </w:r>
    </w:p>
    <w:p w14:paraId="701A520B">
      <w:pPr>
        <w:spacing w:line="360" w:lineRule="auto"/>
        <w:ind w:left="420" w:firstLine="420" w:firstLineChars="200"/>
        <w:rPr>
          <w:rFonts w:hint="eastAsia"/>
          <w:lang w:eastAsia="zh-Hans"/>
        </w:rPr>
      </w:pPr>
      <w:r>
        <w:rPr>
          <w:rFonts w:hint="eastAsia"/>
          <w:lang w:eastAsia="zh-Hans"/>
        </w:rPr>
        <w:t>9、节能改造服务期内，在国家LED路灯新标准未出台之前，合同所涉及到的LED路灯节能产品的性能参数不能低于中标人产品在投标过程中检测报告的数据；如有参数上的差异，取更优参数为准。</w:t>
      </w:r>
    </w:p>
    <w:p w14:paraId="23A89BD6">
      <w:pPr>
        <w:spacing w:line="360" w:lineRule="auto"/>
        <w:ind w:left="420" w:firstLine="420" w:firstLineChars="200"/>
        <w:rPr>
          <w:rFonts w:hint="eastAsia" w:eastAsia="宋体"/>
          <w:lang w:eastAsia="zh-CN"/>
        </w:rPr>
      </w:pPr>
      <w:r>
        <w:rPr>
          <w:rFonts w:hint="eastAsia"/>
          <w:lang w:eastAsia="zh-Hans"/>
        </w:rPr>
        <w:t>10、投标供应商应提供承诺函，承诺投入使用的LED灯具技术参数不低于投标时提供的检测报告的参数。</w:t>
      </w:r>
      <w:r>
        <w:rPr>
          <w:rFonts w:hint="eastAsia"/>
          <w:lang w:eastAsia="zh-CN"/>
        </w:rPr>
        <w:t>（</w:t>
      </w:r>
      <w:r>
        <w:rPr>
          <w:rFonts w:hint="eastAsia"/>
          <w:lang w:val="en-US" w:eastAsia="zh-CN"/>
        </w:rPr>
        <w:t>承诺函格式自拟</w:t>
      </w:r>
      <w:r>
        <w:rPr>
          <w:rFonts w:hint="eastAsia"/>
          <w:lang w:eastAsia="zh-CN"/>
        </w:rPr>
        <w:t>）</w:t>
      </w:r>
    </w:p>
    <w:p w14:paraId="238BCDFE">
      <w:pPr>
        <w:pStyle w:val="3"/>
        <w:tabs>
          <w:tab w:val="left" w:pos="-420"/>
        </w:tabs>
        <w:spacing w:before="156" w:beforeLines="50" w:after="156" w:afterLines="50" w:line="360" w:lineRule="auto"/>
        <w:rPr>
          <w:b w:val="0"/>
          <w:bCs w:val="0"/>
          <w:sz w:val="21"/>
          <w:szCs w:val="21"/>
        </w:rPr>
      </w:pPr>
      <w:r>
        <w:rPr>
          <w:rFonts w:hint="eastAsia"/>
          <w:b w:val="0"/>
          <w:bCs w:val="0"/>
          <w:sz w:val="21"/>
          <w:szCs w:val="21"/>
        </w:rPr>
        <w:t>八</w:t>
      </w:r>
      <w:r>
        <w:rPr>
          <w:b w:val="0"/>
          <w:bCs w:val="0"/>
          <w:sz w:val="21"/>
          <w:szCs w:val="21"/>
        </w:rPr>
        <w:t>、</w:t>
      </w:r>
      <w:r>
        <w:rPr>
          <w:rFonts w:hint="eastAsia"/>
          <w:b w:val="0"/>
          <w:bCs w:val="0"/>
          <w:sz w:val="21"/>
          <w:szCs w:val="21"/>
        </w:rPr>
        <w:t>商务</w:t>
      </w:r>
      <w:r>
        <w:rPr>
          <w:b w:val="0"/>
          <w:bCs w:val="0"/>
          <w:sz w:val="21"/>
          <w:szCs w:val="21"/>
        </w:rPr>
        <w:t>要求</w:t>
      </w:r>
      <w:bookmarkEnd w:id="39"/>
      <w:bookmarkEnd w:id="40"/>
    </w:p>
    <w:tbl>
      <w:tblPr>
        <w:tblStyle w:val="60"/>
        <w:tblW w:w="9197" w:type="dxa"/>
        <w:tblInd w:w="15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5"/>
        <w:gridCol w:w="8532"/>
      </w:tblGrid>
      <w:tr w14:paraId="6153C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665" w:type="dxa"/>
            <w:vAlign w:val="center"/>
          </w:tcPr>
          <w:p w14:paraId="60C21E93">
            <w:pPr>
              <w:autoSpaceDE w:val="0"/>
              <w:autoSpaceDN w:val="0"/>
              <w:spacing w:line="360" w:lineRule="exact"/>
              <w:jc w:val="both"/>
              <w:rPr>
                <w:rFonts w:ascii="宋体" w:hAnsi="宋体" w:cs="宋体"/>
                <w:b/>
                <w:bCs/>
                <w:szCs w:val="21"/>
              </w:rPr>
            </w:pPr>
            <w:bookmarkStart w:id="44" w:name="_Toc27104"/>
            <w:bookmarkStart w:id="45" w:name="_Toc2073"/>
            <w:r>
              <w:rPr>
                <w:rFonts w:hint="eastAsia" w:ascii="宋体" w:hAnsi="宋体" w:cs="宋体"/>
                <w:b/>
                <w:bCs/>
                <w:szCs w:val="21"/>
              </w:rPr>
              <w:t>序号</w:t>
            </w:r>
          </w:p>
        </w:tc>
        <w:tc>
          <w:tcPr>
            <w:tcW w:w="8532" w:type="dxa"/>
            <w:vAlign w:val="center"/>
          </w:tcPr>
          <w:p w14:paraId="6E81452D">
            <w:pPr>
              <w:autoSpaceDE w:val="0"/>
              <w:autoSpaceDN w:val="0"/>
              <w:spacing w:line="360" w:lineRule="exact"/>
              <w:ind w:left="631" w:hanging="211"/>
              <w:jc w:val="center"/>
              <w:rPr>
                <w:rFonts w:ascii="宋体" w:hAnsi="宋体" w:cs="宋体"/>
                <w:b/>
                <w:bCs/>
                <w:szCs w:val="21"/>
              </w:rPr>
            </w:pPr>
            <w:r>
              <w:rPr>
                <w:rFonts w:hint="eastAsia" w:ascii="宋体" w:hAnsi="宋体" w:cs="宋体"/>
                <w:b/>
                <w:bCs/>
                <w:szCs w:val="21"/>
              </w:rPr>
              <w:t>内      容</w:t>
            </w:r>
          </w:p>
        </w:tc>
      </w:tr>
      <w:tr w14:paraId="7F2C5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665" w:type="dxa"/>
            <w:vAlign w:val="center"/>
          </w:tcPr>
          <w:p w14:paraId="07ECC828">
            <w:pPr>
              <w:widowControl/>
              <w:spacing w:line="360" w:lineRule="auto"/>
              <w:rPr>
                <w:rFonts w:hint="eastAsia"/>
                <w:lang w:val="en-US" w:eastAsia="zh-Hans"/>
              </w:rPr>
            </w:pPr>
            <w:r>
              <w:rPr>
                <w:rFonts w:hint="eastAsia"/>
                <w:lang w:val="en-US" w:eastAsia="zh-Hans"/>
              </w:rPr>
              <w:t>1</w:t>
            </w:r>
          </w:p>
        </w:tc>
        <w:tc>
          <w:tcPr>
            <w:tcW w:w="8532" w:type="dxa"/>
            <w:vAlign w:val="center"/>
          </w:tcPr>
          <w:p w14:paraId="6BFD2AB3">
            <w:pPr>
              <w:widowControl/>
              <w:spacing w:line="360" w:lineRule="auto"/>
              <w:rPr>
                <w:rFonts w:ascii="宋体" w:hAnsi="宋体" w:cs="宋体"/>
                <w:szCs w:val="21"/>
                <w:lang w:eastAsia="zh-Hans"/>
              </w:rPr>
            </w:pPr>
            <w:r>
              <w:rPr>
                <w:rFonts w:hint="eastAsia"/>
                <w:lang w:val="en-US" w:eastAsia="zh-CN"/>
              </w:rPr>
              <w:t>服务地点：</w:t>
            </w:r>
            <w:r>
              <w:rPr>
                <w:rFonts w:hint="eastAsia"/>
                <w:lang w:eastAsia="zh-Hans"/>
              </w:rPr>
              <w:t xml:space="preserve">舟山市定海区（采购人指定地点）  </w:t>
            </w:r>
          </w:p>
        </w:tc>
      </w:tr>
      <w:tr w14:paraId="4A243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665" w:type="dxa"/>
            <w:vAlign w:val="center"/>
          </w:tcPr>
          <w:p w14:paraId="3474756E">
            <w:pPr>
              <w:widowControl/>
              <w:spacing w:line="360" w:lineRule="auto"/>
              <w:rPr>
                <w:rFonts w:hint="eastAsia"/>
                <w:lang w:val="en-US" w:eastAsia="zh-Hans"/>
              </w:rPr>
            </w:pPr>
            <w:r>
              <w:rPr>
                <w:rFonts w:hint="eastAsia"/>
                <w:lang w:val="en-US" w:eastAsia="zh-Hans"/>
              </w:rPr>
              <w:t>▲2</w:t>
            </w:r>
          </w:p>
        </w:tc>
        <w:tc>
          <w:tcPr>
            <w:tcW w:w="8532" w:type="dxa"/>
            <w:vAlign w:val="center"/>
          </w:tcPr>
          <w:p w14:paraId="472E53F7">
            <w:pPr>
              <w:widowControl/>
              <w:spacing w:line="360" w:lineRule="auto"/>
              <w:rPr>
                <w:rFonts w:hint="eastAsia"/>
                <w:lang w:val="en-US" w:eastAsia="zh-CN"/>
              </w:rPr>
            </w:pPr>
            <w:r>
              <w:rPr>
                <w:rFonts w:hint="eastAsia"/>
                <w:lang w:val="en-US" w:eastAsia="zh-CN"/>
              </w:rPr>
              <w:t>1、合同履约期限:</w:t>
            </w:r>
          </w:p>
          <w:p w14:paraId="7A356C61">
            <w:pPr>
              <w:widowControl/>
              <w:spacing w:line="360" w:lineRule="auto"/>
              <w:rPr>
                <w:rFonts w:hint="eastAsia"/>
                <w:lang w:val="en-US" w:eastAsia="zh-Hans"/>
              </w:rPr>
            </w:pPr>
            <w:r>
              <w:rPr>
                <w:rFonts w:hint="eastAsia"/>
                <w:lang w:val="en-US" w:eastAsia="zh-Hans"/>
              </w:rPr>
              <w:t>本项目</w:t>
            </w:r>
            <w:r>
              <w:rPr>
                <w:rFonts w:hint="eastAsia"/>
                <w:lang w:val="en-US" w:eastAsia="zh-CN"/>
              </w:rPr>
              <w:t>合同履约期限</w:t>
            </w:r>
            <w:r>
              <w:rPr>
                <w:rFonts w:hint="eastAsia"/>
                <w:lang w:val="en-US" w:eastAsia="zh-Hans"/>
              </w:rPr>
              <w:t>指</w:t>
            </w:r>
            <w:r>
              <w:rPr>
                <w:rFonts w:hint="eastAsia"/>
                <w:lang w:val="en-US" w:eastAsia="zh-CN"/>
              </w:rPr>
              <w:t>供应商</w:t>
            </w:r>
            <w:r>
              <w:rPr>
                <w:rFonts w:hint="eastAsia"/>
                <w:lang w:val="en-US" w:eastAsia="zh-Hans"/>
              </w:rPr>
              <w:t>与采购人签订合同至</w:t>
            </w:r>
            <w:r>
              <w:rPr>
                <w:rFonts w:hint="eastAsia"/>
                <w:lang w:val="en-US" w:eastAsia="zh-CN"/>
              </w:rPr>
              <w:t>能源托管</w:t>
            </w:r>
            <w:r>
              <w:rPr>
                <w:rFonts w:hint="eastAsia"/>
                <w:lang w:val="en-US" w:eastAsia="zh-Hans"/>
              </w:rPr>
              <w:t>服务合同期结束</w:t>
            </w:r>
            <w:r>
              <w:rPr>
                <w:rFonts w:hint="eastAsia"/>
                <w:lang w:val="en-US" w:eastAsia="zh-CN"/>
              </w:rPr>
              <w:t>，期限为10</w:t>
            </w:r>
            <w:r>
              <w:rPr>
                <w:rFonts w:hint="eastAsia"/>
                <w:lang w:val="en-US" w:eastAsia="zh-Hans"/>
              </w:rPr>
              <w:t>年。</w:t>
            </w:r>
          </w:p>
          <w:p w14:paraId="0B49A41F">
            <w:pPr>
              <w:widowControl/>
              <w:spacing w:line="360" w:lineRule="auto"/>
              <w:rPr>
                <w:rFonts w:ascii="宋体" w:hAnsi="宋体" w:cs="宋体"/>
                <w:szCs w:val="21"/>
              </w:rPr>
            </w:pPr>
            <w:r>
              <w:rPr>
                <w:rFonts w:hint="eastAsia"/>
                <w:lang w:val="en-US" w:eastAsia="zh-CN"/>
              </w:rPr>
              <w:t>2、保修期：</w:t>
            </w:r>
            <w:r>
              <w:rPr>
                <w:rFonts w:hint="eastAsia"/>
                <w:highlight w:val="none"/>
                <w:lang w:val="en-US" w:eastAsia="zh-CN"/>
              </w:rPr>
              <w:t>在合同期满后，新一任委托单位接手之前，中标供应商需负责实施范围的免费维修，不超过一年。</w:t>
            </w:r>
          </w:p>
        </w:tc>
      </w:tr>
      <w:tr w14:paraId="1A4A9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65" w:type="dxa"/>
            <w:vAlign w:val="center"/>
          </w:tcPr>
          <w:p w14:paraId="63BF8947">
            <w:pPr>
              <w:widowControl/>
              <w:spacing w:line="360" w:lineRule="auto"/>
              <w:rPr>
                <w:rFonts w:hint="eastAsia"/>
                <w:lang w:val="en-US" w:eastAsia="zh-CN"/>
              </w:rPr>
            </w:pPr>
            <w:r>
              <w:rPr>
                <w:rFonts w:hint="eastAsia"/>
                <w:lang w:val="en-US" w:eastAsia="zh-CN"/>
              </w:rPr>
              <w:t>▲3</w:t>
            </w:r>
          </w:p>
        </w:tc>
        <w:tc>
          <w:tcPr>
            <w:tcW w:w="8532" w:type="dxa"/>
            <w:vAlign w:val="center"/>
          </w:tcPr>
          <w:p w14:paraId="2E325DB2">
            <w:pPr>
              <w:widowControl/>
              <w:spacing w:line="360" w:lineRule="auto"/>
              <w:rPr>
                <w:rFonts w:hint="eastAsia"/>
                <w:lang w:val="zh-CN" w:eastAsia="zh-Hans"/>
              </w:rPr>
            </w:pPr>
            <w:r>
              <w:rPr>
                <w:rFonts w:hint="eastAsia"/>
                <w:lang w:val="zh-CN" w:eastAsia="zh-Hans"/>
              </w:rPr>
              <w:t>付款方法和条件：</w:t>
            </w:r>
          </w:p>
          <w:p w14:paraId="54D7E812">
            <w:pPr>
              <w:widowControl/>
              <w:spacing w:line="360" w:lineRule="auto"/>
              <w:rPr>
                <w:rFonts w:hint="eastAsia"/>
                <w:lang w:val="en-US" w:eastAsia="zh-CN"/>
              </w:rPr>
            </w:pPr>
            <w:r>
              <w:rPr>
                <w:rFonts w:hint="eastAsia"/>
                <w:lang w:val="en-US" w:eastAsia="zh-CN"/>
              </w:rPr>
              <w:t>1、在合同生效以及具备实施条件后7个工作日内，采购人向中标人支付年中标价的20%作为项目预付款（在签订合同时，中标人明确表示无需预付款或者主动要求降低预付款比例的，采购人可不支付或减少预付款支付比例）。采购人可以要求供应商提交银行、保险公司等金融机构出具的预付款保函或其他担保措施。（保函的金额、有效期等在签订合同时约定）。</w:t>
            </w:r>
          </w:p>
          <w:p w14:paraId="1E73DBD1">
            <w:pPr>
              <w:widowControl/>
              <w:spacing w:line="360" w:lineRule="auto"/>
              <w:rPr>
                <w:rFonts w:hint="eastAsia"/>
                <w:lang w:val="en-US" w:eastAsia="zh-Hans"/>
              </w:rPr>
            </w:pPr>
            <w:r>
              <w:rPr>
                <w:rFonts w:hint="eastAsia"/>
                <w:lang w:val="en-US" w:eastAsia="zh-CN"/>
              </w:rPr>
              <w:t>2、第一至第九年度</w:t>
            </w:r>
            <w:r>
              <w:rPr>
                <w:rFonts w:hint="eastAsia"/>
                <w:lang w:val="en-US" w:eastAsia="zh-Hans"/>
              </w:rPr>
              <w:t>能源托管费用每</w:t>
            </w:r>
            <w:r>
              <w:rPr>
                <w:rFonts w:hint="eastAsia"/>
                <w:lang w:val="en-US" w:eastAsia="zh-CN"/>
              </w:rPr>
              <w:t>季度</w:t>
            </w:r>
            <w:r>
              <w:rPr>
                <w:rFonts w:hint="eastAsia"/>
                <w:lang w:val="en-US" w:eastAsia="zh-Hans"/>
              </w:rPr>
              <w:t>支付一次，每次支付的金额为该周期年能源托管费用的1/</w:t>
            </w:r>
            <w:r>
              <w:rPr>
                <w:rFonts w:hint="eastAsia"/>
                <w:lang w:val="en-US" w:eastAsia="zh-CN"/>
              </w:rPr>
              <w:t>4</w:t>
            </w:r>
            <w:r>
              <w:rPr>
                <w:rFonts w:hint="eastAsia"/>
                <w:lang w:val="en-US" w:eastAsia="zh-Hans"/>
              </w:rPr>
              <w:t>，次</w:t>
            </w:r>
            <w:r>
              <w:rPr>
                <w:rFonts w:hint="eastAsia"/>
                <w:lang w:val="en-US" w:eastAsia="zh-CN"/>
              </w:rPr>
              <w:t>季第一个月</w:t>
            </w:r>
            <w:r>
              <w:rPr>
                <w:rFonts w:hint="eastAsia"/>
                <w:lang w:val="en-US" w:eastAsia="zh-Hans"/>
              </w:rPr>
              <w:t>支付上</w:t>
            </w:r>
            <w:r>
              <w:rPr>
                <w:rFonts w:hint="eastAsia"/>
                <w:lang w:val="en-US" w:eastAsia="zh-CN"/>
              </w:rPr>
              <w:t>季</w:t>
            </w:r>
            <w:r>
              <w:rPr>
                <w:rFonts w:hint="eastAsia"/>
                <w:lang w:val="en-US" w:eastAsia="zh-Hans"/>
              </w:rPr>
              <w:t>费用（如有预付款，预付款抵扣采购人实际支付金额），每年</w:t>
            </w:r>
            <w:r>
              <w:rPr>
                <w:rFonts w:hint="eastAsia"/>
                <w:lang w:val="en-US" w:eastAsia="zh-CN"/>
              </w:rPr>
              <w:t>根据考核结果</w:t>
            </w:r>
            <w:r>
              <w:rPr>
                <w:rFonts w:hint="eastAsia"/>
                <w:lang w:val="en-US" w:eastAsia="zh-Hans"/>
              </w:rPr>
              <w:t>进行年度结算。支付前，乙方向甲方开具上个</w:t>
            </w:r>
            <w:r>
              <w:rPr>
                <w:rFonts w:hint="eastAsia"/>
                <w:lang w:val="en-US" w:eastAsia="zh-CN"/>
              </w:rPr>
              <w:t>季度</w:t>
            </w:r>
            <w:r>
              <w:rPr>
                <w:rFonts w:hint="eastAsia"/>
                <w:lang w:val="en-US" w:eastAsia="zh-Hans"/>
              </w:rPr>
              <w:t>的</w:t>
            </w:r>
            <w:r>
              <w:rPr>
                <w:rFonts w:hint="eastAsia"/>
                <w:lang w:val="en-US" w:eastAsia="zh-CN"/>
              </w:rPr>
              <w:t>托管</w:t>
            </w:r>
            <w:r>
              <w:rPr>
                <w:rFonts w:hint="eastAsia"/>
                <w:lang w:val="en-US" w:eastAsia="zh-Hans"/>
              </w:rPr>
              <w:t>服务</w:t>
            </w:r>
            <w:r>
              <w:rPr>
                <w:rFonts w:hint="eastAsia"/>
                <w:lang w:val="en-US" w:eastAsia="zh-CN"/>
              </w:rPr>
              <w:t>费</w:t>
            </w:r>
            <w:r>
              <w:rPr>
                <w:rFonts w:hint="eastAsia"/>
                <w:lang w:val="en-US" w:eastAsia="zh-Hans"/>
              </w:rPr>
              <w:t>发票，否则甲方有权延期付款且不承担任何违约责任。</w:t>
            </w:r>
          </w:p>
          <w:p w14:paraId="1C2C5A92">
            <w:pPr>
              <w:widowControl/>
              <w:spacing w:line="360" w:lineRule="auto"/>
              <w:rPr>
                <w:rFonts w:hint="eastAsia"/>
                <w:lang w:val="en-US" w:eastAsia="zh-CN"/>
              </w:rPr>
            </w:pPr>
            <w:r>
              <w:rPr>
                <w:rFonts w:hint="eastAsia"/>
                <w:lang w:val="en-US" w:eastAsia="zh-CN"/>
              </w:rPr>
              <w:t>3、第十年度</w:t>
            </w:r>
            <w:r>
              <w:rPr>
                <w:rFonts w:hint="eastAsia"/>
                <w:lang w:val="en-US" w:eastAsia="zh-Hans"/>
              </w:rPr>
              <w:t>能源托管费</w:t>
            </w:r>
            <w:r>
              <w:rPr>
                <w:rFonts w:hint="eastAsia"/>
                <w:lang w:val="en-US" w:eastAsia="zh-CN"/>
              </w:rPr>
              <w:t>在托管</w:t>
            </w:r>
            <w:r>
              <w:rPr>
                <w:rFonts w:hint="eastAsia"/>
                <w:lang w:val="en-US" w:eastAsia="zh-Hans"/>
              </w:rPr>
              <w:t>服务期</w:t>
            </w:r>
            <w:r>
              <w:rPr>
                <w:rFonts w:hint="eastAsia"/>
                <w:lang w:val="en-US" w:eastAsia="zh-CN"/>
              </w:rPr>
              <w:t>满后，</w:t>
            </w:r>
            <w:r>
              <w:rPr>
                <w:rFonts w:hint="eastAsia"/>
                <w:lang w:val="en-US" w:eastAsia="zh-Hans"/>
              </w:rPr>
              <w:t>中标供应商</w:t>
            </w:r>
            <w:r>
              <w:rPr>
                <w:rFonts w:hint="eastAsia"/>
                <w:lang w:val="en-US" w:eastAsia="zh-CN"/>
              </w:rPr>
              <w:t>移交完所有设备及档案资料并经业主考核确认后30日内一次性付清。</w:t>
            </w:r>
          </w:p>
        </w:tc>
      </w:tr>
      <w:tr w14:paraId="034B2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665" w:type="dxa"/>
            <w:vAlign w:val="center"/>
          </w:tcPr>
          <w:p w14:paraId="2343C869">
            <w:pPr>
              <w:autoSpaceDE w:val="0"/>
              <w:autoSpaceDN w:val="0"/>
              <w:spacing w:line="360" w:lineRule="exact"/>
              <w:jc w:val="center"/>
              <w:rPr>
                <w:rFonts w:ascii="宋体" w:hAnsi="宋体" w:cs="宋体"/>
                <w:szCs w:val="21"/>
              </w:rPr>
            </w:pPr>
            <w:r>
              <w:rPr>
                <w:rFonts w:hint="eastAsia" w:ascii="宋体" w:hAnsi="宋体" w:cs="宋体"/>
                <w:szCs w:val="21"/>
              </w:rPr>
              <w:t>▲4</w:t>
            </w:r>
          </w:p>
        </w:tc>
        <w:tc>
          <w:tcPr>
            <w:tcW w:w="8532" w:type="dxa"/>
            <w:vAlign w:val="center"/>
          </w:tcPr>
          <w:p w14:paraId="7804E149">
            <w:pPr>
              <w:widowControl/>
              <w:spacing w:line="360" w:lineRule="auto"/>
              <w:rPr>
                <w:rFonts w:hint="eastAsia"/>
                <w:lang w:val="zh-CN" w:eastAsia="zh-Hans"/>
              </w:rPr>
            </w:pPr>
            <w:r>
              <w:rPr>
                <w:rFonts w:hint="eastAsia"/>
                <w:lang w:val="zh-CN" w:eastAsia="zh-Hans"/>
              </w:rPr>
              <w:t>服务质量要求：符合国家规范、规程和地方法规及“采购需求”等规定。</w:t>
            </w:r>
          </w:p>
        </w:tc>
      </w:tr>
      <w:tr w14:paraId="44279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665" w:type="dxa"/>
            <w:vAlign w:val="center"/>
          </w:tcPr>
          <w:p w14:paraId="78342AC1">
            <w:pPr>
              <w:autoSpaceDE w:val="0"/>
              <w:autoSpaceDN w:val="0"/>
              <w:spacing w:line="360" w:lineRule="exact"/>
              <w:jc w:val="center"/>
              <w:rPr>
                <w:rFonts w:ascii="宋体" w:hAnsi="宋体" w:cs="宋体"/>
                <w:szCs w:val="21"/>
              </w:rPr>
            </w:pPr>
            <w:r>
              <w:rPr>
                <w:rFonts w:hint="eastAsia" w:ascii="宋体" w:hAnsi="宋体" w:cs="宋体"/>
                <w:szCs w:val="21"/>
              </w:rPr>
              <w:t>5</w:t>
            </w:r>
          </w:p>
        </w:tc>
        <w:tc>
          <w:tcPr>
            <w:tcW w:w="8532" w:type="dxa"/>
            <w:vAlign w:val="center"/>
          </w:tcPr>
          <w:p w14:paraId="2293536B">
            <w:pPr>
              <w:widowControl/>
              <w:spacing w:line="360" w:lineRule="auto"/>
              <w:rPr>
                <w:rFonts w:hint="eastAsia"/>
                <w:lang w:val="zh-CN" w:eastAsia="zh-Hans"/>
              </w:rPr>
            </w:pPr>
            <w:bookmarkStart w:id="46" w:name="_Toc213"/>
            <w:bookmarkStart w:id="47" w:name="_Toc514908197"/>
            <w:r>
              <w:rPr>
                <w:rFonts w:hint="eastAsia"/>
                <w:lang w:val="zh-CN" w:eastAsia="zh-Hans"/>
              </w:rPr>
              <w:t>履约保证金金额：</w:t>
            </w:r>
            <w:bookmarkEnd w:id="46"/>
          </w:p>
          <w:p w14:paraId="63A3AB2F">
            <w:pPr>
              <w:widowControl/>
              <w:spacing w:line="360" w:lineRule="auto"/>
              <w:rPr>
                <w:rFonts w:hint="eastAsia"/>
                <w:lang w:val="zh-CN" w:eastAsia="zh-Hans"/>
              </w:rPr>
            </w:pPr>
            <w:r>
              <w:rPr>
                <w:rFonts w:hint="eastAsia"/>
                <w:lang w:val="zh-CN" w:eastAsia="zh-Hans"/>
              </w:rPr>
              <w:t>1、履约保证金金额：合同金额的1%。</w:t>
            </w:r>
          </w:p>
          <w:p w14:paraId="63BB3904">
            <w:pPr>
              <w:widowControl/>
              <w:spacing w:line="360" w:lineRule="auto"/>
              <w:rPr>
                <w:rFonts w:hint="eastAsia"/>
                <w:lang w:val="zh-CN" w:eastAsia="zh-Hans"/>
              </w:rPr>
            </w:pPr>
            <w:r>
              <w:rPr>
                <w:rFonts w:hint="eastAsia"/>
                <w:lang w:val="zh-CN" w:eastAsia="zh-Hans"/>
              </w:rPr>
              <w:t>2、履约保证金形式：银行汇票（电汇）、现金、支票（仅限于使用舟山市区范围内的银行开具的支票）、银行或保险机构出具的保函或保险保单；保函或保险保单形式提交至采购人，应满足以下几个条件：①为无条件保函：即在中标供应商没有实施合同或者未履行合同义务时，采购人不需要出具任何证明和理由，只要中标供应商违约，就可对保函进行收兑；②履约保证金有效期：自合同签订生效之日起10年。如果供应商出具的履约保证金有效期少于10年，供应商应在期满前6个月内延长履约保证金有效期，否则采购人有权延期支付合同价款。</w:t>
            </w:r>
          </w:p>
          <w:p w14:paraId="11A6A800">
            <w:pPr>
              <w:widowControl/>
              <w:spacing w:line="360" w:lineRule="auto"/>
              <w:rPr>
                <w:rFonts w:hint="eastAsia"/>
                <w:lang w:val="zh-CN" w:eastAsia="zh-Hans"/>
              </w:rPr>
            </w:pPr>
            <w:bookmarkStart w:id="48" w:name="_Toc848"/>
            <w:r>
              <w:rPr>
                <w:rFonts w:hint="eastAsia"/>
                <w:lang w:val="zh-CN" w:eastAsia="zh-Hans"/>
              </w:rPr>
              <w:t>3、提交时间：合同签订后7个工作日内。</w:t>
            </w:r>
          </w:p>
          <w:p w14:paraId="0F76DE8E">
            <w:pPr>
              <w:widowControl/>
              <w:spacing w:line="360" w:lineRule="auto"/>
              <w:rPr>
                <w:rFonts w:hint="eastAsia"/>
                <w:lang w:val="zh-CN" w:eastAsia="zh-Hans"/>
              </w:rPr>
            </w:pPr>
            <w:r>
              <w:rPr>
                <w:rFonts w:hint="eastAsia"/>
                <w:lang w:val="zh-CN" w:eastAsia="zh-Hans"/>
              </w:rPr>
              <w:t>4、退还时间：合同期满后7个工作日内。</w:t>
            </w:r>
            <w:bookmarkEnd w:id="47"/>
            <w:bookmarkEnd w:id="48"/>
          </w:p>
        </w:tc>
      </w:tr>
      <w:tr w14:paraId="70174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665" w:type="dxa"/>
            <w:vAlign w:val="center"/>
          </w:tcPr>
          <w:p w14:paraId="7B09A0D3">
            <w:pPr>
              <w:autoSpaceDE w:val="0"/>
              <w:autoSpaceDN w:val="0"/>
              <w:spacing w:line="360" w:lineRule="exact"/>
              <w:jc w:val="center"/>
              <w:rPr>
                <w:rFonts w:ascii="宋体" w:hAnsi="宋体" w:cs="宋体"/>
                <w:szCs w:val="21"/>
              </w:rPr>
            </w:pPr>
            <w:r>
              <w:rPr>
                <w:rFonts w:hint="eastAsia" w:ascii="宋体" w:hAnsi="宋体" w:cs="宋体"/>
                <w:szCs w:val="21"/>
              </w:rPr>
              <w:t>6</w:t>
            </w:r>
          </w:p>
        </w:tc>
        <w:tc>
          <w:tcPr>
            <w:tcW w:w="8532" w:type="dxa"/>
            <w:vAlign w:val="center"/>
          </w:tcPr>
          <w:p w14:paraId="2499C542">
            <w:pPr>
              <w:widowControl/>
              <w:spacing w:line="360" w:lineRule="auto"/>
              <w:rPr>
                <w:rFonts w:hint="eastAsia"/>
                <w:lang w:val="zh-CN" w:eastAsia="zh-Hans"/>
              </w:rPr>
            </w:pPr>
            <w:r>
              <w:rPr>
                <w:rFonts w:hint="eastAsia"/>
                <w:lang w:val="zh-CN" w:eastAsia="zh-Hans"/>
              </w:rPr>
              <w:t>保险：供应商除必须为参与本项目服务的工作人员交纳必须的养老保险外，还应提供第三者责任保险和员工人身意外保险的投保，如在合同履约期间发生工伤、疾病乃至死亡的一切责任及费用由供应商全部负责；中标供应商应严格遵守国家有关的法律、法规及行业标准。</w:t>
            </w:r>
          </w:p>
        </w:tc>
      </w:tr>
      <w:tr w14:paraId="7C2DC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665" w:type="dxa"/>
            <w:vAlign w:val="center"/>
          </w:tcPr>
          <w:p w14:paraId="687167B7">
            <w:pPr>
              <w:autoSpaceDE w:val="0"/>
              <w:autoSpaceDN w:val="0"/>
              <w:spacing w:line="360" w:lineRule="exact"/>
              <w:jc w:val="center"/>
              <w:rPr>
                <w:rFonts w:ascii="宋体" w:hAnsi="宋体" w:cs="宋体"/>
                <w:szCs w:val="21"/>
              </w:rPr>
            </w:pPr>
            <w:r>
              <w:rPr>
                <w:rFonts w:hint="eastAsia" w:ascii="宋体" w:hAnsi="宋体" w:cs="宋体"/>
                <w:szCs w:val="21"/>
              </w:rPr>
              <w:t>7</w:t>
            </w:r>
          </w:p>
        </w:tc>
        <w:tc>
          <w:tcPr>
            <w:tcW w:w="8532" w:type="dxa"/>
            <w:vAlign w:val="center"/>
          </w:tcPr>
          <w:p w14:paraId="1B0AED42">
            <w:pPr>
              <w:widowControl/>
              <w:spacing w:line="360" w:lineRule="auto"/>
              <w:rPr>
                <w:rFonts w:hint="eastAsia"/>
                <w:lang w:val="zh-CN" w:eastAsia="zh-Hans"/>
              </w:rPr>
            </w:pPr>
            <w:r>
              <w:rPr>
                <w:rFonts w:hint="eastAsia"/>
                <w:lang w:val="zh-CN" w:eastAsia="zh-Hans"/>
              </w:rPr>
              <w:t>特别约定：本项目采购人为舟山市定海区公路与运输管理中心，招标完成后由舟山市定海区公路与运输管理中心与中标供应商签订合同，并履行相关权利、义务。</w:t>
            </w:r>
          </w:p>
        </w:tc>
      </w:tr>
      <w:tr w14:paraId="79CB2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0" w:hRule="atLeast"/>
        </w:trPr>
        <w:tc>
          <w:tcPr>
            <w:tcW w:w="665" w:type="dxa"/>
            <w:vAlign w:val="center"/>
          </w:tcPr>
          <w:p w14:paraId="4521ED61">
            <w:pPr>
              <w:autoSpaceDE w:val="0"/>
              <w:autoSpaceDN w:val="0"/>
              <w:spacing w:line="360" w:lineRule="exact"/>
              <w:jc w:val="center"/>
              <w:rPr>
                <w:rFonts w:ascii="宋体" w:hAnsi="宋体" w:cs="宋体"/>
                <w:szCs w:val="21"/>
              </w:rPr>
            </w:pPr>
            <w:r>
              <w:rPr>
                <w:rFonts w:hint="eastAsia" w:ascii="宋体" w:hAnsi="宋体" w:cs="宋体"/>
                <w:szCs w:val="21"/>
              </w:rPr>
              <w:t>8</w:t>
            </w:r>
          </w:p>
        </w:tc>
        <w:tc>
          <w:tcPr>
            <w:tcW w:w="8532" w:type="dxa"/>
            <w:vAlign w:val="center"/>
          </w:tcPr>
          <w:p w14:paraId="62987F69">
            <w:pPr>
              <w:widowControl/>
              <w:spacing w:line="360" w:lineRule="auto"/>
              <w:rPr>
                <w:rFonts w:hint="eastAsia"/>
                <w:lang w:val="zh-CN" w:eastAsia="zh-Hans"/>
              </w:rPr>
            </w:pPr>
            <w:r>
              <w:rPr>
                <w:rFonts w:hint="eastAsia"/>
                <w:lang w:val="zh-CN" w:eastAsia="zh-Hans"/>
              </w:rPr>
              <w:t>如果供应商未能按照其投标方案中承诺的改造时间完成改造任务的，除非该等延误是由于不可抗力或者是采购人造成，则乙方应当按照每日10000元向采购人支付违约金。</w:t>
            </w:r>
          </w:p>
        </w:tc>
      </w:tr>
      <w:tr w14:paraId="50258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665" w:type="dxa"/>
            <w:vAlign w:val="center"/>
          </w:tcPr>
          <w:p w14:paraId="1D96337B">
            <w:pPr>
              <w:autoSpaceDE w:val="0"/>
              <w:autoSpaceDN w:val="0"/>
              <w:spacing w:line="360" w:lineRule="exact"/>
              <w:jc w:val="center"/>
              <w:rPr>
                <w:rFonts w:ascii="宋体" w:hAnsi="宋体" w:cs="宋体"/>
                <w:szCs w:val="21"/>
              </w:rPr>
            </w:pPr>
            <w:r>
              <w:rPr>
                <w:rFonts w:hint="eastAsia" w:ascii="宋体" w:hAnsi="宋体" w:cs="宋体"/>
                <w:szCs w:val="21"/>
              </w:rPr>
              <w:t>9</w:t>
            </w:r>
          </w:p>
        </w:tc>
        <w:tc>
          <w:tcPr>
            <w:tcW w:w="8532" w:type="dxa"/>
            <w:vAlign w:val="center"/>
          </w:tcPr>
          <w:p w14:paraId="54AD7565">
            <w:pPr>
              <w:widowControl/>
              <w:spacing w:line="360" w:lineRule="auto"/>
              <w:rPr>
                <w:rFonts w:hint="eastAsia"/>
                <w:lang w:val="zh-CN" w:eastAsia="zh-Hans"/>
              </w:rPr>
            </w:pPr>
            <w:r>
              <w:rPr>
                <w:rFonts w:hint="eastAsia"/>
                <w:lang w:val="zh-CN" w:eastAsia="zh-Hans"/>
              </w:rPr>
              <w:t>授予合同：按照招标文件的规定、中标供应商的投标响应及中标通知书确定的金额签订合同。</w:t>
            </w:r>
          </w:p>
        </w:tc>
      </w:tr>
      <w:tr w14:paraId="4C1F9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665" w:type="dxa"/>
            <w:vAlign w:val="center"/>
          </w:tcPr>
          <w:p w14:paraId="7B77ECB5">
            <w:pPr>
              <w:autoSpaceDE w:val="0"/>
              <w:autoSpaceDN w:val="0"/>
              <w:spacing w:line="360" w:lineRule="exact"/>
              <w:jc w:val="center"/>
              <w:rPr>
                <w:rFonts w:ascii="宋体" w:hAnsi="宋体" w:cs="宋体"/>
                <w:szCs w:val="21"/>
              </w:rPr>
            </w:pPr>
            <w:r>
              <w:rPr>
                <w:rFonts w:hint="eastAsia" w:ascii="宋体" w:hAnsi="宋体" w:cs="宋体"/>
                <w:szCs w:val="21"/>
              </w:rPr>
              <w:t>10</w:t>
            </w:r>
          </w:p>
        </w:tc>
        <w:tc>
          <w:tcPr>
            <w:tcW w:w="8532" w:type="dxa"/>
            <w:vAlign w:val="center"/>
          </w:tcPr>
          <w:p w14:paraId="3053CEFF">
            <w:pPr>
              <w:widowControl/>
              <w:spacing w:line="360" w:lineRule="auto"/>
              <w:rPr>
                <w:rFonts w:hint="eastAsia"/>
                <w:lang w:val="zh-CN" w:eastAsia="zh-Hans"/>
              </w:rPr>
            </w:pPr>
            <w:r>
              <w:rPr>
                <w:rFonts w:hint="eastAsia"/>
                <w:lang w:val="zh-CN" w:eastAsia="zh-Hans"/>
              </w:rPr>
              <w:t>合同签订时间：中标通知书发出之日起30天内签订合同</w:t>
            </w:r>
          </w:p>
        </w:tc>
      </w:tr>
    </w:tbl>
    <w:p w14:paraId="2A81C92E">
      <w:pPr>
        <w:pStyle w:val="3"/>
        <w:spacing w:before="156" w:beforeLines="50" w:after="156" w:afterLines="50" w:line="360" w:lineRule="auto"/>
        <w:ind w:left="640" w:hanging="220"/>
        <w:rPr>
          <w:rFonts w:hint="eastAsia" w:ascii="黑体" w:hAnsi="黑体" w:cs="黑体"/>
          <w:b w:val="0"/>
          <w:bCs w:val="0"/>
          <w:sz w:val="22"/>
          <w:szCs w:val="22"/>
        </w:rPr>
      </w:pPr>
      <w:r>
        <w:rPr>
          <w:rFonts w:hint="eastAsia" w:ascii="黑体" w:hAnsi="黑体" w:cs="黑体"/>
          <w:b w:val="0"/>
          <w:bCs w:val="0"/>
          <w:sz w:val="22"/>
          <w:szCs w:val="22"/>
          <w:lang w:val="en-US" w:eastAsia="zh-CN"/>
        </w:rPr>
        <w:t>九</w:t>
      </w:r>
      <w:r>
        <w:rPr>
          <w:rFonts w:hint="eastAsia" w:ascii="黑体" w:hAnsi="黑体" w:cs="黑体"/>
          <w:b w:val="0"/>
          <w:bCs w:val="0"/>
          <w:sz w:val="22"/>
          <w:szCs w:val="22"/>
        </w:rPr>
        <w:t>、投标报价要求</w:t>
      </w:r>
      <w:bookmarkEnd w:id="44"/>
      <w:bookmarkEnd w:id="45"/>
    </w:p>
    <w:p w14:paraId="33F49801">
      <w:pPr>
        <w:spacing w:line="360" w:lineRule="auto"/>
        <w:ind w:left="420" w:firstLine="420" w:firstLineChars="200"/>
        <w:rPr>
          <w:rFonts w:hint="eastAsia"/>
          <w:lang w:eastAsia="zh-Hans"/>
        </w:rPr>
      </w:pPr>
      <w:r>
        <w:rPr>
          <w:rFonts w:hint="eastAsia"/>
          <w:lang w:eastAsia="zh-Hans"/>
        </w:rPr>
        <w:t>1、投标报价（托管费用）应包含本项目实施所需的全部产品</w:t>
      </w:r>
      <w:r>
        <w:rPr>
          <w:rFonts w:hint="eastAsia"/>
          <w:lang w:val="en-US" w:eastAsia="zh-CN"/>
        </w:rPr>
        <w:t>和</w:t>
      </w:r>
      <w:r>
        <w:rPr>
          <w:rFonts w:hint="eastAsia"/>
          <w:lang w:eastAsia="zh-Hans"/>
        </w:rPr>
        <w:t>服务，不得缺漏，是履行合同的最终价格，包括：电费、货款、标准附件、备品备件、专用工具、包装、运输、装卸、保险、税金、货到就位以及安装、调试、技术服务、管理服务、运维服务、企业应缴税金、应急、物价因素等完成本项目所需的一切本身和不可或缺的所有工作开支、政策性文件规定及合同包含的所有风险、责任等各项全部费用。2、供应商在报价时应充分考虑在合同执行期间，最低工资标准、社保缴费基数比例上调等政策因素变动情况。在合同执行期间，所有人员必须依法交纳各类社会保障资金，服务期内由于用工政策、电价、税率等因素变动，费用不做调整。</w:t>
      </w:r>
    </w:p>
    <w:p w14:paraId="72E3C492">
      <w:pPr>
        <w:spacing w:line="360" w:lineRule="auto"/>
        <w:ind w:left="420" w:firstLine="420" w:firstLineChars="200"/>
        <w:rPr>
          <w:rFonts w:hint="eastAsia"/>
          <w:lang w:eastAsia="zh-Hans"/>
        </w:rPr>
      </w:pPr>
      <w:r>
        <w:rPr>
          <w:rFonts w:hint="eastAsia"/>
          <w:lang w:eastAsia="zh-Hans"/>
        </w:rPr>
        <w:t>3、供应商应参照国家的相应标准，结合自身综合实力、市场行情、本项目具体特点和技术要求，对项目自行报价。</w:t>
      </w:r>
    </w:p>
    <w:p w14:paraId="2EA18829">
      <w:pPr>
        <w:spacing w:line="360" w:lineRule="auto"/>
        <w:ind w:left="420" w:firstLine="420" w:firstLineChars="200"/>
        <w:rPr>
          <w:rFonts w:ascii="宋体" w:hAnsi="宋体" w:cs="宋体"/>
          <w:szCs w:val="21"/>
          <w:highlight w:val="none"/>
        </w:rPr>
      </w:pPr>
      <w:r>
        <w:rPr>
          <w:rFonts w:hint="eastAsia" w:ascii="宋体" w:hAnsi="宋体" w:cs="宋体"/>
          <w:sz w:val="21"/>
          <w:szCs w:val="21"/>
        </w:rPr>
        <w:t>4、供应商应按招标文件要求认真填写“开标一览表”</w:t>
      </w:r>
      <w:r>
        <w:rPr>
          <w:rFonts w:hint="eastAsia" w:ascii="宋体" w:hAnsi="宋体" w:cs="宋体"/>
          <w:sz w:val="21"/>
          <w:szCs w:val="21"/>
          <w:lang w:eastAsia="zh-CN"/>
        </w:rPr>
        <w:t>，</w:t>
      </w:r>
      <w:r>
        <w:rPr>
          <w:rFonts w:hint="eastAsia" w:ascii="宋体" w:hAnsi="宋体" w:cs="宋体"/>
          <w:sz w:val="21"/>
          <w:szCs w:val="21"/>
          <w:lang w:val="en-US" w:eastAsia="zh-CN"/>
        </w:rPr>
        <w:t>如投标单位认为需要报价明细表，可格式自拟</w:t>
      </w:r>
      <w:r>
        <w:rPr>
          <w:rFonts w:hint="eastAsia" w:ascii="宋体" w:hAnsi="宋体" w:cs="宋体"/>
          <w:szCs w:val="21"/>
          <w:highlight w:val="none"/>
        </w:rPr>
        <w:t>。</w:t>
      </w:r>
    </w:p>
    <w:p w14:paraId="1487694C">
      <w:pPr>
        <w:pStyle w:val="55"/>
        <w:snapToGrid w:val="0"/>
        <w:spacing w:before="0" w:beforeAutospacing="0" w:after="0" w:afterAutospacing="0" w:line="360" w:lineRule="auto"/>
        <w:ind w:left="420" w:firstLine="420" w:firstLineChars="200"/>
        <w:rPr>
          <w:rFonts w:ascii="Times New Roman" w:hAnsi="Times New Roman"/>
          <w:sz w:val="21"/>
          <w:szCs w:val="21"/>
        </w:rPr>
      </w:pPr>
      <w:r>
        <w:rPr>
          <w:rFonts w:hint="eastAsia" w:ascii="Times New Roman" w:hAnsi="Times New Roman"/>
          <w:sz w:val="21"/>
          <w:szCs w:val="21"/>
        </w:rPr>
        <w:t>5、投标供应商承诺在服务期内，招标范围内合同总价不变，并按招标人要求及时提供服务所需人数，无条件接受招标人安排。</w:t>
      </w:r>
    </w:p>
    <w:p w14:paraId="6496D615">
      <w:pPr>
        <w:spacing w:line="360" w:lineRule="auto"/>
        <w:ind w:left="420" w:firstLine="420" w:firstLineChars="200"/>
        <w:rPr>
          <w:rFonts w:hint="eastAsia"/>
          <w:highlight w:val="yellow"/>
          <w:lang w:eastAsia="zh-Hans"/>
        </w:rPr>
      </w:pPr>
      <w:r>
        <w:rPr>
          <w:rFonts w:hint="eastAsia"/>
          <w:lang w:eastAsia="zh-Hans"/>
        </w:rPr>
        <w:t>6、舟山北向疏港公路小展岭隧道</w:t>
      </w:r>
      <w:r>
        <w:rPr>
          <w:rFonts w:hint="eastAsia"/>
          <w:lang w:eastAsia="zh-CN"/>
        </w:rPr>
        <w:t>（</w:t>
      </w:r>
      <w:r>
        <w:rPr>
          <w:rFonts w:hint="eastAsia"/>
          <w:lang w:val="en-US" w:eastAsia="zh-CN"/>
        </w:rPr>
        <w:t>左洞、右洞</w:t>
      </w:r>
      <w:r>
        <w:rPr>
          <w:rFonts w:hint="eastAsia"/>
          <w:lang w:eastAsia="zh-CN"/>
        </w:rPr>
        <w:t>）</w:t>
      </w:r>
      <w:r>
        <w:rPr>
          <w:rFonts w:hint="eastAsia"/>
          <w:lang w:eastAsia="zh-Hans"/>
        </w:rPr>
        <w:t>、摩鼻岭隧道</w:t>
      </w:r>
      <w:r>
        <w:rPr>
          <w:rFonts w:hint="eastAsia"/>
          <w:lang w:eastAsia="zh-CN"/>
        </w:rPr>
        <w:t>（</w:t>
      </w:r>
      <w:r>
        <w:rPr>
          <w:rFonts w:hint="eastAsia"/>
          <w:lang w:val="en-US" w:eastAsia="zh-CN"/>
        </w:rPr>
        <w:t>左洞、右洞</w:t>
      </w:r>
      <w:r>
        <w:rPr>
          <w:rFonts w:hint="eastAsia"/>
          <w:lang w:eastAsia="zh-CN"/>
        </w:rPr>
        <w:t>）</w:t>
      </w:r>
      <w:r>
        <w:rPr>
          <w:rFonts w:hint="eastAsia"/>
          <w:lang w:eastAsia="zh-Hans"/>
        </w:rPr>
        <w:t>的照明设施由于该2026年6月21日前无法移交，故中标供应商在该区域照明设施移交前无需进行相关的运维工作，但需按项目要求在合同生效后履行交纳相应能耗费用的义务，并在移交后对相关照明设施按项目招标要求进行节能技术改造。</w:t>
      </w:r>
    </w:p>
    <w:p w14:paraId="1217267C">
      <w:pPr>
        <w:pStyle w:val="55"/>
        <w:snapToGrid w:val="0"/>
        <w:spacing w:before="0" w:beforeAutospacing="0" w:after="0" w:afterAutospacing="0" w:line="360" w:lineRule="auto"/>
        <w:ind w:left="420" w:firstLine="420" w:firstLineChars="200"/>
        <w:rPr>
          <w:rFonts w:ascii="Times New Roman" w:hAnsi="Times New Roman"/>
          <w:sz w:val="21"/>
          <w:szCs w:val="21"/>
        </w:rPr>
      </w:pPr>
      <w:r>
        <w:rPr>
          <w:rFonts w:hint="eastAsia" w:ascii="Times New Roman" w:hAnsi="Times New Roman"/>
          <w:sz w:val="21"/>
          <w:szCs w:val="21"/>
          <w:highlight w:val="none"/>
        </w:rPr>
        <w:t>7、▲本项目采购预算为人民币87405487元整</w:t>
      </w:r>
      <w:r>
        <w:rPr>
          <w:rFonts w:hint="eastAsia" w:ascii="Times New Roman" w:hAnsi="Times New Roman"/>
          <w:sz w:val="21"/>
          <w:szCs w:val="21"/>
        </w:rPr>
        <w:t>，如投标人报价超过最高限价，其投标文件作无效标处理。中标供应商应根据国家、省市的有关法律、法规，按照采购文件、投标文件和服务委托合同对本服务实施统一管理、综合服务、自主经营、自负盈亏。</w:t>
      </w:r>
    </w:p>
    <w:p w14:paraId="79627CD3">
      <w:pPr>
        <w:spacing w:line="360" w:lineRule="auto"/>
        <w:ind w:left="420" w:firstLine="420" w:firstLineChars="200"/>
        <w:rPr>
          <w:rFonts w:hint="eastAsia"/>
          <w:highlight w:val="none"/>
        </w:rPr>
      </w:pPr>
      <w:r>
        <w:rPr>
          <w:rFonts w:hint="eastAsia"/>
          <w:highlight w:val="none"/>
        </w:rPr>
        <w:t>8、新增/减少照明设施维护费用计算。由于城区建设不断扩展，新建道路及新移交路段不断增加，如新增用能设施一并交中标人托管，费用按招标文件或合同约定的相关方式结算。</w:t>
      </w:r>
      <w:bookmarkStart w:id="49" w:name="_Toc26467"/>
      <w:bookmarkStart w:id="50" w:name="_Toc26002"/>
    </w:p>
    <w:p w14:paraId="66B75989">
      <w:pPr>
        <w:spacing w:line="360" w:lineRule="auto"/>
        <w:ind w:left="420" w:firstLine="420" w:firstLineChars="200"/>
        <w:rPr>
          <w:rFonts w:hint="eastAsia"/>
          <w:highlight w:val="none"/>
        </w:rPr>
      </w:pPr>
    </w:p>
    <w:p w14:paraId="4808B4B3">
      <w:pPr>
        <w:pStyle w:val="4"/>
        <w:tabs>
          <w:tab w:val="left" w:pos="567"/>
        </w:tabs>
        <w:spacing w:before="120" w:after="120"/>
        <w:rPr>
          <w:rFonts w:hint="eastAsia"/>
        </w:rPr>
      </w:pPr>
      <w:r>
        <w:rPr>
          <w:rFonts w:hint="eastAsia"/>
        </w:rPr>
        <w:t xml:space="preserve">附件1. </w:t>
      </w:r>
    </w:p>
    <w:p w14:paraId="7EE1A7B1">
      <w:pPr>
        <w:pStyle w:val="4"/>
        <w:tabs>
          <w:tab w:val="left" w:pos="567"/>
        </w:tabs>
        <w:spacing w:before="120" w:after="120"/>
        <w:ind w:left="420" w:firstLine="2249" w:firstLineChars="700"/>
      </w:pPr>
      <w:r>
        <w:rPr>
          <w:rFonts w:hint="eastAsia"/>
        </w:rPr>
        <w:t>定海区现状灯具统计表</w:t>
      </w:r>
      <w:bookmarkEnd w:id="49"/>
      <w:bookmarkEnd w:id="50"/>
    </w:p>
    <w:tbl>
      <w:tblPr>
        <w:tblStyle w:val="60"/>
        <w:tblW w:w="4829" w:type="pct"/>
        <w:tblInd w:w="124" w:type="dxa"/>
        <w:tblLayout w:type="autofit"/>
        <w:tblCellMar>
          <w:top w:w="0" w:type="dxa"/>
          <w:left w:w="108" w:type="dxa"/>
          <w:bottom w:w="0" w:type="dxa"/>
          <w:right w:w="108" w:type="dxa"/>
        </w:tblCellMar>
      </w:tblPr>
      <w:tblGrid>
        <w:gridCol w:w="870"/>
        <w:gridCol w:w="2263"/>
        <w:gridCol w:w="1304"/>
        <w:gridCol w:w="1209"/>
        <w:gridCol w:w="1113"/>
        <w:gridCol w:w="2758"/>
      </w:tblGrid>
      <w:tr w14:paraId="0EC29656">
        <w:tblPrEx>
          <w:tblCellMar>
            <w:top w:w="0" w:type="dxa"/>
            <w:left w:w="108" w:type="dxa"/>
            <w:bottom w:w="0" w:type="dxa"/>
            <w:right w:w="108" w:type="dxa"/>
          </w:tblCellMar>
        </w:tblPrEx>
        <w:trPr>
          <w:trHeight w:val="850" w:hRule="atLeast"/>
        </w:trPr>
        <w:tc>
          <w:tcPr>
            <w:tcW w:w="5000" w:type="pct"/>
            <w:gridSpan w:val="6"/>
            <w:tcBorders>
              <w:top w:val="single" w:color="000000" w:sz="8" w:space="0"/>
              <w:left w:val="single" w:color="000000" w:sz="8" w:space="0"/>
              <w:bottom w:val="single" w:color="000000" w:sz="8" w:space="0"/>
              <w:right w:val="single" w:color="000000" w:sz="4" w:space="0"/>
            </w:tcBorders>
            <w:vAlign w:val="center"/>
          </w:tcPr>
          <w:p w14:paraId="1A2F2DD6">
            <w:pPr>
              <w:jc w:val="center"/>
            </w:pPr>
            <w:r>
              <w:rPr>
                <w:rFonts w:hint="eastAsia"/>
              </w:rPr>
              <w:t>路灯灯具设备清单</w:t>
            </w:r>
          </w:p>
        </w:tc>
      </w:tr>
      <w:tr w14:paraId="238E18EE">
        <w:tblPrEx>
          <w:tblCellMar>
            <w:top w:w="0" w:type="dxa"/>
            <w:left w:w="108" w:type="dxa"/>
            <w:bottom w:w="0" w:type="dxa"/>
            <w:right w:w="108" w:type="dxa"/>
          </w:tblCellMar>
        </w:tblPrEx>
        <w:trPr>
          <w:trHeight w:val="850" w:hRule="atLeast"/>
        </w:trPr>
        <w:tc>
          <w:tcPr>
            <w:tcW w:w="457" w:type="pct"/>
            <w:tcBorders>
              <w:top w:val="nil"/>
              <w:left w:val="single" w:color="000000" w:sz="8" w:space="0"/>
              <w:bottom w:val="single" w:color="000000" w:sz="8" w:space="0"/>
              <w:right w:val="single" w:color="000000" w:sz="4" w:space="0"/>
            </w:tcBorders>
            <w:noWrap/>
            <w:vAlign w:val="center"/>
          </w:tcPr>
          <w:p w14:paraId="53173474">
            <w:pPr>
              <w:jc w:val="center"/>
            </w:pPr>
            <w:r>
              <w:rPr>
                <w:rFonts w:hint="eastAsia"/>
              </w:rPr>
              <w:t>序号</w:t>
            </w:r>
          </w:p>
        </w:tc>
        <w:tc>
          <w:tcPr>
            <w:tcW w:w="1189" w:type="pct"/>
            <w:tcBorders>
              <w:top w:val="nil"/>
              <w:left w:val="single" w:color="000000" w:sz="4" w:space="0"/>
              <w:bottom w:val="single" w:color="000000" w:sz="8" w:space="0"/>
              <w:right w:val="single" w:color="000000" w:sz="4" w:space="0"/>
            </w:tcBorders>
            <w:noWrap/>
            <w:vAlign w:val="center"/>
          </w:tcPr>
          <w:p w14:paraId="7201614F">
            <w:pPr>
              <w:jc w:val="center"/>
            </w:pPr>
            <w:r>
              <w:rPr>
                <w:rFonts w:hint="eastAsia"/>
              </w:rPr>
              <w:t>线路名称</w:t>
            </w:r>
          </w:p>
        </w:tc>
        <w:tc>
          <w:tcPr>
            <w:tcW w:w="685" w:type="pct"/>
            <w:tcBorders>
              <w:top w:val="nil"/>
              <w:left w:val="single" w:color="000000" w:sz="4" w:space="0"/>
              <w:bottom w:val="single" w:color="000000" w:sz="8" w:space="0"/>
              <w:right w:val="single" w:color="000000" w:sz="4" w:space="0"/>
            </w:tcBorders>
            <w:vAlign w:val="center"/>
          </w:tcPr>
          <w:p w14:paraId="6C2EDC68">
            <w:pPr>
              <w:jc w:val="center"/>
            </w:pPr>
            <w:r>
              <w:rPr>
                <w:rFonts w:hint="eastAsia"/>
              </w:rPr>
              <w:t>灯具种类</w:t>
            </w:r>
          </w:p>
        </w:tc>
        <w:tc>
          <w:tcPr>
            <w:tcW w:w="635" w:type="pct"/>
            <w:tcBorders>
              <w:top w:val="nil"/>
              <w:left w:val="single" w:color="000000" w:sz="4" w:space="0"/>
              <w:bottom w:val="single" w:color="000000" w:sz="8" w:space="0"/>
              <w:right w:val="single" w:color="000000" w:sz="4" w:space="0"/>
            </w:tcBorders>
            <w:vAlign w:val="center"/>
          </w:tcPr>
          <w:p w14:paraId="3ADD647E">
            <w:pPr>
              <w:jc w:val="center"/>
              <w:rPr>
                <w:rFonts w:hint="eastAsia"/>
              </w:rPr>
            </w:pPr>
            <w:r>
              <w:rPr>
                <w:rFonts w:hint="eastAsia"/>
              </w:rPr>
              <w:t>功率</w:t>
            </w:r>
          </w:p>
          <w:p w14:paraId="2F243DB1">
            <w:pPr>
              <w:jc w:val="center"/>
            </w:pPr>
            <w:r>
              <w:rPr>
                <w:rFonts w:hint="eastAsia"/>
              </w:rPr>
              <w:t>(瓦)</w:t>
            </w:r>
          </w:p>
        </w:tc>
        <w:tc>
          <w:tcPr>
            <w:tcW w:w="585" w:type="pct"/>
            <w:tcBorders>
              <w:top w:val="nil"/>
              <w:left w:val="single" w:color="000000" w:sz="4" w:space="0"/>
              <w:bottom w:val="single" w:color="000000" w:sz="8" w:space="0"/>
              <w:right w:val="single" w:color="000000" w:sz="4" w:space="0"/>
            </w:tcBorders>
            <w:vAlign w:val="center"/>
          </w:tcPr>
          <w:p w14:paraId="55D3A564">
            <w:pPr>
              <w:jc w:val="center"/>
              <w:rPr>
                <w:rFonts w:hint="eastAsia"/>
              </w:rPr>
            </w:pPr>
            <w:r>
              <w:rPr>
                <w:rFonts w:hint="eastAsia"/>
              </w:rPr>
              <w:t>数量</w:t>
            </w:r>
          </w:p>
          <w:p w14:paraId="36382AE0">
            <w:pPr>
              <w:jc w:val="center"/>
            </w:pPr>
            <w:r>
              <w:rPr>
                <w:rFonts w:hint="eastAsia"/>
              </w:rPr>
              <w:t>（盏）</w:t>
            </w:r>
          </w:p>
        </w:tc>
        <w:tc>
          <w:tcPr>
            <w:tcW w:w="1446" w:type="pct"/>
            <w:tcBorders>
              <w:top w:val="nil"/>
              <w:left w:val="single" w:color="000000" w:sz="4" w:space="0"/>
              <w:bottom w:val="single" w:color="000000" w:sz="8" w:space="0"/>
              <w:right w:val="single" w:color="000000" w:sz="8" w:space="0"/>
            </w:tcBorders>
            <w:vAlign w:val="center"/>
          </w:tcPr>
          <w:p w14:paraId="2344C004">
            <w:pPr>
              <w:jc w:val="center"/>
            </w:pPr>
            <w:r>
              <w:rPr>
                <w:rFonts w:hint="eastAsia"/>
              </w:rPr>
              <w:t>备注</w:t>
            </w:r>
          </w:p>
        </w:tc>
      </w:tr>
      <w:tr w14:paraId="419DEF27">
        <w:tblPrEx>
          <w:tblCellMar>
            <w:top w:w="0" w:type="dxa"/>
            <w:left w:w="108" w:type="dxa"/>
            <w:bottom w:w="0" w:type="dxa"/>
            <w:right w:w="108" w:type="dxa"/>
          </w:tblCellMar>
        </w:tblPrEx>
        <w:trPr>
          <w:trHeight w:val="850" w:hRule="atLeast"/>
        </w:trPr>
        <w:tc>
          <w:tcPr>
            <w:tcW w:w="457" w:type="pct"/>
            <w:tcBorders>
              <w:top w:val="nil"/>
              <w:left w:val="single" w:color="000000" w:sz="8" w:space="0"/>
              <w:bottom w:val="single" w:color="000000" w:sz="4" w:space="0"/>
              <w:right w:val="single" w:color="000000" w:sz="4" w:space="0"/>
            </w:tcBorders>
            <w:vAlign w:val="center"/>
          </w:tcPr>
          <w:p w14:paraId="25B1A88B">
            <w:pPr>
              <w:jc w:val="center"/>
            </w:pPr>
            <w:r>
              <w:rPr>
                <w:rFonts w:hint="eastAsia"/>
              </w:rPr>
              <w:t>1</w:t>
            </w:r>
          </w:p>
        </w:tc>
        <w:tc>
          <w:tcPr>
            <w:tcW w:w="1189" w:type="pct"/>
            <w:tcBorders>
              <w:top w:val="nil"/>
              <w:left w:val="single" w:color="000000" w:sz="4" w:space="0"/>
              <w:bottom w:val="single" w:color="000000" w:sz="4" w:space="0"/>
              <w:right w:val="single" w:color="000000" w:sz="4" w:space="0"/>
            </w:tcBorders>
            <w:vAlign w:val="center"/>
          </w:tcPr>
          <w:p w14:paraId="48A18D71">
            <w:pPr>
              <w:spacing w:line="240" w:lineRule="auto"/>
              <w:jc w:val="center"/>
            </w:pPr>
            <w:r>
              <w:rPr>
                <w:rFonts w:hint="eastAsia"/>
              </w:rPr>
              <w:t>定马线</w:t>
            </w:r>
          </w:p>
        </w:tc>
        <w:tc>
          <w:tcPr>
            <w:tcW w:w="685" w:type="pct"/>
            <w:tcBorders>
              <w:top w:val="nil"/>
              <w:left w:val="single" w:color="000000" w:sz="4" w:space="0"/>
              <w:bottom w:val="single" w:color="000000" w:sz="4" w:space="0"/>
              <w:right w:val="single" w:color="000000" w:sz="4" w:space="0"/>
            </w:tcBorders>
            <w:vAlign w:val="center"/>
          </w:tcPr>
          <w:p w14:paraId="0573C25F">
            <w:pPr>
              <w:spacing w:line="240" w:lineRule="auto"/>
              <w:jc w:val="center"/>
            </w:pPr>
            <w:r>
              <w:rPr>
                <w:rFonts w:hint="eastAsia"/>
              </w:rPr>
              <w:t>LED路灯</w:t>
            </w:r>
          </w:p>
        </w:tc>
        <w:tc>
          <w:tcPr>
            <w:tcW w:w="635" w:type="pct"/>
            <w:tcBorders>
              <w:top w:val="nil"/>
              <w:left w:val="single" w:color="000000" w:sz="4" w:space="0"/>
              <w:bottom w:val="single" w:color="000000" w:sz="4" w:space="0"/>
              <w:right w:val="single" w:color="000000" w:sz="4" w:space="0"/>
            </w:tcBorders>
            <w:vAlign w:val="center"/>
          </w:tcPr>
          <w:p w14:paraId="7D9122B2">
            <w:pPr>
              <w:spacing w:line="240" w:lineRule="auto"/>
              <w:jc w:val="center"/>
            </w:pPr>
            <w:r>
              <w:rPr>
                <w:rFonts w:hint="eastAsia"/>
              </w:rPr>
              <w:t>100/150</w:t>
            </w:r>
          </w:p>
        </w:tc>
        <w:tc>
          <w:tcPr>
            <w:tcW w:w="585" w:type="pct"/>
            <w:tcBorders>
              <w:top w:val="nil"/>
              <w:left w:val="single" w:color="000000" w:sz="4" w:space="0"/>
              <w:bottom w:val="single" w:color="000000" w:sz="4" w:space="0"/>
              <w:right w:val="single" w:color="000000" w:sz="4" w:space="0"/>
            </w:tcBorders>
            <w:noWrap/>
            <w:vAlign w:val="center"/>
          </w:tcPr>
          <w:p w14:paraId="70605B15">
            <w:pPr>
              <w:spacing w:line="240" w:lineRule="auto"/>
              <w:jc w:val="center"/>
            </w:pPr>
            <w:r>
              <w:rPr>
                <w:rFonts w:hint="eastAsia"/>
              </w:rPr>
              <w:t>336</w:t>
            </w:r>
          </w:p>
        </w:tc>
        <w:tc>
          <w:tcPr>
            <w:tcW w:w="1446" w:type="pct"/>
            <w:tcBorders>
              <w:top w:val="nil"/>
              <w:left w:val="single" w:color="000000" w:sz="4" w:space="0"/>
              <w:bottom w:val="single" w:color="000000" w:sz="4" w:space="0"/>
              <w:right w:val="single" w:color="000000" w:sz="8" w:space="0"/>
            </w:tcBorders>
            <w:noWrap/>
            <w:vAlign w:val="center"/>
          </w:tcPr>
          <w:p w14:paraId="26A89FD2">
            <w:pPr>
              <w:spacing w:line="240" w:lineRule="auto"/>
            </w:pPr>
          </w:p>
        </w:tc>
      </w:tr>
      <w:tr w14:paraId="7BD21513">
        <w:tblPrEx>
          <w:tblCellMar>
            <w:top w:w="0" w:type="dxa"/>
            <w:left w:w="108" w:type="dxa"/>
            <w:bottom w:w="0" w:type="dxa"/>
            <w:right w:w="108" w:type="dxa"/>
          </w:tblCellMar>
        </w:tblPrEx>
        <w:trPr>
          <w:trHeight w:val="850" w:hRule="atLeast"/>
        </w:trPr>
        <w:tc>
          <w:tcPr>
            <w:tcW w:w="457" w:type="pct"/>
            <w:tcBorders>
              <w:top w:val="single" w:color="000000" w:sz="4" w:space="0"/>
              <w:left w:val="single" w:color="000000" w:sz="8" w:space="0"/>
              <w:bottom w:val="single" w:color="000000" w:sz="4" w:space="0"/>
              <w:right w:val="single" w:color="000000" w:sz="4" w:space="0"/>
            </w:tcBorders>
            <w:vAlign w:val="center"/>
          </w:tcPr>
          <w:p w14:paraId="2DBBDD15">
            <w:pPr>
              <w:jc w:val="center"/>
            </w:pPr>
            <w:r>
              <w:rPr>
                <w:rFonts w:hint="eastAsia"/>
              </w:rPr>
              <w:t>2</w:t>
            </w:r>
          </w:p>
        </w:tc>
        <w:tc>
          <w:tcPr>
            <w:tcW w:w="1189" w:type="pct"/>
            <w:tcBorders>
              <w:top w:val="single" w:color="000000" w:sz="4" w:space="0"/>
              <w:left w:val="single" w:color="000000" w:sz="4" w:space="0"/>
              <w:bottom w:val="single" w:color="000000" w:sz="4" w:space="0"/>
              <w:right w:val="single" w:color="000000" w:sz="4" w:space="0"/>
            </w:tcBorders>
            <w:vAlign w:val="center"/>
          </w:tcPr>
          <w:p w14:paraId="1B942A66">
            <w:pPr>
              <w:spacing w:line="240" w:lineRule="auto"/>
              <w:jc w:val="center"/>
            </w:pPr>
            <w:r>
              <w:rPr>
                <w:rFonts w:hint="eastAsia"/>
              </w:rPr>
              <w:t>定马线</w:t>
            </w:r>
          </w:p>
        </w:tc>
        <w:tc>
          <w:tcPr>
            <w:tcW w:w="685" w:type="pct"/>
            <w:tcBorders>
              <w:top w:val="single" w:color="000000" w:sz="4" w:space="0"/>
              <w:left w:val="single" w:color="000000" w:sz="4" w:space="0"/>
              <w:bottom w:val="single" w:color="000000" w:sz="4" w:space="0"/>
              <w:right w:val="single" w:color="000000" w:sz="4" w:space="0"/>
            </w:tcBorders>
            <w:vAlign w:val="center"/>
          </w:tcPr>
          <w:p w14:paraId="6A19E62B">
            <w:pPr>
              <w:spacing w:line="240" w:lineRule="auto"/>
              <w:jc w:val="center"/>
            </w:pPr>
            <w:r>
              <w:rPr>
                <w:rFonts w:hint="eastAsia"/>
              </w:rPr>
              <w:t>LED高杆灯</w:t>
            </w:r>
          </w:p>
        </w:tc>
        <w:tc>
          <w:tcPr>
            <w:tcW w:w="635" w:type="pct"/>
            <w:tcBorders>
              <w:top w:val="single" w:color="000000" w:sz="4" w:space="0"/>
              <w:left w:val="single" w:color="000000" w:sz="4" w:space="0"/>
              <w:bottom w:val="single" w:color="000000" w:sz="4" w:space="0"/>
              <w:right w:val="single" w:color="000000" w:sz="4" w:space="0"/>
            </w:tcBorders>
            <w:vAlign w:val="center"/>
          </w:tcPr>
          <w:p w14:paraId="7E9DF57A">
            <w:pPr>
              <w:spacing w:line="240" w:lineRule="auto"/>
              <w:jc w:val="center"/>
            </w:pPr>
            <w:r>
              <w:rPr>
                <w:rFonts w:hint="eastAsia"/>
              </w:rPr>
              <w:t>200</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5B37D4F2">
            <w:pPr>
              <w:spacing w:line="240" w:lineRule="auto"/>
              <w:jc w:val="center"/>
            </w:pPr>
            <w:r>
              <w:rPr>
                <w:rFonts w:hint="eastAsia"/>
              </w:rPr>
              <w:t>12</w:t>
            </w:r>
          </w:p>
        </w:tc>
        <w:tc>
          <w:tcPr>
            <w:tcW w:w="1446" w:type="pct"/>
            <w:tcBorders>
              <w:top w:val="single" w:color="000000" w:sz="4" w:space="0"/>
              <w:left w:val="single" w:color="000000" w:sz="4" w:space="0"/>
              <w:bottom w:val="single" w:color="000000" w:sz="4" w:space="0"/>
              <w:right w:val="single" w:color="000000" w:sz="8" w:space="0"/>
            </w:tcBorders>
            <w:noWrap/>
            <w:vAlign w:val="center"/>
          </w:tcPr>
          <w:p w14:paraId="00EF7E61">
            <w:pPr>
              <w:spacing w:line="240" w:lineRule="auto"/>
            </w:pPr>
            <w:r>
              <w:rPr>
                <w:rFonts w:hint="eastAsia"/>
              </w:rPr>
              <w:t>3杆高杆灯</w:t>
            </w:r>
          </w:p>
        </w:tc>
      </w:tr>
      <w:tr w14:paraId="5FA9F70F">
        <w:tblPrEx>
          <w:tblCellMar>
            <w:top w:w="0" w:type="dxa"/>
            <w:left w:w="108" w:type="dxa"/>
            <w:bottom w:w="0" w:type="dxa"/>
            <w:right w:w="108" w:type="dxa"/>
          </w:tblCellMar>
        </w:tblPrEx>
        <w:trPr>
          <w:trHeight w:val="850" w:hRule="atLeast"/>
        </w:trPr>
        <w:tc>
          <w:tcPr>
            <w:tcW w:w="457" w:type="pct"/>
            <w:tcBorders>
              <w:top w:val="single" w:color="000000" w:sz="4" w:space="0"/>
              <w:left w:val="single" w:color="000000" w:sz="8" w:space="0"/>
              <w:bottom w:val="single" w:color="000000" w:sz="4" w:space="0"/>
              <w:right w:val="single" w:color="000000" w:sz="4" w:space="0"/>
            </w:tcBorders>
            <w:vAlign w:val="center"/>
          </w:tcPr>
          <w:p w14:paraId="4A169956">
            <w:pPr>
              <w:jc w:val="center"/>
            </w:pPr>
            <w:r>
              <w:rPr>
                <w:rFonts w:hint="eastAsia"/>
              </w:rPr>
              <w:t>3</w:t>
            </w:r>
          </w:p>
        </w:tc>
        <w:tc>
          <w:tcPr>
            <w:tcW w:w="1189" w:type="pct"/>
            <w:tcBorders>
              <w:top w:val="single" w:color="000000" w:sz="4" w:space="0"/>
              <w:left w:val="single" w:color="000000" w:sz="4" w:space="0"/>
              <w:bottom w:val="single" w:color="000000" w:sz="4" w:space="0"/>
              <w:right w:val="single" w:color="000000" w:sz="4" w:space="0"/>
            </w:tcBorders>
            <w:vAlign w:val="center"/>
          </w:tcPr>
          <w:p w14:paraId="4EF0CEEF">
            <w:pPr>
              <w:spacing w:line="240" w:lineRule="auto"/>
              <w:jc w:val="center"/>
            </w:pPr>
            <w:r>
              <w:rPr>
                <w:rFonts w:hint="eastAsia"/>
              </w:rPr>
              <w:t>（定海段）鸭东线G329</w:t>
            </w:r>
          </w:p>
        </w:tc>
        <w:tc>
          <w:tcPr>
            <w:tcW w:w="685" w:type="pct"/>
            <w:tcBorders>
              <w:top w:val="single" w:color="000000" w:sz="4" w:space="0"/>
              <w:left w:val="single" w:color="000000" w:sz="4" w:space="0"/>
              <w:bottom w:val="single" w:color="000000" w:sz="4" w:space="0"/>
              <w:right w:val="single" w:color="000000" w:sz="4" w:space="0"/>
            </w:tcBorders>
            <w:vAlign w:val="center"/>
          </w:tcPr>
          <w:p w14:paraId="7E3AFEFA">
            <w:pPr>
              <w:spacing w:line="240" w:lineRule="auto"/>
              <w:jc w:val="center"/>
            </w:pPr>
            <w:r>
              <w:rPr>
                <w:rFonts w:hint="eastAsia"/>
              </w:rPr>
              <w:t>LED路灯</w:t>
            </w:r>
          </w:p>
        </w:tc>
        <w:tc>
          <w:tcPr>
            <w:tcW w:w="635" w:type="pct"/>
            <w:tcBorders>
              <w:top w:val="single" w:color="000000" w:sz="4" w:space="0"/>
              <w:left w:val="single" w:color="000000" w:sz="4" w:space="0"/>
              <w:bottom w:val="single" w:color="000000" w:sz="4" w:space="0"/>
              <w:right w:val="single" w:color="000000" w:sz="4" w:space="0"/>
            </w:tcBorders>
            <w:vAlign w:val="center"/>
          </w:tcPr>
          <w:p w14:paraId="6F6F489C">
            <w:pPr>
              <w:spacing w:line="240" w:lineRule="auto"/>
              <w:jc w:val="center"/>
            </w:pPr>
            <w:r>
              <w:rPr>
                <w:rFonts w:hint="eastAsia"/>
              </w:rPr>
              <w:t>100/150</w:t>
            </w:r>
          </w:p>
        </w:tc>
        <w:tc>
          <w:tcPr>
            <w:tcW w:w="585" w:type="pct"/>
            <w:tcBorders>
              <w:top w:val="single" w:color="000000" w:sz="4" w:space="0"/>
              <w:left w:val="single" w:color="000000" w:sz="4" w:space="0"/>
              <w:bottom w:val="single" w:color="000000" w:sz="4" w:space="0"/>
              <w:right w:val="single" w:color="000000" w:sz="4" w:space="0"/>
            </w:tcBorders>
            <w:vAlign w:val="center"/>
          </w:tcPr>
          <w:p w14:paraId="2E37FE3F">
            <w:pPr>
              <w:spacing w:line="240" w:lineRule="auto"/>
              <w:jc w:val="center"/>
            </w:pPr>
            <w:r>
              <w:rPr>
                <w:rFonts w:hint="eastAsia"/>
              </w:rPr>
              <w:t>516</w:t>
            </w:r>
          </w:p>
        </w:tc>
        <w:tc>
          <w:tcPr>
            <w:tcW w:w="1446" w:type="pct"/>
            <w:tcBorders>
              <w:top w:val="single" w:color="000000" w:sz="4" w:space="0"/>
              <w:left w:val="single" w:color="000000" w:sz="4" w:space="0"/>
              <w:bottom w:val="single" w:color="000000" w:sz="4" w:space="0"/>
              <w:right w:val="single" w:color="000000" w:sz="8" w:space="0"/>
            </w:tcBorders>
            <w:noWrap/>
            <w:vAlign w:val="center"/>
          </w:tcPr>
          <w:p w14:paraId="48E9AE5D">
            <w:pPr>
              <w:spacing w:line="240" w:lineRule="auto"/>
            </w:pPr>
            <w:r>
              <w:rPr>
                <w:rFonts w:hint="eastAsia"/>
              </w:rPr>
              <w:t>244杆双叉，28杆单叉</w:t>
            </w:r>
          </w:p>
        </w:tc>
      </w:tr>
      <w:tr w14:paraId="5885C62C">
        <w:tblPrEx>
          <w:tblCellMar>
            <w:top w:w="0" w:type="dxa"/>
            <w:left w:w="108" w:type="dxa"/>
            <w:bottom w:w="0" w:type="dxa"/>
            <w:right w:w="108" w:type="dxa"/>
          </w:tblCellMar>
        </w:tblPrEx>
        <w:trPr>
          <w:trHeight w:val="850" w:hRule="atLeast"/>
        </w:trPr>
        <w:tc>
          <w:tcPr>
            <w:tcW w:w="457" w:type="pct"/>
            <w:tcBorders>
              <w:top w:val="single" w:color="000000" w:sz="4" w:space="0"/>
              <w:left w:val="single" w:color="000000" w:sz="8" w:space="0"/>
              <w:bottom w:val="single" w:color="000000" w:sz="4" w:space="0"/>
              <w:right w:val="single" w:color="000000" w:sz="4" w:space="0"/>
            </w:tcBorders>
            <w:vAlign w:val="center"/>
          </w:tcPr>
          <w:p w14:paraId="54F59960">
            <w:pPr>
              <w:jc w:val="center"/>
            </w:pPr>
            <w:r>
              <w:rPr>
                <w:rFonts w:hint="eastAsia"/>
              </w:rPr>
              <w:t>4</w:t>
            </w:r>
          </w:p>
        </w:tc>
        <w:tc>
          <w:tcPr>
            <w:tcW w:w="1189" w:type="pct"/>
            <w:tcBorders>
              <w:top w:val="single" w:color="000000" w:sz="4" w:space="0"/>
              <w:left w:val="single" w:color="000000" w:sz="4" w:space="0"/>
              <w:bottom w:val="single" w:color="000000" w:sz="4" w:space="0"/>
              <w:right w:val="single" w:color="000000" w:sz="4" w:space="0"/>
            </w:tcBorders>
            <w:vAlign w:val="center"/>
          </w:tcPr>
          <w:p w14:paraId="41F1EFB7">
            <w:pPr>
              <w:spacing w:line="240" w:lineRule="auto"/>
              <w:jc w:val="center"/>
            </w:pPr>
            <w:r>
              <w:rPr>
                <w:rFonts w:hint="eastAsia"/>
              </w:rPr>
              <w:t>（定海段）鸭东线G329</w:t>
            </w:r>
          </w:p>
        </w:tc>
        <w:tc>
          <w:tcPr>
            <w:tcW w:w="685" w:type="pct"/>
            <w:tcBorders>
              <w:top w:val="single" w:color="000000" w:sz="4" w:space="0"/>
              <w:left w:val="single" w:color="000000" w:sz="4" w:space="0"/>
              <w:bottom w:val="single" w:color="000000" w:sz="4" w:space="0"/>
              <w:right w:val="single" w:color="000000" w:sz="4" w:space="0"/>
            </w:tcBorders>
            <w:vAlign w:val="center"/>
          </w:tcPr>
          <w:p w14:paraId="16AAF54E">
            <w:pPr>
              <w:spacing w:line="240" w:lineRule="auto"/>
              <w:jc w:val="center"/>
            </w:pPr>
            <w:r>
              <w:rPr>
                <w:rFonts w:hint="eastAsia"/>
              </w:rPr>
              <w:t>LED高杆灯</w:t>
            </w:r>
          </w:p>
        </w:tc>
        <w:tc>
          <w:tcPr>
            <w:tcW w:w="635" w:type="pct"/>
            <w:tcBorders>
              <w:top w:val="single" w:color="000000" w:sz="4" w:space="0"/>
              <w:left w:val="single" w:color="000000" w:sz="4" w:space="0"/>
              <w:bottom w:val="single" w:color="000000" w:sz="4" w:space="0"/>
              <w:right w:val="single" w:color="000000" w:sz="4" w:space="0"/>
            </w:tcBorders>
            <w:vAlign w:val="center"/>
          </w:tcPr>
          <w:p w14:paraId="230D70BB">
            <w:pPr>
              <w:spacing w:line="240" w:lineRule="auto"/>
              <w:jc w:val="center"/>
            </w:pPr>
            <w:r>
              <w:rPr>
                <w:rFonts w:hint="eastAsia"/>
              </w:rPr>
              <w:t>200</w:t>
            </w:r>
          </w:p>
        </w:tc>
        <w:tc>
          <w:tcPr>
            <w:tcW w:w="585" w:type="pct"/>
            <w:tcBorders>
              <w:top w:val="single" w:color="000000" w:sz="4" w:space="0"/>
              <w:left w:val="single" w:color="000000" w:sz="4" w:space="0"/>
              <w:bottom w:val="single" w:color="000000" w:sz="4" w:space="0"/>
              <w:right w:val="single" w:color="000000" w:sz="4" w:space="0"/>
            </w:tcBorders>
            <w:vAlign w:val="center"/>
          </w:tcPr>
          <w:p w14:paraId="78A4DC5B">
            <w:pPr>
              <w:spacing w:line="240" w:lineRule="auto"/>
              <w:jc w:val="center"/>
            </w:pPr>
            <w:r>
              <w:rPr>
                <w:rFonts w:hint="eastAsia"/>
              </w:rPr>
              <w:t>30</w:t>
            </w:r>
          </w:p>
        </w:tc>
        <w:tc>
          <w:tcPr>
            <w:tcW w:w="1446" w:type="pct"/>
            <w:tcBorders>
              <w:top w:val="single" w:color="000000" w:sz="4" w:space="0"/>
              <w:left w:val="single" w:color="000000" w:sz="4" w:space="0"/>
              <w:bottom w:val="single" w:color="000000" w:sz="4" w:space="0"/>
              <w:right w:val="single" w:color="000000" w:sz="8" w:space="0"/>
            </w:tcBorders>
            <w:noWrap/>
            <w:vAlign w:val="center"/>
          </w:tcPr>
          <w:p w14:paraId="23F93379">
            <w:pPr>
              <w:spacing w:line="240" w:lineRule="auto"/>
            </w:pPr>
            <w:r>
              <w:rPr>
                <w:rFonts w:hint="eastAsia"/>
              </w:rPr>
              <w:t>6杆高杆灯</w:t>
            </w:r>
          </w:p>
        </w:tc>
      </w:tr>
      <w:tr w14:paraId="443C5FA1">
        <w:tblPrEx>
          <w:tblCellMar>
            <w:top w:w="0" w:type="dxa"/>
            <w:left w:w="108" w:type="dxa"/>
            <w:bottom w:w="0" w:type="dxa"/>
            <w:right w:w="108" w:type="dxa"/>
          </w:tblCellMar>
        </w:tblPrEx>
        <w:trPr>
          <w:trHeight w:val="850" w:hRule="atLeast"/>
        </w:trPr>
        <w:tc>
          <w:tcPr>
            <w:tcW w:w="457" w:type="pct"/>
            <w:tcBorders>
              <w:top w:val="single" w:color="000000" w:sz="4" w:space="0"/>
              <w:left w:val="single" w:color="000000" w:sz="8" w:space="0"/>
              <w:bottom w:val="single" w:color="000000" w:sz="4" w:space="0"/>
              <w:right w:val="single" w:color="000000" w:sz="4" w:space="0"/>
            </w:tcBorders>
            <w:vAlign w:val="center"/>
          </w:tcPr>
          <w:p w14:paraId="7E0B2241">
            <w:pPr>
              <w:jc w:val="center"/>
            </w:pPr>
            <w:r>
              <w:rPr>
                <w:rFonts w:hint="eastAsia"/>
              </w:rPr>
              <w:t>5</w:t>
            </w:r>
          </w:p>
        </w:tc>
        <w:tc>
          <w:tcPr>
            <w:tcW w:w="1189" w:type="pct"/>
            <w:tcBorders>
              <w:top w:val="single" w:color="000000" w:sz="4" w:space="0"/>
              <w:left w:val="single" w:color="000000" w:sz="4" w:space="0"/>
              <w:bottom w:val="single" w:color="000000" w:sz="4" w:space="0"/>
              <w:right w:val="single" w:color="000000" w:sz="4" w:space="0"/>
            </w:tcBorders>
            <w:vAlign w:val="center"/>
          </w:tcPr>
          <w:p w14:paraId="2A6E01DA">
            <w:pPr>
              <w:spacing w:line="240" w:lineRule="auto"/>
              <w:jc w:val="center"/>
              <w:rPr>
                <w:rFonts w:hint="default" w:eastAsia="宋体"/>
                <w:lang w:val="en-US" w:eastAsia="zh-CN"/>
              </w:rPr>
            </w:pPr>
            <w:r>
              <w:rPr>
                <w:rFonts w:hint="eastAsia"/>
              </w:rPr>
              <w:t>弄万线S</w:t>
            </w:r>
            <w:r>
              <w:rPr>
                <w:rFonts w:hint="eastAsia"/>
                <w:lang w:val="en-US" w:eastAsia="zh-CN"/>
              </w:rPr>
              <w:t>308</w:t>
            </w:r>
          </w:p>
        </w:tc>
        <w:tc>
          <w:tcPr>
            <w:tcW w:w="685" w:type="pct"/>
            <w:tcBorders>
              <w:top w:val="single" w:color="000000" w:sz="4" w:space="0"/>
              <w:left w:val="single" w:color="000000" w:sz="4" w:space="0"/>
              <w:bottom w:val="single" w:color="000000" w:sz="4" w:space="0"/>
              <w:right w:val="single" w:color="000000" w:sz="4" w:space="0"/>
            </w:tcBorders>
            <w:vAlign w:val="center"/>
          </w:tcPr>
          <w:p w14:paraId="5FAA430F">
            <w:pPr>
              <w:spacing w:line="240" w:lineRule="auto"/>
              <w:jc w:val="center"/>
            </w:pPr>
            <w:r>
              <w:rPr>
                <w:rFonts w:hint="eastAsia"/>
              </w:rPr>
              <w:t>LED路灯</w:t>
            </w:r>
          </w:p>
        </w:tc>
        <w:tc>
          <w:tcPr>
            <w:tcW w:w="635" w:type="pct"/>
            <w:tcBorders>
              <w:top w:val="single" w:color="000000" w:sz="4" w:space="0"/>
              <w:left w:val="single" w:color="000000" w:sz="4" w:space="0"/>
              <w:bottom w:val="single" w:color="000000" w:sz="4" w:space="0"/>
              <w:right w:val="single" w:color="000000" w:sz="4" w:space="0"/>
            </w:tcBorders>
            <w:vAlign w:val="center"/>
          </w:tcPr>
          <w:p w14:paraId="0F55CE49">
            <w:pPr>
              <w:spacing w:line="240" w:lineRule="auto"/>
              <w:jc w:val="center"/>
            </w:pPr>
            <w:r>
              <w:rPr>
                <w:rFonts w:hint="eastAsia"/>
              </w:rPr>
              <w:t>100/150</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09D6CC17">
            <w:pPr>
              <w:spacing w:line="240" w:lineRule="auto"/>
              <w:jc w:val="center"/>
            </w:pPr>
            <w:r>
              <w:rPr>
                <w:rFonts w:hint="eastAsia"/>
              </w:rPr>
              <w:t>148</w:t>
            </w:r>
          </w:p>
        </w:tc>
        <w:tc>
          <w:tcPr>
            <w:tcW w:w="1446" w:type="pct"/>
            <w:tcBorders>
              <w:top w:val="single" w:color="000000" w:sz="4" w:space="0"/>
              <w:left w:val="single" w:color="000000" w:sz="4" w:space="0"/>
              <w:bottom w:val="single" w:color="000000" w:sz="4" w:space="0"/>
              <w:right w:val="single" w:color="000000" w:sz="8" w:space="0"/>
            </w:tcBorders>
            <w:noWrap/>
            <w:vAlign w:val="center"/>
          </w:tcPr>
          <w:p w14:paraId="40057F31">
            <w:pPr>
              <w:spacing w:line="240" w:lineRule="auto"/>
            </w:pPr>
          </w:p>
        </w:tc>
      </w:tr>
      <w:tr w14:paraId="736FD9ED">
        <w:tblPrEx>
          <w:tblCellMar>
            <w:top w:w="0" w:type="dxa"/>
            <w:left w:w="108" w:type="dxa"/>
            <w:bottom w:w="0" w:type="dxa"/>
            <w:right w:w="108" w:type="dxa"/>
          </w:tblCellMar>
        </w:tblPrEx>
        <w:trPr>
          <w:trHeight w:val="850" w:hRule="atLeast"/>
        </w:trPr>
        <w:tc>
          <w:tcPr>
            <w:tcW w:w="457" w:type="pct"/>
            <w:tcBorders>
              <w:top w:val="single" w:color="000000" w:sz="4" w:space="0"/>
              <w:left w:val="single" w:color="000000" w:sz="8" w:space="0"/>
              <w:bottom w:val="single" w:color="000000" w:sz="4" w:space="0"/>
              <w:right w:val="single" w:color="000000" w:sz="4" w:space="0"/>
            </w:tcBorders>
            <w:vAlign w:val="center"/>
          </w:tcPr>
          <w:p w14:paraId="4CE4C5F4">
            <w:pPr>
              <w:jc w:val="center"/>
            </w:pPr>
            <w:r>
              <w:rPr>
                <w:rFonts w:hint="eastAsia"/>
              </w:rPr>
              <w:t>6</w:t>
            </w:r>
          </w:p>
        </w:tc>
        <w:tc>
          <w:tcPr>
            <w:tcW w:w="1189" w:type="pct"/>
            <w:tcBorders>
              <w:top w:val="single" w:color="000000" w:sz="4" w:space="0"/>
              <w:left w:val="single" w:color="000000" w:sz="4" w:space="0"/>
              <w:bottom w:val="single" w:color="000000" w:sz="4" w:space="0"/>
              <w:right w:val="single" w:color="000000" w:sz="4" w:space="0"/>
            </w:tcBorders>
            <w:vAlign w:val="center"/>
          </w:tcPr>
          <w:p w14:paraId="5EE1BB4B">
            <w:pPr>
              <w:spacing w:line="240" w:lineRule="auto"/>
              <w:jc w:val="center"/>
              <w:rPr>
                <w:rFonts w:hint="default" w:eastAsia="宋体"/>
                <w:lang w:val="en-US" w:eastAsia="zh-CN"/>
              </w:rPr>
            </w:pPr>
            <w:r>
              <w:rPr>
                <w:rFonts w:hint="eastAsia"/>
              </w:rPr>
              <w:t>（定海段）鸭东线S</w:t>
            </w:r>
            <w:r>
              <w:rPr>
                <w:rFonts w:hint="eastAsia"/>
                <w:lang w:val="en-US" w:eastAsia="zh-CN"/>
              </w:rPr>
              <w:t>308</w:t>
            </w:r>
          </w:p>
        </w:tc>
        <w:tc>
          <w:tcPr>
            <w:tcW w:w="685" w:type="pct"/>
            <w:tcBorders>
              <w:top w:val="single" w:color="000000" w:sz="4" w:space="0"/>
              <w:left w:val="single" w:color="000000" w:sz="4" w:space="0"/>
              <w:bottom w:val="single" w:color="000000" w:sz="4" w:space="0"/>
              <w:right w:val="single" w:color="000000" w:sz="4" w:space="0"/>
            </w:tcBorders>
            <w:vAlign w:val="center"/>
          </w:tcPr>
          <w:p w14:paraId="5BC7308E">
            <w:pPr>
              <w:spacing w:line="240" w:lineRule="auto"/>
              <w:jc w:val="center"/>
            </w:pPr>
            <w:r>
              <w:rPr>
                <w:rFonts w:hint="eastAsia"/>
              </w:rPr>
              <w:t>钠</w:t>
            </w:r>
            <w:r>
              <w:rPr>
                <w:rFonts w:hint="eastAsia"/>
                <w:lang w:val="en-US" w:eastAsia="zh-CN"/>
              </w:rPr>
              <w:t xml:space="preserve">  </w:t>
            </w:r>
            <w:r>
              <w:rPr>
                <w:rFonts w:hint="eastAsia"/>
              </w:rPr>
              <w:t>灯</w:t>
            </w:r>
          </w:p>
        </w:tc>
        <w:tc>
          <w:tcPr>
            <w:tcW w:w="635" w:type="pct"/>
            <w:tcBorders>
              <w:top w:val="single" w:color="000000" w:sz="4" w:space="0"/>
              <w:left w:val="single" w:color="000000" w:sz="4" w:space="0"/>
              <w:bottom w:val="single" w:color="000000" w:sz="4" w:space="0"/>
              <w:right w:val="single" w:color="000000" w:sz="4" w:space="0"/>
            </w:tcBorders>
            <w:vAlign w:val="center"/>
          </w:tcPr>
          <w:p w14:paraId="706D2482">
            <w:pPr>
              <w:spacing w:line="240" w:lineRule="auto"/>
              <w:jc w:val="center"/>
            </w:pPr>
            <w:r>
              <w:rPr>
                <w:rFonts w:hint="eastAsia"/>
              </w:rPr>
              <w:t>250</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1F4730EA">
            <w:pPr>
              <w:spacing w:line="240" w:lineRule="auto"/>
              <w:jc w:val="center"/>
            </w:pPr>
            <w:r>
              <w:rPr>
                <w:rFonts w:hint="eastAsia"/>
              </w:rPr>
              <w:t>1860</w:t>
            </w:r>
          </w:p>
        </w:tc>
        <w:tc>
          <w:tcPr>
            <w:tcW w:w="1446" w:type="pct"/>
            <w:tcBorders>
              <w:top w:val="single" w:color="000000" w:sz="4" w:space="0"/>
              <w:left w:val="single" w:color="000000" w:sz="4" w:space="0"/>
              <w:bottom w:val="single" w:color="000000" w:sz="4" w:space="0"/>
              <w:right w:val="single" w:color="000000" w:sz="8" w:space="0"/>
            </w:tcBorders>
            <w:noWrap/>
            <w:vAlign w:val="center"/>
          </w:tcPr>
          <w:p w14:paraId="77665EE2">
            <w:pPr>
              <w:spacing w:line="240" w:lineRule="auto"/>
            </w:pPr>
          </w:p>
        </w:tc>
      </w:tr>
      <w:tr w14:paraId="26A6B3FE">
        <w:tblPrEx>
          <w:tblCellMar>
            <w:top w:w="0" w:type="dxa"/>
            <w:left w:w="108" w:type="dxa"/>
            <w:bottom w:w="0" w:type="dxa"/>
            <w:right w:w="108" w:type="dxa"/>
          </w:tblCellMar>
        </w:tblPrEx>
        <w:trPr>
          <w:trHeight w:val="850" w:hRule="atLeast"/>
        </w:trPr>
        <w:tc>
          <w:tcPr>
            <w:tcW w:w="457" w:type="pct"/>
            <w:tcBorders>
              <w:top w:val="single" w:color="000000" w:sz="4" w:space="0"/>
              <w:left w:val="single" w:color="000000" w:sz="8" w:space="0"/>
              <w:bottom w:val="single" w:color="000000" w:sz="4" w:space="0"/>
              <w:right w:val="single" w:color="000000" w:sz="4" w:space="0"/>
            </w:tcBorders>
            <w:vAlign w:val="center"/>
          </w:tcPr>
          <w:p w14:paraId="04D94602">
            <w:pPr>
              <w:jc w:val="center"/>
            </w:pPr>
            <w:r>
              <w:rPr>
                <w:rFonts w:hint="eastAsia"/>
              </w:rPr>
              <w:t>7</w:t>
            </w:r>
          </w:p>
        </w:tc>
        <w:tc>
          <w:tcPr>
            <w:tcW w:w="1189" w:type="pct"/>
            <w:tcBorders>
              <w:top w:val="single" w:color="000000" w:sz="4" w:space="0"/>
              <w:left w:val="single" w:color="000000" w:sz="4" w:space="0"/>
              <w:bottom w:val="single" w:color="000000" w:sz="4" w:space="0"/>
              <w:right w:val="single" w:color="000000" w:sz="4" w:space="0"/>
            </w:tcBorders>
            <w:vAlign w:val="center"/>
          </w:tcPr>
          <w:p w14:paraId="5FDD9168">
            <w:pPr>
              <w:spacing w:line="240" w:lineRule="auto"/>
              <w:jc w:val="center"/>
            </w:pPr>
            <w:r>
              <w:rPr>
                <w:rFonts w:hint="eastAsia"/>
              </w:rPr>
              <w:t>（定海段）G526国道</w:t>
            </w:r>
          </w:p>
        </w:tc>
        <w:tc>
          <w:tcPr>
            <w:tcW w:w="685" w:type="pct"/>
            <w:tcBorders>
              <w:top w:val="single" w:color="000000" w:sz="4" w:space="0"/>
              <w:left w:val="single" w:color="000000" w:sz="4" w:space="0"/>
              <w:bottom w:val="single" w:color="000000" w:sz="4" w:space="0"/>
              <w:right w:val="single" w:color="000000" w:sz="4" w:space="0"/>
            </w:tcBorders>
            <w:vAlign w:val="center"/>
          </w:tcPr>
          <w:p w14:paraId="29B5C63C">
            <w:pPr>
              <w:spacing w:line="240" w:lineRule="auto"/>
              <w:jc w:val="center"/>
            </w:pPr>
            <w:r>
              <w:rPr>
                <w:rFonts w:hint="eastAsia"/>
              </w:rPr>
              <w:t>钠</w:t>
            </w:r>
            <w:r>
              <w:rPr>
                <w:rFonts w:hint="eastAsia"/>
                <w:lang w:val="en-US" w:eastAsia="zh-CN"/>
              </w:rPr>
              <w:t xml:space="preserve">  </w:t>
            </w:r>
            <w:r>
              <w:rPr>
                <w:rFonts w:hint="eastAsia"/>
              </w:rPr>
              <w:t>灯</w:t>
            </w:r>
          </w:p>
        </w:tc>
        <w:tc>
          <w:tcPr>
            <w:tcW w:w="635" w:type="pct"/>
            <w:tcBorders>
              <w:top w:val="single" w:color="000000" w:sz="4" w:space="0"/>
              <w:left w:val="single" w:color="000000" w:sz="4" w:space="0"/>
              <w:bottom w:val="single" w:color="000000" w:sz="4" w:space="0"/>
              <w:right w:val="single" w:color="000000" w:sz="4" w:space="0"/>
            </w:tcBorders>
            <w:vAlign w:val="center"/>
          </w:tcPr>
          <w:p w14:paraId="24593EA9">
            <w:pPr>
              <w:spacing w:line="240" w:lineRule="auto"/>
              <w:jc w:val="center"/>
            </w:pPr>
            <w:r>
              <w:rPr>
                <w:rFonts w:hint="eastAsia"/>
              </w:rPr>
              <w:t>250</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59F5975B">
            <w:pPr>
              <w:spacing w:line="240" w:lineRule="auto"/>
              <w:jc w:val="center"/>
            </w:pPr>
            <w:r>
              <w:rPr>
                <w:rFonts w:hint="eastAsia"/>
              </w:rPr>
              <w:t>369</w:t>
            </w:r>
          </w:p>
        </w:tc>
        <w:tc>
          <w:tcPr>
            <w:tcW w:w="1446" w:type="pct"/>
            <w:tcBorders>
              <w:top w:val="single" w:color="000000" w:sz="4" w:space="0"/>
              <w:left w:val="single" w:color="000000" w:sz="4" w:space="0"/>
              <w:bottom w:val="single" w:color="000000" w:sz="4" w:space="0"/>
              <w:right w:val="single" w:color="000000" w:sz="8" w:space="0"/>
            </w:tcBorders>
            <w:noWrap/>
            <w:vAlign w:val="center"/>
          </w:tcPr>
          <w:p w14:paraId="5C6B0449">
            <w:pPr>
              <w:spacing w:line="240" w:lineRule="auto"/>
            </w:pPr>
          </w:p>
        </w:tc>
      </w:tr>
      <w:tr w14:paraId="0646F260">
        <w:tblPrEx>
          <w:tblCellMar>
            <w:top w:w="0" w:type="dxa"/>
            <w:left w:w="108" w:type="dxa"/>
            <w:bottom w:w="0" w:type="dxa"/>
            <w:right w:w="108" w:type="dxa"/>
          </w:tblCellMar>
        </w:tblPrEx>
        <w:trPr>
          <w:trHeight w:val="850" w:hRule="atLeast"/>
        </w:trPr>
        <w:tc>
          <w:tcPr>
            <w:tcW w:w="457" w:type="pct"/>
            <w:tcBorders>
              <w:top w:val="single" w:color="000000" w:sz="4" w:space="0"/>
              <w:left w:val="single" w:color="000000" w:sz="8" w:space="0"/>
              <w:bottom w:val="single" w:color="000000" w:sz="4" w:space="0"/>
              <w:right w:val="single" w:color="000000" w:sz="4" w:space="0"/>
            </w:tcBorders>
            <w:vAlign w:val="center"/>
          </w:tcPr>
          <w:p w14:paraId="79440643">
            <w:pPr>
              <w:jc w:val="center"/>
            </w:pPr>
            <w:r>
              <w:rPr>
                <w:rFonts w:hint="eastAsia"/>
              </w:rPr>
              <w:t>8</w:t>
            </w:r>
          </w:p>
        </w:tc>
        <w:tc>
          <w:tcPr>
            <w:tcW w:w="1189" w:type="pct"/>
            <w:tcBorders>
              <w:top w:val="single" w:color="000000" w:sz="4" w:space="0"/>
              <w:left w:val="single" w:color="000000" w:sz="4" w:space="0"/>
              <w:bottom w:val="single" w:color="000000" w:sz="4" w:space="0"/>
              <w:right w:val="single" w:color="000000" w:sz="4" w:space="0"/>
            </w:tcBorders>
            <w:vAlign w:val="center"/>
          </w:tcPr>
          <w:p w14:paraId="282BC262">
            <w:pPr>
              <w:spacing w:line="240" w:lineRule="auto"/>
              <w:jc w:val="center"/>
            </w:pPr>
            <w:r>
              <w:rPr>
                <w:rFonts w:hint="eastAsia"/>
              </w:rPr>
              <w:t>临北线定海段</w:t>
            </w:r>
          </w:p>
        </w:tc>
        <w:tc>
          <w:tcPr>
            <w:tcW w:w="685" w:type="pct"/>
            <w:tcBorders>
              <w:top w:val="single" w:color="000000" w:sz="4" w:space="0"/>
              <w:left w:val="single" w:color="000000" w:sz="4" w:space="0"/>
              <w:bottom w:val="single" w:color="000000" w:sz="4" w:space="0"/>
              <w:right w:val="single" w:color="000000" w:sz="4" w:space="0"/>
            </w:tcBorders>
            <w:vAlign w:val="center"/>
          </w:tcPr>
          <w:p w14:paraId="1C542EBB">
            <w:pPr>
              <w:spacing w:line="240" w:lineRule="auto"/>
              <w:jc w:val="center"/>
            </w:pPr>
            <w:r>
              <w:rPr>
                <w:rFonts w:hint="eastAsia"/>
              </w:rPr>
              <w:t>钠</w:t>
            </w:r>
            <w:r>
              <w:rPr>
                <w:rFonts w:hint="eastAsia"/>
                <w:lang w:val="en-US" w:eastAsia="zh-CN"/>
              </w:rPr>
              <w:t xml:space="preserve">  </w:t>
            </w:r>
            <w:r>
              <w:rPr>
                <w:rFonts w:hint="eastAsia"/>
              </w:rPr>
              <w:t>灯</w:t>
            </w:r>
          </w:p>
        </w:tc>
        <w:tc>
          <w:tcPr>
            <w:tcW w:w="635" w:type="pct"/>
            <w:tcBorders>
              <w:top w:val="single" w:color="000000" w:sz="4" w:space="0"/>
              <w:left w:val="single" w:color="000000" w:sz="4" w:space="0"/>
              <w:bottom w:val="single" w:color="000000" w:sz="4" w:space="0"/>
              <w:right w:val="single" w:color="000000" w:sz="4" w:space="0"/>
            </w:tcBorders>
            <w:vAlign w:val="center"/>
          </w:tcPr>
          <w:p w14:paraId="7C95B34D">
            <w:pPr>
              <w:spacing w:line="240" w:lineRule="auto"/>
              <w:jc w:val="center"/>
            </w:pPr>
            <w:r>
              <w:rPr>
                <w:rFonts w:hint="eastAsia"/>
              </w:rPr>
              <w:t>250</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627D989A">
            <w:pPr>
              <w:spacing w:line="240" w:lineRule="auto"/>
              <w:jc w:val="center"/>
            </w:pPr>
            <w:r>
              <w:rPr>
                <w:rFonts w:hint="eastAsia"/>
              </w:rPr>
              <w:t>77</w:t>
            </w:r>
          </w:p>
        </w:tc>
        <w:tc>
          <w:tcPr>
            <w:tcW w:w="1446" w:type="pct"/>
            <w:tcBorders>
              <w:top w:val="single" w:color="000000" w:sz="4" w:space="0"/>
              <w:left w:val="single" w:color="000000" w:sz="4" w:space="0"/>
              <w:bottom w:val="single" w:color="000000" w:sz="4" w:space="0"/>
              <w:right w:val="single" w:color="000000" w:sz="8" w:space="0"/>
            </w:tcBorders>
            <w:noWrap/>
            <w:vAlign w:val="center"/>
          </w:tcPr>
          <w:p w14:paraId="113979B6">
            <w:pPr>
              <w:spacing w:line="240" w:lineRule="auto"/>
            </w:pPr>
          </w:p>
        </w:tc>
      </w:tr>
      <w:tr w14:paraId="7EB6B081">
        <w:tblPrEx>
          <w:tblCellMar>
            <w:top w:w="0" w:type="dxa"/>
            <w:left w:w="108" w:type="dxa"/>
            <w:bottom w:w="0" w:type="dxa"/>
            <w:right w:w="108" w:type="dxa"/>
          </w:tblCellMar>
        </w:tblPrEx>
        <w:trPr>
          <w:trHeight w:val="850" w:hRule="atLeast"/>
        </w:trPr>
        <w:tc>
          <w:tcPr>
            <w:tcW w:w="457" w:type="pct"/>
            <w:tcBorders>
              <w:top w:val="single" w:color="000000" w:sz="4" w:space="0"/>
              <w:left w:val="single" w:color="000000" w:sz="8" w:space="0"/>
              <w:bottom w:val="single" w:color="000000" w:sz="4" w:space="0"/>
              <w:right w:val="single" w:color="000000" w:sz="4" w:space="0"/>
            </w:tcBorders>
            <w:vAlign w:val="center"/>
          </w:tcPr>
          <w:p w14:paraId="198AA06B">
            <w:pPr>
              <w:jc w:val="center"/>
            </w:pPr>
            <w:r>
              <w:rPr>
                <w:rFonts w:hint="eastAsia"/>
              </w:rPr>
              <w:t>9</w:t>
            </w:r>
          </w:p>
        </w:tc>
        <w:tc>
          <w:tcPr>
            <w:tcW w:w="1189" w:type="pct"/>
            <w:tcBorders>
              <w:top w:val="single" w:color="000000" w:sz="4" w:space="0"/>
              <w:left w:val="single" w:color="000000" w:sz="4" w:space="0"/>
              <w:bottom w:val="single" w:color="000000" w:sz="4" w:space="0"/>
              <w:right w:val="single" w:color="000000" w:sz="4" w:space="0"/>
            </w:tcBorders>
            <w:vAlign w:val="center"/>
          </w:tcPr>
          <w:p w14:paraId="0B69E924">
            <w:pPr>
              <w:spacing w:line="240" w:lineRule="auto"/>
              <w:jc w:val="center"/>
            </w:pPr>
            <w:r>
              <w:rPr>
                <w:rFonts w:hint="eastAsia"/>
              </w:rPr>
              <w:t>（定海段）G329、G526、S308</w:t>
            </w:r>
          </w:p>
        </w:tc>
        <w:tc>
          <w:tcPr>
            <w:tcW w:w="685" w:type="pct"/>
            <w:tcBorders>
              <w:top w:val="single" w:color="000000" w:sz="4" w:space="0"/>
              <w:left w:val="single" w:color="000000" w:sz="4" w:space="0"/>
              <w:bottom w:val="single" w:color="000000" w:sz="4" w:space="0"/>
              <w:right w:val="single" w:color="000000" w:sz="4" w:space="0"/>
            </w:tcBorders>
            <w:vAlign w:val="center"/>
          </w:tcPr>
          <w:p w14:paraId="119C0AF9">
            <w:pPr>
              <w:spacing w:line="240" w:lineRule="auto"/>
              <w:jc w:val="center"/>
            </w:pPr>
            <w:r>
              <w:rPr>
                <w:rFonts w:hint="eastAsia"/>
              </w:rPr>
              <w:t>钠</w:t>
            </w:r>
            <w:r>
              <w:rPr>
                <w:rFonts w:hint="eastAsia"/>
                <w:lang w:val="en-US" w:eastAsia="zh-CN"/>
              </w:rPr>
              <w:t xml:space="preserve">  </w:t>
            </w:r>
            <w:r>
              <w:rPr>
                <w:rFonts w:hint="eastAsia"/>
              </w:rPr>
              <w:t>灯</w:t>
            </w:r>
          </w:p>
        </w:tc>
        <w:tc>
          <w:tcPr>
            <w:tcW w:w="635" w:type="pct"/>
            <w:tcBorders>
              <w:top w:val="single" w:color="000000" w:sz="4" w:space="0"/>
              <w:left w:val="single" w:color="000000" w:sz="4" w:space="0"/>
              <w:bottom w:val="single" w:color="000000" w:sz="4" w:space="0"/>
              <w:right w:val="single" w:color="000000" w:sz="4" w:space="0"/>
            </w:tcBorders>
            <w:vAlign w:val="center"/>
          </w:tcPr>
          <w:p w14:paraId="57DCD441">
            <w:pPr>
              <w:spacing w:line="240" w:lineRule="auto"/>
              <w:jc w:val="center"/>
            </w:pPr>
            <w:r>
              <w:rPr>
                <w:rFonts w:hint="eastAsia"/>
              </w:rPr>
              <w:t>400</w:t>
            </w:r>
          </w:p>
        </w:tc>
        <w:tc>
          <w:tcPr>
            <w:tcW w:w="585" w:type="pct"/>
            <w:tcBorders>
              <w:top w:val="single" w:color="000000" w:sz="4" w:space="0"/>
              <w:left w:val="single" w:color="000000" w:sz="4" w:space="0"/>
              <w:bottom w:val="single" w:color="000000" w:sz="4" w:space="0"/>
              <w:right w:val="single" w:color="000000" w:sz="4" w:space="0"/>
            </w:tcBorders>
            <w:noWrap/>
            <w:vAlign w:val="center"/>
          </w:tcPr>
          <w:p w14:paraId="617C0D0B">
            <w:pPr>
              <w:spacing w:line="240" w:lineRule="auto"/>
              <w:jc w:val="center"/>
            </w:pPr>
            <w:r>
              <w:rPr>
                <w:rFonts w:hint="eastAsia"/>
              </w:rPr>
              <w:t>54</w:t>
            </w:r>
          </w:p>
        </w:tc>
        <w:tc>
          <w:tcPr>
            <w:tcW w:w="1446" w:type="pct"/>
            <w:tcBorders>
              <w:top w:val="single" w:color="000000" w:sz="4" w:space="0"/>
              <w:left w:val="single" w:color="000000" w:sz="4" w:space="0"/>
              <w:bottom w:val="single" w:color="000000" w:sz="4" w:space="0"/>
              <w:right w:val="single" w:color="000000" w:sz="8" w:space="0"/>
            </w:tcBorders>
            <w:noWrap/>
            <w:vAlign w:val="center"/>
          </w:tcPr>
          <w:p w14:paraId="020684A0">
            <w:pPr>
              <w:spacing w:line="240" w:lineRule="auto"/>
            </w:pPr>
          </w:p>
        </w:tc>
      </w:tr>
      <w:tr w14:paraId="6DF7B35F">
        <w:tblPrEx>
          <w:tblCellMar>
            <w:top w:w="0" w:type="dxa"/>
            <w:left w:w="108" w:type="dxa"/>
            <w:bottom w:w="0" w:type="dxa"/>
            <w:right w:w="108" w:type="dxa"/>
          </w:tblCellMar>
        </w:tblPrEx>
        <w:trPr>
          <w:trHeight w:val="850" w:hRule="atLeast"/>
        </w:trPr>
        <w:tc>
          <w:tcPr>
            <w:tcW w:w="457" w:type="pct"/>
            <w:tcBorders>
              <w:top w:val="single" w:color="000000" w:sz="4" w:space="0"/>
              <w:left w:val="single" w:color="000000" w:sz="8" w:space="0"/>
              <w:bottom w:val="single" w:color="000000" w:sz="8" w:space="0"/>
              <w:right w:val="single" w:color="000000" w:sz="4" w:space="0"/>
            </w:tcBorders>
            <w:vAlign w:val="center"/>
          </w:tcPr>
          <w:p w14:paraId="242C62EC">
            <w:r>
              <w:rPr>
                <w:rFonts w:hint="eastAsia"/>
              </w:rPr>
              <w:t>合计</w:t>
            </w:r>
          </w:p>
        </w:tc>
        <w:tc>
          <w:tcPr>
            <w:tcW w:w="1189" w:type="pct"/>
            <w:tcBorders>
              <w:top w:val="single" w:color="000000" w:sz="4" w:space="0"/>
              <w:left w:val="single" w:color="000000" w:sz="4" w:space="0"/>
              <w:bottom w:val="single" w:color="000000" w:sz="8" w:space="0"/>
              <w:right w:val="single" w:color="000000" w:sz="4" w:space="0"/>
            </w:tcBorders>
            <w:vAlign w:val="center"/>
          </w:tcPr>
          <w:p w14:paraId="252D3EFD"/>
        </w:tc>
        <w:tc>
          <w:tcPr>
            <w:tcW w:w="685" w:type="pct"/>
            <w:tcBorders>
              <w:top w:val="single" w:color="000000" w:sz="4" w:space="0"/>
              <w:left w:val="single" w:color="000000" w:sz="4" w:space="0"/>
              <w:bottom w:val="single" w:color="000000" w:sz="8" w:space="0"/>
              <w:right w:val="single" w:color="000000" w:sz="4" w:space="0"/>
            </w:tcBorders>
            <w:vAlign w:val="center"/>
          </w:tcPr>
          <w:p w14:paraId="067BE6DE"/>
        </w:tc>
        <w:tc>
          <w:tcPr>
            <w:tcW w:w="635" w:type="pct"/>
            <w:tcBorders>
              <w:top w:val="single" w:color="000000" w:sz="4" w:space="0"/>
              <w:left w:val="single" w:color="000000" w:sz="4" w:space="0"/>
              <w:bottom w:val="single" w:color="000000" w:sz="8" w:space="0"/>
              <w:right w:val="single" w:color="000000" w:sz="4" w:space="0"/>
            </w:tcBorders>
            <w:vAlign w:val="center"/>
          </w:tcPr>
          <w:p w14:paraId="5F160AD2"/>
        </w:tc>
        <w:tc>
          <w:tcPr>
            <w:tcW w:w="585" w:type="pct"/>
            <w:tcBorders>
              <w:top w:val="single" w:color="000000" w:sz="4" w:space="0"/>
              <w:left w:val="single" w:color="000000" w:sz="4" w:space="0"/>
              <w:bottom w:val="single" w:color="000000" w:sz="8" w:space="0"/>
              <w:right w:val="single" w:color="000000" w:sz="4" w:space="0"/>
            </w:tcBorders>
            <w:noWrap/>
            <w:vAlign w:val="center"/>
          </w:tcPr>
          <w:p w14:paraId="6127357A">
            <w:r>
              <w:rPr>
                <w:rFonts w:hint="eastAsia"/>
              </w:rPr>
              <w:t>3402</w:t>
            </w:r>
          </w:p>
        </w:tc>
        <w:tc>
          <w:tcPr>
            <w:tcW w:w="1446" w:type="pct"/>
            <w:tcBorders>
              <w:top w:val="single" w:color="000000" w:sz="4" w:space="0"/>
              <w:left w:val="single" w:color="000000" w:sz="4" w:space="0"/>
              <w:bottom w:val="single" w:color="000000" w:sz="8" w:space="0"/>
              <w:right w:val="single" w:color="000000" w:sz="8" w:space="0"/>
            </w:tcBorders>
            <w:noWrap/>
            <w:vAlign w:val="center"/>
          </w:tcPr>
          <w:p w14:paraId="01CFF262"/>
        </w:tc>
      </w:tr>
    </w:tbl>
    <w:p w14:paraId="77295B60"/>
    <w:p w14:paraId="4089924C"/>
    <w:p w14:paraId="29BD834C"/>
    <w:p w14:paraId="7ABDDD99"/>
    <w:p w14:paraId="01FD54F3"/>
    <w:p w14:paraId="7122D1E8"/>
    <w:p w14:paraId="0E2E6A8C"/>
    <w:tbl>
      <w:tblPr>
        <w:tblStyle w:val="60"/>
        <w:tblW w:w="4861" w:type="pct"/>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2842"/>
        <w:gridCol w:w="2686"/>
        <w:gridCol w:w="879"/>
        <w:gridCol w:w="1203"/>
        <w:gridCol w:w="1334"/>
      </w:tblGrid>
      <w:tr w14:paraId="5F7D7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B8DE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隧道灯具设备清单</w:t>
            </w:r>
          </w:p>
        </w:tc>
      </w:tr>
      <w:tr w14:paraId="5A6AC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0A6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008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线路名称</w:t>
            </w:r>
          </w:p>
        </w:tc>
        <w:tc>
          <w:tcPr>
            <w:tcW w:w="318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A0E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隧道信息</w:t>
            </w:r>
          </w:p>
        </w:tc>
      </w:tr>
      <w:tr w14:paraId="24929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F7F3">
            <w:pPr>
              <w:jc w:val="both"/>
              <w:rPr>
                <w:rFonts w:hint="eastAsia" w:ascii="宋体" w:hAnsi="宋体" w:eastAsia="宋体" w:cs="宋体"/>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1498">
            <w:pPr>
              <w:jc w:val="both"/>
              <w:rPr>
                <w:rFonts w:hint="eastAsia" w:ascii="宋体" w:hAnsi="宋体" w:eastAsia="宋体" w:cs="宋体"/>
                <w:i w:val="0"/>
                <w:iCs w:val="0"/>
                <w:color w:val="000000"/>
                <w:sz w:val="21"/>
                <w:szCs w:val="21"/>
                <w:u w:val="none"/>
              </w:rPr>
            </w:pP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D03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隧道名称</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B6C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方向</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19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EF27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灯具种类</w:t>
            </w:r>
          </w:p>
        </w:tc>
      </w:tr>
      <w:tr w14:paraId="6551D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092C1">
            <w:pPr>
              <w:jc w:val="both"/>
              <w:rPr>
                <w:rFonts w:hint="eastAsia" w:ascii="宋体" w:hAnsi="宋体" w:eastAsia="宋体" w:cs="宋体"/>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352A">
            <w:pPr>
              <w:jc w:val="both"/>
              <w:rPr>
                <w:rFonts w:hint="eastAsia" w:ascii="宋体" w:hAnsi="宋体" w:eastAsia="宋体" w:cs="宋体"/>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C729">
            <w:pPr>
              <w:jc w:val="both"/>
              <w:rPr>
                <w:rFonts w:hint="eastAsia" w:ascii="宋体" w:hAnsi="宋体" w:eastAsia="宋体" w:cs="宋体"/>
                <w:i w:val="0"/>
                <w:iCs w:val="0"/>
                <w:color w:val="000000"/>
                <w:sz w:val="21"/>
                <w:szCs w:val="21"/>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583F4">
            <w:pPr>
              <w:jc w:val="both"/>
              <w:rPr>
                <w:rFonts w:hint="eastAsia" w:ascii="宋体" w:hAnsi="宋体" w:eastAsia="宋体" w:cs="宋体"/>
                <w:i w:val="0"/>
                <w:iCs w:val="0"/>
                <w:color w:val="000000"/>
                <w:sz w:val="21"/>
                <w:szCs w:val="21"/>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4A707">
            <w:pPr>
              <w:jc w:val="center"/>
              <w:rPr>
                <w:rFonts w:hint="eastAsia" w:ascii="宋体" w:hAnsi="宋体" w:eastAsia="宋体" w:cs="宋体"/>
                <w:i w:val="0"/>
                <w:iCs w:val="0"/>
                <w:color w:val="000000"/>
                <w:sz w:val="21"/>
                <w:szCs w:val="21"/>
                <w:u w:val="none"/>
              </w:rPr>
            </w:pP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277DD">
            <w:pPr>
              <w:jc w:val="center"/>
              <w:rPr>
                <w:rFonts w:hint="eastAsia" w:ascii="宋体" w:hAnsi="宋体" w:eastAsia="宋体" w:cs="宋体"/>
                <w:i w:val="0"/>
                <w:iCs w:val="0"/>
                <w:color w:val="000000"/>
                <w:sz w:val="21"/>
                <w:szCs w:val="21"/>
                <w:u w:val="none"/>
              </w:rPr>
            </w:pPr>
          </w:p>
        </w:tc>
      </w:tr>
      <w:tr w14:paraId="5B82D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D6D7">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A30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436"/>
                <w:rFonts w:eastAsia="宋体"/>
                <w:lang w:val="en-US" w:eastAsia="zh-CN" w:bidi="ar"/>
              </w:rPr>
              <w:t>G329</w:t>
            </w:r>
            <w:r>
              <w:rPr>
                <w:rStyle w:val="320"/>
                <w:lang w:val="en-US" w:eastAsia="zh-CN" w:bidi="ar"/>
              </w:rPr>
              <w:t>（定海段）</w:t>
            </w: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1D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老塘山隧道</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70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6B77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382</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5EAB">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2AE43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1E31">
            <w:pPr>
              <w:jc w:val="left"/>
              <w:rPr>
                <w:rFonts w:hint="default" w:ascii="Times New Roman" w:hAnsi="Times New Roman" w:eastAsia="宋体" w:cs="Times New Roman"/>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1340">
            <w:pPr>
              <w:jc w:val="both"/>
              <w:rPr>
                <w:rFonts w:hint="default" w:ascii="Times New Roman" w:hAnsi="Times New Roman" w:eastAsia="宋体" w:cs="Times New Roman"/>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BAE6">
            <w:pPr>
              <w:jc w:val="left"/>
              <w:rPr>
                <w:rFonts w:hint="eastAsia" w:ascii="宋体" w:hAnsi="宋体" w:eastAsia="宋体" w:cs="宋体"/>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2E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BAF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378</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6FA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11961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88DDA">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854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436"/>
                <w:rFonts w:eastAsia="宋体"/>
                <w:lang w:val="en-US" w:eastAsia="zh-CN" w:bidi="ar"/>
              </w:rPr>
              <w:t>G526</w:t>
            </w:r>
            <w:r>
              <w:rPr>
                <w:rStyle w:val="320"/>
                <w:lang w:val="en-US" w:eastAsia="zh-CN" w:bidi="ar"/>
              </w:rPr>
              <w:t>（定海段）</w:t>
            </w: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29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黄高岭隧道</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6D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B02B">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A83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无极灯</w:t>
            </w:r>
          </w:p>
        </w:tc>
      </w:tr>
      <w:tr w14:paraId="61BD4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2E95">
            <w:pPr>
              <w:jc w:val="left"/>
              <w:rPr>
                <w:rFonts w:hint="default" w:ascii="Times New Roman" w:hAnsi="Times New Roman" w:eastAsia="宋体" w:cs="Times New Roman"/>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F209">
            <w:pPr>
              <w:jc w:val="both"/>
              <w:rPr>
                <w:rFonts w:hint="default" w:ascii="Times New Roman" w:hAnsi="Times New Roman" w:eastAsia="宋体" w:cs="Times New Roman"/>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5B61">
            <w:pPr>
              <w:jc w:val="left"/>
              <w:rPr>
                <w:rFonts w:hint="eastAsia" w:ascii="宋体" w:hAnsi="宋体" w:eastAsia="宋体" w:cs="宋体"/>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5A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5AC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76F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无极灯</w:t>
            </w:r>
          </w:p>
        </w:tc>
      </w:tr>
      <w:tr w14:paraId="1593F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1BBA">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35B70">
            <w:pPr>
              <w:jc w:val="both"/>
              <w:rPr>
                <w:rFonts w:hint="default" w:ascii="Times New Roman" w:hAnsi="Times New Roman" w:eastAsia="宋体" w:cs="Times New Roman"/>
                <w:i w:val="0"/>
                <w:iCs w:val="0"/>
                <w:color w:val="000000"/>
                <w:sz w:val="21"/>
                <w:szCs w:val="21"/>
                <w:u w:val="none"/>
              </w:rPr>
            </w:pP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A08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红星隧道</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8BD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72C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88</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223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无极灯</w:t>
            </w:r>
          </w:p>
        </w:tc>
      </w:tr>
      <w:tr w14:paraId="1B467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6D53">
            <w:pPr>
              <w:jc w:val="left"/>
              <w:rPr>
                <w:rFonts w:hint="default" w:ascii="Times New Roman" w:hAnsi="Times New Roman" w:eastAsia="宋体" w:cs="Times New Roman"/>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782A6">
            <w:pPr>
              <w:jc w:val="both"/>
              <w:rPr>
                <w:rFonts w:hint="default" w:ascii="Times New Roman" w:hAnsi="Times New Roman" w:eastAsia="宋体" w:cs="Times New Roman"/>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64FD">
            <w:pPr>
              <w:jc w:val="left"/>
              <w:rPr>
                <w:rFonts w:hint="eastAsia" w:ascii="宋体" w:hAnsi="宋体" w:eastAsia="宋体" w:cs="宋体"/>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45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BB5A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86</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D090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无极灯</w:t>
            </w:r>
          </w:p>
        </w:tc>
      </w:tr>
      <w:tr w14:paraId="20E9C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213A1">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4FBE">
            <w:pPr>
              <w:jc w:val="both"/>
              <w:rPr>
                <w:rFonts w:hint="default" w:ascii="Times New Roman" w:hAnsi="Times New Roman" w:eastAsia="宋体" w:cs="Times New Roman"/>
                <w:i w:val="0"/>
                <w:iCs w:val="0"/>
                <w:color w:val="000000"/>
                <w:sz w:val="21"/>
                <w:szCs w:val="21"/>
                <w:u w:val="none"/>
              </w:rPr>
            </w:pP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18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大湾岗隧道</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33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61B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526</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E83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75A9A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2F7FA">
            <w:pPr>
              <w:jc w:val="left"/>
              <w:rPr>
                <w:rFonts w:hint="default" w:ascii="Times New Roman" w:hAnsi="Times New Roman" w:eastAsia="宋体" w:cs="Times New Roman"/>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F1990">
            <w:pPr>
              <w:jc w:val="both"/>
              <w:rPr>
                <w:rFonts w:hint="default" w:ascii="Times New Roman" w:hAnsi="Times New Roman" w:eastAsia="宋体" w:cs="Times New Roman"/>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15E6">
            <w:pPr>
              <w:jc w:val="left"/>
              <w:rPr>
                <w:rFonts w:hint="eastAsia" w:ascii="宋体" w:hAnsi="宋体" w:eastAsia="宋体" w:cs="宋体"/>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A75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90C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536</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43C8">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2F835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9582">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1D36">
            <w:pPr>
              <w:jc w:val="both"/>
              <w:rPr>
                <w:rFonts w:hint="default" w:ascii="Times New Roman" w:hAnsi="Times New Roman" w:eastAsia="宋体" w:cs="Times New Roman"/>
                <w:i w:val="0"/>
                <w:iCs w:val="0"/>
                <w:color w:val="000000"/>
                <w:sz w:val="21"/>
                <w:szCs w:val="21"/>
                <w:u w:val="none"/>
              </w:rPr>
            </w:pP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A7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平石岭隧道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0CB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E51B">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14207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E682">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A95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436"/>
                <w:rFonts w:eastAsia="宋体"/>
                <w:lang w:val="en-US" w:eastAsia="zh-CN" w:bidi="ar"/>
              </w:rPr>
              <w:t>S308</w:t>
            </w:r>
            <w:r>
              <w:rPr>
                <w:rStyle w:val="320"/>
                <w:lang w:val="en-US" w:eastAsia="zh-CN" w:bidi="ar"/>
              </w:rPr>
              <w:t>（定海段）</w:t>
            </w: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858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茶岭隧道</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4F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54F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978F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31EA4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00D0">
            <w:pPr>
              <w:jc w:val="left"/>
              <w:rPr>
                <w:rFonts w:hint="default" w:ascii="Times New Roman" w:hAnsi="Times New Roman" w:eastAsia="宋体" w:cs="Times New Roman"/>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2664">
            <w:pPr>
              <w:jc w:val="left"/>
              <w:rPr>
                <w:rFonts w:hint="default" w:ascii="Times New Roman" w:hAnsi="Times New Roman" w:eastAsia="宋体" w:cs="Times New Roman"/>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9F59">
            <w:pPr>
              <w:jc w:val="left"/>
              <w:rPr>
                <w:rFonts w:hint="eastAsia" w:ascii="宋体" w:hAnsi="宋体" w:eastAsia="宋体" w:cs="宋体"/>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F8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583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208</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85B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52200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8600">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AA34">
            <w:pPr>
              <w:jc w:val="left"/>
              <w:rPr>
                <w:rFonts w:hint="default" w:ascii="Times New Roman" w:hAnsi="Times New Roman" w:eastAsia="宋体" w:cs="Times New Roman"/>
                <w:i w:val="0"/>
                <w:iCs w:val="0"/>
                <w:color w:val="000000"/>
                <w:sz w:val="21"/>
                <w:szCs w:val="21"/>
                <w:u w:val="none"/>
              </w:rPr>
            </w:pP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2C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小展隧道</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95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DFC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154</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FC7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20A29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FEED">
            <w:pPr>
              <w:jc w:val="left"/>
              <w:rPr>
                <w:rFonts w:hint="default" w:ascii="Times New Roman" w:hAnsi="Times New Roman" w:eastAsia="宋体" w:cs="Times New Roman"/>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3024">
            <w:pPr>
              <w:jc w:val="left"/>
              <w:rPr>
                <w:rFonts w:hint="default" w:ascii="Times New Roman" w:hAnsi="Times New Roman" w:eastAsia="宋体" w:cs="Times New Roman"/>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C076">
            <w:pPr>
              <w:jc w:val="left"/>
              <w:rPr>
                <w:rFonts w:hint="eastAsia" w:ascii="宋体" w:hAnsi="宋体" w:eastAsia="宋体" w:cs="宋体"/>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58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1B4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281</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C92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534D3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98B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C0AB">
            <w:pPr>
              <w:jc w:val="left"/>
              <w:rPr>
                <w:rFonts w:hint="default" w:ascii="Times New Roman" w:hAnsi="Times New Roman" w:eastAsia="宋体" w:cs="Times New Roman"/>
                <w:i w:val="0"/>
                <w:iCs w:val="0"/>
                <w:color w:val="000000"/>
                <w:sz w:val="21"/>
                <w:szCs w:val="21"/>
                <w:u w:val="none"/>
              </w:rPr>
            </w:pP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A2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摩鼻岭隧道</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83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92A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134</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7D4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56B86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9995">
            <w:pPr>
              <w:jc w:val="left"/>
              <w:rPr>
                <w:rFonts w:hint="default" w:ascii="Times New Roman" w:hAnsi="Times New Roman" w:eastAsia="宋体" w:cs="Times New Roman"/>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B15B">
            <w:pPr>
              <w:jc w:val="left"/>
              <w:rPr>
                <w:rFonts w:hint="default" w:ascii="Times New Roman" w:hAnsi="Times New Roman" w:eastAsia="宋体" w:cs="Times New Roman"/>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EC0D">
            <w:pPr>
              <w:jc w:val="left"/>
              <w:rPr>
                <w:rFonts w:hint="eastAsia" w:ascii="宋体" w:hAnsi="宋体" w:eastAsia="宋体" w:cs="宋体"/>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7B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196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165</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D58E">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2EC55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906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37D9">
            <w:pPr>
              <w:jc w:val="left"/>
              <w:rPr>
                <w:rFonts w:hint="default" w:ascii="Times New Roman" w:hAnsi="Times New Roman" w:eastAsia="宋体" w:cs="Times New Roman"/>
                <w:i w:val="0"/>
                <w:iCs w:val="0"/>
                <w:color w:val="000000"/>
                <w:sz w:val="21"/>
                <w:szCs w:val="21"/>
                <w:u w:val="none"/>
              </w:rPr>
            </w:pP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AE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柯梅岭隧道</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97C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A89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252</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904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2098B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C5D3">
            <w:pPr>
              <w:jc w:val="left"/>
              <w:rPr>
                <w:rFonts w:hint="default" w:ascii="Times New Roman" w:hAnsi="Times New Roman" w:eastAsia="宋体" w:cs="Times New Roman"/>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34D1">
            <w:pPr>
              <w:jc w:val="left"/>
              <w:rPr>
                <w:rFonts w:hint="default" w:ascii="Times New Roman" w:hAnsi="Times New Roman" w:eastAsia="宋体" w:cs="Times New Roman"/>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4217">
            <w:pPr>
              <w:jc w:val="left"/>
              <w:rPr>
                <w:rFonts w:hint="eastAsia" w:ascii="宋体" w:hAnsi="宋体" w:eastAsia="宋体" w:cs="宋体"/>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8B4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AAF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216</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116E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48736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6B5A">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69DB">
            <w:pPr>
              <w:jc w:val="left"/>
              <w:rPr>
                <w:rFonts w:hint="default" w:ascii="Times New Roman" w:hAnsi="Times New Roman" w:eastAsia="宋体" w:cs="Times New Roman"/>
                <w:i w:val="0"/>
                <w:iCs w:val="0"/>
                <w:color w:val="000000"/>
                <w:sz w:val="21"/>
                <w:szCs w:val="21"/>
                <w:u w:val="none"/>
              </w:rPr>
            </w:pP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63B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东皋岭隧道</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72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873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276</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7CC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089FF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74422">
            <w:pPr>
              <w:jc w:val="left"/>
              <w:rPr>
                <w:rFonts w:hint="default" w:ascii="Times New Roman" w:hAnsi="Times New Roman" w:eastAsia="宋体" w:cs="Times New Roman"/>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F2DE8">
            <w:pPr>
              <w:jc w:val="left"/>
              <w:rPr>
                <w:rFonts w:hint="default" w:ascii="Times New Roman" w:hAnsi="Times New Roman" w:eastAsia="宋体" w:cs="Times New Roman"/>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072B2">
            <w:pPr>
              <w:jc w:val="left"/>
              <w:rPr>
                <w:rFonts w:hint="eastAsia" w:ascii="宋体" w:hAnsi="宋体" w:eastAsia="宋体" w:cs="宋体"/>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01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CE9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314</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293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74C0E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1A92">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7B40">
            <w:pPr>
              <w:jc w:val="left"/>
              <w:rPr>
                <w:rFonts w:hint="default" w:ascii="Times New Roman" w:hAnsi="Times New Roman" w:eastAsia="宋体" w:cs="Times New Roman"/>
                <w:i w:val="0"/>
                <w:iCs w:val="0"/>
                <w:color w:val="000000"/>
                <w:sz w:val="21"/>
                <w:szCs w:val="21"/>
                <w:u w:val="none"/>
              </w:rPr>
            </w:pP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CDE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小岭隧道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F30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673F8">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482C0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DC3F0">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E06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Style w:val="436"/>
                <w:rFonts w:eastAsia="宋体"/>
                <w:lang w:val="en-US" w:eastAsia="zh-CN" w:bidi="ar"/>
              </w:rPr>
              <w:t>S201</w:t>
            </w:r>
            <w:r>
              <w:rPr>
                <w:rStyle w:val="320"/>
                <w:lang w:val="en-US" w:eastAsia="zh-CN" w:bidi="ar"/>
              </w:rPr>
              <w:t>（定海段）</w:t>
            </w: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2B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太平岗隧道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B4F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316</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3C3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无极灯</w:t>
            </w:r>
          </w:p>
        </w:tc>
      </w:tr>
      <w:tr w14:paraId="39D5D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CB16">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A78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东河线</w:t>
            </w: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A2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方岭隧道</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EC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102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FB9B">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43019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0441">
            <w:pPr>
              <w:jc w:val="left"/>
              <w:rPr>
                <w:rFonts w:hint="default" w:ascii="Times New Roman" w:hAnsi="Times New Roman" w:eastAsia="宋体" w:cs="Times New Roman"/>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C2E8">
            <w:pPr>
              <w:jc w:val="both"/>
              <w:rPr>
                <w:rFonts w:hint="eastAsia" w:ascii="宋体" w:hAnsi="宋体" w:eastAsia="宋体" w:cs="宋体"/>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11B9">
            <w:pPr>
              <w:jc w:val="left"/>
              <w:rPr>
                <w:rFonts w:hint="eastAsia" w:ascii="宋体" w:hAnsi="宋体" w:eastAsia="宋体" w:cs="宋体"/>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37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32B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25B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2956A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D7A3">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919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定南线</w:t>
            </w: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24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东南隧道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272B">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785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084A2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852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ECA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双小线</w:t>
            </w: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D8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小龙山隧道一号</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17E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6B695">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062D0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2715B">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C86F">
            <w:pPr>
              <w:jc w:val="both"/>
              <w:rPr>
                <w:rFonts w:hint="eastAsia" w:ascii="宋体" w:hAnsi="宋体" w:eastAsia="宋体" w:cs="宋体"/>
                <w:i w:val="0"/>
                <w:iCs w:val="0"/>
                <w:color w:val="000000"/>
                <w:sz w:val="21"/>
                <w:szCs w:val="21"/>
                <w:u w:val="none"/>
              </w:rPr>
            </w:pP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B6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小龙山隧道二号</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F320">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C4D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6B07C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DD8B">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58354">
            <w:pPr>
              <w:jc w:val="both"/>
              <w:rPr>
                <w:rFonts w:hint="eastAsia" w:ascii="宋体" w:hAnsi="宋体" w:eastAsia="宋体" w:cs="宋体"/>
                <w:i w:val="0"/>
                <w:iCs w:val="0"/>
                <w:color w:val="000000"/>
                <w:sz w:val="21"/>
                <w:szCs w:val="21"/>
                <w:u w:val="none"/>
              </w:rPr>
            </w:pP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89F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大岭隧道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D48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148</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444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52171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D621">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C490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雅惠线</w:t>
            </w: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4F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老虎山隧道</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B0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15C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192</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44B5">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656CA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51A3">
            <w:pPr>
              <w:jc w:val="left"/>
              <w:rPr>
                <w:rFonts w:hint="default" w:ascii="Times New Roman" w:hAnsi="Times New Roman" w:eastAsia="宋体" w:cs="Times New Roman"/>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BDAC">
            <w:pPr>
              <w:jc w:val="both"/>
              <w:rPr>
                <w:rFonts w:hint="eastAsia" w:ascii="宋体" w:hAnsi="宋体" w:eastAsia="宋体" w:cs="宋体"/>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B414">
            <w:pPr>
              <w:jc w:val="left"/>
              <w:rPr>
                <w:rFonts w:hint="eastAsia" w:ascii="宋体" w:hAnsi="宋体" w:eastAsia="宋体" w:cs="宋体"/>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17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B2C65">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234</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1C7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11C39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697D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2CC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临北线</w:t>
            </w: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F4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尖峰岗隧道</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72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690E">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1130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8CF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3C86A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90321">
            <w:pPr>
              <w:jc w:val="left"/>
              <w:rPr>
                <w:rFonts w:hint="default" w:ascii="Times New Roman" w:hAnsi="Times New Roman" w:eastAsia="宋体" w:cs="Times New Roman"/>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5786">
            <w:pPr>
              <w:jc w:val="both"/>
              <w:rPr>
                <w:rFonts w:hint="eastAsia" w:ascii="宋体" w:hAnsi="宋体" w:eastAsia="宋体" w:cs="宋体"/>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90A7">
            <w:pPr>
              <w:jc w:val="left"/>
              <w:rPr>
                <w:rFonts w:hint="eastAsia" w:ascii="宋体" w:hAnsi="宋体" w:eastAsia="宋体" w:cs="宋体"/>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BF1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3C5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1122</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7C7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25556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FC6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148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小岑线</w:t>
            </w: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E2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小沙岭隧道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0B5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52B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58702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533B">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09FB">
            <w:pPr>
              <w:jc w:val="both"/>
              <w:rPr>
                <w:rFonts w:hint="eastAsia" w:ascii="宋体" w:hAnsi="宋体" w:eastAsia="宋体" w:cs="宋体"/>
                <w:i w:val="0"/>
                <w:iCs w:val="0"/>
                <w:color w:val="000000"/>
                <w:sz w:val="21"/>
                <w:szCs w:val="21"/>
                <w:u w:val="none"/>
              </w:rPr>
            </w:pP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1A9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大山岗隧道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917B">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163</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5D7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762D0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DA3A">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B0C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干马线</w:t>
            </w: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78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羊山隧道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400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342</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6A4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203BA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8AF3">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8C38">
            <w:pPr>
              <w:jc w:val="both"/>
              <w:rPr>
                <w:rFonts w:hint="eastAsia" w:ascii="宋体" w:hAnsi="宋体" w:eastAsia="宋体" w:cs="宋体"/>
                <w:i w:val="0"/>
                <w:iCs w:val="0"/>
                <w:color w:val="000000"/>
                <w:sz w:val="21"/>
                <w:szCs w:val="21"/>
                <w:u w:val="none"/>
              </w:rPr>
            </w:pP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D9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东夹岙隧道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186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94D7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49E30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1AA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108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马黄线</w:t>
            </w: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B2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高场墩隧道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0300">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E0C0">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375DD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77B7">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FC3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定马线</w:t>
            </w:r>
          </w:p>
        </w:tc>
        <w:tc>
          <w:tcPr>
            <w:tcW w:w="14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D5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叉河岭隧道</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F0E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AEF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248</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457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36BA6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109B">
            <w:pPr>
              <w:jc w:val="left"/>
              <w:rPr>
                <w:rFonts w:hint="default" w:ascii="Times New Roman" w:hAnsi="Times New Roman" w:eastAsia="宋体" w:cs="Times New Roman"/>
                <w:i w:val="0"/>
                <w:iCs w:val="0"/>
                <w:color w:val="000000"/>
                <w:sz w:val="21"/>
                <w:szCs w:val="21"/>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25C5">
            <w:pPr>
              <w:jc w:val="both"/>
              <w:rPr>
                <w:rFonts w:hint="eastAsia" w:ascii="宋体" w:hAnsi="宋体" w:eastAsia="宋体" w:cs="宋体"/>
                <w:i w:val="0"/>
                <w:iCs w:val="0"/>
                <w:color w:val="000000"/>
                <w:sz w:val="21"/>
                <w:szCs w:val="21"/>
                <w:u w:val="none"/>
              </w:rPr>
            </w:pPr>
          </w:p>
        </w:tc>
        <w:tc>
          <w:tcPr>
            <w:tcW w:w="14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0A4A">
            <w:pPr>
              <w:jc w:val="left"/>
              <w:rPr>
                <w:rFonts w:hint="eastAsia" w:ascii="宋体" w:hAnsi="宋体" w:eastAsia="宋体" w:cs="宋体"/>
                <w:i w:val="0"/>
                <w:iCs w:val="0"/>
                <w:color w:val="000000"/>
                <w:sz w:val="21"/>
                <w:szCs w:val="21"/>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2E3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80CB">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250</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3217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26F74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E2A7">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A5C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外屋线</w:t>
            </w: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40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屋基园隧道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B87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103</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88D0">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096FA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5DE0E">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FB7B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皋金线</w:t>
            </w: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125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金林隧道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668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224</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38D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无极灯</w:t>
            </w:r>
          </w:p>
        </w:tc>
      </w:tr>
      <w:tr w14:paraId="52189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27A6">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EA2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门大线</w:t>
            </w:r>
          </w:p>
        </w:tc>
        <w:tc>
          <w:tcPr>
            <w:tcW w:w="1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98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龙潭坑隧道</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027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012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LED</w:t>
            </w:r>
          </w:p>
        </w:tc>
      </w:tr>
      <w:tr w14:paraId="152A6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BC41C">
            <w:pPr>
              <w:jc w:val="both"/>
              <w:rPr>
                <w:rFonts w:hint="default" w:ascii="Times New Roman" w:hAnsi="Times New Roman" w:eastAsia="宋体" w:cs="Times New Roman"/>
                <w:i w:val="0"/>
                <w:iCs w:val="0"/>
                <w:color w:val="000000"/>
                <w:sz w:val="21"/>
                <w:szCs w:val="21"/>
                <w:u w:val="none"/>
              </w:rPr>
            </w:pPr>
          </w:p>
        </w:tc>
        <w:tc>
          <w:tcPr>
            <w:tcW w:w="33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B7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E7A5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11268</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0B3B">
            <w:pPr>
              <w:rPr>
                <w:rFonts w:hint="eastAsia" w:ascii="宋体" w:hAnsi="宋体" w:eastAsia="宋体" w:cs="宋体"/>
                <w:i w:val="0"/>
                <w:iCs w:val="0"/>
                <w:color w:val="000000"/>
                <w:sz w:val="22"/>
                <w:szCs w:val="22"/>
                <w:u w:val="none"/>
              </w:rPr>
            </w:pPr>
          </w:p>
        </w:tc>
      </w:tr>
    </w:tbl>
    <w:p w14:paraId="3B9C53B0">
      <w:pPr>
        <w:pStyle w:val="55"/>
        <w:snapToGrid w:val="0"/>
        <w:spacing w:line="360" w:lineRule="auto"/>
        <w:ind w:left="640" w:hanging="220"/>
        <w:rPr>
          <w:rFonts w:hAnsi="Times New Roman"/>
          <w:kern w:val="2"/>
          <w:sz w:val="22"/>
          <w:szCs w:val="22"/>
        </w:rPr>
      </w:pPr>
    </w:p>
    <w:p w14:paraId="5CF5D482">
      <w:pPr>
        <w:pStyle w:val="55"/>
        <w:snapToGrid w:val="0"/>
        <w:spacing w:line="360" w:lineRule="auto"/>
        <w:ind w:left="640" w:hanging="220"/>
        <w:rPr>
          <w:rFonts w:hAnsi="Times New Roman"/>
          <w:kern w:val="2"/>
          <w:sz w:val="22"/>
          <w:szCs w:val="22"/>
        </w:rPr>
      </w:pPr>
    </w:p>
    <w:p w14:paraId="17B747C6">
      <w:pPr>
        <w:pStyle w:val="55"/>
        <w:snapToGrid w:val="0"/>
        <w:spacing w:line="360" w:lineRule="auto"/>
        <w:ind w:left="640" w:hanging="220"/>
        <w:rPr>
          <w:rFonts w:hAnsi="Times New Roman"/>
          <w:kern w:val="2"/>
          <w:sz w:val="22"/>
          <w:szCs w:val="22"/>
        </w:rPr>
      </w:pPr>
    </w:p>
    <w:p w14:paraId="3D108A2A">
      <w:pPr>
        <w:pStyle w:val="55"/>
        <w:snapToGrid w:val="0"/>
        <w:spacing w:line="360" w:lineRule="auto"/>
        <w:ind w:left="640" w:hanging="220"/>
        <w:rPr>
          <w:rFonts w:hAnsi="Times New Roman"/>
          <w:kern w:val="2"/>
          <w:sz w:val="22"/>
          <w:szCs w:val="22"/>
        </w:rPr>
      </w:pPr>
    </w:p>
    <w:p w14:paraId="43185CA9">
      <w:pPr>
        <w:pStyle w:val="55"/>
        <w:snapToGrid w:val="0"/>
        <w:spacing w:line="360" w:lineRule="auto"/>
        <w:ind w:left="640" w:hanging="220"/>
        <w:rPr>
          <w:rFonts w:hAnsi="Times New Roman"/>
          <w:kern w:val="2"/>
          <w:sz w:val="22"/>
          <w:szCs w:val="22"/>
        </w:rPr>
      </w:pPr>
    </w:p>
    <w:p w14:paraId="435FCCBD">
      <w:pPr>
        <w:pStyle w:val="55"/>
        <w:snapToGrid w:val="0"/>
        <w:spacing w:line="360" w:lineRule="auto"/>
        <w:ind w:left="640" w:hanging="220"/>
        <w:rPr>
          <w:rFonts w:hAnsi="Times New Roman"/>
          <w:kern w:val="2"/>
          <w:sz w:val="22"/>
          <w:szCs w:val="22"/>
        </w:rPr>
      </w:pPr>
    </w:p>
    <w:p w14:paraId="70825575">
      <w:pPr>
        <w:pStyle w:val="55"/>
        <w:snapToGrid w:val="0"/>
        <w:spacing w:line="360" w:lineRule="auto"/>
        <w:ind w:left="640" w:hanging="220"/>
        <w:rPr>
          <w:rFonts w:hAnsi="Times New Roman"/>
          <w:kern w:val="2"/>
          <w:sz w:val="22"/>
          <w:szCs w:val="22"/>
        </w:rPr>
      </w:pPr>
    </w:p>
    <w:p w14:paraId="5C57FB64">
      <w:pPr>
        <w:pStyle w:val="55"/>
        <w:snapToGrid w:val="0"/>
        <w:spacing w:line="360" w:lineRule="auto"/>
        <w:ind w:left="640" w:hanging="220"/>
        <w:rPr>
          <w:rFonts w:hAnsi="Times New Roman"/>
          <w:kern w:val="2"/>
          <w:sz w:val="22"/>
          <w:szCs w:val="22"/>
        </w:rPr>
      </w:pPr>
    </w:p>
    <w:p w14:paraId="52B016D7">
      <w:pPr>
        <w:pStyle w:val="55"/>
        <w:snapToGrid w:val="0"/>
        <w:spacing w:line="360" w:lineRule="auto"/>
        <w:ind w:left="640" w:hanging="220"/>
        <w:rPr>
          <w:rFonts w:hAnsi="Times New Roman"/>
          <w:kern w:val="2"/>
          <w:sz w:val="22"/>
          <w:szCs w:val="22"/>
        </w:rPr>
      </w:pPr>
    </w:p>
    <w:p w14:paraId="42AFFE4E">
      <w:pPr>
        <w:pStyle w:val="55"/>
        <w:snapToGrid w:val="0"/>
        <w:spacing w:line="360" w:lineRule="auto"/>
        <w:ind w:left="640" w:hanging="220"/>
        <w:rPr>
          <w:rFonts w:hAnsi="Times New Roman"/>
          <w:kern w:val="2"/>
          <w:sz w:val="22"/>
          <w:szCs w:val="22"/>
        </w:rPr>
      </w:pPr>
    </w:p>
    <w:p w14:paraId="70FF2B6E">
      <w:pPr>
        <w:pStyle w:val="55"/>
        <w:snapToGrid w:val="0"/>
        <w:spacing w:line="360" w:lineRule="auto"/>
        <w:ind w:left="640" w:hanging="220"/>
        <w:rPr>
          <w:rFonts w:hAnsi="Times New Roman"/>
          <w:kern w:val="2"/>
          <w:sz w:val="22"/>
          <w:szCs w:val="22"/>
        </w:rPr>
      </w:pPr>
    </w:p>
    <w:p w14:paraId="0283F0F3">
      <w:pPr>
        <w:pStyle w:val="55"/>
        <w:snapToGrid w:val="0"/>
        <w:spacing w:line="360" w:lineRule="auto"/>
        <w:ind w:left="640" w:hanging="220"/>
        <w:rPr>
          <w:rFonts w:hAnsi="Times New Roman"/>
          <w:kern w:val="2"/>
          <w:sz w:val="22"/>
          <w:szCs w:val="22"/>
        </w:rPr>
      </w:pPr>
    </w:p>
    <w:p w14:paraId="0192C8CF">
      <w:pPr>
        <w:pStyle w:val="55"/>
        <w:snapToGrid w:val="0"/>
        <w:spacing w:line="360" w:lineRule="auto"/>
        <w:ind w:left="640" w:hanging="220"/>
        <w:rPr>
          <w:rFonts w:hAnsi="Times New Roman"/>
          <w:kern w:val="2"/>
          <w:sz w:val="22"/>
          <w:szCs w:val="22"/>
        </w:rPr>
      </w:pPr>
    </w:p>
    <w:p w14:paraId="01E63D8B">
      <w:pPr>
        <w:pStyle w:val="4"/>
        <w:tabs>
          <w:tab w:val="left" w:pos="567"/>
        </w:tabs>
        <w:spacing w:before="120" w:after="120"/>
        <w:jc w:val="left"/>
        <w:rPr>
          <w:rFonts w:hint="eastAsia"/>
        </w:rPr>
      </w:pPr>
      <w:bookmarkStart w:id="51" w:name="_Toc16218"/>
      <w:r>
        <w:rPr>
          <w:rFonts w:hint="eastAsia"/>
        </w:rPr>
        <w:t>附件2</w:t>
      </w:r>
    </w:p>
    <w:p w14:paraId="71A647A9">
      <w:pPr>
        <w:pStyle w:val="32"/>
        <w:tabs>
          <w:tab w:val="left" w:pos="540"/>
        </w:tabs>
        <w:adjustRightInd w:val="0"/>
        <w:snapToGrid w:val="0"/>
        <w:spacing w:line="480" w:lineRule="exact"/>
        <w:ind w:left="420" w:firstLine="482" w:firstLineChars="150"/>
        <w:jc w:val="center"/>
        <w:rPr>
          <w:sz w:val="36"/>
          <w:szCs w:val="36"/>
        </w:rPr>
      </w:pPr>
      <w:r>
        <w:rPr>
          <w:rFonts w:hint="eastAsia" w:hAnsi="宋体" w:cs="宋体"/>
          <w:b/>
          <w:bCs/>
          <w:sz w:val="32"/>
          <w:szCs w:val="32"/>
        </w:rPr>
        <w:t>能源托管考核办法</w:t>
      </w:r>
    </w:p>
    <w:tbl>
      <w:tblPr>
        <w:tblStyle w:val="60"/>
        <w:tblW w:w="9646" w:type="dxa"/>
        <w:jc w:val="center"/>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15" w:type="dxa"/>
          <w:left w:w="15" w:type="dxa"/>
          <w:bottom w:w="15" w:type="dxa"/>
          <w:right w:w="15" w:type="dxa"/>
        </w:tblCellMar>
      </w:tblPr>
      <w:tblGrid>
        <w:gridCol w:w="651"/>
        <w:gridCol w:w="987"/>
        <w:gridCol w:w="1056"/>
        <w:gridCol w:w="3493"/>
        <w:gridCol w:w="2431"/>
        <w:gridCol w:w="1028"/>
      </w:tblGrid>
      <w:tr w14:paraId="497FD145">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824" w:hRule="atLeast"/>
          <w:jc w:val="center"/>
        </w:trPr>
        <w:tc>
          <w:tcPr>
            <w:tcW w:w="651" w:type="dxa"/>
            <w:tcBorders>
              <w:top w:val="single" w:color="000000" w:sz="8" w:space="0"/>
              <w:left w:val="single" w:color="000000" w:sz="8" w:space="0"/>
              <w:bottom w:val="single" w:color="000000" w:sz="8" w:space="0"/>
              <w:right w:val="single" w:color="000000" w:sz="8" w:space="0"/>
            </w:tcBorders>
            <w:tcMar>
              <w:top w:w="57" w:type="dxa"/>
              <w:left w:w="57" w:type="dxa"/>
              <w:bottom w:w="57" w:type="dxa"/>
              <w:right w:w="57" w:type="dxa"/>
            </w:tcMar>
            <w:vAlign w:val="center"/>
          </w:tcPr>
          <w:p w14:paraId="512B8156">
            <w:pPr>
              <w:pStyle w:val="785"/>
              <w:jc w:val="center"/>
              <w:rPr>
                <w:rFonts w:ascii="宋体" w:hAnsi="宋体" w:eastAsia="宋体" w:cs="宋体"/>
                <w:sz w:val="24"/>
                <w:szCs w:val="24"/>
              </w:rPr>
            </w:pPr>
            <w:r>
              <w:rPr>
                <w:rFonts w:hint="eastAsia" w:ascii="宋体" w:hAnsi="宋体" w:eastAsia="宋体" w:cs="宋体"/>
                <w:bCs/>
                <w:sz w:val="24"/>
                <w:szCs w:val="24"/>
              </w:rPr>
              <w:t>序号</w:t>
            </w:r>
          </w:p>
        </w:tc>
        <w:tc>
          <w:tcPr>
            <w:tcW w:w="987" w:type="dxa"/>
            <w:tcBorders>
              <w:top w:val="single" w:color="808080" w:sz="8" w:space="0"/>
              <w:bottom w:val="single" w:color="808080" w:sz="8" w:space="0"/>
              <w:right w:val="single" w:color="808080" w:sz="8" w:space="0"/>
            </w:tcBorders>
            <w:tcMar>
              <w:top w:w="57" w:type="dxa"/>
              <w:left w:w="57" w:type="dxa"/>
              <w:bottom w:w="57" w:type="dxa"/>
              <w:right w:w="57" w:type="dxa"/>
            </w:tcMar>
            <w:vAlign w:val="center"/>
          </w:tcPr>
          <w:p w14:paraId="622FFC6B">
            <w:pPr>
              <w:pStyle w:val="785"/>
              <w:jc w:val="center"/>
              <w:rPr>
                <w:rFonts w:ascii="宋体" w:hAnsi="宋体" w:eastAsia="宋体" w:cs="宋体"/>
                <w:sz w:val="24"/>
                <w:szCs w:val="24"/>
              </w:rPr>
            </w:pPr>
            <w:r>
              <w:rPr>
                <w:rFonts w:hint="eastAsia" w:ascii="宋体" w:hAnsi="宋体" w:eastAsia="宋体" w:cs="宋体"/>
                <w:bCs/>
                <w:sz w:val="24"/>
                <w:szCs w:val="24"/>
              </w:rPr>
              <w:t>类别</w:t>
            </w:r>
          </w:p>
        </w:tc>
        <w:tc>
          <w:tcPr>
            <w:tcW w:w="1056" w:type="dxa"/>
            <w:tcBorders>
              <w:top w:val="single" w:color="808080" w:sz="8" w:space="0"/>
              <w:bottom w:val="single" w:color="808080" w:sz="8" w:space="0"/>
              <w:right w:val="single" w:color="808080" w:sz="8" w:space="0"/>
            </w:tcBorders>
            <w:tcMar>
              <w:top w:w="57" w:type="dxa"/>
              <w:left w:w="57" w:type="dxa"/>
              <w:bottom w:w="57" w:type="dxa"/>
              <w:right w:w="57" w:type="dxa"/>
            </w:tcMar>
            <w:vAlign w:val="center"/>
          </w:tcPr>
          <w:p w14:paraId="05671D06">
            <w:pPr>
              <w:pStyle w:val="785"/>
              <w:jc w:val="center"/>
              <w:rPr>
                <w:rFonts w:ascii="宋体" w:hAnsi="宋体" w:eastAsia="宋体" w:cs="宋体"/>
                <w:sz w:val="24"/>
                <w:szCs w:val="24"/>
              </w:rPr>
            </w:pPr>
            <w:r>
              <w:rPr>
                <w:rFonts w:hint="eastAsia" w:ascii="宋体" w:hAnsi="宋体" w:eastAsia="宋体" w:cs="宋体"/>
                <w:bCs/>
                <w:sz w:val="24"/>
                <w:szCs w:val="24"/>
              </w:rPr>
              <w:t>项 目</w:t>
            </w:r>
          </w:p>
        </w:tc>
        <w:tc>
          <w:tcPr>
            <w:tcW w:w="3493" w:type="dxa"/>
            <w:tcBorders>
              <w:top w:val="single" w:color="808080" w:sz="8" w:space="0"/>
              <w:bottom w:val="single" w:color="808080" w:sz="8" w:space="0"/>
              <w:right w:val="single" w:color="808080" w:sz="8" w:space="0"/>
            </w:tcBorders>
            <w:tcMar>
              <w:top w:w="57" w:type="dxa"/>
              <w:left w:w="57" w:type="dxa"/>
              <w:bottom w:w="57" w:type="dxa"/>
              <w:right w:w="57" w:type="dxa"/>
            </w:tcMar>
            <w:vAlign w:val="center"/>
          </w:tcPr>
          <w:p w14:paraId="17AADA9D">
            <w:pPr>
              <w:pStyle w:val="785"/>
              <w:ind w:firstLine="643"/>
              <w:jc w:val="both"/>
              <w:rPr>
                <w:rFonts w:ascii="宋体" w:hAnsi="宋体" w:eastAsia="宋体" w:cs="宋体"/>
                <w:sz w:val="24"/>
                <w:szCs w:val="24"/>
              </w:rPr>
            </w:pPr>
            <w:r>
              <w:rPr>
                <w:rFonts w:hint="eastAsia" w:ascii="宋体" w:hAnsi="宋体" w:eastAsia="宋体" w:cs="宋体"/>
                <w:bCs/>
                <w:sz w:val="24"/>
                <w:szCs w:val="24"/>
              </w:rPr>
              <w:t>考  核  标  准</w:t>
            </w:r>
          </w:p>
        </w:tc>
        <w:tc>
          <w:tcPr>
            <w:tcW w:w="2431" w:type="dxa"/>
            <w:tcBorders>
              <w:top w:val="single" w:color="808080" w:sz="8" w:space="0"/>
              <w:bottom w:val="single" w:color="808080" w:sz="8" w:space="0"/>
              <w:right w:val="single" w:color="808080" w:sz="8" w:space="0"/>
            </w:tcBorders>
            <w:tcMar>
              <w:top w:w="57" w:type="dxa"/>
              <w:left w:w="57" w:type="dxa"/>
              <w:bottom w:w="57" w:type="dxa"/>
              <w:right w:w="57" w:type="dxa"/>
            </w:tcMar>
            <w:vAlign w:val="center"/>
          </w:tcPr>
          <w:p w14:paraId="5AACAD2A">
            <w:pPr>
              <w:pStyle w:val="785"/>
              <w:jc w:val="center"/>
              <w:rPr>
                <w:rFonts w:ascii="宋体" w:hAnsi="宋体" w:eastAsia="宋体" w:cs="宋体"/>
                <w:sz w:val="24"/>
                <w:szCs w:val="24"/>
              </w:rPr>
            </w:pPr>
            <w:r>
              <w:rPr>
                <w:rFonts w:hint="eastAsia" w:ascii="宋体" w:hAnsi="宋体" w:eastAsia="宋体" w:cs="宋体"/>
                <w:bCs/>
                <w:sz w:val="24"/>
                <w:szCs w:val="24"/>
              </w:rPr>
              <w:t>操  作  细  则</w:t>
            </w:r>
          </w:p>
        </w:tc>
        <w:tc>
          <w:tcPr>
            <w:tcW w:w="1028" w:type="dxa"/>
            <w:tcBorders>
              <w:top w:val="single" w:color="808080" w:sz="8" w:space="0"/>
              <w:bottom w:val="single" w:color="808080" w:sz="8" w:space="0"/>
              <w:right w:val="single" w:color="808080" w:sz="8" w:space="0"/>
            </w:tcBorders>
            <w:tcMar>
              <w:top w:w="57" w:type="dxa"/>
              <w:left w:w="57" w:type="dxa"/>
              <w:bottom w:w="57" w:type="dxa"/>
              <w:right w:w="57" w:type="dxa"/>
            </w:tcMar>
            <w:vAlign w:val="center"/>
          </w:tcPr>
          <w:p w14:paraId="52B38FBF">
            <w:pPr>
              <w:pStyle w:val="785"/>
              <w:ind w:firstLine="643"/>
              <w:jc w:val="center"/>
              <w:rPr>
                <w:rFonts w:ascii="宋体" w:hAnsi="宋体" w:eastAsia="宋体" w:cs="宋体"/>
                <w:sz w:val="24"/>
                <w:szCs w:val="24"/>
              </w:rPr>
            </w:pPr>
            <w:r>
              <w:rPr>
                <w:rFonts w:hint="eastAsia" w:ascii="宋体" w:hAnsi="宋体" w:eastAsia="宋体" w:cs="宋体"/>
                <w:sz w:val="24"/>
                <w:szCs w:val="24"/>
              </w:rPr>
              <w:t> </w:t>
            </w:r>
          </w:p>
        </w:tc>
      </w:tr>
      <w:tr w14:paraId="694060CD">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2545" w:hRule="atLeast"/>
          <w:jc w:val="center"/>
        </w:trPr>
        <w:tc>
          <w:tcPr>
            <w:tcW w:w="651" w:type="dxa"/>
            <w:vMerge w:val="restart"/>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2D2EEBE8">
            <w:pPr>
              <w:pStyle w:val="785"/>
              <w:spacing w:line="320" w:lineRule="exact"/>
              <w:jc w:val="center"/>
              <w:rPr>
                <w:rFonts w:ascii="宋体" w:hAnsi="宋体" w:eastAsia="宋体" w:cs="宋体"/>
                <w:sz w:val="21"/>
                <w:szCs w:val="21"/>
              </w:rPr>
            </w:pPr>
            <w:r>
              <w:rPr>
                <w:rFonts w:hint="eastAsia" w:ascii="宋体" w:hAnsi="宋体" w:eastAsia="宋体" w:cs="宋体"/>
                <w:bCs/>
                <w:sz w:val="21"/>
                <w:szCs w:val="21"/>
              </w:rPr>
              <w:t>1</w:t>
            </w:r>
          </w:p>
        </w:tc>
        <w:tc>
          <w:tcPr>
            <w:tcW w:w="987" w:type="dxa"/>
            <w:vMerge w:val="restart"/>
            <w:tcBorders>
              <w:bottom w:val="single" w:color="808080" w:sz="8" w:space="0"/>
              <w:right w:val="single" w:color="808080" w:sz="8" w:space="0"/>
            </w:tcBorders>
            <w:tcMar>
              <w:top w:w="57" w:type="dxa"/>
              <w:left w:w="57" w:type="dxa"/>
              <w:bottom w:w="57" w:type="dxa"/>
              <w:right w:w="57" w:type="dxa"/>
            </w:tcMar>
            <w:vAlign w:val="center"/>
          </w:tcPr>
          <w:p w14:paraId="6C1320FA">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能</w:t>
            </w:r>
          </w:p>
          <w:p w14:paraId="561D429C">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源</w:t>
            </w:r>
          </w:p>
          <w:p w14:paraId="3ABDDB0E">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管</w:t>
            </w:r>
          </w:p>
          <w:p w14:paraId="75A8172D">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理</w:t>
            </w:r>
          </w:p>
          <w:p w14:paraId="7F1CB0B3">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单</w:t>
            </w:r>
          </w:p>
          <w:p w14:paraId="0B50CD6E">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位</w:t>
            </w:r>
          </w:p>
          <w:p w14:paraId="0432B451">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内</w:t>
            </w:r>
          </w:p>
          <w:p w14:paraId="6C582AFB">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部</w:t>
            </w:r>
          </w:p>
          <w:p w14:paraId="32640EF9">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管</w:t>
            </w:r>
          </w:p>
          <w:p w14:paraId="6716DEA9">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理</w:t>
            </w:r>
          </w:p>
          <w:p w14:paraId="7DB3CEEE">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要</w:t>
            </w:r>
          </w:p>
          <w:p w14:paraId="160910BE">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求</w:t>
            </w:r>
          </w:p>
        </w:tc>
        <w:tc>
          <w:tcPr>
            <w:tcW w:w="1056" w:type="dxa"/>
            <w:vMerge w:val="restart"/>
            <w:tcBorders>
              <w:bottom w:val="single" w:color="808080" w:sz="8" w:space="0"/>
              <w:right w:val="single" w:color="808080" w:sz="8" w:space="0"/>
            </w:tcBorders>
            <w:tcMar>
              <w:top w:w="57" w:type="dxa"/>
              <w:left w:w="57" w:type="dxa"/>
              <w:bottom w:w="57" w:type="dxa"/>
              <w:right w:w="57" w:type="dxa"/>
            </w:tcMar>
            <w:vAlign w:val="center"/>
          </w:tcPr>
          <w:p w14:paraId="51BA2E10">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025D9EE5">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1、</w:t>
            </w:r>
            <w:bookmarkStart w:id="52" w:name="_Hlk176371189"/>
            <w:r>
              <w:rPr>
                <w:rFonts w:hint="eastAsia" w:ascii="宋体" w:hAnsi="宋体" w:eastAsia="宋体" w:cs="宋体"/>
                <w:sz w:val="21"/>
                <w:szCs w:val="21"/>
              </w:rPr>
              <w:t>实行24小时人员值班制，如需响应1小时到位，发现人员缺岗的，扣除2000元/次·人，班组人员全部不在岗的，扣除10000元/次。检查人员定位</w:t>
            </w:r>
            <w:bookmarkEnd w:id="52"/>
            <w:r>
              <w:rPr>
                <w:rFonts w:hint="eastAsia" w:ascii="宋体" w:hAnsi="宋体" w:eastAsia="宋体" w:cs="宋体"/>
                <w:sz w:val="21"/>
                <w:szCs w:val="21"/>
              </w:rPr>
              <w:t>。</w:t>
            </w:r>
          </w:p>
        </w:tc>
        <w:tc>
          <w:tcPr>
            <w:tcW w:w="2431" w:type="dxa"/>
            <w:tcBorders>
              <w:bottom w:val="single" w:color="808080" w:sz="8" w:space="0"/>
              <w:right w:val="single" w:color="808080" w:sz="8" w:space="0"/>
            </w:tcBorders>
            <w:tcMar>
              <w:top w:w="57" w:type="dxa"/>
              <w:left w:w="57" w:type="dxa"/>
              <w:bottom w:w="57" w:type="dxa"/>
              <w:right w:w="57" w:type="dxa"/>
            </w:tcMar>
            <w:vAlign w:val="center"/>
          </w:tcPr>
          <w:p w14:paraId="6D98B3C0">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 </w:t>
            </w:r>
          </w:p>
          <w:p w14:paraId="7E4A8474">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发现人员缺岗的，扣除2000元/次·人，班组人员全部不在岗的，扣除10000元/次。</w:t>
            </w: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47F50092">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6DF1596E">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1632" w:hRule="atLeast"/>
          <w:jc w:val="center"/>
        </w:trPr>
        <w:tc>
          <w:tcPr>
            <w:tcW w:w="651" w:type="dxa"/>
            <w:vMerge w:val="continue"/>
            <w:tcBorders>
              <w:left w:val="single" w:color="808080" w:sz="8" w:space="0"/>
              <w:bottom w:val="single" w:color="808080" w:sz="8" w:space="0"/>
              <w:right w:val="single" w:color="808080" w:sz="8" w:space="0"/>
            </w:tcBorders>
            <w:vAlign w:val="center"/>
          </w:tcPr>
          <w:p w14:paraId="131FAD7E">
            <w:pPr>
              <w:pStyle w:val="785"/>
              <w:spacing w:line="320" w:lineRule="exact"/>
              <w:rPr>
                <w:rFonts w:ascii="宋体" w:hAnsi="宋体" w:eastAsia="宋体" w:cs="宋体"/>
                <w:sz w:val="21"/>
                <w:szCs w:val="21"/>
              </w:rPr>
            </w:pPr>
          </w:p>
        </w:tc>
        <w:tc>
          <w:tcPr>
            <w:tcW w:w="987" w:type="dxa"/>
            <w:vMerge w:val="continue"/>
            <w:tcBorders>
              <w:bottom w:val="single" w:color="808080" w:sz="8" w:space="0"/>
              <w:right w:val="single" w:color="808080" w:sz="8" w:space="0"/>
            </w:tcBorders>
            <w:vAlign w:val="center"/>
          </w:tcPr>
          <w:p w14:paraId="09167191">
            <w:pPr>
              <w:pStyle w:val="785"/>
              <w:spacing w:line="320" w:lineRule="exact"/>
              <w:rPr>
                <w:rFonts w:ascii="宋体" w:hAnsi="宋体" w:eastAsia="宋体" w:cs="宋体"/>
                <w:sz w:val="21"/>
                <w:szCs w:val="21"/>
              </w:rPr>
            </w:pPr>
          </w:p>
        </w:tc>
        <w:tc>
          <w:tcPr>
            <w:tcW w:w="1056" w:type="dxa"/>
            <w:vMerge w:val="continue"/>
            <w:tcBorders>
              <w:bottom w:val="single" w:color="808080" w:sz="8" w:space="0"/>
              <w:right w:val="single" w:color="808080" w:sz="8" w:space="0"/>
            </w:tcBorders>
            <w:vAlign w:val="center"/>
          </w:tcPr>
          <w:p w14:paraId="6A586425">
            <w:pPr>
              <w:pStyle w:val="785"/>
              <w:spacing w:line="320" w:lineRule="exact"/>
              <w:rPr>
                <w:rFonts w:ascii="宋体" w:hAnsi="宋体" w:eastAsia="宋体" w:cs="宋体"/>
                <w:sz w:val="21"/>
                <w:szCs w:val="21"/>
              </w:rPr>
            </w:pP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1B99249F">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2、应配备用于路灯维修养护工程的施工机械设备，如高空、抢修作业车、防撞缓冲车、维修巡检车辆及相应的电工工具等。</w:t>
            </w:r>
          </w:p>
        </w:tc>
        <w:tc>
          <w:tcPr>
            <w:tcW w:w="2431" w:type="dxa"/>
            <w:tcBorders>
              <w:bottom w:val="single" w:color="808080" w:sz="8" w:space="0"/>
              <w:right w:val="single" w:color="808080" w:sz="8" w:space="0"/>
            </w:tcBorders>
            <w:tcMar>
              <w:top w:w="57" w:type="dxa"/>
              <w:left w:w="57" w:type="dxa"/>
              <w:bottom w:w="57" w:type="dxa"/>
              <w:right w:w="57" w:type="dxa"/>
            </w:tcMar>
            <w:vAlign w:val="center"/>
          </w:tcPr>
          <w:p w14:paraId="0EB67FB2">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1、未储备上述设备的，每少一样扣10000元/次。</w:t>
            </w: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74E1ECA2">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46BDB425">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3323" w:hRule="atLeast"/>
          <w:jc w:val="center"/>
        </w:trPr>
        <w:tc>
          <w:tcPr>
            <w:tcW w:w="651" w:type="dxa"/>
            <w:vMerge w:val="continue"/>
            <w:tcBorders>
              <w:left w:val="single" w:color="808080" w:sz="8" w:space="0"/>
              <w:bottom w:val="single" w:color="808080" w:sz="8" w:space="0"/>
              <w:right w:val="single" w:color="808080" w:sz="8" w:space="0"/>
            </w:tcBorders>
            <w:vAlign w:val="center"/>
          </w:tcPr>
          <w:p w14:paraId="7116F657">
            <w:pPr>
              <w:pStyle w:val="785"/>
              <w:spacing w:line="320" w:lineRule="exact"/>
              <w:rPr>
                <w:rFonts w:ascii="宋体" w:hAnsi="宋体" w:eastAsia="宋体" w:cs="宋体"/>
                <w:sz w:val="21"/>
                <w:szCs w:val="21"/>
              </w:rPr>
            </w:pPr>
          </w:p>
        </w:tc>
        <w:tc>
          <w:tcPr>
            <w:tcW w:w="987" w:type="dxa"/>
            <w:vMerge w:val="continue"/>
            <w:tcBorders>
              <w:bottom w:val="single" w:color="808080" w:sz="8" w:space="0"/>
              <w:right w:val="single" w:color="808080" w:sz="8" w:space="0"/>
            </w:tcBorders>
            <w:vAlign w:val="center"/>
          </w:tcPr>
          <w:p w14:paraId="232291C2">
            <w:pPr>
              <w:pStyle w:val="785"/>
              <w:spacing w:line="320" w:lineRule="exact"/>
              <w:rPr>
                <w:rFonts w:ascii="宋体" w:hAnsi="宋体" w:eastAsia="宋体" w:cs="宋体"/>
                <w:sz w:val="21"/>
                <w:szCs w:val="21"/>
              </w:rPr>
            </w:pPr>
          </w:p>
        </w:tc>
        <w:tc>
          <w:tcPr>
            <w:tcW w:w="1056" w:type="dxa"/>
            <w:vMerge w:val="continue"/>
            <w:tcBorders>
              <w:bottom w:val="single" w:color="808080" w:sz="8" w:space="0"/>
              <w:right w:val="single" w:color="808080" w:sz="8" w:space="0"/>
            </w:tcBorders>
            <w:vAlign w:val="center"/>
          </w:tcPr>
          <w:p w14:paraId="41155D0C">
            <w:pPr>
              <w:pStyle w:val="785"/>
              <w:spacing w:line="320" w:lineRule="exact"/>
              <w:rPr>
                <w:rFonts w:ascii="宋体" w:hAnsi="宋体" w:eastAsia="宋体" w:cs="宋体"/>
                <w:sz w:val="21"/>
                <w:szCs w:val="21"/>
              </w:rPr>
            </w:pP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34F9445D">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3、能源管理单位道路照明设施维护项目部工作人员实行岗位责任制，工作人员持证上岗且保持稳定，熟悉所管辖区域内道路照明设施供电、控制、线路等相关情况，作业时统一着装并配备必要的安全防护用品，能按操作规程进行维护作业。</w:t>
            </w:r>
          </w:p>
        </w:tc>
        <w:tc>
          <w:tcPr>
            <w:tcW w:w="2431" w:type="dxa"/>
            <w:tcBorders>
              <w:bottom w:val="single" w:color="808080" w:sz="8" w:space="0"/>
              <w:right w:val="single" w:color="808080" w:sz="8" w:space="0"/>
            </w:tcBorders>
            <w:tcMar>
              <w:top w:w="57" w:type="dxa"/>
              <w:left w:w="57" w:type="dxa"/>
              <w:bottom w:w="57" w:type="dxa"/>
              <w:right w:w="57" w:type="dxa"/>
            </w:tcMar>
            <w:vAlign w:val="center"/>
          </w:tcPr>
          <w:p w14:paraId="32CA662C">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1、未实行岗位责任制扣2000元/次</w:t>
            </w:r>
          </w:p>
          <w:p w14:paraId="2224958C">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2、工作人员未持证上岗或人员不稳定扣2000元/次</w:t>
            </w:r>
          </w:p>
          <w:p w14:paraId="157FD4F8">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3、未统一着装并配备必要的安全防护用品扣2000元/次</w:t>
            </w:r>
          </w:p>
          <w:p w14:paraId="5A062F4A">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4、未按操作规程进行维护作业扣3000元/次</w:t>
            </w: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2C4F43DF">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525D6A3A">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2683" w:hRule="atLeast"/>
          <w:jc w:val="center"/>
        </w:trPr>
        <w:tc>
          <w:tcPr>
            <w:tcW w:w="651" w:type="dxa"/>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02DE8A26">
            <w:pPr>
              <w:pStyle w:val="785"/>
              <w:spacing w:line="320" w:lineRule="exact"/>
              <w:jc w:val="center"/>
              <w:rPr>
                <w:rFonts w:ascii="宋体" w:hAnsi="宋体" w:eastAsia="宋体" w:cs="宋体"/>
                <w:sz w:val="21"/>
                <w:szCs w:val="21"/>
              </w:rPr>
            </w:pPr>
            <w:r>
              <w:rPr>
                <w:rFonts w:hint="eastAsia" w:ascii="宋体" w:hAnsi="宋体" w:eastAsia="宋体" w:cs="宋体"/>
                <w:bCs/>
                <w:sz w:val="21"/>
                <w:szCs w:val="21"/>
              </w:rPr>
              <w:t>2</w:t>
            </w:r>
          </w:p>
        </w:tc>
        <w:tc>
          <w:tcPr>
            <w:tcW w:w="987" w:type="dxa"/>
            <w:tcBorders>
              <w:bottom w:val="single" w:color="808080" w:sz="8" w:space="0"/>
              <w:right w:val="single" w:color="808080" w:sz="8" w:space="0"/>
            </w:tcBorders>
            <w:tcMar>
              <w:top w:w="57" w:type="dxa"/>
              <w:left w:w="57" w:type="dxa"/>
              <w:bottom w:w="57" w:type="dxa"/>
              <w:right w:w="57" w:type="dxa"/>
            </w:tcMar>
            <w:vAlign w:val="center"/>
          </w:tcPr>
          <w:p w14:paraId="518E1591">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设</w:t>
            </w:r>
          </w:p>
          <w:p w14:paraId="5849CAD1">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施</w:t>
            </w:r>
          </w:p>
          <w:p w14:paraId="0B564F10">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整</w:t>
            </w:r>
          </w:p>
          <w:p w14:paraId="1018D95C">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洁</w:t>
            </w: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4AE7FC51">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77AB7071">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参照《市道路照明设施维护质量标准》</w:t>
            </w:r>
          </w:p>
        </w:tc>
        <w:tc>
          <w:tcPr>
            <w:tcW w:w="2431" w:type="dxa"/>
            <w:tcBorders>
              <w:bottom w:val="single" w:color="808080" w:sz="8" w:space="0"/>
              <w:right w:val="single" w:color="808080" w:sz="8" w:space="0"/>
            </w:tcBorders>
            <w:tcMar>
              <w:top w:w="57" w:type="dxa"/>
              <w:left w:w="57" w:type="dxa"/>
              <w:bottom w:w="57" w:type="dxa"/>
              <w:right w:w="57" w:type="dxa"/>
            </w:tcMar>
            <w:vAlign w:val="center"/>
          </w:tcPr>
          <w:p w14:paraId="6E1BEAA0">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1、铁丝、绳索等缠绕物未及时清除的，每处扣200元</w:t>
            </w:r>
          </w:p>
          <w:p w14:paraId="7BC40A6B">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2、设置户外广告等悬挂物未及时发现或发现后未上报的，每杆扣200元</w:t>
            </w:r>
          </w:p>
          <w:p w14:paraId="6A36785A">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3、乱张贴、乱涂写未及时清除的，每杆扣200元</w:t>
            </w: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2B701822">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 </w:t>
            </w:r>
          </w:p>
        </w:tc>
      </w:tr>
      <w:tr w14:paraId="6554045C">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1519" w:hRule="atLeast"/>
          <w:jc w:val="center"/>
        </w:trPr>
        <w:tc>
          <w:tcPr>
            <w:tcW w:w="651" w:type="dxa"/>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06A3AB1B">
            <w:pPr>
              <w:pStyle w:val="785"/>
              <w:spacing w:line="320" w:lineRule="exact"/>
              <w:jc w:val="center"/>
              <w:rPr>
                <w:rFonts w:ascii="宋体" w:hAnsi="宋体" w:eastAsia="宋体" w:cs="宋体"/>
                <w:sz w:val="21"/>
                <w:szCs w:val="21"/>
              </w:rPr>
            </w:pPr>
            <w:r>
              <w:rPr>
                <w:rFonts w:hint="eastAsia" w:ascii="宋体" w:hAnsi="宋体" w:eastAsia="宋体" w:cs="宋体"/>
                <w:bCs/>
                <w:sz w:val="21"/>
                <w:szCs w:val="21"/>
              </w:rPr>
              <w:t>3</w:t>
            </w:r>
          </w:p>
        </w:tc>
        <w:tc>
          <w:tcPr>
            <w:tcW w:w="987" w:type="dxa"/>
            <w:tcBorders>
              <w:bottom w:val="single" w:color="808080" w:sz="8" w:space="0"/>
              <w:right w:val="single" w:color="808080" w:sz="8" w:space="0"/>
            </w:tcBorders>
            <w:tcMar>
              <w:top w:w="57" w:type="dxa"/>
              <w:left w:w="57" w:type="dxa"/>
              <w:bottom w:w="57" w:type="dxa"/>
              <w:right w:w="57" w:type="dxa"/>
            </w:tcMar>
            <w:vAlign w:val="center"/>
          </w:tcPr>
          <w:p w14:paraId="2AE1B747">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亮灯率</w:t>
            </w: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084FCFA1">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4E8A79CA">
            <w:pPr>
              <w:pStyle w:val="785"/>
              <w:spacing w:line="320" w:lineRule="exact"/>
              <w:ind w:firstLine="420"/>
              <w:jc w:val="left"/>
              <w:rPr>
                <w:rFonts w:ascii="宋体" w:hAnsi="宋体" w:eastAsia="宋体" w:cs="宋体"/>
                <w:sz w:val="21"/>
                <w:szCs w:val="21"/>
              </w:rPr>
            </w:pPr>
            <w:r>
              <w:rPr>
                <w:rFonts w:hint="eastAsia" w:ascii="宋体" w:hAnsi="宋体" w:eastAsia="宋体" w:cs="宋体"/>
                <w:sz w:val="21"/>
                <w:szCs w:val="21"/>
              </w:rPr>
              <w:t>亮灯率标准均为99％</w:t>
            </w:r>
          </w:p>
        </w:tc>
        <w:tc>
          <w:tcPr>
            <w:tcW w:w="2431" w:type="dxa"/>
            <w:tcBorders>
              <w:bottom w:val="single" w:color="808080" w:sz="8" w:space="0"/>
              <w:right w:val="single" w:color="808080" w:sz="8" w:space="0"/>
            </w:tcBorders>
            <w:tcMar>
              <w:top w:w="57" w:type="dxa"/>
              <w:left w:w="57" w:type="dxa"/>
              <w:bottom w:w="57" w:type="dxa"/>
              <w:right w:w="57" w:type="dxa"/>
            </w:tcMar>
            <w:vAlign w:val="bottom"/>
          </w:tcPr>
          <w:p w14:paraId="63B259B8">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1、每低于1%，扣管护单位5000元，不足1%的按插入法计算；低于98%的，每低于0.1%，扣管护单位2000元。</w:t>
            </w: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6D301ACA">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5D87CA01">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712" w:hRule="atLeast"/>
          <w:jc w:val="center"/>
        </w:trPr>
        <w:tc>
          <w:tcPr>
            <w:tcW w:w="651" w:type="dxa"/>
            <w:vMerge w:val="restart"/>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02EC7C77">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4</w:t>
            </w:r>
          </w:p>
        </w:tc>
        <w:tc>
          <w:tcPr>
            <w:tcW w:w="987" w:type="dxa"/>
            <w:vMerge w:val="restart"/>
            <w:tcBorders>
              <w:bottom w:val="single" w:color="808080" w:sz="8" w:space="0"/>
              <w:right w:val="single" w:color="808080" w:sz="8" w:space="0"/>
            </w:tcBorders>
            <w:tcMar>
              <w:top w:w="57" w:type="dxa"/>
              <w:left w:w="57" w:type="dxa"/>
              <w:bottom w:w="57" w:type="dxa"/>
              <w:right w:w="57" w:type="dxa"/>
            </w:tcMar>
            <w:vAlign w:val="center"/>
          </w:tcPr>
          <w:p w14:paraId="43E1D5BD">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设施完</w:t>
            </w:r>
            <w:r>
              <w:rPr>
                <w:rFonts w:hint="eastAsia" w:ascii="宋体" w:hAnsi="宋体" w:eastAsia="宋体" w:cs="宋体"/>
                <w:sz w:val="21"/>
                <w:szCs w:val="21"/>
                <w:lang w:val="en-US" w:eastAsia="zh-CN"/>
              </w:rPr>
              <w:t>好</w:t>
            </w:r>
            <w:r>
              <w:rPr>
                <w:rFonts w:hint="eastAsia" w:ascii="宋体" w:hAnsi="宋体" w:eastAsia="宋体" w:cs="宋体"/>
                <w:sz w:val="21"/>
                <w:szCs w:val="21"/>
              </w:rPr>
              <w:t>率≥ 99%</w:t>
            </w: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745D0CB2">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配电箱柜等</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47E8E924">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参照《市道路照明设施维护质量标准》</w:t>
            </w:r>
          </w:p>
        </w:tc>
        <w:tc>
          <w:tcPr>
            <w:tcW w:w="2431" w:type="dxa"/>
            <w:vMerge w:val="restart"/>
            <w:tcBorders>
              <w:bottom w:val="single" w:color="808080" w:sz="8" w:space="0"/>
              <w:right w:val="single" w:color="808080" w:sz="8" w:space="0"/>
            </w:tcBorders>
            <w:tcMar>
              <w:top w:w="57" w:type="dxa"/>
              <w:left w:w="57" w:type="dxa"/>
              <w:bottom w:w="57" w:type="dxa"/>
              <w:right w:w="57" w:type="dxa"/>
            </w:tcMar>
            <w:vAlign w:val="bottom"/>
          </w:tcPr>
          <w:p w14:paraId="48D6B239">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①设施内任一部件都必须完好运行，每月因设施故障导致熄灯的，均按照1%故障率计算，每个点每次计算一个1%，每月累计数为该月故障率。</w:t>
            </w:r>
          </w:p>
          <w:p w14:paraId="57AF611C">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②每月抽查管护范围内路灯各项设施不少于管护总数的20%。</w:t>
            </w:r>
          </w:p>
          <w:p w14:paraId="1B26A081">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③设施完好率每低于1%，扣管护单位5000元，不足1%的按插入法计算；低于98%的，每低于0.1%，扣管护单位2000元。</w:t>
            </w:r>
          </w:p>
          <w:p w14:paraId="2386F796">
            <w:pPr>
              <w:pStyle w:val="785"/>
              <w:spacing w:line="320" w:lineRule="exact"/>
              <w:ind w:firstLine="480"/>
              <w:jc w:val="both"/>
              <w:rPr>
                <w:rFonts w:ascii="宋体" w:hAnsi="宋体" w:eastAsia="宋体" w:cs="宋体"/>
                <w:sz w:val="21"/>
                <w:szCs w:val="21"/>
              </w:rPr>
            </w:pPr>
            <w:r>
              <w:rPr>
                <w:rFonts w:hint="eastAsia" w:ascii="宋体" w:hAnsi="宋体" w:eastAsia="宋体" w:cs="宋体"/>
                <w:sz w:val="21"/>
                <w:szCs w:val="21"/>
              </w:rPr>
              <w:t> </w:t>
            </w:r>
          </w:p>
          <w:p w14:paraId="3F2630B9">
            <w:pPr>
              <w:pStyle w:val="785"/>
              <w:spacing w:line="320" w:lineRule="exact"/>
              <w:ind w:firstLine="420"/>
              <w:jc w:val="both"/>
              <w:rPr>
                <w:rFonts w:ascii="宋体" w:hAnsi="宋体" w:eastAsia="宋体" w:cs="宋体"/>
                <w:sz w:val="21"/>
                <w:szCs w:val="21"/>
              </w:rPr>
            </w:pPr>
            <w:r>
              <w:rPr>
                <w:rFonts w:hint="eastAsia" w:ascii="宋体" w:hAnsi="宋体" w:eastAsia="宋体" w:cs="宋体"/>
                <w:sz w:val="21"/>
                <w:szCs w:val="21"/>
              </w:rPr>
              <w:t> </w:t>
            </w: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29258950">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1F450319">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697" w:hRule="atLeast"/>
          <w:jc w:val="center"/>
        </w:trPr>
        <w:tc>
          <w:tcPr>
            <w:tcW w:w="651" w:type="dxa"/>
            <w:vMerge w:val="continue"/>
            <w:tcBorders>
              <w:left w:val="single" w:color="808080" w:sz="8" w:space="0"/>
              <w:bottom w:val="single" w:color="808080" w:sz="8" w:space="0"/>
              <w:right w:val="single" w:color="808080" w:sz="8" w:space="0"/>
            </w:tcBorders>
            <w:vAlign w:val="center"/>
          </w:tcPr>
          <w:p w14:paraId="7C8C06A7">
            <w:pPr>
              <w:pStyle w:val="785"/>
              <w:spacing w:line="320" w:lineRule="exact"/>
              <w:rPr>
                <w:rFonts w:ascii="宋体" w:hAnsi="宋体" w:eastAsia="宋体" w:cs="宋体"/>
                <w:sz w:val="21"/>
                <w:szCs w:val="21"/>
              </w:rPr>
            </w:pPr>
          </w:p>
        </w:tc>
        <w:tc>
          <w:tcPr>
            <w:tcW w:w="987" w:type="dxa"/>
            <w:vMerge w:val="continue"/>
            <w:tcBorders>
              <w:bottom w:val="single" w:color="808080" w:sz="8" w:space="0"/>
              <w:right w:val="single" w:color="808080" w:sz="8" w:space="0"/>
            </w:tcBorders>
            <w:vAlign w:val="center"/>
          </w:tcPr>
          <w:p w14:paraId="288B21FA">
            <w:pPr>
              <w:pStyle w:val="785"/>
              <w:spacing w:line="320" w:lineRule="exact"/>
              <w:rPr>
                <w:rFonts w:ascii="宋体" w:hAnsi="宋体" w:eastAsia="宋体" w:cs="宋体"/>
                <w:sz w:val="21"/>
                <w:szCs w:val="21"/>
              </w:rPr>
            </w:pP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36C0F5ED">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架空线路</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66ED40BF">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参照《市道路照明设施维护质量标准》</w:t>
            </w:r>
          </w:p>
        </w:tc>
        <w:tc>
          <w:tcPr>
            <w:tcW w:w="2431" w:type="dxa"/>
            <w:vMerge w:val="continue"/>
            <w:tcBorders>
              <w:bottom w:val="single" w:color="808080" w:sz="8" w:space="0"/>
              <w:right w:val="single" w:color="808080" w:sz="8" w:space="0"/>
            </w:tcBorders>
            <w:vAlign w:val="center"/>
          </w:tcPr>
          <w:p w14:paraId="6CD46DE5">
            <w:pPr>
              <w:pStyle w:val="785"/>
              <w:spacing w:line="320" w:lineRule="exact"/>
              <w:rPr>
                <w:rFonts w:ascii="宋体" w:hAnsi="宋体" w:eastAsia="宋体" w:cs="宋体"/>
                <w:sz w:val="21"/>
                <w:szCs w:val="21"/>
              </w:rPr>
            </w:pP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06F74FD9">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3B3723A2">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622" w:hRule="atLeast"/>
          <w:jc w:val="center"/>
        </w:trPr>
        <w:tc>
          <w:tcPr>
            <w:tcW w:w="651" w:type="dxa"/>
            <w:vMerge w:val="continue"/>
            <w:tcBorders>
              <w:left w:val="single" w:color="808080" w:sz="8" w:space="0"/>
              <w:bottom w:val="single" w:color="808080" w:sz="8" w:space="0"/>
              <w:right w:val="single" w:color="808080" w:sz="8" w:space="0"/>
            </w:tcBorders>
            <w:vAlign w:val="center"/>
          </w:tcPr>
          <w:p w14:paraId="75B3A8D9">
            <w:pPr>
              <w:pStyle w:val="785"/>
              <w:spacing w:line="320" w:lineRule="exact"/>
              <w:rPr>
                <w:rFonts w:ascii="宋体" w:hAnsi="宋体" w:eastAsia="宋体" w:cs="宋体"/>
                <w:sz w:val="21"/>
                <w:szCs w:val="21"/>
              </w:rPr>
            </w:pPr>
          </w:p>
        </w:tc>
        <w:tc>
          <w:tcPr>
            <w:tcW w:w="987" w:type="dxa"/>
            <w:vMerge w:val="continue"/>
            <w:tcBorders>
              <w:bottom w:val="single" w:color="808080" w:sz="8" w:space="0"/>
              <w:right w:val="single" w:color="808080" w:sz="8" w:space="0"/>
            </w:tcBorders>
            <w:vAlign w:val="center"/>
          </w:tcPr>
          <w:p w14:paraId="003A7904">
            <w:pPr>
              <w:pStyle w:val="785"/>
              <w:spacing w:line="320" w:lineRule="exact"/>
              <w:rPr>
                <w:rFonts w:ascii="宋体" w:hAnsi="宋体" w:eastAsia="宋体" w:cs="宋体"/>
                <w:sz w:val="21"/>
                <w:szCs w:val="21"/>
              </w:rPr>
            </w:pP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136B2C01">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电缆线路</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59446068">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参照《市道路照明设施维护质量标准》</w:t>
            </w:r>
          </w:p>
        </w:tc>
        <w:tc>
          <w:tcPr>
            <w:tcW w:w="2431" w:type="dxa"/>
            <w:vMerge w:val="continue"/>
            <w:tcBorders>
              <w:bottom w:val="single" w:color="808080" w:sz="8" w:space="0"/>
              <w:right w:val="single" w:color="808080" w:sz="8" w:space="0"/>
            </w:tcBorders>
            <w:vAlign w:val="center"/>
          </w:tcPr>
          <w:p w14:paraId="75183523">
            <w:pPr>
              <w:pStyle w:val="785"/>
              <w:spacing w:line="320" w:lineRule="exact"/>
              <w:rPr>
                <w:rFonts w:ascii="宋体" w:hAnsi="宋体" w:eastAsia="宋体" w:cs="宋体"/>
                <w:sz w:val="21"/>
                <w:szCs w:val="21"/>
              </w:rPr>
            </w:pP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0E2DF1AB">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084B553E">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727" w:hRule="atLeast"/>
          <w:jc w:val="center"/>
        </w:trPr>
        <w:tc>
          <w:tcPr>
            <w:tcW w:w="651" w:type="dxa"/>
            <w:vMerge w:val="continue"/>
            <w:tcBorders>
              <w:left w:val="single" w:color="808080" w:sz="8" w:space="0"/>
              <w:bottom w:val="single" w:color="808080" w:sz="8" w:space="0"/>
              <w:right w:val="single" w:color="808080" w:sz="8" w:space="0"/>
            </w:tcBorders>
            <w:vAlign w:val="center"/>
          </w:tcPr>
          <w:p w14:paraId="6F48C8A0">
            <w:pPr>
              <w:pStyle w:val="785"/>
              <w:spacing w:line="320" w:lineRule="exact"/>
              <w:rPr>
                <w:rFonts w:ascii="宋体" w:hAnsi="宋体" w:eastAsia="宋体" w:cs="宋体"/>
                <w:sz w:val="21"/>
                <w:szCs w:val="21"/>
              </w:rPr>
            </w:pPr>
          </w:p>
        </w:tc>
        <w:tc>
          <w:tcPr>
            <w:tcW w:w="987" w:type="dxa"/>
            <w:vMerge w:val="continue"/>
            <w:tcBorders>
              <w:bottom w:val="single" w:color="808080" w:sz="8" w:space="0"/>
              <w:right w:val="single" w:color="808080" w:sz="8" w:space="0"/>
            </w:tcBorders>
            <w:vAlign w:val="center"/>
          </w:tcPr>
          <w:p w14:paraId="7E703DF9">
            <w:pPr>
              <w:pStyle w:val="785"/>
              <w:spacing w:line="320" w:lineRule="exact"/>
              <w:rPr>
                <w:rFonts w:ascii="宋体" w:hAnsi="宋体" w:eastAsia="宋体" w:cs="宋体"/>
                <w:sz w:val="21"/>
                <w:szCs w:val="21"/>
              </w:rPr>
            </w:pP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4161D859">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照明器具</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6A9908CB">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参照《市道路照明设施维护质量标准》</w:t>
            </w:r>
          </w:p>
        </w:tc>
        <w:tc>
          <w:tcPr>
            <w:tcW w:w="2431" w:type="dxa"/>
            <w:vMerge w:val="continue"/>
            <w:tcBorders>
              <w:bottom w:val="single" w:color="808080" w:sz="8" w:space="0"/>
              <w:right w:val="single" w:color="808080" w:sz="8" w:space="0"/>
            </w:tcBorders>
            <w:vAlign w:val="center"/>
          </w:tcPr>
          <w:p w14:paraId="4C5EAAD4">
            <w:pPr>
              <w:pStyle w:val="785"/>
              <w:spacing w:line="320" w:lineRule="exact"/>
              <w:rPr>
                <w:rFonts w:ascii="宋体" w:hAnsi="宋体" w:eastAsia="宋体" w:cs="宋体"/>
                <w:sz w:val="21"/>
                <w:szCs w:val="21"/>
              </w:rPr>
            </w:pP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7A981D0D">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0E89AF0F">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697" w:hRule="atLeast"/>
          <w:jc w:val="center"/>
        </w:trPr>
        <w:tc>
          <w:tcPr>
            <w:tcW w:w="651" w:type="dxa"/>
            <w:vMerge w:val="continue"/>
            <w:tcBorders>
              <w:left w:val="single" w:color="808080" w:sz="8" w:space="0"/>
              <w:bottom w:val="single" w:color="808080" w:sz="8" w:space="0"/>
              <w:right w:val="single" w:color="808080" w:sz="8" w:space="0"/>
            </w:tcBorders>
            <w:vAlign w:val="center"/>
          </w:tcPr>
          <w:p w14:paraId="7B5D7238">
            <w:pPr>
              <w:pStyle w:val="785"/>
              <w:spacing w:line="320" w:lineRule="exact"/>
              <w:rPr>
                <w:rFonts w:ascii="宋体" w:hAnsi="宋体" w:eastAsia="宋体" w:cs="宋体"/>
                <w:sz w:val="21"/>
                <w:szCs w:val="21"/>
              </w:rPr>
            </w:pPr>
          </w:p>
        </w:tc>
        <w:tc>
          <w:tcPr>
            <w:tcW w:w="987" w:type="dxa"/>
            <w:vMerge w:val="continue"/>
            <w:tcBorders>
              <w:bottom w:val="single" w:color="808080" w:sz="8" w:space="0"/>
              <w:right w:val="single" w:color="808080" w:sz="8" w:space="0"/>
            </w:tcBorders>
            <w:vAlign w:val="center"/>
          </w:tcPr>
          <w:p w14:paraId="3F9C413F">
            <w:pPr>
              <w:pStyle w:val="785"/>
              <w:spacing w:line="320" w:lineRule="exact"/>
              <w:rPr>
                <w:rFonts w:ascii="宋体" w:hAnsi="宋体" w:eastAsia="宋体" w:cs="宋体"/>
                <w:sz w:val="21"/>
                <w:szCs w:val="21"/>
              </w:rPr>
            </w:pP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62584E36">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高杆照明</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63904435">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参照《市道路照明设施维护质量标准》</w:t>
            </w:r>
          </w:p>
        </w:tc>
        <w:tc>
          <w:tcPr>
            <w:tcW w:w="2431" w:type="dxa"/>
            <w:vMerge w:val="continue"/>
            <w:tcBorders>
              <w:bottom w:val="single" w:color="808080" w:sz="8" w:space="0"/>
              <w:right w:val="single" w:color="808080" w:sz="8" w:space="0"/>
            </w:tcBorders>
            <w:vAlign w:val="center"/>
          </w:tcPr>
          <w:p w14:paraId="1B27EAF8">
            <w:pPr>
              <w:pStyle w:val="785"/>
              <w:spacing w:line="320" w:lineRule="exact"/>
              <w:rPr>
                <w:rFonts w:ascii="宋体" w:hAnsi="宋体" w:eastAsia="宋体" w:cs="宋体"/>
                <w:sz w:val="21"/>
                <w:szCs w:val="21"/>
              </w:rPr>
            </w:pP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4B701C28">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4A13CF73">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577" w:hRule="atLeast"/>
          <w:jc w:val="center"/>
        </w:trPr>
        <w:tc>
          <w:tcPr>
            <w:tcW w:w="651" w:type="dxa"/>
            <w:vMerge w:val="continue"/>
            <w:tcBorders>
              <w:left w:val="single" w:color="808080" w:sz="8" w:space="0"/>
              <w:bottom w:val="single" w:color="808080" w:sz="8" w:space="0"/>
              <w:right w:val="single" w:color="808080" w:sz="8" w:space="0"/>
            </w:tcBorders>
            <w:vAlign w:val="center"/>
          </w:tcPr>
          <w:p w14:paraId="6970740C">
            <w:pPr>
              <w:pStyle w:val="785"/>
              <w:spacing w:line="320" w:lineRule="exact"/>
              <w:rPr>
                <w:rFonts w:ascii="宋体" w:hAnsi="宋体" w:eastAsia="宋体" w:cs="宋体"/>
                <w:sz w:val="21"/>
                <w:szCs w:val="21"/>
              </w:rPr>
            </w:pPr>
          </w:p>
        </w:tc>
        <w:tc>
          <w:tcPr>
            <w:tcW w:w="987" w:type="dxa"/>
            <w:vMerge w:val="continue"/>
            <w:tcBorders>
              <w:bottom w:val="single" w:color="808080" w:sz="8" w:space="0"/>
              <w:right w:val="single" w:color="808080" w:sz="8" w:space="0"/>
            </w:tcBorders>
            <w:vAlign w:val="center"/>
          </w:tcPr>
          <w:p w14:paraId="723B69A5">
            <w:pPr>
              <w:pStyle w:val="785"/>
              <w:spacing w:line="320" w:lineRule="exact"/>
              <w:rPr>
                <w:rFonts w:ascii="宋体" w:hAnsi="宋体" w:eastAsia="宋体" w:cs="宋体"/>
                <w:sz w:val="21"/>
                <w:szCs w:val="21"/>
              </w:rPr>
            </w:pP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6447DD04">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专用灯杆</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212AD034">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参照《市道路照明设施维护质量标准》</w:t>
            </w:r>
          </w:p>
        </w:tc>
        <w:tc>
          <w:tcPr>
            <w:tcW w:w="2431" w:type="dxa"/>
            <w:vMerge w:val="continue"/>
            <w:tcBorders>
              <w:bottom w:val="single" w:color="808080" w:sz="8" w:space="0"/>
              <w:right w:val="single" w:color="808080" w:sz="8" w:space="0"/>
            </w:tcBorders>
            <w:vAlign w:val="center"/>
          </w:tcPr>
          <w:p w14:paraId="6E489BF2">
            <w:pPr>
              <w:pStyle w:val="785"/>
              <w:spacing w:line="320" w:lineRule="exact"/>
              <w:rPr>
                <w:rFonts w:ascii="宋体" w:hAnsi="宋体" w:eastAsia="宋体" w:cs="宋体"/>
                <w:sz w:val="21"/>
                <w:szCs w:val="21"/>
              </w:rPr>
            </w:pP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4A645370">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78B29C3A">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787" w:hRule="atLeast"/>
          <w:jc w:val="center"/>
        </w:trPr>
        <w:tc>
          <w:tcPr>
            <w:tcW w:w="651" w:type="dxa"/>
            <w:vMerge w:val="continue"/>
            <w:tcBorders>
              <w:left w:val="single" w:color="808080" w:sz="8" w:space="0"/>
              <w:bottom w:val="single" w:color="808080" w:sz="8" w:space="0"/>
              <w:right w:val="single" w:color="808080" w:sz="8" w:space="0"/>
            </w:tcBorders>
            <w:vAlign w:val="center"/>
          </w:tcPr>
          <w:p w14:paraId="4AA1ABAE">
            <w:pPr>
              <w:pStyle w:val="785"/>
              <w:spacing w:line="320" w:lineRule="exact"/>
              <w:rPr>
                <w:rFonts w:ascii="宋体" w:hAnsi="宋体" w:eastAsia="宋体" w:cs="宋体"/>
                <w:sz w:val="21"/>
                <w:szCs w:val="21"/>
              </w:rPr>
            </w:pPr>
          </w:p>
        </w:tc>
        <w:tc>
          <w:tcPr>
            <w:tcW w:w="987" w:type="dxa"/>
            <w:vMerge w:val="continue"/>
            <w:tcBorders>
              <w:bottom w:val="single" w:color="808080" w:sz="8" w:space="0"/>
              <w:right w:val="single" w:color="808080" w:sz="8" w:space="0"/>
            </w:tcBorders>
            <w:vAlign w:val="center"/>
          </w:tcPr>
          <w:p w14:paraId="327E9BF3">
            <w:pPr>
              <w:pStyle w:val="785"/>
              <w:spacing w:line="320" w:lineRule="exact"/>
              <w:rPr>
                <w:rFonts w:ascii="宋体" w:hAnsi="宋体" w:eastAsia="宋体" w:cs="宋体"/>
                <w:sz w:val="21"/>
                <w:szCs w:val="21"/>
              </w:rPr>
            </w:pP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669DA164">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三遥</w:t>
            </w:r>
            <w:r>
              <w:rPr>
                <w:rFonts w:hint="eastAsia" w:ascii="宋体" w:hAnsi="宋体" w:eastAsia="宋体" w:cs="宋体"/>
                <w:bCs/>
                <w:sz w:val="21"/>
                <w:szCs w:val="21"/>
              </w:rPr>
              <w:t>集控</w:t>
            </w:r>
            <w:r>
              <w:rPr>
                <w:rFonts w:hint="eastAsia" w:ascii="宋体" w:hAnsi="宋体" w:eastAsia="宋体" w:cs="宋体"/>
                <w:sz w:val="21"/>
                <w:szCs w:val="21"/>
              </w:rPr>
              <w:t>及时控器</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3C6D94FA">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参照《市道路照明设施维护质量标准》</w:t>
            </w:r>
          </w:p>
        </w:tc>
        <w:tc>
          <w:tcPr>
            <w:tcW w:w="2431" w:type="dxa"/>
            <w:vMerge w:val="continue"/>
            <w:tcBorders>
              <w:bottom w:val="single" w:color="808080" w:sz="8" w:space="0"/>
              <w:right w:val="single" w:color="808080" w:sz="8" w:space="0"/>
            </w:tcBorders>
            <w:vAlign w:val="center"/>
          </w:tcPr>
          <w:p w14:paraId="7638408D">
            <w:pPr>
              <w:pStyle w:val="785"/>
              <w:spacing w:line="320" w:lineRule="exact"/>
              <w:rPr>
                <w:rFonts w:ascii="宋体" w:hAnsi="宋体" w:eastAsia="宋体" w:cs="宋体"/>
                <w:sz w:val="21"/>
                <w:szCs w:val="21"/>
              </w:rPr>
            </w:pP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2E9622D5">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40AC3508">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682" w:hRule="atLeast"/>
          <w:jc w:val="center"/>
        </w:trPr>
        <w:tc>
          <w:tcPr>
            <w:tcW w:w="651" w:type="dxa"/>
            <w:vMerge w:val="continue"/>
            <w:tcBorders>
              <w:left w:val="single" w:color="808080" w:sz="8" w:space="0"/>
              <w:bottom w:val="single" w:color="808080" w:sz="8" w:space="0"/>
              <w:right w:val="single" w:color="808080" w:sz="8" w:space="0"/>
            </w:tcBorders>
            <w:vAlign w:val="center"/>
          </w:tcPr>
          <w:p w14:paraId="2405E567">
            <w:pPr>
              <w:pStyle w:val="785"/>
              <w:spacing w:line="320" w:lineRule="exact"/>
              <w:rPr>
                <w:rFonts w:ascii="宋体" w:hAnsi="宋体" w:eastAsia="宋体" w:cs="宋体"/>
                <w:sz w:val="21"/>
                <w:szCs w:val="21"/>
              </w:rPr>
            </w:pPr>
          </w:p>
        </w:tc>
        <w:tc>
          <w:tcPr>
            <w:tcW w:w="987" w:type="dxa"/>
            <w:vMerge w:val="continue"/>
            <w:tcBorders>
              <w:bottom w:val="single" w:color="808080" w:sz="8" w:space="0"/>
              <w:right w:val="single" w:color="808080" w:sz="8" w:space="0"/>
            </w:tcBorders>
            <w:vAlign w:val="center"/>
          </w:tcPr>
          <w:p w14:paraId="37FEAAFD">
            <w:pPr>
              <w:pStyle w:val="785"/>
              <w:spacing w:line="320" w:lineRule="exact"/>
              <w:rPr>
                <w:rFonts w:ascii="宋体" w:hAnsi="宋体" w:eastAsia="宋体" w:cs="宋体"/>
                <w:sz w:val="21"/>
                <w:szCs w:val="21"/>
              </w:rPr>
            </w:pP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304CF362">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安全保护</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7652D04A">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参照《市道路照明设施维护质量标准》</w:t>
            </w:r>
          </w:p>
        </w:tc>
        <w:tc>
          <w:tcPr>
            <w:tcW w:w="2431" w:type="dxa"/>
            <w:vMerge w:val="continue"/>
            <w:tcBorders>
              <w:bottom w:val="single" w:color="808080" w:sz="8" w:space="0"/>
              <w:right w:val="single" w:color="808080" w:sz="8" w:space="0"/>
            </w:tcBorders>
            <w:vAlign w:val="center"/>
          </w:tcPr>
          <w:p w14:paraId="252757A8">
            <w:pPr>
              <w:pStyle w:val="785"/>
              <w:spacing w:line="320" w:lineRule="exact"/>
              <w:rPr>
                <w:rFonts w:ascii="宋体" w:hAnsi="宋体" w:eastAsia="宋体" w:cs="宋体"/>
                <w:sz w:val="21"/>
                <w:szCs w:val="21"/>
              </w:rPr>
            </w:pP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3BD31726">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3ADB5899">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809" w:hRule="atLeast"/>
          <w:jc w:val="center"/>
        </w:trPr>
        <w:tc>
          <w:tcPr>
            <w:tcW w:w="651" w:type="dxa"/>
            <w:vMerge w:val="restart"/>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2A6279FF">
            <w:pPr>
              <w:pStyle w:val="785"/>
              <w:spacing w:line="320" w:lineRule="exact"/>
              <w:jc w:val="center"/>
              <w:rPr>
                <w:rFonts w:ascii="宋体" w:hAnsi="宋体" w:eastAsia="宋体" w:cs="宋体"/>
                <w:sz w:val="21"/>
                <w:szCs w:val="21"/>
              </w:rPr>
            </w:pPr>
            <w:r>
              <w:rPr>
                <w:rFonts w:hint="eastAsia" w:ascii="宋体" w:hAnsi="宋体" w:eastAsia="宋体" w:cs="宋体"/>
                <w:bCs/>
                <w:sz w:val="21"/>
                <w:szCs w:val="21"/>
              </w:rPr>
              <w:t>5</w:t>
            </w:r>
          </w:p>
        </w:tc>
        <w:tc>
          <w:tcPr>
            <w:tcW w:w="987" w:type="dxa"/>
            <w:vMerge w:val="restart"/>
            <w:tcBorders>
              <w:bottom w:val="single" w:color="808080" w:sz="8" w:space="0"/>
              <w:right w:val="single" w:color="808080" w:sz="8" w:space="0"/>
            </w:tcBorders>
            <w:tcMar>
              <w:top w:w="57" w:type="dxa"/>
              <w:left w:w="57" w:type="dxa"/>
              <w:bottom w:w="57" w:type="dxa"/>
              <w:right w:w="57" w:type="dxa"/>
            </w:tcMar>
            <w:vAlign w:val="center"/>
          </w:tcPr>
          <w:p w14:paraId="36EB652D">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运行</w:t>
            </w:r>
          </w:p>
          <w:p w14:paraId="1307B689">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故障</w:t>
            </w:r>
          </w:p>
        </w:tc>
        <w:tc>
          <w:tcPr>
            <w:tcW w:w="1056" w:type="dxa"/>
            <w:vMerge w:val="restart"/>
            <w:tcBorders>
              <w:bottom w:val="single" w:color="808080" w:sz="8" w:space="0"/>
              <w:right w:val="single" w:color="808080" w:sz="8" w:space="0"/>
            </w:tcBorders>
            <w:tcMar>
              <w:top w:w="57" w:type="dxa"/>
              <w:left w:w="57" w:type="dxa"/>
              <w:bottom w:w="57" w:type="dxa"/>
              <w:right w:w="57" w:type="dxa"/>
            </w:tcMar>
            <w:vAlign w:val="center"/>
          </w:tcPr>
          <w:p w14:paraId="709175DD">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安全</w:t>
            </w:r>
          </w:p>
          <w:p w14:paraId="7B8DF9B6">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措施 </w:t>
            </w:r>
          </w:p>
        </w:tc>
        <w:tc>
          <w:tcPr>
            <w:tcW w:w="3493" w:type="dxa"/>
            <w:tcBorders>
              <w:bottom w:val="single" w:color="auto" w:sz="4" w:space="0"/>
              <w:right w:val="single" w:color="808080" w:sz="8" w:space="0"/>
            </w:tcBorders>
            <w:tcMar>
              <w:top w:w="57" w:type="dxa"/>
              <w:left w:w="57" w:type="dxa"/>
              <w:bottom w:w="57" w:type="dxa"/>
              <w:right w:w="57" w:type="dxa"/>
            </w:tcMar>
            <w:vAlign w:val="center"/>
          </w:tcPr>
          <w:p w14:paraId="2A1DD92E">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1、能源管理单位需要在开灯检修需封道时，应事先经相关部门批准。</w:t>
            </w:r>
          </w:p>
        </w:tc>
        <w:tc>
          <w:tcPr>
            <w:tcW w:w="2431" w:type="dxa"/>
            <w:tcBorders>
              <w:bottom w:val="single" w:color="auto" w:sz="4" w:space="0"/>
              <w:right w:val="single" w:color="808080" w:sz="8" w:space="0"/>
            </w:tcBorders>
            <w:tcMar>
              <w:top w:w="57" w:type="dxa"/>
              <w:left w:w="57" w:type="dxa"/>
              <w:bottom w:w="57" w:type="dxa"/>
              <w:right w:w="57" w:type="dxa"/>
            </w:tcMar>
            <w:vAlign w:val="bottom"/>
          </w:tcPr>
          <w:p w14:paraId="0D9ACF94">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1、未获批准实施检修一次扣2000元</w:t>
            </w: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07499C8E">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4F36F908">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898" w:hRule="atLeast"/>
          <w:jc w:val="center"/>
        </w:trPr>
        <w:tc>
          <w:tcPr>
            <w:tcW w:w="651" w:type="dxa"/>
            <w:vMerge w:val="continue"/>
            <w:tcBorders>
              <w:left w:val="single" w:color="808080" w:sz="8" w:space="0"/>
              <w:bottom w:val="single" w:color="808080" w:sz="8" w:space="0"/>
              <w:right w:val="single" w:color="808080" w:sz="8" w:space="0"/>
            </w:tcBorders>
            <w:vAlign w:val="center"/>
          </w:tcPr>
          <w:p w14:paraId="6F04C9BF">
            <w:pPr>
              <w:pStyle w:val="785"/>
              <w:spacing w:line="320" w:lineRule="exact"/>
              <w:rPr>
                <w:rFonts w:ascii="宋体" w:hAnsi="宋体" w:eastAsia="宋体" w:cs="宋体"/>
                <w:sz w:val="21"/>
                <w:szCs w:val="21"/>
              </w:rPr>
            </w:pPr>
          </w:p>
        </w:tc>
        <w:tc>
          <w:tcPr>
            <w:tcW w:w="987" w:type="dxa"/>
            <w:vMerge w:val="continue"/>
            <w:tcBorders>
              <w:bottom w:val="single" w:color="808080" w:sz="8" w:space="0"/>
              <w:right w:val="single" w:color="808080" w:sz="8" w:space="0"/>
            </w:tcBorders>
            <w:vAlign w:val="center"/>
          </w:tcPr>
          <w:p w14:paraId="75F3AC37">
            <w:pPr>
              <w:pStyle w:val="785"/>
              <w:spacing w:line="320" w:lineRule="exact"/>
              <w:rPr>
                <w:rFonts w:ascii="宋体" w:hAnsi="宋体" w:eastAsia="宋体" w:cs="宋体"/>
                <w:sz w:val="21"/>
                <w:szCs w:val="21"/>
              </w:rPr>
            </w:pPr>
          </w:p>
        </w:tc>
        <w:tc>
          <w:tcPr>
            <w:tcW w:w="1056" w:type="dxa"/>
            <w:vMerge w:val="continue"/>
            <w:tcBorders>
              <w:bottom w:val="single" w:color="808080" w:sz="8" w:space="0"/>
              <w:right w:val="single" w:color="808080" w:sz="8" w:space="0"/>
            </w:tcBorders>
            <w:vAlign w:val="center"/>
          </w:tcPr>
          <w:p w14:paraId="66732280">
            <w:pPr>
              <w:pStyle w:val="785"/>
              <w:spacing w:line="320" w:lineRule="exact"/>
              <w:rPr>
                <w:rFonts w:ascii="宋体" w:hAnsi="宋体" w:eastAsia="宋体" w:cs="宋体"/>
                <w:sz w:val="21"/>
                <w:szCs w:val="21"/>
              </w:rPr>
            </w:pPr>
          </w:p>
        </w:tc>
        <w:tc>
          <w:tcPr>
            <w:tcW w:w="3493" w:type="dxa"/>
            <w:tcBorders>
              <w:top w:val="single" w:color="auto" w:sz="4" w:space="0"/>
              <w:bottom w:val="single" w:color="808080" w:sz="8" w:space="0"/>
              <w:right w:val="single" w:color="808080" w:sz="8" w:space="0"/>
            </w:tcBorders>
            <w:tcMar>
              <w:top w:w="57" w:type="dxa"/>
              <w:left w:w="57" w:type="dxa"/>
              <w:bottom w:w="57" w:type="dxa"/>
              <w:right w:w="57" w:type="dxa"/>
            </w:tcMar>
            <w:vAlign w:val="center"/>
          </w:tcPr>
          <w:p w14:paraId="666A987D">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2、没有因运行故障造成的成片或成线的灭灯。</w:t>
            </w:r>
          </w:p>
        </w:tc>
        <w:tc>
          <w:tcPr>
            <w:tcW w:w="2431" w:type="dxa"/>
            <w:tcBorders>
              <w:top w:val="single" w:color="auto" w:sz="4" w:space="0"/>
              <w:bottom w:val="single" w:color="808080" w:sz="8" w:space="0"/>
              <w:right w:val="single" w:color="808080" w:sz="8" w:space="0"/>
            </w:tcBorders>
            <w:vAlign w:val="center"/>
          </w:tcPr>
          <w:p w14:paraId="277D9BC6">
            <w:pPr>
              <w:pStyle w:val="785"/>
              <w:spacing w:line="320" w:lineRule="exact"/>
              <w:rPr>
                <w:rFonts w:ascii="宋体" w:hAnsi="宋体" w:eastAsia="宋体" w:cs="宋体"/>
                <w:sz w:val="21"/>
                <w:szCs w:val="21"/>
              </w:rPr>
            </w:pPr>
            <w:r>
              <w:rPr>
                <w:rFonts w:hint="eastAsia" w:ascii="宋体" w:hAnsi="宋体" w:eastAsia="宋体" w:cs="宋体"/>
                <w:sz w:val="21"/>
                <w:szCs w:val="21"/>
              </w:rPr>
              <w:t>1、运行故障每次扣20000元</w:t>
            </w: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4BB31BA6">
            <w:pPr>
              <w:pStyle w:val="785"/>
              <w:spacing w:line="320" w:lineRule="exact"/>
              <w:ind w:firstLine="880"/>
              <w:jc w:val="center"/>
              <w:rPr>
                <w:rFonts w:ascii="宋体" w:hAnsi="宋体" w:eastAsia="宋体" w:cs="宋体"/>
                <w:sz w:val="21"/>
                <w:szCs w:val="21"/>
              </w:rPr>
            </w:pPr>
            <w:r>
              <w:rPr>
                <w:rFonts w:hint="eastAsia" w:ascii="宋体" w:hAnsi="宋体" w:eastAsia="宋体" w:cs="宋体"/>
                <w:sz w:val="21"/>
                <w:szCs w:val="21"/>
              </w:rPr>
              <w:t> </w:t>
            </w:r>
          </w:p>
        </w:tc>
      </w:tr>
      <w:tr w14:paraId="2DF84BC1">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4247" w:hRule="atLeast"/>
          <w:jc w:val="center"/>
        </w:trPr>
        <w:tc>
          <w:tcPr>
            <w:tcW w:w="651" w:type="dxa"/>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6879D838">
            <w:pPr>
              <w:pStyle w:val="785"/>
              <w:spacing w:line="320" w:lineRule="exact"/>
              <w:jc w:val="center"/>
              <w:rPr>
                <w:rFonts w:ascii="宋体" w:hAnsi="宋体" w:eastAsia="宋体" w:cs="宋体"/>
                <w:sz w:val="21"/>
                <w:szCs w:val="21"/>
              </w:rPr>
            </w:pPr>
            <w:r>
              <w:rPr>
                <w:rFonts w:hint="eastAsia" w:ascii="宋体" w:hAnsi="宋体" w:eastAsia="宋体" w:cs="宋体"/>
                <w:bCs/>
                <w:sz w:val="21"/>
                <w:szCs w:val="21"/>
              </w:rPr>
              <w:t>6</w:t>
            </w:r>
          </w:p>
        </w:tc>
        <w:tc>
          <w:tcPr>
            <w:tcW w:w="987" w:type="dxa"/>
            <w:tcBorders>
              <w:bottom w:val="single" w:color="808080" w:sz="8" w:space="0"/>
              <w:right w:val="single" w:color="808080" w:sz="8" w:space="0"/>
            </w:tcBorders>
            <w:tcMar>
              <w:top w:w="57" w:type="dxa"/>
              <w:left w:w="57" w:type="dxa"/>
              <w:bottom w:w="57" w:type="dxa"/>
              <w:right w:w="57" w:type="dxa"/>
            </w:tcMar>
            <w:vAlign w:val="center"/>
          </w:tcPr>
          <w:p w14:paraId="218AA241">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完成社会承诺</w:t>
            </w: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560FBB42">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03D0AD27">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1、一般故障24小时内修复，复杂故障72小时内修复遇恶劣天气、工程量较大等特殊原因除外）</w:t>
            </w:r>
          </w:p>
          <w:p w14:paraId="32831A26">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2、投诉及故障处理结束后，应在24小时内将处理情况报公运中心，同时回复反映人。</w:t>
            </w:r>
          </w:p>
          <w:p w14:paraId="18C21F0A">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3、接收业主或最多一小时指挥中心指令的必须在30分钟赶到现场，采取紧急措施，排除险情。</w:t>
            </w:r>
          </w:p>
          <w:p w14:paraId="74214E15">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4、接收业主或最多一小时指挥中心派单的，按派单限定期限处理完成，无法完成的，需提前报最多一小时指挥中心同意。</w:t>
            </w:r>
          </w:p>
        </w:tc>
        <w:tc>
          <w:tcPr>
            <w:tcW w:w="2431" w:type="dxa"/>
            <w:tcBorders>
              <w:bottom w:val="single" w:color="808080" w:sz="8" w:space="0"/>
              <w:right w:val="single" w:color="808080" w:sz="8" w:space="0"/>
            </w:tcBorders>
            <w:tcMar>
              <w:top w:w="57" w:type="dxa"/>
              <w:left w:w="57" w:type="dxa"/>
              <w:bottom w:w="57" w:type="dxa"/>
              <w:right w:w="57" w:type="dxa"/>
            </w:tcMar>
            <w:vAlign w:val="bottom"/>
          </w:tcPr>
          <w:p w14:paraId="004F7910">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1、各类故障、事故未按期修复的，每拖延一天（24小时）扣除10000元/次（盏、套）天</w:t>
            </w:r>
          </w:p>
          <w:p w14:paraId="08A1B071">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2、投诉未能及时修复或故障未能彻底修复引起重复投诉，每次扣3000元</w:t>
            </w:r>
          </w:p>
          <w:p w14:paraId="127ED080">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3、抢修未能在规定时间内赶到现场的每次扣3000元</w:t>
            </w:r>
          </w:p>
          <w:p w14:paraId="6C3E7B0F">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4、未及时回复的每次扣5000元</w:t>
            </w: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6660F043">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3FCAADD8">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3179" w:hRule="atLeast"/>
          <w:jc w:val="center"/>
        </w:trPr>
        <w:tc>
          <w:tcPr>
            <w:tcW w:w="651" w:type="dxa"/>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07C5DB0D">
            <w:pPr>
              <w:pStyle w:val="785"/>
              <w:spacing w:line="320" w:lineRule="exact"/>
              <w:jc w:val="center"/>
              <w:rPr>
                <w:rFonts w:ascii="宋体" w:hAnsi="宋体" w:eastAsia="宋体" w:cs="宋体"/>
                <w:sz w:val="21"/>
                <w:szCs w:val="21"/>
              </w:rPr>
            </w:pPr>
            <w:r>
              <w:rPr>
                <w:rFonts w:hint="eastAsia" w:ascii="宋体" w:hAnsi="宋体" w:eastAsia="宋体" w:cs="宋体"/>
                <w:bCs/>
                <w:sz w:val="21"/>
                <w:szCs w:val="21"/>
              </w:rPr>
              <w:t>7</w:t>
            </w:r>
          </w:p>
        </w:tc>
        <w:tc>
          <w:tcPr>
            <w:tcW w:w="987" w:type="dxa"/>
            <w:tcBorders>
              <w:bottom w:val="single" w:color="808080" w:sz="8" w:space="0"/>
              <w:right w:val="single" w:color="808080" w:sz="8" w:space="0"/>
            </w:tcBorders>
            <w:tcMar>
              <w:top w:w="57" w:type="dxa"/>
              <w:left w:w="57" w:type="dxa"/>
              <w:bottom w:w="57" w:type="dxa"/>
              <w:right w:w="57" w:type="dxa"/>
            </w:tcMar>
            <w:vAlign w:val="center"/>
          </w:tcPr>
          <w:p w14:paraId="7AB8EDE2">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安全</w:t>
            </w: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6040568B">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403F8D7B">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无重大安全责任事故</w:t>
            </w:r>
          </w:p>
        </w:tc>
        <w:tc>
          <w:tcPr>
            <w:tcW w:w="2431" w:type="dxa"/>
            <w:tcBorders>
              <w:bottom w:val="single" w:color="808080" w:sz="8" w:space="0"/>
              <w:right w:val="single" w:color="808080" w:sz="8" w:space="0"/>
            </w:tcBorders>
            <w:tcMar>
              <w:top w:w="57" w:type="dxa"/>
              <w:left w:w="57" w:type="dxa"/>
              <w:bottom w:w="57" w:type="dxa"/>
              <w:right w:w="57" w:type="dxa"/>
            </w:tcMar>
            <w:vAlign w:val="bottom"/>
          </w:tcPr>
          <w:p w14:paraId="0C8B21FD">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1、安全措施未落实，每次扣5000元</w:t>
            </w:r>
          </w:p>
          <w:p w14:paraId="1A5D5327">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2、发生全责或主责的人身伤害事故和重大财产损失，根据市安全生产管理规定相关要求执行；发生次责的根据事故造成危害程度确定。</w:t>
            </w:r>
          </w:p>
          <w:p w14:paraId="24A52F44">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3、发生责任死亡事故，中止合同。</w:t>
            </w: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3344EE20">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00B326BB">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3875" w:hRule="atLeast"/>
          <w:jc w:val="center"/>
        </w:trPr>
        <w:tc>
          <w:tcPr>
            <w:tcW w:w="651" w:type="dxa"/>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5C3DBE59">
            <w:pPr>
              <w:pStyle w:val="785"/>
              <w:spacing w:line="320" w:lineRule="exact"/>
              <w:jc w:val="center"/>
              <w:rPr>
                <w:rFonts w:ascii="宋体" w:hAnsi="宋体" w:eastAsia="宋体" w:cs="宋体"/>
                <w:sz w:val="21"/>
                <w:szCs w:val="21"/>
              </w:rPr>
            </w:pPr>
            <w:r>
              <w:rPr>
                <w:rFonts w:hint="eastAsia" w:ascii="宋体" w:hAnsi="宋体" w:eastAsia="宋体" w:cs="宋体"/>
                <w:bCs/>
                <w:sz w:val="21"/>
                <w:szCs w:val="21"/>
              </w:rPr>
              <w:t>8</w:t>
            </w:r>
          </w:p>
        </w:tc>
        <w:tc>
          <w:tcPr>
            <w:tcW w:w="987" w:type="dxa"/>
            <w:tcBorders>
              <w:bottom w:val="single" w:color="808080" w:sz="8" w:space="0"/>
              <w:right w:val="single" w:color="808080" w:sz="8" w:space="0"/>
            </w:tcBorders>
            <w:tcMar>
              <w:top w:w="57" w:type="dxa"/>
              <w:left w:w="57" w:type="dxa"/>
              <w:bottom w:w="57" w:type="dxa"/>
              <w:right w:w="57" w:type="dxa"/>
            </w:tcMar>
            <w:vAlign w:val="center"/>
          </w:tcPr>
          <w:p w14:paraId="6ED04E7D">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台帐</w:t>
            </w: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03C9FE40">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0FC5AF27">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1、年度、月度维护作业计划（根据巡修频次制定）</w:t>
            </w:r>
          </w:p>
          <w:p w14:paraId="67186227">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2、维护技术文件（路灯分布图、控制系统图、变压器、节电器等相关技术资料）</w:t>
            </w:r>
          </w:p>
          <w:p w14:paraId="22904F40">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3、维护管理台帐（值班制度、人员培训、应急预案等）</w:t>
            </w:r>
          </w:p>
          <w:p w14:paraId="5C5560CE">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4、巡查维修台帐</w:t>
            </w:r>
          </w:p>
          <w:p w14:paraId="721B4C4C">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5、安全工作台帐（制定安全生产责任制及网络图、人员培训、安全生产检查制度、安全操作规程、安全隐患排查等）</w:t>
            </w:r>
          </w:p>
        </w:tc>
        <w:tc>
          <w:tcPr>
            <w:tcW w:w="2431" w:type="dxa"/>
            <w:tcBorders>
              <w:bottom w:val="single" w:color="808080" w:sz="8" w:space="0"/>
              <w:right w:val="single" w:color="808080" w:sz="8" w:space="0"/>
            </w:tcBorders>
            <w:tcMar>
              <w:top w:w="57" w:type="dxa"/>
              <w:left w:w="57" w:type="dxa"/>
              <w:bottom w:w="57" w:type="dxa"/>
              <w:right w:w="57" w:type="dxa"/>
            </w:tcMar>
            <w:vAlign w:val="bottom"/>
          </w:tcPr>
          <w:p w14:paraId="3A645E15">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1、无相关台帐，每缺一项扣500元</w:t>
            </w:r>
          </w:p>
          <w:p w14:paraId="70094C5C">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2、未按计划进行巡修，每次扣500元</w:t>
            </w:r>
          </w:p>
          <w:p w14:paraId="7540D0CE">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2、台帐不完整或数据不准确，每处扣200元</w:t>
            </w:r>
          </w:p>
          <w:p w14:paraId="7912883B">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3、在规定巡修周期内应发现并及时处理或汇报的设施问题，未及时处理或汇报，每处扣200元</w:t>
            </w:r>
          </w:p>
          <w:p w14:paraId="216D9302">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 </w:t>
            </w: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516D22EC">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7123E2C6">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90" w:hRule="atLeast"/>
          <w:jc w:val="center"/>
        </w:trPr>
        <w:tc>
          <w:tcPr>
            <w:tcW w:w="651" w:type="dxa"/>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4EAC6DC9">
            <w:pPr>
              <w:pStyle w:val="785"/>
              <w:spacing w:line="320" w:lineRule="exact"/>
              <w:jc w:val="center"/>
              <w:rPr>
                <w:rFonts w:ascii="宋体" w:hAnsi="宋体" w:eastAsia="宋体" w:cs="宋体"/>
                <w:sz w:val="21"/>
                <w:szCs w:val="21"/>
              </w:rPr>
            </w:pPr>
            <w:r>
              <w:rPr>
                <w:rFonts w:hint="eastAsia" w:ascii="宋体" w:hAnsi="宋体" w:eastAsia="宋体" w:cs="宋体"/>
                <w:bCs/>
                <w:sz w:val="21"/>
                <w:szCs w:val="21"/>
              </w:rPr>
              <w:t>9</w:t>
            </w:r>
          </w:p>
        </w:tc>
        <w:tc>
          <w:tcPr>
            <w:tcW w:w="987" w:type="dxa"/>
            <w:tcBorders>
              <w:bottom w:val="single" w:color="808080" w:sz="8" w:space="0"/>
              <w:right w:val="single" w:color="808080" w:sz="8" w:space="0"/>
            </w:tcBorders>
            <w:tcMar>
              <w:top w:w="57" w:type="dxa"/>
              <w:left w:w="57" w:type="dxa"/>
              <w:bottom w:w="57" w:type="dxa"/>
              <w:right w:w="57" w:type="dxa"/>
            </w:tcMar>
            <w:vAlign w:val="center"/>
          </w:tcPr>
          <w:p w14:paraId="759758B7">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其他</w:t>
            </w: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6236C255">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22EB112C">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1、能源管理单位不得擅自变更投标时所承诺的设计、所用光源及规格品牌等，如需变更均应事先报告公运中心批准。</w:t>
            </w:r>
          </w:p>
          <w:p w14:paraId="3E307071">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2、能源管理单位及职工不得在照明设施上私拉乱接其他供用电设施。</w:t>
            </w:r>
          </w:p>
          <w:p w14:paraId="756B979D">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3、能源管理单位应注意发现下列情况并及时上报、配合处理：（1）擅自拆除、迁移道路照明设施，（2）在道路照明设施附近堆放杂物、挖坑取土、兴建建（构）筑物，（3）在道路照明灯杆上架设通信电缆和安置其他设施等违章行为，（4）巡查发现私自接用路灯电源。</w:t>
            </w:r>
          </w:p>
          <w:p w14:paraId="2168750B">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4、能源管理单位需遵守文明施工相关规定，不得擅自开挖道路，确需开挖的应办理相关审批手续。</w:t>
            </w:r>
          </w:p>
        </w:tc>
        <w:tc>
          <w:tcPr>
            <w:tcW w:w="2431" w:type="dxa"/>
            <w:tcBorders>
              <w:bottom w:val="single" w:color="808080" w:sz="8" w:space="0"/>
              <w:right w:val="single" w:color="808080" w:sz="8" w:space="0"/>
            </w:tcBorders>
            <w:tcMar>
              <w:top w:w="57" w:type="dxa"/>
              <w:left w:w="57" w:type="dxa"/>
              <w:bottom w:w="57" w:type="dxa"/>
              <w:right w:w="57" w:type="dxa"/>
            </w:tcMar>
            <w:vAlign w:val="center"/>
          </w:tcPr>
          <w:p w14:paraId="3DA0DAA9">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1、擅自改变照明设施的，每处扣10000元</w:t>
            </w:r>
          </w:p>
          <w:p w14:paraId="2D8AC6BF">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2、擅自转供其他用电设施的，每处扣10000元</w:t>
            </w:r>
          </w:p>
          <w:p w14:paraId="19EB34EE">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3、未能及时发现私接路灯用电的，每处扣20000元</w:t>
            </w:r>
          </w:p>
          <w:p w14:paraId="6BD17497">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4、未能及时发现擅自拆除、迁移、私自接用路灯电源等危害公共照明设施行为的，每次扣50000元</w:t>
            </w:r>
          </w:p>
          <w:p w14:paraId="37C4CC55">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5、未遵守文明施工相关规定，每次扣2000元</w:t>
            </w: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2C1B2E3E">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r>
      <w:tr w14:paraId="537E2A67">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1661" w:hRule="atLeast"/>
          <w:jc w:val="center"/>
        </w:trPr>
        <w:tc>
          <w:tcPr>
            <w:tcW w:w="651" w:type="dxa"/>
            <w:tcBorders>
              <w:left w:val="single" w:color="808080" w:sz="8" w:space="0"/>
              <w:bottom w:val="single" w:color="808080" w:sz="8" w:space="0"/>
              <w:right w:val="single" w:color="808080" w:sz="8" w:space="0"/>
            </w:tcBorders>
            <w:tcMar>
              <w:top w:w="57" w:type="dxa"/>
              <w:left w:w="57" w:type="dxa"/>
              <w:bottom w:w="57" w:type="dxa"/>
              <w:right w:w="57" w:type="dxa"/>
            </w:tcMar>
            <w:vAlign w:val="center"/>
          </w:tcPr>
          <w:p w14:paraId="5328812F">
            <w:pPr>
              <w:pStyle w:val="785"/>
              <w:spacing w:line="320" w:lineRule="exact"/>
              <w:jc w:val="center"/>
              <w:rPr>
                <w:rFonts w:ascii="宋体" w:hAnsi="宋体" w:eastAsia="宋体" w:cs="宋体"/>
                <w:sz w:val="21"/>
                <w:szCs w:val="21"/>
              </w:rPr>
            </w:pPr>
            <w:r>
              <w:rPr>
                <w:rFonts w:hint="eastAsia" w:ascii="宋体" w:hAnsi="宋体" w:eastAsia="宋体" w:cs="宋体"/>
                <w:bCs/>
                <w:sz w:val="21"/>
                <w:szCs w:val="21"/>
              </w:rPr>
              <w:t>10</w:t>
            </w:r>
          </w:p>
        </w:tc>
        <w:tc>
          <w:tcPr>
            <w:tcW w:w="987" w:type="dxa"/>
            <w:tcBorders>
              <w:bottom w:val="single" w:color="808080" w:sz="8" w:space="0"/>
              <w:right w:val="single" w:color="808080" w:sz="8" w:space="0"/>
            </w:tcBorders>
            <w:tcMar>
              <w:top w:w="57" w:type="dxa"/>
              <w:left w:w="57" w:type="dxa"/>
              <w:bottom w:w="57" w:type="dxa"/>
              <w:right w:w="57" w:type="dxa"/>
            </w:tcMar>
            <w:vAlign w:val="center"/>
          </w:tcPr>
          <w:p w14:paraId="116CB020">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维修及时考核要 求</w:t>
            </w:r>
          </w:p>
        </w:tc>
        <w:tc>
          <w:tcPr>
            <w:tcW w:w="1056" w:type="dxa"/>
            <w:tcBorders>
              <w:bottom w:val="single" w:color="808080" w:sz="8" w:space="0"/>
              <w:right w:val="single" w:color="808080" w:sz="8" w:space="0"/>
            </w:tcBorders>
            <w:tcMar>
              <w:top w:w="57" w:type="dxa"/>
              <w:left w:w="57" w:type="dxa"/>
              <w:bottom w:w="57" w:type="dxa"/>
              <w:right w:w="57" w:type="dxa"/>
            </w:tcMar>
            <w:vAlign w:val="center"/>
          </w:tcPr>
          <w:p w14:paraId="6F6E8DB6">
            <w:pPr>
              <w:pStyle w:val="785"/>
              <w:spacing w:line="320" w:lineRule="exact"/>
              <w:ind w:firstLine="480"/>
              <w:jc w:val="center"/>
              <w:rPr>
                <w:rFonts w:ascii="宋体" w:hAnsi="宋体" w:eastAsia="宋体" w:cs="宋体"/>
                <w:sz w:val="21"/>
                <w:szCs w:val="21"/>
              </w:rPr>
            </w:pPr>
            <w:r>
              <w:rPr>
                <w:rFonts w:hint="eastAsia" w:ascii="宋体" w:hAnsi="宋体" w:eastAsia="宋体" w:cs="宋体"/>
                <w:sz w:val="21"/>
                <w:szCs w:val="21"/>
              </w:rPr>
              <w:t> </w:t>
            </w:r>
          </w:p>
        </w:tc>
        <w:tc>
          <w:tcPr>
            <w:tcW w:w="3493" w:type="dxa"/>
            <w:tcBorders>
              <w:bottom w:val="single" w:color="808080" w:sz="8" w:space="0"/>
              <w:right w:val="single" w:color="808080" w:sz="8" w:space="0"/>
            </w:tcBorders>
            <w:tcMar>
              <w:top w:w="57" w:type="dxa"/>
              <w:left w:w="57" w:type="dxa"/>
              <w:bottom w:w="57" w:type="dxa"/>
              <w:right w:w="57" w:type="dxa"/>
            </w:tcMar>
            <w:vAlign w:val="center"/>
          </w:tcPr>
          <w:p w14:paraId="5EBBE66D">
            <w:pPr>
              <w:pStyle w:val="785"/>
              <w:spacing w:line="320" w:lineRule="exact"/>
              <w:jc w:val="left"/>
              <w:rPr>
                <w:rFonts w:ascii="宋体" w:hAnsi="宋体" w:eastAsia="宋体" w:cs="宋体"/>
                <w:sz w:val="21"/>
                <w:szCs w:val="21"/>
              </w:rPr>
            </w:pPr>
            <w:r>
              <w:rPr>
                <w:rFonts w:hint="eastAsia" w:ascii="宋体" w:hAnsi="宋体" w:eastAsia="宋体" w:cs="宋体"/>
                <w:sz w:val="21"/>
                <w:szCs w:val="21"/>
              </w:rPr>
              <w:t>公运中心将养护中发现和存在的问题以限期整改意见书形式通知能源管理单位，能源管理单位需在规定期限内予以改正。</w:t>
            </w:r>
          </w:p>
        </w:tc>
        <w:tc>
          <w:tcPr>
            <w:tcW w:w="2431" w:type="dxa"/>
            <w:tcBorders>
              <w:bottom w:val="single" w:color="808080" w:sz="8" w:space="0"/>
              <w:right w:val="single" w:color="808080" w:sz="8" w:space="0"/>
            </w:tcBorders>
            <w:tcMar>
              <w:top w:w="57" w:type="dxa"/>
              <w:left w:w="57" w:type="dxa"/>
              <w:bottom w:w="57" w:type="dxa"/>
              <w:right w:w="57" w:type="dxa"/>
            </w:tcMar>
            <w:vAlign w:val="center"/>
          </w:tcPr>
          <w:p w14:paraId="500EE93F">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如超出期限七个工作日未改正的每次予以扣2000元，超过二周未改正的每次予以扣10000元。</w:t>
            </w:r>
          </w:p>
        </w:tc>
        <w:tc>
          <w:tcPr>
            <w:tcW w:w="1028" w:type="dxa"/>
            <w:tcBorders>
              <w:bottom w:val="single" w:color="808080" w:sz="8" w:space="0"/>
              <w:right w:val="single" w:color="808080" w:sz="8" w:space="0"/>
            </w:tcBorders>
            <w:tcMar>
              <w:top w:w="57" w:type="dxa"/>
              <w:left w:w="57" w:type="dxa"/>
              <w:bottom w:w="57" w:type="dxa"/>
              <w:right w:w="57" w:type="dxa"/>
            </w:tcMar>
            <w:vAlign w:val="center"/>
          </w:tcPr>
          <w:p w14:paraId="7A624B03">
            <w:pPr>
              <w:pStyle w:val="785"/>
              <w:spacing w:line="320" w:lineRule="exact"/>
              <w:ind w:firstLine="480"/>
              <w:jc w:val="center"/>
              <w:rPr>
                <w:rFonts w:ascii="宋体" w:hAnsi="宋体" w:eastAsia="宋体" w:cs="宋体"/>
                <w:sz w:val="21"/>
                <w:szCs w:val="21"/>
              </w:rPr>
            </w:pPr>
            <w:r>
              <w:rPr>
                <w:rFonts w:hint="eastAsia" w:ascii="宋体" w:hAnsi="宋体" w:eastAsia="宋体" w:cs="宋体"/>
                <w:sz w:val="21"/>
                <w:szCs w:val="21"/>
              </w:rPr>
              <w:t> </w:t>
            </w:r>
          </w:p>
        </w:tc>
      </w:tr>
      <w:tr w14:paraId="1BD953E2">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3950" w:hRule="atLeast"/>
          <w:jc w:val="center"/>
        </w:trPr>
        <w:tc>
          <w:tcPr>
            <w:tcW w:w="651" w:type="dxa"/>
            <w:tcBorders>
              <w:left w:val="single" w:color="808080" w:sz="8" w:space="0"/>
              <w:bottom w:val="single" w:color="auto" w:sz="4" w:space="0"/>
              <w:right w:val="single" w:color="808080" w:sz="8" w:space="0"/>
            </w:tcBorders>
            <w:tcMar>
              <w:top w:w="57" w:type="dxa"/>
              <w:left w:w="57" w:type="dxa"/>
              <w:bottom w:w="57" w:type="dxa"/>
              <w:right w:w="57" w:type="dxa"/>
            </w:tcMar>
            <w:vAlign w:val="center"/>
          </w:tcPr>
          <w:p w14:paraId="7A264384">
            <w:pPr>
              <w:pStyle w:val="785"/>
              <w:spacing w:line="320" w:lineRule="exact"/>
              <w:jc w:val="center"/>
              <w:rPr>
                <w:rFonts w:ascii="宋体" w:hAnsi="宋体" w:eastAsia="宋体" w:cs="宋体"/>
                <w:sz w:val="21"/>
                <w:szCs w:val="21"/>
              </w:rPr>
            </w:pPr>
            <w:r>
              <w:rPr>
                <w:rFonts w:hint="eastAsia" w:ascii="宋体" w:hAnsi="宋体" w:eastAsia="宋体" w:cs="宋体"/>
                <w:bCs/>
                <w:sz w:val="21"/>
                <w:szCs w:val="21"/>
              </w:rPr>
              <w:t>11</w:t>
            </w:r>
          </w:p>
        </w:tc>
        <w:tc>
          <w:tcPr>
            <w:tcW w:w="987" w:type="dxa"/>
            <w:tcBorders>
              <w:bottom w:val="single" w:color="auto" w:sz="4" w:space="0"/>
              <w:right w:val="single" w:color="808080" w:sz="8" w:space="0"/>
            </w:tcBorders>
            <w:tcMar>
              <w:top w:w="57" w:type="dxa"/>
              <w:left w:w="57" w:type="dxa"/>
              <w:bottom w:w="57" w:type="dxa"/>
              <w:right w:w="57" w:type="dxa"/>
            </w:tcMar>
            <w:vAlign w:val="center"/>
          </w:tcPr>
          <w:p w14:paraId="0BC355A6">
            <w:pPr>
              <w:pStyle w:val="785"/>
              <w:spacing w:line="320" w:lineRule="exact"/>
              <w:jc w:val="center"/>
              <w:rPr>
                <w:rFonts w:ascii="宋体" w:hAnsi="宋体" w:eastAsia="宋体" w:cs="宋体"/>
                <w:sz w:val="21"/>
                <w:szCs w:val="21"/>
              </w:rPr>
            </w:pPr>
            <w:r>
              <w:rPr>
                <w:rFonts w:hint="eastAsia" w:ascii="宋体" w:hAnsi="宋体" w:eastAsia="宋体" w:cs="宋体"/>
                <w:sz w:val="21"/>
                <w:szCs w:val="21"/>
              </w:rPr>
              <w:t>大型活动保障</w:t>
            </w:r>
          </w:p>
        </w:tc>
        <w:tc>
          <w:tcPr>
            <w:tcW w:w="1056" w:type="dxa"/>
            <w:tcBorders>
              <w:bottom w:val="single" w:color="auto" w:sz="4" w:space="0"/>
              <w:right w:val="single" w:color="808080" w:sz="8" w:space="0"/>
            </w:tcBorders>
            <w:tcMar>
              <w:top w:w="57" w:type="dxa"/>
              <w:left w:w="57" w:type="dxa"/>
              <w:bottom w:w="57" w:type="dxa"/>
              <w:right w:w="57" w:type="dxa"/>
            </w:tcMar>
            <w:vAlign w:val="center"/>
          </w:tcPr>
          <w:p w14:paraId="1A4452B7">
            <w:pPr>
              <w:pStyle w:val="785"/>
              <w:spacing w:line="320" w:lineRule="exact"/>
              <w:ind w:firstLine="420"/>
              <w:jc w:val="center"/>
              <w:rPr>
                <w:rFonts w:ascii="宋体" w:hAnsi="宋体" w:eastAsia="宋体" w:cs="宋体"/>
                <w:sz w:val="21"/>
                <w:szCs w:val="21"/>
              </w:rPr>
            </w:pPr>
            <w:r>
              <w:rPr>
                <w:rFonts w:hint="eastAsia" w:ascii="宋体" w:hAnsi="宋体" w:eastAsia="宋体" w:cs="宋体"/>
                <w:sz w:val="21"/>
                <w:szCs w:val="21"/>
              </w:rPr>
              <w:t> </w:t>
            </w:r>
          </w:p>
        </w:tc>
        <w:tc>
          <w:tcPr>
            <w:tcW w:w="3493" w:type="dxa"/>
            <w:tcBorders>
              <w:bottom w:val="single" w:color="auto" w:sz="4" w:space="0"/>
              <w:right w:val="single" w:color="808080" w:sz="8" w:space="0"/>
            </w:tcBorders>
            <w:tcMar>
              <w:top w:w="57" w:type="dxa"/>
              <w:left w:w="57" w:type="dxa"/>
              <w:bottom w:w="57" w:type="dxa"/>
              <w:right w:w="57" w:type="dxa"/>
            </w:tcMar>
            <w:vAlign w:val="center"/>
          </w:tcPr>
          <w:p w14:paraId="2D92B718">
            <w:pPr>
              <w:pStyle w:val="785"/>
              <w:spacing w:line="320" w:lineRule="exact"/>
              <w:jc w:val="left"/>
              <w:rPr>
                <w:rFonts w:ascii="宋体" w:hAnsi="宋体" w:eastAsia="宋体" w:cs="宋体"/>
                <w:sz w:val="21"/>
                <w:szCs w:val="21"/>
              </w:rPr>
            </w:pPr>
            <w:r>
              <w:rPr>
                <w:rFonts w:hint="eastAsia" w:ascii="宋体" w:hAnsi="宋体" w:eastAsia="宋体" w:cs="宋体"/>
                <w:sz w:val="21"/>
                <w:szCs w:val="21"/>
                <w:highlight w:val="none"/>
              </w:rPr>
              <w:t>路灯能源管理单位应保障</w:t>
            </w:r>
            <w:r>
              <w:rPr>
                <w:rFonts w:hint="eastAsia" w:ascii="宋体" w:hAnsi="宋体" w:eastAsia="宋体" w:cs="宋体"/>
                <w:sz w:val="21"/>
                <w:szCs w:val="21"/>
                <w:highlight w:val="none"/>
                <w:lang w:eastAsia="zh-CN"/>
              </w:rPr>
              <w:t>市、区</w:t>
            </w:r>
            <w:r>
              <w:rPr>
                <w:rFonts w:hint="eastAsia" w:ascii="宋体" w:hAnsi="宋体" w:eastAsia="宋体" w:cs="宋体"/>
                <w:sz w:val="21"/>
                <w:szCs w:val="21"/>
                <w:highlight w:val="none"/>
              </w:rPr>
              <w:t>举办的各类国际国内会议及大型节庆活动亮灯状况，活动前一周能源管理单位应反复检查养护区域内设施，及时排除或修复各类故障，要求亮灯率、设施完好率达到考核时指标，活动当天应安排工作人员现场保障</w:t>
            </w:r>
            <w:r>
              <w:rPr>
                <w:rFonts w:hint="eastAsia" w:ascii="宋体" w:hAnsi="宋体" w:eastAsia="宋体" w:cs="宋体"/>
                <w:bCs/>
                <w:sz w:val="21"/>
                <w:szCs w:val="21"/>
                <w:highlight w:val="none"/>
              </w:rPr>
              <w:t>，在接到</w:t>
            </w:r>
            <w:r>
              <w:rPr>
                <w:rFonts w:hint="eastAsia" w:ascii="宋体" w:hAnsi="宋体" w:eastAsia="宋体" w:cs="宋体"/>
                <w:bCs/>
                <w:sz w:val="21"/>
                <w:szCs w:val="21"/>
                <w:highlight w:val="none"/>
                <w:lang w:val="en-US" w:eastAsia="zh-CN"/>
              </w:rPr>
              <w:t>公运中心或相关部门</w:t>
            </w:r>
            <w:r>
              <w:rPr>
                <w:rFonts w:hint="eastAsia" w:ascii="宋体" w:hAnsi="宋体" w:eastAsia="宋体" w:cs="宋体"/>
                <w:bCs/>
                <w:sz w:val="21"/>
                <w:szCs w:val="21"/>
                <w:highlight w:val="none"/>
              </w:rPr>
              <w:t>的书面通知后未响应的，</w:t>
            </w:r>
            <w:r>
              <w:rPr>
                <w:rFonts w:hint="eastAsia" w:ascii="宋体" w:hAnsi="宋体" w:eastAsia="宋体" w:cs="宋体"/>
                <w:bCs/>
                <w:sz w:val="21"/>
                <w:szCs w:val="21"/>
                <w:highlight w:val="none"/>
                <w:lang w:eastAsia="zh-CN"/>
              </w:rPr>
              <w:t>公运中心</w:t>
            </w:r>
            <w:r>
              <w:rPr>
                <w:rFonts w:hint="eastAsia" w:ascii="宋体" w:hAnsi="宋体" w:eastAsia="宋体" w:cs="宋体"/>
                <w:bCs/>
                <w:sz w:val="21"/>
                <w:szCs w:val="21"/>
                <w:highlight w:val="none"/>
              </w:rPr>
              <w:t>有权委托他人维护，所发生的费用从能源管理单位维护费中扣除。</w:t>
            </w:r>
          </w:p>
        </w:tc>
        <w:tc>
          <w:tcPr>
            <w:tcW w:w="2431" w:type="dxa"/>
            <w:tcBorders>
              <w:bottom w:val="single" w:color="auto" w:sz="4" w:space="0"/>
              <w:right w:val="single" w:color="808080" w:sz="8" w:space="0"/>
            </w:tcBorders>
            <w:tcMar>
              <w:top w:w="57" w:type="dxa"/>
              <w:left w:w="57" w:type="dxa"/>
              <w:bottom w:w="57" w:type="dxa"/>
              <w:right w:w="57" w:type="dxa"/>
            </w:tcMar>
            <w:vAlign w:val="center"/>
          </w:tcPr>
          <w:p w14:paraId="492C81B5">
            <w:pPr>
              <w:pStyle w:val="785"/>
              <w:spacing w:line="320" w:lineRule="exact"/>
              <w:jc w:val="both"/>
              <w:rPr>
                <w:rFonts w:ascii="宋体" w:hAnsi="宋体" w:eastAsia="宋体" w:cs="宋体"/>
                <w:sz w:val="21"/>
                <w:szCs w:val="21"/>
              </w:rPr>
            </w:pPr>
            <w:r>
              <w:rPr>
                <w:rFonts w:hint="eastAsia" w:ascii="宋体" w:hAnsi="宋体" w:eastAsia="宋体" w:cs="宋体"/>
                <w:sz w:val="21"/>
                <w:szCs w:val="21"/>
              </w:rPr>
              <w:t>活动期间保障不力，每处扣10000元.</w:t>
            </w:r>
          </w:p>
        </w:tc>
        <w:tc>
          <w:tcPr>
            <w:tcW w:w="1028" w:type="dxa"/>
            <w:tcBorders>
              <w:bottom w:val="single" w:color="auto" w:sz="4" w:space="0"/>
              <w:right w:val="single" w:color="808080" w:sz="8" w:space="0"/>
            </w:tcBorders>
            <w:tcMar>
              <w:top w:w="57" w:type="dxa"/>
              <w:left w:w="57" w:type="dxa"/>
              <w:bottom w:w="57" w:type="dxa"/>
              <w:right w:w="57" w:type="dxa"/>
            </w:tcMar>
            <w:vAlign w:val="center"/>
          </w:tcPr>
          <w:p w14:paraId="5060568C">
            <w:pPr>
              <w:pStyle w:val="785"/>
              <w:spacing w:line="320" w:lineRule="exact"/>
              <w:ind w:firstLine="880"/>
              <w:jc w:val="center"/>
              <w:rPr>
                <w:rFonts w:ascii="宋体" w:hAnsi="宋体" w:eastAsia="宋体" w:cs="宋体"/>
                <w:sz w:val="21"/>
                <w:szCs w:val="21"/>
              </w:rPr>
            </w:pPr>
            <w:r>
              <w:rPr>
                <w:rFonts w:hint="eastAsia" w:ascii="宋体" w:hAnsi="宋体" w:eastAsia="宋体" w:cs="宋体"/>
                <w:sz w:val="21"/>
                <w:szCs w:val="21"/>
              </w:rPr>
              <w:t> </w:t>
            </w:r>
          </w:p>
        </w:tc>
      </w:tr>
      <w:tr w14:paraId="6E7BEFBF">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15" w:type="dxa"/>
            <w:left w:w="15" w:type="dxa"/>
            <w:bottom w:w="15" w:type="dxa"/>
            <w:right w:w="15" w:type="dxa"/>
          </w:tblCellMar>
        </w:tblPrEx>
        <w:trPr>
          <w:cantSplit/>
          <w:trHeight w:val="869" w:hRule="atLeast"/>
          <w:jc w:val="center"/>
        </w:trPr>
        <w:tc>
          <w:tcPr>
            <w:tcW w:w="651" w:type="dxa"/>
            <w:tcBorders>
              <w:top w:val="single" w:color="auto" w:sz="4" w:space="0"/>
              <w:left w:val="single" w:color="808080" w:sz="8" w:space="0"/>
              <w:bottom w:val="single" w:color="808080" w:sz="8" w:space="0"/>
              <w:right w:val="single" w:color="808080" w:sz="8" w:space="0"/>
            </w:tcBorders>
            <w:tcMar>
              <w:top w:w="57" w:type="dxa"/>
              <w:left w:w="57" w:type="dxa"/>
              <w:bottom w:w="57" w:type="dxa"/>
              <w:right w:w="57" w:type="dxa"/>
            </w:tcMar>
            <w:vAlign w:val="center"/>
          </w:tcPr>
          <w:p w14:paraId="1FEA3633">
            <w:pPr>
              <w:pStyle w:val="785"/>
              <w:spacing w:line="320" w:lineRule="exact"/>
              <w:jc w:val="both"/>
              <w:rPr>
                <w:rFonts w:hint="eastAsia" w:ascii="宋体" w:hAnsi="宋体" w:eastAsia="宋体" w:cs="宋体"/>
                <w:sz w:val="21"/>
                <w:szCs w:val="21"/>
              </w:rPr>
            </w:pPr>
            <w:r>
              <w:rPr>
                <w:rFonts w:hint="eastAsia" w:ascii="宋体" w:hAnsi="宋体" w:eastAsia="宋体" w:cs="宋体"/>
                <w:sz w:val="21"/>
                <w:szCs w:val="21"/>
              </w:rPr>
              <w:t>12</w:t>
            </w:r>
          </w:p>
        </w:tc>
        <w:tc>
          <w:tcPr>
            <w:tcW w:w="987" w:type="dxa"/>
            <w:tcBorders>
              <w:top w:val="single" w:color="auto" w:sz="4" w:space="0"/>
              <w:bottom w:val="single" w:color="808080" w:sz="8" w:space="0"/>
              <w:right w:val="single" w:color="808080" w:sz="8" w:space="0"/>
            </w:tcBorders>
            <w:tcMar>
              <w:top w:w="57" w:type="dxa"/>
              <w:left w:w="57" w:type="dxa"/>
              <w:bottom w:w="57" w:type="dxa"/>
              <w:right w:w="57" w:type="dxa"/>
            </w:tcMar>
            <w:vAlign w:val="center"/>
          </w:tcPr>
          <w:p w14:paraId="2DCCE911">
            <w:pPr>
              <w:pStyle w:val="785"/>
              <w:spacing w:line="320" w:lineRule="exact"/>
              <w:jc w:val="both"/>
              <w:rPr>
                <w:rFonts w:hint="eastAsia" w:ascii="宋体" w:hAnsi="宋体" w:eastAsia="宋体" w:cs="宋体"/>
                <w:sz w:val="21"/>
                <w:szCs w:val="21"/>
              </w:rPr>
            </w:pPr>
            <w:r>
              <w:rPr>
                <w:rFonts w:hint="eastAsia" w:ascii="宋体" w:hAnsi="宋体" w:eastAsia="宋体" w:cs="宋体"/>
                <w:sz w:val="21"/>
                <w:szCs w:val="21"/>
              </w:rPr>
              <w:t>按时缴纳电费</w:t>
            </w:r>
          </w:p>
        </w:tc>
        <w:tc>
          <w:tcPr>
            <w:tcW w:w="1056" w:type="dxa"/>
            <w:tcBorders>
              <w:top w:val="single" w:color="auto" w:sz="4" w:space="0"/>
              <w:bottom w:val="single" w:color="808080" w:sz="8" w:space="0"/>
              <w:right w:val="single" w:color="808080" w:sz="8" w:space="0"/>
            </w:tcBorders>
            <w:tcMar>
              <w:top w:w="57" w:type="dxa"/>
              <w:left w:w="57" w:type="dxa"/>
              <w:bottom w:w="57" w:type="dxa"/>
              <w:right w:w="57" w:type="dxa"/>
            </w:tcMar>
            <w:vAlign w:val="center"/>
          </w:tcPr>
          <w:p w14:paraId="4FC23E43">
            <w:pPr>
              <w:pStyle w:val="785"/>
              <w:spacing w:line="320" w:lineRule="exact"/>
              <w:jc w:val="both"/>
              <w:rPr>
                <w:rFonts w:hint="eastAsia" w:ascii="宋体" w:hAnsi="宋体" w:eastAsia="宋体" w:cs="宋体"/>
                <w:sz w:val="21"/>
                <w:szCs w:val="21"/>
              </w:rPr>
            </w:pPr>
          </w:p>
        </w:tc>
        <w:tc>
          <w:tcPr>
            <w:tcW w:w="3493" w:type="dxa"/>
            <w:tcBorders>
              <w:top w:val="single" w:color="auto" w:sz="4" w:space="0"/>
              <w:bottom w:val="single" w:color="808080" w:sz="8" w:space="0"/>
              <w:right w:val="single" w:color="808080" w:sz="8" w:space="0"/>
            </w:tcBorders>
            <w:tcMar>
              <w:top w:w="57" w:type="dxa"/>
              <w:left w:w="57" w:type="dxa"/>
              <w:bottom w:w="57" w:type="dxa"/>
              <w:right w:w="57" w:type="dxa"/>
            </w:tcMar>
            <w:vAlign w:val="center"/>
          </w:tcPr>
          <w:p w14:paraId="0FF8C5A8">
            <w:pPr>
              <w:pStyle w:val="785"/>
              <w:spacing w:line="320" w:lineRule="exact"/>
              <w:jc w:val="left"/>
              <w:rPr>
                <w:rFonts w:hint="eastAsia" w:ascii="宋体" w:hAnsi="宋体" w:eastAsia="宋体" w:cs="宋体"/>
                <w:sz w:val="21"/>
                <w:szCs w:val="21"/>
              </w:rPr>
            </w:pPr>
            <w:r>
              <w:rPr>
                <w:rFonts w:hint="eastAsia" w:ascii="宋体" w:hAnsi="宋体" w:eastAsia="宋体" w:cs="宋体"/>
                <w:sz w:val="21"/>
                <w:szCs w:val="21"/>
              </w:rPr>
              <w:t>能源</w:t>
            </w:r>
            <w:r>
              <w:rPr>
                <w:rFonts w:hint="eastAsia" w:ascii="宋体" w:hAnsi="宋体" w:eastAsia="宋体" w:cs="宋体"/>
                <w:color w:val="auto"/>
                <w:sz w:val="21"/>
                <w:szCs w:val="21"/>
              </w:rPr>
              <w:t>管理</w:t>
            </w:r>
            <w:r>
              <w:rPr>
                <w:rFonts w:hint="eastAsia" w:ascii="宋体" w:hAnsi="宋体" w:eastAsia="宋体" w:cs="宋体"/>
                <w:sz w:val="21"/>
                <w:szCs w:val="21"/>
              </w:rPr>
              <w:t>单位应该按时缴纳电费</w:t>
            </w:r>
          </w:p>
        </w:tc>
        <w:tc>
          <w:tcPr>
            <w:tcW w:w="2431" w:type="dxa"/>
            <w:tcBorders>
              <w:top w:val="single" w:color="auto" w:sz="4" w:space="0"/>
              <w:bottom w:val="single" w:color="808080" w:sz="8" w:space="0"/>
              <w:right w:val="single" w:color="808080" w:sz="8" w:space="0"/>
            </w:tcBorders>
            <w:tcMar>
              <w:top w:w="57" w:type="dxa"/>
              <w:left w:w="57" w:type="dxa"/>
              <w:bottom w:w="57" w:type="dxa"/>
              <w:right w:w="57" w:type="dxa"/>
            </w:tcMar>
            <w:vAlign w:val="bottom"/>
          </w:tcPr>
          <w:p w14:paraId="63849A48">
            <w:pPr>
              <w:pStyle w:val="785"/>
              <w:spacing w:line="320" w:lineRule="exact"/>
              <w:jc w:val="both"/>
              <w:rPr>
                <w:rFonts w:hint="eastAsia" w:ascii="宋体" w:hAnsi="宋体" w:eastAsia="宋体" w:cs="宋体"/>
                <w:sz w:val="21"/>
                <w:szCs w:val="21"/>
              </w:rPr>
            </w:pPr>
            <w:r>
              <w:rPr>
                <w:rFonts w:hint="eastAsia" w:ascii="宋体" w:hAnsi="宋体" w:eastAsia="宋体" w:cs="宋体"/>
                <w:sz w:val="21"/>
                <w:szCs w:val="21"/>
              </w:rPr>
              <w:t>有一次延误电费缴纳承担滞纳金，并且罚款100000元</w:t>
            </w:r>
          </w:p>
        </w:tc>
        <w:tc>
          <w:tcPr>
            <w:tcW w:w="1028" w:type="dxa"/>
            <w:tcBorders>
              <w:top w:val="single" w:color="auto" w:sz="4" w:space="0"/>
              <w:bottom w:val="single" w:color="808080" w:sz="8" w:space="0"/>
              <w:right w:val="single" w:color="808080" w:sz="8" w:space="0"/>
            </w:tcBorders>
            <w:tcMar>
              <w:top w:w="57" w:type="dxa"/>
              <w:left w:w="57" w:type="dxa"/>
              <w:bottom w:w="57" w:type="dxa"/>
              <w:right w:w="57" w:type="dxa"/>
            </w:tcMar>
            <w:vAlign w:val="center"/>
          </w:tcPr>
          <w:p w14:paraId="72F708F1">
            <w:pPr>
              <w:pStyle w:val="785"/>
              <w:spacing w:line="320" w:lineRule="exact"/>
              <w:jc w:val="both"/>
              <w:rPr>
                <w:rFonts w:hint="eastAsia" w:ascii="宋体" w:hAnsi="宋体" w:eastAsia="宋体" w:cs="宋体"/>
                <w:sz w:val="21"/>
                <w:szCs w:val="21"/>
              </w:rPr>
            </w:pPr>
          </w:p>
        </w:tc>
      </w:tr>
    </w:tbl>
    <w:p w14:paraId="397B11F4">
      <w:pPr>
        <w:pStyle w:val="785"/>
        <w:spacing w:before="181" w:after="181"/>
        <w:ind w:left="-386" w:firstLine="420"/>
        <w:rPr>
          <w:rFonts w:hint="eastAsia" w:ascii="宋体" w:hAnsi="宋体" w:eastAsia="宋体" w:cs="宋体"/>
          <w:sz w:val="16"/>
          <w:szCs w:val="16"/>
          <w:lang w:val="en-US" w:eastAsia="zh-CN"/>
        </w:rPr>
      </w:pPr>
      <w:r>
        <w:rPr>
          <w:rFonts w:ascii="宋体" w:hAnsi="宋体" w:eastAsia="宋体" w:cs="宋体"/>
          <w:sz w:val="16"/>
          <w:szCs w:val="16"/>
        </w:rPr>
        <w:t>注、1、</w:t>
      </w:r>
      <w:r>
        <w:rPr>
          <w:rFonts w:hint="eastAsia" w:ascii="宋体" w:hAnsi="宋体" w:eastAsia="宋体" w:cs="宋体"/>
          <w:sz w:val="16"/>
          <w:szCs w:val="16"/>
        </w:rPr>
        <w:t>采购人</w:t>
      </w:r>
      <w:r>
        <w:rPr>
          <w:rFonts w:ascii="宋体" w:hAnsi="宋体" w:eastAsia="宋体" w:cs="宋体"/>
          <w:sz w:val="16"/>
          <w:szCs w:val="16"/>
        </w:rPr>
        <w:t>对道路照明设施的维修养护进行检查和考核，考核方式采取定期检查和随机抽查相结合的方法进行。随机抽查每</w:t>
      </w:r>
      <w:r>
        <w:rPr>
          <w:rFonts w:hint="eastAsia" w:ascii="宋体" w:hAnsi="宋体" w:eastAsia="宋体" w:cs="宋体"/>
          <w:sz w:val="16"/>
          <w:szCs w:val="16"/>
        </w:rPr>
        <w:t>月</w:t>
      </w:r>
      <w:r>
        <w:rPr>
          <w:rFonts w:ascii="宋体" w:hAnsi="宋体" w:eastAsia="宋体" w:cs="宋体"/>
          <w:sz w:val="16"/>
          <w:szCs w:val="16"/>
        </w:rPr>
        <w:t>不低于1次。</w:t>
      </w:r>
      <w:r>
        <w:rPr>
          <w:rFonts w:hint="eastAsia" w:ascii="宋体" w:hAnsi="宋体" w:eastAsia="宋体" w:cs="宋体"/>
          <w:sz w:val="16"/>
          <w:szCs w:val="16"/>
          <w:lang w:val="en-US" w:eastAsia="zh-CN"/>
        </w:rPr>
        <w:t>最终以合同签订的实际条款为准。</w:t>
      </w:r>
    </w:p>
    <w:p w14:paraId="4E40CD97">
      <w:pPr>
        <w:pStyle w:val="785"/>
        <w:spacing w:before="181" w:after="181"/>
        <w:ind w:left="-386" w:firstLine="420"/>
      </w:pPr>
      <w:r>
        <w:rPr>
          <w:rFonts w:hint="eastAsia" w:ascii="宋体" w:hAnsi="宋体" w:eastAsia="宋体" w:cs="宋体"/>
          <w:sz w:val="16"/>
          <w:szCs w:val="16"/>
          <w:lang w:val="en-US" w:eastAsia="zh-CN"/>
        </w:rPr>
        <w:t>2、中标后签订合同之日起，中标单位应对能源委托项目的所有灯具进行维修维护（采购方依照第1条进行检查考核），维修维护费用包含在整体报价中。</w:t>
      </w:r>
    </w:p>
    <w:p w14:paraId="60531414">
      <w:pPr>
        <w:spacing w:line="360" w:lineRule="auto"/>
        <w:ind w:left="741" w:hanging="321"/>
        <w:jc w:val="center"/>
        <w:outlineLvl w:val="0"/>
        <w:rPr>
          <w:rFonts w:ascii="黑体" w:hAnsi="黑体" w:eastAsia="黑体" w:cs="黑体"/>
          <w:b/>
          <w:sz w:val="32"/>
          <w:szCs w:val="32"/>
        </w:rPr>
      </w:pPr>
      <w:r>
        <w:rPr>
          <w:rFonts w:hint="eastAsia" w:ascii="黑体" w:hAnsi="黑体" w:eastAsia="黑体" w:cs="黑体"/>
          <w:b/>
          <w:sz w:val="32"/>
          <w:szCs w:val="32"/>
        </w:rPr>
        <w:t>第三章  投标人须知</w:t>
      </w:r>
      <w:bookmarkEnd w:id="14"/>
      <w:bookmarkEnd w:id="51"/>
    </w:p>
    <w:p w14:paraId="671CF782">
      <w:pPr>
        <w:snapToGrid w:val="0"/>
        <w:spacing w:line="360" w:lineRule="auto"/>
        <w:ind w:left="701" w:hanging="281"/>
        <w:jc w:val="center"/>
        <w:outlineLvl w:val="1"/>
        <w:rPr>
          <w:rFonts w:ascii="黑体" w:hAnsi="黑体" w:eastAsia="黑体" w:cs="黑体"/>
          <w:b/>
          <w:sz w:val="28"/>
          <w:szCs w:val="28"/>
        </w:rPr>
      </w:pPr>
      <w:r>
        <w:rPr>
          <w:rFonts w:hint="eastAsia" w:ascii="黑体" w:hAnsi="黑体" w:eastAsia="黑体" w:cs="黑体"/>
          <w:b/>
          <w:sz w:val="28"/>
          <w:szCs w:val="28"/>
        </w:rPr>
        <w:t>前附表</w:t>
      </w:r>
    </w:p>
    <w:tbl>
      <w:tblPr>
        <w:tblStyle w:val="60"/>
        <w:tblW w:w="94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5"/>
        <w:gridCol w:w="1233"/>
        <w:gridCol w:w="7651"/>
      </w:tblGrid>
      <w:tr w14:paraId="78ADD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335E472F">
            <w:pPr>
              <w:snapToGrid w:val="0"/>
              <w:jc w:val="both"/>
              <w:rPr>
                <w:rFonts w:ascii="黑体" w:hAnsi="黑体" w:eastAsia="黑体" w:cs="黑体"/>
                <w:b/>
                <w:bCs/>
                <w:szCs w:val="21"/>
              </w:rPr>
            </w:pPr>
            <w:r>
              <w:rPr>
                <w:rFonts w:hint="eastAsia" w:ascii="黑体" w:hAnsi="黑体" w:eastAsia="黑体" w:cs="黑体"/>
                <w:b/>
                <w:bCs/>
                <w:szCs w:val="21"/>
              </w:rPr>
              <w:t>序号</w:t>
            </w:r>
          </w:p>
        </w:tc>
        <w:tc>
          <w:tcPr>
            <w:tcW w:w="1233" w:type="dxa"/>
            <w:tcBorders>
              <w:top w:val="single" w:color="auto" w:sz="4" w:space="0"/>
              <w:left w:val="single" w:color="auto" w:sz="4" w:space="0"/>
              <w:bottom w:val="single" w:color="auto" w:sz="4" w:space="0"/>
              <w:right w:val="single" w:color="auto" w:sz="4" w:space="0"/>
            </w:tcBorders>
            <w:vAlign w:val="center"/>
          </w:tcPr>
          <w:p w14:paraId="590C04D4">
            <w:pPr>
              <w:snapToGrid w:val="0"/>
              <w:jc w:val="both"/>
              <w:rPr>
                <w:rFonts w:ascii="黑体" w:hAnsi="黑体" w:eastAsia="黑体" w:cs="黑体"/>
                <w:b/>
                <w:bCs/>
                <w:szCs w:val="21"/>
              </w:rPr>
            </w:pPr>
            <w:r>
              <w:rPr>
                <w:rFonts w:hint="eastAsia" w:ascii="黑体" w:hAnsi="黑体" w:eastAsia="黑体" w:cs="黑体"/>
                <w:b/>
                <w:bCs/>
                <w:szCs w:val="21"/>
              </w:rPr>
              <w:t>名  称</w:t>
            </w:r>
          </w:p>
        </w:tc>
        <w:tc>
          <w:tcPr>
            <w:tcW w:w="7651" w:type="dxa"/>
            <w:tcBorders>
              <w:top w:val="single" w:color="auto" w:sz="4" w:space="0"/>
              <w:left w:val="single" w:color="auto" w:sz="4" w:space="0"/>
              <w:bottom w:val="single" w:color="auto" w:sz="4" w:space="0"/>
              <w:right w:val="single" w:color="auto" w:sz="4" w:space="0"/>
            </w:tcBorders>
            <w:vAlign w:val="center"/>
          </w:tcPr>
          <w:p w14:paraId="42FA7F7D">
            <w:pPr>
              <w:snapToGrid w:val="0"/>
              <w:ind w:left="631" w:hanging="211"/>
              <w:jc w:val="center"/>
              <w:rPr>
                <w:rFonts w:ascii="黑体" w:hAnsi="黑体" w:eastAsia="黑体" w:cs="黑体"/>
                <w:b/>
                <w:bCs/>
                <w:szCs w:val="21"/>
              </w:rPr>
            </w:pPr>
            <w:r>
              <w:rPr>
                <w:rFonts w:hint="eastAsia" w:ascii="黑体" w:hAnsi="黑体" w:eastAsia="黑体" w:cs="黑体"/>
                <w:b/>
                <w:bCs/>
                <w:szCs w:val="21"/>
              </w:rPr>
              <w:t>内   容</w:t>
            </w:r>
          </w:p>
        </w:tc>
      </w:tr>
      <w:tr w14:paraId="2E12B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0B718099">
            <w:pPr>
              <w:snapToGrid w:val="0"/>
              <w:jc w:val="center"/>
              <w:rPr>
                <w:rFonts w:ascii="宋体" w:hAnsi="宋体" w:cs="宋体"/>
                <w:szCs w:val="21"/>
              </w:rPr>
            </w:pPr>
            <w:r>
              <w:rPr>
                <w:rFonts w:hint="eastAsia" w:ascii="宋体" w:hAnsi="宋体" w:cs="宋体"/>
                <w:szCs w:val="21"/>
              </w:rPr>
              <w:t>1</w:t>
            </w:r>
          </w:p>
        </w:tc>
        <w:tc>
          <w:tcPr>
            <w:tcW w:w="1233" w:type="dxa"/>
            <w:tcBorders>
              <w:top w:val="single" w:color="auto" w:sz="4" w:space="0"/>
              <w:left w:val="single" w:color="auto" w:sz="4" w:space="0"/>
              <w:bottom w:val="single" w:color="auto" w:sz="4" w:space="0"/>
              <w:right w:val="single" w:color="auto" w:sz="4" w:space="0"/>
            </w:tcBorders>
            <w:vAlign w:val="center"/>
          </w:tcPr>
          <w:p w14:paraId="4ECADF1E">
            <w:pPr>
              <w:snapToGrid w:val="0"/>
              <w:jc w:val="center"/>
              <w:rPr>
                <w:rFonts w:ascii="宋体" w:hAnsi="宋体" w:cs="宋体"/>
                <w:szCs w:val="21"/>
              </w:rPr>
            </w:pPr>
            <w:r>
              <w:rPr>
                <w:rFonts w:hint="eastAsia" w:ascii="宋体" w:hAnsi="宋体" w:cs="宋体"/>
                <w:szCs w:val="21"/>
              </w:rPr>
              <w:t>项目名称</w:t>
            </w:r>
          </w:p>
        </w:tc>
        <w:tc>
          <w:tcPr>
            <w:tcW w:w="7651" w:type="dxa"/>
            <w:tcBorders>
              <w:top w:val="single" w:color="auto" w:sz="4" w:space="0"/>
              <w:left w:val="single" w:color="auto" w:sz="4" w:space="0"/>
              <w:bottom w:val="single" w:color="auto" w:sz="4" w:space="0"/>
              <w:right w:val="single" w:color="auto" w:sz="4" w:space="0"/>
            </w:tcBorders>
            <w:vAlign w:val="center"/>
          </w:tcPr>
          <w:p w14:paraId="3697DA7F">
            <w:pPr>
              <w:snapToGrid w:val="0"/>
              <w:spacing w:line="360" w:lineRule="auto"/>
              <w:rPr>
                <w:rFonts w:ascii="宋体" w:hAnsi="宋体" w:cs="宋体"/>
                <w:szCs w:val="21"/>
              </w:rPr>
            </w:pPr>
            <w:r>
              <w:rPr>
                <w:rFonts w:hint="eastAsia" w:ascii="宋体" w:hAnsi="宋体" w:cs="宋体"/>
                <w:szCs w:val="21"/>
              </w:rPr>
              <w:t>详见“第一章 公开招标公告”</w:t>
            </w:r>
          </w:p>
        </w:tc>
      </w:tr>
      <w:tr w14:paraId="41546D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56412955">
            <w:pPr>
              <w:snapToGrid w:val="0"/>
              <w:jc w:val="center"/>
              <w:rPr>
                <w:rFonts w:ascii="宋体" w:hAnsi="宋体" w:cs="宋体"/>
                <w:szCs w:val="21"/>
              </w:rPr>
            </w:pPr>
            <w:r>
              <w:rPr>
                <w:rFonts w:hint="eastAsia" w:ascii="宋体" w:hAnsi="宋体" w:cs="宋体"/>
                <w:szCs w:val="21"/>
              </w:rPr>
              <w:t>2</w:t>
            </w:r>
          </w:p>
        </w:tc>
        <w:tc>
          <w:tcPr>
            <w:tcW w:w="1233" w:type="dxa"/>
            <w:tcBorders>
              <w:top w:val="single" w:color="auto" w:sz="4" w:space="0"/>
              <w:left w:val="single" w:color="auto" w:sz="4" w:space="0"/>
              <w:bottom w:val="single" w:color="auto" w:sz="4" w:space="0"/>
              <w:right w:val="single" w:color="auto" w:sz="4" w:space="0"/>
            </w:tcBorders>
            <w:vAlign w:val="center"/>
          </w:tcPr>
          <w:p w14:paraId="4595ABF6">
            <w:pPr>
              <w:snapToGrid w:val="0"/>
              <w:jc w:val="center"/>
              <w:rPr>
                <w:rFonts w:ascii="宋体" w:hAnsi="宋体" w:cs="宋体"/>
                <w:szCs w:val="21"/>
              </w:rPr>
            </w:pPr>
            <w:r>
              <w:rPr>
                <w:rFonts w:hint="eastAsia" w:ascii="宋体" w:hAnsi="宋体" w:cs="宋体"/>
                <w:szCs w:val="21"/>
              </w:rPr>
              <w:t>采购内容</w:t>
            </w:r>
          </w:p>
          <w:p w14:paraId="331831C0">
            <w:pPr>
              <w:snapToGrid w:val="0"/>
              <w:jc w:val="center"/>
              <w:rPr>
                <w:rFonts w:ascii="宋体" w:hAnsi="宋体" w:cs="宋体"/>
                <w:szCs w:val="21"/>
              </w:rPr>
            </w:pPr>
            <w:r>
              <w:rPr>
                <w:rFonts w:hint="eastAsia" w:ascii="宋体" w:hAnsi="宋体" w:cs="宋体"/>
                <w:szCs w:val="21"/>
              </w:rPr>
              <w:t>及数量</w:t>
            </w:r>
          </w:p>
        </w:tc>
        <w:tc>
          <w:tcPr>
            <w:tcW w:w="7651" w:type="dxa"/>
            <w:tcBorders>
              <w:top w:val="single" w:color="auto" w:sz="4" w:space="0"/>
              <w:left w:val="single" w:color="auto" w:sz="4" w:space="0"/>
              <w:right w:val="single" w:color="auto" w:sz="4" w:space="0"/>
            </w:tcBorders>
            <w:vAlign w:val="center"/>
          </w:tcPr>
          <w:p w14:paraId="5ED777D0">
            <w:pPr>
              <w:snapToGrid w:val="0"/>
              <w:spacing w:line="360" w:lineRule="auto"/>
              <w:rPr>
                <w:rFonts w:ascii="宋体" w:hAnsi="宋体" w:cs="宋体"/>
                <w:szCs w:val="21"/>
              </w:rPr>
            </w:pPr>
            <w:r>
              <w:rPr>
                <w:rFonts w:hint="eastAsia" w:ascii="宋体" w:hAnsi="宋体" w:cs="宋体"/>
                <w:szCs w:val="21"/>
              </w:rPr>
              <w:t>详见“第二章 采购需求”</w:t>
            </w:r>
          </w:p>
        </w:tc>
      </w:tr>
      <w:tr w14:paraId="38A59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595" w:type="dxa"/>
            <w:tcBorders>
              <w:top w:val="single" w:color="auto" w:sz="4" w:space="0"/>
              <w:left w:val="single" w:color="auto" w:sz="4" w:space="0"/>
              <w:right w:val="single" w:color="auto" w:sz="4" w:space="0"/>
            </w:tcBorders>
            <w:vAlign w:val="center"/>
          </w:tcPr>
          <w:p w14:paraId="1B1B1849">
            <w:pPr>
              <w:snapToGrid w:val="0"/>
              <w:jc w:val="center"/>
              <w:rPr>
                <w:rFonts w:ascii="宋体" w:hAnsi="宋体" w:cs="宋体"/>
                <w:szCs w:val="21"/>
              </w:rPr>
            </w:pPr>
            <w:r>
              <w:rPr>
                <w:rFonts w:hint="eastAsia" w:ascii="宋体" w:hAnsi="宋体" w:cs="宋体"/>
                <w:szCs w:val="21"/>
              </w:rPr>
              <w:t>3</w:t>
            </w:r>
          </w:p>
        </w:tc>
        <w:tc>
          <w:tcPr>
            <w:tcW w:w="1233" w:type="dxa"/>
            <w:tcBorders>
              <w:top w:val="single" w:color="auto" w:sz="4" w:space="0"/>
              <w:left w:val="single" w:color="auto" w:sz="4" w:space="0"/>
              <w:right w:val="single" w:color="auto" w:sz="4" w:space="0"/>
            </w:tcBorders>
            <w:vAlign w:val="center"/>
          </w:tcPr>
          <w:p w14:paraId="7B66A177">
            <w:pPr>
              <w:snapToGrid w:val="0"/>
              <w:jc w:val="center"/>
              <w:rPr>
                <w:rFonts w:ascii="宋体" w:hAnsi="宋体" w:cs="宋体"/>
                <w:szCs w:val="21"/>
              </w:rPr>
            </w:pPr>
            <w:r>
              <w:rPr>
                <w:rFonts w:hint="eastAsia" w:ascii="宋体" w:hAnsi="宋体" w:cs="宋体"/>
                <w:szCs w:val="21"/>
              </w:rPr>
              <w:t>预算金额/最高限价</w:t>
            </w:r>
          </w:p>
        </w:tc>
        <w:tc>
          <w:tcPr>
            <w:tcW w:w="7651" w:type="dxa"/>
            <w:tcBorders>
              <w:top w:val="single" w:color="auto" w:sz="4" w:space="0"/>
              <w:left w:val="single" w:color="auto" w:sz="4" w:space="0"/>
              <w:right w:val="single" w:color="auto" w:sz="4" w:space="0"/>
            </w:tcBorders>
            <w:vAlign w:val="center"/>
          </w:tcPr>
          <w:p w14:paraId="41C71FDE">
            <w:pPr>
              <w:widowControl/>
              <w:spacing w:line="360" w:lineRule="auto"/>
              <w:rPr>
                <w:rFonts w:ascii="宋体" w:hAnsi="宋体" w:cs="宋体"/>
                <w:spacing w:val="-4"/>
                <w:szCs w:val="21"/>
              </w:rPr>
            </w:pPr>
            <w:r>
              <w:rPr>
                <w:rFonts w:hint="eastAsia"/>
                <w:szCs w:val="21"/>
              </w:rPr>
              <w:t>详见“第一章 公开招标公告”</w:t>
            </w:r>
          </w:p>
        </w:tc>
      </w:tr>
      <w:tr w14:paraId="7079E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17FA1DCA">
            <w:pPr>
              <w:snapToGrid w:val="0"/>
              <w:jc w:val="center"/>
              <w:rPr>
                <w:rFonts w:ascii="宋体" w:hAnsi="宋体" w:cs="宋体"/>
                <w:szCs w:val="21"/>
              </w:rPr>
            </w:pPr>
            <w:r>
              <w:rPr>
                <w:rFonts w:hint="eastAsia" w:ascii="宋体" w:hAnsi="宋体" w:cs="宋体"/>
                <w:szCs w:val="21"/>
              </w:rPr>
              <w:t>4</w:t>
            </w:r>
          </w:p>
        </w:tc>
        <w:tc>
          <w:tcPr>
            <w:tcW w:w="1233" w:type="dxa"/>
            <w:tcBorders>
              <w:top w:val="single" w:color="auto" w:sz="4" w:space="0"/>
              <w:left w:val="single" w:color="auto" w:sz="4" w:space="0"/>
              <w:bottom w:val="single" w:color="auto" w:sz="4" w:space="0"/>
              <w:right w:val="single" w:color="auto" w:sz="4" w:space="0"/>
            </w:tcBorders>
            <w:vAlign w:val="center"/>
          </w:tcPr>
          <w:p w14:paraId="0F39B31E">
            <w:pPr>
              <w:snapToGrid w:val="0"/>
              <w:jc w:val="center"/>
              <w:rPr>
                <w:rFonts w:ascii="宋体" w:hAnsi="宋体" w:cs="宋体"/>
                <w:szCs w:val="21"/>
              </w:rPr>
            </w:pPr>
            <w:r>
              <w:rPr>
                <w:rFonts w:hint="eastAsia" w:ascii="宋体" w:hAnsi="宋体" w:cs="宋体"/>
                <w:szCs w:val="21"/>
              </w:rPr>
              <w:t>公告媒体</w:t>
            </w:r>
          </w:p>
        </w:tc>
        <w:tc>
          <w:tcPr>
            <w:tcW w:w="7651" w:type="dxa"/>
            <w:tcBorders>
              <w:top w:val="single" w:color="auto" w:sz="4" w:space="0"/>
              <w:left w:val="single" w:color="auto" w:sz="4" w:space="0"/>
              <w:bottom w:val="single" w:color="auto" w:sz="4" w:space="0"/>
              <w:right w:val="single" w:color="auto" w:sz="4" w:space="0"/>
            </w:tcBorders>
            <w:vAlign w:val="center"/>
          </w:tcPr>
          <w:p w14:paraId="28BDB0A2">
            <w:pPr>
              <w:autoSpaceDE w:val="0"/>
              <w:autoSpaceDN w:val="0"/>
              <w:snapToGrid w:val="0"/>
              <w:spacing w:line="360" w:lineRule="auto"/>
              <w:textAlignment w:val="bottom"/>
              <w:rPr>
                <w:rFonts w:ascii="宋体" w:hAnsi="宋体" w:cs="宋体"/>
                <w:szCs w:val="21"/>
              </w:rPr>
            </w:pPr>
            <w:r>
              <w:rPr>
                <w:rFonts w:hint="eastAsia" w:ascii="宋体" w:hAnsi="宋体" w:cs="宋体"/>
                <w:szCs w:val="21"/>
              </w:rPr>
              <w:t>浙江政府采购网（</w:t>
            </w:r>
            <w:r>
              <w:fldChar w:fldCharType="begin"/>
            </w:r>
            <w:r>
              <w:instrText xml:space="preserve"> HYPERLINK "http://www.zjzfcg.gov.cn/" </w:instrText>
            </w:r>
            <w:r>
              <w:fldChar w:fldCharType="separate"/>
            </w:r>
            <w:r>
              <w:rPr>
                <w:rStyle w:val="68"/>
                <w:rFonts w:hint="eastAsia" w:ascii="宋体" w:hAnsi="宋体" w:cs="宋体"/>
                <w:color w:val="auto"/>
                <w:szCs w:val="21"/>
              </w:rPr>
              <w:t>http://zfcg.czt.zj.gov.cn/</w:t>
            </w:r>
            <w:r>
              <w:rPr>
                <w:rStyle w:val="68"/>
                <w:rFonts w:hint="eastAsia" w:ascii="宋体" w:hAnsi="宋体" w:cs="宋体"/>
                <w:color w:val="auto"/>
                <w:szCs w:val="21"/>
              </w:rPr>
              <w:fldChar w:fldCharType="end"/>
            </w:r>
            <w:r>
              <w:rPr>
                <w:rFonts w:hint="eastAsia" w:ascii="宋体" w:hAnsi="宋体" w:cs="宋体"/>
                <w:szCs w:val="21"/>
              </w:rPr>
              <w:t>）</w:t>
            </w:r>
          </w:p>
        </w:tc>
      </w:tr>
      <w:tr w14:paraId="79517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154628E6">
            <w:pPr>
              <w:snapToGrid w:val="0"/>
              <w:jc w:val="center"/>
              <w:rPr>
                <w:rFonts w:ascii="宋体" w:hAnsi="宋体" w:cs="宋体"/>
                <w:szCs w:val="21"/>
              </w:rPr>
            </w:pPr>
            <w:r>
              <w:rPr>
                <w:rFonts w:hint="eastAsia" w:ascii="宋体" w:hAnsi="宋体" w:cs="宋体"/>
                <w:szCs w:val="21"/>
              </w:rPr>
              <w:t>5</w:t>
            </w:r>
          </w:p>
        </w:tc>
        <w:tc>
          <w:tcPr>
            <w:tcW w:w="1233" w:type="dxa"/>
            <w:tcBorders>
              <w:top w:val="single" w:color="auto" w:sz="4" w:space="0"/>
              <w:left w:val="single" w:color="auto" w:sz="4" w:space="0"/>
              <w:bottom w:val="single" w:color="auto" w:sz="4" w:space="0"/>
              <w:right w:val="single" w:color="auto" w:sz="4" w:space="0"/>
            </w:tcBorders>
            <w:vAlign w:val="center"/>
          </w:tcPr>
          <w:p w14:paraId="79401222">
            <w:pPr>
              <w:snapToGrid w:val="0"/>
              <w:jc w:val="center"/>
              <w:rPr>
                <w:rFonts w:ascii="宋体" w:hAnsi="宋体" w:cs="宋体"/>
                <w:szCs w:val="21"/>
              </w:rPr>
            </w:pPr>
            <w:r>
              <w:rPr>
                <w:rFonts w:hint="eastAsia" w:ascii="宋体" w:hAnsi="宋体" w:cs="宋体"/>
                <w:szCs w:val="21"/>
              </w:rPr>
              <w:t>电子交</w:t>
            </w:r>
          </w:p>
          <w:p w14:paraId="521F7AB1">
            <w:pPr>
              <w:snapToGrid w:val="0"/>
              <w:jc w:val="center"/>
              <w:rPr>
                <w:rFonts w:ascii="宋体" w:hAnsi="宋体" w:cs="宋体"/>
                <w:szCs w:val="21"/>
              </w:rPr>
            </w:pPr>
            <w:r>
              <w:rPr>
                <w:rFonts w:hint="eastAsia" w:ascii="宋体" w:hAnsi="宋体" w:cs="宋体"/>
                <w:szCs w:val="21"/>
              </w:rPr>
              <w:t>易平台</w:t>
            </w:r>
          </w:p>
        </w:tc>
        <w:tc>
          <w:tcPr>
            <w:tcW w:w="7651" w:type="dxa"/>
            <w:tcBorders>
              <w:top w:val="single" w:color="auto" w:sz="4" w:space="0"/>
              <w:left w:val="single" w:color="auto" w:sz="4" w:space="0"/>
              <w:bottom w:val="single" w:color="auto" w:sz="4" w:space="0"/>
              <w:right w:val="single" w:color="auto" w:sz="4" w:space="0"/>
            </w:tcBorders>
            <w:vAlign w:val="center"/>
          </w:tcPr>
          <w:p w14:paraId="180DB379">
            <w:pPr>
              <w:snapToGrid w:val="0"/>
              <w:spacing w:line="360" w:lineRule="auto"/>
              <w:rPr>
                <w:rFonts w:ascii="宋体" w:hAnsi="宋体" w:cs="宋体"/>
                <w:szCs w:val="21"/>
              </w:rPr>
            </w:pPr>
            <w:r>
              <w:rPr>
                <w:rFonts w:hint="eastAsia" w:ascii="宋体" w:hAnsi="宋体" w:cs="宋体"/>
                <w:szCs w:val="21"/>
              </w:rPr>
              <w:t>政府采购云平台（www.zcygov.cn）</w:t>
            </w:r>
          </w:p>
        </w:tc>
      </w:tr>
      <w:tr w14:paraId="15C9B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2"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41837F7E">
            <w:pPr>
              <w:snapToGrid w:val="0"/>
              <w:jc w:val="center"/>
              <w:rPr>
                <w:rFonts w:ascii="宋体" w:hAnsi="宋体" w:cs="宋体"/>
                <w:szCs w:val="21"/>
              </w:rPr>
            </w:pPr>
            <w:r>
              <w:rPr>
                <w:rFonts w:hint="eastAsia" w:ascii="宋体" w:hAnsi="宋体" w:cs="宋体"/>
                <w:szCs w:val="21"/>
              </w:rPr>
              <w:t>6</w:t>
            </w:r>
          </w:p>
        </w:tc>
        <w:tc>
          <w:tcPr>
            <w:tcW w:w="1233" w:type="dxa"/>
            <w:tcBorders>
              <w:top w:val="single" w:color="auto" w:sz="4" w:space="0"/>
              <w:left w:val="single" w:color="auto" w:sz="4" w:space="0"/>
              <w:bottom w:val="single" w:color="auto" w:sz="4" w:space="0"/>
              <w:right w:val="single" w:color="auto" w:sz="4" w:space="0"/>
            </w:tcBorders>
            <w:vAlign w:val="center"/>
          </w:tcPr>
          <w:p w14:paraId="20E44562">
            <w:pPr>
              <w:snapToGrid w:val="0"/>
              <w:jc w:val="center"/>
              <w:rPr>
                <w:rFonts w:ascii="宋体" w:hAnsi="宋体" w:cs="宋体"/>
                <w:szCs w:val="21"/>
              </w:rPr>
            </w:pPr>
            <w:r>
              <w:rPr>
                <w:rFonts w:hint="eastAsia" w:ascii="宋体" w:hAnsi="宋体" w:cs="宋体"/>
                <w:szCs w:val="21"/>
              </w:rPr>
              <w:t>投标报价</w:t>
            </w:r>
          </w:p>
        </w:tc>
        <w:tc>
          <w:tcPr>
            <w:tcW w:w="7651" w:type="dxa"/>
            <w:tcBorders>
              <w:top w:val="single" w:color="auto" w:sz="4" w:space="0"/>
              <w:left w:val="single" w:color="auto" w:sz="4" w:space="0"/>
              <w:bottom w:val="single" w:color="auto" w:sz="4" w:space="0"/>
              <w:right w:val="single" w:color="auto" w:sz="4" w:space="0"/>
            </w:tcBorders>
            <w:vAlign w:val="center"/>
          </w:tcPr>
          <w:p w14:paraId="0BEF9BA9">
            <w:pPr>
              <w:numPr>
                <w:ilvl w:val="0"/>
                <w:numId w:val="6"/>
              </w:numPr>
              <w:spacing w:line="360" w:lineRule="auto"/>
              <w:rPr>
                <w:rFonts w:hint="eastAsia"/>
                <w:lang w:eastAsia="zh-Hans"/>
              </w:rPr>
            </w:pPr>
            <w:r>
              <w:rPr>
                <w:rFonts w:hint="eastAsia"/>
                <w:lang w:eastAsia="zh-Hans"/>
              </w:rPr>
              <w:t>投标报价（托管费用）应包含本项目实施所需的全部产品</w:t>
            </w:r>
            <w:r>
              <w:rPr>
                <w:rFonts w:hint="eastAsia"/>
                <w:lang w:val="en-US" w:eastAsia="zh-CN"/>
              </w:rPr>
              <w:t>和</w:t>
            </w:r>
            <w:r>
              <w:rPr>
                <w:rFonts w:hint="eastAsia"/>
                <w:lang w:eastAsia="zh-Hans"/>
              </w:rPr>
              <w:t>服务，不得缺漏，是履行合同的最终价格，包括：电费、货款、标准附件、备品备件、专用工具、包装、运输、装卸、保险、税金、货到就位以及安装、调试、技术服务、管理服务、运维服务、企业应缴税金、应急、物价因素等完成本项目所需的一切本身和不可或缺的所有工作开支、政策性文件规定及合同包含的所有风险、责任等各项全部费用。</w:t>
            </w:r>
          </w:p>
          <w:p w14:paraId="6622C5C2">
            <w:pPr>
              <w:numPr>
                <w:ilvl w:val="0"/>
                <w:numId w:val="6"/>
              </w:numPr>
              <w:spacing w:line="360" w:lineRule="auto"/>
              <w:rPr>
                <w:rFonts w:hint="eastAsia"/>
                <w:lang w:eastAsia="zh-Hans"/>
              </w:rPr>
            </w:pPr>
            <w:r>
              <w:rPr>
                <w:rFonts w:hint="eastAsia"/>
                <w:lang w:eastAsia="zh-Hans"/>
              </w:rPr>
              <w:t>供应商在报价时应充分考虑在合同执行期间，最低工资标准、社保缴费基数比例上调等政策因素变动情况。在合同执行期间，所有人员必须依法交纳各类社会保障资金，服务期内由于用工政策、电价、税率等因素变动，费用不做调整。</w:t>
            </w:r>
          </w:p>
          <w:p w14:paraId="2D129F8E">
            <w:pPr>
              <w:spacing w:line="360" w:lineRule="auto"/>
              <w:rPr>
                <w:rFonts w:hint="eastAsia"/>
                <w:lang w:eastAsia="zh-Hans"/>
              </w:rPr>
            </w:pPr>
            <w:r>
              <w:rPr>
                <w:rFonts w:hint="eastAsia"/>
                <w:lang w:eastAsia="zh-Hans"/>
              </w:rPr>
              <w:t>3、供应商应参照国家的相应标准，结合自身综合实力、市场行情、本项目具体特点和技术要求，对项目自行报价。</w:t>
            </w:r>
          </w:p>
          <w:p w14:paraId="58C0A4FB">
            <w:pPr>
              <w:pStyle w:val="55"/>
              <w:widowControl w:val="0"/>
              <w:adjustRightInd w:val="0"/>
              <w:spacing w:before="0" w:beforeAutospacing="0" w:after="0" w:afterAutospacing="0" w:line="360" w:lineRule="auto"/>
              <w:rPr>
                <w:rFonts w:cs="宋体"/>
                <w:sz w:val="21"/>
                <w:szCs w:val="21"/>
              </w:rPr>
            </w:pPr>
            <w:r>
              <w:rPr>
                <w:rFonts w:hint="eastAsia" w:cs="宋体"/>
                <w:sz w:val="21"/>
                <w:szCs w:val="21"/>
                <w:lang w:val="en-US" w:eastAsia="zh-CN"/>
              </w:rPr>
              <w:t>4</w:t>
            </w:r>
            <w:r>
              <w:rPr>
                <w:rFonts w:hint="eastAsia" w:cs="宋体"/>
                <w:sz w:val="21"/>
                <w:szCs w:val="21"/>
              </w:rPr>
              <w:t>、投标文件中价格全部采用人民币报价。</w:t>
            </w:r>
          </w:p>
        </w:tc>
      </w:tr>
      <w:tr w14:paraId="1A37C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60CD1241">
            <w:pPr>
              <w:snapToGrid w:val="0"/>
              <w:jc w:val="center"/>
              <w:rPr>
                <w:rFonts w:ascii="宋体" w:hAnsi="宋体" w:cs="宋体"/>
                <w:szCs w:val="21"/>
              </w:rPr>
            </w:pPr>
            <w:r>
              <w:rPr>
                <w:rFonts w:hint="eastAsia" w:ascii="宋体" w:hAnsi="宋体" w:cs="宋体"/>
                <w:szCs w:val="21"/>
              </w:rPr>
              <w:t>7</w:t>
            </w:r>
          </w:p>
        </w:tc>
        <w:tc>
          <w:tcPr>
            <w:tcW w:w="1233" w:type="dxa"/>
            <w:tcBorders>
              <w:top w:val="single" w:color="auto" w:sz="4" w:space="0"/>
              <w:left w:val="single" w:color="auto" w:sz="4" w:space="0"/>
              <w:bottom w:val="single" w:color="auto" w:sz="4" w:space="0"/>
              <w:right w:val="single" w:color="auto" w:sz="4" w:space="0"/>
            </w:tcBorders>
            <w:vAlign w:val="center"/>
          </w:tcPr>
          <w:p w14:paraId="586DE17A">
            <w:pPr>
              <w:snapToGrid w:val="0"/>
              <w:jc w:val="center"/>
              <w:rPr>
                <w:rFonts w:ascii="宋体" w:hAnsi="宋体" w:cs="宋体"/>
                <w:szCs w:val="21"/>
              </w:rPr>
            </w:pPr>
            <w:r>
              <w:rPr>
                <w:rFonts w:hint="eastAsia" w:ascii="宋体" w:hAnsi="宋体" w:cs="宋体"/>
                <w:szCs w:val="21"/>
              </w:rPr>
              <w:t>交货期/交货地点</w:t>
            </w:r>
          </w:p>
        </w:tc>
        <w:tc>
          <w:tcPr>
            <w:tcW w:w="7651" w:type="dxa"/>
            <w:tcBorders>
              <w:top w:val="single" w:color="auto" w:sz="4" w:space="0"/>
              <w:left w:val="single" w:color="auto" w:sz="4" w:space="0"/>
              <w:bottom w:val="single" w:color="auto" w:sz="4" w:space="0"/>
              <w:right w:val="single" w:color="auto" w:sz="4" w:space="0"/>
            </w:tcBorders>
            <w:vAlign w:val="center"/>
          </w:tcPr>
          <w:p w14:paraId="70AF948A">
            <w:pPr>
              <w:snapToGrid w:val="0"/>
              <w:spacing w:line="360" w:lineRule="auto"/>
              <w:rPr>
                <w:rFonts w:ascii="宋体" w:hAnsi="宋体" w:cs="宋体"/>
                <w:szCs w:val="21"/>
              </w:rPr>
            </w:pPr>
            <w:r>
              <w:rPr>
                <w:rFonts w:hint="eastAsia" w:ascii="宋体" w:hAnsi="宋体" w:cs="宋体"/>
                <w:szCs w:val="21"/>
              </w:rPr>
              <w:t>详见“第二章 采购需求”</w:t>
            </w:r>
          </w:p>
        </w:tc>
      </w:tr>
      <w:tr w14:paraId="3443A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9"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3D7569D3">
            <w:pPr>
              <w:snapToGrid w:val="0"/>
              <w:jc w:val="center"/>
              <w:rPr>
                <w:rFonts w:ascii="宋体" w:hAnsi="宋体" w:cs="宋体"/>
                <w:szCs w:val="21"/>
              </w:rPr>
            </w:pPr>
            <w:r>
              <w:rPr>
                <w:rFonts w:hint="eastAsia" w:ascii="宋体" w:hAnsi="宋体" w:cs="宋体"/>
                <w:szCs w:val="21"/>
              </w:rPr>
              <w:t>8</w:t>
            </w:r>
          </w:p>
        </w:tc>
        <w:tc>
          <w:tcPr>
            <w:tcW w:w="1233" w:type="dxa"/>
            <w:tcBorders>
              <w:top w:val="single" w:color="auto" w:sz="4" w:space="0"/>
              <w:left w:val="single" w:color="auto" w:sz="4" w:space="0"/>
              <w:bottom w:val="single" w:color="auto" w:sz="4" w:space="0"/>
              <w:right w:val="single" w:color="auto" w:sz="4" w:space="0"/>
            </w:tcBorders>
            <w:vAlign w:val="center"/>
          </w:tcPr>
          <w:p w14:paraId="6C2EB1D0">
            <w:pPr>
              <w:snapToGrid w:val="0"/>
              <w:jc w:val="center"/>
              <w:rPr>
                <w:rFonts w:ascii="宋体" w:hAnsi="宋体" w:cs="宋体"/>
                <w:szCs w:val="21"/>
              </w:rPr>
            </w:pPr>
            <w:r>
              <w:rPr>
                <w:rFonts w:hint="eastAsia" w:ascii="宋体" w:hAnsi="宋体" w:cs="宋体"/>
                <w:szCs w:val="21"/>
              </w:rPr>
              <w:t>现场考察</w:t>
            </w:r>
          </w:p>
        </w:tc>
        <w:tc>
          <w:tcPr>
            <w:tcW w:w="7651" w:type="dxa"/>
            <w:tcBorders>
              <w:top w:val="single" w:color="auto" w:sz="4" w:space="0"/>
              <w:left w:val="single" w:color="auto" w:sz="4" w:space="0"/>
              <w:bottom w:val="single" w:color="auto" w:sz="4" w:space="0"/>
              <w:right w:val="single" w:color="auto" w:sz="4" w:space="0"/>
            </w:tcBorders>
            <w:vAlign w:val="center"/>
          </w:tcPr>
          <w:p w14:paraId="6133982E">
            <w:pPr>
              <w:snapToGrid w:val="0"/>
              <w:spacing w:line="360" w:lineRule="auto"/>
              <w:rPr>
                <w:rFonts w:ascii="宋体" w:hAnsi="宋体" w:cs="宋体"/>
                <w:szCs w:val="21"/>
              </w:rPr>
            </w:pPr>
            <w:r>
              <w:rPr>
                <w:rFonts w:hint="eastAsia" w:ascii="宋体" w:hAnsi="宋体" w:cs="宋体"/>
                <w:szCs w:val="21"/>
              </w:rPr>
              <w:t>□ 组织（详细内容）</w:t>
            </w:r>
          </w:p>
          <w:p w14:paraId="361FF0ED">
            <w:pPr>
              <w:snapToGrid w:val="0"/>
              <w:spacing w:line="360"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2"/>
                <w:sz w:val="14"/>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rPr>
              <w:t xml:space="preserve"> 不组织：</w:t>
            </w:r>
          </w:p>
          <w:p w14:paraId="40F65E19">
            <w:pPr>
              <w:snapToGrid w:val="0"/>
              <w:spacing w:line="360" w:lineRule="auto"/>
              <w:rPr>
                <w:rFonts w:ascii="宋体" w:hAnsi="宋体" w:cs="宋体"/>
                <w:szCs w:val="21"/>
              </w:rPr>
            </w:pPr>
            <w:r>
              <w:rPr>
                <w:rFonts w:hint="eastAsia" w:ascii="宋体" w:hAnsi="宋体" w:cs="宋体"/>
                <w:szCs w:val="21"/>
              </w:rPr>
              <w:t>1、投标人自行踏勘现场，踏勘现场所发生的费用由投标人承担。</w:t>
            </w:r>
          </w:p>
          <w:p w14:paraId="52D744C6">
            <w:pPr>
              <w:snapToGrid w:val="0"/>
              <w:spacing w:line="360" w:lineRule="auto"/>
              <w:rPr>
                <w:rFonts w:ascii="宋体" w:hAnsi="宋体" w:cs="宋体"/>
                <w:szCs w:val="21"/>
              </w:rPr>
            </w:pPr>
            <w:r>
              <w:rPr>
                <w:rFonts w:hint="eastAsia" w:ascii="宋体" w:hAnsi="宋体" w:cs="宋体"/>
                <w:szCs w:val="21"/>
              </w:rPr>
              <w:t>2、采购人向投标人提供的有关现场的资料和数据，是采购人现有的能使投标人利用的资料，采购人对投标人由此而做出的推论、理解和结论概不负责。</w:t>
            </w:r>
          </w:p>
          <w:p w14:paraId="334B6440">
            <w:pPr>
              <w:tabs>
                <w:tab w:val="left" w:pos="1593"/>
              </w:tabs>
              <w:snapToGrid w:val="0"/>
              <w:spacing w:line="360" w:lineRule="auto"/>
              <w:rPr>
                <w:rFonts w:ascii="宋体" w:hAnsi="宋体" w:cs="宋体"/>
                <w:szCs w:val="21"/>
              </w:rPr>
            </w:pPr>
            <w:r>
              <w:rPr>
                <w:rFonts w:hint="eastAsia" w:ascii="宋体" w:hAnsi="宋体" w:cs="宋体"/>
                <w:szCs w:val="21"/>
              </w:rPr>
              <w:t>3、投标人经过采购人的允许，可为踏勘目的进入项目现场，对供货（或施工）现场及其范围环境进行考察，以获取有关编制投标文件和签署实施合同所需的各项资料，但投标人及其人员不得因此使采购人及其人员承担有关的责任和蒙受损失。投标人并应对由此次踏勘现场而造成的死亡、人身伤害、财产损失、损害以及任何其它损失、损害和引起的费用和开支承担责任。</w:t>
            </w:r>
            <w:r>
              <w:rPr>
                <w:rFonts w:hint="eastAsia" w:ascii="宋体" w:hAnsi="宋体" w:cs="宋体"/>
                <w:szCs w:val="21"/>
              </w:rPr>
              <w:tab/>
            </w:r>
          </w:p>
        </w:tc>
      </w:tr>
      <w:tr w14:paraId="33E4C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6"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4EC726EE">
            <w:pPr>
              <w:snapToGrid w:val="0"/>
              <w:jc w:val="center"/>
              <w:rPr>
                <w:rFonts w:ascii="宋体" w:hAnsi="宋体" w:cs="宋体"/>
                <w:szCs w:val="21"/>
              </w:rPr>
            </w:pPr>
            <w:r>
              <w:rPr>
                <w:rFonts w:hint="eastAsia" w:ascii="宋体" w:hAnsi="宋体" w:cs="宋体"/>
                <w:szCs w:val="21"/>
              </w:rPr>
              <w:t>9</w:t>
            </w:r>
          </w:p>
        </w:tc>
        <w:tc>
          <w:tcPr>
            <w:tcW w:w="1233" w:type="dxa"/>
            <w:tcBorders>
              <w:top w:val="single" w:color="auto" w:sz="4" w:space="0"/>
              <w:left w:val="single" w:color="auto" w:sz="4" w:space="0"/>
              <w:bottom w:val="single" w:color="auto" w:sz="4" w:space="0"/>
              <w:right w:val="single" w:color="auto" w:sz="4" w:space="0"/>
            </w:tcBorders>
            <w:vAlign w:val="center"/>
          </w:tcPr>
          <w:p w14:paraId="701B9F77">
            <w:pPr>
              <w:snapToGrid w:val="0"/>
              <w:jc w:val="center"/>
              <w:rPr>
                <w:rFonts w:ascii="宋体" w:hAnsi="宋体" w:cs="宋体"/>
                <w:szCs w:val="21"/>
              </w:rPr>
            </w:pPr>
            <w:r>
              <w:rPr>
                <w:rFonts w:hint="eastAsia" w:ascii="宋体" w:hAnsi="宋体" w:cs="宋体"/>
                <w:szCs w:val="21"/>
              </w:rPr>
              <w:t>样品</w:t>
            </w:r>
          </w:p>
        </w:tc>
        <w:tc>
          <w:tcPr>
            <w:tcW w:w="7651" w:type="dxa"/>
            <w:tcBorders>
              <w:top w:val="single" w:color="auto" w:sz="4" w:space="0"/>
              <w:left w:val="single" w:color="auto" w:sz="4" w:space="0"/>
              <w:bottom w:val="single" w:color="auto" w:sz="4" w:space="0"/>
              <w:right w:val="single" w:color="auto" w:sz="4" w:space="0"/>
            </w:tcBorders>
            <w:vAlign w:val="center"/>
          </w:tcPr>
          <w:p w14:paraId="0F46B902">
            <w:pPr>
              <w:snapToGrid w:val="0"/>
              <w:spacing w:line="360"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提供</w:t>
            </w:r>
          </w:p>
          <w:p w14:paraId="7A290405">
            <w:pPr>
              <w:spacing w:line="400" w:lineRule="exact"/>
              <w:ind w:left="420" w:firstLine="210" w:firstLineChars="100"/>
              <w:rPr>
                <w:rFonts w:ascii="宋体" w:hAnsi="宋体" w:cs="宋体"/>
                <w:kern w:val="0"/>
                <w:szCs w:val="21"/>
              </w:rPr>
            </w:pPr>
            <w:r>
              <w:rPr>
                <w:rFonts w:hint="eastAsia" w:ascii="宋体" w:hAnsi="宋体" w:cs="宋体"/>
                <w:kern w:val="0"/>
                <w:szCs w:val="21"/>
              </w:rPr>
              <w:t>（1）</w:t>
            </w:r>
            <w:r>
              <w:rPr>
                <w:rFonts w:hint="eastAsia" w:ascii="宋体" w:hAnsi="宋体" w:cs="宋体"/>
                <w:snapToGrid w:val="0"/>
                <w:kern w:val="28"/>
                <w:szCs w:val="21"/>
              </w:rPr>
              <w:t xml:space="preserve">样品：      </w:t>
            </w:r>
            <w:r>
              <w:rPr>
                <w:rFonts w:hint="eastAsia" w:ascii="宋体" w:hAnsi="宋体" w:cs="宋体"/>
                <w:kern w:val="0"/>
                <w:szCs w:val="21"/>
              </w:rPr>
              <w:t>；</w:t>
            </w:r>
          </w:p>
          <w:p w14:paraId="7860901E">
            <w:pPr>
              <w:spacing w:line="400" w:lineRule="exact"/>
              <w:ind w:left="420" w:firstLine="210" w:firstLineChars="100"/>
              <w:rPr>
                <w:rFonts w:ascii="宋体" w:hAnsi="宋体" w:cs="宋体"/>
                <w:kern w:val="0"/>
                <w:szCs w:val="21"/>
              </w:rPr>
            </w:pPr>
            <w:r>
              <w:rPr>
                <w:rFonts w:hint="eastAsia" w:ascii="宋体" w:hAnsi="宋体" w:cs="宋体"/>
                <w:kern w:val="0"/>
                <w:szCs w:val="21"/>
              </w:rPr>
              <w:t>（2）</w:t>
            </w:r>
            <w:r>
              <w:rPr>
                <w:rFonts w:hint="eastAsia" w:ascii="宋体" w:hAnsi="宋体" w:cs="宋体"/>
                <w:snapToGrid w:val="0"/>
                <w:kern w:val="28"/>
                <w:szCs w:val="21"/>
              </w:rPr>
              <w:t xml:space="preserve">样品制作的标准和要求：         </w:t>
            </w:r>
            <w:r>
              <w:rPr>
                <w:rFonts w:hint="eastAsia" w:ascii="宋体" w:hAnsi="宋体" w:cs="宋体"/>
                <w:kern w:val="0"/>
                <w:szCs w:val="21"/>
              </w:rPr>
              <w:t>；</w:t>
            </w:r>
          </w:p>
          <w:p w14:paraId="7F5C8265">
            <w:pPr>
              <w:spacing w:line="400" w:lineRule="exact"/>
              <w:ind w:left="420" w:firstLine="210" w:firstLineChars="100"/>
              <w:rPr>
                <w:rFonts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snapToGrid w:val="0"/>
                <w:kern w:val="28"/>
                <w:szCs w:val="21"/>
              </w:rPr>
              <w:t>：详见</w:t>
            </w:r>
            <w:r>
              <w:rPr>
                <w:rFonts w:hint="eastAsia" w:ascii="宋体" w:hAnsi="宋体" w:cs="宋体"/>
                <w:szCs w:val="21"/>
                <w:u w:val="single"/>
              </w:rPr>
              <w:t>评标办法</w:t>
            </w:r>
            <w:r>
              <w:rPr>
                <w:rFonts w:hint="eastAsia" w:ascii="宋体" w:hAnsi="宋体" w:cs="宋体"/>
                <w:kern w:val="0"/>
                <w:szCs w:val="21"/>
              </w:rPr>
              <w:t>；</w:t>
            </w:r>
          </w:p>
          <w:p w14:paraId="38F5CF85">
            <w:pPr>
              <w:spacing w:line="400" w:lineRule="exact"/>
              <w:ind w:left="420" w:firstLine="210" w:firstLineChars="100"/>
              <w:rPr>
                <w:rFonts w:ascii="宋体" w:hAnsi="宋体" w:cs="宋体"/>
                <w:kern w:val="0"/>
                <w:szCs w:val="21"/>
              </w:rPr>
            </w:pPr>
            <w:r>
              <w:rPr>
                <w:rFonts w:hint="eastAsia" w:ascii="宋体" w:hAnsi="宋体" w:cs="宋体"/>
                <w:kern w:val="0"/>
                <w:szCs w:val="21"/>
              </w:rPr>
              <w:t>（4）是否需要随样品提交检测报告：☐否；☐是，检测机构的要求</w:t>
            </w:r>
            <w:r>
              <w:rPr>
                <w:rFonts w:hint="eastAsia" w:ascii="宋体" w:hAnsi="宋体" w:cs="宋体"/>
                <w:szCs w:val="21"/>
              </w:rPr>
              <w:t xml:space="preserve">：       </w:t>
            </w:r>
            <w:r>
              <w:rPr>
                <w:rFonts w:hint="eastAsia" w:ascii="宋体" w:hAnsi="宋体" w:cs="宋体"/>
                <w:kern w:val="0"/>
                <w:szCs w:val="21"/>
              </w:rPr>
              <w:t>；检测内容</w:t>
            </w:r>
            <w:r>
              <w:rPr>
                <w:rFonts w:hint="eastAsia" w:ascii="宋体" w:hAnsi="宋体" w:cs="宋体"/>
                <w:szCs w:val="21"/>
              </w:rPr>
              <w:t xml:space="preserve">：          </w:t>
            </w:r>
            <w:r>
              <w:rPr>
                <w:rFonts w:hint="eastAsia" w:ascii="宋体" w:hAnsi="宋体" w:cs="宋体"/>
                <w:kern w:val="0"/>
                <w:szCs w:val="21"/>
              </w:rPr>
              <w:t>。</w:t>
            </w:r>
          </w:p>
          <w:p w14:paraId="307492C0">
            <w:pPr>
              <w:spacing w:line="400" w:lineRule="exact"/>
              <w:ind w:left="420" w:firstLine="210" w:firstLineChars="100"/>
              <w:rPr>
                <w:rFonts w:ascii="宋体" w:hAnsi="宋体" w:cs="宋体"/>
                <w:szCs w:val="21"/>
              </w:rPr>
            </w:pPr>
            <w:r>
              <w:rPr>
                <w:rFonts w:hint="eastAsia" w:ascii="宋体" w:hAnsi="宋体" w:cs="宋体"/>
                <w:szCs w:val="21"/>
              </w:rPr>
              <w:t xml:space="preserve">（5）提供样品的时间：   </w:t>
            </w:r>
            <w:r>
              <w:rPr>
                <w:rFonts w:hint="eastAsia" w:ascii="宋体" w:hAnsi="宋体" w:cs="宋体"/>
                <w:kern w:val="0"/>
                <w:szCs w:val="21"/>
              </w:rPr>
              <w:t>；地点：    ；联系人</w:t>
            </w:r>
            <w:r>
              <w:rPr>
                <w:rFonts w:hint="eastAsia" w:ascii="宋体" w:hAnsi="宋体" w:cs="宋体"/>
                <w:szCs w:val="21"/>
              </w:rPr>
              <w:t>：    ，</w:t>
            </w:r>
            <w:r>
              <w:rPr>
                <w:rFonts w:hint="eastAsia" w:ascii="宋体" w:hAnsi="宋体" w:cs="宋体"/>
                <w:kern w:val="28"/>
                <w:szCs w:val="21"/>
              </w:rPr>
              <w:t xml:space="preserve">联系电话：      </w:t>
            </w:r>
            <w:r>
              <w:rPr>
                <w:rFonts w:hint="eastAsia" w:ascii="宋体" w:hAnsi="宋体" w:cs="宋体"/>
                <w:szCs w:val="21"/>
              </w:rPr>
              <w:t>。请投标人在上述时间内提供样品并按规定位置安装完毕。超过截止时间的，采购人或采购代理机构将不予接收，并将清场并封闭样品现场。</w:t>
            </w:r>
          </w:p>
          <w:p w14:paraId="29323433">
            <w:pPr>
              <w:spacing w:line="400" w:lineRule="exact"/>
              <w:ind w:left="420" w:firstLine="210" w:firstLineChars="100"/>
              <w:rPr>
                <w:rFonts w:ascii="宋体" w:hAnsi="宋体" w:cs="宋体"/>
                <w:szCs w:val="21"/>
              </w:rPr>
            </w:pPr>
            <w:r>
              <w:rPr>
                <w:rFonts w:hint="eastAsia" w:ascii="宋体" w:hAnsi="宋体" w:cs="宋体"/>
                <w:szCs w:val="21"/>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A8BD4B0">
            <w:pPr>
              <w:snapToGrid w:val="0"/>
              <w:spacing w:line="360" w:lineRule="auto"/>
              <w:ind w:left="420" w:firstLine="210" w:firstLineChars="100"/>
              <w:rPr>
                <w:rFonts w:ascii="宋体" w:hAnsi="宋体" w:cs="宋体"/>
                <w:szCs w:val="21"/>
              </w:rPr>
            </w:pPr>
            <w:r>
              <w:rPr>
                <w:rFonts w:hint="eastAsia" w:ascii="宋体" w:hAnsi="宋体" w:cs="宋体"/>
                <w:szCs w:val="21"/>
              </w:rPr>
              <w:t>（7）制作、运输、安装和保管样品所发生的一切费用由投标人自理。</w:t>
            </w:r>
          </w:p>
          <w:p w14:paraId="29111490">
            <w:pPr>
              <w:snapToGrid w:val="0"/>
              <w:spacing w:line="360" w:lineRule="auto"/>
              <w:rPr>
                <w:rFonts w:ascii="宋体" w:hAnsi="宋体" w:cs="宋体"/>
                <w:szCs w:val="21"/>
              </w:rPr>
            </w:pPr>
            <w:r>
              <w:rPr>
                <w:rFonts w:hint="eastAsia" w:ascii="宋体" w:hAnsi="宋体" w:cs="宋体"/>
                <w:szCs w:val="21"/>
              </w:rPr>
              <w:t>☑不提供</w:t>
            </w:r>
          </w:p>
        </w:tc>
      </w:tr>
      <w:tr w14:paraId="2DE81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2"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42F9C558">
            <w:pPr>
              <w:snapToGrid w:val="0"/>
              <w:jc w:val="center"/>
              <w:rPr>
                <w:rFonts w:ascii="宋体" w:hAnsi="宋体" w:cs="宋体"/>
                <w:szCs w:val="21"/>
              </w:rPr>
            </w:pPr>
            <w:r>
              <w:rPr>
                <w:rFonts w:hint="eastAsia" w:ascii="宋体" w:hAnsi="宋体" w:cs="宋体"/>
                <w:szCs w:val="21"/>
              </w:rPr>
              <w:t>10</w:t>
            </w:r>
          </w:p>
        </w:tc>
        <w:tc>
          <w:tcPr>
            <w:tcW w:w="1233" w:type="dxa"/>
            <w:tcBorders>
              <w:top w:val="single" w:color="auto" w:sz="4" w:space="0"/>
              <w:left w:val="single" w:color="auto" w:sz="4" w:space="0"/>
              <w:bottom w:val="single" w:color="auto" w:sz="4" w:space="0"/>
              <w:right w:val="single" w:color="auto" w:sz="4" w:space="0"/>
            </w:tcBorders>
            <w:vAlign w:val="center"/>
          </w:tcPr>
          <w:p w14:paraId="56E96420">
            <w:pPr>
              <w:snapToGrid w:val="0"/>
              <w:jc w:val="center"/>
              <w:rPr>
                <w:rFonts w:ascii="宋体" w:hAnsi="宋体" w:cs="宋体"/>
                <w:szCs w:val="21"/>
              </w:rPr>
            </w:pPr>
            <w:r>
              <w:rPr>
                <w:rFonts w:hint="eastAsia" w:ascii="宋体" w:hAnsi="宋体" w:cs="宋体"/>
                <w:szCs w:val="21"/>
              </w:rPr>
              <w:t>演示</w:t>
            </w:r>
          </w:p>
        </w:tc>
        <w:tc>
          <w:tcPr>
            <w:tcW w:w="7651" w:type="dxa"/>
            <w:tcBorders>
              <w:top w:val="single" w:color="auto" w:sz="4" w:space="0"/>
              <w:left w:val="single" w:color="auto" w:sz="4" w:space="0"/>
              <w:bottom w:val="single" w:color="auto" w:sz="4" w:space="0"/>
              <w:right w:val="single" w:color="auto" w:sz="4" w:space="0"/>
            </w:tcBorders>
            <w:vAlign w:val="center"/>
          </w:tcPr>
          <w:p w14:paraId="759DB981">
            <w:pPr>
              <w:snapToGrid w:val="0"/>
              <w:spacing w:line="360" w:lineRule="auto"/>
              <w:rPr>
                <w:rFonts w:ascii="宋体" w:hAnsi="宋体" w:cs="宋体"/>
                <w:szCs w:val="21"/>
              </w:rPr>
            </w:pPr>
            <w:r>
              <w:rPr>
                <w:rFonts w:hint="eastAsia" w:ascii="宋体" w:hAnsi="宋体" w:cs="宋体"/>
                <w:szCs w:val="21"/>
              </w:rPr>
              <w:t>□要求</w:t>
            </w:r>
          </w:p>
          <w:p w14:paraId="2FD8EF6D">
            <w:pPr>
              <w:snapToGrid w:val="0"/>
              <w:spacing w:line="360" w:lineRule="auto"/>
              <w:ind w:left="420" w:firstLine="420" w:firstLineChars="200"/>
              <w:rPr>
                <w:rFonts w:ascii="宋体" w:hAnsi="宋体" w:cs="宋体"/>
                <w:szCs w:val="21"/>
              </w:rPr>
            </w:pPr>
            <w:r>
              <w:rPr>
                <w:rFonts w:hint="eastAsia" w:ascii="宋体" w:hAnsi="宋体" w:cs="宋体"/>
                <w:szCs w:val="21"/>
              </w:rPr>
              <w:t>（1）在评标时安排每个投标人进行方案讲解演示。每个投标人时间不超</w:t>
            </w:r>
            <w:r>
              <w:rPr>
                <w:rFonts w:hint="eastAsia" w:ascii="宋体" w:hAnsi="宋体" w:cs="宋体"/>
                <w:szCs w:val="21"/>
                <w:highlight w:val="none"/>
              </w:rPr>
              <w:t>过</w:t>
            </w:r>
            <w:r>
              <w:rPr>
                <w:rFonts w:hint="eastAsia" w:ascii="宋体" w:hAnsi="宋体" w:cs="宋体"/>
                <w:szCs w:val="21"/>
                <w:highlight w:val="none"/>
                <w:u w:val="single"/>
              </w:rPr>
              <w:t>15</w:t>
            </w:r>
            <w:r>
              <w:rPr>
                <w:rFonts w:hint="eastAsia" w:ascii="宋体" w:hAnsi="宋体" w:cs="宋体"/>
                <w:szCs w:val="21"/>
                <w:highlight w:val="none"/>
              </w:rPr>
              <w:t>分钟</w:t>
            </w:r>
            <w:r>
              <w:rPr>
                <w:rFonts w:hint="eastAsia" w:ascii="宋体" w:hAnsi="宋体" w:cs="宋体"/>
                <w:szCs w:val="21"/>
              </w:rPr>
              <w:t>，讲解次序以投标文件解密时间先后次序为准，讲解演示人员不超过</w:t>
            </w:r>
            <w:r>
              <w:rPr>
                <w:rFonts w:hint="eastAsia" w:ascii="宋体" w:hAnsi="宋体" w:cs="宋体"/>
                <w:szCs w:val="21"/>
                <w:u w:val="single"/>
              </w:rPr>
              <w:t>2</w:t>
            </w:r>
            <w:r>
              <w:rPr>
                <w:rFonts w:hint="eastAsia" w:ascii="宋体" w:hAnsi="宋体" w:cs="宋体"/>
                <w:szCs w:val="21"/>
              </w:rPr>
              <w:t>人。讲解演示结束后按要求解答评标委员会提问。</w:t>
            </w:r>
          </w:p>
          <w:p w14:paraId="22F7AF28">
            <w:pPr>
              <w:spacing w:line="360" w:lineRule="auto"/>
              <w:ind w:left="420" w:firstLine="420" w:firstLineChars="200"/>
              <w:contextualSpacing/>
              <w:rPr>
                <w:rFonts w:ascii="宋体" w:hAnsi="宋体" w:cs="宋体"/>
                <w:szCs w:val="21"/>
              </w:rPr>
            </w:pPr>
            <w:r>
              <w:rPr>
                <w:rFonts w:hint="eastAsia" w:ascii="宋体" w:hAnsi="宋体" w:cs="宋体"/>
                <w:szCs w:val="21"/>
              </w:rPr>
              <w:t>（2）方案讲解演示可选择以下其中一种方式：</w:t>
            </w:r>
          </w:p>
          <w:p w14:paraId="0651EF6D">
            <w:pPr>
              <w:spacing w:line="360" w:lineRule="auto"/>
              <w:contextualSpacing/>
              <w:rPr>
                <w:rFonts w:ascii="宋体" w:hAnsi="宋体" w:cs="宋体"/>
                <w:szCs w:val="21"/>
              </w:rPr>
            </w:pPr>
            <w:r>
              <w:rPr>
                <w:rFonts w:hint="eastAsia" w:ascii="宋体" w:hAnsi="宋体" w:cs="宋体"/>
                <w:szCs w:val="21"/>
              </w:rPr>
              <w:t>☐政采云平台在线讲解演示。政采云平台在线讲解需投标人根据政采云平台操作要求做好准备工作，提前完善软硬件配置环境。</w:t>
            </w:r>
          </w:p>
          <w:p w14:paraId="51C52610">
            <w:pPr>
              <w:pStyle w:val="73"/>
              <w:spacing w:line="360" w:lineRule="auto"/>
              <w:rPr>
                <w:rFonts w:ascii="宋体" w:hAnsi="宋体" w:eastAsia="宋体" w:cs="宋体"/>
                <w:sz w:val="21"/>
                <w:szCs w:val="21"/>
              </w:rPr>
            </w:pPr>
            <w:r>
              <w:rPr>
                <w:rFonts w:hint="eastAsia" w:ascii="宋体" w:hAnsi="宋体" w:eastAsia="宋体" w:cs="宋体"/>
                <w:sz w:val="21"/>
                <w:szCs w:val="21"/>
              </w:rPr>
              <w:t>☐投标人将演示内容录制成视频并压缩加密,视频播放时间控制在15分钟以内。投标人应在投标截止时间前将加密视频文件一次性发送至采购代理机构指定邮箱(</w:t>
            </w:r>
            <w:r>
              <w:rPr>
                <w:rFonts w:hint="eastAsia" w:ascii="宋体" w:hAnsi="宋体" w:eastAsia="宋体" w:cs="宋体"/>
                <w:sz w:val="21"/>
                <w:szCs w:val="21"/>
                <w:u w:val="single"/>
              </w:rPr>
              <w:t xml:space="preserve"> 2670214167@qq.com</w:t>
            </w:r>
            <w:r>
              <w:rPr>
                <w:rFonts w:hint="eastAsia" w:ascii="宋体" w:hAnsi="宋体" w:eastAsia="宋体" w:cs="宋体"/>
                <w:sz w:val="21"/>
                <w:szCs w:val="21"/>
              </w:rPr>
              <w:t>)，投标截止时间前多次发送的，以最后一次为准。演示开始后，代理机构向各投标人获取视频密码，未在规定时间内发送演示视频或视频无法打开的，此项不得分。</w:t>
            </w:r>
          </w:p>
          <w:p w14:paraId="4915BBF7">
            <w:pPr>
              <w:snapToGrid w:val="0"/>
              <w:spacing w:line="360" w:lineRule="auto"/>
              <w:rPr>
                <w:rFonts w:ascii="宋体" w:hAnsi="宋体" w:cs="宋体"/>
                <w:b/>
                <w:bCs/>
                <w:szCs w:val="21"/>
              </w:rPr>
            </w:pPr>
            <w:r>
              <w:rPr>
                <w:rFonts w:hint="eastAsia" w:ascii="宋体" w:hAnsi="宋体" w:cs="宋体"/>
                <w:b/>
                <w:bCs/>
                <w:szCs w:val="21"/>
              </w:rPr>
              <w:t>注：因投标人自身原因导致无法演示或者演示效果不理想的，责任自负。因平台原因导致本项目方案讲解演示环节无法顺利开展，按照《浙江省政府采购项目电子交易管理暂行办法》相关规定执行。</w:t>
            </w:r>
          </w:p>
          <w:p w14:paraId="492C416F">
            <w:pPr>
              <w:snapToGrid w:val="0"/>
              <w:spacing w:line="360"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2"/>
                <w:sz w:val="14"/>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rPr>
              <w:t>不要求</w:t>
            </w:r>
          </w:p>
        </w:tc>
      </w:tr>
      <w:tr w14:paraId="566B0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7"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1CB86E86">
            <w:pPr>
              <w:snapToGrid w:val="0"/>
              <w:jc w:val="center"/>
              <w:rPr>
                <w:rFonts w:ascii="宋体" w:hAnsi="宋体" w:cs="宋体"/>
                <w:szCs w:val="21"/>
              </w:rPr>
            </w:pPr>
            <w:r>
              <w:rPr>
                <w:rFonts w:hint="eastAsia" w:ascii="宋体" w:hAnsi="宋体" w:cs="宋体"/>
                <w:szCs w:val="21"/>
              </w:rPr>
              <w:t>11</w:t>
            </w:r>
          </w:p>
        </w:tc>
        <w:tc>
          <w:tcPr>
            <w:tcW w:w="1233" w:type="dxa"/>
            <w:tcBorders>
              <w:top w:val="single" w:color="auto" w:sz="4" w:space="0"/>
              <w:left w:val="single" w:color="auto" w:sz="4" w:space="0"/>
              <w:bottom w:val="single" w:color="auto" w:sz="4" w:space="0"/>
              <w:right w:val="single" w:color="auto" w:sz="4" w:space="0"/>
            </w:tcBorders>
            <w:vAlign w:val="center"/>
          </w:tcPr>
          <w:p w14:paraId="71EEA77E">
            <w:pPr>
              <w:snapToGrid w:val="0"/>
              <w:jc w:val="center"/>
              <w:rPr>
                <w:rFonts w:ascii="宋体" w:hAnsi="宋体" w:cs="宋体"/>
                <w:szCs w:val="21"/>
              </w:rPr>
            </w:pPr>
            <w:r>
              <w:rPr>
                <w:rFonts w:hint="eastAsia" w:ascii="宋体" w:hAnsi="宋体" w:cs="宋体"/>
                <w:szCs w:val="21"/>
              </w:rPr>
              <w:t>招标文</w:t>
            </w:r>
          </w:p>
          <w:p w14:paraId="77686876">
            <w:pPr>
              <w:snapToGrid w:val="0"/>
              <w:jc w:val="center"/>
              <w:rPr>
                <w:rFonts w:ascii="宋体" w:hAnsi="宋体" w:cs="宋体"/>
                <w:szCs w:val="21"/>
              </w:rPr>
            </w:pPr>
            <w:r>
              <w:rPr>
                <w:rFonts w:hint="eastAsia" w:ascii="宋体" w:hAnsi="宋体" w:cs="宋体"/>
                <w:szCs w:val="21"/>
              </w:rPr>
              <w:t>件澄清</w:t>
            </w:r>
          </w:p>
        </w:tc>
        <w:tc>
          <w:tcPr>
            <w:tcW w:w="7651" w:type="dxa"/>
            <w:tcBorders>
              <w:top w:val="single" w:color="auto" w:sz="4" w:space="0"/>
              <w:left w:val="single" w:color="auto" w:sz="4" w:space="0"/>
              <w:bottom w:val="single" w:color="auto" w:sz="4" w:space="0"/>
              <w:right w:val="single" w:color="auto" w:sz="4" w:space="0"/>
            </w:tcBorders>
            <w:vAlign w:val="center"/>
          </w:tcPr>
          <w:p w14:paraId="27AC8806">
            <w:pPr>
              <w:snapToGrid w:val="0"/>
              <w:spacing w:line="360" w:lineRule="auto"/>
              <w:rPr>
                <w:rFonts w:ascii="宋体" w:hAnsi="宋体" w:cs="宋体"/>
                <w:szCs w:val="21"/>
              </w:rPr>
            </w:pPr>
            <w:r>
              <w:rPr>
                <w:rFonts w:hint="eastAsia" w:ascii="宋体" w:hAnsi="宋体" w:cs="宋体"/>
                <w:szCs w:val="21"/>
              </w:rPr>
              <w:t>投标人如认为招标文件表述不清晰、存在前后矛盾等内容的，</w:t>
            </w:r>
            <w:r>
              <w:rPr>
                <w:rFonts w:hint="eastAsia" w:ascii="宋体" w:hAnsi="宋体" w:cs="宋体"/>
                <w:bCs/>
                <w:szCs w:val="21"/>
                <w:lang w:bidi="ar"/>
              </w:rPr>
              <w:t>应当于公告发布之日起至公告期限满第7个工作日内以书面形式向</w:t>
            </w:r>
            <w:r>
              <w:rPr>
                <w:rFonts w:hint="eastAsia" w:ascii="宋体" w:hAnsi="宋体" w:cs="宋体"/>
                <w:szCs w:val="21"/>
                <w:lang w:bidi="ar"/>
              </w:rPr>
              <w:t>采购人或采购代理机构</w:t>
            </w:r>
            <w:r>
              <w:rPr>
                <w:rFonts w:hint="eastAsia" w:ascii="宋体" w:hAnsi="宋体" w:cs="宋体"/>
                <w:bCs/>
                <w:szCs w:val="21"/>
                <w:lang w:bidi="ar"/>
              </w:rPr>
              <w:t>提出。</w:t>
            </w:r>
            <w:r>
              <w:rPr>
                <w:rFonts w:hint="eastAsia" w:ascii="宋体" w:hAnsi="宋体" w:cs="宋体"/>
                <w:szCs w:val="21"/>
                <w:lang w:bidi="ar"/>
              </w:rPr>
              <w:t>采购人或采购代理机构</w:t>
            </w:r>
            <w:r>
              <w:rPr>
                <w:rFonts w:hint="eastAsia" w:ascii="宋体" w:hAnsi="宋体" w:cs="宋体"/>
                <w:bCs/>
                <w:szCs w:val="21"/>
                <w:lang w:bidi="ar"/>
              </w:rPr>
              <w:t>将在规定的时间内，在财政部门指定的政府采购信息发布媒体上发布更正公告，并以书面形式通知所有招标文件收受人。</w:t>
            </w:r>
            <w:r>
              <w:rPr>
                <w:rFonts w:hint="eastAsia" w:ascii="宋体" w:hAnsi="宋体" w:cs="宋体"/>
                <w:b/>
                <w:bCs/>
                <w:szCs w:val="21"/>
                <w:lang w:bidi="ar"/>
              </w:rPr>
              <w:t>逾期提出的，采购人或采购代理机构将不予受理。</w:t>
            </w:r>
          </w:p>
        </w:tc>
      </w:tr>
      <w:tr w14:paraId="56364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30AAB21C">
            <w:pPr>
              <w:snapToGrid w:val="0"/>
              <w:jc w:val="center"/>
              <w:rPr>
                <w:rFonts w:ascii="宋体" w:hAnsi="宋体" w:cs="宋体"/>
                <w:szCs w:val="21"/>
              </w:rPr>
            </w:pPr>
            <w:r>
              <w:rPr>
                <w:rFonts w:hint="eastAsia" w:ascii="宋体" w:hAnsi="宋体" w:cs="宋体"/>
                <w:szCs w:val="21"/>
              </w:rPr>
              <w:t>12</w:t>
            </w:r>
          </w:p>
        </w:tc>
        <w:tc>
          <w:tcPr>
            <w:tcW w:w="1233" w:type="dxa"/>
            <w:tcBorders>
              <w:top w:val="single" w:color="auto" w:sz="4" w:space="0"/>
              <w:left w:val="single" w:color="auto" w:sz="4" w:space="0"/>
              <w:bottom w:val="single" w:color="auto" w:sz="4" w:space="0"/>
              <w:right w:val="single" w:color="auto" w:sz="4" w:space="0"/>
            </w:tcBorders>
            <w:vAlign w:val="center"/>
          </w:tcPr>
          <w:p w14:paraId="6C27E5E1">
            <w:pPr>
              <w:snapToGrid w:val="0"/>
              <w:jc w:val="center"/>
              <w:rPr>
                <w:rFonts w:ascii="宋体" w:hAnsi="宋体" w:cs="宋体"/>
                <w:szCs w:val="21"/>
              </w:rPr>
            </w:pPr>
            <w:r>
              <w:rPr>
                <w:rFonts w:hint="eastAsia" w:ascii="宋体" w:hAnsi="宋体" w:cs="宋体"/>
                <w:szCs w:val="21"/>
              </w:rPr>
              <w:t>投标文件</w:t>
            </w:r>
          </w:p>
          <w:p w14:paraId="6E4357E9">
            <w:pPr>
              <w:snapToGrid w:val="0"/>
              <w:jc w:val="center"/>
              <w:rPr>
                <w:rFonts w:ascii="宋体" w:hAnsi="宋体" w:cs="宋体"/>
                <w:szCs w:val="21"/>
              </w:rPr>
            </w:pPr>
            <w:r>
              <w:rPr>
                <w:rFonts w:hint="eastAsia" w:ascii="宋体" w:hAnsi="宋体" w:cs="宋体"/>
                <w:szCs w:val="21"/>
              </w:rPr>
              <w:t>的组成</w:t>
            </w:r>
          </w:p>
        </w:tc>
        <w:tc>
          <w:tcPr>
            <w:tcW w:w="7651" w:type="dxa"/>
            <w:tcBorders>
              <w:top w:val="single" w:color="auto" w:sz="4" w:space="0"/>
              <w:left w:val="single" w:color="auto" w:sz="4" w:space="0"/>
              <w:bottom w:val="single" w:color="auto" w:sz="4" w:space="0"/>
              <w:right w:val="single" w:color="auto" w:sz="4" w:space="0"/>
            </w:tcBorders>
            <w:vAlign w:val="center"/>
          </w:tcPr>
          <w:p w14:paraId="7110529B">
            <w:pPr>
              <w:autoSpaceDE w:val="0"/>
              <w:autoSpaceDN w:val="0"/>
              <w:snapToGrid w:val="0"/>
              <w:spacing w:line="360" w:lineRule="auto"/>
              <w:textAlignment w:val="bottom"/>
              <w:rPr>
                <w:rFonts w:ascii="宋体" w:hAnsi="宋体" w:cs="宋体"/>
                <w:szCs w:val="21"/>
              </w:rPr>
            </w:pPr>
            <w:r>
              <w:rPr>
                <w:rFonts w:hint="eastAsia" w:ascii="宋体" w:hAnsi="宋体" w:cs="宋体"/>
                <w:szCs w:val="21"/>
              </w:rPr>
              <w:t>投标文件由资格证明文件、商务技术文件、报价文件三部分组成。</w:t>
            </w:r>
          </w:p>
        </w:tc>
      </w:tr>
      <w:tr w14:paraId="7E6CF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1"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3C14048B">
            <w:pPr>
              <w:snapToGrid w:val="0"/>
              <w:jc w:val="center"/>
              <w:rPr>
                <w:rFonts w:ascii="宋体" w:hAnsi="宋体" w:cs="宋体"/>
                <w:szCs w:val="21"/>
              </w:rPr>
            </w:pPr>
            <w:r>
              <w:rPr>
                <w:rFonts w:hint="eastAsia" w:ascii="宋体" w:hAnsi="宋体" w:cs="宋体"/>
                <w:szCs w:val="21"/>
              </w:rPr>
              <w:t>13</w:t>
            </w:r>
          </w:p>
        </w:tc>
        <w:tc>
          <w:tcPr>
            <w:tcW w:w="1233" w:type="dxa"/>
            <w:tcBorders>
              <w:top w:val="single" w:color="auto" w:sz="4" w:space="0"/>
              <w:left w:val="single" w:color="auto" w:sz="4" w:space="0"/>
              <w:bottom w:val="single" w:color="auto" w:sz="4" w:space="0"/>
              <w:right w:val="single" w:color="auto" w:sz="4" w:space="0"/>
            </w:tcBorders>
            <w:vAlign w:val="center"/>
          </w:tcPr>
          <w:p w14:paraId="5EA0C456">
            <w:pPr>
              <w:snapToGrid w:val="0"/>
              <w:jc w:val="center"/>
              <w:rPr>
                <w:rFonts w:ascii="宋体" w:hAnsi="宋体" w:cs="宋体"/>
                <w:szCs w:val="21"/>
              </w:rPr>
            </w:pPr>
            <w:r>
              <w:rPr>
                <w:rFonts w:hint="eastAsia" w:ascii="宋体" w:hAnsi="宋体" w:cs="宋体"/>
                <w:szCs w:val="21"/>
              </w:rPr>
              <w:t>投标文件</w:t>
            </w:r>
          </w:p>
          <w:p w14:paraId="19FBAF15">
            <w:pPr>
              <w:snapToGrid w:val="0"/>
              <w:jc w:val="center"/>
              <w:rPr>
                <w:rFonts w:ascii="宋体" w:hAnsi="宋体" w:cs="宋体"/>
                <w:szCs w:val="21"/>
              </w:rPr>
            </w:pPr>
            <w:r>
              <w:rPr>
                <w:rFonts w:hint="eastAsia" w:ascii="宋体" w:hAnsi="宋体" w:cs="宋体"/>
                <w:szCs w:val="21"/>
              </w:rPr>
              <w:t>的编制</w:t>
            </w:r>
          </w:p>
        </w:tc>
        <w:tc>
          <w:tcPr>
            <w:tcW w:w="7651" w:type="dxa"/>
            <w:tcBorders>
              <w:top w:val="single" w:color="auto" w:sz="4" w:space="0"/>
              <w:left w:val="single" w:color="auto" w:sz="4" w:space="0"/>
              <w:bottom w:val="single" w:color="auto" w:sz="4" w:space="0"/>
              <w:right w:val="single" w:color="auto" w:sz="4" w:space="0"/>
            </w:tcBorders>
            <w:vAlign w:val="center"/>
          </w:tcPr>
          <w:p w14:paraId="3F80622B">
            <w:pPr>
              <w:autoSpaceDE w:val="0"/>
              <w:autoSpaceDN w:val="0"/>
              <w:adjustRightInd w:val="0"/>
              <w:spacing w:line="360" w:lineRule="auto"/>
              <w:ind w:left="315" w:hanging="315" w:hangingChars="150"/>
              <w:jc w:val="left"/>
              <w:rPr>
                <w:rFonts w:ascii="宋体" w:hAnsi="宋体" w:cs="宋体"/>
                <w:szCs w:val="21"/>
                <w:lang w:bidi="ar"/>
              </w:rPr>
            </w:pPr>
            <w:r>
              <w:rPr>
                <w:rFonts w:hint="eastAsia" w:ascii="宋体" w:hAnsi="宋体" w:cs="宋体"/>
                <w:szCs w:val="21"/>
                <w:lang w:bidi="ar"/>
              </w:rPr>
              <w:t>1、“电子加密投标文件”：</w:t>
            </w:r>
          </w:p>
          <w:p w14:paraId="2679ADE8">
            <w:pPr>
              <w:autoSpaceDE w:val="0"/>
              <w:autoSpaceDN w:val="0"/>
              <w:adjustRightInd w:val="0"/>
              <w:spacing w:line="360" w:lineRule="auto"/>
              <w:ind w:left="525" w:hanging="525" w:hangingChars="250"/>
              <w:jc w:val="left"/>
              <w:rPr>
                <w:rFonts w:ascii="宋体" w:hAnsi="宋体" w:cs="宋体"/>
                <w:szCs w:val="21"/>
                <w:lang w:bidi="ar"/>
              </w:rPr>
            </w:pPr>
            <w:r>
              <w:rPr>
                <w:rFonts w:hint="eastAsia" w:ascii="宋体" w:hAnsi="宋体" w:cs="宋体"/>
                <w:szCs w:val="21"/>
                <w:lang w:bidi="ar"/>
              </w:rPr>
              <w:t>（1）“电子加密投标文件”是指通过“政采云电子交易客户端”完成投标文件编制后生成并加密的数据电文形式的投标文件。</w:t>
            </w:r>
          </w:p>
          <w:p w14:paraId="00539307">
            <w:pPr>
              <w:spacing w:line="360" w:lineRule="auto"/>
              <w:ind w:left="525" w:hanging="525" w:hangingChars="250"/>
              <w:rPr>
                <w:rFonts w:ascii="宋体" w:hAnsi="宋体" w:cs="宋体"/>
                <w:szCs w:val="21"/>
                <w:lang w:bidi="ar"/>
              </w:rPr>
            </w:pPr>
            <w:r>
              <w:rPr>
                <w:rFonts w:hint="eastAsia" w:ascii="宋体" w:hAnsi="宋体" w:cs="宋体"/>
                <w:szCs w:val="21"/>
                <w:lang w:bidi="ar"/>
              </w:rPr>
              <w:t>（2）投标人应先安装“政采云电子交易客户端”，并按照本招标文件和“政府采购云平台”的要求，通过“政采云电子交易客户端”编制并加密投标文件。</w:t>
            </w:r>
          </w:p>
          <w:p w14:paraId="2BCA1E15">
            <w:pPr>
              <w:spacing w:line="360" w:lineRule="auto"/>
              <w:ind w:left="315" w:hanging="315" w:hangingChars="150"/>
              <w:rPr>
                <w:rFonts w:ascii="宋体" w:hAnsi="宋体" w:cs="宋体"/>
                <w:szCs w:val="21"/>
                <w:lang w:bidi="ar"/>
              </w:rPr>
            </w:pPr>
            <w:r>
              <w:rPr>
                <w:rFonts w:hint="eastAsia" w:ascii="宋体" w:hAnsi="宋体" w:cs="宋体"/>
                <w:szCs w:val="21"/>
                <w:lang w:bidi="ar"/>
              </w:rPr>
              <w:t>2、“电子备份投标文件”：</w:t>
            </w:r>
          </w:p>
          <w:p w14:paraId="70968F72">
            <w:pPr>
              <w:spacing w:line="360" w:lineRule="auto"/>
              <w:ind w:left="525" w:hanging="525" w:hangingChars="250"/>
              <w:rPr>
                <w:rFonts w:ascii="宋体" w:hAnsi="宋体" w:cs="宋体"/>
                <w:szCs w:val="21"/>
                <w:lang w:bidi="ar"/>
              </w:rPr>
            </w:pPr>
            <w:r>
              <w:rPr>
                <w:rFonts w:hint="eastAsia" w:ascii="宋体" w:hAnsi="宋体" w:cs="宋体"/>
                <w:szCs w:val="21"/>
                <w:lang w:bidi="ar"/>
              </w:rPr>
              <w:t>（1）“电子备份投标文件”是指与“电子加密投标文件”同时生成的数据电文形式的电子文件。</w:t>
            </w:r>
          </w:p>
          <w:p w14:paraId="1048452D">
            <w:pPr>
              <w:spacing w:line="360" w:lineRule="auto"/>
              <w:ind w:left="315" w:hanging="315" w:hangingChars="150"/>
              <w:rPr>
                <w:rFonts w:ascii="宋体" w:hAnsi="宋体" w:cs="宋体"/>
                <w:szCs w:val="21"/>
                <w:lang w:bidi="ar"/>
              </w:rPr>
            </w:pPr>
            <w:r>
              <w:rPr>
                <w:rFonts w:hint="eastAsia" w:ascii="宋体" w:hAnsi="宋体" w:cs="宋体"/>
                <w:szCs w:val="21"/>
                <w:lang w:bidi="ar"/>
              </w:rPr>
              <w:t>（2）投标人可自主选择是否编制“电子备份投标文件”。</w:t>
            </w:r>
          </w:p>
          <w:p w14:paraId="1D312C87">
            <w:pPr>
              <w:spacing w:line="360" w:lineRule="auto"/>
              <w:rPr>
                <w:rFonts w:ascii="宋体" w:hAnsi="宋体" w:cs="宋体"/>
                <w:szCs w:val="21"/>
                <w:lang w:bidi="ar"/>
              </w:rPr>
            </w:pPr>
            <w:r>
              <w:rPr>
                <w:rFonts w:hint="eastAsia" w:ascii="宋体" w:hAnsi="宋体" w:cs="宋体"/>
                <w:szCs w:val="21"/>
                <w:lang w:bidi="ar"/>
              </w:rPr>
              <w:t>（3）其他方式编制的备份投标文件视为无效备份投标文件。</w:t>
            </w:r>
          </w:p>
        </w:tc>
      </w:tr>
      <w:tr w14:paraId="476FE9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68C83299">
            <w:pPr>
              <w:snapToGrid w:val="0"/>
              <w:jc w:val="center"/>
              <w:rPr>
                <w:rFonts w:ascii="宋体" w:hAnsi="宋体" w:cs="宋体"/>
                <w:szCs w:val="21"/>
              </w:rPr>
            </w:pPr>
            <w:r>
              <w:rPr>
                <w:rFonts w:hint="eastAsia" w:ascii="宋体" w:hAnsi="宋体" w:cs="宋体"/>
                <w:szCs w:val="21"/>
              </w:rPr>
              <w:t>14</w:t>
            </w:r>
          </w:p>
        </w:tc>
        <w:tc>
          <w:tcPr>
            <w:tcW w:w="1233" w:type="dxa"/>
            <w:tcBorders>
              <w:top w:val="single" w:color="auto" w:sz="4" w:space="0"/>
              <w:left w:val="single" w:color="auto" w:sz="4" w:space="0"/>
              <w:bottom w:val="single" w:color="auto" w:sz="4" w:space="0"/>
              <w:right w:val="single" w:color="auto" w:sz="4" w:space="0"/>
            </w:tcBorders>
            <w:vAlign w:val="center"/>
          </w:tcPr>
          <w:p w14:paraId="5147FD62">
            <w:pPr>
              <w:snapToGrid w:val="0"/>
              <w:jc w:val="center"/>
              <w:rPr>
                <w:rFonts w:ascii="宋体" w:hAnsi="宋体" w:cs="宋体"/>
                <w:szCs w:val="21"/>
              </w:rPr>
            </w:pPr>
            <w:r>
              <w:rPr>
                <w:rFonts w:hint="eastAsia" w:ascii="宋体" w:hAnsi="宋体" w:cs="宋体"/>
                <w:szCs w:val="21"/>
              </w:rPr>
              <w:t>投标文件</w:t>
            </w:r>
          </w:p>
          <w:p w14:paraId="24DAE408">
            <w:pPr>
              <w:snapToGrid w:val="0"/>
              <w:jc w:val="center"/>
              <w:rPr>
                <w:rFonts w:ascii="宋体" w:hAnsi="宋体" w:cs="宋体"/>
                <w:szCs w:val="21"/>
              </w:rPr>
            </w:pPr>
            <w:r>
              <w:rPr>
                <w:rFonts w:hint="eastAsia" w:ascii="宋体" w:hAnsi="宋体" w:cs="宋体"/>
                <w:szCs w:val="21"/>
              </w:rPr>
              <w:t>的签章：</w:t>
            </w:r>
          </w:p>
        </w:tc>
        <w:tc>
          <w:tcPr>
            <w:tcW w:w="7651" w:type="dxa"/>
            <w:tcBorders>
              <w:top w:val="single" w:color="auto" w:sz="4" w:space="0"/>
              <w:left w:val="single" w:color="auto" w:sz="4" w:space="0"/>
              <w:bottom w:val="single" w:color="auto" w:sz="4" w:space="0"/>
              <w:right w:val="single" w:color="auto" w:sz="4" w:space="0"/>
            </w:tcBorders>
            <w:vAlign w:val="center"/>
          </w:tcPr>
          <w:p w14:paraId="39E700FF">
            <w:pPr>
              <w:autoSpaceDE w:val="0"/>
              <w:autoSpaceDN w:val="0"/>
              <w:adjustRightInd w:val="0"/>
              <w:spacing w:line="360" w:lineRule="auto"/>
              <w:jc w:val="left"/>
              <w:rPr>
                <w:rFonts w:ascii="宋体" w:hAnsi="宋体" w:cs="宋体"/>
                <w:szCs w:val="21"/>
              </w:rPr>
            </w:pPr>
            <w:r>
              <w:rPr>
                <w:rFonts w:hint="eastAsia" w:ascii="宋体" w:hAnsi="宋体" w:cs="宋体"/>
                <w:szCs w:val="21"/>
              </w:rPr>
              <w:t>采用电子签章。</w:t>
            </w:r>
          </w:p>
        </w:tc>
      </w:tr>
      <w:tr w14:paraId="4966A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2A4B6831">
            <w:pPr>
              <w:snapToGrid w:val="0"/>
              <w:jc w:val="center"/>
              <w:rPr>
                <w:rFonts w:ascii="宋体" w:hAnsi="宋体" w:cs="宋体"/>
                <w:szCs w:val="21"/>
              </w:rPr>
            </w:pPr>
            <w:r>
              <w:rPr>
                <w:rFonts w:hint="eastAsia" w:ascii="宋体" w:hAnsi="宋体" w:cs="宋体"/>
                <w:szCs w:val="21"/>
              </w:rPr>
              <w:t>15</w:t>
            </w:r>
          </w:p>
        </w:tc>
        <w:tc>
          <w:tcPr>
            <w:tcW w:w="1233" w:type="dxa"/>
            <w:tcBorders>
              <w:top w:val="single" w:color="auto" w:sz="4" w:space="0"/>
              <w:left w:val="single" w:color="auto" w:sz="4" w:space="0"/>
              <w:bottom w:val="single" w:color="auto" w:sz="4" w:space="0"/>
              <w:right w:val="single" w:color="auto" w:sz="4" w:space="0"/>
            </w:tcBorders>
            <w:vAlign w:val="center"/>
          </w:tcPr>
          <w:p w14:paraId="6D36B183">
            <w:pPr>
              <w:snapToGrid w:val="0"/>
              <w:jc w:val="center"/>
              <w:rPr>
                <w:rFonts w:ascii="宋体" w:hAnsi="宋体" w:cs="宋体"/>
                <w:szCs w:val="21"/>
              </w:rPr>
            </w:pPr>
            <w:r>
              <w:rPr>
                <w:rFonts w:hint="eastAsia" w:ascii="宋体" w:hAnsi="宋体" w:cs="宋体"/>
                <w:szCs w:val="21"/>
              </w:rPr>
              <w:t>投标文件</w:t>
            </w:r>
          </w:p>
          <w:p w14:paraId="4B5CFDB4">
            <w:pPr>
              <w:snapToGrid w:val="0"/>
              <w:jc w:val="center"/>
              <w:rPr>
                <w:rFonts w:ascii="宋体" w:hAnsi="宋体" w:cs="宋体"/>
                <w:szCs w:val="21"/>
              </w:rPr>
            </w:pPr>
            <w:r>
              <w:rPr>
                <w:rFonts w:hint="eastAsia" w:ascii="宋体" w:hAnsi="宋体" w:cs="宋体"/>
                <w:szCs w:val="21"/>
              </w:rPr>
              <w:t>的包装、密封和递交</w:t>
            </w:r>
          </w:p>
        </w:tc>
        <w:tc>
          <w:tcPr>
            <w:tcW w:w="7651" w:type="dxa"/>
            <w:tcBorders>
              <w:top w:val="single" w:color="auto" w:sz="4" w:space="0"/>
              <w:left w:val="single" w:color="auto" w:sz="4" w:space="0"/>
              <w:bottom w:val="single" w:color="auto" w:sz="4" w:space="0"/>
              <w:right w:val="single" w:color="auto" w:sz="4" w:space="0"/>
            </w:tcBorders>
            <w:vAlign w:val="center"/>
          </w:tcPr>
          <w:p w14:paraId="45CE4204">
            <w:pPr>
              <w:autoSpaceDE w:val="0"/>
              <w:autoSpaceDN w:val="0"/>
              <w:snapToGrid w:val="0"/>
              <w:spacing w:line="360" w:lineRule="auto"/>
              <w:textAlignment w:val="bottom"/>
              <w:rPr>
                <w:rFonts w:ascii="宋体" w:hAnsi="宋体" w:cs="宋体"/>
                <w:szCs w:val="21"/>
                <w:lang w:bidi="ar"/>
              </w:rPr>
            </w:pPr>
            <w:r>
              <w:rPr>
                <w:rFonts w:hint="eastAsia" w:ascii="宋体" w:hAnsi="宋体" w:cs="宋体"/>
                <w:szCs w:val="21"/>
                <w:lang w:bidi="ar"/>
              </w:rPr>
              <w:t>1、“电子加密投标文件”的递交：在线上传递交。</w:t>
            </w:r>
          </w:p>
          <w:p w14:paraId="50DF2E4E">
            <w:pPr>
              <w:spacing w:line="360" w:lineRule="auto"/>
              <w:ind w:left="525" w:hanging="525" w:hangingChars="250"/>
              <w:rPr>
                <w:rFonts w:ascii="宋体" w:hAnsi="宋体" w:cs="宋体"/>
                <w:szCs w:val="21"/>
                <w:lang w:bidi="ar"/>
              </w:rPr>
            </w:pPr>
            <w:r>
              <w:rPr>
                <w:rFonts w:hint="eastAsia" w:ascii="宋体" w:hAnsi="宋体" w:cs="宋体"/>
                <w:szCs w:val="21"/>
                <w:lang w:bidi="ar"/>
              </w:rPr>
              <w:t>（1）投标人应在投标截止时间前将“电子加密投标文件”成功上传递交至“政府采购云平台”，否则投标无效。</w:t>
            </w:r>
          </w:p>
          <w:p w14:paraId="283E98C1">
            <w:pPr>
              <w:spacing w:line="360" w:lineRule="auto"/>
              <w:ind w:left="525" w:hanging="525" w:hangingChars="250"/>
              <w:rPr>
                <w:rFonts w:ascii="宋体" w:hAnsi="宋体" w:cs="宋体"/>
                <w:szCs w:val="21"/>
                <w:lang w:bidi="ar"/>
              </w:rPr>
            </w:pPr>
            <w:r>
              <w:rPr>
                <w:rFonts w:hint="eastAsia" w:ascii="宋体" w:hAnsi="宋体" w:cs="宋体"/>
                <w:szCs w:val="21"/>
                <w:lang w:bidi="ar"/>
              </w:rPr>
              <w:t>（2）“电子加密投标文件”成功上传递交后，投标人可自行打印投标文件接收回执。</w:t>
            </w:r>
          </w:p>
          <w:p w14:paraId="4D823ABD">
            <w:pPr>
              <w:spacing w:line="360" w:lineRule="auto"/>
              <w:rPr>
                <w:rFonts w:ascii="宋体" w:hAnsi="宋体" w:cs="宋体"/>
                <w:szCs w:val="21"/>
                <w:lang w:bidi="ar"/>
              </w:rPr>
            </w:pPr>
            <w:r>
              <w:rPr>
                <w:rFonts w:hint="eastAsia" w:ascii="宋体" w:hAnsi="宋体" w:cs="宋体"/>
                <w:szCs w:val="21"/>
                <w:lang w:bidi="ar"/>
              </w:rPr>
              <w:t>2、“电子备份投标文件”的密封、包装和递交：</w:t>
            </w:r>
          </w:p>
          <w:p w14:paraId="1998CF5E">
            <w:pPr>
              <w:spacing w:line="360" w:lineRule="auto"/>
              <w:rPr>
                <w:rFonts w:ascii="宋体" w:hAnsi="宋体" w:cs="宋体"/>
                <w:szCs w:val="21"/>
                <w:lang w:bidi="ar"/>
              </w:rPr>
            </w:pPr>
            <w:r>
              <w:rPr>
                <w:rFonts w:hint="eastAsia" w:ascii="宋体" w:hAnsi="宋体" w:cs="宋体"/>
                <w:szCs w:val="21"/>
                <w:lang w:bidi="ar"/>
              </w:rPr>
              <w:t>（1）投标人可自主选择是否递交“电子备份投标文件”</w:t>
            </w:r>
            <w:r>
              <w:rPr>
                <w:b/>
                <w:bCs/>
                <w:szCs w:val="21"/>
              </w:rPr>
              <w:t>不做强制要求</w:t>
            </w:r>
            <w:r>
              <w:rPr>
                <w:rFonts w:hint="eastAsia" w:ascii="宋体" w:hAnsi="宋体" w:cs="宋体"/>
                <w:szCs w:val="21"/>
                <w:lang w:bidi="ar"/>
              </w:rPr>
              <w:t>。</w:t>
            </w:r>
          </w:p>
          <w:p w14:paraId="0C27381E">
            <w:pPr>
              <w:spacing w:line="360" w:lineRule="auto"/>
              <w:rPr>
                <w:rFonts w:ascii="宋体" w:hAnsi="宋体" w:cs="宋体"/>
                <w:szCs w:val="21"/>
                <w:lang w:bidi="ar"/>
              </w:rPr>
            </w:pPr>
            <w:r>
              <w:rPr>
                <w:rFonts w:hint="eastAsia" w:ascii="宋体" w:hAnsi="宋体" w:cs="宋体"/>
                <w:szCs w:val="21"/>
                <w:lang w:bidi="ar"/>
              </w:rPr>
              <w:t>（2）“电子备份投标文件”存入U盘（一份）。</w:t>
            </w:r>
          </w:p>
          <w:p w14:paraId="5D4B74B8">
            <w:pPr>
              <w:spacing w:line="360" w:lineRule="auto"/>
              <w:ind w:left="525" w:hanging="525" w:hangingChars="250"/>
              <w:rPr>
                <w:rFonts w:ascii="宋体" w:hAnsi="宋体" w:cs="宋体"/>
                <w:szCs w:val="21"/>
                <w:highlight w:val="yellow"/>
                <w:lang w:bidi="ar"/>
              </w:rPr>
            </w:pPr>
            <w:r>
              <w:rPr>
                <w:rFonts w:hint="eastAsia" w:ascii="宋体" w:hAnsi="宋体" w:cs="宋体"/>
                <w:szCs w:val="21"/>
                <w:lang w:bidi="ar"/>
              </w:rPr>
              <w:t>（3）</w:t>
            </w:r>
            <w:r>
              <w:rPr>
                <w:szCs w:val="21"/>
              </w:rPr>
              <w:t>“电子备份投标文件” 应在招标公告发布之日至投标截止时间之日前送至或快递方式递交（以</w:t>
            </w:r>
            <w:r>
              <w:rPr>
                <w:rFonts w:hint="eastAsia"/>
                <w:szCs w:val="21"/>
              </w:rPr>
              <w:t>采购</w:t>
            </w:r>
            <w:r>
              <w:rPr>
                <w:szCs w:val="21"/>
              </w:rPr>
              <w:t>代理机构收到时间为准）。</w:t>
            </w:r>
          </w:p>
          <w:p w14:paraId="1696FC4B">
            <w:pPr>
              <w:spacing w:line="360" w:lineRule="auto"/>
              <w:ind w:left="525" w:hanging="525" w:hangingChars="250"/>
              <w:rPr>
                <w:rFonts w:ascii="宋体" w:hAnsi="宋体" w:cs="宋体"/>
                <w:szCs w:val="21"/>
                <w:lang w:bidi="ar"/>
              </w:rPr>
            </w:pPr>
            <w:r>
              <w:rPr>
                <w:rFonts w:hint="eastAsia" w:ascii="宋体" w:hAnsi="宋体" w:cs="宋体"/>
                <w:szCs w:val="21"/>
                <w:lang w:bidi="ar"/>
              </w:rPr>
              <w:t>（4）“电子备份投标文件”应当密封包装，并在包装上标注投标项目编号、项目名称、投标单位名称等并加盖公章（详见第六章投标文件格式）。</w:t>
            </w:r>
            <w:r>
              <w:rPr>
                <w:rFonts w:hint="eastAsia" w:ascii="宋体" w:hAnsi="宋体" w:cs="宋体"/>
                <w:b/>
                <w:szCs w:val="21"/>
                <w:lang w:bidi="ar"/>
              </w:rPr>
              <w:t>没有密封包装</w:t>
            </w:r>
            <w:r>
              <w:rPr>
                <w:rFonts w:hint="eastAsia" w:ascii="宋体" w:hAnsi="宋体" w:cs="宋体"/>
                <w:szCs w:val="21"/>
                <w:lang w:bidi="ar"/>
              </w:rPr>
              <w:t>或者逾期送达至本项目采购代理机构的“电子备份投标文件”将不予接收。</w:t>
            </w:r>
          </w:p>
        </w:tc>
      </w:tr>
      <w:tr w14:paraId="70C03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7"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37B0A1B0">
            <w:pPr>
              <w:snapToGrid w:val="0"/>
              <w:jc w:val="center"/>
              <w:rPr>
                <w:rFonts w:ascii="宋体" w:hAnsi="宋体" w:cs="宋体"/>
                <w:szCs w:val="21"/>
              </w:rPr>
            </w:pPr>
            <w:r>
              <w:rPr>
                <w:rFonts w:hint="eastAsia" w:ascii="宋体" w:hAnsi="宋体" w:cs="宋体"/>
                <w:szCs w:val="21"/>
              </w:rPr>
              <w:t>16</w:t>
            </w:r>
          </w:p>
        </w:tc>
        <w:tc>
          <w:tcPr>
            <w:tcW w:w="1233" w:type="dxa"/>
            <w:tcBorders>
              <w:top w:val="single" w:color="auto" w:sz="4" w:space="0"/>
              <w:left w:val="single" w:color="auto" w:sz="4" w:space="0"/>
              <w:bottom w:val="single" w:color="auto" w:sz="4" w:space="0"/>
              <w:right w:val="single" w:color="auto" w:sz="4" w:space="0"/>
            </w:tcBorders>
            <w:vAlign w:val="center"/>
          </w:tcPr>
          <w:p w14:paraId="14D6D117">
            <w:pPr>
              <w:snapToGrid w:val="0"/>
              <w:jc w:val="center"/>
              <w:rPr>
                <w:rFonts w:ascii="宋体" w:hAnsi="宋体" w:cs="宋体"/>
                <w:szCs w:val="21"/>
              </w:rPr>
            </w:pPr>
            <w:r>
              <w:rPr>
                <w:rFonts w:hint="eastAsia" w:ascii="宋体" w:hAnsi="宋体" w:cs="宋体"/>
                <w:szCs w:val="21"/>
              </w:rPr>
              <w:t>投标截止</w:t>
            </w:r>
          </w:p>
          <w:p w14:paraId="2DAEC068">
            <w:pPr>
              <w:snapToGrid w:val="0"/>
              <w:jc w:val="center"/>
              <w:rPr>
                <w:rFonts w:ascii="宋体" w:hAnsi="宋体" w:cs="宋体"/>
                <w:szCs w:val="21"/>
              </w:rPr>
            </w:pPr>
            <w:r>
              <w:rPr>
                <w:rFonts w:hint="eastAsia" w:ascii="宋体" w:hAnsi="宋体" w:cs="宋体"/>
                <w:szCs w:val="21"/>
              </w:rPr>
              <w:t>时间和投</w:t>
            </w:r>
          </w:p>
          <w:p w14:paraId="23751628">
            <w:pPr>
              <w:snapToGrid w:val="0"/>
              <w:jc w:val="center"/>
              <w:rPr>
                <w:rFonts w:ascii="宋体" w:hAnsi="宋体" w:cs="宋体"/>
                <w:szCs w:val="21"/>
              </w:rPr>
            </w:pPr>
            <w:r>
              <w:rPr>
                <w:rFonts w:hint="eastAsia" w:ascii="宋体" w:hAnsi="宋体" w:cs="宋体"/>
                <w:szCs w:val="21"/>
              </w:rPr>
              <w:t>标地址</w:t>
            </w:r>
          </w:p>
        </w:tc>
        <w:tc>
          <w:tcPr>
            <w:tcW w:w="7651" w:type="dxa"/>
            <w:tcBorders>
              <w:top w:val="single" w:color="auto" w:sz="4" w:space="0"/>
              <w:left w:val="single" w:color="auto" w:sz="4" w:space="0"/>
              <w:bottom w:val="single" w:color="auto" w:sz="4" w:space="0"/>
              <w:right w:val="single" w:color="auto" w:sz="4" w:space="0"/>
            </w:tcBorders>
            <w:vAlign w:val="center"/>
          </w:tcPr>
          <w:p w14:paraId="6D868C81">
            <w:pPr>
              <w:snapToGrid w:val="0"/>
              <w:spacing w:line="360" w:lineRule="auto"/>
              <w:rPr>
                <w:rFonts w:ascii="宋体" w:hAnsi="宋体" w:cs="宋体"/>
                <w:szCs w:val="21"/>
                <w:highlight w:val="yellow"/>
              </w:rPr>
            </w:pPr>
            <w:r>
              <w:rPr>
                <w:rFonts w:hint="eastAsia" w:ascii="宋体" w:hAnsi="宋体" w:cs="宋体"/>
                <w:szCs w:val="21"/>
              </w:rPr>
              <w:t>1、投标截止时间：</w:t>
            </w:r>
            <w:r>
              <w:rPr>
                <w:rFonts w:ascii="Calibri" w:hAnsi="Calibri"/>
              </w:rPr>
              <w:t>按“</w:t>
            </w:r>
            <w:r>
              <w:rPr>
                <w:rFonts w:hint="eastAsia" w:ascii="Calibri" w:hAnsi="Calibri"/>
              </w:rPr>
              <w:t>第一章 公开</w:t>
            </w:r>
            <w:r>
              <w:rPr>
                <w:rFonts w:ascii="Calibri" w:hAnsi="Calibri"/>
              </w:rPr>
              <w:t>招标公告”规定</w:t>
            </w:r>
          </w:p>
          <w:p w14:paraId="010F648D">
            <w:pPr>
              <w:snapToGrid w:val="0"/>
              <w:spacing w:line="360" w:lineRule="auto"/>
              <w:rPr>
                <w:rFonts w:ascii="宋体" w:hAnsi="宋体" w:cs="宋体"/>
                <w:szCs w:val="21"/>
              </w:rPr>
            </w:pPr>
            <w:r>
              <w:rPr>
                <w:rFonts w:hint="eastAsia" w:ascii="宋体" w:hAnsi="宋体" w:cs="宋体"/>
                <w:szCs w:val="21"/>
              </w:rPr>
              <w:t>2、投标地址：</w:t>
            </w:r>
          </w:p>
          <w:p w14:paraId="7E92A222">
            <w:pPr>
              <w:pStyle w:val="24"/>
              <w:spacing w:line="360" w:lineRule="auto"/>
              <w:ind w:left="622" w:hanging="202"/>
              <w:rPr>
                <w:rFonts w:hAnsi="宋体" w:cs="宋体"/>
                <w:sz w:val="21"/>
                <w:szCs w:val="21"/>
              </w:rPr>
            </w:pPr>
            <w:r>
              <w:rPr>
                <w:rFonts w:hint="eastAsia" w:hAnsi="宋体" w:cs="宋体"/>
                <w:kern w:val="2"/>
                <w:sz w:val="21"/>
                <w:szCs w:val="21"/>
              </w:rPr>
              <w:t>（1）</w:t>
            </w:r>
            <w:r>
              <w:rPr>
                <w:rFonts w:hint="eastAsia" w:hAnsi="宋体" w:cs="宋体"/>
                <w:kern w:val="2"/>
                <w:sz w:val="21"/>
                <w:szCs w:val="21"/>
                <w:lang w:bidi="ar"/>
              </w:rPr>
              <w:t>“电子加密投标文件”：</w:t>
            </w:r>
            <w:r>
              <w:rPr>
                <w:rFonts w:hint="eastAsia" w:hAnsi="宋体" w:cs="宋体"/>
                <w:sz w:val="21"/>
                <w:szCs w:val="21"/>
              </w:rPr>
              <w:t>政府采购云平台在线投标。</w:t>
            </w:r>
          </w:p>
          <w:p w14:paraId="20D00002">
            <w:pPr>
              <w:spacing w:line="360" w:lineRule="auto"/>
              <w:rPr>
                <w:rFonts w:ascii="宋体" w:hAnsi="宋体" w:cs="宋体"/>
                <w:szCs w:val="21"/>
              </w:rPr>
            </w:pPr>
            <w:r>
              <w:rPr>
                <w:rFonts w:hint="eastAsia" w:ascii="宋体" w:hAnsi="宋体" w:cs="宋体"/>
                <w:kern w:val="0"/>
                <w:szCs w:val="21"/>
              </w:rPr>
              <w:t>（2）</w:t>
            </w:r>
            <w:r>
              <w:rPr>
                <w:rFonts w:hint="eastAsia" w:ascii="宋体" w:hAnsi="宋体" w:cs="宋体"/>
                <w:szCs w:val="21"/>
              </w:rPr>
              <w:t>“</w:t>
            </w:r>
            <w:r>
              <w:rPr>
                <w:rFonts w:hint="eastAsia" w:ascii="宋体" w:hAnsi="宋体" w:cs="宋体"/>
                <w:szCs w:val="21"/>
                <w:lang w:bidi="ar"/>
              </w:rPr>
              <w:t>电子</w:t>
            </w:r>
            <w:r>
              <w:rPr>
                <w:rFonts w:hint="eastAsia" w:ascii="宋体" w:hAnsi="宋体" w:cs="宋体"/>
                <w:szCs w:val="21"/>
              </w:rPr>
              <w:t>备份投标文件”：</w:t>
            </w:r>
            <w:r>
              <w:rPr>
                <w:szCs w:val="21"/>
              </w:rPr>
              <w:t xml:space="preserve"> 招标公告发布之日至投标截止时间之日</w:t>
            </w:r>
            <w:r>
              <w:rPr>
                <w:rFonts w:hint="eastAsia"/>
                <w:szCs w:val="21"/>
              </w:rPr>
              <w:t>前</w:t>
            </w:r>
            <w:r>
              <w:rPr>
                <w:szCs w:val="21"/>
              </w:rPr>
              <w:t>送至或快递至（以</w:t>
            </w:r>
            <w:r>
              <w:rPr>
                <w:rFonts w:hint="eastAsia"/>
                <w:szCs w:val="21"/>
              </w:rPr>
              <w:t>采购</w:t>
            </w:r>
            <w:r>
              <w:rPr>
                <w:szCs w:val="21"/>
              </w:rPr>
              <w:t>代理机构收到时间为准，</w:t>
            </w:r>
            <w:r>
              <w:rPr>
                <w:b/>
                <w:bCs/>
                <w:szCs w:val="21"/>
              </w:rPr>
              <w:t>“电子备份投标文件”的递交不做强制要求，如需递交请注意截止时间）</w:t>
            </w:r>
            <w:r>
              <w:rPr>
                <w:rFonts w:hint="eastAsia" w:ascii="宋体" w:hAnsi="宋体" w:cs="宋体"/>
                <w:szCs w:val="21"/>
              </w:rPr>
              <w:t>邮寄或送达地址：舟山市普陀区东港街道海莲路97号7楼       联系人：林</w:t>
            </w:r>
            <w:r>
              <w:rPr>
                <w:rFonts w:hint="eastAsia" w:ascii="宋体" w:hAnsi="宋体" w:cs="宋体"/>
                <w:szCs w:val="21"/>
                <w:lang w:val="en-US" w:eastAsia="zh-CN"/>
              </w:rPr>
              <w:t>女士</w:t>
            </w:r>
            <w:r>
              <w:rPr>
                <w:rFonts w:hint="eastAsia" w:ascii="宋体" w:hAnsi="宋体" w:cs="宋体"/>
                <w:b/>
                <w:bCs/>
                <w:szCs w:val="21"/>
              </w:rPr>
              <w:t xml:space="preserve">  </w:t>
            </w:r>
            <w:r>
              <w:rPr>
                <w:rFonts w:hint="eastAsia" w:ascii="宋体" w:hAnsi="宋体" w:cs="宋体"/>
                <w:szCs w:val="21"/>
              </w:rPr>
              <w:t>联系电话：0580-3026696</w:t>
            </w:r>
          </w:p>
          <w:p w14:paraId="28513597">
            <w:pPr>
              <w:adjustRightInd w:val="0"/>
              <w:snapToGrid w:val="0"/>
              <w:spacing w:line="288" w:lineRule="auto"/>
              <w:jc w:val="left"/>
            </w:pPr>
            <w:r>
              <w:rPr>
                <w:rFonts w:hint="eastAsia" w:ascii="宋体" w:hAnsi="宋体" w:cs="宋体"/>
                <w:szCs w:val="21"/>
                <w:lang w:bidi="ar"/>
              </w:rPr>
              <w:t>收件时间：上午8:30-11:30，下午14:</w:t>
            </w:r>
            <w:r>
              <w:rPr>
                <w:rFonts w:hint="eastAsia" w:cs="宋体"/>
                <w:szCs w:val="21"/>
                <w:lang w:bidi="ar"/>
              </w:rPr>
              <w:t>00</w:t>
            </w:r>
            <w:r>
              <w:rPr>
                <w:rFonts w:hint="eastAsia" w:ascii="宋体" w:hAnsi="宋体" w:cs="宋体"/>
                <w:szCs w:val="21"/>
                <w:lang w:bidi="ar"/>
              </w:rPr>
              <w:t>-17:</w:t>
            </w:r>
            <w:r>
              <w:rPr>
                <w:rFonts w:hint="eastAsia" w:cs="宋体"/>
                <w:szCs w:val="21"/>
                <w:lang w:bidi="ar"/>
              </w:rPr>
              <w:t>0</w:t>
            </w:r>
            <w:r>
              <w:rPr>
                <w:rFonts w:hint="eastAsia" w:ascii="宋体" w:hAnsi="宋体" w:cs="宋体"/>
                <w:szCs w:val="21"/>
                <w:lang w:bidi="ar"/>
              </w:rPr>
              <w:t>0，节假日、双休日</w:t>
            </w:r>
            <w:r>
              <w:rPr>
                <w:rFonts w:hint="eastAsia" w:ascii="宋体" w:hAnsi="宋体" w:cs="宋体"/>
                <w:bCs/>
                <w:szCs w:val="21"/>
              </w:rPr>
              <w:t>不收件</w:t>
            </w:r>
            <w:r>
              <w:rPr>
                <w:rFonts w:hint="eastAsia" w:ascii="宋体" w:hAnsi="宋体" w:cs="宋体"/>
                <w:bCs/>
                <w:szCs w:val="21"/>
                <w:lang w:bidi="ar"/>
              </w:rPr>
              <w:t>。</w:t>
            </w:r>
            <w:r>
              <w:rPr>
                <w:rFonts w:hint="eastAsia"/>
                <w:szCs w:val="21"/>
                <w:lang w:bidi="ar"/>
              </w:rPr>
              <w:t>（如直接递交的，递交人员需填写送件人姓名及联系电话、送达时间等相关信息；如采用邮寄方式的推荐使用EMS或顺丰快递。</w:t>
            </w:r>
            <w:r>
              <w:rPr>
                <w:rFonts w:hint="eastAsia" w:ascii="宋体" w:hAnsi="宋体" w:cs="宋体"/>
                <w:bCs/>
                <w:szCs w:val="21"/>
              </w:rPr>
              <w:t>投标人</w:t>
            </w:r>
            <w:r>
              <w:rPr>
                <w:rFonts w:hint="eastAsia"/>
                <w:szCs w:val="21"/>
                <w:lang w:bidi="ar"/>
              </w:rPr>
              <w:t>应充分考虑邮寄所需时间。</w:t>
            </w:r>
            <w:r>
              <w:rPr>
                <w:rFonts w:hint="eastAsia" w:ascii="宋体" w:hAnsi="宋体" w:cs="宋体"/>
                <w:szCs w:val="21"/>
              </w:rPr>
              <w:t>寄出</w:t>
            </w:r>
            <w:r>
              <w:rPr>
                <w:rFonts w:hint="eastAsia" w:ascii="宋体" w:hAnsi="宋体" w:cs="宋体"/>
                <w:szCs w:val="21"/>
                <w:lang w:bidi="ar"/>
              </w:rPr>
              <w:t>快递</w:t>
            </w:r>
            <w:r>
              <w:rPr>
                <w:rFonts w:hint="eastAsia" w:ascii="宋体" w:hAnsi="宋体" w:cs="宋体"/>
                <w:szCs w:val="21"/>
              </w:rPr>
              <w:t>后将快递单号、项目名称、公司名称、联系方式等相关信息发至</w:t>
            </w:r>
            <w:r>
              <w:rPr>
                <w:rFonts w:hint="eastAsia" w:ascii="宋体" w:hAnsi="宋体" w:cs="宋体"/>
                <w:szCs w:val="21"/>
                <w:u w:val="single"/>
              </w:rPr>
              <w:t xml:space="preserve"> </w:t>
            </w:r>
            <w:r>
              <w:rPr>
                <w:rFonts w:hint="eastAsia" w:ascii="宋体" w:hAnsi="宋体" w:cs="宋体"/>
                <w:szCs w:val="21"/>
                <w:u w:val="single"/>
                <w:lang w:val="en-US" w:eastAsia="zh-CN"/>
              </w:rPr>
              <w:t>2670214167@qq.com</w:t>
            </w:r>
            <w:r>
              <w:rPr>
                <w:rFonts w:hint="eastAsia" w:ascii="宋体" w:hAnsi="宋体" w:cs="宋体"/>
                <w:szCs w:val="21"/>
                <w:u w:val="single"/>
              </w:rPr>
              <w:t xml:space="preserve"> </w:t>
            </w:r>
            <w:r>
              <w:rPr>
                <w:rFonts w:hint="eastAsia" w:ascii="宋体" w:hAnsi="宋体" w:cs="宋体"/>
                <w:szCs w:val="21"/>
              </w:rPr>
              <w:t>邮箱以便查收，并</w:t>
            </w:r>
            <w:r>
              <w:rPr>
                <w:rFonts w:hint="eastAsia" w:ascii="宋体" w:hAnsi="宋体" w:cs="宋体"/>
                <w:bCs/>
                <w:szCs w:val="21"/>
              </w:rPr>
              <w:t>自行承担邮寄风险</w:t>
            </w:r>
            <w:r>
              <w:rPr>
                <w:rFonts w:hint="eastAsia"/>
                <w:szCs w:val="21"/>
                <w:lang w:bidi="ar"/>
              </w:rPr>
              <w:t>。）</w:t>
            </w:r>
          </w:p>
        </w:tc>
      </w:tr>
      <w:tr w14:paraId="10342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4BE6855B">
            <w:pPr>
              <w:snapToGrid w:val="0"/>
              <w:jc w:val="center"/>
              <w:rPr>
                <w:rFonts w:ascii="宋体" w:hAnsi="宋体" w:cs="宋体"/>
                <w:szCs w:val="21"/>
              </w:rPr>
            </w:pPr>
            <w:r>
              <w:rPr>
                <w:rFonts w:hint="eastAsia" w:ascii="宋体" w:hAnsi="宋体" w:cs="宋体"/>
                <w:szCs w:val="21"/>
              </w:rPr>
              <w:t>17</w:t>
            </w:r>
          </w:p>
        </w:tc>
        <w:tc>
          <w:tcPr>
            <w:tcW w:w="1233" w:type="dxa"/>
            <w:tcBorders>
              <w:top w:val="single" w:color="auto" w:sz="4" w:space="0"/>
              <w:left w:val="single" w:color="auto" w:sz="4" w:space="0"/>
              <w:bottom w:val="single" w:color="auto" w:sz="4" w:space="0"/>
              <w:right w:val="single" w:color="auto" w:sz="4" w:space="0"/>
            </w:tcBorders>
            <w:vAlign w:val="center"/>
          </w:tcPr>
          <w:p w14:paraId="18399F6F">
            <w:pPr>
              <w:snapToGrid w:val="0"/>
              <w:jc w:val="center"/>
              <w:rPr>
                <w:rFonts w:ascii="宋体" w:hAnsi="宋体" w:cs="宋体"/>
                <w:szCs w:val="21"/>
              </w:rPr>
            </w:pPr>
            <w:r>
              <w:rPr>
                <w:rFonts w:hint="eastAsia" w:ascii="宋体" w:hAnsi="宋体" w:cs="宋体"/>
                <w:szCs w:val="21"/>
              </w:rPr>
              <w:t>开标时间</w:t>
            </w:r>
          </w:p>
          <w:p w14:paraId="7D170D5E">
            <w:pPr>
              <w:snapToGrid w:val="0"/>
              <w:jc w:val="center"/>
              <w:rPr>
                <w:rFonts w:ascii="宋体" w:hAnsi="宋体" w:cs="宋体"/>
                <w:szCs w:val="21"/>
              </w:rPr>
            </w:pPr>
            <w:r>
              <w:rPr>
                <w:rFonts w:hint="eastAsia" w:ascii="宋体" w:hAnsi="宋体" w:cs="宋体"/>
                <w:szCs w:val="21"/>
              </w:rPr>
              <w:t>和地址</w:t>
            </w:r>
          </w:p>
        </w:tc>
        <w:tc>
          <w:tcPr>
            <w:tcW w:w="7651" w:type="dxa"/>
            <w:tcBorders>
              <w:top w:val="single" w:color="auto" w:sz="4" w:space="0"/>
              <w:left w:val="single" w:color="auto" w:sz="4" w:space="0"/>
              <w:bottom w:val="single" w:color="auto" w:sz="4" w:space="0"/>
              <w:right w:val="single" w:color="auto" w:sz="4" w:space="0"/>
            </w:tcBorders>
            <w:vAlign w:val="center"/>
          </w:tcPr>
          <w:p w14:paraId="682E6221">
            <w:pPr>
              <w:snapToGrid w:val="0"/>
              <w:spacing w:line="360" w:lineRule="auto"/>
              <w:rPr>
                <w:rFonts w:ascii="宋体" w:hAnsi="宋体" w:cs="宋体"/>
                <w:szCs w:val="21"/>
              </w:rPr>
            </w:pPr>
            <w:r>
              <w:rPr>
                <w:rFonts w:hint="eastAsia" w:ascii="宋体" w:hAnsi="宋体" w:cs="宋体"/>
                <w:szCs w:val="21"/>
              </w:rPr>
              <w:t>开标时间：同投标截止时间</w:t>
            </w:r>
          </w:p>
          <w:p w14:paraId="103E238D">
            <w:pPr>
              <w:snapToGrid w:val="0"/>
              <w:spacing w:line="360" w:lineRule="auto"/>
              <w:ind w:left="945" w:hanging="945" w:hangingChars="450"/>
              <w:rPr>
                <w:rFonts w:ascii="宋体" w:hAnsi="宋体" w:cs="宋体"/>
                <w:szCs w:val="21"/>
              </w:rPr>
            </w:pPr>
            <w:r>
              <w:rPr>
                <w:rFonts w:hint="eastAsia" w:ascii="宋体" w:hAnsi="宋体" w:cs="宋体"/>
                <w:szCs w:val="21"/>
              </w:rPr>
              <w:t>开标地址：</w:t>
            </w:r>
            <w:r>
              <w:fldChar w:fldCharType="begin"/>
            </w:r>
            <w:r>
              <w:instrText xml:space="preserve"> HYPERLINK "https://www.zcygov.cn" </w:instrText>
            </w:r>
            <w:r>
              <w:fldChar w:fldCharType="separate"/>
            </w:r>
            <w:r>
              <w:rPr>
                <w:rStyle w:val="68"/>
                <w:rFonts w:hint="eastAsia" w:ascii="宋体" w:hAnsi="宋体" w:cs="宋体"/>
                <w:szCs w:val="21"/>
              </w:rPr>
              <w:t>https://www.zcygov.cn</w:t>
            </w:r>
            <w:r>
              <w:rPr>
                <w:rStyle w:val="68"/>
                <w:rFonts w:hint="eastAsia" w:ascii="宋体" w:hAnsi="宋体" w:cs="宋体"/>
                <w:szCs w:val="21"/>
              </w:rPr>
              <w:fldChar w:fldCharType="end"/>
            </w:r>
            <w:r>
              <w:rPr>
                <w:rFonts w:hint="eastAsia" w:ascii="宋体" w:hAnsi="宋体" w:cs="宋体"/>
                <w:szCs w:val="21"/>
              </w:rPr>
              <w:t xml:space="preserve"> ，投标人在线参加开标。</w:t>
            </w:r>
          </w:p>
        </w:tc>
      </w:tr>
      <w:tr w14:paraId="51D3C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7"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02C0CC7A">
            <w:pPr>
              <w:snapToGrid w:val="0"/>
              <w:jc w:val="center"/>
              <w:rPr>
                <w:rFonts w:ascii="宋体" w:hAnsi="宋体" w:cs="宋体"/>
                <w:szCs w:val="21"/>
              </w:rPr>
            </w:pPr>
            <w:r>
              <w:rPr>
                <w:rFonts w:hint="eastAsia" w:ascii="宋体" w:hAnsi="宋体" w:cs="宋体"/>
                <w:szCs w:val="21"/>
              </w:rPr>
              <w:t>18</w:t>
            </w:r>
          </w:p>
        </w:tc>
        <w:tc>
          <w:tcPr>
            <w:tcW w:w="1233" w:type="dxa"/>
            <w:tcBorders>
              <w:top w:val="single" w:color="auto" w:sz="4" w:space="0"/>
              <w:left w:val="single" w:color="auto" w:sz="4" w:space="0"/>
              <w:bottom w:val="single" w:color="auto" w:sz="4" w:space="0"/>
              <w:right w:val="single" w:color="auto" w:sz="4" w:space="0"/>
            </w:tcBorders>
            <w:vAlign w:val="center"/>
          </w:tcPr>
          <w:p w14:paraId="4258B3ED">
            <w:pPr>
              <w:snapToGrid w:val="0"/>
              <w:jc w:val="center"/>
              <w:rPr>
                <w:rFonts w:ascii="宋体" w:hAnsi="宋体" w:cs="宋体"/>
                <w:szCs w:val="21"/>
              </w:rPr>
            </w:pPr>
            <w:r>
              <w:rPr>
                <w:rFonts w:hint="eastAsia" w:ascii="宋体" w:hAnsi="宋体" w:cs="宋体"/>
                <w:szCs w:val="21"/>
              </w:rPr>
              <w:t>开标</w:t>
            </w:r>
          </w:p>
        </w:tc>
        <w:tc>
          <w:tcPr>
            <w:tcW w:w="7651" w:type="dxa"/>
            <w:tcBorders>
              <w:top w:val="single" w:color="auto" w:sz="4" w:space="0"/>
              <w:left w:val="single" w:color="auto" w:sz="4" w:space="0"/>
              <w:bottom w:val="single" w:color="auto" w:sz="4" w:space="0"/>
              <w:right w:val="single" w:color="auto" w:sz="4" w:space="0"/>
            </w:tcBorders>
            <w:vAlign w:val="center"/>
          </w:tcPr>
          <w:p w14:paraId="1EB2AD0D">
            <w:pPr>
              <w:spacing w:line="360" w:lineRule="auto"/>
              <w:rPr>
                <w:rFonts w:ascii="宋体" w:hAnsi="宋体" w:cs="宋体"/>
                <w:szCs w:val="21"/>
                <w:lang w:bidi="ar"/>
              </w:rPr>
            </w:pPr>
            <w:r>
              <w:rPr>
                <w:rFonts w:hint="eastAsia" w:ascii="宋体" w:hAnsi="宋体" w:cs="宋体"/>
                <w:szCs w:val="21"/>
                <w:lang w:bidi="ar"/>
              </w:rPr>
              <w:t>1、采购组织机构按照招标文件规定的时间通过电子交易平台组织开标，所有投标人均应当准时在线参加。</w:t>
            </w:r>
          </w:p>
          <w:p w14:paraId="23522BA7">
            <w:pPr>
              <w:spacing w:line="360" w:lineRule="auto"/>
              <w:rPr>
                <w:rFonts w:ascii="宋体" w:hAnsi="宋体" w:cs="宋体"/>
                <w:szCs w:val="21"/>
                <w:lang w:bidi="ar"/>
              </w:rPr>
            </w:pPr>
            <w:r>
              <w:rPr>
                <w:rFonts w:hint="eastAsia" w:ascii="宋体" w:hAnsi="宋体" w:cs="宋体"/>
                <w:szCs w:val="21"/>
                <w:lang w:bidi="ar"/>
              </w:rPr>
              <w:t>2、开标时间后，采购组织机构将向各投标投标人发出“电子加密投标文件”的解密通知，各投标投标人代表应当在接到解密通知后</w:t>
            </w:r>
            <w:r>
              <w:rPr>
                <w:rFonts w:hint="eastAsia" w:ascii="宋体" w:hAnsi="宋体" w:cs="宋体"/>
                <w:szCs w:val="21"/>
                <w:u w:val="single"/>
                <w:lang w:bidi="ar"/>
              </w:rPr>
              <w:t>30</w:t>
            </w:r>
            <w:r>
              <w:rPr>
                <w:rFonts w:hint="eastAsia" w:ascii="宋体" w:hAnsi="宋体" w:cs="宋体"/>
                <w:szCs w:val="21"/>
                <w:lang w:bidi="ar"/>
              </w:rPr>
              <w:t>分钟内自行完成“电子加密投标文件”的在线解密。</w:t>
            </w:r>
          </w:p>
          <w:p w14:paraId="314D4174">
            <w:pPr>
              <w:spacing w:line="360" w:lineRule="auto"/>
              <w:rPr>
                <w:rFonts w:ascii="宋体" w:hAnsi="宋体" w:cs="宋体"/>
                <w:szCs w:val="21"/>
                <w:lang w:bidi="ar"/>
              </w:rPr>
            </w:pPr>
            <w:r>
              <w:rPr>
                <w:rFonts w:hint="eastAsia" w:ascii="宋体" w:hAnsi="宋体" w:cs="宋体"/>
                <w:szCs w:val="21"/>
                <w:lang w:bidi="ar"/>
              </w:rPr>
              <w:t>3、通过“政府采购云平台”上传递交的“电子加密投标文件”已按时解密的，“电子备份投标文件”自动失效。</w:t>
            </w:r>
          </w:p>
          <w:p w14:paraId="3819EE94">
            <w:pPr>
              <w:spacing w:line="360" w:lineRule="auto"/>
              <w:rPr>
                <w:rFonts w:ascii="宋体" w:hAnsi="宋体" w:cs="宋体"/>
                <w:szCs w:val="21"/>
                <w:lang w:bidi="ar"/>
              </w:rPr>
            </w:pPr>
            <w:r>
              <w:rPr>
                <w:rFonts w:hint="eastAsia" w:ascii="宋体" w:hAnsi="宋体" w:cs="宋体"/>
                <w:szCs w:val="21"/>
                <w:lang w:bidi="ar"/>
              </w:rPr>
              <w:t>4、通过“政府采购云平台”上传递交的“电子加密投标文件”无法按时解密的，如投标投标人按规定递交 “电子备份投标文件”的，则由采购组织机构按“政府采购云平台”操作规范将“电子备份投标文件”上传至“政府采购云平台”。上传成功后，以“电子备份投标文件”参与评标，“电子加密投标文件”自动失效；在“政府采购云平台”正常运行情况下，“电子备份投标文件”无法上传至“政府采购云平台”的，视为投标文件撤回。如投标投标人未按规定递交“电子备份投标文件”的，视为投标文件撤回。</w:t>
            </w:r>
          </w:p>
          <w:p w14:paraId="12AEB1E5">
            <w:pPr>
              <w:snapToGrid w:val="0"/>
              <w:spacing w:line="360" w:lineRule="auto"/>
              <w:rPr>
                <w:rFonts w:ascii="宋体" w:hAnsi="宋体" w:cs="宋体"/>
                <w:szCs w:val="21"/>
              </w:rPr>
            </w:pPr>
            <w:r>
              <w:rPr>
                <w:rFonts w:hint="eastAsia" w:ascii="宋体" w:hAnsi="宋体" w:cs="宋体"/>
                <w:szCs w:val="21"/>
                <w:lang w:bidi="ar"/>
              </w:rPr>
              <w:t>5、投标截止时间前，投标投标人仅递交了“电子备份投标文件”而未将“电子加密投标文件”上传至“政府采购云平台”的，投标无效。</w:t>
            </w:r>
          </w:p>
        </w:tc>
      </w:tr>
      <w:tr w14:paraId="6228F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5B79231D">
            <w:pPr>
              <w:snapToGrid w:val="0"/>
              <w:jc w:val="center"/>
              <w:rPr>
                <w:rFonts w:ascii="宋体" w:hAnsi="宋体" w:cs="宋体"/>
                <w:szCs w:val="21"/>
              </w:rPr>
            </w:pPr>
            <w:r>
              <w:rPr>
                <w:rFonts w:hint="eastAsia" w:ascii="宋体" w:hAnsi="宋体" w:cs="宋体"/>
                <w:szCs w:val="21"/>
              </w:rPr>
              <w:t>19</w:t>
            </w:r>
          </w:p>
        </w:tc>
        <w:tc>
          <w:tcPr>
            <w:tcW w:w="1233" w:type="dxa"/>
            <w:tcBorders>
              <w:top w:val="single" w:color="auto" w:sz="4" w:space="0"/>
              <w:left w:val="single" w:color="auto" w:sz="4" w:space="0"/>
              <w:bottom w:val="single" w:color="auto" w:sz="4" w:space="0"/>
              <w:right w:val="single" w:color="auto" w:sz="4" w:space="0"/>
            </w:tcBorders>
            <w:vAlign w:val="center"/>
          </w:tcPr>
          <w:p w14:paraId="2996EA32">
            <w:pPr>
              <w:snapToGrid w:val="0"/>
              <w:jc w:val="center"/>
              <w:rPr>
                <w:rFonts w:ascii="宋体" w:hAnsi="宋体" w:cs="宋体"/>
                <w:szCs w:val="21"/>
              </w:rPr>
            </w:pPr>
            <w:r>
              <w:rPr>
                <w:rFonts w:hint="eastAsia" w:ascii="宋体" w:hAnsi="宋体" w:cs="宋体"/>
                <w:szCs w:val="21"/>
              </w:rPr>
              <w:t>评标办法</w:t>
            </w:r>
          </w:p>
        </w:tc>
        <w:tc>
          <w:tcPr>
            <w:tcW w:w="7651" w:type="dxa"/>
            <w:tcBorders>
              <w:top w:val="single" w:color="auto" w:sz="4" w:space="0"/>
              <w:left w:val="single" w:color="auto" w:sz="4" w:space="0"/>
              <w:bottom w:val="single" w:color="auto" w:sz="4" w:space="0"/>
              <w:right w:val="single" w:color="auto" w:sz="4" w:space="0"/>
            </w:tcBorders>
            <w:vAlign w:val="center"/>
          </w:tcPr>
          <w:p w14:paraId="06EEA701">
            <w:pPr>
              <w:autoSpaceDE w:val="0"/>
              <w:autoSpaceDN w:val="0"/>
              <w:snapToGrid w:val="0"/>
              <w:spacing w:line="360" w:lineRule="auto"/>
              <w:textAlignment w:val="bottom"/>
              <w:rPr>
                <w:rFonts w:ascii="宋体" w:hAnsi="宋体" w:cs="宋体"/>
                <w:szCs w:val="21"/>
              </w:rPr>
            </w:pPr>
            <w:r>
              <w:rPr>
                <w:rFonts w:hint="eastAsia" w:ascii="宋体" w:hAnsi="宋体" w:cs="宋体"/>
                <w:szCs w:val="21"/>
              </w:rPr>
              <w:t xml:space="preserve">综合评分法 </w:t>
            </w:r>
          </w:p>
        </w:tc>
      </w:tr>
      <w:tr w14:paraId="5F4A7E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152BEE0A">
            <w:pPr>
              <w:snapToGrid w:val="0"/>
              <w:jc w:val="center"/>
              <w:rPr>
                <w:rFonts w:ascii="宋体" w:hAnsi="宋体" w:cs="宋体"/>
                <w:szCs w:val="21"/>
              </w:rPr>
            </w:pPr>
            <w:r>
              <w:rPr>
                <w:rFonts w:hint="eastAsia" w:ascii="宋体" w:hAnsi="宋体" w:cs="宋体"/>
                <w:szCs w:val="21"/>
              </w:rPr>
              <w:t>20</w:t>
            </w:r>
          </w:p>
        </w:tc>
        <w:tc>
          <w:tcPr>
            <w:tcW w:w="1233" w:type="dxa"/>
            <w:tcBorders>
              <w:top w:val="single" w:color="auto" w:sz="4" w:space="0"/>
              <w:left w:val="single" w:color="auto" w:sz="4" w:space="0"/>
              <w:bottom w:val="single" w:color="auto" w:sz="4" w:space="0"/>
              <w:right w:val="single" w:color="auto" w:sz="4" w:space="0"/>
            </w:tcBorders>
            <w:vAlign w:val="center"/>
          </w:tcPr>
          <w:p w14:paraId="05F9FCDB">
            <w:pPr>
              <w:snapToGrid w:val="0"/>
              <w:jc w:val="center"/>
              <w:rPr>
                <w:rFonts w:ascii="宋体" w:hAnsi="宋体" w:cs="宋体"/>
                <w:szCs w:val="21"/>
              </w:rPr>
            </w:pPr>
            <w:r>
              <w:rPr>
                <w:rFonts w:hint="eastAsia" w:ascii="宋体" w:hAnsi="宋体" w:cs="宋体"/>
                <w:szCs w:val="21"/>
              </w:rPr>
              <w:t>投标文件</w:t>
            </w:r>
          </w:p>
          <w:p w14:paraId="50903A76">
            <w:pPr>
              <w:snapToGrid w:val="0"/>
              <w:jc w:val="center"/>
              <w:rPr>
                <w:rFonts w:ascii="宋体" w:hAnsi="宋体" w:cs="宋体"/>
                <w:szCs w:val="21"/>
              </w:rPr>
            </w:pPr>
            <w:r>
              <w:rPr>
                <w:rFonts w:hint="eastAsia" w:ascii="宋体" w:hAnsi="宋体" w:cs="宋体"/>
                <w:szCs w:val="21"/>
              </w:rPr>
              <w:t>有效期</w:t>
            </w:r>
          </w:p>
        </w:tc>
        <w:tc>
          <w:tcPr>
            <w:tcW w:w="7651" w:type="dxa"/>
            <w:tcBorders>
              <w:top w:val="single" w:color="auto" w:sz="4" w:space="0"/>
              <w:left w:val="single" w:color="auto" w:sz="4" w:space="0"/>
              <w:bottom w:val="single" w:color="auto" w:sz="4" w:space="0"/>
              <w:right w:val="single" w:color="auto" w:sz="4" w:space="0"/>
            </w:tcBorders>
            <w:vAlign w:val="center"/>
          </w:tcPr>
          <w:p w14:paraId="57E4862A">
            <w:pPr>
              <w:autoSpaceDE w:val="0"/>
              <w:autoSpaceDN w:val="0"/>
              <w:snapToGrid w:val="0"/>
              <w:spacing w:line="360" w:lineRule="auto"/>
              <w:textAlignment w:val="bottom"/>
              <w:rPr>
                <w:rFonts w:ascii="宋体" w:hAnsi="宋体" w:cs="宋体"/>
                <w:szCs w:val="21"/>
              </w:rPr>
            </w:pPr>
            <w:r>
              <w:rPr>
                <w:szCs w:val="21"/>
              </w:rPr>
              <w:t>自投标文件递交截止时间起90天内有效</w:t>
            </w:r>
            <w:r>
              <w:rPr>
                <w:rFonts w:hint="eastAsia"/>
                <w:szCs w:val="21"/>
              </w:rPr>
              <w:t>。</w:t>
            </w:r>
          </w:p>
        </w:tc>
      </w:tr>
      <w:tr w14:paraId="46533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4"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6CAF7E24">
            <w:pPr>
              <w:snapToGrid w:val="0"/>
              <w:jc w:val="center"/>
              <w:rPr>
                <w:rFonts w:ascii="宋体" w:hAnsi="宋体" w:cs="宋体"/>
                <w:szCs w:val="21"/>
              </w:rPr>
            </w:pPr>
            <w:r>
              <w:rPr>
                <w:rFonts w:hint="eastAsia" w:ascii="宋体" w:hAnsi="宋体" w:cs="宋体"/>
                <w:szCs w:val="21"/>
              </w:rPr>
              <w:t>21</w:t>
            </w:r>
          </w:p>
        </w:tc>
        <w:tc>
          <w:tcPr>
            <w:tcW w:w="1233" w:type="dxa"/>
            <w:tcBorders>
              <w:top w:val="single" w:color="auto" w:sz="4" w:space="0"/>
              <w:left w:val="single" w:color="auto" w:sz="4" w:space="0"/>
              <w:bottom w:val="single" w:color="auto" w:sz="4" w:space="0"/>
              <w:right w:val="single" w:color="auto" w:sz="4" w:space="0"/>
            </w:tcBorders>
            <w:vAlign w:val="center"/>
          </w:tcPr>
          <w:p w14:paraId="6364791E">
            <w:pPr>
              <w:spacing w:before="62" w:beforeLines="20" w:after="62" w:afterLines="20"/>
              <w:jc w:val="center"/>
              <w:rPr>
                <w:rFonts w:ascii="宋体" w:hAnsi="宋体" w:cs="宋体"/>
                <w:szCs w:val="21"/>
              </w:rPr>
            </w:pPr>
            <w:r>
              <w:rPr>
                <w:rFonts w:hint="eastAsia" w:ascii="宋体" w:hAnsi="宋体" w:cs="宋体"/>
                <w:szCs w:val="21"/>
                <w:lang w:bidi="ar"/>
              </w:rPr>
              <w:t>信用记录</w:t>
            </w:r>
          </w:p>
        </w:tc>
        <w:tc>
          <w:tcPr>
            <w:tcW w:w="7651" w:type="dxa"/>
            <w:tcBorders>
              <w:top w:val="single" w:color="auto" w:sz="4" w:space="0"/>
              <w:left w:val="single" w:color="auto" w:sz="4" w:space="0"/>
              <w:bottom w:val="single" w:color="auto" w:sz="4" w:space="0"/>
              <w:right w:val="single" w:color="auto" w:sz="4" w:space="0"/>
            </w:tcBorders>
            <w:vAlign w:val="center"/>
          </w:tcPr>
          <w:p w14:paraId="3BDC7005">
            <w:pPr>
              <w:spacing w:before="62" w:beforeLines="20" w:after="62" w:afterLines="20" w:line="360" w:lineRule="auto"/>
              <w:rPr>
                <w:rFonts w:ascii="宋体" w:hAnsi="宋体" w:cs="宋体"/>
                <w:szCs w:val="21"/>
              </w:rPr>
            </w:pPr>
            <w:r>
              <w:rPr>
                <w:rFonts w:hint="eastAsia" w:ascii="宋体" w:hAnsi="宋体" w:cs="宋体"/>
                <w:szCs w:val="21"/>
              </w:rPr>
              <w:t>根据财库[2016]125号文件，通过“信用中国”网站（www.creditchina.gov.cn）、中国政府采购网（www.ccgp.gov.cn），以开标当日网页查询记录为准。对列入失信被执行人、重大税收违法案件当事人名单、政府采购严重违法失信行为记录名单的投标人，其投标将作无效标处理。</w:t>
            </w:r>
          </w:p>
        </w:tc>
      </w:tr>
      <w:tr w14:paraId="3F76D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7"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3F0549E5">
            <w:pPr>
              <w:snapToGrid w:val="0"/>
              <w:jc w:val="center"/>
              <w:rPr>
                <w:rFonts w:ascii="宋体" w:hAnsi="宋体" w:cs="宋体"/>
                <w:szCs w:val="21"/>
              </w:rPr>
            </w:pPr>
            <w:r>
              <w:rPr>
                <w:rFonts w:hint="eastAsia" w:ascii="宋体" w:hAnsi="宋体" w:cs="宋体"/>
                <w:szCs w:val="21"/>
              </w:rPr>
              <w:t>22</w:t>
            </w:r>
          </w:p>
        </w:tc>
        <w:tc>
          <w:tcPr>
            <w:tcW w:w="1233" w:type="dxa"/>
            <w:tcBorders>
              <w:top w:val="single" w:color="auto" w:sz="4" w:space="0"/>
              <w:left w:val="single" w:color="auto" w:sz="4" w:space="0"/>
              <w:bottom w:val="single" w:color="auto" w:sz="4" w:space="0"/>
              <w:right w:val="single" w:color="auto" w:sz="4" w:space="0"/>
            </w:tcBorders>
            <w:vAlign w:val="center"/>
          </w:tcPr>
          <w:p w14:paraId="049E500E">
            <w:pPr>
              <w:snapToGrid w:val="0"/>
              <w:jc w:val="center"/>
              <w:rPr>
                <w:rFonts w:ascii="宋体" w:hAnsi="宋体" w:cs="宋体"/>
                <w:szCs w:val="21"/>
              </w:rPr>
            </w:pPr>
            <w:r>
              <w:rPr>
                <w:rFonts w:hint="eastAsia" w:ascii="宋体" w:hAnsi="宋体" w:cs="宋体"/>
                <w:szCs w:val="21"/>
              </w:rPr>
              <w:t>进口</w:t>
            </w:r>
          </w:p>
        </w:tc>
        <w:tc>
          <w:tcPr>
            <w:tcW w:w="7651" w:type="dxa"/>
            <w:tcBorders>
              <w:top w:val="single" w:color="auto" w:sz="4" w:space="0"/>
              <w:left w:val="single" w:color="auto" w:sz="4" w:space="0"/>
              <w:bottom w:val="single" w:color="auto" w:sz="4" w:space="0"/>
              <w:right w:val="single" w:color="auto" w:sz="4" w:space="0"/>
            </w:tcBorders>
            <w:vAlign w:val="center"/>
          </w:tcPr>
          <w:p w14:paraId="15AF6160">
            <w:pPr>
              <w:pStyle w:val="32"/>
              <w:snapToGrid w:val="0"/>
              <w:spacing w:before="0" w:beforeLines="0" w:after="0" w:afterLines="0" w:line="360" w:lineRule="auto"/>
              <w:jc w:val="left"/>
              <w:rPr>
                <w:rFonts w:hAnsi="宋体" w:cs="宋体"/>
                <w:sz w:val="21"/>
                <w:szCs w:val="21"/>
              </w:rPr>
            </w:pPr>
            <w:r>
              <w:rPr>
                <w:rFonts w:hint="eastAsia" w:hAnsi="宋体" w:cs="宋体"/>
                <w:sz w:val="21"/>
                <w:szCs w:val="21"/>
              </w:rPr>
              <w:t>□允许。优先采购向我国企业转让技术、与我国企业签订消化吸收再创新方案的投标人的进口产品；但如果因信息不对称等原因，仍有满足需求的国内产品要求参与采购竞争的，采购人及其委托的采购代理机构不对其加以限制，将按照公平竞争原则实施采购。</w:t>
            </w:r>
          </w:p>
          <w:p w14:paraId="76286301">
            <w:pPr>
              <w:snapToGrid w:val="0"/>
              <w:spacing w:line="360"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2"/>
                <w:sz w:val="14"/>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kern w:val="0"/>
                <w:szCs w:val="21"/>
              </w:rPr>
              <w:t xml:space="preserve"> </w:t>
            </w:r>
            <w:r>
              <w:rPr>
                <w:rFonts w:hint="eastAsia" w:ascii="宋体" w:hAnsi="宋体" w:cs="宋体"/>
                <w:szCs w:val="21"/>
              </w:rPr>
              <w:t>不允许</w:t>
            </w:r>
          </w:p>
        </w:tc>
      </w:tr>
      <w:tr w14:paraId="74D71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4"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508562F8">
            <w:pPr>
              <w:snapToGrid w:val="0"/>
              <w:jc w:val="center"/>
              <w:rPr>
                <w:rFonts w:ascii="宋体" w:hAnsi="宋体" w:cs="宋体"/>
                <w:szCs w:val="21"/>
              </w:rPr>
            </w:pPr>
            <w:r>
              <w:rPr>
                <w:rFonts w:hint="eastAsia" w:ascii="宋体" w:hAnsi="宋体" w:cs="宋体"/>
                <w:szCs w:val="21"/>
              </w:rPr>
              <w:t>23</w:t>
            </w:r>
          </w:p>
        </w:tc>
        <w:tc>
          <w:tcPr>
            <w:tcW w:w="1233" w:type="dxa"/>
            <w:tcBorders>
              <w:top w:val="single" w:color="auto" w:sz="4" w:space="0"/>
              <w:left w:val="single" w:color="auto" w:sz="4" w:space="0"/>
              <w:bottom w:val="single" w:color="auto" w:sz="4" w:space="0"/>
              <w:right w:val="single" w:color="auto" w:sz="4" w:space="0"/>
            </w:tcBorders>
            <w:vAlign w:val="center"/>
          </w:tcPr>
          <w:p w14:paraId="45484757">
            <w:pPr>
              <w:snapToGrid w:val="0"/>
              <w:jc w:val="center"/>
              <w:rPr>
                <w:rFonts w:ascii="宋体" w:hAnsi="宋体" w:cs="宋体"/>
                <w:szCs w:val="21"/>
              </w:rPr>
            </w:pPr>
            <w:r>
              <w:rPr>
                <w:rFonts w:hint="eastAsia" w:ascii="宋体" w:hAnsi="宋体" w:cs="宋体"/>
                <w:szCs w:val="21"/>
                <w:lang w:bidi="ar"/>
              </w:rPr>
              <w:t>政府采购节能、</w:t>
            </w:r>
            <w:r>
              <w:rPr>
                <w:rFonts w:hint="eastAsia" w:ascii="宋体" w:hAnsi="宋体" w:cs="宋体"/>
                <w:szCs w:val="21"/>
              </w:rPr>
              <w:t>环境标志</w:t>
            </w:r>
            <w:r>
              <w:rPr>
                <w:rFonts w:hint="eastAsia" w:ascii="宋体" w:hAnsi="宋体" w:cs="宋体"/>
                <w:szCs w:val="21"/>
                <w:lang w:bidi="ar"/>
              </w:rPr>
              <w:t>产品</w:t>
            </w:r>
          </w:p>
        </w:tc>
        <w:tc>
          <w:tcPr>
            <w:tcW w:w="7651" w:type="dxa"/>
            <w:tcBorders>
              <w:top w:val="single" w:color="auto" w:sz="4" w:space="0"/>
              <w:left w:val="single" w:color="auto" w:sz="4" w:space="0"/>
              <w:bottom w:val="single" w:color="auto" w:sz="4" w:space="0"/>
              <w:right w:val="single" w:color="auto" w:sz="4" w:space="0"/>
            </w:tcBorders>
            <w:vAlign w:val="center"/>
          </w:tcPr>
          <w:p w14:paraId="2117630B">
            <w:pPr>
              <w:autoSpaceDE w:val="0"/>
              <w:autoSpaceDN w:val="0"/>
              <w:snapToGrid w:val="0"/>
              <w:spacing w:line="360" w:lineRule="auto"/>
              <w:textAlignment w:val="bottom"/>
              <w:rPr>
                <w:rFonts w:ascii="宋体" w:hAnsi="宋体" w:cs="宋体"/>
                <w:szCs w:val="21"/>
              </w:rPr>
            </w:pPr>
            <w:r>
              <w:rPr>
                <w:rFonts w:hint="eastAsia" w:ascii="宋体" w:hAnsi="宋体" w:cs="宋体"/>
                <w:szCs w:val="21"/>
              </w:rPr>
              <w:t>□ 强制采购节能产品</w:t>
            </w:r>
          </w:p>
          <w:p w14:paraId="188A2962">
            <w:pPr>
              <w:autoSpaceDE w:val="0"/>
              <w:autoSpaceDN w:val="0"/>
              <w:snapToGrid w:val="0"/>
              <w:spacing w:line="360" w:lineRule="auto"/>
              <w:textAlignment w:val="bottom"/>
              <w:rPr>
                <w:rFonts w:ascii="宋体" w:hAnsi="宋体" w:cs="宋体"/>
                <w:szCs w:val="21"/>
                <w:highlight w:val="none"/>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2"/>
                <w:sz w:val="14"/>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highlight w:val="none"/>
              </w:rPr>
              <w:t xml:space="preserve"> 优先采购节能产品</w:t>
            </w:r>
          </w:p>
          <w:p w14:paraId="28ACC6FC">
            <w:pPr>
              <w:autoSpaceDE w:val="0"/>
              <w:autoSpaceDN w:val="0"/>
              <w:snapToGrid w:val="0"/>
              <w:spacing w:line="360" w:lineRule="auto"/>
              <w:textAlignment w:val="bottom"/>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 xml:space="preserve"> 优先采购环境标志产品</w:t>
            </w:r>
          </w:p>
          <w:p w14:paraId="3A09CD05">
            <w:pPr>
              <w:autoSpaceDE w:val="0"/>
              <w:autoSpaceDN w:val="0"/>
              <w:snapToGrid w:val="0"/>
              <w:spacing w:line="360" w:lineRule="auto"/>
              <w:textAlignment w:val="bottom"/>
              <w:rPr>
                <w:rFonts w:ascii="宋体" w:hAnsi="宋体" w:cs="宋体"/>
                <w:szCs w:val="21"/>
              </w:rPr>
            </w:pPr>
            <w:r>
              <w:rPr>
                <w:rFonts w:hint="eastAsia" w:ascii="宋体" w:hAnsi="宋体" w:cs="宋体"/>
                <w:szCs w:val="21"/>
              </w:rPr>
              <w:t>□ 不适用</w:t>
            </w:r>
          </w:p>
          <w:p w14:paraId="324D2C22">
            <w:pPr>
              <w:spacing w:before="62" w:beforeLines="20" w:after="62" w:afterLines="20" w:line="360" w:lineRule="auto"/>
              <w:ind w:firstLine="420" w:firstLineChars="200"/>
              <w:rPr>
                <w:rFonts w:ascii="宋体" w:hAnsi="宋体" w:cs="宋体"/>
                <w:szCs w:val="21"/>
              </w:rPr>
            </w:pPr>
            <w:r>
              <w:rPr>
                <w:rFonts w:hint="eastAsia" w:ascii="宋体" w:hAnsi="宋体" w:cs="宋体"/>
                <w:szCs w:val="21"/>
                <w:lang w:bidi="ar"/>
              </w:rPr>
              <w:t>投标</w:t>
            </w:r>
            <w:r>
              <w:rPr>
                <w:rFonts w:hint="eastAsia" w:ascii="宋体" w:hAnsi="宋体" w:cs="宋体"/>
                <w:szCs w:val="21"/>
                <w:highlight w:val="none"/>
                <w:lang w:val="en-US" w:eastAsia="zh-CN" w:bidi="ar"/>
              </w:rPr>
              <w:t>的LED道路/隧道照明</w:t>
            </w:r>
            <w:r>
              <w:rPr>
                <w:rFonts w:hint="eastAsia" w:ascii="宋体" w:hAnsi="宋体" w:cs="宋体"/>
                <w:szCs w:val="21"/>
                <w:highlight w:val="none"/>
                <w:lang w:bidi="ar"/>
              </w:rPr>
              <w:t>产品</w:t>
            </w:r>
            <w:r>
              <w:rPr>
                <w:rFonts w:hint="eastAsia" w:ascii="宋体" w:hAnsi="宋体" w:cs="宋体"/>
                <w:szCs w:val="21"/>
                <w:highlight w:val="none"/>
                <w:lang w:eastAsia="zh-CN" w:bidi="ar"/>
              </w:rPr>
              <w:t>（</w:t>
            </w:r>
            <w:r>
              <w:rPr>
                <w:rFonts w:hint="eastAsia" w:ascii="宋体" w:hAnsi="宋体" w:cs="宋体"/>
                <w:szCs w:val="21"/>
                <w:highlight w:val="none"/>
                <w:lang w:val="en-US" w:eastAsia="zh-CN" w:bidi="ar"/>
              </w:rPr>
              <w:t>照明灯具</w:t>
            </w:r>
            <w:r>
              <w:rPr>
                <w:rFonts w:hint="eastAsia" w:ascii="宋体" w:hAnsi="宋体" w:cs="宋体"/>
                <w:szCs w:val="21"/>
                <w:highlight w:val="none"/>
                <w:lang w:eastAsia="zh-CN" w:bidi="ar"/>
              </w:rPr>
              <w:t>）</w:t>
            </w:r>
            <w:r>
              <w:rPr>
                <w:rFonts w:hint="eastAsia" w:ascii="宋体" w:hAnsi="宋体" w:cs="宋体"/>
                <w:szCs w:val="21"/>
                <w:lang w:bidi="ar"/>
              </w:rPr>
              <w:t>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0F771978">
            <w:pPr>
              <w:pStyle w:val="107"/>
              <w:spacing w:line="360" w:lineRule="auto"/>
              <w:ind w:hanging="210"/>
            </w:pPr>
            <w:r>
              <w:rPr>
                <w:rFonts w:hint="eastAsia" w:ascii="宋体" w:hAnsi="宋体" w:cs="宋体"/>
                <w:szCs w:val="21"/>
                <w:lang w:bidi="ar"/>
              </w:rPr>
              <w:t>产品属于政府强制采购节能品目的（详见《关于印发节能产品政府采购品目清单的通知》财库〔2019〕19号），投标人须按上款要求提供节能产品认证证书或规定网站证书查询截图。</w:t>
            </w:r>
            <w:r>
              <w:rPr>
                <w:rFonts w:hint="eastAsia" w:ascii="宋体" w:hAnsi="宋体" w:cs="宋体"/>
                <w:b/>
                <w:szCs w:val="21"/>
                <w:lang w:bidi="ar"/>
              </w:rPr>
              <w:t>产品属于政府强制采购节能产品品目的，投标人未提供节能产品的，其投标将作无效标处理；本文件“第二章采购需求”另有规定的除外。</w:t>
            </w:r>
          </w:p>
        </w:tc>
      </w:tr>
      <w:tr w14:paraId="2EC18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5"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30642CF4">
            <w:pPr>
              <w:snapToGrid w:val="0"/>
              <w:jc w:val="center"/>
              <w:rPr>
                <w:rFonts w:ascii="宋体" w:hAnsi="宋体" w:cs="宋体"/>
                <w:szCs w:val="21"/>
              </w:rPr>
            </w:pPr>
            <w:r>
              <w:rPr>
                <w:rFonts w:hint="eastAsia" w:ascii="宋体" w:hAnsi="宋体" w:cs="宋体"/>
                <w:szCs w:val="21"/>
              </w:rPr>
              <w:t>24</w:t>
            </w:r>
          </w:p>
        </w:tc>
        <w:tc>
          <w:tcPr>
            <w:tcW w:w="1233" w:type="dxa"/>
            <w:tcBorders>
              <w:top w:val="single" w:color="auto" w:sz="4" w:space="0"/>
              <w:left w:val="single" w:color="auto" w:sz="4" w:space="0"/>
              <w:bottom w:val="single" w:color="auto" w:sz="4" w:space="0"/>
              <w:right w:val="single" w:color="auto" w:sz="4" w:space="0"/>
            </w:tcBorders>
            <w:vAlign w:val="center"/>
          </w:tcPr>
          <w:p w14:paraId="6A55629A">
            <w:pPr>
              <w:snapToGrid w:val="0"/>
              <w:jc w:val="center"/>
              <w:rPr>
                <w:rFonts w:ascii="宋体" w:hAnsi="宋体" w:cs="宋体"/>
                <w:szCs w:val="21"/>
              </w:rPr>
            </w:pPr>
            <w:r>
              <w:rPr>
                <w:rFonts w:hint="eastAsia" w:ascii="宋体" w:hAnsi="宋体" w:cs="宋体"/>
                <w:szCs w:val="21"/>
              </w:rPr>
              <w:t>促进中小</w:t>
            </w:r>
          </w:p>
          <w:p w14:paraId="75A3B6F0">
            <w:pPr>
              <w:snapToGrid w:val="0"/>
              <w:jc w:val="center"/>
              <w:rPr>
                <w:rFonts w:ascii="宋体" w:hAnsi="宋体" w:cs="宋体"/>
                <w:szCs w:val="21"/>
              </w:rPr>
            </w:pPr>
            <w:r>
              <w:rPr>
                <w:rFonts w:hint="eastAsia" w:ascii="宋体" w:hAnsi="宋体" w:cs="宋体"/>
                <w:szCs w:val="21"/>
              </w:rPr>
              <w:t>企业发展</w:t>
            </w:r>
          </w:p>
        </w:tc>
        <w:tc>
          <w:tcPr>
            <w:tcW w:w="7651" w:type="dxa"/>
            <w:tcBorders>
              <w:top w:val="single" w:color="auto" w:sz="4" w:space="0"/>
              <w:left w:val="single" w:color="auto" w:sz="4" w:space="0"/>
              <w:bottom w:val="single" w:color="auto" w:sz="4" w:space="0"/>
              <w:right w:val="single" w:color="auto" w:sz="4" w:space="0"/>
            </w:tcBorders>
            <w:vAlign w:val="center"/>
          </w:tcPr>
          <w:p w14:paraId="7AD5D7C9">
            <w:pPr>
              <w:numPr>
                <w:ilvl w:val="0"/>
                <w:numId w:val="7"/>
              </w:numPr>
              <w:snapToGrid w:val="0"/>
              <w:spacing w:line="360" w:lineRule="auto"/>
            </w:pPr>
            <w:r>
              <w:rPr>
                <w:rFonts w:hint="eastAsia"/>
                <w:highlight w:val="none"/>
              </w:rPr>
              <w:t>本次采购为</w:t>
            </w:r>
            <w:r>
              <w:rPr>
                <w:rFonts w:hint="eastAsia" w:ascii="宋体" w:hAnsi="宋体" w:cs="宋体"/>
                <w:szCs w:val="21"/>
                <w:highlight w:val="none"/>
              </w:rPr>
              <w:fldChar w:fldCharType="begin"/>
            </w:r>
            <w:r>
              <w:rPr>
                <w:rFonts w:hint="eastAsia" w:ascii="宋体" w:hAnsi="宋体" w:cs="宋体"/>
                <w:szCs w:val="21"/>
                <w:highlight w:val="none"/>
              </w:rPr>
              <w:instrText xml:space="preserve"> eq \o\ac(□,</w:instrText>
            </w:r>
            <w:r>
              <w:rPr>
                <w:rFonts w:hint="eastAsia" w:ascii="宋体" w:hAnsi="宋体" w:cs="宋体"/>
                <w:position w:val="2"/>
                <w:sz w:val="14"/>
                <w:szCs w:val="21"/>
                <w:highlight w:val="none"/>
              </w:rPr>
              <w:instrText xml:space="preserve">√</w:instrText>
            </w:r>
            <w:r>
              <w:rPr>
                <w:rFonts w:hint="eastAsia" w:ascii="宋体" w:hAnsi="宋体" w:cs="宋体"/>
                <w:szCs w:val="21"/>
                <w:highlight w:val="none"/>
              </w:rPr>
              <w:instrText xml:space="preserve">)</w:instrText>
            </w:r>
            <w:r>
              <w:rPr>
                <w:rFonts w:hint="eastAsia" w:ascii="宋体" w:hAnsi="宋体" w:cs="宋体"/>
                <w:szCs w:val="21"/>
                <w:highlight w:val="none"/>
              </w:rPr>
              <w:fldChar w:fldCharType="end"/>
            </w:r>
            <w:r>
              <w:rPr>
                <w:rFonts w:hint="eastAsia"/>
              </w:rPr>
              <w:t>专门面向</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不</w:t>
            </w:r>
            <w:r>
              <w:rPr>
                <w:rFonts w:hint="eastAsia"/>
              </w:rPr>
              <w:t>专门面向中小企业预留采购份额的采购项目。</w:t>
            </w:r>
          </w:p>
          <w:p w14:paraId="5DAC965B">
            <w:pPr>
              <w:numPr>
                <w:ilvl w:val="0"/>
                <w:numId w:val="7"/>
              </w:numPr>
              <w:snapToGrid w:val="0"/>
              <w:spacing w:line="360" w:lineRule="auto"/>
            </w:pPr>
            <w:r>
              <w:rPr>
                <w:rFonts w:hint="eastAsia"/>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0650589">
            <w:pPr>
              <w:numPr>
                <w:ilvl w:val="0"/>
                <w:numId w:val="7"/>
              </w:numPr>
              <w:snapToGrid w:val="0"/>
              <w:spacing w:line="360" w:lineRule="auto"/>
              <w:rPr>
                <w:kern w:val="0"/>
                <w:szCs w:val="21"/>
                <w:u w:val="single"/>
              </w:rPr>
            </w:pPr>
            <w:r>
              <w:rPr>
                <w:kern w:val="0"/>
                <w:szCs w:val="21"/>
              </w:rPr>
              <w:t>本次</w:t>
            </w:r>
            <w:r>
              <w:rPr>
                <w:rFonts w:hint="eastAsia"/>
                <w:kern w:val="0"/>
                <w:szCs w:val="21"/>
              </w:rPr>
              <w:t>标的名称是</w:t>
            </w:r>
            <w:r>
              <w:rPr>
                <w:rFonts w:hint="eastAsia"/>
                <w:kern w:val="0"/>
                <w:szCs w:val="21"/>
                <w:u w:val="single"/>
              </w:rPr>
              <w:t xml:space="preserve">舟山市定海区公路照明能源托管项目 </w:t>
            </w:r>
            <w:r>
              <w:rPr>
                <w:rFonts w:hint="eastAsia"/>
                <w:kern w:val="0"/>
                <w:szCs w:val="21"/>
              </w:rPr>
              <w:t>，项目属性</w:t>
            </w:r>
            <w:r>
              <w:rPr>
                <w:rFonts w:hint="eastAsia"/>
                <w:kern w:val="0"/>
                <w:szCs w:val="21"/>
                <w:u w:val="single"/>
              </w:rPr>
              <w:t xml:space="preserve"> </w:t>
            </w:r>
            <w:r>
              <w:rPr>
                <w:rFonts w:hint="eastAsia"/>
                <w:b/>
                <w:bCs/>
                <w:kern w:val="0"/>
                <w:szCs w:val="21"/>
                <w:highlight w:val="none"/>
                <w:u w:val="single"/>
              </w:rPr>
              <w:t xml:space="preserve"> </w:t>
            </w:r>
            <w:r>
              <w:rPr>
                <w:b/>
                <w:bCs/>
                <w:kern w:val="0"/>
                <w:szCs w:val="21"/>
                <w:highlight w:val="none"/>
                <w:u w:val="single"/>
              </w:rPr>
              <w:t>服务</w:t>
            </w:r>
            <w:r>
              <w:rPr>
                <w:kern w:val="0"/>
                <w:szCs w:val="21"/>
              </w:rPr>
              <w:t>，对应的中小企业划分标准所属行业是：</w:t>
            </w:r>
            <w:r>
              <w:rPr>
                <w:rFonts w:hint="eastAsia"/>
                <w:kern w:val="0"/>
                <w:szCs w:val="21"/>
                <w:u w:val="single"/>
              </w:rPr>
              <w:t xml:space="preserve"> </w:t>
            </w:r>
            <w:r>
              <w:rPr>
                <w:u w:val="single"/>
              </w:rPr>
              <w:t>未列明行业</w:t>
            </w:r>
            <w:r>
              <w:rPr>
                <w:rFonts w:hint="eastAsia"/>
                <w:kern w:val="0"/>
                <w:szCs w:val="21"/>
                <w:u w:val="single"/>
              </w:rPr>
              <w:t xml:space="preserve"> </w:t>
            </w:r>
          </w:p>
          <w:p w14:paraId="7FF26260">
            <w:pPr>
              <w:snapToGrid w:val="0"/>
              <w:spacing w:line="360" w:lineRule="auto"/>
              <w:ind w:left="631" w:hanging="211"/>
            </w:pPr>
            <w:r>
              <w:rPr>
                <w:b/>
                <w:szCs w:val="21"/>
              </w:rPr>
              <w:t>具体划型标准参考</w:t>
            </w:r>
            <w:r>
              <w:rPr>
                <w:rFonts w:hint="eastAsia"/>
                <w:b/>
                <w:szCs w:val="21"/>
              </w:rPr>
              <w:t>第七章其它“二、</w:t>
            </w:r>
            <w:r>
              <w:rPr>
                <w:b/>
                <w:szCs w:val="21"/>
              </w:rPr>
              <w:t>中小企业划型标准规定</w:t>
            </w:r>
            <w:r>
              <w:rPr>
                <w:rFonts w:hint="eastAsia"/>
                <w:b/>
                <w:szCs w:val="21"/>
              </w:rPr>
              <w:t>”</w:t>
            </w:r>
          </w:p>
          <w:p w14:paraId="41EE8034">
            <w:pPr>
              <w:snapToGrid w:val="0"/>
              <w:spacing w:line="360" w:lineRule="auto"/>
            </w:pPr>
            <w:r>
              <w:rPr>
                <w:rFonts w:hint="eastAsia"/>
              </w:rPr>
              <w:t>4、以联合体形式参加政府采购活动，联合体各方均为中小企业的，联合体视同中小企业。</w:t>
            </w:r>
          </w:p>
          <w:p w14:paraId="0A1BB899">
            <w:pPr>
              <w:snapToGrid w:val="0"/>
              <w:spacing w:line="360" w:lineRule="auto"/>
            </w:pPr>
            <w:r>
              <w:rPr>
                <w:rFonts w:hint="eastAsia"/>
              </w:rPr>
              <w:t>5、符合小微企业划分标准的个体工商户，视同小微企业。</w:t>
            </w:r>
          </w:p>
        </w:tc>
      </w:tr>
      <w:tr w14:paraId="6F2DE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67804126">
            <w:pPr>
              <w:snapToGrid w:val="0"/>
              <w:jc w:val="center"/>
              <w:rPr>
                <w:rFonts w:ascii="宋体" w:hAnsi="宋体" w:cs="宋体"/>
                <w:szCs w:val="21"/>
              </w:rPr>
            </w:pPr>
            <w:r>
              <w:rPr>
                <w:rFonts w:hint="eastAsia"/>
                <w:szCs w:val="21"/>
              </w:rPr>
              <w:t>25</w:t>
            </w:r>
          </w:p>
        </w:tc>
        <w:tc>
          <w:tcPr>
            <w:tcW w:w="1233" w:type="dxa"/>
            <w:tcBorders>
              <w:top w:val="single" w:color="auto" w:sz="4" w:space="0"/>
              <w:left w:val="single" w:color="auto" w:sz="4" w:space="0"/>
              <w:bottom w:val="single" w:color="auto" w:sz="4" w:space="0"/>
              <w:right w:val="single" w:color="auto" w:sz="4" w:space="0"/>
            </w:tcBorders>
            <w:vAlign w:val="center"/>
          </w:tcPr>
          <w:p w14:paraId="40C2A2E8">
            <w:pPr>
              <w:snapToGrid w:val="0"/>
              <w:jc w:val="center"/>
              <w:rPr>
                <w:rFonts w:ascii="宋体" w:hAnsi="宋体" w:eastAsia="仿宋" w:cs="宋体"/>
                <w:szCs w:val="21"/>
              </w:rPr>
            </w:pPr>
            <w:r>
              <w:rPr>
                <w:rFonts w:hint="eastAsia" w:ascii="宋体" w:hAnsi="宋体" w:cs="宋体"/>
                <w:szCs w:val="21"/>
                <w:lang w:bidi="ar"/>
              </w:rPr>
              <w:t>首台套政策</w:t>
            </w:r>
          </w:p>
        </w:tc>
        <w:tc>
          <w:tcPr>
            <w:tcW w:w="7651" w:type="dxa"/>
            <w:tcBorders>
              <w:top w:val="single" w:color="auto" w:sz="4" w:space="0"/>
              <w:left w:val="single" w:color="auto" w:sz="4" w:space="0"/>
              <w:bottom w:val="single" w:color="auto" w:sz="4" w:space="0"/>
              <w:right w:val="single" w:color="auto" w:sz="4" w:space="0"/>
            </w:tcBorders>
            <w:vAlign w:val="center"/>
          </w:tcPr>
          <w:p w14:paraId="767B9CBE">
            <w:pPr>
              <w:autoSpaceDE w:val="0"/>
              <w:autoSpaceDN w:val="0"/>
              <w:snapToGrid w:val="0"/>
              <w:spacing w:line="360" w:lineRule="auto"/>
              <w:textAlignment w:val="bottom"/>
              <w:rPr>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szCs w:val="21"/>
              </w:rPr>
              <w:t>优先采购被认定为首台套产品和“制造精品”的自主创新产品</w:t>
            </w:r>
          </w:p>
          <w:p w14:paraId="541495C3">
            <w:pPr>
              <w:autoSpaceDE w:val="0"/>
              <w:autoSpaceDN w:val="0"/>
              <w:snapToGrid w:val="0"/>
              <w:spacing w:line="360" w:lineRule="auto"/>
              <w:textAlignment w:val="bottom"/>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2"/>
                <w:sz w:val="14"/>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szCs w:val="21"/>
              </w:rPr>
              <w:t>不适用</w:t>
            </w:r>
          </w:p>
        </w:tc>
      </w:tr>
      <w:tr w14:paraId="78E84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62D62821">
            <w:pPr>
              <w:contextualSpacing/>
              <w:jc w:val="center"/>
              <w:rPr>
                <w:szCs w:val="21"/>
              </w:rPr>
            </w:pPr>
            <w:r>
              <w:rPr>
                <w:rFonts w:hint="eastAsia" w:ascii="宋体" w:hAnsi="宋体" w:cs="宋体"/>
                <w:szCs w:val="21"/>
              </w:rPr>
              <w:t>26</w:t>
            </w:r>
          </w:p>
        </w:tc>
        <w:tc>
          <w:tcPr>
            <w:tcW w:w="1233" w:type="dxa"/>
            <w:tcBorders>
              <w:top w:val="single" w:color="auto" w:sz="4" w:space="0"/>
              <w:left w:val="single" w:color="auto" w:sz="4" w:space="0"/>
              <w:bottom w:val="single" w:color="auto" w:sz="4" w:space="0"/>
              <w:right w:val="single" w:color="auto" w:sz="4" w:space="0"/>
            </w:tcBorders>
            <w:vAlign w:val="center"/>
          </w:tcPr>
          <w:p w14:paraId="290163C7">
            <w:pPr>
              <w:contextualSpacing/>
              <w:jc w:val="center"/>
              <w:rPr>
                <w:szCs w:val="21"/>
              </w:rPr>
            </w:pPr>
            <w:r>
              <w:rPr>
                <w:rFonts w:hint="eastAsia" w:ascii="宋体" w:hAnsi="宋体" w:cs="宋体"/>
                <w:szCs w:val="21"/>
              </w:rPr>
              <w:t>履约保证金</w:t>
            </w:r>
          </w:p>
        </w:tc>
        <w:tc>
          <w:tcPr>
            <w:tcW w:w="7651" w:type="dxa"/>
            <w:tcBorders>
              <w:top w:val="single" w:color="auto" w:sz="4" w:space="0"/>
              <w:left w:val="single" w:color="auto" w:sz="4" w:space="0"/>
              <w:bottom w:val="single" w:color="auto" w:sz="4" w:space="0"/>
              <w:right w:val="single" w:color="auto" w:sz="4" w:space="0"/>
            </w:tcBorders>
            <w:vAlign w:val="center"/>
          </w:tcPr>
          <w:p w14:paraId="4361EA90">
            <w:pPr>
              <w:spacing w:line="400" w:lineRule="exact"/>
              <w:contextualSpacing/>
              <w:rPr>
                <w:rFonts w:ascii="宋体" w:hAnsi="宋体" w:cs="宋体"/>
                <w:szCs w:val="21"/>
                <w:highlight w:val="yellow"/>
              </w:rPr>
            </w:pPr>
            <w:r>
              <w:rPr>
                <w:rFonts w:hint="eastAsia" w:ascii="宋体" w:hAnsi="宋体" w:cs="宋体"/>
                <w:szCs w:val="21"/>
              </w:rPr>
              <w:t xml:space="preserve">是否需要履约保证金: </w:t>
            </w:r>
            <w:r>
              <w:rPr>
                <w:rFonts w:hint="eastAsia" w:ascii="宋体" w:hAnsi="宋体" w:cs="宋体"/>
                <w:szCs w:val="21"/>
              </w:rPr>
              <w:sym w:font="Wingdings" w:char="00FE"/>
            </w:r>
            <w:r>
              <w:rPr>
                <w:rFonts w:hint="eastAsia" w:ascii="宋体" w:hAnsi="宋体" w:cs="宋体"/>
                <w:szCs w:val="21"/>
              </w:rPr>
              <w:t>是</w:t>
            </w:r>
            <w:r>
              <w:rPr>
                <w:rFonts w:hint="eastAsia" w:ascii="宋体" w:hAnsi="宋体" w:cs="宋体"/>
                <w:szCs w:val="21"/>
              </w:rPr>
              <w:sym w:font="Wingdings" w:char="00A8"/>
            </w:r>
            <w:r>
              <w:rPr>
                <w:rFonts w:hint="eastAsia" w:ascii="宋体" w:hAnsi="宋体" w:cs="宋体"/>
                <w:szCs w:val="21"/>
              </w:rPr>
              <w:t>否,</w:t>
            </w:r>
            <w:r>
              <w:rPr>
                <w:rFonts w:hint="eastAsia" w:ascii="宋体" w:hAnsi="宋体" w:cs="宋体"/>
                <w:szCs w:val="21"/>
                <w:lang w:bidi="ar"/>
              </w:rPr>
              <w:t>履约保证金的数额不得超过政府采购合同金额的1%。</w:t>
            </w:r>
          </w:p>
        </w:tc>
      </w:tr>
      <w:tr w14:paraId="32B76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4"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71A4EB8C">
            <w:pPr>
              <w:snapToGrid w:val="0"/>
              <w:jc w:val="center"/>
              <w:rPr>
                <w:rFonts w:ascii="宋体" w:hAnsi="宋体" w:cs="宋体"/>
                <w:szCs w:val="21"/>
              </w:rPr>
            </w:pPr>
            <w:r>
              <w:rPr>
                <w:rFonts w:hint="eastAsia" w:ascii="宋体" w:hAnsi="宋体" w:cs="宋体"/>
                <w:szCs w:val="21"/>
              </w:rPr>
              <w:t>27</w:t>
            </w:r>
          </w:p>
        </w:tc>
        <w:tc>
          <w:tcPr>
            <w:tcW w:w="1233" w:type="dxa"/>
            <w:tcBorders>
              <w:top w:val="single" w:color="auto" w:sz="4" w:space="0"/>
              <w:left w:val="single" w:color="auto" w:sz="4" w:space="0"/>
              <w:bottom w:val="single" w:color="auto" w:sz="4" w:space="0"/>
              <w:right w:val="single" w:color="auto" w:sz="4" w:space="0"/>
            </w:tcBorders>
            <w:vAlign w:val="center"/>
          </w:tcPr>
          <w:p w14:paraId="79F04E59">
            <w:pPr>
              <w:snapToGrid w:val="0"/>
              <w:jc w:val="center"/>
              <w:rPr>
                <w:rFonts w:ascii="宋体" w:hAnsi="宋体" w:cs="宋体"/>
                <w:szCs w:val="21"/>
              </w:rPr>
            </w:pPr>
            <w:r>
              <w:rPr>
                <w:rFonts w:hint="eastAsia" w:ascii="宋体" w:hAnsi="宋体" w:cs="宋体"/>
                <w:szCs w:val="21"/>
              </w:rPr>
              <w:t>代理服务费</w:t>
            </w:r>
          </w:p>
        </w:tc>
        <w:tc>
          <w:tcPr>
            <w:tcW w:w="7651" w:type="dxa"/>
            <w:tcBorders>
              <w:top w:val="single" w:color="auto" w:sz="4" w:space="0"/>
              <w:left w:val="single" w:color="auto" w:sz="4" w:space="0"/>
              <w:bottom w:val="single" w:color="auto" w:sz="4" w:space="0"/>
              <w:right w:val="single" w:color="auto" w:sz="4" w:space="0"/>
            </w:tcBorders>
            <w:vAlign w:val="center"/>
          </w:tcPr>
          <w:p w14:paraId="7EFDD6FF">
            <w:pPr>
              <w:numPr>
                <w:ilvl w:val="0"/>
                <w:numId w:val="5"/>
              </w:numPr>
              <w:snapToGrid w:val="0"/>
              <w:spacing w:line="360" w:lineRule="auto"/>
              <w:ind w:left="630" w:hanging="210"/>
              <w:rPr>
                <w:rFonts w:ascii="宋体" w:hAnsi="宋体" w:cs="宋体"/>
                <w:szCs w:val="21"/>
              </w:rPr>
            </w:pPr>
            <w:r>
              <w:rPr>
                <w:rFonts w:hint="eastAsia" w:ascii="宋体" w:hAnsi="宋体" w:cs="宋体"/>
                <w:szCs w:val="21"/>
              </w:rPr>
              <w:t>本项目代理服务费为</w:t>
            </w:r>
            <w:r>
              <w:rPr>
                <w:rFonts w:hint="eastAsia" w:ascii="宋体" w:hAnsi="宋体" w:cs="宋体"/>
                <w:szCs w:val="21"/>
                <w:u w:val="single"/>
              </w:rPr>
              <w:t xml:space="preserve"> </w:t>
            </w:r>
            <w:r>
              <w:rPr>
                <w:rFonts w:hint="eastAsia" w:ascii="宋体" w:hAnsi="宋体" w:cs="宋体"/>
                <w:szCs w:val="21"/>
                <w:u w:val="single"/>
                <w:lang w:val="en-US" w:eastAsia="zh-CN"/>
              </w:rPr>
              <w:t>144833</w:t>
            </w:r>
            <w:r>
              <w:rPr>
                <w:rFonts w:hint="eastAsia" w:ascii="宋体" w:hAnsi="宋体" w:cs="宋体"/>
                <w:szCs w:val="21"/>
                <w:u w:val="single"/>
              </w:rPr>
              <w:t xml:space="preserve"> </w:t>
            </w:r>
            <w:r>
              <w:rPr>
                <w:rFonts w:hint="eastAsia" w:ascii="宋体" w:hAnsi="宋体" w:cs="宋体"/>
                <w:szCs w:val="21"/>
              </w:rPr>
              <w:t>元，由中标人支付。</w:t>
            </w:r>
          </w:p>
          <w:p w14:paraId="50768C06">
            <w:pPr>
              <w:snapToGrid w:val="0"/>
              <w:spacing w:line="360" w:lineRule="auto"/>
              <w:ind w:left="420" w:firstLine="420" w:firstLineChars="200"/>
              <w:rPr>
                <w:rFonts w:ascii="宋体" w:hAnsi="宋体" w:cs="宋体"/>
                <w:szCs w:val="21"/>
              </w:rPr>
            </w:pPr>
            <w:r>
              <w:rPr>
                <w:rFonts w:hint="eastAsia" w:ascii="宋体" w:hAnsi="宋体" w:cs="宋体"/>
                <w:szCs w:val="21"/>
              </w:rPr>
              <w:t>中标人应当自中标公告发布之日起5个工作日内一次性向采购代理机构支付代理服务费。</w:t>
            </w:r>
          </w:p>
          <w:p w14:paraId="4F6A205A">
            <w:pPr>
              <w:snapToGrid w:val="0"/>
              <w:spacing w:line="360" w:lineRule="auto"/>
              <w:rPr>
                <w:rFonts w:ascii="宋体" w:hAnsi="宋体" w:cs="宋体"/>
                <w:szCs w:val="21"/>
              </w:rPr>
            </w:pPr>
            <w:r>
              <w:rPr>
                <w:rFonts w:hint="eastAsia" w:ascii="宋体" w:hAnsi="宋体" w:cs="宋体"/>
                <w:szCs w:val="21"/>
              </w:rPr>
              <w:t>2、代理服务费支付：</w:t>
            </w:r>
          </w:p>
          <w:p w14:paraId="2E5F0F0A">
            <w:pPr>
              <w:snapToGrid w:val="0"/>
              <w:spacing w:line="360" w:lineRule="auto"/>
              <w:rPr>
                <w:rFonts w:ascii="宋体" w:hAnsi="宋体" w:cs="宋体"/>
                <w:szCs w:val="21"/>
              </w:rPr>
            </w:pPr>
            <w:r>
              <w:rPr>
                <w:rFonts w:hint="eastAsia" w:ascii="宋体" w:hAnsi="宋体" w:cs="宋体"/>
                <w:szCs w:val="21"/>
              </w:rPr>
              <w:t>① 代理服务费缴纳形式：汇票/支票/电汇/现金</w:t>
            </w:r>
          </w:p>
          <w:p w14:paraId="4D9FA8C0">
            <w:pPr>
              <w:snapToGrid w:val="0"/>
              <w:spacing w:line="360" w:lineRule="auto"/>
              <w:rPr>
                <w:rFonts w:ascii="宋体" w:hAnsi="宋体" w:cs="宋体"/>
                <w:szCs w:val="21"/>
              </w:rPr>
            </w:pPr>
            <w:r>
              <w:rPr>
                <w:rFonts w:hint="eastAsia" w:ascii="宋体" w:hAnsi="宋体" w:cs="宋体"/>
                <w:szCs w:val="21"/>
              </w:rPr>
              <w:t>② 代理服务费汇入以下账户 ：</w:t>
            </w:r>
          </w:p>
          <w:p w14:paraId="5FF98ED3">
            <w:pPr>
              <w:snapToGrid w:val="0"/>
              <w:spacing w:line="360" w:lineRule="auto"/>
              <w:ind w:left="420" w:firstLine="420" w:firstLineChars="200"/>
              <w:rPr>
                <w:rFonts w:ascii="宋体" w:hAnsi="宋体" w:cs="宋体"/>
                <w:szCs w:val="21"/>
              </w:rPr>
            </w:pPr>
            <w:r>
              <w:rPr>
                <w:rFonts w:hint="eastAsia" w:ascii="宋体" w:hAnsi="宋体" w:cs="宋体"/>
                <w:szCs w:val="21"/>
              </w:rPr>
              <w:t>收款单位:浙江省成套工程有限公司舟山分公司</w:t>
            </w:r>
          </w:p>
          <w:p w14:paraId="2010DC0F">
            <w:pPr>
              <w:snapToGrid w:val="0"/>
              <w:spacing w:line="360" w:lineRule="auto"/>
              <w:ind w:left="420" w:firstLine="420" w:firstLineChars="200"/>
              <w:rPr>
                <w:rFonts w:ascii="宋体" w:hAnsi="宋体" w:cs="宋体"/>
                <w:szCs w:val="21"/>
              </w:rPr>
            </w:pPr>
            <w:r>
              <w:rPr>
                <w:rFonts w:hint="eastAsia" w:ascii="宋体" w:hAnsi="宋体" w:cs="宋体"/>
                <w:szCs w:val="21"/>
              </w:rPr>
              <w:t>开户银行：台州银行舟山勾山小微企业专营支行</w:t>
            </w:r>
          </w:p>
          <w:p w14:paraId="7BC67793">
            <w:pPr>
              <w:snapToGrid w:val="0"/>
              <w:spacing w:line="360" w:lineRule="auto"/>
              <w:ind w:left="420" w:firstLine="420" w:firstLineChars="200"/>
              <w:rPr>
                <w:rFonts w:ascii="宋体" w:hAnsi="宋体" w:cs="宋体"/>
                <w:szCs w:val="21"/>
              </w:rPr>
            </w:pPr>
            <w:r>
              <w:rPr>
                <w:rFonts w:hint="eastAsia" w:ascii="宋体" w:hAnsi="宋体" w:cs="宋体"/>
                <w:szCs w:val="21"/>
              </w:rPr>
              <w:t>银行账号：551107816300015</w:t>
            </w:r>
          </w:p>
          <w:p w14:paraId="711C23AA">
            <w:pPr>
              <w:autoSpaceDE w:val="0"/>
              <w:autoSpaceDN w:val="0"/>
              <w:snapToGrid w:val="0"/>
              <w:spacing w:line="360" w:lineRule="auto"/>
              <w:ind w:left="315" w:hanging="315" w:hangingChars="150"/>
              <w:textAlignment w:val="bottom"/>
              <w:rPr>
                <w:rFonts w:ascii="宋体" w:hAnsi="宋体" w:cs="宋体"/>
                <w:b/>
                <w:szCs w:val="21"/>
              </w:rPr>
            </w:pPr>
            <w:r>
              <w:rPr>
                <w:rFonts w:hint="eastAsia" w:ascii="宋体" w:hAnsi="宋体" w:cs="宋体"/>
                <w:szCs w:val="21"/>
              </w:rPr>
              <w:t>3、</w:t>
            </w:r>
            <w:r>
              <w:rPr>
                <w:rFonts w:hint="eastAsia" w:ascii="宋体" w:hAnsi="宋体" w:cs="宋体"/>
                <w:b/>
                <w:szCs w:val="21"/>
              </w:rPr>
              <w:t>发票开票资料：单位名称、税号（统一社会信用代码）、开户行名称、账号、地址及联系电话。</w:t>
            </w:r>
          </w:p>
          <w:p w14:paraId="56946B83">
            <w:pPr>
              <w:autoSpaceDE w:val="0"/>
              <w:autoSpaceDN w:val="0"/>
              <w:snapToGrid w:val="0"/>
              <w:spacing w:line="360" w:lineRule="auto"/>
              <w:ind w:left="316" w:hanging="316" w:hangingChars="150"/>
              <w:textAlignment w:val="bottom"/>
              <w:rPr>
                <w:rFonts w:ascii="宋体" w:hAnsi="宋体" w:cs="宋体"/>
                <w:b/>
                <w:szCs w:val="21"/>
              </w:rPr>
            </w:pPr>
            <w:r>
              <w:rPr>
                <w:b/>
                <w:szCs w:val="21"/>
              </w:rPr>
              <w:t>备注：代理服务费在报价表中不单列报价子项，由</w:t>
            </w:r>
            <w:r>
              <w:rPr>
                <w:rFonts w:hint="eastAsia"/>
                <w:b/>
                <w:szCs w:val="21"/>
              </w:rPr>
              <w:t>投标人</w:t>
            </w:r>
            <w:r>
              <w:rPr>
                <w:b/>
                <w:szCs w:val="21"/>
              </w:rPr>
              <w:t>自行考虑在</w:t>
            </w:r>
            <w:r>
              <w:rPr>
                <w:rFonts w:hint="eastAsia"/>
                <w:b/>
                <w:szCs w:val="21"/>
              </w:rPr>
              <w:t>企业</w:t>
            </w:r>
            <w:r>
              <w:rPr>
                <w:b/>
                <w:szCs w:val="21"/>
              </w:rPr>
              <w:t>运营成本等或各投标报价中。</w:t>
            </w:r>
          </w:p>
        </w:tc>
      </w:tr>
      <w:tr w14:paraId="46240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67625EAC">
            <w:pPr>
              <w:snapToGrid w:val="0"/>
              <w:jc w:val="center"/>
              <w:rPr>
                <w:rFonts w:ascii="宋体" w:hAnsi="宋体" w:cs="宋体"/>
                <w:szCs w:val="21"/>
              </w:rPr>
            </w:pPr>
            <w:r>
              <w:rPr>
                <w:rFonts w:hint="eastAsia" w:ascii="宋体" w:hAnsi="宋体" w:cs="宋体"/>
                <w:szCs w:val="21"/>
              </w:rPr>
              <w:t>28</w:t>
            </w:r>
          </w:p>
        </w:tc>
        <w:tc>
          <w:tcPr>
            <w:tcW w:w="1233" w:type="dxa"/>
            <w:tcBorders>
              <w:top w:val="single" w:color="auto" w:sz="4" w:space="0"/>
              <w:left w:val="single" w:color="auto" w:sz="4" w:space="0"/>
              <w:bottom w:val="single" w:color="auto" w:sz="4" w:space="0"/>
              <w:right w:val="single" w:color="auto" w:sz="4" w:space="0"/>
            </w:tcBorders>
            <w:vAlign w:val="center"/>
          </w:tcPr>
          <w:p w14:paraId="7E0122E8">
            <w:pPr>
              <w:snapToGrid w:val="0"/>
              <w:jc w:val="center"/>
              <w:rPr>
                <w:rFonts w:ascii="宋体" w:hAnsi="宋体" w:cs="宋体"/>
                <w:szCs w:val="21"/>
              </w:rPr>
            </w:pPr>
            <w:r>
              <w:rPr>
                <w:rFonts w:hint="eastAsia" w:ascii="宋体" w:hAnsi="宋体" w:cs="宋体"/>
                <w:szCs w:val="21"/>
              </w:rPr>
              <w:t>解释权</w:t>
            </w:r>
          </w:p>
        </w:tc>
        <w:tc>
          <w:tcPr>
            <w:tcW w:w="7651" w:type="dxa"/>
            <w:tcBorders>
              <w:top w:val="single" w:color="auto" w:sz="4" w:space="0"/>
              <w:left w:val="single" w:color="auto" w:sz="4" w:space="0"/>
              <w:bottom w:val="single" w:color="auto" w:sz="4" w:space="0"/>
              <w:right w:val="single" w:color="auto" w:sz="4" w:space="0"/>
            </w:tcBorders>
            <w:vAlign w:val="center"/>
          </w:tcPr>
          <w:p w14:paraId="32A9BFE7">
            <w:pPr>
              <w:autoSpaceDE w:val="0"/>
              <w:autoSpaceDN w:val="0"/>
              <w:snapToGrid w:val="0"/>
              <w:spacing w:line="360" w:lineRule="auto"/>
              <w:textAlignment w:val="bottom"/>
              <w:rPr>
                <w:rFonts w:ascii="宋体" w:hAnsi="宋体" w:cs="宋体"/>
                <w:szCs w:val="21"/>
              </w:rPr>
            </w:pPr>
            <w:r>
              <w:rPr>
                <w:rFonts w:hint="eastAsia" w:ascii="宋体" w:hAnsi="宋体" w:cs="宋体"/>
                <w:szCs w:val="21"/>
              </w:rPr>
              <w:t>本招标文件的解释权属于采购人和采购代理机构。</w:t>
            </w:r>
          </w:p>
        </w:tc>
      </w:tr>
      <w:tr w14:paraId="309CC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4"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6652EDDE">
            <w:pPr>
              <w:snapToGrid w:val="0"/>
              <w:jc w:val="center"/>
              <w:rPr>
                <w:rFonts w:ascii="宋体" w:hAnsi="宋体" w:cs="宋体"/>
                <w:szCs w:val="21"/>
              </w:rPr>
            </w:pPr>
            <w:r>
              <w:rPr>
                <w:rFonts w:hint="eastAsia" w:ascii="宋体" w:hAnsi="宋体" w:cs="宋体"/>
                <w:szCs w:val="21"/>
              </w:rPr>
              <w:t>29</w:t>
            </w:r>
          </w:p>
        </w:tc>
        <w:tc>
          <w:tcPr>
            <w:tcW w:w="1233" w:type="dxa"/>
            <w:tcBorders>
              <w:top w:val="single" w:color="auto" w:sz="4" w:space="0"/>
              <w:left w:val="single" w:color="auto" w:sz="4" w:space="0"/>
              <w:bottom w:val="single" w:color="auto" w:sz="4" w:space="0"/>
              <w:right w:val="single" w:color="auto" w:sz="4" w:space="0"/>
            </w:tcBorders>
            <w:vAlign w:val="center"/>
          </w:tcPr>
          <w:p w14:paraId="5281EBC8">
            <w:pPr>
              <w:snapToGrid w:val="0"/>
              <w:jc w:val="center"/>
              <w:rPr>
                <w:rFonts w:ascii="宋体" w:hAnsi="宋体" w:cs="宋体"/>
                <w:szCs w:val="21"/>
              </w:rPr>
            </w:pPr>
            <w:r>
              <w:rPr>
                <w:rFonts w:hint="eastAsia" w:ascii="宋体" w:hAnsi="宋体" w:cs="宋体"/>
                <w:szCs w:val="21"/>
              </w:rPr>
              <w:t>政采贷</w:t>
            </w:r>
          </w:p>
        </w:tc>
        <w:tc>
          <w:tcPr>
            <w:tcW w:w="7651" w:type="dxa"/>
            <w:tcBorders>
              <w:top w:val="single" w:color="auto" w:sz="4" w:space="0"/>
              <w:left w:val="single" w:color="auto" w:sz="4" w:space="0"/>
              <w:bottom w:val="single" w:color="auto" w:sz="4" w:space="0"/>
              <w:right w:val="single" w:color="auto" w:sz="4" w:space="0"/>
            </w:tcBorders>
          </w:tcPr>
          <w:p w14:paraId="57EA43A8">
            <w:pPr>
              <w:spacing w:line="360" w:lineRule="auto"/>
              <w:contextualSpacing/>
              <w:rPr>
                <w:rFonts w:ascii="宋体" w:hAnsi="宋体" w:cs="宋体"/>
                <w:b/>
                <w:bCs/>
                <w:szCs w:val="21"/>
              </w:rPr>
            </w:pPr>
            <w:r>
              <w:rPr>
                <w:rFonts w:hint="eastAsia" w:ascii="宋体" w:hAnsi="宋体" w:cs="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w:t>
            </w:r>
            <w:r>
              <w:rPr>
                <w:rFonts w:hint="eastAsia" w:ascii="宋体" w:hAnsi="宋体" w:cs="宋体"/>
                <w:b/>
                <w:bCs/>
                <w:szCs w:val="21"/>
              </w:rPr>
              <w:t>有关的合作银行详见第七章其它“三、政采贷”。</w:t>
            </w:r>
          </w:p>
          <w:p w14:paraId="3C233D5A">
            <w:pPr>
              <w:spacing w:line="360" w:lineRule="auto"/>
              <w:jc w:val="left"/>
              <w:rPr>
                <w:rFonts w:ascii="宋体" w:hAnsi="宋体" w:cs="宋体"/>
                <w:szCs w:val="21"/>
              </w:rPr>
            </w:pPr>
            <w:r>
              <w:rPr>
                <w:rFonts w:hint="eastAsia" w:ascii="宋体" w:hAnsi="宋体" w:cs="宋体"/>
                <w:szCs w:val="21"/>
              </w:rPr>
              <w:t>（2）投标人中标后也可在“政采云”平台申请政采贷：操作路径：登录政采云平台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bl>
    <w:p w14:paraId="78E867FD">
      <w:pPr>
        <w:spacing w:line="360" w:lineRule="auto"/>
        <w:rPr>
          <w:rFonts w:ascii="宋体" w:hAnsi="宋体" w:cs="宋体"/>
        </w:rPr>
      </w:pPr>
    </w:p>
    <w:p w14:paraId="58226EDE">
      <w:pPr>
        <w:pStyle w:val="73"/>
        <w:rPr>
          <w:rFonts w:ascii="宋体" w:hAnsi="宋体" w:cs="宋体"/>
        </w:rPr>
      </w:pPr>
    </w:p>
    <w:p w14:paraId="5EFFFC3A">
      <w:pPr>
        <w:pStyle w:val="74"/>
        <w:rPr>
          <w:rFonts w:ascii="宋体" w:hAnsi="宋体" w:cs="宋体"/>
        </w:rPr>
      </w:pPr>
    </w:p>
    <w:p w14:paraId="233BC988">
      <w:pPr>
        <w:rPr>
          <w:rFonts w:ascii="宋体" w:hAnsi="宋体" w:cs="宋体"/>
        </w:rPr>
      </w:pPr>
    </w:p>
    <w:p w14:paraId="23C683BB">
      <w:pPr>
        <w:rPr>
          <w:rFonts w:ascii="宋体" w:hAnsi="宋体" w:cs="宋体"/>
        </w:rPr>
      </w:pPr>
    </w:p>
    <w:p w14:paraId="251A445C">
      <w:pPr>
        <w:rPr>
          <w:rFonts w:ascii="宋体" w:hAnsi="宋体" w:cs="宋体"/>
        </w:rPr>
      </w:pPr>
    </w:p>
    <w:p w14:paraId="52093FFF">
      <w:pPr>
        <w:rPr>
          <w:rFonts w:ascii="宋体" w:hAnsi="宋体" w:cs="宋体"/>
        </w:rPr>
      </w:pPr>
    </w:p>
    <w:p w14:paraId="36687EFE">
      <w:pPr>
        <w:rPr>
          <w:rFonts w:ascii="宋体" w:hAnsi="宋体" w:cs="宋体"/>
        </w:rPr>
      </w:pPr>
    </w:p>
    <w:p w14:paraId="0F9AD6C4">
      <w:pPr>
        <w:rPr>
          <w:rFonts w:ascii="宋体" w:hAnsi="宋体" w:cs="宋体"/>
        </w:rPr>
      </w:pPr>
    </w:p>
    <w:p w14:paraId="4B399ADB">
      <w:pPr>
        <w:rPr>
          <w:rFonts w:ascii="宋体" w:hAnsi="宋体" w:cs="宋体"/>
        </w:rPr>
      </w:pPr>
    </w:p>
    <w:p w14:paraId="690375DD">
      <w:pPr>
        <w:rPr>
          <w:rFonts w:ascii="宋体" w:hAnsi="宋体" w:cs="宋体"/>
        </w:rPr>
      </w:pPr>
    </w:p>
    <w:p w14:paraId="70130966">
      <w:pPr>
        <w:rPr>
          <w:rFonts w:ascii="宋体" w:hAnsi="宋体" w:cs="宋体"/>
        </w:rPr>
      </w:pPr>
    </w:p>
    <w:p w14:paraId="29CC313B">
      <w:pPr>
        <w:rPr>
          <w:rFonts w:ascii="宋体" w:hAnsi="宋体" w:cs="宋体"/>
        </w:rPr>
      </w:pPr>
    </w:p>
    <w:p w14:paraId="72604155">
      <w:pPr>
        <w:rPr>
          <w:rFonts w:ascii="宋体" w:hAnsi="宋体" w:cs="宋体"/>
        </w:rPr>
      </w:pPr>
    </w:p>
    <w:p w14:paraId="148B4D47">
      <w:pPr>
        <w:rPr>
          <w:rFonts w:ascii="宋体" w:hAnsi="宋体" w:cs="宋体"/>
        </w:rPr>
      </w:pPr>
    </w:p>
    <w:p w14:paraId="6FF2BC61">
      <w:pPr>
        <w:rPr>
          <w:rFonts w:ascii="宋体" w:hAnsi="宋体" w:cs="宋体"/>
        </w:rPr>
      </w:pPr>
    </w:p>
    <w:p w14:paraId="711C8B94">
      <w:pPr>
        <w:rPr>
          <w:rFonts w:ascii="宋体" w:hAnsi="宋体" w:cs="宋体"/>
        </w:rPr>
      </w:pPr>
    </w:p>
    <w:p w14:paraId="0A04710B">
      <w:pPr>
        <w:rPr>
          <w:rFonts w:ascii="宋体" w:hAnsi="宋体" w:cs="宋体"/>
        </w:rPr>
      </w:pPr>
    </w:p>
    <w:p w14:paraId="03807125">
      <w:pPr>
        <w:rPr>
          <w:rFonts w:ascii="宋体" w:hAnsi="宋体" w:cs="宋体"/>
        </w:rPr>
      </w:pPr>
    </w:p>
    <w:p w14:paraId="5181A7AA">
      <w:pPr>
        <w:rPr>
          <w:rFonts w:ascii="宋体" w:hAnsi="宋体" w:cs="宋体"/>
        </w:rPr>
      </w:pPr>
    </w:p>
    <w:p w14:paraId="323F8271">
      <w:pPr>
        <w:rPr>
          <w:rFonts w:ascii="宋体" w:hAnsi="宋体" w:cs="宋体"/>
        </w:rPr>
      </w:pPr>
    </w:p>
    <w:p w14:paraId="0FA7F358">
      <w:pPr>
        <w:rPr>
          <w:rFonts w:ascii="宋体" w:hAnsi="宋体" w:cs="宋体"/>
        </w:rPr>
      </w:pPr>
    </w:p>
    <w:p w14:paraId="31994C44">
      <w:pPr>
        <w:rPr>
          <w:rFonts w:ascii="宋体" w:hAnsi="宋体" w:cs="宋体"/>
        </w:rPr>
      </w:pPr>
    </w:p>
    <w:p w14:paraId="5D8CE533">
      <w:pPr>
        <w:rPr>
          <w:rFonts w:ascii="宋体" w:hAnsi="宋体" w:cs="宋体"/>
        </w:rPr>
      </w:pPr>
    </w:p>
    <w:p w14:paraId="78E4CB3B">
      <w:pPr>
        <w:rPr>
          <w:rFonts w:ascii="宋体" w:hAnsi="宋体" w:cs="宋体"/>
        </w:rPr>
      </w:pPr>
    </w:p>
    <w:p w14:paraId="5C5F4DCA">
      <w:pPr>
        <w:rPr>
          <w:rFonts w:ascii="宋体" w:hAnsi="宋体" w:cs="宋体"/>
        </w:rPr>
      </w:pPr>
    </w:p>
    <w:p w14:paraId="1713CE42">
      <w:pPr>
        <w:rPr>
          <w:rFonts w:ascii="宋体" w:hAnsi="宋体" w:cs="宋体"/>
        </w:rPr>
      </w:pPr>
    </w:p>
    <w:p w14:paraId="073C14EB">
      <w:pPr>
        <w:rPr>
          <w:rFonts w:ascii="宋体" w:hAnsi="宋体" w:cs="宋体"/>
        </w:rPr>
      </w:pPr>
    </w:p>
    <w:p w14:paraId="47409828">
      <w:pPr>
        <w:rPr>
          <w:rFonts w:ascii="宋体" w:hAnsi="宋体" w:cs="宋体"/>
        </w:rPr>
      </w:pPr>
    </w:p>
    <w:p w14:paraId="24A55694">
      <w:pPr>
        <w:rPr>
          <w:rFonts w:ascii="宋体" w:hAnsi="宋体" w:cs="宋体"/>
        </w:rPr>
      </w:pPr>
    </w:p>
    <w:p w14:paraId="368FB362">
      <w:pPr>
        <w:rPr>
          <w:rFonts w:ascii="宋体" w:hAnsi="宋体" w:cs="宋体"/>
        </w:rPr>
      </w:pPr>
    </w:p>
    <w:p w14:paraId="6179FD39">
      <w:pPr>
        <w:rPr>
          <w:rFonts w:ascii="宋体" w:hAnsi="宋体" w:cs="宋体"/>
        </w:rPr>
      </w:pPr>
    </w:p>
    <w:p w14:paraId="64BE3B74">
      <w:pPr>
        <w:rPr>
          <w:rFonts w:ascii="宋体" w:hAnsi="宋体" w:cs="宋体"/>
        </w:rPr>
      </w:pPr>
    </w:p>
    <w:p w14:paraId="7CB117D5">
      <w:pPr>
        <w:pStyle w:val="32"/>
        <w:snapToGrid w:val="0"/>
        <w:spacing w:before="312" w:beforeLines="100" w:after="312" w:afterLines="100" w:line="360" w:lineRule="auto"/>
        <w:ind w:left="701" w:hanging="281"/>
        <w:jc w:val="center"/>
        <w:outlineLvl w:val="1"/>
        <w:rPr>
          <w:rFonts w:ascii="黑体" w:hAnsi="黑体" w:eastAsia="黑体" w:cs="黑体"/>
          <w:b/>
          <w:sz w:val="28"/>
          <w:szCs w:val="28"/>
        </w:rPr>
      </w:pPr>
      <w:r>
        <w:rPr>
          <w:rFonts w:hint="eastAsia" w:ascii="黑体" w:hAnsi="黑体" w:eastAsia="黑体" w:cs="黑体"/>
          <w:b/>
          <w:sz w:val="28"/>
          <w:szCs w:val="28"/>
        </w:rPr>
        <w:t>一、总  则</w:t>
      </w:r>
    </w:p>
    <w:p w14:paraId="0EA3ED68">
      <w:pPr>
        <w:snapToGrid w:val="0"/>
        <w:spacing w:line="360" w:lineRule="auto"/>
        <w:ind w:left="420" w:firstLine="354" w:firstLineChars="147"/>
        <w:jc w:val="left"/>
        <w:outlineLvl w:val="2"/>
        <w:rPr>
          <w:rFonts w:ascii="黑体" w:hAnsi="黑体" w:eastAsia="黑体" w:cs="黑体"/>
          <w:b/>
          <w:sz w:val="24"/>
        </w:rPr>
      </w:pPr>
      <w:r>
        <w:rPr>
          <w:rFonts w:hint="eastAsia" w:ascii="黑体" w:hAnsi="黑体" w:eastAsia="黑体" w:cs="黑体"/>
          <w:b/>
          <w:sz w:val="24"/>
        </w:rPr>
        <w:t>（一） 适用范围</w:t>
      </w:r>
    </w:p>
    <w:p w14:paraId="7103CEC0">
      <w:pPr>
        <w:snapToGrid w:val="0"/>
        <w:spacing w:line="360" w:lineRule="auto"/>
        <w:ind w:left="420" w:firstLine="420" w:firstLineChars="200"/>
        <w:jc w:val="left"/>
        <w:rPr>
          <w:rFonts w:ascii="宋体" w:hAnsi="宋体" w:cs="宋体"/>
          <w:szCs w:val="21"/>
        </w:rPr>
      </w:pPr>
      <w:r>
        <w:rPr>
          <w:rFonts w:hint="eastAsia" w:ascii="宋体" w:hAnsi="宋体" w:cs="宋体"/>
          <w:szCs w:val="21"/>
        </w:rPr>
        <w:t>本招标文件适用于本次采购项目的采购、投标、评标、定标、验收、合同履约、付款等行为（法律、法规另有规定的，从其规定）。</w:t>
      </w:r>
    </w:p>
    <w:p w14:paraId="66FA780C">
      <w:pPr>
        <w:snapToGrid w:val="0"/>
        <w:spacing w:line="360" w:lineRule="auto"/>
        <w:ind w:left="420" w:firstLine="354" w:firstLineChars="147"/>
        <w:jc w:val="left"/>
        <w:outlineLvl w:val="2"/>
        <w:rPr>
          <w:rFonts w:ascii="黑体" w:hAnsi="黑体" w:eastAsia="黑体" w:cs="黑体"/>
          <w:b/>
          <w:sz w:val="24"/>
        </w:rPr>
      </w:pPr>
      <w:r>
        <w:rPr>
          <w:rFonts w:hint="eastAsia" w:ascii="黑体" w:hAnsi="黑体" w:eastAsia="黑体" w:cs="黑体"/>
          <w:b/>
          <w:sz w:val="24"/>
        </w:rPr>
        <w:t>（二）定义</w:t>
      </w:r>
    </w:p>
    <w:p w14:paraId="033084C3">
      <w:pPr>
        <w:spacing w:line="360" w:lineRule="auto"/>
        <w:ind w:left="420" w:firstLine="420" w:firstLineChars="200"/>
        <w:rPr>
          <w:rFonts w:ascii="Calibri" w:hAnsi="Calibri"/>
        </w:rPr>
      </w:pPr>
      <w:r>
        <w:rPr>
          <w:rFonts w:hint="eastAsia" w:ascii="宋体" w:hAnsi="宋体" w:cs="宋体"/>
          <w:szCs w:val="21"/>
        </w:rPr>
        <w:t>1.</w:t>
      </w:r>
      <w:r>
        <w:rPr>
          <w:rFonts w:ascii="Calibri" w:hAnsi="Calibri"/>
        </w:rPr>
        <w:t>采购人：是指依法进行政府采购的国家机关、事业单位、团体组织。</w:t>
      </w:r>
    </w:p>
    <w:p w14:paraId="285917BA">
      <w:pPr>
        <w:snapToGrid w:val="0"/>
        <w:spacing w:line="360" w:lineRule="auto"/>
        <w:ind w:left="420" w:firstLine="420" w:firstLineChars="200"/>
        <w:jc w:val="left"/>
        <w:rPr>
          <w:rFonts w:ascii="Calibri" w:hAnsi="Calibri"/>
        </w:rPr>
      </w:pPr>
      <w:r>
        <w:rPr>
          <w:rFonts w:hint="eastAsia" w:ascii="宋体" w:hAnsi="宋体" w:cs="宋体"/>
          <w:szCs w:val="21"/>
        </w:rPr>
        <w:t>2.</w:t>
      </w:r>
      <w:r>
        <w:rPr>
          <w:rFonts w:ascii="Calibri" w:hAnsi="Calibri"/>
        </w:rPr>
        <w:t>采购代理机构：受采购人委托，在委托的范围内办理政府采购事宜的机构</w:t>
      </w:r>
      <w:r>
        <w:rPr>
          <w:rFonts w:hint="eastAsia" w:ascii="Calibri" w:hAnsi="Calibri"/>
        </w:rPr>
        <w:t>。</w:t>
      </w:r>
    </w:p>
    <w:p w14:paraId="7B4ECB2E">
      <w:pPr>
        <w:snapToGrid w:val="0"/>
        <w:spacing w:line="360" w:lineRule="auto"/>
        <w:ind w:left="420" w:firstLine="420" w:firstLineChars="200"/>
        <w:jc w:val="left"/>
        <w:rPr>
          <w:rFonts w:ascii="宋体" w:hAnsi="宋体" w:cs="宋体"/>
          <w:szCs w:val="21"/>
        </w:rPr>
      </w:pPr>
      <w:r>
        <w:rPr>
          <w:rFonts w:hint="eastAsia" w:ascii="宋体" w:hAnsi="宋体" w:cs="宋体"/>
          <w:szCs w:val="21"/>
        </w:rPr>
        <w:t>3.投标人：是指响应招标、参加投标竞争的法人、其它组织或自然人，也称供应商。</w:t>
      </w:r>
    </w:p>
    <w:p w14:paraId="70EB31B1">
      <w:pPr>
        <w:snapToGrid w:val="0"/>
        <w:spacing w:line="360" w:lineRule="auto"/>
        <w:ind w:left="420" w:firstLine="420" w:firstLineChars="200"/>
        <w:jc w:val="left"/>
        <w:rPr>
          <w:rFonts w:ascii="宋体" w:hAnsi="宋体" w:cs="宋体"/>
          <w:szCs w:val="21"/>
        </w:rPr>
      </w:pPr>
      <w:r>
        <w:rPr>
          <w:rFonts w:hint="eastAsia" w:ascii="宋体" w:hAnsi="宋体" w:cs="宋体"/>
          <w:szCs w:val="21"/>
        </w:rPr>
        <w:t>4.投标人代表：是指参加本项目投标活动的投标人法定代表人（负责人）或授权代表。</w:t>
      </w:r>
    </w:p>
    <w:p w14:paraId="7680D5F1">
      <w:pPr>
        <w:adjustRightInd w:val="0"/>
        <w:snapToGrid w:val="0"/>
        <w:spacing w:line="360" w:lineRule="auto"/>
        <w:ind w:left="420" w:firstLine="420" w:firstLineChars="200"/>
        <w:rPr>
          <w:szCs w:val="21"/>
        </w:rPr>
      </w:pPr>
      <w:r>
        <w:rPr>
          <w:rFonts w:hint="eastAsia" w:ascii="宋体" w:hAnsi="宋体" w:cs="宋体"/>
          <w:szCs w:val="21"/>
        </w:rPr>
        <w:t>5.</w:t>
      </w:r>
      <w:r>
        <w:rPr>
          <w:rFonts w:hint="eastAsia"/>
          <w:szCs w:val="21"/>
          <w:lang w:bidi="ar"/>
        </w:rPr>
        <w:t>“书面形式”包括合同书、信件和数据电文(包括电报、电传、传真、电子数据交换和电子邮件)等可以有形地表现所载内容的形式。</w:t>
      </w:r>
    </w:p>
    <w:p w14:paraId="42FBA104">
      <w:pPr>
        <w:snapToGrid w:val="0"/>
        <w:spacing w:line="360" w:lineRule="auto"/>
        <w:ind w:left="420" w:firstLine="420" w:firstLineChars="200"/>
        <w:jc w:val="left"/>
        <w:rPr>
          <w:rFonts w:ascii="宋体" w:hAnsi="宋体" w:cs="宋体"/>
          <w:szCs w:val="21"/>
        </w:rPr>
      </w:pPr>
      <w:r>
        <w:rPr>
          <w:rFonts w:hint="eastAsia" w:ascii="宋体" w:hAnsi="宋体" w:cs="宋体"/>
          <w:szCs w:val="21"/>
        </w:rPr>
        <w:t>6.甲方：是指合同签订的一方，一般与采购人、用户相同。</w:t>
      </w:r>
    </w:p>
    <w:p w14:paraId="7CF80951">
      <w:pPr>
        <w:snapToGrid w:val="0"/>
        <w:spacing w:line="360" w:lineRule="auto"/>
        <w:ind w:left="420" w:firstLine="420" w:firstLineChars="200"/>
        <w:jc w:val="left"/>
        <w:rPr>
          <w:rFonts w:ascii="宋体" w:hAnsi="宋体" w:cs="宋体"/>
          <w:szCs w:val="21"/>
        </w:rPr>
      </w:pPr>
      <w:r>
        <w:rPr>
          <w:rFonts w:hint="eastAsia" w:ascii="宋体" w:hAnsi="宋体" w:cs="宋体"/>
          <w:szCs w:val="21"/>
        </w:rPr>
        <w:t>7.乙方：是指合同签订的另一方，与中标人相同。</w:t>
      </w:r>
    </w:p>
    <w:p w14:paraId="378A5DF1">
      <w:pPr>
        <w:snapToGrid w:val="0"/>
        <w:spacing w:line="360" w:lineRule="auto"/>
        <w:ind w:left="420" w:firstLine="420" w:firstLineChars="200"/>
        <w:jc w:val="left"/>
        <w:rPr>
          <w:rFonts w:ascii="宋体" w:hAnsi="宋体" w:cs="宋体"/>
          <w:szCs w:val="21"/>
        </w:rPr>
      </w:pPr>
      <w:r>
        <w:rPr>
          <w:rFonts w:hint="eastAsia" w:ascii="宋体" w:hAnsi="宋体" w:cs="宋体"/>
          <w:szCs w:val="21"/>
        </w:rPr>
        <w:t>8.“产品”系指供方按招标文件规定，须向采购人提供的一切设备、保险、税金、备品备件、工具、手册及其它有关技术资料和材料。</w:t>
      </w:r>
    </w:p>
    <w:p w14:paraId="00D5DBFB">
      <w:pPr>
        <w:snapToGrid w:val="0"/>
        <w:spacing w:line="360" w:lineRule="auto"/>
        <w:ind w:left="420" w:firstLine="420" w:firstLineChars="200"/>
        <w:jc w:val="left"/>
        <w:rPr>
          <w:rFonts w:ascii="宋体" w:hAnsi="宋体" w:cs="宋体"/>
          <w:szCs w:val="21"/>
        </w:rPr>
      </w:pPr>
      <w:r>
        <w:rPr>
          <w:rFonts w:hint="eastAsia" w:ascii="宋体" w:hAnsi="宋体" w:cs="宋体"/>
          <w:szCs w:val="21"/>
        </w:rPr>
        <w:t>9.“服务”系指招标文件规定投标人须承担的设计、制作、运输、保管、储存、交货、安装、调试、验收、技术协助、培训以及其他与本次供货有关的及其他类似义务。</w:t>
      </w:r>
    </w:p>
    <w:p w14:paraId="1F2CB8E1">
      <w:pPr>
        <w:snapToGrid w:val="0"/>
        <w:spacing w:line="360" w:lineRule="auto"/>
        <w:ind w:left="420" w:firstLine="420" w:firstLineChars="200"/>
        <w:jc w:val="left"/>
        <w:rPr>
          <w:rFonts w:ascii="宋体" w:hAnsi="宋体" w:cs="宋体"/>
          <w:szCs w:val="21"/>
        </w:rPr>
      </w:pPr>
      <w:r>
        <w:rPr>
          <w:rFonts w:hint="eastAsia" w:ascii="宋体" w:hAnsi="宋体" w:cs="宋体"/>
          <w:szCs w:val="21"/>
        </w:rPr>
        <w:t>10.“项目”系指投标人按招标文件规定向采购人提供的产品和服务。</w:t>
      </w:r>
    </w:p>
    <w:p w14:paraId="50C34E87">
      <w:pPr>
        <w:snapToGrid w:val="0"/>
        <w:spacing w:line="360" w:lineRule="auto"/>
        <w:ind w:left="420" w:firstLine="420" w:firstLineChars="200"/>
        <w:jc w:val="left"/>
        <w:rPr>
          <w:rFonts w:ascii="宋体" w:hAnsi="宋体" w:cs="宋体"/>
          <w:szCs w:val="21"/>
        </w:rPr>
      </w:pPr>
      <w:r>
        <w:rPr>
          <w:rFonts w:hint="eastAsia" w:ascii="宋体" w:hAnsi="宋体" w:cs="宋体"/>
          <w:szCs w:val="21"/>
        </w:rPr>
        <w:t>11</w:t>
      </w:r>
      <w:r>
        <w:rPr>
          <w:szCs w:val="21"/>
        </w:rPr>
        <w:t>.本文件中打“▲”号的条款系指实质性要求条款，不允许有负偏离或缺失，</w:t>
      </w:r>
      <w:r>
        <w:rPr>
          <w:rFonts w:hint="eastAsia"/>
          <w:szCs w:val="21"/>
        </w:rPr>
        <w:t>投标人</w:t>
      </w:r>
      <w:r>
        <w:rPr>
          <w:szCs w:val="21"/>
        </w:rPr>
        <w:t>必须满足，否则该投标将导致无效。打“★”条款为重要的参数指标或条款，打“</w:t>
      </w:r>
      <w:r>
        <w:rPr>
          <w:kern w:val="0"/>
          <w:szCs w:val="21"/>
        </w:rPr>
        <w:t>☆</w:t>
      </w:r>
      <w:r>
        <w:rPr>
          <w:szCs w:val="21"/>
        </w:rPr>
        <w:t>”的条款为次重要的参数指标或条款，</w:t>
      </w:r>
      <w:r>
        <w:rPr>
          <w:rFonts w:hint="eastAsia"/>
          <w:szCs w:val="21"/>
        </w:rPr>
        <w:t>招标文件</w:t>
      </w:r>
      <w:r>
        <w:rPr>
          <w:szCs w:val="21"/>
        </w:rPr>
        <w:t>中用“★”和“</w:t>
      </w:r>
      <w:r>
        <w:rPr>
          <w:kern w:val="0"/>
          <w:szCs w:val="21"/>
        </w:rPr>
        <w:t>☆</w:t>
      </w:r>
      <w:r>
        <w:rPr>
          <w:szCs w:val="21"/>
        </w:rPr>
        <w:t>”标注的条款不视作强制要求或必须满足的条件和资料，欢迎</w:t>
      </w:r>
      <w:r>
        <w:rPr>
          <w:rFonts w:hint="eastAsia"/>
          <w:szCs w:val="21"/>
        </w:rPr>
        <w:t>投标人</w:t>
      </w:r>
      <w:r>
        <w:rPr>
          <w:szCs w:val="21"/>
        </w:rPr>
        <w:t>使用同档次或性能高于招标参数的产品参与投标。</w:t>
      </w:r>
    </w:p>
    <w:p w14:paraId="1AE15EDA">
      <w:pPr>
        <w:snapToGrid w:val="0"/>
        <w:spacing w:line="360" w:lineRule="auto"/>
        <w:ind w:left="420" w:firstLine="472" w:firstLineChars="196"/>
        <w:jc w:val="left"/>
        <w:outlineLvl w:val="2"/>
        <w:rPr>
          <w:rFonts w:ascii="黑体" w:hAnsi="黑体" w:eastAsia="黑体" w:cs="黑体"/>
          <w:b/>
          <w:sz w:val="24"/>
        </w:rPr>
      </w:pPr>
      <w:r>
        <w:rPr>
          <w:rFonts w:hint="eastAsia" w:ascii="黑体" w:hAnsi="黑体" w:eastAsia="黑体" w:cs="黑体"/>
          <w:b/>
          <w:sz w:val="24"/>
        </w:rPr>
        <w:t>（三）采购方式</w:t>
      </w:r>
    </w:p>
    <w:p w14:paraId="196A69F6">
      <w:pPr>
        <w:snapToGrid w:val="0"/>
        <w:spacing w:line="360" w:lineRule="auto"/>
        <w:ind w:left="420" w:firstLine="420" w:firstLineChars="200"/>
        <w:jc w:val="left"/>
        <w:rPr>
          <w:rFonts w:ascii="宋体" w:hAnsi="宋体" w:cs="宋体"/>
          <w:szCs w:val="21"/>
        </w:rPr>
      </w:pPr>
      <w:r>
        <w:rPr>
          <w:rFonts w:hint="eastAsia" w:ascii="宋体" w:hAnsi="宋体" w:cs="宋体"/>
          <w:szCs w:val="21"/>
        </w:rPr>
        <w:t>本次采购项目采用公开招标方式进行。</w:t>
      </w:r>
    </w:p>
    <w:p w14:paraId="5B960347">
      <w:pPr>
        <w:snapToGrid w:val="0"/>
        <w:spacing w:line="360" w:lineRule="auto"/>
        <w:ind w:left="420" w:firstLine="472" w:firstLineChars="196"/>
        <w:jc w:val="left"/>
        <w:outlineLvl w:val="2"/>
        <w:rPr>
          <w:rFonts w:ascii="黑体" w:hAnsi="黑体" w:eastAsia="黑体" w:cs="黑体"/>
          <w:b/>
          <w:sz w:val="24"/>
        </w:rPr>
      </w:pPr>
      <w:r>
        <w:rPr>
          <w:rFonts w:hint="eastAsia" w:ascii="黑体" w:hAnsi="黑体" w:eastAsia="黑体" w:cs="黑体"/>
          <w:b/>
          <w:sz w:val="24"/>
        </w:rPr>
        <w:t>（四）投标委托</w:t>
      </w:r>
    </w:p>
    <w:p w14:paraId="0B08A935">
      <w:pPr>
        <w:pStyle w:val="24"/>
        <w:snapToGrid w:val="0"/>
        <w:spacing w:line="360" w:lineRule="auto"/>
        <w:ind w:left="420" w:firstLine="404" w:firstLineChars="200"/>
        <w:jc w:val="left"/>
        <w:rPr>
          <w:rFonts w:hAnsi="宋体" w:cs="宋体"/>
          <w:sz w:val="21"/>
          <w:szCs w:val="21"/>
        </w:rPr>
      </w:pPr>
      <w:r>
        <w:rPr>
          <w:rFonts w:hint="eastAsia" w:hAnsi="宋体" w:cs="宋体"/>
          <w:sz w:val="21"/>
          <w:szCs w:val="21"/>
        </w:rPr>
        <w:t>投标人代表参加开标活动时应当携带有效身份证件。如投标人代表不是法定代表人（负责人），投标文件应当提供法定代表人（负责人）出具的授权委托书（正本用原件，副本用复印件，格式见第六章）。</w:t>
      </w:r>
    </w:p>
    <w:p w14:paraId="5DEDC08C">
      <w:pPr>
        <w:snapToGrid w:val="0"/>
        <w:spacing w:line="360" w:lineRule="auto"/>
        <w:ind w:left="420" w:firstLine="472" w:firstLineChars="196"/>
        <w:jc w:val="left"/>
        <w:outlineLvl w:val="2"/>
        <w:rPr>
          <w:rFonts w:ascii="黑体" w:hAnsi="黑体" w:eastAsia="黑体" w:cs="黑体"/>
          <w:b/>
          <w:sz w:val="24"/>
        </w:rPr>
      </w:pPr>
      <w:r>
        <w:rPr>
          <w:rFonts w:hint="eastAsia" w:ascii="黑体" w:hAnsi="黑体" w:eastAsia="黑体" w:cs="黑体"/>
          <w:b/>
          <w:sz w:val="24"/>
        </w:rPr>
        <w:t>（五）投标费用</w:t>
      </w:r>
    </w:p>
    <w:p w14:paraId="6C711921">
      <w:pPr>
        <w:snapToGrid w:val="0"/>
        <w:spacing w:line="360" w:lineRule="auto"/>
        <w:ind w:left="420" w:firstLine="420" w:firstLineChars="200"/>
        <w:jc w:val="left"/>
        <w:rPr>
          <w:rFonts w:ascii="宋体" w:hAnsi="宋体" w:cs="宋体"/>
          <w:szCs w:val="21"/>
        </w:rPr>
      </w:pPr>
      <w:r>
        <w:rPr>
          <w:rFonts w:hint="eastAsia" w:ascii="宋体" w:hAnsi="宋体" w:cs="宋体"/>
          <w:szCs w:val="21"/>
        </w:rPr>
        <w:t>不论投标结果如何，投标人均应自行承担所有与投标有关的全部费用。</w:t>
      </w:r>
    </w:p>
    <w:p w14:paraId="66A1DAAE">
      <w:pPr>
        <w:snapToGrid w:val="0"/>
        <w:spacing w:line="360" w:lineRule="auto"/>
        <w:ind w:left="420" w:firstLine="472" w:firstLineChars="196"/>
        <w:jc w:val="left"/>
        <w:outlineLvl w:val="2"/>
        <w:rPr>
          <w:rFonts w:ascii="黑体" w:hAnsi="黑体" w:eastAsia="黑体" w:cs="黑体"/>
          <w:b/>
          <w:sz w:val="24"/>
        </w:rPr>
      </w:pPr>
      <w:r>
        <w:rPr>
          <w:rFonts w:hint="eastAsia" w:ascii="黑体" w:hAnsi="黑体" w:eastAsia="黑体" w:cs="黑体"/>
          <w:b/>
          <w:sz w:val="24"/>
        </w:rPr>
        <w:t>（六）联合体投标</w:t>
      </w:r>
    </w:p>
    <w:p w14:paraId="14766532">
      <w:pPr>
        <w:spacing w:line="360" w:lineRule="auto"/>
        <w:ind w:left="420" w:firstLine="420" w:firstLineChars="200"/>
        <w:rPr>
          <w:rFonts w:ascii="Calibri" w:hAnsi="Calibri"/>
        </w:rPr>
      </w:pPr>
      <w:r>
        <w:rPr>
          <w:rFonts w:ascii="Calibri" w:hAnsi="Calibri"/>
        </w:rPr>
        <w:t>以联合体形式参加本项目采购的，联合体的主办单位和成员单位均应当具备招标文件规定的供应商资格要求，并在投标文件中分别提供联合体的主办单位及成员单位的资格条件证明材料，在投标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2C3EFB41">
      <w:pPr>
        <w:spacing w:line="360" w:lineRule="auto"/>
        <w:ind w:left="420" w:firstLine="420" w:firstLineChars="200"/>
        <w:rPr>
          <w:rFonts w:ascii="Calibri" w:hAnsi="Calibri"/>
        </w:rPr>
      </w:pPr>
      <w:r>
        <w:rPr>
          <w:rFonts w:ascii="Calibri" w:hAnsi="Calibri"/>
        </w:rPr>
        <w:t>投标文件的报价表中应列明联合体各成员方的各自承担的内容及对应报价。</w:t>
      </w:r>
    </w:p>
    <w:p w14:paraId="464D950F">
      <w:pPr>
        <w:spacing w:line="360" w:lineRule="auto"/>
        <w:ind w:left="420" w:firstLine="420" w:firstLineChars="200"/>
        <w:rPr>
          <w:rFonts w:ascii="Calibri" w:hAnsi="Calibri"/>
        </w:rPr>
      </w:pPr>
      <w:r>
        <w:rPr>
          <w:rFonts w:ascii="Calibri" w:hAnsi="Calibri"/>
        </w:rPr>
        <w:t>投标文件盖章事宜，按联合协议书约定由主办单位盖章，也可由联合体所有成员单位盖章。</w:t>
      </w:r>
    </w:p>
    <w:p w14:paraId="5A56C48B">
      <w:pPr>
        <w:spacing w:line="360" w:lineRule="auto"/>
        <w:ind w:left="420" w:firstLine="420" w:firstLineChars="200"/>
        <w:rPr>
          <w:rFonts w:ascii="Calibri" w:hAnsi="Calibri"/>
        </w:rPr>
      </w:pPr>
      <w:r>
        <w:rPr>
          <w:rFonts w:ascii="Calibri" w:hAnsi="Calibri"/>
        </w:rPr>
        <w:t>联合体中标的，本项目的采购代理服务费由联合体主办单位缴纳，也可由联合体所有成员分摊缴纳。</w:t>
      </w:r>
    </w:p>
    <w:p w14:paraId="5395B2BA">
      <w:pPr>
        <w:spacing w:line="360" w:lineRule="auto"/>
        <w:ind w:left="420" w:firstLine="420" w:firstLineChars="200"/>
        <w:rPr>
          <w:rFonts w:ascii="宋体" w:hAnsi="宋体" w:cs="宋体"/>
          <w:i/>
          <w:szCs w:val="21"/>
        </w:rPr>
      </w:pPr>
      <w:r>
        <w:rPr>
          <w:rFonts w:ascii="Calibri" w:hAnsi="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投标文件将被作无效处理。</w:t>
      </w:r>
    </w:p>
    <w:p w14:paraId="4E82B588">
      <w:pPr>
        <w:snapToGrid w:val="0"/>
        <w:spacing w:line="360" w:lineRule="auto"/>
        <w:ind w:left="420" w:firstLine="472" w:firstLineChars="196"/>
        <w:outlineLvl w:val="2"/>
        <w:rPr>
          <w:rFonts w:ascii="黑体" w:hAnsi="黑体" w:eastAsia="黑体" w:cs="黑体"/>
          <w:b/>
          <w:kern w:val="0"/>
          <w:sz w:val="24"/>
        </w:rPr>
      </w:pPr>
      <w:r>
        <w:rPr>
          <w:rFonts w:hint="eastAsia" w:ascii="黑体" w:hAnsi="黑体" w:eastAsia="黑体" w:cs="黑体"/>
          <w:b/>
          <w:sz w:val="24"/>
        </w:rPr>
        <w:t>（七）</w:t>
      </w:r>
      <w:r>
        <w:rPr>
          <w:rFonts w:hint="eastAsia" w:ascii="黑体" w:hAnsi="黑体" w:eastAsia="黑体" w:cs="黑体"/>
          <w:b/>
          <w:kern w:val="0"/>
          <w:sz w:val="24"/>
        </w:rPr>
        <w:t>转包与分包</w:t>
      </w:r>
    </w:p>
    <w:p w14:paraId="626D3C89">
      <w:pPr>
        <w:snapToGrid w:val="0"/>
        <w:spacing w:line="360" w:lineRule="auto"/>
        <w:ind w:left="420" w:firstLine="420" w:firstLineChars="200"/>
        <w:rPr>
          <w:rFonts w:ascii="宋体" w:hAnsi="宋体" w:cs="宋体"/>
          <w:kern w:val="0"/>
          <w:szCs w:val="21"/>
        </w:rPr>
      </w:pPr>
      <w:r>
        <w:rPr>
          <w:rFonts w:hint="eastAsia" w:ascii="宋体" w:hAnsi="宋体" w:cs="宋体"/>
          <w:kern w:val="0"/>
          <w:szCs w:val="21"/>
        </w:rPr>
        <w:t>1.本项目不允许转包。</w:t>
      </w:r>
    </w:p>
    <w:p w14:paraId="494D6979">
      <w:pPr>
        <w:snapToGrid w:val="0"/>
        <w:spacing w:line="360" w:lineRule="auto"/>
        <w:ind w:left="420" w:firstLine="420" w:firstLineChars="200"/>
        <w:rPr>
          <w:kern w:val="0"/>
          <w:szCs w:val="21"/>
        </w:rPr>
      </w:pPr>
      <w:r>
        <w:rPr>
          <w:rFonts w:hint="eastAsia" w:ascii="宋体" w:hAnsi="宋体" w:cs="宋体"/>
          <w:kern w:val="0"/>
          <w:szCs w:val="21"/>
        </w:rPr>
        <w:t>2.</w:t>
      </w:r>
      <w:r>
        <w:rPr>
          <w:kern w:val="0"/>
          <w:szCs w:val="21"/>
        </w:rPr>
        <w:t>本项目</w:t>
      </w:r>
      <w:r>
        <w:rPr>
          <w:rFonts w:hint="eastAsia"/>
          <w:kern w:val="0"/>
          <w:szCs w:val="21"/>
          <w:highlight w:val="none"/>
        </w:rPr>
        <w:t>：</w:t>
      </w:r>
      <w:r>
        <w:rPr>
          <w:rFonts w:hint="eastAsia" w:ascii="宋体" w:hAnsi="宋体" w:cs="宋体"/>
          <w:szCs w:val="21"/>
          <w:highlight w:val="none"/>
        </w:rPr>
        <w:fldChar w:fldCharType="begin"/>
      </w:r>
      <w:r>
        <w:rPr>
          <w:rFonts w:hint="eastAsia" w:ascii="宋体" w:hAnsi="宋体" w:cs="宋体"/>
          <w:szCs w:val="21"/>
          <w:highlight w:val="none"/>
        </w:rPr>
        <w:instrText xml:space="preserve"> eq \o\ac(□)</w:instrText>
      </w:r>
      <w:r>
        <w:rPr>
          <w:rFonts w:hint="eastAsia" w:ascii="宋体" w:hAnsi="宋体" w:cs="宋体"/>
          <w:szCs w:val="21"/>
          <w:highlight w:val="none"/>
        </w:rPr>
        <w:fldChar w:fldCharType="end"/>
      </w:r>
      <w:r>
        <w:rPr>
          <w:rFonts w:hint="eastAsia"/>
          <w:kern w:val="0"/>
          <w:szCs w:val="21"/>
          <w:highlight w:val="none"/>
        </w:rPr>
        <w:t>不</w:t>
      </w:r>
      <w:r>
        <w:rPr>
          <w:kern w:val="0"/>
          <w:szCs w:val="21"/>
          <w:highlight w:val="none"/>
        </w:rPr>
        <w:t>允许分包</w:t>
      </w:r>
      <w:r>
        <w:rPr>
          <w:rFonts w:hint="eastAsia"/>
          <w:kern w:val="0"/>
          <w:szCs w:val="21"/>
          <w:highlight w:val="none"/>
        </w:rPr>
        <w:t>；</w:t>
      </w:r>
      <w:r>
        <w:rPr>
          <w:rFonts w:hint="eastAsia" w:ascii="宋体" w:hAnsi="宋体" w:cs="宋体"/>
          <w:szCs w:val="21"/>
          <w:highlight w:val="none"/>
        </w:rPr>
        <w:fldChar w:fldCharType="begin"/>
      </w:r>
      <w:r>
        <w:rPr>
          <w:rFonts w:hint="eastAsia" w:ascii="宋体" w:hAnsi="宋体" w:cs="宋体"/>
          <w:szCs w:val="21"/>
          <w:highlight w:val="none"/>
        </w:rPr>
        <w:instrText xml:space="preserve"> eq \o\ac(□,</w:instrText>
      </w:r>
      <w:r>
        <w:rPr>
          <w:rFonts w:hint="eastAsia" w:ascii="宋体" w:hAnsi="宋体" w:cs="宋体"/>
          <w:position w:val="2"/>
          <w:sz w:val="14"/>
          <w:szCs w:val="21"/>
          <w:highlight w:val="none"/>
        </w:rPr>
        <w:instrText xml:space="preserve">√</w:instrText>
      </w:r>
      <w:r>
        <w:rPr>
          <w:rFonts w:hint="eastAsia" w:ascii="宋体" w:hAnsi="宋体" w:cs="宋体"/>
          <w:szCs w:val="21"/>
          <w:highlight w:val="none"/>
        </w:rPr>
        <w:instrText xml:space="preserve">)</w:instrText>
      </w:r>
      <w:r>
        <w:rPr>
          <w:rFonts w:hint="eastAsia" w:ascii="宋体" w:hAnsi="宋体" w:cs="宋体"/>
          <w:szCs w:val="21"/>
          <w:highlight w:val="none"/>
        </w:rPr>
        <w:fldChar w:fldCharType="end"/>
      </w:r>
      <w:r>
        <w:rPr>
          <w:snapToGrid w:val="0"/>
          <w:highlight w:val="none"/>
        </w:rPr>
        <w:t>仅允许本项目中</w:t>
      </w:r>
      <w:r>
        <w:rPr>
          <w:rFonts w:hint="eastAsia"/>
          <w:snapToGrid w:val="0"/>
          <w:highlight w:val="none"/>
          <w:u w:val="single"/>
        </w:rPr>
        <w:t xml:space="preserve"> 节能改造部分 </w:t>
      </w:r>
      <w:r>
        <w:rPr>
          <w:snapToGrid w:val="0"/>
          <w:highlight w:val="none"/>
        </w:rPr>
        <w:t>内容向</w:t>
      </w:r>
      <w:r>
        <w:rPr>
          <w:rFonts w:hint="eastAsia"/>
          <w:snapToGrid w:val="0"/>
          <w:highlight w:val="none"/>
        </w:rPr>
        <w:t>中小</w:t>
      </w:r>
      <w:r>
        <w:rPr>
          <w:snapToGrid w:val="0"/>
          <w:highlight w:val="none"/>
        </w:rPr>
        <w:t>企业</w:t>
      </w:r>
      <w:r>
        <w:rPr>
          <w:snapToGrid w:val="0"/>
        </w:rPr>
        <w:t>合理分包，并在投标响应时明确具体的分包单位信息，否则视为未经采购人允许进行分包，其投标响应文件将被否决。</w:t>
      </w:r>
    </w:p>
    <w:p w14:paraId="24249E28">
      <w:pPr>
        <w:snapToGrid w:val="0"/>
        <w:spacing w:line="360" w:lineRule="auto"/>
        <w:ind w:left="420" w:firstLine="420" w:firstLineChars="200"/>
        <w:rPr>
          <w:kern w:val="0"/>
          <w:szCs w:val="21"/>
        </w:rPr>
      </w:pPr>
      <w:r>
        <w:rPr>
          <w:kern w:val="0"/>
          <w:szCs w:val="21"/>
        </w:rPr>
        <w:t>3. 中小企业享受扶持政策获得政府采购合同的，小微企业不得将合同分包给大中型企业，中型企业不得将合同分包给大型企业。</w:t>
      </w:r>
    </w:p>
    <w:p w14:paraId="7030E7F9">
      <w:pPr>
        <w:snapToGrid w:val="0"/>
        <w:spacing w:line="360" w:lineRule="auto"/>
        <w:ind w:left="420" w:firstLine="472" w:firstLineChars="196"/>
        <w:jc w:val="left"/>
        <w:outlineLvl w:val="2"/>
        <w:rPr>
          <w:rFonts w:ascii="黑体" w:hAnsi="黑体" w:eastAsia="黑体" w:cs="黑体"/>
          <w:b/>
          <w:sz w:val="24"/>
        </w:rPr>
      </w:pPr>
      <w:r>
        <w:rPr>
          <w:rFonts w:hint="eastAsia" w:ascii="黑体" w:hAnsi="黑体" w:eastAsia="黑体" w:cs="黑体"/>
          <w:b/>
          <w:sz w:val="24"/>
        </w:rPr>
        <w:t>（八）特别说明：</w:t>
      </w:r>
    </w:p>
    <w:p w14:paraId="147DDE3E">
      <w:pPr>
        <w:snapToGrid w:val="0"/>
        <w:spacing w:line="360" w:lineRule="auto"/>
        <w:ind w:left="420" w:firstLine="411" w:firstLineChars="196"/>
        <w:jc w:val="left"/>
        <w:rPr>
          <w:rFonts w:ascii="宋体" w:hAnsi="宋体" w:cs="宋体"/>
          <w:b/>
          <w:szCs w:val="21"/>
        </w:rPr>
      </w:pPr>
      <w:r>
        <w:rPr>
          <w:rFonts w:hint="eastAsia" w:ascii="宋体" w:hAnsi="宋体" w:cs="宋体"/>
          <w:kern w:val="0"/>
          <w:szCs w:val="21"/>
        </w:rPr>
        <w:t>1.</w:t>
      </w:r>
      <w:r>
        <w:rPr>
          <w:rFonts w:hint="eastAsia" w:ascii="宋体" w:hAnsi="宋体" w:cs="宋体"/>
          <w:szCs w:val="21"/>
        </w:rPr>
        <w:t>本次采购采用电子交易方式。</w:t>
      </w:r>
    </w:p>
    <w:p w14:paraId="0945FF0C">
      <w:pPr>
        <w:widowControl/>
        <w:snapToGrid w:val="0"/>
        <w:spacing w:line="360" w:lineRule="auto"/>
        <w:ind w:left="420" w:firstLine="420" w:firstLineChars="200"/>
        <w:jc w:val="left"/>
        <w:rPr>
          <w:rFonts w:ascii="宋体" w:hAnsi="宋体" w:cs="宋体"/>
          <w:kern w:val="0"/>
          <w:szCs w:val="21"/>
        </w:rPr>
      </w:pPr>
      <w:r>
        <w:rPr>
          <w:rFonts w:hint="eastAsia" w:ascii="宋体" w:hAnsi="宋体" w:cs="宋体"/>
          <w:kern w:val="0"/>
          <w:szCs w:val="21"/>
        </w:rPr>
        <w:t>2.</w:t>
      </w:r>
      <w:r>
        <w:rPr>
          <w:rFonts w:hint="eastAsia" w:ascii="宋体" w:hAnsi="宋体" w:cs="宋体"/>
          <w:szCs w:val="21"/>
        </w:rPr>
        <w:t>招标文件中指出的工艺、材料、设备、服务等标准以及推荐、参照的品牌或型号仅起说明作用，并没有任何限制性。投标人在投标中可以选用替代标准、品牌或型号，但这些替代要实质上满足或超过招标文件的要求。</w:t>
      </w:r>
    </w:p>
    <w:p w14:paraId="0E733749">
      <w:pPr>
        <w:widowControl/>
        <w:snapToGrid w:val="0"/>
        <w:spacing w:line="360" w:lineRule="auto"/>
        <w:ind w:left="420" w:firstLine="420" w:firstLineChars="200"/>
        <w:jc w:val="left"/>
        <w:rPr>
          <w:rFonts w:ascii="宋体" w:hAnsi="宋体" w:cs="宋体"/>
          <w:kern w:val="0"/>
          <w:szCs w:val="21"/>
        </w:rPr>
      </w:pPr>
      <w:r>
        <w:rPr>
          <w:rFonts w:hint="eastAsia" w:ascii="宋体" w:hAnsi="宋体" w:cs="宋体"/>
          <w:kern w:val="0"/>
          <w:szCs w:val="21"/>
        </w:rPr>
        <w:t>3.投标人应仔细阅读招标文件的所有内容，按照招标文件的要求提交投标文件，并对所提供的全部资料的真实性承担法律责任。</w:t>
      </w:r>
    </w:p>
    <w:p w14:paraId="31FFD08F">
      <w:pPr>
        <w:snapToGrid w:val="0"/>
        <w:spacing w:line="360" w:lineRule="auto"/>
        <w:ind w:left="420" w:firstLine="420" w:firstLineChars="200"/>
        <w:jc w:val="left"/>
        <w:rPr>
          <w:rFonts w:ascii="宋体" w:hAnsi="宋体" w:cs="宋体"/>
          <w:kern w:val="0"/>
          <w:szCs w:val="21"/>
        </w:rPr>
      </w:pPr>
      <w:r>
        <w:rPr>
          <w:rFonts w:hint="eastAsia" w:ascii="宋体" w:hAnsi="宋体" w:cs="宋体"/>
          <w:kern w:val="0"/>
          <w:szCs w:val="21"/>
        </w:rPr>
        <w:t>4.采购过程中出现以下情形，导致电子交易平台无法正常运行，或者无法保证电子交易的公平、公正和安全时，采购人（或代理机构）可中止电子交易活动：</w:t>
      </w:r>
    </w:p>
    <w:p w14:paraId="4A85CAB4">
      <w:pPr>
        <w:snapToGrid w:val="0"/>
        <w:spacing w:line="360" w:lineRule="auto"/>
        <w:ind w:left="420" w:firstLine="371" w:firstLineChars="177"/>
        <w:jc w:val="left"/>
        <w:rPr>
          <w:rFonts w:ascii="宋体" w:hAnsi="宋体" w:cs="宋体"/>
          <w:kern w:val="0"/>
          <w:szCs w:val="21"/>
        </w:rPr>
      </w:pPr>
      <w:r>
        <w:rPr>
          <w:rFonts w:hint="eastAsia" w:ascii="宋体" w:hAnsi="宋体" w:cs="宋体"/>
          <w:kern w:val="0"/>
          <w:szCs w:val="21"/>
        </w:rPr>
        <w:t xml:space="preserve">（1）电子交易平台发生故障而无法登录访问的； </w:t>
      </w:r>
    </w:p>
    <w:p w14:paraId="5F318AF2">
      <w:pPr>
        <w:snapToGrid w:val="0"/>
        <w:spacing w:line="360" w:lineRule="auto"/>
        <w:ind w:left="420" w:firstLine="371" w:firstLineChars="177"/>
        <w:jc w:val="left"/>
        <w:rPr>
          <w:rFonts w:ascii="宋体" w:hAnsi="宋体" w:cs="宋体"/>
          <w:kern w:val="0"/>
          <w:szCs w:val="21"/>
        </w:rPr>
      </w:pPr>
      <w:r>
        <w:rPr>
          <w:rFonts w:hint="eastAsia" w:ascii="宋体" w:hAnsi="宋体" w:cs="宋体"/>
          <w:kern w:val="0"/>
          <w:szCs w:val="21"/>
        </w:rPr>
        <w:t>（2）电子交易平台应用或数据库出现错误，不能进行正常操作的；</w:t>
      </w:r>
    </w:p>
    <w:p w14:paraId="35C68DE9">
      <w:pPr>
        <w:snapToGrid w:val="0"/>
        <w:spacing w:line="360" w:lineRule="auto"/>
        <w:ind w:left="420" w:firstLine="371" w:firstLineChars="177"/>
        <w:jc w:val="left"/>
        <w:rPr>
          <w:rFonts w:ascii="宋体" w:hAnsi="宋体" w:cs="宋体"/>
          <w:kern w:val="0"/>
          <w:szCs w:val="21"/>
        </w:rPr>
      </w:pPr>
      <w:r>
        <w:rPr>
          <w:rFonts w:hint="eastAsia" w:ascii="宋体" w:hAnsi="宋体" w:cs="宋体"/>
          <w:kern w:val="0"/>
          <w:szCs w:val="21"/>
        </w:rPr>
        <w:t>（3）电子交易平台发现严重安全漏洞，有潜在泄密危险的；</w:t>
      </w:r>
    </w:p>
    <w:p w14:paraId="0312905B">
      <w:pPr>
        <w:snapToGrid w:val="0"/>
        <w:spacing w:line="360" w:lineRule="auto"/>
        <w:ind w:left="420" w:firstLine="371" w:firstLineChars="177"/>
        <w:jc w:val="left"/>
        <w:rPr>
          <w:rFonts w:ascii="宋体" w:hAnsi="宋体" w:cs="宋体"/>
          <w:kern w:val="0"/>
          <w:szCs w:val="21"/>
        </w:rPr>
      </w:pPr>
      <w:r>
        <w:rPr>
          <w:rFonts w:hint="eastAsia" w:ascii="宋体" w:hAnsi="宋体" w:cs="宋体"/>
          <w:kern w:val="0"/>
          <w:szCs w:val="21"/>
        </w:rPr>
        <w:t>（4）病毒发作导致不能进行正常操作的；</w:t>
      </w:r>
    </w:p>
    <w:p w14:paraId="4584DA82">
      <w:pPr>
        <w:snapToGrid w:val="0"/>
        <w:spacing w:line="360" w:lineRule="auto"/>
        <w:ind w:left="420" w:firstLine="371" w:firstLineChars="177"/>
        <w:jc w:val="left"/>
        <w:rPr>
          <w:rFonts w:ascii="宋体" w:hAnsi="宋体" w:cs="宋体"/>
          <w:kern w:val="0"/>
          <w:szCs w:val="21"/>
        </w:rPr>
      </w:pPr>
      <w:r>
        <w:rPr>
          <w:rFonts w:hint="eastAsia" w:ascii="宋体" w:hAnsi="宋体" w:cs="宋体"/>
          <w:kern w:val="0"/>
          <w:szCs w:val="21"/>
        </w:rPr>
        <w:t>（5）其他无法保证电子交易的公平、公正和安全的情况。</w:t>
      </w:r>
    </w:p>
    <w:p w14:paraId="34FFE2C4">
      <w:pPr>
        <w:snapToGrid w:val="0"/>
        <w:spacing w:line="360" w:lineRule="auto"/>
        <w:ind w:left="420" w:firstLine="371" w:firstLineChars="177"/>
        <w:jc w:val="left"/>
        <w:rPr>
          <w:rFonts w:ascii="宋体" w:hAnsi="宋体" w:cs="宋体"/>
          <w:kern w:val="0"/>
          <w:szCs w:val="21"/>
        </w:rPr>
      </w:pPr>
      <w:r>
        <w:rPr>
          <w:rFonts w:hint="eastAsia" w:ascii="宋体" w:hAnsi="宋体" w:cs="宋体"/>
          <w:kern w:val="0"/>
          <w:szCs w:val="21"/>
        </w:rPr>
        <w:t>出现上述规定情形，不影响采购公平、公正性的，采购人（或代理机构）可以待上述情形消除后继续组织电子交易活动，也可以决定某些环节以纸质形式进行。</w:t>
      </w:r>
    </w:p>
    <w:p w14:paraId="7552B3E4">
      <w:pPr>
        <w:spacing w:line="420" w:lineRule="exact"/>
        <w:ind w:left="420" w:firstLine="482" w:firstLineChars="200"/>
        <w:contextualSpacing/>
        <w:outlineLvl w:val="2"/>
        <w:rPr>
          <w:rFonts w:ascii="黑体" w:hAnsi="黑体" w:eastAsia="黑体" w:cs="黑体"/>
          <w:b/>
          <w:bCs/>
          <w:sz w:val="24"/>
        </w:rPr>
      </w:pPr>
      <w:r>
        <w:rPr>
          <w:rFonts w:hint="eastAsia" w:ascii="黑体" w:hAnsi="黑体" w:eastAsia="黑体" w:cs="黑体"/>
          <w:b/>
          <w:bCs/>
          <w:sz w:val="24"/>
        </w:rPr>
        <w:t>（九）采购项目需要落实的政府采购政策</w:t>
      </w:r>
    </w:p>
    <w:p w14:paraId="073B9883">
      <w:pPr>
        <w:spacing w:line="420" w:lineRule="exact"/>
        <w:ind w:left="420" w:firstLine="420" w:firstLineChars="200"/>
        <w:contextualSpacing/>
        <w:rPr>
          <w:rFonts w:ascii="宋体" w:hAnsi="宋体" w:cs="宋体"/>
          <w:szCs w:val="21"/>
        </w:rPr>
      </w:pPr>
      <w:r>
        <w:rPr>
          <w:rFonts w:hint="eastAsia" w:ascii="宋体" w:hAnsi="宋体" w:cs="宋体"/>
          <w:szCs w:val="21"/>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4ED2BB9">
      <w:pPr>
        <w:spacing w:line="420" w:lineRule="exact"/>
        <w:ind w:left="420" w:firstLine="420" w:firstLineChars="200"/>
        <w:contextualSpacing/>
        <w:rPr>
          <w:rFonts w:ascii="宋体" w:hAnsi="宋体" w:cs="宋体"/>
          <w:szCs w:val="21"/>
        </w:rPr>
      </w:pPr>
      <w:r>
        <w:rPr>
          <w:rFonts w:hint="eastAsia" w:ascii="宋体" w:hAnsi="宋体" w:cs="宋体"/>
          <w:szCs w:val="21"/>
        </w:rPr>
        <w:t>2、支持绿色发展。</w:t>
      </w:r>
    </w:p>
    <w:p w14:paraId="6B4C5929">
      <w:pPr>
        <w:spacing w:line="420" w:lineRule="exact"/>
        <w:ind w:left="420" w:firstLine="420" w:firstLineChars="200"/>
        <w:contextualSpacing/>
        <w:rPr>
          <w:rFonts w:ascii="宋体" w:hAnsi="宋体" w:cs="宋体"/>
          <w:b/>
          <w:szCs w:val="21"/>
        </w:rPr>
      </w:pPr>
      <w:r>
        <w:rPr>
          <w:rFonts w:hint="eastAsia" w:ascii="宋体" w:hAnsi="宋体" w:cs="宋体"/>
          <w:szCs w:val="21"/>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Cs w:val="21"/>
        </w:rPr>
        <w:t>▲采购人拟采购的产品属于政府强制采购的节能产品品目清单范围的，投标人未按招标文件要求提供国家确定的认证机构出具的、处于有效期之内的节能产品认证证书的，投标无效。</w:t>
      </w:r>
    </w:p>
    <w:p w14:paraId="0DB36EF9">
      <w:pPr>
        <w:spacing w:line="420" w:lineRule="exact"/>
        <w:ind w:left="420" w:firstLine="420" w:firstLineChars="200"/>
        <w:contextualSpacing/>
        <w:rPr>
          <w:rFonts w:ascii="宋体" w:hAnsi="宋体" w:cs="宋体"/>
          <w:szCs w:val="21"/>
        </w:rPr>
      </w:pPr>
      <w:r>
        <w:rPr>
          <w:rFonts w:hint="eastAsia" w:ascii="宋体" w:hAnsi="宋体" w:cs="宋体"/>
          <w:szCs w:val="21"/>
        </w:rPr>
        <w:t>（2）修缮、装修类项目采购建材的，采购人应将绿色建筑和绿色建材性能、指标等作为实质性条件纳入招标文件和合同。</w:t>
      </w:r>
    </w:p>
    <w:p w14:paraId="6F9276EB">
      <w:pPr>
        <w:spacing w:line="420" w:lineRule="exact"/>
        <w:ind w:left="420" w:firstLine="420" w:firstLineChars="200"/>
        <w:contextualSpacing/>
        <w:rPr>
          <w:rFonts w:ascii="宋体" w:hAnsi="宋体" w:cs="宋体"/>
          <w:szCs w:val="21"/>
        </w:rPr>
      </w:pPr>
      <w:r>
        <w:rPr>
          <w:rFonts w:hint="eastAsia" w:ascii="宋体" w:hAnsi="宋体" w:cs="宋体"/>
          <w:szCs w:val="21"/>
        </w:rPr>
        <w:t>（3）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29FD8E5">
      <w:pPr>
        <w:pStyle w:val="23"/>
        <w:spacing w:after="0" w:line="420" w:lineRule="exact"/>
        <w:rPr>
          <w:rFonts w:ascii="宋体" w:hAnsi="宋体" w:cs="宋体"/>
          <w:sz w:val="21"/>
          <w:szCs w:val="21"/>
        </w:rPr>
      </w:pPr>
      <w:r>
        <w:rPr>
          <w:rFonts w:hint="eastAsia" w:ascii="宋体" w:hAnsi="宋体" w:cs="宋体"/>
          <w:sz w:val="21"/>
          <w:szCs w:val="21"/>
        </w:rPr>
        <w:t xml:space="preserve">   （4）鼓励投标人在参加政府采购过程中开展绿色设计、选择绿色材料、打造绿色制造工艺、开展绿色运输、做好废弃产品回收处理，实现产品全周期的绿色环保。鼓励采购单位对其提高预付款比例、免收履约保证金。</w:t>
      </w:r>
    </w:p>
    <w:p w14:paraId="7AB53D85">
      <w:pPr>
        <w:spacing w:line="420" w:lineRule="exact"/>
        <w:ind w:left="420" w:firstLine="420" w:firstLineChars="200"/>
        <w:rPr>
          <w:rFonts w:ascii="宋体" w:hAnsi="宋体" w:cs="宋体"/>
          <w:szCs w:val="21"/>
        </w:rPr>
      </w:pPr>
      <w:r>
        <w:rPr>
          <w:rFonts w:hint="eastAsia" w:ascii="宋体" w:hAnsi="宋体" w:cs="宋体"/>
          <w:szCs w:val="21"/>
        </w:rPr>
        <w:t>3、支持中小企业发展</w:t>
      </w:r>
    </w:p>
    <w:p w14:paraId="107BABF9">
      <w:pPr>
        <w:spacing w:line="420" w:lineRule="exact"/>
        <w:ind w:left="420" w:firstLine="420" w:firstLineChars="200"/>
        <w:rPr>
          <w:rFonts w:ascii="宋体" w:hAnsi="宋体" w:cs="宋体"/>
          <w:szCs w:val="21"/>
        </w:rPr>
      </w:pPr>
      <w:r>
        <w:rPr>
          <w:rFonts w:hint="eastAsia" w:ascii="宋体" w:hAnsi="宋体" w:cs="宋体"/>
          <w:szCs w:val="21"/>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1D9F1028">
      <w:pPr>
        <w:spacing w:line="420" w:lineRule="exact"/>
        <w:ind w:left="420" w:firstLine="420" w:firstLineChars="200"/>
        <w:contextualSpacing/>
        <w:rPr>
          <w:rFonts w:ascii="宋体" w:hAnsi="宋体" w:cs="宋体"/>
          <w:szCs w:val="21"/>
        </w:rPr>
      </w:pPr>
      <w:r>
        <w:rPr>
          <w:rFonts w:hint="eastAsia" w:ascii="宋体" w:hAnsi="宋体" w:cs="宋体"/>
          <w:szCs w:val="21"/>
        </w:rPr>
        <w:t>符合中小企业划分标准的个体工商户，在政府采购活动中视同中小企业。</w:t>
      </w:r>
    </w:p>
    <w:p w14:paraId="38A3CB6D">
      <w:pPr>
        <w:spacing w:line="420" w:lineRule="exact"/>
        <w:ind w:left="420" w:firstLine="420" w:firstLineChars="200"/>
        <w:contextualSpacing/>
        <w:rPr>
          <w:rFonts w:ascii="宋体" w:hAnsi="宋体" w:cs="宋体"/>
          <w:szCs w:val="21"/>
        </w:rPr>
      </w:pPr>
      <w:r>
        <w:rPr>
          <w:rFonts w:hint="eastAsia" w:ascii="宋体" w:hAnsi="宋体" w:cs="宋体"/>
          <w:szCs w:val="21"/>
        </w:rPr>
        <w:t>（2）在政府采购活动中，投标人提供的货物、工程或者服务符合下列情形的，享受中小企业扶持政策：</w:t>
      </w:r>
    </w:p>
    <w:p w14:paraId="0EA11728">
      <w:pPr>
        <w:spacing w:line="420" w:lineRule="exact"/>
        <w:ind w:left="420" w:firstLine="420" w:firstLineChars="200"/>
        <w:contextualSpacing/>
        <w:rPr>
          <w:rFonts w:ascii="宋体" w:hAnsi="宋体" w:cs="宋体"/>
          <w:szCs w:val="21"/>
        </w:rPr>
      </w:pPr>
      <w:r>
        <w:rPr>
          <w:rFonts w:hint="eastAsia" w:ascii="宋体" w:hAnsi="宋体" w:cs="宋体"/>
          <w:szCs w:val="21"/>
        </w:rPr>
        <w:t>1）在货物采购项目中，货物由中小企业制造，即货物由中小企业生产且使用该中小企业商号或者注册商标；</w:t>
      </w:r>
    </w:p>
    <w:p w14:paraId="4B3F3060">
      <w:pPr>
        <w:spacing w:line="420" w:lineRule="exact"/>
        <w:ind w:left="420" w:firstLine="420" w:firstLineChars="200"/>
        <w:contextualSpacing/>
        <w:rPr>
          <w:rFonts w:ascii="宋体" w:hAnsi="宋体" w:cs="宋体"/>
          <w:szCs w:val="21"/>
        </w:rPr>
      </w:pPr>
      <w:r>
        <w:rPr>
          <w:rFonts w:hint="eastAsia" w:ascii="宋体" w:hAnsi="宋体" w:cs="宋体"/>
          <w:szCs w:val="21"/>
        </w:rPr>
        <w:t>2)在工程采购项目中，工程由中小企业承建，即工程施工单位为中小企业；</w:t>
      </w:r>
    </w:p>
    <w:p w14:paraId="15AEC4D5">
      <w:pPr>
        <w:spacing w:line="420" w:lineRule="exact"/>
        <w:ind w:left="420" w:firstLine="420" w:firstLineChars="200"/>
        <w:contextualSpacing/>
        <w:rPr>
          <w:rFonts w:ascii="宋体" w:hAnsi="宋体" w:cs="宋体"/>
          <w:szCs w:val="21"/>
        </w:rPr>
      </w:pPr>
      <w:r>
        <w:rPr>
          <w:rFonts w:hint="eastAsia" w:ascii="宋体" w:hAnsi="宋体" w:cs="宋体"/>
          <w:szCs w:val="21"/>
        </w:rPr>
        <w:t>3)在服务采购项目中，服务由中小企业承接，即提供服务的人员为中小企业依《中华人民共和国劳动法》订立劳动合同的从业人员。</w:t>
      </w:r>
    </w:p>
    <w:p w14:paraId="3431A98D">
      <w:pPr>
        <w:spacing w:line="420" w:lineRule="exact"/>
        <w:ind w:left="420" w:firstLine="420" w:firstLineChars="200"/>
        <w:contextualSpacing/>
        <w:rPr>
          <w:rFonts w:ascii="宋体" w:hAnsi="宋体" w:cs="宋体"/>
          <w:szCs w:val="21"/>
        </w:rPr>
      </w:pPr>
      <w:r>
        <w:rPr>
          <w:rFonts w:hint="eastAsia" w:ascii="宋体" w:hAnsi="宋体" w:cs="宋体"/>
          <w:szCs w:val="21"/>
        </w:rPr>
        <w:t>在货物采购项目中，投标人提供的货物既有中小企业制造货物，也有大型企业制造货物的，不享受中小企业扶持政策。</w:t>
      </w:r>
    </w:p>
    <w:p w14:paraId="7DC93F6A">
      <w:pPr>
        <w:spacing w:line="420" w:lineRule="exact"/>
        <w:ind w:left="420" w:firstLine="420" w:firstLineChars="200"/>
        <w:contextualSpacing/>
        <w:rPr>
          <w:rFonts w:ascii="宋体" w:hAnsi="宋体" w:cs="宋体"/>
          <w:szCs w:val="21"/>
        </w:rPr>
      </w:pPr>
      <w:r>
        <w:rPr>
          <w:rFonts w:hint="eastAsia" w:ascii="宋体" w:hAnsi="宋体" w:cs="宋体"/>
          <w:szCs w:val="21"/>
        </w:rPr>
        <w:t>以联合体形式参加政府采购活动，联合体各方均为中小企业的，联合体视同中小企业。其中，联合体各方均为小微企业的，联合体视同小微企业。</w:t>
      </w:r>
    </w:p>
    <w:p w14:paraId="6529331A">
      <w:pPr>
        <w:spacing w:line="420" w:lineRule="exact"/>
        <w:ind w:left="420" w:firstLine="422" w:firstLineChars="200"/>
        <w:contextualSpacing/>
        <w:rPr>
          <w:rFonts w:ascii="宋体" w:hAnsi="宋体" w:cs="宋体"/>
          <w:b/>
          <w:bCs/>
          <w:szCs w:val="21"/>
        </w:rPr>
      </w:pPr>
      <w:r>
        <w:rPr>
          <w:rFonts w:hint="eastAsia" w:ascii="宋体" w:hAnsi="宋体" w:cs="宋体"/>
          <w:b/>
          <w:bCs/>
          <w:szCs w:val="21"/>
        </w:rPr>
        <w:t>（3）对于未预留份额专门面向中小企业的政府采购项目，以及预留份额政府采购项目中的非预留部分标项，对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4%的扣除，用扣除后的价格参加评审。对于预留份额专门面向中小企业的政府采购项目，小型和微型企业的投标报价不享受价格扣除优惠政策。组成联合体或者接受分包的小微企业与联合体内其他企业、分包企业之间存在直接控股、管理关系的，不享受价格扣除优惠政策。</w:t>
      </w:r>
    </w:p>
    <w:p w14:paraId="54112097">
      <w:pPr>
        <w:spacing w:line="420" w:lineRule="exact"/>
        <w:ind w:left="420" w:firstLine="420" w:firstLineChars="200"/>
        <w:contextualSpacing/>
        <w:jc w:val="left"/>
        <w:rPr>
          <w:rFonts w:ascii="宋体" w:hAnsi="宋体" w:cs="宋体"/>
          <w:szCs w:val="21"/>
        </w:rPr>
      </w:pPr>
      <w:r>
        <w:rPr>
          <w:rFonts w:hint="eastAsia" w:ascii="宋体" w:hAnsi="宋体" w:cs="宋体"/>
          <w:szCs w:val="21"/>
        </w:rPr>
        <w:t>（4）符合《关于促进残疾人就业政府采购政策的通知》（财库〔2017〕141号）规定的条件并提供《残疾人福利性单位声明函》(附件1)的残疾人福利性单位视同小型、微型企业；</w:t>
      </w:r>
    </w:p>
    <w:p w14:paraId="09B392CF">
      <w:pPr>
        <w:spacing w:line="420" w:lineRule="exact"/>
        <w:ind w:left="420" w:firstLine="420" w:firstLineChars="200"/>
        <w:contextualSpacing/>
        <w:rPr>
          <w:rFonts w:ascii="宋体" w:hAnsi="宋体" w:cs="宋体"/>
          <w:szCs w:val="21"/>
        </w:rPr>
      </w:pPr>
      <w:r>
        <w:rPr>
          <w:rFonts w:hint="eastAsia" w:ascii="宋体" w:hAnsi="宋体" w:cs="宋体"/>
          <w:szCs w:val="21"/>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0DC61A23">
      <w:pPr>
        <w:spacing w:line="420" w:lineRule="exact"/>
        <w:ind w:left="420" w:firstLine="420" w:firstLineChars="200"/>
        <w:contextualSpacing/>
        <w:rPr>
          <w:rFonts w:ascii="宋体" w:hAnsi="宋体" w:cs="宋体"/>
          <w:szCs w:val="21"/>
        </w:rPr>
      </w:pPr>
      <w:r>
        <w:rPr>
          <w:rFonts w:hint="eastAsia" w:ascii="宋体" w:hAnsi="宋体" w:cs="宋体"/>
          <w:szCs w:val="21"/>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5D25B95">
      <w:pPr>
        <w:spacing w:line="420" w:lineRule="exact"/>
        <w:ind w:left="420" w:firstLine="420" w:firstLineChars="200"/>
        <w:contextualSpacing/>
        <w:rPr>
          <w:rFonts w:ascii="宋体" w:hAnsi="宋体" w:cs="宋体"/>
          <w:szCs w:val="21"/>
        </w:rPr>
      </w:pPr>
      <w:r>
        <w:rPr>
          <w:rFonts w:hint="eastAsia" w:ascii="宋体" w:hAnsi="宋体" w:cs="宋体"/>
          <w:szCs w:val="21"/>
        </w:rPr>
        <w:t>（7）中小企业享受扶持政策获得政府采购合同的，小微企业不得将合同分包给大中型企业，中型企业不得将合同分包给大型企业。</w:t>
      </w:r>
    </w:p>
    <w:p w14:paraId="1FBC7D5A">
      <w:pPr>
        <w:spacing w:line="420" w:lineRule="exact"/>
        <w:ind w:left="420" w:firstLine="420" w:firstLineChars="200"/>
        <w:contextualSpacing/>
        <w:rPr>
          <w:rFonts w:ascii="宋体" w:hAnsi="宋体" w:cs="宋体"/>
          <w:szCs w:val="21"/>
        </w:rPr>
      </w:pPr>
      <w:r>
        <w:rPr>
          <w:rFonts w:hint="eastAsia" w:ascii="宋体" w:hAnsi="宋体" w:cs="宋体"/>
          <w:szCs w:val="21"/>
        </w:rPr>
        <w:t>4、支持创新发展</w:t>
      </w:r>
    </w:p>
    <w:p w14:paraId="30CCBCF8">
      <w:pPr>
        <w:spacing w:line="420" w:lineRule="exact"/>
        <w:ind w:left="420" w:firstLine="420" w:firstLineChars="200"/>
        <w:contextualSpacing/>
        <w:rPr>
          <w:rFonts w:ascii="宋体" w:hAnsi="宋体" w:cs="宋体"/>
          <w:szCs w:val="21"/>
        </w:rPr>
      </w:pPr>
      <w:r>
        <w:rPr>
          <w:rFonts w:hint="eastAsia" w:ascii="宋体" w:hAnsi="宋体" w:cs="宋体"/>
          <w:szCs w:val="21"/>
        </w:rPr>
        <w:t>（1） 采购人优先采购被认定为首台套产品和“制造精品”的自主创新产品。</w:t>
      </w:r>
    </w:p>
    <w:p w14:paraId="2036CB67">
      <w:pPr>
        <w:spacing w:line="420" w:lineRule="exact"/>
        <w:ind w:left="420" w:firstLine="422" w:firstLineChars="200"/>
        <w:contextualSpacing/>
        <w:rPr>
          <w:rFonts w:ascii="宋体" w:hAnsi="宋体" w:cs="宋体"/>
          <w:b/>
          <w:bCs/>
          <w:szCs w:val="21"/>
        </w:rPr>
      </w:pPr>
      <w:r>
        <w:rPr>
          <w:rFonts w:hint="eastAsia" w:ascii="宋体" w:hAnsi="宋体" w:cs="宋体"/>
          <w:b/>
          <w:bCs/>
          <w:szCs w:val="21"/>
        </w:rPr>
        <w:t>（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0695862B">
      <w:pPr>
        <w:spacing w:line="420" w:lineRule="exact"/>
        <w:ind w:left="420" w:firstLine="420" w:firstLineChars="200"/>
        <w:contextualSpacing/>
        <w:rPr>
          <w:rFonts w:ascii="宋体" w:hAnsi="宋体" w:cs="宋体"/>
          <w:szCs w:val="21"/>
        </w:rPr>
      </w:pPr>
      <w:r>
        <w:rPr>
          <w:rFonts w:hint="eastAsia" w:ascii="宋体" w:hAnsi="宋体" w:cs="宋体"/>
          <w:szCs w:val="21"/>
        </w:rPr>
        <w:t>5、平等对待内外资企业和符合条件的破产重整企业，切实保障企业公平竞争，平等维护企业的合法利益。</w:t>
      </w:r>
    </w:p>
    <w:p w14:paraId="45BEE915">
      <w:pPr>
        <w:spacing w:line="360" w:lineRule="auto"/>
        <w:ind w:left="420" w:firstLine="420" w:firstLineChars="200"/>
        <w:contextualSpacing/>
        <w:rPr>
          <w:rFonts w:ascii="宋体" w:hAnsi="宋体" w:cs="宋体"/>
          <w:szCs w:val="21"/>
        </w:rPr>
      </w:pPr>
      <w:r>
        <w:rPr>
          <w:rFonts w:hint="eastAsia" w:ascii="宋体" w:hAnsi="宋体" w:cs="宋体"/>
          <w:szCs w:val="21"/>
        </w:rPr>
        <w:t>6、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w:t>
      </w:r>
    </w:p>
    <w:p w14:paraId="42F12796">
      <w:pPr>
        <w:pStyle w:val="32"/>
        <w:snapToGrid w:val="0"/>
        <w:spacing w:before="0" w:beforeLines="0" w:after="0" w:afterLines="0" w:line="360" w:lineRule="auto"/>
        <w:ind w:left="420" w:firstLine="472" w:firstLineChars="196"/>
        <w:outlineLvl w:val="2"/>
        <w:rPr>
          <w:rFonts w:ascii="黑体" w:hAnsi="黑体" w:eastAsia="黑体" w:cs="黑体"/>
          <w:b/>
          <w:bCs/>
        </w:rPr>
      </w:pPr>
      <w:r>
        <w:rPr>
          <w:rFonts w:hint="eastAsia" w:ascii="黑体" w:hAnsi="黑体" w:eastAsia="黑体" w:cs="黑体"/>
          <w:b/>
          <w:bCs/>
        </w:rPr>
        <w:t>（十</w:t>
      </w:r>
      <w:r>
        <w:rPr>
          <w:rFonts w:hint="eastAsia" w:ascii="黑体" w:hAnsi="黑体" w:eastAsia="黑体" w:cs="黑体"/>
        </w:rPr>
        <w:t>）</w:t>
      </w:r>
      <w:r>
        <w:rPr>
          <w:rFonts w:hint="eastAsia" w:ascii="黑体" w:hAnsi="黑体" w:eastAsia="黑体" w:cs="黑体"/>
          <w:b/>
          <w:bCs/>
        </w:rPr>
        <w:t>询问、质疑、投诉</w:t>
      </w:r>
    </w:p>
    <w:p w14:paraId="2268BA42">
      <w:pPr>
        <w:spacing w:line="360" w:lineRule="auto"/>
        <w:ind w:left="420" w:firstLine="420" w:firstLineChars="200"/>
        <w:contextualSpacing/>
        <w:rPr>
          <w:rFonts w:ascii="宋体" w:hAnsi="宋体" w:cs="宋体"/>
          <w:szCs w:val="21"/>
        </w:rPr>
      </w:pPr>
      <w:bookmarkStart w:id="53" w:name="_Toc66379538"/>
      <w:r>
        <w:rPr>
          <w:rFonts w:hint="eastAsia" w:ascii="宋体" w:hAnsi="宋体" w:cs="宋体"/>
          <w:szCs w:val="21"/>
        </w:rPr>
        <w:t>1、在线询问、质疑、投诉。根据《浙江省财政厅关于进一步促进政府采购公平竞争打造最优营商环境的通知》（浙财采监（2021）22号）文件关于“健全行政裁决机制”要求，鼓励投标人询问线上提起，路径为：政采云-项目采购-询问质疑投诉-询问列表；鼓励投标人质疑线上提起，路径为：政采云-项目采购-询问质疑投诉-质疑列表。质疑投标人对线上质疑答复不满意的，可线上提起投诉，路径为：浙江政务服务网-政府采购投诉处理-在线办理。</w:t>
      </w:r>
    </w:p>
    <w:p w14:paraId="35239D52">
      <w:pPr>
        <w:spacing w:line="360" w:lineRule="auto"/>
        <w:ind w:left="420" w:firstLine="420" w:firstLineChars="200"/>
        <w:contextualSpacing/>
        <w:rPr>
          <w:rFonts w:ascii="宋体" w:hAnsi="宋体" w:cs="宋体"/>
          <w:szCs w:val="21"/>
        </w:rPr>
      </w:pPr>
      <w:r>
        <w:rPr>
          <w:rFonts w:hint="eastAsia" w:ascii="宋体" w:hAnsi="宋体" w:cs="宋体"/>
          <w:szCs w:val="21"/>
        </w:rPr>
        <w:t>2、投标人询问</w:t>
      </w:r>
    </w:p>
    <w:p w14:paraId="5E17749F">
      <w:pPr>
        <w:spacing w:line="360" w:lineRule="auto"/>
        <w:ind w:left="420" w:firstLine="420" w:firstLineChars="200"/>
        <w:contextualSpacing/>
        <w:rPr>
          <w:rFonts w:ascii="宋体" w:hAnsi="宋体" w:cs="宋体"/>
          <w:szCs w:val="21"/>
        </w:rPr>
      </w:pPr>
      <w:r>
        <w:rPr>
          <w:rFonts w:hint="eastAsia" w:ascii="宋体" w:hAnsi="宋体" w:cs="宋体"/>
          <w:szCs w:val="21"/>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14:paraId="6433B527">
      <w:pPr>
        <w:spacing w:line="360" w:lineRule="auto"/>
        <w:ind w:left="420" w:firstLine="420" w:firstLineChars="200"/>
        <w:contextualSpacing/>
        <w:rPr>
          <w:rFonts w:ascii="宋体" w:hAnsi="宋体" w:cs="宋体"/>
          <w:szCs w:val="21"/>
        </w:rPr>
      </w:pPr>
      <w:r>
        <w:rPr>
          <w:rFonts w:hint="eastAsia" w:ascii="宋体" w:hAnsi="宋体" w:cs="宋体"/>
          <w:szCs w:val="21"/>
        </w:rPr>
        <w:t>3、投标人质疑</w:t>
      </w:r>
    </w:p>
    <w:p w14:paraId="1C3313C3">
      <w:pPr>
        <w:spacing w:line="360" w:lineRule="auto"/>
        <w:ind w:left="420" w:firstLine="420" w:firstLineChars="200"/>
        <w:contextualSpacing/>
        <w:rPr>
          <w:rFonts w:ascii="宋体" w:hAnsi="宋体" w:cs="宋体"/>
          <w:szCs w:val="21"/>
        </w:rPr>
      </w:pPr>
      <w:r>
        <w:rPr>
          <w:rFonts w:hint="eastAsia" w:ascii="宋体" w:hAnsi="宋体" w:cs="宋体"/>
          <w:szCs w:val="21"/>
        </w:rPr>
        <w:t>（1）提出质疑的投标人应当是参与所质疑项目采购活动的投标人。潜在投标人已依法获取其可质疑的招标文件的，可以对该文件提出质疑。</w:t>
      </w:r>
    </w:p>
    <w:p w14:paraId="2A489529">
      <w:pPr>
        <w:spacing w:line="360" w:lineRule="auto"/>
        <w:ind w:left="420" w:firstLine="420" w:firstLineChars="200"/>
        <w:contextualSpacing/>
        <w:rPr>
          <w:rFonts w:ascii="宋体" w:hAnsi="宋体" w:cs="宋体"/>
          <w:szCs w:val="21"/>
        </w:rPr>
      </w:pPr>
      <w:r>
        <w:rPr>
          <w:rFonts w:hint="eastAsia" w:ascii="宋体" w:hAnsi="宋体" w:cs="宋体"/>
          <w:szCs w:val="21"/>
        </w:rPr>
        <w:t>（2）投标人认为招标文件、采购过程和中标结果使自己的权益受到损害的，可以在知道或者应知其权益受到损害之日起七个工作日内，以书面形式或线上向采购人或者采购代理机构提出质疑，否则，采购人或者采购代理机构不予受理：</w:t>
      </w:r>
    </w:p>
    <w:p w14:paraId="31ACA7A4">
      <w:pPr>
        <w:spacing w:line="360" w:lineRule="auto"/>
        <w:ind w:left="420" w:firstLine="420" w:firstLineChars="200"/>
        <w:contextualSpacing/>
        <w:rPr>
          <w:rFonts w:ascii="宋体" w:hAnsi="宋体" w:cs="宋体"/>
          <w:szCs w:val="21"/>
        </w:rPr>
      </w:pPr>
      <w:r>
        <w:rPr>
          <w:rFonts w:hint="eastAsia" w:ascii="宋体" w:hAnsi="宋体" w:cs="宋体"/>
          <w:szCs w:val="21"/>
        </w:rPr>
        <w:t>1）对招标文件提出质疑的，质疑期限为投标人获得招标文件之日或者招标文件公告期限届满之日起计算。投标人获得招标文件在公告期限届满之日后的，应当自招标文件公告期限届满之日起计算，且应当在采购响应截止时间之前提出，否则采购人或者采购代理机构不予受理。对招标文件中特定资格条件、采购需求、评分办法提出的质疑，原则上由采购人负责答复；对招标文件中其他内容提出的质疑，原则上由采购代理机构负责答复。</w:t>
      </w:r>
    </w:p>
    <w:p w14:paraId="5230B29F">
      <w:pPr>
        <w:spacing w:line="360" w:lineRule="auto"/>
        <w:ind w:left="420" w:firstLine="420" w:firstLineChars="200"/>
        <w:contextualSpacing/>
        <w:rPr>
          <w:rFonts w:ascii="宋体" w:hAnsi="宋体" w:cs="宋体"/>
          <w:szCs w:val="21"/>
        </w:rPr>
      </w:pPr>
      <w:r>
        <w:rPr>
          <w:rFonts w:hint="eastAsia" w:ascii="宋体" w:hAnsi="宋体" w:cs="宋体"/>
          <w:szCs w:val="21"/>
        </w:rPr>
        <w:t>2）对采购过程提出质疑的，质疑期限为各采购程序环节结束之日起计算。对同一采购程序环节的质疑，投标人须在法定质疑期内一次性提出。对采购过程中有关现场考察或开标前答疑会事项提出的质疑，原则上由采购人负责答复；对采购过程中其它事项提出的质疑，原则上由采购代理机构负责答复。</w:t>
      </w:r>
    </w:p>
    <w:p w14:paraId="774F90E6">
      <w:pPr>
        <w:spacing w:line="360" w:lineRule="auto"/>
        <w:ind w:left="420" w:firstLine="420" w:firstLineChars="200"/>
        <w:contextualSpacing/>
        <w:rPr>
          <w:rFonts w:ascii="宋体" w:hAnsi="宋体" w:cs="宋体"/>
          <w:szCs w:val="21"/>
        </w:rPr>
      </w:pPr>
      <w:r>
        <w:rPr>
          <w:rFonts w:hint="eastAsia" w:ascii="宋体" w:hAnsi="宋体" w:cs="宋体"/>
          <w:szCs w:val="21"/>
        </w:rPr>
        <w:t>3）对采购结果提出质疑的，质疑期限自采购结果公告期限届满之日起计算。对采购结果提出质疑的，采购代理机构负责答复。</w:t>
      </w:r>
    </w:p>
    <w:p w14:paraId="0A18AFE1">
      <w:pPr>
        <w:spacing w:line="360" w:lineRule="auto"/>
        <w:ind w:left="420" w:firstLine="420" w:firstLineChars="200"/>
        <w:contextualSpacing/>
        <w:rPr>
          <w:rFonts w:ascii="宋体" w:hAnsi="宋体" w:cs="宋体"/>
          <w:szCs w:val="21"/>
        </w:rPr>
      </w:pPr>
      <w:r>
        <w:rPr>
          <w:rFonts w:hint="eastAsia" w:ascii="宋体" w:hAnsi="宋体" w:cs="宋体"/>
          <w:szCs w:val="21"/>
        </w:rPr>
        <w:t>（3）投标人提出质疑应当提交质疑函和必要的证明材料。质疑函应当包括下列内容：</w:t>
      </w:r>
    </w:p>
    <w:p w14:paraId="1FBF681B">
      <w:pPr>
        <w:spacing w:line="360" w:lineRule="auto"/>
        <w:ind w:left="420" w:firstLine="420" w:firstLineChars="200"/>
        <w:contextualSpacing/>
        <w:rPr>
          <w:rFonts w:ascii="宋体" w:hAnsi="宋体" w:cs="宋体"/>
          <w:szCs w:val="21"/>
        </w:rPr>
      </w:pPr>
      <w:r>
        <w:rPr>
          <w:rFonts w:hint="eastAsia" w:ascii="宋体" w:hAnsi="宋体" w:cs="宋体"/>
          <w:szCs w:val="21"/>
        </w:rPr>
        <w:t>1）投标人的姓名或者名称、地址、邮编、联系人及联系电话；</w:t>
      </w:r>
    </w:p>
    <w:p w14:paraId="07ED21A5">
      <w:pPr>
        <w:spacing w:line="360" w:lineRule="auto"/>
        <w:ind w:left="420" w:firstLine="420" w:firstLineChars="200"/>
        <w:contextualSpacing/>
        <w:rPr>
          <w:rFonts w:ascii="宋体" w:hAnsi="宋体" w:cs="宋体"/>
          <w:szCs w:val="21"/>
        </w:rPr>
      </w:pPr>
      <w:r>
        <w:rPr>
          <w:rFonts w:hint="eastAsia" w:ascii="宋体" w:hAnsi="宋体" w:cs="宋体"/>
          <w:szCs w:val="21"/>
        </w:rPr>
        <w:t>2）质疑项目的名称、编号；</w:t>
      </w:r>
    </w:p>
    <w:p w14:paraId="5A33A760">
      <w:pPr>
        <w:spacing w:line="360" w:lineRule="auto"/>
        <w:ind w:left="420" w:firstLine="420" w:firstLineChars="200"/>
        <w:contextualSpacing/>
        <w:rPr>
          <w:rFonts w:ascii="宋体" w:hAnsi="宋体" w:cs="宋体"/>
          <w:szCs w:val="21"/>
        </w:rPr>
      </w:pPr>
      <w:r>
        <w:rPr>
          <w:rFonts w:hint="eastAsia" w:ascii="宋体" w:hAnsi="宋体" w:cs="宋体"/>
          <w:szCs w:val="21"/>
        </w:rPr>
        <w:t>3）具体、明确的质疑事项和与质疑事项相关的请求；</w:t>
      </w:r>
    </w:p>
    <w:p w14:paraId="3D31FCF0">
      <w:pPr>
        <w:spacing w:line="360" w:lineRule="auto"/>
        <w:ind w:left="420" w:firstLine="420" w:firstLineChars="200"/>
        <w:contextualSpacing/>
        <w:rPr>
          <w:rFonts w:ascii="宋体" w:hAnsi="宋体" w:cs="宋体"/>
          <w:szCs w:val="21"/>
        </w:rPr>
      </w:pPr>
      <w:r>
        <w:rPr>
          <w:rFonts w:hint="eastAsia" w:ascii="宋体" w:hAnsi="宋体" w:cs="宋体"/>
          <w:szCs w:val="21"/>
        </w:rPr>
        <w:t>4）事实依据；</w:t>
      </w:r>
    </w:p>
    <w:p w14:paraId="39CD2144">
      <w:pPr>
        <w:spacing w:line="360" w:lineRule="auto"/>
        <w:ind w:left="420" w:firstLine="420" w:firstLineChars="200"/>
        <w:contextualSpacing/>
        <w:rPr>
          <w:rFonts w:ascii="宋体" w:hAnsi="宋体" w:cs="宋体"/>
          <w:szCs w:val="21"/>
        </w:rPr>
      </w:pPr>
      <w:r>
        <w:rPr>
          <w:rFonts w:hint="eastAsia" w:ascii="宋体" w:hAnsi="宋体" w:cs="宋体"/>
          <w:szCs w:val="21"/>
        </w:rPr>
        <w:t>5）必要的法律依据；</w:t>
      </w:r>
    </w:p>
    <w:p w14:paraId="59EF826E">
      <w:pPr>
        <w:spacing w:line="360" w:lineRule="auto"/>
        <w:ind w:left="420" w:firstLine="420" w:firstLineChars="200"/>
        <w:contextualSpacing/>
        <w:rPr>
          <w:rFonts w:ascii="宋体" w:hAnsi="宋体" w:cs="宋体"/>
          <w:szCs w:val="21"/>
        </w:rPr>
      </w:pPr>
      <w:r>
        <w:rPr>
          <w:rFonts w:hint="eastAsia" w:ascii="宋体" w:hAnsi="宋体" w:cs="宋体"/>
          <w:szCs w:val="21"/>
        </w:rPr>
        <w:t>6）提出质疑的日期。</w:t>
      </w:r>
    </w:p>
    <w:p w14:paraId="6B88A654">
      <w:pPr>
        <w:spacing w:line="360" w:lineRule="auto"/>
        <w:ind w:left="420" w:firstLine="420" w:firstLineChars="200"/>
        <w:contextualSpacing/>
        <w:rPr>
          <w:rFonts w:ascii="宋体" w:hAnsi="宋体" w:cs="宋体"/>
          <w:szCs w:val="21"/>
        </w:rPr>
      </w:pPr>
      <w:r>
        <w:rPr>
          <w:rFonts w:hint="eastAsia" w:ascii="宋体" w:hAnsi="宋体" w:cs="宋体"/>
          <w:szCs w:val="21"/>
        </w:rPr>
        <w:t>投标人线下提交质疑函的，质疑函需一式三份。投标人为自然人的，应当由本人签字；投标人为法人或者其他组织的，应当由法定代表人、主要负责人，或者其授权代表签字或者盖章，并加盖公章。</w:t>
      </w:r>
    </w:p>
    <w:p w14:paraId="1815E87D">
      <w:pPr>
        <w:spacing w:line="360" w:lineRule="auto"/>
        <w:ind w:left="420" w:firstLine="420" w:firstLineChars="200"/>
        <w:contextualSpacing/>
        <w:rPr>
          <w:rFonts w:ascii="宋体" w:hAnsi="宋体" w:cs="宋体"/>
          <w:szCs w:val="21"/>
        </w:rPr>
      </w:pPr>
      <w:r>
        <w:rPr>
          <w:rFonts w:hint="eastAsia" w:ascii="宋体" w:hAnsi="宋体" w:cs="宋体"/>
          <w:szCs w:val="21"/>
        </w:rPr>
        <w:t>质疑函范本及制作说明详见第七章（一），</w:t>
      </w:r>
      <w:r>
        <w:rPr>
          <w:rFonts w:hint="eastAsia" w:ascii="宋体" w:hAnsi="宋体" w:cs="宋体"/>
          <w:bCs/>
          <w:szCs w:val="21"/>
          <w:lang w:bidi="ar"/>
        </w:rPr>
        <w:t>也可去浙江政府采购网下载，下载网址：浙江政府采购网(</w:t>
      </w:r>
      <w:r>
        <w:fldChar w:fldCharType="begin"/>
      </w:r>
      <w:r>
        <w:instrText xml:space="preserve"> HYPERLINK "http://zfcg.czt.zj.gov.cn/" </w:instrText>
      </w:r>
      <w:r>
        <w:fldChar w:fldCharType="separate"/>
      </w:r>
      <w:r>
        <w:rPr>
          <w:rStyle w:val="68"/>
          <w:rFonts w:hint="eastAsia" w:ascii="宋体" w:hAnsi="宋体" w:cs="宋体"/>
          <w:szCs w:val="21"/>
        </w:rPr>
        <w:t>http://zfcg.czt.zj.gov.cn/</w:t>
      </w:r>
      <w:r>
        <w:rPr>
          <w:rStyle w:val="68"/>
          <w:rFonts w:hint="eastAsia" w:ascii="宋体" w:hAnsi="宋体" w:cs="宋体"/>
          <w:szCs w:val="21"/>
        </w:rPr>
        <w:fldChar w:fldCharType="end"/>
      </w:r>
      <w:r>
        <w:rPr>
          <w:rFonts w:hint="eastAsia" w:ascii="宋体" w:hAnsi="宋体" w:cs="宋体"/>
          <w:bCs/>
          <w:szCs w:val="21"/>
          <w:lang w:bidi="ar"/>
        </w:rPr>
        <w:t>)，位置：“首页-下载专区-质疑投诉模板”。投标人提出质疑应当提交质疑函和必要的证明材料。</w:t>
      </w:r>
    </w:p>
    <w:p w14:paraId="4814502D">
      <w:pPr>
        <w:spacing w:line="360" w:lineRule="auto"/>
        <w:ind w:left="420" w:firstLine="420" w:firstLineChars="200"/>
        <w:contextualSpacing/>
        <w:rPr>
          <w:rFonts w:ascii="宋体" w:hAnsi="宋体" w:cs="宋体"/>
          <w:szCs w:val="21"/>
        </w:rPr>
      </w:pPr>
      <w:r>
        <w:rPr>
          <w:rFonts w:hint="eastAsia" w:ascii="宋体" w:hAnsi="宋体" w:cs="宋体"/>
          <w:szCs w:val="21"/>
        </w:rPr>
        <w:t>（4）采购人或者采购代理机构应当在收到投标人的书面质疑后七个工作日内作出答复，并以书面形式通知质疑投标人和其他与质疑处理结果有利害关系的政府采购当事人，但答复的内容不得涉及商业秘密。根据《浙江省财政厅关于进一步促进政府采购公平竞争打造最优营商环境的通知》（浙财采监〔2021〕22号）,采购人或者采购代理机构在质疑答复后5个工作日内，在浙江政府采购网的“其他公告”栏目公开质疑答复，答复内容应当完整。质疑函作为附件上传。</w:t>
      </w:r>
    </w:p>
    <w:p w14:paraId="4AF931D9">
      <w:pPr>
        <w:spacing w:line="360" w:lineRule="auto"/>
        <w:ind w:left="420" w:firstLine="420" w:firstLineChars="200"/>
        <w:contextualSpacing/>
        <w:rPr>
          <w:rFonts w:ascii="宋体" w:hAnsi="宋体" w:cs="宋体"/>
          <w:szCs w:val="21"/>
        </w:rPr>
      </w:pPr>
      <w:r>
        <w:rPr>
          <w:rFonts w:hint="eastAsia" w:ascii="宋体" w:hAnsi="宋体" w:cs="宋体"/>
          <w:szCs w:val="21"/>
        </w:rPr>
        <w:t>（5）询问或者质疑事项可能影响采购结果的，采购人应当暂停签订合同，已经签订合同的，应当中止履行合同。</w:t>
      </w:r>
    </w:p>
    <w:p w14:paraId="219E525B">
      <w:pPr>
        <w:spacing w:line="360" w:lineRule="auto"/>
        <w:ind w:left="420" w:firstLine="420" w:firstLineChars="200"/>
        <w:contextualSpacing/>
        <w:rPr>
          <w:rFonts w:ascii="宋体" w:hAnsi="宋体" w:cs="宋体"/>
          <w:szCs w:val="21"/>
        </w:rPr>
      </w:pPr>
      <w:r>
        <w:rPr>
          <w:rFonts w:hint="eastAsia" w:ascii="宋体" w:hAnsi="宋体" w:cs="宋体"/>
          <w:szCs w:val="21"/>
        </w:rPr>
        <w:t>4、投标人投诉</w:t>
      </w:r>
    </w:p>
    <w:p w14:paraId="5F6CF23E">
      <w:pPr>
        <w:spacing w:line="360" w:lineRule="auto"/>
        <w:ind w:left="420" w:firstLine="420" w:firstLineChars="200"/>
        <w:contextualSpacing/>
        <w:rPr>
          <w:rFonts w:ascii="宋体" w:hAnsi="宋体" w:cs="宋体"/>
          <w:szCs w:val="21"/>
        </w:rPr>
      </w:pPr>
      <w:r>
        <w:rPr>
          <w:rFonts w:hint="eastAsia" w:ascii="宋体" w:hAnsi="宋体" w:cs="宋体"/>
          <w:szCs w:val="21"/>
        </w:rPr>
        <w:t>（1）质疑投标人对采购人、采购代理机构的答复不满意或者采购人、采购代理机构未在规定的时间内作出答复的，可以在答复期满后十五个工作日内向同级政府采购监督管理部门提出投诉。</w:t>
      </w:r>
    </w:p>
    <w:p w14:paraId="18206170">
      <w:pPr>
        <w:spacing w:line="360" w:lineRule="auto"/>
        <w:ind w:left="420" w:firstLine="420" w:firstLineChars="200"/>
        <w:contextualSpacing/>
        <w:rPr>
          <w:rFonts w:ascii="宋体" w:hAnsi="宋体" w:cs="宋体"/>
          <w:szCs w:val="21"/>
        </w:rPr>
      </w:pPr>
      <w:r>
        <w:rPr>
          <w:rFonts w:hint="eastAsia" w:ascii="宋体" w:hAnsi="宋体" w:cs="宋体"/>
          <w:szCs w:val="21"/>
        </w:rPr>
        <w:t>（2）投标人投诉的事项不得超出已质疑事项的范围，基于质疑答复内容提出的投诉事项除外。</w:t>
      </w:r>
    </w:p>
    <w:p w14:paraId="656AB0ED">
      <w:pPr>
        <w:spacing w:line="360" w:lineRule="auto"/>
        <w:ind w:left="420" w:firstLine="420" w:firstLineChars="200"/>
        <w:contextualSpacing/>
        <w:rPr>
          <w:rFonts w:ascii="宋体" w:hAnsi="宋体" w:cs="宋体"/>
          <w:szCs w:val="21"/>
        </w:rPr>
      </w:pPr>
      <w:r>
        <w:rPr>
          <w:rFonts w:hint="eastAsia" w:ascii="宋体" w:hAnsi="宋体" w:cs="宋体"/>
          <w:szCs w:val="21"/>
        </w:rPr>
        <w:t>（3）投标人投诉应当有明确的请求和必要的证明材料。</w:t>
      </w:r>
    </w:p>
    <w:p w14:paraId="24A55D5D">
      <w:pPr>
        <w:spacing w:line="360" w:lineRule="auto"/>
        <w:ind w:left="420" w:firstLine="420" w:firstLineChars="200"/>
        <w:contextualSpacing/>
        <w:rPr>
          <w:rFonts w:ascii="宋体" w:hAnsi="宋体" w:cs="宋体"/>
          <w:szCs w:val="21"/>
        </w:rPr>
      </w:pPr>
      <w:r>
        <w:rPr>
          <w:rFonts w:hint="eastAsia" w:ascii="宋体" w:hAnsi="宋体" w:cs="宋体"/>
          <w:szCs w:val="21"/>
        </w:rPr>
        <w:t>（4）以联合体形式参加政府采购活动的，其投诉应当由组成联合体的所有投标人共同提出。</w:t>
      </w:r>
    </w:p>
    <w:p w14:paraId="431E8F2B">
      <w:pPr>
        <w:pStyle w:val="73"/>
      </w:pPr>
    </w:p>
    <w:p w14:paraId="3F608421">
      <w:pPr>
        <w:pStyle w:val="74"/>
      </w:pPr>
    </w:p>
    <w:p w14:paraId="47415797"/>
    <w:p w14:paraId="7012E945"/>
    <w:p w14:paraId="5409FD73"/>
    <w:p w14:paraId="7FD3D734">
      <w:pPr>
        <w:pStyle w:val="73"/>
      </w:pPr>
    </w:p>
    <w:p w14:paraId="4ABC2046">
      <w:pPr>
        <w:pStyle w:val="74"/>
      </w:pPr>
    </w:p>
    <w:p w14:paraId="6BD49F4E"/>
    <w:p w14:paraId="3DDD05C8">
      <w:pPr>
        <w:pStyle w:val="73"/>
      </w:pPr>
    </w:p>
    <w:p w14:paraId="57E31902">
      <w:pPr>
        <w:pStyle w:val="74"/>
      </w:pPr>
    </w:p>
    <w:p w14:paraId="05B524D6"/>
    <w:p w14:paraId="20F88941"/>
    <w:p w14:paraId="7BE21BFE">
      <w:pPr>
        <w:pStyle w:val="73"/>
      </w:pPr>
    </w:p>
    <w:p w14:paraId="08C600AA">
      <w:pPr>
        <w:pStyle w:val="32"/>
        <w:snapToGrid w:val="0"/>
        <w:spacing w:before="312" w:beforeLines="100" w:after="312" w:afterLines="100" w:line="360" w:lineRule="auto"/>
        <w:ind w:left="701" w:hanging="281"/>
        <w:jc w:val="center"/>
        <w:outlineLvl w:val="1"/>
        <w:rPr>
          <w:rFonts w:ascii="黑体" w:hAnsi="黑体" w:eastAsia="黑体" w:cs="黑体"/>
          <w:b/>
          <w:sz w:val="28"/>
          <w:szCs w:val="28"/>
        </w:rPr>
      </w:pPr>
      <w:r>
        <w:rPr>
          <w:rFonts w:hint="eastAsia" w:ascii="黑体" w:hAnsi="黑体" w:eastAsia="黑体" w:cs="黑体"/>
          <w:b/>
          <w:sz w:val="28"/>
          <w:szCs w:val="28"/>
        </w:rPr>
        <w:t>二、</w:t>
      </w:r>
      <w:bookmarkEnd w:id="53"/>
      <w:r>
        <w:rPr>
          <w:rFonts w:hint="eastAsia" w:ascii="黑体" w:hAnsi="黑体" w:eastAsia="黑体" w:cs="黑体"/>
          <w:b/>
          <w:sz w:val="28"/>
          <w:szCs w:val="28"/>
        </w:rPr>
        <w:t>招标文件</w:t>
      </w:r>
    </w:p>
    <w:p w14:paraId="04FD88A4">
      <w:pPr>
        <w:snapToGrid w:val="0"/>
        <w:spacing w:line="360" w:lineRule="auto"/>
        <w:ind w:left="420" w:firstLine="472" w:firstLineChars="196"/>
        <w:jc w:val="left"/>
        <w:outlineLvl w:val="2"/>
        <w:rPr>
          <w:rFonts w:ascii="黑体" w:hAnsi="黑体" w:eastAsia="黑体" w:cs="黑体"/>
          <w:b/>
          <w:sz w:val="24"/>
        </w:rPr>
      </w:pPr>
      <w:r>
        <w:rPr>
          <w:rFonts w:hint="eastAsia" w:ascii="黑体" w:hAnsi="黑体" w:eastAsia="黑体" w:cs="黑体"/>
          <w:b/>
          <w:sz w:val="24"/>
        </w:rPr>
        <w:t>（一）招标文件的构成。本招标文件由以下部分组成：</w:t>
      </w:r>
    </w:p>
    <w:p w14:paraId="2EF4AB44">
      <w:pPr>
        <w:snapToGrid w:val="0"/>
        <w:spacing w:line="360" w:lineRule="auto"/>
        <w:ind w:left="420" w:firstLine="420" w:firstLineChars="200"/>
        <w:jc w:val="left"/>
        <w:rPr>
          <w:rFonts w:ascii="宋体" w:hAnsi="宋体" w:cs="宋体"/>
          <w:szCs w:val="21"/>
        </w:rPr>
      </w:pPr>
      <w:r>
        <w:rPr>
          <w:rFonts w:hint="eastAsia" w:ascii="宋体" w:hAnsi="宋体" w:cs="宋体"/>
          <w:szCs w:val="21"/>
        </w:rPr>
        <w:t>1.招标公告</w:t>
      </w:r>
    </w:p>
    <w:p w14:paraId="5661AE07">
      <w:pPr>
        <w:snapToGrid w:val="0"/>
        <w:spacing w:line="360" w:lineRule="auto"/>
        <w:ind w:left="420" w:firstLine="420" w:firstLineChars="200"/>
        <w:rPr>
          <w:rFonts w:ascii="宋体" w:hAnsi="宋体" w:cs="宋体"/>
          <w:szCs w:val="21"/>
        </w:rPr>
      </w:pPr>
      <w:r>
        <w:rPr>
          <w:rFonts w:hint="eastAsia" w:ascii="宋体" w:hAnsi="宋体" w:cs="宋体"/>
          <w:szCs w:val="21"/>
        </w:rPr>
        <w:t>2.采购需求</w:t>
      </w:r>
    </w:p>
    <w:p w14:paraId="72DB4CE0">
      <w:pPr>
        <w:snapToGrid w:val="0"/>
        <w:spacing w:line="360" w:lineRule="auto"/>
        <w:ind w:left="420" w:firstLine="420" w:firstLineChars="200"/>
        <w:jc w:val="left"/>
        <w:rPr>
          <w:rFonts w:ascii="宋体" w:hAnsi="宋体" w:cs="宋体"/>
          <w:szCs w:val="21"/>
        </w:rPr>
      </w:pPr>
      <w:r>
        <w:rPr>
          <w:rFonts w:hint="eastAsia" w:ascii="宋体" w:hAnsi="宋体" w:cs="宋体"/>
          <w:szCs w:val="21"/>
        </w:rPr>
        <w:t>3.投标人须知</w:t>
      </w:r>
    </w:p>
    <w:p w14:paraId="380FE62A">
      <w:pPr>
        <w:snapToGrid w:val="0"/>
        <w:spacing w:line="360" w:lineRule="auto"/>
        <w:ind w:left="420" w:firstLine="420" w:firstLineChars="200"/>
        <w:jc w:val="left"/>
        <w:rPr>
          <w:rFonts w:ascii="宋体" w:hAnsi="宋体" w:cs="宋体"/>
          <w:szCs w:val="21"/>
        </w:rPr>
      </w:pPr>
      <w:r>
        <w:rPr>
          <w:rFonts w:hint="eastAsia" w:ascii="宋体" w:hAnsi="宋体" w:cs="宋体"/>
          <w:szCs w:val="21"/>
        </w:rPr>
        <w:t>4.评标办法</w:t>
      </w:r>
    </w:p>
    <w:p w14:paraId="6453D81E">
      <w:pPr>
        <w:snapToGrid w:val="0"/>
        <w:spacing w:line="360" w:lineRule="auto"/>
        <w:ind w:left="420" w:firstLine="420" w:firstLineChars="200"/>
        <w:jc w:val="left"/>
        <w:rPr>
          <w:rFonts w:ascii="宋体" w:hAnsi="宋体" w:cs="宋体"/>
          <w:szCs w:val="21"/>
        </w:rPr>
      </w:pPr>
      <w:r>
        <w:rPr>
          <w:rFonts w:hint="eastAsia" w:ascii="宋体" w:hAnsi="宋体" w:cs="宋体"/>
          <w:szCs w:val="21"/>
        </w:rPr>
        <w:t>5.合同主要条款</w:t>
      </w:r>
    </w:p>
    <w:p w14:paraId="32B9CB5D">
      <w:pPr>
        <w:snapToGrid w:val="0"/>
        <w:spacing w:line="360" w:lineRule="auto"/>
        <w:ind w:left="420" w:firstLine="420" w:firstLineChars="200"/>
        <w:jc w:val="left"/>
        <w:rPr>
          <w:rFonts w:ascii="宋体" w:hAnsi="宋体" w:cs="宋体"/>
          <w:szCs w:val="21"/>
        </w:rPr>
      </w:pPr>
      <w:r>
        <w:rPr>
          <w:rFonts w:hint="eastAsia" w:ascii="宋体" w:hAnsi="宋体" w:cs="宋体"/>
          <w:szCs w:val="21"/>
        </w:rPr>
        <w:t>6.投标文件格式</w:t>
      </w:r>
    </w:p>
    <w:p w14:paraId="6A223071">
      <w:pPr>
        <w:snapToGrid w:val="0"/>
        <w:spacing w:line="360" w:lineRule="auto"/>
        <w:ind w:left="420" w:firstLine="420" w:firstLineChars="200"/>
        <w:jc w:val="left"/>
        <w:rPr>
          <w:rFonts w:ascii="宋体" w:hAnsi="宋体" w:cs="宋体"/>
          <w:szCs w:val="21"/>
        </w:rPr>
      </w:pPr>
      <w:r>
        <w:rPr>
          <w:rFonts w:hint="eastAsia" w:ascii="宋体" w:hAnsi="宋体" w:cs="宋体"/>
          <w:szCs w:val="21"/>
        </w:rPr>
        <w:t>7.其它</w:t>
      </w:r>
    </w:p>
    <w:p w14:paraId="5886D812">
      <w:pPr>
        <w:snapToGrid w:val="0"/>
        <w:spacing w:line="360" w:lineRule="auto"/>
        <w:ind w:left="420" w:firstLine="420" w:firstLineChars="200"/>
        <w:jc w:val="left"/>
        <w:rPr>
          <w:rFonts w:ascii="宋体" w:hAnsi="宋体" w:cs="宋体"/>
          <w:szCs w:val="21"/>
        </w:rPr>
      </w:pPr>
      <w:r>
        <w:rPr>
          <w:rFonts w:hint="eastAsia" w:ascii="宋体" w:hAnsi="宋体" w:cs="宋体"/>
          <w:szCs w:val="21"/>
        </w:rPr>
        <w:t>8.本项目招标文件的澄清、修改内容（如有）</w:t>
      </w:r>
    </w:p>
    <w:p w14:paraId="24FA24C7">
      <w:pPr>
        <w:snapToGrid w:val="0"/>
        <w:spacing w:line="360" w:lineRule="auto"/>
        <w:ind w:left="420" w:firstLine="472" w:firstLineChars="196"/>
        <w:jc w:val="left"/>
        <w:outlineLvl w:val="2"/>
        <w:rPr>
          <w:rFonts w:ascii="黑体" w:hAnsi="黑体" w:eastAsia="黑体" w:cs="黑体"/>
          <w:b/>
          <w:sz w:val="24"/>
        </w:rPr>
      </w:pPr>
      <w:r>
        <w:rPr>
          <w:rFonts w:hint="eastAsia" w:ascii="黑体" w:hAnsi="黑体" w:eastAsia="黑体" w:cs="黑体"/>
          <w:b/>
          <w:sz w:val="24"/>
        </w:rPr>
        <w:t>（二）投标人的风险</w:t>
      </w:r>
    </w:p>
    <w:p w14:paraId="4D3DD6D1">
      <w:pPr>
        <w:snapToGrid w:val="0"/>
        <w:spacing w:line="360" w:lineRule="auto"/>
        <w:ind w:left="420" w:firstLine="420" w:firstLineChars="200"/>
        <w:jc w:val="left"/>
        <w:rPr>
          <w:rFonts w:ascii="宋体" w:hAnsi="宋体" w:cs="宋体"/>
          <w:kern w:val="0"/>
          <w:szCs w:val="21"/>
        </w:rPr>
      </w:pPr>
      <w:r>
        <w:rPr>
          <w:rFonts w:hint="eastAsia" w:ascii="宋体" w:hAnsi="宋体" w:cs="宋体"/>
          <w:szCs w:val="21"/>
        </w:rPr>
        <w:t>1.</w:t>
      </w:r>
      <w:r>
        <w:rPr>
          <w:rFonts w:hint="eastAsia" w:ascii="宋体" w:hAnsi="宋体" w:cs="宋体"/>
          <w:szCs w:val="21"/>
          <w:lang w:bidi="ar"/>
        </w:rPr>
        <w:t xml:space="preserve"> </w:t>
      </w:r>
      <w:r>
        <w:rPr>
          <w:rFonts w:hint="eastAsia" w:ascii="宋体" w:hAnsi="宋体" w:cs="宋体"/>
          <w:kern w:val="0"/>
          <w:szCs w:val="21"/>
        </w:rPr>
        <w:t>投标截止时间前，投标人仅递交了“</w:t>
      </w:r>
      <w:r>
        <w:rPr>
          <w:rFonts w:hint="eastAsia" w:ascii="宋体" w:hAnsi="宋体" w:cs="宋体"/>
          <w:szCs w:val="21"/>
          <w:lang w:bidi="ar"/>
        </w:rPr>
        <w:t xml:space="preserve"> 电子</w:t>
      </w:r>
      <w:r>
        <w:rPr>
          <w:rFonts w:hint="eastAsia" w:ascii="宋体" w:hAnsi="宋体" w:cs="宋体"/>
          <w:kern w:val="0"/>
          <w:szCs w:val="21"/>
        </w:rPr>
        <w:t>备份投标文件”而未将“电子加密投标文件” 成功上传至“政府采购云平台”的，投标无效；通过“政府采购云平台”上传递交的“电子加密投标文件”无法按时解密的，如投标人未按规定递交“</w:t>
      </w:r>
      <w:r>
        <w:rPr>
          <w:rFonts w:hint="eastAsia" w:ascii="宋体" w:hAnsi="宋体" w:cs="宋体"/>
          <w:szCs w:val="21"/>
          <w:lang w:bidi="ar"/>
        </w:rPr>
        <w:t xml:space="preserve"> 电子</w:t>
      </w:r>
      <w:r>
        <w:rPr>
          <w:rFonts w:hint="eastAsia" w:ascii="宋体" w:hAnsi="宋体" w:cs="宋体"/>
          <w:kern w:val="0"/>
          <w:szCs w:val="21"/>
        </w:rPr>
        <w:t>备份投标文件”的，视为投标文件撤回；</w:t>
      </w:r>
      <w:r>
        <w:rPr>
          <w:rFonts w:hint="eastAsia" w:ascii="宋体" w:hAnsi="宋体" w:cs="宋体"/>
          <w:szCs w:val="21"/>
          <w:lang w:bidi="ar"/>
        </w:rPr>
        <w:t>在“政府采购云平台”正常运行情况下，“电子备份投标文件”无法上传至“政府采购云平台”的，视为投标文件撤回。</w:t>
      </w:r>
    </w:p>
    <w:p w14:paraId="0017E992">
      <w:pPr>
        <w:pStyle w:val="48"/>
        <w:spacing w:line="360" w:lineRule="auto"/>
        <w:ind w:left="420" w:firstLine="420"/>
        <w:rPr>
          <w:rFonts w:ascii="宋体" w:eastAsia="宋体" w:cs="宋体"/>
          <w:color w:val="auto"/>
          <w:sz w:val="21"/>
          <w:szCs w:val="21"/>
        </w:rPr>
      </w:pPr>
      <w:r>
        <w:rPr>
          <w:rFonts w:hint="eastAsia" w:ascii="宋体" w:eastAsia="宋体" w:cs="宋体"/>
          <w:color w:val="auto"/>
          <w:sz w:val="21"/>
          <w:szCs w:val="21"/>
        </w:rPr>
        <w:t>2.投标人没有按照招标文件要求提供全部资料，或者投标人没有对招标文件在各方面作出实质性响应是投标人的风险，并可能导致其投标无效。</w:t>
      </w:r>
    </w:p>
    <w:p w14:paraId="76DA9156">
      <w:pPr>
        <w:pStyle w:val="14"/>
        <w:widowControl w:val="0"/>
        <w:snapToGrid w:val="0"/>
        <w:spacing w:after="0" w:afterLines="0" w:line="360" w:lineRule="auto"/>
        <w:ind w:left="420" w:firstLine="472" w:firstLineChars="196"/>
        <w:outlineLvl w:val="2"/>
        <w:rPr>
          <w:rFonts w:ascii="黑体" w:hAnsi="黑体" w:eastAsia="黑体" w:cs="黑体"/>
          <w:b/>
          <w:szCs w:val="24"/>
        </w:rPr>
      </w:pPr>
      <w:r>
        <w:rPr>
          <w:rFonts w:hint="eastAsia" w:ascii="黑体" w:hAnsi="黑体" w:eastAsia="黑体" w:cs="黑体"/>
          <w:b/>
          <w:szCs w:val="24"/>
        </w:rPr>
        <w:t xml:space="preserve">（三）招标文件的澄清与修改 </w:t>
      </w:r>
    </w:p>
    <w:p w14:paraId="2E083632">
      <w:pPr>
        <w:pStyle w:val="32"/>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rPr>
        <w:t>1.</w:t>
      </w:r>
      <w:r>
        <w:rPr>
          <w:rFonts w:hint="eastAsia" w:hAnsi="宋体" w:cs="宋体"/>
          <w:bCs/>
          <w:sz w:val="21"/>
          <w:szCs w:val="21"/>
        </w:rPr>
        <w:t>投标人应认真阅读本招标文件，发现其中有</w:t>
      </w:r>
      <w:r>
        <w:rPr>
          <w:rFonts w:hint="eastAsia" w:hAnsi="宋体" w:cs="宋体"/>
          <w:sz w:val="21"/>
          <w:szCs w:val="21"/>
        </w:rPr>
        <w:t>表述不清晰、前后矛盾等内容的</w:t>
      </w:r>
      <w:r>
        <w:rPr>
          <w:rFonts w:hint="eastAsia" w:hAnsi="宋体" w:cs="宋体"/>
          <w:bCs/>
          <w:sz w:val="21"/>
          <w:szCs w:val="21"/>
        </w:rPr>
        <w:t>，投标人可以在前附表规定的时间内以书面形式要求采购单位澄清</w:t>
      </w:r>
      <w:r>
        <w:rPr>
          <w:rFonts w:hint="eastAsia" w:hAnsi="宋体" w:cs="宋体"/>
          <w:sz w:val="21"/>
          <w:szCs w:val="21"/>
        </w:rPr>
        <w:t>。采购单位对已发出的招标文件进行必要澄清、修改的内容可能影响投标文件编制的，应当在招标文件要求提交投标文件截止时间十五日前，在财政部门指定的政府采购信息发布媒体上发布更正公告，同时通过电子交易平台以书面形式通知所有招标文件收受人。</w:t>
      </w:r>
    </w:p>
    <w:p w14:paraId="1977550B">
      <w:pPr>
        <w:pStyle w:val="32"/>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rPr>
        <w:t>2.招标文件澄清、修改的内容为招标文件的组成部分。当招标文件与招标文件的澄清、修改通知就同一内容的表述不一致时，以最后发出的书面文件为准。</w:t>
      </w:r>
    </w:p>
    <w:p w14:paraId="14CC7893">
      <w:pPr>
        <w:pStyle w:val="32"/>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rPr>
        <w:t>3.招标文件的澄清、修改都应该通过本项目采购代理机构发布。</w:t>
      </w:r>
    </w:p>
    <w:p w14:paraId="7E06CB92">
      <w:pPr>
        <w:pStyle w:val="32"/>
        <w:snapToGrid w:val="0"/>
        <w:spacing w:before="312" w:beforeLines="100" w:after="312" w:afterLines="100" w:line="360" w:lineRule="auto"/>
        <w:ind w:left="701" w:hanging="281"/>
        <w:jc w:val="center"/>
        <w:outlineLvl w:val="1"/>
        <w:rPr>
          <w:rFonts w:ascii="黑体" w:hAnsi="黑体" w:eastAsia="黑体" w:cs="黑体"/>
          <w:b/>
          <w:sz w:val="28"/>
          <w:szCs w:val="28"/>
        </w:rPr>
      </w:pPr>
      <w:r>
        <w:rPr>
          <w:rFonts w:hint="eastAsia" w:ascii="黑体" w:hAnsi="黑体" w:eastAsia="黑体" w:cs="黑体"/>
          <w:b/>
          <w:sz w:val="28"/>
          <w:szCs w:val="28"/>
        </w:rPr>
        <w:t>三、投标文件</w:t>
      </w:r>
    </w:p>
    <w:p w14:paraId="5388F4F6">
      <w:pPr>
        <w:snapToGrid w:val="0"/>
        <w:spacing w:line="360" w:lineRule="auto"/>
        <w:ind w:left="420" w:firstLine="472" w:firstLineChars="196"/>
        <w:jc w:val="left"/>
        <w:outlineLvl w:val="2"/>
        <w:rPr>
          <w:rFonts w:ascii="黑体" w:hAnsi="黑体" w:eastAsia="黑体" w:cs="黑体"/>
          <w:b/>
          <w:sz w:val="24"/>
        </w:rPr>
      </w:pPr>
      <w:bookmarkStart w:id="54" w:name="_Toc66379539"/>
      <w:r>
        <w:rPr>
          <w:rFonts w:hint="eastAsia" w:ascii="黑体" w:hAnsi="黑体" w:eastAsia="黑体" w:cs="黑体"/>
          <w:b/>
          <w:sz w:val="24"/>
        </w:rPr>
        <w:t>（一）投标文件的组成</w:t>
      </w:r>
      <w:bookmarkEnd w:id="54"/>
    </w:p>
    <w:p w14:paraId="51F84FAD">
      <w:pPr>
        <w:snapToGrid w:val="0"/>
        <w:spacing w:line="360" w:lineRule="auto"/>
        <w:ind w:left="420" w:firstLine="411" w:firstLineChars="196"/>
        <w:jc w:val="left"/>
        <w:rPr>
          <w:rFonts w:ascii="宋体" w:hAnsi="宋体" w:cs="宋体"/>
          <w:szCs w:val="21"/>
          <w:lang w:bidi="ar"/>
        </w:rPr>
      </w:pPr>
      <w:r>
        <w:rPr>
          <w:rFonts w:hint="eastAsia" w:ascii="宋体" w:hAnsi="宋体" w:cs="宋体"/>
          <w:szCs w:val="21"/>
          <w:lang w:bidi="ar"/>
        </w:rPr>
        <w:t>本项目所称投标文件系指电子投标文件或备份投标文件。投标文件需按照本招标文件和电子交易平台的要求制作、加密并递交。</w:t>
      </w:r>
    </w:p>
    <w:p w14:paraId="526BD480">
      <w:pPr>
        <w:snapToGrid w:val="0"/>
        <w:spacing w:line="360" w:lineRule="auto"/>
        <w:ind w:left="420" w:firstLine="413" w:firstLineChars="196"/>
        <w:jc w:val="left"/>
        <w:rPr>
          <w:rFonts w:ascii="宋体" w:hAnsi="宋体" w:cs="宋体"/>
          <w:b/>
          <w:bCs/>
          <w:szCs w:val="21"/>
          <w:lang w:bidi="ar"/>
        </w:rPr>
      </w:pPr>
      <w:r>
        <w:rPr>
          <w:rFonts w:hint="eastAsia" w:ascii="宋体" w:hAnsi="宋体" w:cs="宋体"/>
          <w:b/>
          <w:bCs/>
          <w:szCs w:val="21"/>
          <w:lang w:bidi="ar"/>
        </w:rPr>
        <w:t>电子投标文件每个标项由资格证明文件、技术商务文件、报价文件三部份组成，具体组成和内容详见“第六章  投标文件格式”。备份投标文件的组成和内容等同电子投标文件。</w:t>
      </w:r>
    </w:p>
    <w:p w14:paraId="108EAFA1">
      <w:pPr>
        <w:snapToGrid w:val="0"/>
        <w:spacing w:line="360" w:lineRule="auto"/>
        <w:ind w:left="420" w:firstLine="413" w:firstLineChars="196"/>
        <w:jc w:val="left"/>
        <w:rPr>
          <w:rFonts w:ascii="仿宋" w:hAnsi="仿宋" w:eastAsia="仿宋" w:cs="仿宋"/>
          <w:bCs/>
          <w:sz w:val="28"/>
          <w:szCs w:val="28"/>
        </w:rPr>
      </w:pPr>
      <w:r>
        <w:rPr>
          <w:rFonts w:hint="eastAsia" w:ascii="宋体" w:hAnsi="宋体" w:cs="宋体"/>
          <w:b/>
          <w:bCs/>
          <w:szCs w:val="21"/>
          <w:lang w:bidi="ar"/>
        </w:rPr>
        <w:t>注：</w:t>
      </w:r>
      <w:r>
        <w:rPr>
          <w:rFonts w:hint="eastAsia" w:cs="宋体"/>
          <w:b/>
          <w:bCs/>
          <w:szCs w:val="21"/>
          <w:lang w:bidi="ar"/>
        </w:rPr>
        <w:t>所有</w:t>
      </w:r>
      <w:r>
        <w:rPr>
          <w:rFonts w:hint="eastAsia" w:ascii="宋体" w:hAnsi="宋体" w:cs="宋体"/>
          <w:b/>
          <w:bCs/>
          <w:szCs w:val="21"/>
          <w:lang w:bidi="ar"/>
        </w:rPr>
        <w:t>表</w:t>
      </w:r>
      <w:r>
        <w:rPr>
          <w:rFonts w:hint="eastAsia" w:cs="宋体"/>
          <w:b/>
          <w:bCs/>
          <w:szCs w:val="21"/>
          <w:lang w:bidi="ar"/>
        </w:rPr>
        <w:t>格</w:t>
      </w:r>
      <w:r>
        <w:rPr>
          <w:rFonts w:hint="eastAsia" w:ascii="宋体" w:hAnsi="宋体" w:cs="宋体"/>
          <w:b/>
          <w:bCs/>
          <w:szCs w:val="21"/>
          <w:lang w:bidi="ar"/>
        </w:rPr>
        <w:t>必须按招标文件格式要求正确签署并加盖投标人公章。投标文件中所须加盖公章部分均采用CA签章。</w:t>
      </w:r>
    </w:p>
    <w:p w14:paraId="1986A3C3">
      <w:pPr>
        <w:snapToGrid w:val="0"/>
        <w:spacing w:line="360" w:lineRule="auto"/>
        <w:ind w:left="420" w:firstLine="472" w:firstLineChars="196"/>
        <w:jc w:val="left"/>
        <w:outlineLvl w:val="2"/>
        <w:rPr>
          <w:rFonts w:ascii="黑体" w:hAnsi="黑体" w:eastAsia="黑体" w:cs="黑体"/>
          <w:b/>
          <w:sz w:val="24"/>
        </w:rPr>
      </w:pPr>
      <w:bookmarkStart w:id="55" w:name="_Toc66379540"/>
      <w:r>
        <w:rPr>
          <w:rFonts w:hint="eastAsia" w:ascii="黑体" w:hAnsi="黑体" w:eastAsia="黑体" w:cs="黑体"/>
          <w:b/>
          <w:sz w:val="24"/>
        </w:rPr>
        <w:t>（二）投标文件的语言及计量</w:t>
      </w:r>
      <w:bookmarkEnd w:id="55"/>
    </w:p>
    <w:p w14:paraId="5E83336E">
      <w:pPr>
        <w:snapToGrid w:val="0"/>
        <w:spacing w:line="360" w:lineRule="auto"/>
        <w:ind w:left="420" w:firstLine="420" w:firstLineChars="200"/>
        <w:jc w:val="left"/>
        <w:rPr>
          <w:rFonts w:ascii="宋体" w:hAnsi="宋体" w:cs="宋体"/>
          <w:szCs w:val="21"/>
        </w:rPr>
      </w:pPr>
      <w:r>
        <w:rPr>
          <w:rFonts w:hint="eastAsia" w:ascii="宋体" w:hAnsi="宋体" w:cs="宋体"/>
          <w:szCs w:val="21"/>
        </w:rPr>
        <w:t xml:space="preserve">1投标文件以及投标方与采购方就有关投标事宜的所有来往函电，均应以中文汉语书写。除签名、盖章、专用名称等特殊情形外，以中文汉语以外的文字表述的投标文件视同未提供。 </w:t>
      </w:r>
    </w:p>
    <w:p w14:paraId="79390BDF">
      <w:pPr>
        <w:snapToGrid w:val="0"/>
        <w:spacing w:line="360" w:lineRule="auto"/>
        <w:ind w:left="420" w:firstLine="420" w:firstLineChars="200"/>
        <w:jc w:val="left"/>
        <w:rPr>
          <w:rFonts w:ascii="宋体" w:hAnsi="宋体" w:cs="宋体"/>
          <w:szCs w:val="21"/>
        </w:rPr>
      </w:pPr>
      <w:r>
        <w:rPr>
          <w:rFonts w:hint="eastAsia" w:ascii="宋体" w:hAnsi="宋体" w:cs="宋体"/>
          <w:szCs w:val="21"/>
        </w:rPr>
        <w:t>2投标计量单位，招标文件已有明确规定的，使用招标文件规定的计量单位；招标文件没有规定的，应采用中华人民共和国法定计量单位（货币单位：人民币元），否则视同未响应。</w:t>
      </w:r>
    </w:p>
    <w:p w14:paraId="212CDCBF">
      <w:pPr>
        <w:snapToGrid w:val="0"/>
        <w:spacing w:line="360" w:lineRule="auto"/>
        <w:ind w:left="420" w:firstLine="472" w:firstLineChars="196"/>
        <w:jc w:val="left"/>
        <w:outlineLvl w:val="2"/>
        <w:rPr>
          <w:rFonts w:ascii="黑体" w:hAnsi="黑体" w:eastAsia="黑体" w:cs="黑体"/>
          <w:b/>
          <w:sz w:val="24"/>
        </w:rPr>
      </w:pPr>
      <w:bookmarkStart w:id="56" w:name="_Toc66379541"/>
      <w:r>
        <w:rPr>
          <w:rFonts w:hint="eastAsia" w:ascii="黑体" w:hAnsi="黑体" w:eastAsia="黑体" w:cs="黑体"/>
          <w:b/>
          <w:sz w:val="24"/>
        </w:rPr>
        <w:t>（三）投标报价</w:t>
      </w:r>
      <w:bookmarkEnd w:id="56"/>
    </w:p>
    <w:p w14:paraId="78CC10E8">
      <w:pPr>
        <w:snapToGrid w:val="0"/>
        <w:spacing w:line="360" w:lineRule="auto"/>
        <w:ind w:left="420" w:firstLine="420" w:firstLineChars="200"/>
        <w:jc w:val="left"/>
        <w:rPr>
          <w:rFonts w:ascii="宋体" w:hAnsi="宋体" w:cs="宋体"/>
          <w:szCs w:val="21"/>
        </w:rPr>
      </w:pPr>
      <w:r>
        <w:rPr>
          <w:rFonts w:hint="eastAsia" w:ascii="宋体" w:hAnsi="宋体" w:cs="宋体"/>
          <w:szCs w:val="21"/>
        </w:rPr>
        <w:t>1.投标报价应按电子交易平台有关格式填写。</w:t>
      </w:r>
    </w:p>
    <w:p w14:paraId="7629B1BA">
      <w:pPr>
        <w:snapToGrid w:val="0"/>
        <w:spacing w:line="360" w:lineRule="auto"/>
        <w:ind w:left="420" w:firstLine="420" w:firstLineChars="200"/>
        <w:jc w:val="left"/>
        <w:rPr>
          <w:rFonts w:ascii="宋体" w:hAnsi="宋体" w:cs="宋体"/>
          <w:szCs w:val="21"/>
        </w:rPr>
      </w:pPr>
      <w:r>
        <w:rPr>
          <w:rFonts w:hint="eastAsia" w:ascii="宋体" w:hAnsi="宋体" w:cs="宋体"/>
          <w:szCs w:val="21"/>
        </w:rPr>
        <w:t>2.报价要求具体详见“第三章 投标人须知前附表”。</w:t>
      </w:r>
    </w:p>
    <w:p w14:paraId="34E1843C">
      <w:pPr>
        <w:snapToGrid w:val="0"/>
        <w:spacing w:line="360" w:lineRule="auto"/>
        <w:ind w:left="420" w:firstLine="420" w:firstLineChars="200"/>
        <w:jc w:val="left"/>
        <w:rPr>
          <w:rFonts w:ascii="宋体" w:hAnsi="宋体" w:cs="宋体"/>
          <w:szCs w:val="21"/>
        </w:rPr>
      </w:pPr>
      <w:r>
        <w:rPr>
          <w:rFonts w:hint="eastAsia" w:ascii="宋体" w:hAnsi="宋体" w:cs="宋体"/>
          <w:szCs w:val="21"/>
        </w:rPr>
        <w:t>3.不论采购结果如何，投标人均应自行承担所有与此次投标有关的全部费用。</w:t>
      </w:r>
    </w:p>
    <w:p w14:paraId="16323DE1">
      <w:pPr>
        <w:snapToGrid w:val="0"/>
        <w:spacing w:line="360" w:lineRule="auto"/>
        <w:ind w:left="420" w:firstLine="420" w:firstLineChars="200"/>
        <w:jc w:val="left"/>
        <w:rPr>
          <w:rFonts w:ascii="宋体" w:hAnsi="宋体" w:cs="宋体"/>
          <w:szCs w:val="21"/>
        </w:rPr>
      </w:pPr>
      <w:r>
        <w:rPr>
          <w:rFonts w:hint="eastAsia" w:ascii="宋体" w:hAnsi="宋体" w:cs="宋体"/>
          <w:szCs w:val="21"/>
        </w:rPr>
        <w:t>4.投标报价是指一次性报出不得修改的价格，投标报价应按招标文件中相关附表格式填写。</w:t>
      </w:r>
    </w:p>
    <w:p w14:paraId="5BFF6155">
      <w:pPr>
        <w:snapToGrid w:val="0"/>
        <w:spacing w:line="360" w:lineRule="auto"/>
        <w:ind w:left="420" w:firstLine="420" w:firstLineChars="200"/>
        <w:jc w:val="left"/>
        <w:rPr>
          <w:szCs w:val="21"/>
        </w:rPr>
      </w:pPr>
      <w:r>
        <w:rPr>
          <w:rFonts w:hint="eastAsia" w:ascii="宋体" w:hAnsi="宋体" w:cs="宋体"/>
          <w:szCs w:val="21"/>
        </w:rPr>
        <w:t>5.投标报</w:t>
      </w:r>
      <w:r>
        <w:rPr>
          <w:szCs w:val="21"/>
        </w:rPr>
        <w:t>价是履行合同的最终价格，应包括完成所有产品供货及履行所有规定服务所产生的全部费用。</w:t>
      </w:r>
    </w:p>
    <w:p w14:paraId="43A294F2">
      <w:pPr>
        <w:snapToGrid w:val="0"/>
        <w:spacing w:line="360" w:lineRule="auto"/>
        <w:ind w:left="420" w:firstLine="420" w:firstLineChars="200"/>
        <w:jc w:val="left"/>
        <w:rPr>
          <w:rFonts w:ascii="宋体" w:hAnsi="宋体" w:cs="宋体"/>
          <w:bCs/>
          <w:szCs w:val="21"/>
          <w:lang w:bidi="ar"/>
        </w:rPr>
      </w:pPr>
      <w:r>
        <w:rPr>
          <w:rFonts w:hint="eastAsia" w:ascii="宋体" w:hAnsi="宋体" w:cs="宋体"/>
          <w:szCs w:val="21"/>
        </w:rPr>
        <w:t>6.投标文件只允许有一个报价，有选择或有条件的报价将不予接受，其投标无效。</w:t>
      </w:r>
      <w:r>
        <w:rPr>
          <w:rFonts w:hint="eastAsia" w:ascii="宋体" w:hAnsi="宋体" w:cs="宋体"/>
          <w:bCs/>
          <w:szCs w:val="21"/>
          <w:lang w:bidi="ar"/>
        </w:rPr>
        <w:t>投标报价应按招标文件中相关附表格式填报，该投标报价应与明细报价汇总相等，且不允许出现报价优惠等字样。投标总价不为零，报价明细表中部分产品、服务单价为零的，视作已包含在总价中。</w:t>
      </w:r>
    </w:p>
    <w:p w14:paraId="558293BE">
      <w:pPr>
        <w:snapToGrid w:val="0"/>
        <w:spacing w:line="360" w:lineRule="auto"/>
        <w:ind w:left="420" w:firstLine="420" w:firstLineChars="200"/>
        <w:jc w:val="left"/>
        <w:rPr>
          <w:rFonts w:ascii="宋体" w:hAnsi="宋体" w:cs="宋体"/>
          <w:bCs/>
          <w:szCs w:val="21"/>
          <w:lang w:bidi="ar"/>
        </w:rPr>
      </w:pPr>
      <w:r>
        <w:rPr>
          <w:rFonts w:hint="eastAsia" w:ascii="宋体" w:hAnsi="宋体" w:cs="宋体"/>
          <w:bCs/>
          <w:szCs w:val="21"/>
          <w:lang w:bidi="ar"/>
        </w:rPr>
        <w:t>7.投标报价金额到元为止，如投标报价总价出现角、分，将被抹除。</w:t>
      </w:r>
    </w:p>
    <w:p w14:paraId="5F552702">
      <w:pPr>
        <w:snapToGrid w:val="0"/>
        <w:spacing w:line="360" w:lineRule="auto"/>
        <w:ind w:left="420" w:firstLine="420" w:firstLineChars="200"/>
        <w:jc w:val="left"/>
        <w:rPr>
          <w:rFonts w:ascii="宋体" w:hAnsi="宋体" w:cs="宋体"/>
          <w:bCs/>
          <w:szCs w:val="21"/>
        </w:rPr>
      </w:pPr>
      <w:r>
        <w:rPr>
          <w:rFonts w:hint="eastAsia" w:ascii="宋体" w:hAnsi="宋体" w:cs="宋体"/>
          <w:bCs/>
          <w:szCs w:val="21"/>
          <w:lang w:bidi="ar"/>
        </w:rPr>
        <w:t>8.资格证明文件、商务技术文件中不得出现投标报价信息，否则按无效标处理。</w:t>
      </w:r>
    </w:p>
    <w:p w14:paraId="428C5F1A">
      <w:pPr>
        <w:pStyle w:val="14"/>
        <w:widowControl w:val="0"/>
        <w:snapToGrid w:val="0"/>
        <w:spacing w:after="0" w:afterLines="0" w:line="360" w:lineRule="auto"/>
        <w:ind w:left="420" w:firstLine="411" w:firstLineChars="196"/>
        <w:rPr>
          <w:rFonts w:ascii="宋体" w:hAnsi="宋体" w:cs="宋体"/>
          <w:b/>
          <w:kern w:val="2"/>
          <w:sz w:val="21"/>
          <w:szCs w:val="21"/>
          <w:lang w:bidi="ar"/>
        </w:rPr>
      </w:pPr>
      <w:r>
        <w:rPr>
          <w:rFonts w:hint="eastAsia" w:ascii="宋体" w:hAnsi="宋体" w:cs="宋体"/>
          <w:bCs/>
          <w:kern w:val="2"/>
          <w:sz w:val="21"/>
          <w:szCs w:val="21"/>
          <w:lang w:bidi="ar"/>
        </w:rPr>
        <w:t>9.投标人不得进行影响产品质量或者诚信履约的恶意报价。投标人在项目评审前准备好报价核算、报价明细、报价说明等材料，以备评审专家核查。</w:t>
      </w:r>
      <w:r>
        <w:rPr>
          <w:rFonts w:hint="eastAsia" w:ascii="宋体" w:hAnsi="宋体" w:cs="宋体"/>
          <w:b/>
          <w:kern w:val="2"/>
          <w:sz w:val="21"/>
          <w:szCs w:val="21"/>
          <w:lang w:bidi="ar"/>
        </w:rPr>
        <w:t>投标人报价低于项目预算50%的，应当在报价文件中详细阐述不影响产品质量或者诚信履约的具体原因。</w:t>
      </w:r>
    </w:p>
    <w:p w14:paraId="52AC3587">
      <w:pPr>
        <w:pStyle w:val="14"/>
        <w:widowControl w:val="0"/>
        <w:snapToGrid w:val="0"/>
        <w:spacing w:after="0" w:afterLines="0" w:line="360" w:lineRule="auto"/>
        <w:ind w:left="420" w:firstLine="472" w:firstLineChars="196"/>
        <w:outlineLvl w:val="2"/>
        <w:rPr>
          <w:rFonts w:ascii="黑体" w:hAnsi="黑体" w:eastAsia="黑体" w:cs="黑体"/>
          <w:b/>
          <w:szCs w:val="24"/>
        </w:rPr>
      </w:pPr>
      <w:r>
        <w:rPr>
          <w:rFonts w:hint="eastAsia" w:ascii="黑体" w:hAnsi="黑体" w:eastAsia="黑体" w:cs="黑体"/>
          <w:b/>
          <w:szCs w:val="24"/>
        </w:rPr>
        <w:t>（四）投标文件的有效期</w:t>
      </w:r>
    </w:p>
    <w:p w14:paraId="3992BC25">
      <w:pPr>
        <w:pStyle w:val="14"/>
        <w:widowControl w:val="0"/>
        <w:snapToGrid w:val="0"/>
        <w:spacing w:after="0" w:afterLines="0" w:line="360" w:lineRule="auto"/>
        <w:ind w:left="420" w:firstLine="420" w:firstLineChars="200"/>
        <w:rPr>
          <w:rFonts w:ascii="宋体" w:hAnsi="宋体" w:cs="宋体"/>
          <w:sz w:val="21"/>
          <w:szCs w:val="21"/>
        </w:rPr>
      </w:pPr>
      <w:r>
        <w:rPr>
          <w:rFonts w:hint="eastAsia" w:ascii="宋体" w:hAnsi="宋体" w:cs="宋体"/>
          <w:sz w:val="21"/>
          <w:szCs w:val="21"/>
        </w:rPr>
        <w:t>1.自投标截止日起</w:t>
      </w:r>
      <w:r>
        <w:rPr>
          <w:rFonts w:hint="eastAsia" w:ascii="宋体" w:hAnsi="宋体" w:cs="宋体"/>
          <w:sz w:val="21"/>
          <w:szCs w:val="21"/>
          <w:u w:val="single"/>
        </w:rPr>
        <w:t xml:space="preserve"> 90</w:t>
      </w:r>
      <w:r>
        <w:rPr>
          <w:rFonts w:hint="eastAsia" w:ascii="宋体" w:hAnsi="宋体" w:cs="宋体"/>
          <w:sz w:val="21"/>
          <w:szCs w:val="21"/>
        </w:rPr>
        <w:t>天投标文件应保持有效。有效期不足的投标文件将被视为无效。</w:t>
      </w:r>
    </w:p>
    <w:p w14:paraId="4EADC6FC">
      <w:pPr>
        <w:pStyle w:val="14"/>
        <w:widowControl w:val="0"/>
        <w:snapToGrid w:val="0"/>
        <w:spacing w:after="0" w:afterLines="0" w:line="360" w:lineRule="auto"/>
        <w:ind w:left="420" w:firstLine="420" w:firstLineChars="200"/>
        <w:rPr>
          <w:rFonts w:ascii="宋体" w:hAnsi="宋体" w:cs="宋体"/>
          <w:sz w:val="21"/>
          <w:szCs w:val="21"/>
        </w:rPr>
      </w:pPr>
      <w:r>
        <w:rPr>
          <w:rFonts w:hint="eastAsia" w:ascii="宋体" w:hAnsi="宋体" w:cs="宋体"/>
          <w:sz w:val="21"/>
          <w:szCs w:val="21"/>
        </w:rPr>
        <w:t>2.在特殊情况下，采购人可与投标人协商延长投标书的有效期，这种要求和答复均以书面形式进行。</w:t>
      </w:r>
    </w:p>
    <w:p w14:paraId="77D8034B">
      <w:pPr>
        <w:snapToGrid w:val="0"/>
        <w:spacing w:line="360" w:lineRule="auto"/>
        <w:ind w:left="420" w:firstLine="420" w:firstLineChars="200"/>
        <w:jc w:val="left"/>
        <w:rPr>
          <w:rFonts w:ascii="宋体" w:hAnsi="宋体" w:cs="宋体"/>
          <w:b/>
          <w:szCs w:val="21"/>
        </w:rPr>
      </w:pPr>
      <w:bookmarkStart w:id="57" w:name="_Toc66379542"/>
      <w:r>
        <w:rPr>
          <w:rFonts w:hint="eastAsia" w:ascii="宋体" w:hAnsi="宋体" w:cs="宋体"/>
          <w:szCs w:val="21"/>
        </w:rPr>
        <w:t>3.投标人可拒绝接受延期要求。同意延长有效期的，投标人不能修改其投标文件。</w:t>
      </w:r>
      <w:bookmarkEnd w:id="57"/>
      <w:r>
        <w:rPr>
          <w:rFonts w:hint="eastAsia" w:ascii="宋体" w:hAnsi="宋体" w:cs="宋体"/>
          <w:b/>
          <w:szCs w:val="21"/>
        </w:rPr>
        <w:t xml:space="preserve"> </w:t>
      </w:r>
    </w:p>
    <w:p w14:paraId="4ACAB0E5">
      <w:pPr>
        <w:snapToGrid w:val="0"/>
        <w:spacing w:line="360" w:lineRule="auto"/>
        <w:ind w:left="420" w:firstLine="420" w:firstLineChars="200"/>
        <w:jc w:val="left"/>
        <w:rPr>
          <w:rFonts w:ascii="宋体" w:hAnsi="宋体" w:cs="宋体"/>
          <w:b/>
          <w:szCs w:val="21"/>
        </w:rPr>
      </w:pPr>
      <w:bookmarkStart w:id="58" w:name="_Toc66379543"/>
      <w:r>
        <w:rPr>
          <w:rFonts w:hint="eastAsia" w:ascii="宋体" w:hAnsi="宋体" w:cs="宋体"/>
          <w:szCs w:val="21"/>
        </w:rPr>
        <w:t>4.中标人的投标文件自开标之日起至合同履行完毕止均应保持有效。</w:t>
      </w:r>
      <w:bookmarkEnd w:id="58"/>
    </w:p>
    <w:p w14:paraId="4A89128B">
      <w:pPr>
        <w:snapToGrid w:val="0"/>
        <w:spacing w:line="360" w:lineRule="auto"/>
        <w:ind w:left="420" w:firstLine="472" w:firstLineChars="196"/>
        <w:jc w:val="left"/>
        <w:outlineLvl w:val="2"/>
        <w:rPr>
          <w:rFonts w:ascii="黑体" w:hAnsi="黑体" w:eastAsia="黑体" w:cs="黑体"/>
          <w:b/>
          <w:sz w:val="24"/>
        </w:rPr>
      </w:pPr>
      <w:bookmarkStart w:id="59" w:name="_Toc66379544"/>
      <w:r>
        <w:rPr>
          <w:rFonts w:hint="eastAsia" w:ascii="黑体" w:hAnsi="黑体" w:eastAsia="黑体" w:cs="黑体"/>
          <w:b/>
          <w:sz w:val="24"/>
        </w:rPr>
        <w:t>（五）投标文件的编制</w:t>
      </w:r>
      <w:bookmarkEnd w:id="59"/>
    </w:p>
    <w:p w14:paraId="22A4C974">
      <w:pPr>
        <w:autoSpaceDE w:val="0"/>
        <w:autoSpaceDN w:val="0"/>
        <w:adjustRightInd w:val="0"/>
        <w:snapToGrid w:val="0"/>
        <w:spacing w:line="360" w:lineRule="auto"/>
        <w:ind w:left="359" w:leftChars="171" w:firstLine="105" w:firstLineChars="50"/>
        <w:jc w:val="left"/>
        <w:rPr>
          <w:rFonts w:ascii="宋体" w:hAnsi="宋体" w:cs="宋体"/>
          <w:szCs w:val="21"/>
          <w:lang w:bidi="ar"/>
        </w:rPr>
      </w:pPr>
      <w:r>
        <w:rPr>
          <w:rFonts w:hint="eastAsia" w:ascii="宋体" w:hAnsi="宋体" w:cs="宋体"/>
          <w:szCs w:val="21"/>
          <w:lang w:bidi="ar"/>
        </w:rPr>
        <w:t>1、“电子加密投标文件”：</w:t>
      </w:r>
    </w:p>
    <w:p w14:paraId="5876815E">
      <w:pPr>
        <w:autoSpaceDE w:val="0"/>
        <w:autoSpaceDN w:val="0"/>
        <w:adjustRightInd w:val="0"/>
        <w:snapToGrid w:val="0"/>
        <w:spacing w:line="360" w:lineRule="auto"/>
        <w:ind w:left="420" w:firstLine="420" w:firstLineChars="200"/>
        <w:jc w:val="left"/>
        <w:rPr>
          <w:rFonts w:ascii="宋体" w:hAnsi="宋体" w:cs="宋体"/>
          <w:szCs w:val="21"/>
          <w:lang w:bidi="ar"/>
        </w:rPr>
      </w:pPr>
      <w:r>
        <w:rPr>
          <w:rFonts w:hint="eastAsia" w:ascii="宋体" w:hAnsi="宋体" w:cs="宋体"/>
          <w:szCs w:val="21"/>
          <w:lang w:bidi="ar"/>
        </w:rPr>
        <w:t>（1）“电子加密投标文件”是指通过“政采云电子交易客户端”完成投标文件编制后生成并加密的数据电文形式的投标文件</w:t>
      </w:r>
      <w:r>
        <w:rPr>
          <w:rFonts w:hint="eastAsia" w:ascii="宋体" w:hAnsi="宋体" w:cs="宋体"/>
          <w:b/>
          <w:bCs/>
          <w:szCs w:val="21"/>
          <w:lang w:bidi="ar"/>
        </w:rPr>
        <w:t>（文件扩展名为.jmbs）</w:t>
      </w:r>
      <w:r>
        <w:rPr>
          <w:rFonts w:hint="eastAsia" w:ascii="宋体" w:hAnsi="宋体" w:cs="宋体"/>
          <w:szCs w:val="21"/>
          <w:lang w:bidi="ar"/>
        </w:rPr>
        <w:t>。</w:t>
      </w:r>
    </w:p>
    <w:p w14:paraId="1C3B4FD4">
      <w:pPr>
        <w:autoSpaceDE w:val="0"/>
        <w:autoSpaceDN w:val="0"/>
        <w:adjustRightInd w:val="0"/>
        <w:snapToGrid w:val="0"/>
        <w:spacing w:line="360" w:lineRule="auto"/>
        <w:ind w:left="420" w:firstLine="420" w:firstLineChars="200"/>
        <w:jc w:val="left"/>
        <w:rPr>
          <w:rFonts w:ascii="宋体" w:hAnsi="宋体" w:cs="宋体"/>
          <w:szCs w:val="21"/>
          <w:lang w:bidi="ar"/>
        </w:rPr>
      </w:pPr>
      <w:r>
        <w:rPr>
          <w:rFonts w:hint="eastAsia" w:ascii="宋体" w:hAnsi="宋体" w:cs="宋体"/>
          <w:szCs w:val="21"/>
          <w:lang w:bidi="ar"/>
        </w:rPr>
        <w:t>（2）投标人应先安装“政采云电子交易客户端”，并按照本招标文件和“政府采购云平台”的要求，通过“政采云电子交易客户端”编制并加密投标文件。</w:t>
      </w:r>
    </w:p>
    <w:p w14:paraId="7EC3208F">
      <w:pPr>
        <w:snapToGrid w:val="0"/>
        <w:spacing w:line="360" w:lineRule="auto"/>
        <w:ind w:left="359" w:leftChars="171" w:firstLine="105" w:firstLineChars="50"/>
        <w:rPr>
          <w:rFonts w:ascii="宋体" w:hAnsi="宋体" w:cs="宋体"/>
          <w:szCs w:val="21"/>
          <w:lang w:bidi="ar"/>
        </w:rPr>
      </w:pPr>
      <w:r>
        <w:rPr>
          <w:rFonts w:hint="eastAsia" w:ascii="宋体" w:hAnsi="宋体" w:cs="宋体"/>
          <w:szCs w:val="21"/>
          <w:lang w:bidi="ar"/>
        </w:rPr>
        <w:t>2、“电子备份投标文件”：</w:t>
      </w:r>
    </w:p>
    <w:p w14:paraId="2BCA0797">
      <w:pPr>
        <w:snapToGrid w:val="0"/>
        <w:spacing w:line="360" w:lineRule="auto"/>
        <w:ind w:left="420" w:firstLine="420" w:firstLineChars="200"/>
        <w:rPr>
          <w:rFonts w:ascii="宋体" w:hAnsi="宋体" w:cs="宋体"/>
          <w:szCs w:val="21"/>
          <w:lang w:bidi="ar"/>
        </w:rPr>
      </w:pPr>
      <w:r>
        <w:rPr>
          <w:rFonts w:hint="eastAsia" w:ascii="宋体" w:hAnsi="宋体" w:cs="宋体"/>
          <w:szCs w:val="21"/>
          <w:lang w:bidi="ar"/>
        </w:rPr>
        <w:t>（1）“电子备份投标文件”是指与“电子加密投标文件”同时生成的数据电文形式的电子文件</w:t>
      </w:r>
      <w:r>
        <w:rPr>
          <w:rFonts w:hint="eastAsia" w:ascii="宋体" w:hAnsi="宋体" w:cs="宋体"/>
          <w:b/>
          <w:bCs/>
          <w:szCs w:val="21"/>
          <w:lang w:bidi="ar"/>
        </w:rPr>
        <w:t>（文件扩展名为.bfbs）</w:t>
      </w:r>
      <w:r>
        <w:rPr>
          <w:rFonts w:hint="eastAsia" w:ascii="宋体" w:hAnsi="宋体" w:cs="宋体"/>
          <w:szCs w:val="21"/>
          <w:lang w:bidi="ar"/>
        </w:rPr>
        <w:t>。</w:t>
      </w:r>
    </w:p>
    <w:p w14:paraId="32BBBADE">
      <w:pPr>
        <w:snapToGrid w:val="0"/>
        <w:spacing w:line="360" w:lineRule="auto"/>
        <w:ind w:left="420" w:firstLine="420" w:firstLineChars="200"/>
        <w:rPr>
          <w:rFonts w:ascii="宋体" w:hAnsi="宋体" w:cs="宋体"/>
          <w:szCs w:val="21"/>
          <w:lang w:bidi="ar"/>
        </w:rPr>
      </w:pPr>
      <w:r>
        <w:rPr>
          <w:rFonts w:hint="eastAsia" w:ascii="宋体" w:hAnsi="宋体" w:cs="宋体"/>
          <w:szCs w:val="21"/>
          <w:lang w:bidi="ar"/>
        </w:rPr>
        <w:t>（2）投标人可自主选择是否编制“电子备份投标文件”。</w:t>
      </w:r>
    </w:p>
    <w:p w14:paraId="23738718">
      <w:pPr>
        <w:snapToGrid w:val="0"/>
        <w:spacing w:line="360" w:lineRule="auto"/>
        <w:ind w:left="420" w:firstLine="420" w:firstLineChars="200"/>
        <w:jc w:val="left"/>
        <w:rPr>
          <w:rFonts w:ascii="宋体" w:hAnsi="宋体" w:cs="宋体"/>
          <w:szCs w:val="21"/>
        </w:rPr>
      </w:pPr>
      <w:r>
        <w:rPr>
          <w:rFonts w:hint="eastAsia" w:ascii="宋体" w:hAnsi="宋体" w:cs="宋体"/>
          <w:szCs w:val="21"/>
          <w:lang w:bidi="ar"/>
        </w:rPr>
        <w:t>（3）其他方式编制的备份投标文件视为无效备份投标文件。</w:t>
      </w:r>
    </w:p>
    <w:p w14:paraId="17BE580D">
      <w:pPr>
        <w:snapToGrid w:val="0"/>
        <w:spacing w:line="360" w:lineRule="auto"/>
        <w:ind w:left="420" w:firstLine="354" w:firstLineChars="147"/>
        <w:jc w:val="left"/>
        <w:outlineLvl w:val="2"/>
        <w:rPr>
          <w:rFonts w:ascii="黑体" w:hAnsi="黑体" w:eastAsia="黑体" w:cs="黑体"/>
          <w:b/>
          <w:sz w:val="24"/>
        </w:rPr>
      </w:pPr>
      <w:r>
        <w:rPr>
          <w:rFonts w:hint="eastAsia" w:ascii="黑体" w:hAnsi="黑体" w:eastAsia="黑体" w:cs="黑体"/>
          <w:b/>
          <w:sz w:val="24"/>
        </w:rPr>
        <w:t>（六）投标文件的签章</w:t>
      </w:r>
    </w:p>
    <w:p w14:paraId="2445CE0D">
      <w:pPr>
        <w:snapToGrid w:val="0"/>
        <w:spacing w:line="360" w:lineRule="auto"/>
        <w:ind w:left="420" w:firstLine="413" w:firstLineChars="197"/>
        <w:jc w:val="left"/>
        <w:rPr>
          <w:rFonts w:ascii="宋体" w:hAnsi="宋体" w:cs="宋体"/>
          <w:szCs w:val="21"/>
        </w:rPr>
      </w:pPr>
      <w:r>
        <w:rPr>
          <w:rFonts w:hint="eastAsia" w:ascii="宋体" w:hAnsi="宋体" w:cs="宋体"/>
          <w:szCs w:val="21"/>
        </w:rPr>
        <w:t>采用电子签章。</w:t>
      </w:r>
    </w:p>
    <w:p w14:paraId="201DA68C">
      <w:pPr>
        <w:snapToGrid w:val="0"/>
        <w:spacing w:line="360" w:lineRule="auto"/>
        <w:ind w:left="420" w:firstLine="354" w:firstLineChars="147"/>
        <w:jc w:val="left"/>
        <w:outlineLvl w:val="2"/>
        <w:rPr>
          <w:rFonts w:ascii="黑体" w:hAnsi="黑体" w:eastAsia="黑体" w:cs="黑体"/>
          <w:b/>
          <w:sz w:val="24"/>
        </w:rPr>
      </w:pPr>
      <w:r>
        <w:rPr>
          <w:rFonts w:hint="eastAsia" w:ascii="黑体" w:hAnsi="黑体" w:eastAsia="黑体" w:cs="黑体"/>
          <w:b/>
          <w:sz w:val="24"/>
        </w:rPr>
        <w:t>（七）投标文件的包装、密封和递交</w:t>
      </w:r>
    </w:p>
    <w:p w14:paraId="4CE55DD3">
      <w:pPr>
        <w:autoSpaceDE w:val="0"/>
        <w:autoSpaceDN w:val="0"/>
        <w:snapToGrid w:val="0"/>
        <w:spacing w:line="360" w:lineRule="auto"/>
        <w:ind w:left="420" w:firstLine="420" w:firstLineChars="200"/>
        <w:textAlignment w:val="bottom"/>
        <w:rPr>
          <w:rFonts w:ascii="宋体" w:hAnsi="宋体" w:cs="宋体"/>
          <w:szCs w:val="21"/>
          <w:lang w:bidi="ar"/>
        </w:rPr>
      </w:pPr>
      <w:r>
        <w:rPr>
          <w:rFonts w:hint="eastAsia" w:ascii="宋体" w:hAnsi="宋体" w:cs="宋体"/>
          <w:szCs w:val="21"/>
          <w:lang w:bidi="ar"/>
        </w:rPr>
        <w:t>1、“电子加密投标文件”的递交：在线上传递交。</w:t>
      </w:r>
    </w:p>
    <w:p w14:paraId="720C4F3B">
      <w:pPr>
        <w:snapToGrid w:val="0"/>
        <w:spacing w:line="360" w:lineRule="auto"/>
        <w:ind w:left="420" w:firstLine="420" w:firstLineChars="200"/>
        <w:rPr>
          <w:rFonts w:ascii="宋体" w:hAnsi="宋体" w:cs="宋体"/>
          <w:szCs w:val="21"/>
          <w:lang w:bidi="ar"/>
        </w:rPr>
      </w:pPr>
      <w:r>
        <w:rPr>
          <w:rFonts w:hint="eastAsia" w:ascii="宋体" w:hAnsi="宋体" w:cs="宋体"/>
          <w:szCs w:val="21"/>
          <w:lang w:bidi="ar"/>
        </w:rPr>
        <w:t>（1）投标人应在投标截止时间前将“电子加密投标文件”成功上传递交至“政府采购云平台”，否则投标无效。</w:t>
      </w:r>
    </w:p>
    <w:p w14:paraId="51FDEC21">
      <w:pPr>
        <w:snapToGrid w:val="0"/>
        <w:spacing w:line="360" w:lineRule="auto"/>
        <w:ind w:left="884" w:leftChars="171" w:hanging="525" w:hangingChars="250"/>
        <w:rPr>
          <w:rFonts w:ascii="宋体" w:hAnsi="宋体" w:cs="宋体"/>
          <w:szCs w:val="21"/>
          <w:lang w:bidi="ar"/>
        </w:rPr>
      </w:pPr>
      <w:r>
        <w:rPr>
          <w:rFonts w:hint="eastAsia" w:ascii="宋体" w:hAnsi="宋体" w:cs="宋体"/>
          <w:szCs w:val="21"/>
          <w:lang w:bidi="ar"/>
        </w:rPr>
        <w:t>（2）“电子加密投标文件”成功上传递交后，投标人可自行打印投标文件接收回执。</w:t>
      </w:r>
    </w:p>
    <w:p w14:paraId="12E03996">
      <w:pPr>
        <w:snapToGrid w:val="0"/>
        <w:spacing w:line="360" w:lineRule="auto"/>
        <w:ind w:left="420" w:firstLine="420" w:firstLineChars="200"/>
        <w:rPr>
          <w:rFonts w:ascii="宋体" w:hAnsi="宋体" w:cs="宋体"/>
          <w:szCs w:val="21"/>
          <w:lang w:bidi="ar"/>
        </w:rPr>
      </w:pPr>
      <w:r>
        <w:rPr>
          <w:rFonts w:hint="eastAsia" w:ascii="宋体" w:hAnsi="宋体" w:cs="宋体"/>
          <w:szCs w:val="21"/>
          <w:lang w:bidi="ar"/>
        </w:rPr>
        <w:t>2、“电子备份投标文件”的密封、包装和递交：</w:t>
      </w:r>
    </w:p>
    <w:p w14:paraId="286CEE78">
      <w:pPr>
        <w:snapToGrid w:val="0"/>
        <w:spacing w:line="360" w:lineRule="auto"/>
        <w:ind w:left="420" w:firstLine="315" w:firstLineChars="150"/>
        <w:rPr>
          <w:rFonts w:ascii="宋体" w:hAnsi="宋体" w:cs="宋体"/>
          <w:szCs w:val="21"/>
          <w:lang w:bidi="ar"/>
        </w:rPr>
      </w:pPr>
      <w:r>
        <w:rPr>
          <w:rFonts w:hint="eastAsia" w:ascii="宋体" w:hAnsi="宋体" w:cs="宋体"/>
          <w:szCs w:val="21"/>
          <w:lang w:bidi="ar"/>
        </w:rPr>
        <w:t>（1）投标人可自主选择是否递交“电子备份投标文件”。</w:t>
      </w:r>
    </w:p>
    <w:p w14:paraId="3A2414AF">
      <w:pPr>
        <w:snapToGrid w:val="0"/>
        <w:spacing w:line="360" w:lineRule="auto"/>
        <w:ind w:left="420" w:firstLine="315" w:firstLineChars="150"/>
        <w:rPr>
          <w:rFonts w:ascii="宋体" w:hAnsi="宋体" w:cs="宋体"/>
          <w:szCs w:val="21"/>
          <w:lang w:bidi="ar"/>
        </w:rPr>
      </w:pPr>
      <w:r>
        <w:rPr>
          <w:rFonts w:hint="eastAsia" w:ascii="宋体" w:hAnsi="宋体" w:cs="宋体"/>
          <w:szCs w:val="21"/>
          <w:lang w:bidi="ar"/>
        </w:rPr>
        <w:t>（2）“电子备份投标文件”存入U盘（一份）。</w:t>
      </w:r>
    </w:p>
    <w:p w14:paraId="03FD7728">
      <w:pPr>
        <w:snapToGrid w:val="0"/>
        <w:spacing w:line="360" w:lineRule="auto"/>
        <w:ind w:left="420" w:firstLine="315" w:firstLineChars="150"/>
        <w:rPr>
          <w:rFonts w:ascii="宋体" w:hAnsi="宋体" w:cs="宋体"/>
          <w:szCs w:val="21"/>
          <w:lang w:bidi="ar"/>
        </w:rPr>
      </w:pPr>
      <w:r>
        <w:rPr>
          <w:rFonts w:hint="eastAsia" w:ascii="宋体" w:hAnsi="宋体" w:cs="宋体"/>
          <w:szCs w:val="21"/>
          <w:lang w:bidi="ar"/>
        </w:rPr>
        <w:t>（3）“电子备份投标文件”应当在投标截止时间前以邮寄或送达方式递交。</w:t>
      </w:r>
    </w:p>
    <w:p w14:paraId="0C9ED14B">
      <w:pPr>
        <w:snapToGrid w:val="0"/>
        <w:spacing w:line="360" w:lineRule="auto"/>
        <w:ind w:left="420" w:firstLine="315" w:firstLineChars="150"/>
        <w:rPr>
          <w:rFonts w:ascii="宋体" w:hAnsi="宋体" w:cs="宋体"/>
          <w:szCs w:val="21"/>
          <w:lang w:bidi="ar"/>
        </w:rPr>
      </w:pPr>
      <w:r>
        <w:rPr>
          <w:rFonts w:hint="eastAsia" w:ascii="宋体" w:hAnsi="宋体" w:cs="宋体"/>
          <w:szCs w:val="21"/>
          <w:lang w:bidi="ar"/>
        </w:rPr>
        <w:t>（4）“电子备投标应文件”应当密封包装，并在包装上标注项目编号、采购项目名称、投标单位名称并加盖公章（详见第六章 投标文件格式）。没有密封包装或者逾期送达至本项目采购代理机构的“电子备份投标文件”将不予接收。</w:t>
      </w:r>
    </w:p>
    <w:p w14:paraId="0991F968">
      <w:pPr>
        <w:snapToGrid w:val="0"/>
        <w:spacing w:line="360" w:lineRule="auto"/>
        <w:ind w:left="420" w:firstLine="354" w:firstLineChars="147"/>
        <w:jc w:val="left"/>
        <w:outlineLvl w:val="2"/>
        <w:rPr>
          <w:rFonts w:ascii="黑体" w:hAnsi="黑体" w:eastAsia="黑体" w:cs="黑体"/>
          <w:b/>
          <w:sz w:val="24"/>
        </w:rPr>
      </w:pPr>
      <w:r>
        <w:rPr>
          <w:rFonts w:hint="eastAsia" w:ascii="黑体" w:hAnsi="黑体" w:eastAsia="黑体" w:cs="黑体"/>
          <w:b/>
          <w:sz w:val="24"/>
        </w:rPr>
        <w:t>（八）投标文件的修改和撤回</w:t>
      </w:r>
    </w:p>
    <w:p w14:paraId="3A786D07">
      <w:pPr>
        <w:autoSpaceDE w:val="0"/>
        <w:autoSpaceDN w:val="0"/>
        <w:snapToGrid w:val="0"/>
        <w:spacing w:line="360" w:lineRule="auto"/>
        <w:ind w:left="479" w:leftChars="228"/>
        <w:textAlignment w:val="bottom"/>
        <w:rPr>
          <w:rFonts w:ascii="宋体" w:hAnsi="宋体" w:cs="宋体"/>
          <w:szCs w:val="21"/>
          <w:lang w:bidi="ar"/>
        </w:rPr>
      </w:pPr>
      <w:r>
        <w:rPr>
          <w:rFonts w:hint="eastAsia" w:ascii="宋体" w:hAnsi="宋体" w:cs="宋体"/>
          <w:szCs w:val="21"/>
          <w:lang w:bidi="ar"/>
        </w:rPr>
        <w:t>1、投标人在投标截止时间前可以补充、修改或者撤回投标文件。</w:t>
      </w:r>
    </w:p>
    <w:p w14:paraId="78B18A6C">
      <w:pPr>
        <w:autoSpaceDE w:val="0"/>
        <w:autoSpaceDN w:val="0"/>
        <w:snapToGrid w:val="0"/>
        <w:spacing w:line="360" w:lineRule="auto"/>
        <w:ind w:left="479" w:leftChars="228"/>
        <w:textAlignment w:val="bottom"/>
        <w:rPr>
          <w:rFonts w:ascii="宋体" w:hAnsi="宋体" w:cs="宋体"/>
          <w:szCs w:val="21"/>
          <w:lang w:bidi="ar"/>
        </w:rPr>
      </w:pPr>
      <w:r>
        <w:rPr>
          <w:rFonts w:hint="eastAsia" w:ascii="宋体" w:hAnsi="宋体" w:cs="宋体"/>
          <w:szCs w:val="21"/>
          <w:lang w:bidi="ar"/>
        </w:rPr>
        <w:t>2、补充或者修改投标文件的，应当先行撤回原投标文件，补充、修改后重新上传递交。</w:t>
      </w:r>
    </w:p>
    <w:p w14:paraId="21AF6320">
      <w:pPr>
        <w:autoSpaceDE w:val="0"/>
        <w:autoSpaceDN w:val="0"/>
        <w:snapToGrid w:val="0"/>
        <w:spacing w:line="360" w:lineRule="auto"/>
        <w:ind w:left="479" w:leftChars="228"/>
        <w:textAlignment w:val="bottom"/>
        <w:rPr>
          <w:rFonts w:ascii="宋体" w:hAnsi="宋体" w:cs="宋体"/>
          <w:szCs w:val="21"/>
          <w:lang w:bidi="ar"/>
        </w:rPr>
      </w:pPr>
      <w:r>
        <w:rPr>
          <w:rFonts w:hint="eastAsia" w:ascii="宋体" w:hAnsi="宋体" w:cs="宋体"/>
          <w:szCs w:val="21"/>
          <w:lang w:bidi="ar"/>
        </w:rPr>
        <w:t>3、投标截止时间前未完成上传的，视为撤回投标文件。</w:t>
      </w:r>
    </w:p>
    <w:p w14:paraId="0A08A5A5">
      <w:pPr>
        <w:rPr>
          <w:rFonts w:ascii="宋体" w:hAnsi="宋体" w:cs="宋体"/>
          <w:szCs w:val="21"/>
          <w:lang w:bidi="ar"/>
        </w:rPr>
      </w:pPr>
    </w:p>
    <w:p w14:paraId="13ADADD8">
      <w:pPr>
        <w:pStyle w:val="24"/>
        <w:snapToGrid w:val="0"/>
        <w:spacing w:before="312" w:beforeLines="100" w:after="312" w:afterLines="100" w:line="360" w:lineRule="auto"/>
        <w:ind w:left="693" w:hanging="273"/>
        <w:jc w:val="center"/>
        <w:outlineLvl w:val="1"/>
        <w:rPr>
          <w:rFonts w:ascii="黑体" w:hAnsi="黑体" w:eastAsia="黑体" w:cs="黑体"/>
          <w:b/>
          <w:sz w:val="28"/>
          <w:szCs w:val="28"/>
        </w:rPr>
      </w:pPr>
      <w:r>
        <w:rPr>
          <w:rFonts w:hint="eastAsia" w:ascii="黑体" w:hAnsi="黑体" w:eastAsia="黑体" w:cs="黑体"/>
          <w:b/>
          <w:sz w:val="28"/>
          <w:szCs w:val="28"/>
        </w:rPr>
        <w:t>四、开标</w:t>
      </w:r>
    </w:p>
    <w:p w14:paraId="432A7405">
      <w:pPr>
        <w:pStyle w:val="4"/>
        <w:snapToGrid w:val="0"/>
        <w:spacing w:before="0" w:after="0" w:line="360" w:lineRule="auto"/>
        <w:ind w:left="420" w:firstLine="241" w:firstLineChars="100"/>
        <w:rPr>
          <w:rFonts w:ascii="黑体" w:hAnsi="黑体" w:eastAsia="黑体" w:cs="黑体"/>
          <w:sz w:val="24"/>
          <w:szCs w:val="24"/>
        </w:rPr>
      </w:pPr>
      <w:r>
        <w:rPr>
          <w:rFonts w:hint="eastAsia" w:ascii="黑体" w:hAnsi="黑体" w:eastAsia="黑体" w:cs="黑体"/>
          <w:sz w:val="24"/>
          <w:szCs w:val="24"/>
        </w:rPr>
        <w:t>（一）开标形式</w:t>
      </w:r>
    </w:p>
    <w:p w14:paraId="1A7E96F0">
      <w:pPr>
        <w:snapToGrid w:val="0"/>
        <w:spacing w:line="360" w:lineRule="auto"/>
        <w:ind w:left="420" w:firstLine="420" w:firstLineChars="200"/>
        <w:rPr>
          <w:rFonts w:ascii="宋体" w:hAnsi="宋体" w:cs="宋体"/>
          <w:szCs w:val="21"/>
        </w:rPr>
      </w:pPr>
      <w:r>
        <w:rPr>
          <w:rFonts w:hint="eastAsia" w:ascii="宋体" w:hAnsi="宋体" w:cs="宋体"/>
          <w:szCs w:val="21"/>
        </w:rPr>
        <w:t>1、 采购组织机构将按照招标文件规定的时间通过“政府采购云平台”组织在线开标，所有投标人均应当准时在线参加。</w:t>
      </w:r>
    </w:p>
    <w:p w14:paraId="330D1024">
      <w:pPr>
        <w:pStyle w:val="4"/>
        <w:snapToGrid w:val="0"/>
        <w:spacing w:before="0" w:after="0" w:line="360" w:lineRule="auto"/>
        <w:ind w:left="788" w:leftChars="328" w:hanging="99" w:hangingChars="41"/>
        <w:rPr>
          <w:rFonts w:ascii="黑体" w:hAnsi="黑体" w:eastAsia="黑体" w:cs="黑体"/>
          <w:sz w:val="24"/>
          <w:szCs w:val="24"/>
        </w:rPr>
      </w:pPr>
      <w:r>
        <w:rPr>
          <w:rFonts w:hint="eastAsia" w:ascii="黑体" w:hAnsi="黑体" w:eastAsia="黑体" w:cs="黑体"/>
          <w:sz w:val="24"/>
          <w:szCs w:val="24"/>
        </w:rPr>
        <w:t>（二） 开标准备</w:t>
      </w:r>
    </w:p>
    <w:p w14:paraId="648D5810">
      <w:pPr>
        <w:snapToGrid w:val="0"/>
        <w:spacing w:line="360" w:lineRule="auto"/>
        <w:ind w:left="420" w:firstLine="420" w:firstLineChars="200"/>
        <w:rPr>
          <w:rFonts w:ascii="宋体" w:hAnsi="宋体" w:cs="宋体"/>
          <w:kern w:val="0"/>
          <w:szCs w:val="21"/>
        </w:rPr>
      </w:pPr>
      <w:r>
        <w:rPr>
          <w:rFonts w:hint="eastAsia" w:ascii="宋体" w:hAnsi="宋体" w:cs="宋体"/>
          <w:kern w:val="0"/>
          <w:szCs w:val="21"/>
        </w:rPr>
        <w:t>1、开标的准备工作由采购组织机构负责落实。</w:t>
      </w:r>
    </w:p>
    <w:p w14:paraId="5A5CFA60">
      <w:pPr>
        <w:snapToGrid w:val="0"/>
        <w:spacing w:line="360" w:lineRule="auto"/>
        <w:ind w:left="420" w:firstLine="420" w:firstLineChars="200"/>
        <w:rPr>
          <w:rFonts w:ascii="宋体" w:hAnsi="宋体" w:cs="宋体"/>
          <w:kern w:val="0"/>
          <w:szCs w:val="21"/>
        </w:rPr>
      </w:pPr>
      <w:r>
        <w:rPr>
          <w:rFonts w:hint="eastAsia" w:ascii="宋体" w:hAnsi="宋体" w:cs="宋体"/>
          <w:kern w:val="0"/>
          <w:szCs w:val="21"/>
        </w:rPr>
        <w:t>2、</w:t>
      </w:r>
      <w:r>
        <w:rPr>
          <w:rFonts w:hint="eastAsia" w:ascii="宋体" w:hAnsi="宋体" w:cs="宋体"/>
          <w:szCs w:val="21"/>
        </w:rPr>
        <w:t>采购组织机构将按照招标文件规定的时间通过“政府采购云平台”组织开标，所有投标人均应当准时在线参加。</w:t>
      </w:r>
      <w:r>
        <w:rPr>
          <w:rFonts w:hint="eastAsia" w:ascii="宋体" w:hAnsi="宋体" w:cs="宋体"/>
          <w:kern w:val="0"/>
          <w:szCs w:val="21"/>
        </w:rPr>
        <w:t>投标人自行承担因不参加在线开标而产生的不利后果。</w:t>
      </w:r>
    </w:p>
    <w:p w14:paraId="50D1104A">
      <w:pPr>
        <w:pStyle w:val="4"/>
        <w:snapToGrid w:val="0"/>
        <w:spacing w:before="0" w:after="0" w:line="360" w:lineRule="auto"/>
        <w:ind w:left="793" w:leftChars="100" w:hanging="583" w:hangingChars="242"/>
        <w:rPr>
          <w:rFonts w:ascii="黑体" w:hAnsi="黑体" w:eastAsia="黑体" w:cs="黑体"/>
          <w:sz w:val="24"/>
          <w:szCs w:val="24"/>
        </w:rPr>
      </w:pPr>
      <w:r>
        <w:rPr>
          <w:rFonts w:hint="eastAsia" w:ascii="黑体" w:hAnsi="黑体" w:eastAsia="黑体" w:cs="黑体"/>
          <w:sz w:val="24"/>
          <w:szCs w:val="24"/>
        </w:rPr>
        <w:t>（三）开标流程</w:t>
      </w:r>
    </w:p>
    <w:p w14:paraId="4BC74508">
      <w:pPr>
        <w:snapToGrid w:val="0"/>
        <w:spacing w:line="360" w:lineRule="auto"/>
        <w:ind w:left="420" w:firstLine="373" w:firstLineChars="177"/>
        <w:jc w:val="left"/>
        <w:rPr>
          <w:rFonts w:ascii="黑体" w:hAnsi="黑体" w:eastAsia="黑体" w:cs="黑体"/>
          <w:b/>
          <w:kern w:val="0"/>
          <w:szCs w:val="21"/>
        </w:rPr>
      </w:pPr>
      <w:r>
        <w:rPr>
          <w:rFonts w:hint="eastAsia" w:ascii="黑体" w:hAnsi="黑体" w:eastAsia="黑体" w:cs="黑体"/>
          <w:b/>
          <w:kern w:val="0"/>
          <w:szCs w:val="21"/>
        </w:rPr>
        <w:t>1、开标第一阶段</w:t>
      </w:r>
    </w:p>
    <w:p w14:paraId="36BFDAD3">
      <w:pPr>
        <w:snapToGrid w:val="0"/>
        <w:spacing w:line="360" w:lineRule="auto"/>
        <w:ind w:left="420" w:firstLine="371" w:firstLineChars="177"/>
        <w:jc w:val="left"/>
        <w:rPr>
          <w:rFonts w:ascii="宋体" w:hAnsi="宋体" w:cs="宋体"/>
          <w:szCs w:val="21"/>
          <w:lang w:bidi="ar"/>
        </w:rPr>
      </w:pPr>
      <w:r>
        <w:rPr>
          <w:rFonts w:hint="eastAsia" w:ascii="宋体" w:hAnsi="宋体" w:cs="宋体"/>
          <w:kern w:val="0"/>
          <w:szCs w:val="21"/>
        </w:rPr>
        <w:t>（1）向各投标投标人发出电子加密投标文件【开始解密】通知，</w:t>
      </w:r>
      <w:r>
        <w:rPr>
          <w:rFonts w:hint="eastAsia" w:ascii="宋体" w:hAnsi="宋体" w:cs="宋体"/>
          <w:szCs w:val="21"/>
          <w:lang w:bidi="ar"/>
        </w:rPr>
        <w:t>各投标投标人代表应当在接到解密通知后</w:t>
      </w:r>
      <w:r>
        <w:rPr>
          <w:rFonts w:hint="eastAsia" w:ascii="宋体" w:hAnsi="宋体" w:cs="宋体"/>
          <w:i/>
          <w:szCs w:val="21"/>
          <w:u w:val="single"/>
          <w:lang w:bidi="ar"/>
        </w:rPr>
        <w:t>30</w:t>
      </w:r>
      <w:r>
        <w:rPr>
          <w:rFonts w:hint="eastAsia" w:ascii="宋体" w:hAnsi="宋体" w:cs="宋体"/>
          <w:szCs w:val="21"/>
          <w:lang w:bidi="ar"/>
        </w:rPr>
        <w:t>分钟内自行完成“电子加密投标文件”的在线解密。</w:t>
      </w:r>
      <w:r>
        <w:rPr>
          <w:rFonts w:hint="eastAsia" w:ascii="宋体" w:hAnsi="宋体" w:cs="宋体"/>
          <w:kern w:val="0"/>
          <w:szCs w:val="21"/>
        </w:rPr>
        <w:t>投标投标人在规定的时间内无法完成“电子加密投标文件”解密的，</w:t>
      </w:r>
      <w:r>
        <w:rPr>
          <w:rFonts w:hint="eastAsia" w:ascii="宋体" w:hAnsi="宋体" w:cs="宋体"/>
          <w:szCs w:val="21"/>
          <w:lang w:bidi="ar"/>
        </w:rPr>
        <w:t>如投标人按规定递交 “电子备份投标文件”的，则由采购组织机构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在“政府采购云平台”正常运行情况下，“电子备份投标文件”无法上传至“政府采购云平台”的，视为投标文件撤回。如投标投标人未按规定递交“电子备份投标文件”的，视为投标文件撤回。</w:t>
      </w:r>
    </w:p>
    <w:p w14:paraId="38A9C182">
      <w:pPr>
        <w:snapToGrid w:val="0"/>
        <w:spacing w:line="360" w:lineRule="auto"/>
        <w:ind w:left="420" w:firstLine="371" w:firstLineChars="177"/>
        <w:jc w:val="left"/>
        <w:rPr>
          <w:rFonts w:ascii="宋体" w:hAnsi="宋体" w:cs="宋体"/>
          <w:kern w:val="0"/>
          <w:szCs w:val="21"/>
        </w:rPr>
      </w:pPr>
      <w:r>
        <w:rPr>
          <w:rFonts w:hint="eastAsia" w:ascii="宋体" w:hAnsi="宋体" w:cs="宋体"/>
          <w:kern w:val="0"/>
          <w:szCs w:val="21"/>
        </w:rPr>
        <w:t>（2）开启</w:t>
      </w:r>
      <w:r>
        <w:rPr>
          <w:rFonts w:hint="eastAsia" w:ascii="宋体" w:hAnsi="宋体" w:cs="宋体"/>
          <w:szCs w:val="21"/>
        </w:rPr>
        <w:t>资格证明文件、商务技术文件</w:t>
      </w:r>
      <w:r>
        <w:rPr>
          <w:rFonts w:hint="eastAsia" w:ascii="宋体" w:hAnsi="宋体" w:cs="宋体"/>
          <w:kern w:val="0"/>
          <w:szCs w:val="21"/>
        </w:rPr>
        <w:t>。</w:t>
      </w:r>
    </w:p>
    <w:p w14:paraId="1FE60EB7">
      <w:pPr>
        <w:snapToGrid w:val="0"/>
        <w:spacing w:line="360" w:lineRule="auto"/>
        <w:ind w:left="420" w:firstLine="371" w:firstLineChars="177"/>
        <w:jc w:val="left"/>
        <w:rPr>
          <w:rFonts w:ascii="宋体" w:hAnsi="宋体" w:cs="宋体"/>
          <w:kern w:val="0"/>
          <w:szCs w:val="21"/>
        </w:rPr>
      </w:pPr>
      <w:r>
        <w:rPr>
          <w:rFonts w:hint="eastAsia" w:ascii="宋体" w:hAnsi="宋体" w:cs="宋体"/>
          <w:kern w:val="0"/>
          <w:szCs w:val="21"/>
        </w:rPr>
        <w:t>（3）进行资格审查。对通过资格审查的投标投标人进行符合性审查、商务技术评审；</w:t>
      </w:r>
    </w:p>
    <w:p w14:paraId="0EADA388">
      <w:pPr>
        <w:snapToGrid w:val="0"/>
        <w:spacing w:line="360" w:lineRule="auto"/>
        <w:ind w:left="420" w:firstLine="373" w:firstLineChars="177"/>
        <w:jc w:val="left"/>
        <w:rPr>
          <w:rFonts w:ascii="黑体" w:hAnsi="黑体" w:eastAsia="黑体" w:cs="黑体"/>
          <w:b/>
          <w:kern w:val="0"/>
          <w:szCs w:val="21"/>
        </w:rPr>
      </w:pPr>
      <w:r>
        <w:rPr>
          <w:rFonts w:hint="eastAsia" w:ascii="黑体" w:hAnsi="黑体" w:eastAsia="黑体" w:cs="黑体"/>
          <w:b/>
          <w:kern w:val="0"/>
          <w:szCs w:val="21"/>
        </w:rPr>
        <w:t>2、开标第二阶段</w:t>
      </w:r>
    </w:p>
    <w:p w14:paraId="299D3BCF">
      <w:pPr>
        <w:snapToGrid w:val="0"/>
        <w:spacing w:line="360" w:lineRule="auto"/>
        <w:ind w:left="420" w:firstLine="371" w:firstLineChars="177"/>
        <w:jc w:val="left"/>
        <w:rPr>
          <w:rFonts w:ascii="宋体" w:hAnsi="宋体" w:cs="宋体"/>
          <w:kern w:val="0"/>
          <w:szCs w:val="21"/>
        </w:rPr>
      </w:pPr>
      <w:r>
        <w:rPr>
          <w:rFonts w:hint="eastAsia" w:ascii="宋体" w:hAnsi="宋体" w:cs="宋体"/>
          <w:kern w:val="0"/>
          <w:szCs w:val="21"/>
        </w:rPr>
        <w:t>（1）资格审查、符合性审查、商务技术评审结束后，进入开标第二阶段。</w:t>
      </w:r>
    </w:p>
    <w:p w14:paraId="689C4A62">
      <w:pPr>
        <w:snapToGrid w:val="0"/>
        <w:spacing w:line="360" w:lineRule="auto"/>
        <w:ind w:left="420" w:firstLine="371" w:firstLineChars="177"/>
        <w:jc w:val="left"/>
        <w:rPr>
          <w:rFonts w:ascii="宋体" w:hAnsi="宋体" w:cs="宋体"/>
          <w:kern w:val="0"/>
          <w:szCs w:val="21"/>
        </w:rPr>
      </w:pPr>
      <w:r>
        <w:rPr>
          <w:rFonts w:hint="eastAsia" w:ascii="宋体" w:hAnsi="宋体" w:cs="宋体"/>
          <w:kern w:val="0"/>
          <w:szCs w:val="21"/>
        </w:rPr>
        <w:t>（2）通过</w:t>
      </w:r>
      <w:r>
        <w:rPr>
          <w:rFonts w:hint="eastAsia" w:ascii="宋体" w:hAnsi="宋体" w:cs="宋体"/>
          <w:szCs w:val="21"/>
        </w:rPr>
        <w:t>电子交易平台</w:t>
      </w:r>
      <w:r>
        <w:rPr>
          <w:rFonts w:hint="eastAsia" w:ascii="宋体" w:hAnsi="宋体" w:cs="宋体"/>
          <w:kern w:val="0"/>
          <w:szCs w:val="21"/>
        </w:rPr>
        <w:t>公布无效投标人名单及导致无效的原因；公布有效投标人的名单及其商务技术得分。</w:t>
      </w:r>
    </w:p>
    <w:p w14:paraId="5F5C107C">
      <w:pPr>
        <w:snapToGrid w:val="0"/>
        <w:spacing w:line="360" w:lineRule="auto"/>
        <w:ind w:left="420" w:firstLine="371" w:firstLineChars="177"/>
        <w:jc w:val="left"/>
        <w:rPr>
          <w:rFonts w:ascii="宋体" w:hAnsi="宋体" w:cs="宋体"/>
          <w:kern w:val="0"/>
          <w:szCs w:val="21"/>
        </w:rPr>
      </w:pPr>
      <w:r>
        <w:rPr>
          <w:rFonts w:hint="eastAsia" w:ascii="宋体" w:hAnsi="宋体" w:cs="宋体"/>
          <w:kern w:val="0"/>
          <w:szCs w:val="21"/>
        </w:rPr>
        <w:t>（3）开启有效投标人的《报价文件》，系统形成开标记录。</w:t>
      </w:r>
    </w:p>
    <w:p w14:paraId="2E791245">
      <w:pPr>
        <w:snapToGrid w:val="0"/>
        <w:spacing w:line="360" w:lineRule="auto"/>
        <w:ind w:left="420" w:firstLine="371" w:firstLineChars="177"/>
        <w:jc w:val="left"/>
        <w:rPr>
          <w:rFonts w:ascii="宋体" w:hAnsi="宋体" w:cs="宋体"/>
          <w:kern w:val="0"/>
          <w:szCs w:val="21"/>
        </w:rPr>
      </w:pPr>
      <w:r>
        <w:rPr>
          <w:rFonts w:hint="eastAsia" w:ascii="宋体" w:hAnsi="宋体" w:cs="宋体"/>
          <w:kern w:val="0"/>
          <w:szCs w:val="21"/>
        </w:rPr>
        <w:t>（4）价格评审。价格评审结束后，通过</w:t>
      </w:r>
      <w:r>
        <w:rPr>
          <w:rFonts w:hint="eastAsia" w:ascii="宋体" w:hAnsi="宋体" w:cs="宋体"/>
          <w:szCs w:val="21"/>
        </w:rPr>
        <w:t>电子交易平台</w:t>
      </w:r>
      <w:r>
        <w:rPr>
          <w:rFonts w:hint="eastAsia" w:ascii="宋体" w:hAnsi="宋体" w:cs="宋体"/>
          <w:kern w:val="0"/>
          <w:szCs w:val="21"/>
        </w:rPr>
        <w:t>公布中标候选投标人名单。</w:t>
      </w:r>
    </w:p>
    <w:p w14:paraId="3561E180">
      <w:pPr>
        <w:pStyle w:val="32"/>
        <w:snapToGrid w:val="0"/>
        <w:spacing w:before="312" w:beforeLines="100" w:after="312" w:afterLines="100" w:line="360" w:lineRule="auto"/>
        <w:ind w:left="701" w:hanging="281"/>
        <w:jc w:val="center"/>
        <w:outlineLvl w:val="1"/>
        <w:rPr>
          <w:rFonts w:ascii="黑体" w:hAnsi="黑体" w:eastAsia="黑体" w:cs="黑体"/>
          <w:b/>
          <w:sz w:val="28"/>
          <w:szCs w:val="28"/>
        </w:rPr>
      </w:pPr>
      <w:r>
        <w:rPr>
          <w:rFonts w:hint="eastAsia" w:ascii="黑体" w:hAnsi="黑体" w:eastAsia="黑体" w:cs="黑体"/>
          <w:b/>
          <w:sz w:val="28"/>
          <w:szCs w:val="28"/>
        </w:rPr>
        <w:t>五、评标</w:t>
      </w:r>
    </w:p>
    <w:p w14:paraId="312E881E">
      <w:pPr>
        <w:pStyle w:val="32"/>
        <w:snapToGrid w:val="0"/>
        <w:spacing w:before="0" w:beforeLines="0" w:after="0" w:afterLines="0" w:line="360" w:lineRule="auto"/>
        <w:ind w:left="720" w:leftChars="228" w:hanging="241" w:hangingChars="100"/>
        <w:outlineLvl w:val="2"/>
        <w:rPr>
          <w:rFonts w:ascii="黑体" w:hAnsi="黑体" w:eastAsia="黑体" w:cs="黑体"/>
          <w:b/>
        </w:rPr>
      </w:pPr>
      <w:r>
        <w:rPr>
          <w:rFonts w:hint="eastAsia" w:ascii="黑体" w:hAnsi="黑体" w:eastAsia="黑体" w:cs="黑体"/>
          <w:b/>
        </w:rPr>
        <w:t>（一）组建评标委员会</w:t>
      </w:r>
    </w:p>
    <w:p w14:paraId="7F73F4F4">
      <w:pPr>
        <w:pStyle w:val="32"/>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rPr>
        <w:t>评标委员会由采购人代表和有关技术、经济等方面的专家组成,成员人数应当为五人以上单数。其中,技术、经济等方面的专家不得少于成员总数的三分之二。</w:t>
      </w:r>
    </w:p>
    <w:p w14:paraId="6D3F6F01">
      <w:pPr>
        <w:pStyle w:val="32"/>
        <w:snapToGrid w:val="0"/>
        <w:spacing w:before="0" w:beforeLines="0" w:after="0" w:afterLines="0" w:line="360" w:lineRule="auto"/>
        <w:ind w:left="720" w:leftChars="228" w:hanging="241" w:hangingChars="100"/>
        <w:outlineLvl w:val="2"/>
        <w:rPr>
          <w:rFonts w:ascii="黑体" w:hAnsi="黑体" w:eastAsia="黑体" w:cs="黑体"/>
          <w:b/>
        </w:rPr>
      </w:pPr>
      <w:r>
        <w:rPr>
          <w:rFonts w:hint="eastAsia" w:ascii="黑体" w:hAnsi="黑体" w:eastAsia="黑体" w:cs="黑体"/>
          <w:b/>
        </w:rPr>
        <w:t>（二）评标程序</w:t>
      </w:r>
    </w:p>
    <w:p w14:paraId="1B75D0EE">
      <w:pPr>
        <w:pStyle w:val="32"/>
        <w:snapToGrid w:val="0"/>
        <w:spacing w:before="0" w:beforeLines="0" w:after="0" w:afterLines="0" w:line="360" w:lineRule="auto"/>
        <w:ind w:left="420" w:firstLine="411" w:firstLineChars="196"/>
        <w:rPr>
          <w:rFonts w:hAnsi="宋体" w:cs="宋体"/>
          <w:sz w:val="21"/>
          <w:szCs w:val="21"/>
        </w:rPr>
      </w:pPr>
      <w:r>
        <w:rPr>
          <w:rFonts w:hint="eastAsia" w:hAnsi="宋体" w:cs="宋体"/>
          <w:sz w:val="21"/>
          <w:szCs w:val="21"/>
        </w:rPr>
        <w:t>1、在评审专家中推选评审小组组长。</w:t>
      </w:r>
    </w:p>
    <w:p w14:paraId="6FA65A85">
      <w:pPr>
        <w:pStyle w:val="32"/>
        <w:snapToGrid w:val="0"/>
        <w:spacing w:before="0" w:beforeLines="0" w:after="0" w:afterLines="0" w:line="360" w:lineRule="auto"/>
        <w:ind w:left="420" w:firstLine="411" w:firstLineChars="196"/>
        <w:rPr>
          <w:rFonts w:hAnsi="宋体" w:cs="宋体"/>
          <w:sz w:val="21"/>
          <w:szCs w:val="21"/>
        </w:rPr>
      </w:pPr>
      <w:r>
        <w:rPr>
          <w:rFonts w:hint="eastAsia" w:hAnsi="宋体" w:cs="宋体"/>
          <w:sz w:val="21"/>
          <w:szCs w:val="21"/>
        </w:rPr>
        <w:t>2、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14:paraId="557E8D89">
      <w:pPr>
        <w:pStyle w:val="32"/>
        <w:snapToGrid w:val="0"/>
        <w:spacing w:before="0" w:beforeLines="0" w:after="0" w:afterLines="0" w:line="360" w:lineRule="auto"/>
        <w:ind w:left="420" w:firstLine="411" w:firstLineChars="196"/>
        <w:rPr>
          <w:rFonts w:hAnsi="宋体" w:cs="宋体"/>
          <w:sz w:val="21"/>
          <w:szCs w:val="21"/>
        </w:rPr>
      </w:pPr>
      <w:r>
        <w:rPr>
          <w:rFonts w:hint="eastAsia" w:hAnsi="宋体" w:cs="宋体"/>
          <w:sz w:val="21"/>
          <w:szCs w:val="21"/>
        </w:rPr>
        <w:t>3、采购人或者采购代理机构对各投标人的资格进行审查，投标人资格条件不符合招标文件要求的投标无效，</w:t>
      </w:r>
      <w:r>
        <w:rPr>
          <w:rFonts w:hint="eastAsia" w:hAnsi="宋体" w:cs="宋体"/>
          <w:bCs/>
          <w:sz w:val="21"/>
          <w:szCs w:val="21"/>
        </w:rPr>
        <w:t>不再进入符合性审查。</w:t>
      </w:r>
    </w:p>
    <w:p w14:paraId="7D612868">
      <w:pPr>
        <w:pStyle w:val="32"/>
        <w:snapToGrid w:val="0"/>
        <w:spacing w:before="0" w:beforeLines="0" w:after="0" w:afterLines="0" w:line="360" w:lineRule="auto"/>
        <w:ind w:left="420" w:firstLine="411" w:firstLineChars="196"/>
        <w:rPr>
          <w:rFonts w:hAnsi="宋体" w:cs="宋体"/>
          <w:sz w:val="21"/>
          <w:szCs w:val="21"/>
        </w:rPr>
      </w:pPr>
      <w:r>
        <w:rPr>
          <w:rFonts w:hint="eastAsia" w:hAnsi="宋体" w:cs="宋体"/>
          <w:sz w:val="21"/>
          <w:szCs w:val="21"/>
        </w:rPr>
        <w:t>4、评审小组对各投标文件的符合性进行审查，确定是否对招标文件作出了实质性响应。</w:t>
      </w:r>
      <w:r>
        <w:rPr>
          <w:rFonts w:hint="eastAsia" w:hAnsi="宋体" w:cs="宋体"/>
          <w:bCs/>
          <w:sz w:val="21"/>
          <w:szCs w:val="21"/>
        </w:rPr>
        <w:t>实质上没有响应招标文件要求的投标将被视为无效投标，不再进入下一</w:t>
      </w:r>
      <w:r>
        <w:rPr>
          <w:rFonts w:hint="eastAsia" w:hAnsi="宋体" w:cs="宋体"/>
          <w:sz w:val="21"/>
          <w:szCs w:val="21"/>
        </w:rPr>
        <w:t>阶段的评审。</w:t>
      </w:r>
    </w:p>
    <w:p w14:paraId="7ADEE23F">
      <w:pPr>
        <w:pStyle w:val="32"/>
        <w:snapToGrid w:val="0"/>
        <w:spacing w:before="0" w:beforeLines="0" w:after="0" w:afterLines="0" w:line="360" w:lineRule="auto"/>
        <w:ind w:left="420" w:firstLine="411" w:firstLineChars="196"/>
        <w:rPr>
          <w:rFonts w:hAnsi="宋体" w:cs="宋体"/>
          <w:sz w:val="21"/>
          <w:szCs w:val="21"/>
        </w:rPr>
      </w:pPr>
      <w:r>
        <w:rPr>
          <w:rFonts w:hint="eastAsia" w:hAnsi="宋体" w:cs="宋体"/>
          <w:sz w:val="21"/>
          <w:szCs w:val="21"/>
        </w:rPr>
        <w:t>5、评审人员按招标文件规定的评审方法和评审标准，依法独立对投标人投标文件进行评估、比较，并给予评价或打分，不受任何单位和个人的干预。</w:t>
      </w:r>
    </w:p>
    <w:p w14:paraId="4B9AB708">
      <w:pPr>
        <w:snapToGrid w:val="0"/>
        <w:spacing w:line="360" w:lineRule="auto"/>
        <w:ind w:left="420" w:firstLine="420" w:firstLineChars="200"/>
        <w:rPr>
          <w:rFonts w:ascii="宋体" w:hAnsi="宋体" w:cs="宋体"/>
          <w:szCs w:val="21"/>
        </w:rPr>
      </w:pPr>
      <w:r>
        <w:rPr>
          <w:rFonts w:hint="eastAsia" w:ascii="宋体" w:hAnsi="宋体" w:cs="宋体"/>
          <w:szCs w:val="21"/>
        </w:rPr>
        <w:t>6、各投标人的得分为所有评委的有效评分的算术平均数，由指定专人进行计算复核。</w:t>
      </w:r>
    </w:p>
    <w:p w14:paraId="67AD4E7F">
      <w:pPr>
        <w:snapToGrid w:val="0"/>
        <w:spacing w:line="360" w:lineRule="auto"/>
        <w:ind w:left="420" w:firstLine="420" w:firstLineChars="200"/>
        <w:rPr>
          <w:rFonts w:ascii="宋体" w:hAnsi="宋体" w:cs="宋体"/>
          <w:szCs w:val="21"/>
        </w:rPr>
      </w:pPr>
      <w:r>
        <w:rPr>
          <w:rFonts w:hint="eastAsia" w:ascii="宋体" w:hAnsi="宋体" w:cs="宋体"/>
          <w:szCs w:val="21"/>
        </w:rPr>
        <w:t>7、评标委员会完成评标后,评委对各部分得分汇总,计算出本项目最终得分。评标委员会按评标原则推荐中标候选人，同时起草评标报告。</w:t>
      </w:r>
    </w:p>
    <w:p w14:paraId="715775F2">
      <w:pPr>
        <w:snapToGrid w:val="0"/>
        <w:spacing w:line="360" w:lineRule="auto"/>
        <w:ind w:left="420" w:firstLine="420" w:firstLineChars="200"/>
        <w:rPr>
          <w:rFonts w:ascii="宋体" w:hAnsi="宋体" w:cs="宋体"/>
          <w:szCs w:val="21"/>
        </w:rPr>
      </w:pPr>
      <w:r>
        <w:rPr>
          <w:rFonts w:hint="eastAsia" w:ascii="宋体" w:hAnsi="宋体" w:cs="宋体"/>
          <w:szCs w:val="21"/>
        </w:rPr>
        <w:t>8、实质上响应招标文件要求的投标人</w:t>
      </w:r>
      <w:r>
        <w:rPr>
          <w:rFonts w:hint="eastAsia" w:ascii="宋体" w:hAnsi="宋体" w:cs="宋体"/>
          <w:bCs/>
          <w:szCs w:val="21"/>
        </w:rPr>
        <w:t>不足三家的，除财政部门另有规定外，应当作废标处理。</w:t>
      </w:r>
    </w:p>
    <w:p w14:paraId="1463F288">
      <w:pPr>
        <w:snapToGrid w:val="0"/>
        <w:spacing w:line="360" w:lineRule="auto"/>
        <w:ind w:left="420" w:firstLine="482" w:firstLineChars="200"/>
        <w:outlineLvl w:val="2"/>
        <w:rPr>
          <w:rFonts w:ascii="黑体" w:hAnsi="黑体" w:eastAsia="黑体" w:cs="黑体"/>
          <w:b/>
          <w:sz w:val="24"/>
        </w:rPr>
      </w:pPr>
      <w:r>
        <w:rPr>
          <w:rFonts w:hint="eastAsia" w:ascii="黑体" w:hAnsi="黑体" w:eastAsia="黑体" w:cs="黑体"/>
          <w:b/>
          <w:sz w:val="24"/>
        </w:rPr>
        <w:t>（三）澄清问题的形式</w:t>
      </w:r>
    </w:p>
    <w:p w14:paraId="12BBF846">
      <w:pPr>
        <w:autoSpaceDE w:val="0"/>
        <w:autoSpaceDN w:val="0"/>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 xml:space="preserve">1、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  </w:t>
      </w:r>
    </w:p>
    <w:p w14:paraId="44D78869">
      <w:pPr>
        <w:autoSpaceDE w:val="0"/>
        <w:autoSpaceDN w:val="0"/>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2、评标委员会发出澄清内容后，投标人应当在政采云上的规定的时间内提交澄清说明或补正，否则视为投标人放弃答复，并</w:t>
      </w:r>
      <w:r>
        <w:rPr>
          <w:rFonts w:hint="eastAsia" w:ascii="宋体" w:hAnsi="宋体" w:cs="宋体"/>
          <w:kern w:val="0"/>
          <w:szCs w:val="21"/>
        </w:rPr>
        <w:t>自行承担因此而产生的不利后果。</w:t>
      </w:r>
      <w:r>
        <w:rPr>
          <w:rFonts w:hint="eastAsia" w:ascii="宋体" w:hAnsi="宋体" w:cs="宋体"/>
          <w:szCs w:val="21"/>
        </w:rPr>
        <w:t>澄清、说明或者补正不得超出投标文件的范围或者改变投标文件的实质性内容。</w:t>
      </w:r>
    </w:p>
    <w:p w14:paraId="6A795744">
      <w:pPr>
        <w:pStyle w:val="32"/>
        <w:snapToGrid w:val="0"/>
        <w:spacing w:before="0" w:beforeLines="0" w:after="0" w:afterLines="0" w:line="360" w:lineRule="auto"/>
        <w:ind w:left="720" w:leftChars="228" w:hanging="241" w:hangingChars="100"/>
        <w:outlineLvl w:val="2"/>
        <w:rPr>
          <w:rFonts w:ascii="黑体" w:hAnsi="黑体" w:eastAsia="黑体" w:cs="黑体"/>
          <w:b/>
        </w:rPr>
      </w:pPr>
      <w:r>
        <w:rPr>
          <w:rFonts w:hint="eastAsia" w:ascii="黑体" w:hAnsi="黑体" w:eastAsia="黑体" w:cs="黑体"/>
          <w:b/>
        </w:rPr>
        <w:t>（四）错误修正</w:t>
      </w:r>
    </w:p>
    <w:p w14:paraId="13795207">
      <w:pPr>
        <w:adjustRightInd w:val="0"/>
        <w:snapToGrid w:val="0"/>
        <w:spacing w:line="288" w:lineRule="auto"/>
        <w:ind w:left="420" w:firstLine="398" w:firstLineChars="200"/>
        <w:rPr>
          <w:rFonts w:ascii="宋体" w:hAnsi="宋体" w:cs="宋体"/>
          <w:b/>
          <w:bCs/>
          <w:szCs w:val="21"/>
          <w:lang w:bidi="ar"/>
        </w:rPr>
      </w:pPr>
      <w:r>
        <w:rPr>
          <w:rFonts w:hint="eastAsia" w:ascii="宋体" w:hAnsi="宋体" w:cs="宋体"/>
          <w:b/>
          <w:bCs/>
          <w:spacing w:val="-6"/>
          <w:szCs w:val="21"/>
        </w:rPr>
        <w:t>政府采购云平台上传的电子投标文件报价与政府采购云平台录入报价不一致的，以上传的电子投标文件报价为准。</w:t>
      </w:r>
    </w:p>
    <w:p w14:paraId="5A695C02">
      <w:pPr>
        <w:pStyle w:val="32"/>
        <w:snapToGrid w:val="0"/>
        <w:spacing w:before="0" w:beforeLines="0" w:after="0" w:afterLines="0" w:line="360" w:lineRule="auto"/>
        <w:ind w:left="420" w:firstLine="422" w:firstLineChars="200"/>
        <w:rPr>
          <w:rFonts w:hAnsi="宋体" w:cs="宋体"/>
          <w:b/>
          <w:bCs/>
          <w:sz w:val="21"/>
          <w:szCs w:val="21"/>
          <w:lang w:bidi="ar"/>
        </w:rPr>
      </w:pPr>
      <w:r>
        <w:rPr>
          <w:rFonts w:hint="eastAsia" w:hAnsi="宋体" w:cs="宋体"/>
          <w:b/>
          <w:bCs/>
          <w:sz w:val="21"/>
          <w:szCs w:val="21"/>
          <w:lang w:bidi="ar"/>
        </w:rPr>
        <w:t>投标文件报价出现前后不一致的，除招标文件另有规定外，按照下列规定修正：</w:t>
      </w:r>
    </w:p>
    <w:p w14:paraId="6C8E52B3">
      <w:pPr>
        <w:pStyle w:val="32"/>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lang w:bidi="ar"/>
        </w:rPr>
        <w:t>1、投标文件中开标一览表（报价表）内容与投标文件中相应内容不一致的，以开标一览表（报价表）为准；</w:t>
      </w:r>
    </w:p>
    <w:p w14:paraId="22AE33AD">
      <w:pPr>
        <w:snapToGrid w:val="0"/>
        <w:spacing w:line="360" w:lineRule="auto"/>
        <w:ind w:left="420" w:firstLine="420" w:firstLineChars="200"/>
        <w:rPr>
          <w:rFonts w:ascii="宋体" w:hAnsi="宋体" w:cs="宋体"/>
          <w:szCs w:val="21"/>
        </w:rPr>
      </w:pPr>
      <w:r>
        <w:rPr>
          <w:rFonts w:hint="eastAsia" w:ascii="宋体" w:hAnsi="宋体" w:cs="宋体"/>
          <w:szCs w:val="21"/>
        </w:rPr>
        <w:t>2、大写金额和小写金额不一致的，以大写金额为准；</w:t>
      </w:r>
    </w:p>
    <w:p w14:paraId="03BD609B">
      <w:pPr>
        <w:snapToGrid w:val="0"/>
        <w:spacing w:line="360" w:lineRule="auto"/>
        <w:ind w:left="420" w:firstLine="420" w:firstLineChars="200"/>
        <w:rPr>
          <w:rFonts w:ascii="宋体" w:hAnsi="宋体" w:cs="宋体"/>
          <w:szCs w:val="21"/>
        </w:rPr>
      </w:pPr>
      <w:r>
        <w:rPr>
          <w:rFonts w:hint="eastAsia" w:ascii="宋体" w:hAnsi="宋体" w:cs="宋体"/>
          <w:szCs w:val="21"/>
        </w:rPr>
        <w:t>3、单价金额小数点或者百分比有明显错位的，以开标一览表的总价为准，并修改单价；</w:t>
      </w:r>
    </w:p>
    <w:p w14:paraId="50CFF135">
      <w:pPr>
        <w:snapToGrid w:val="0"/>
        <w:spacing w:line="360" w:lineRule="auto"/>
        <w:ind w:left="420" w:firstLine="420" w:firstLineChars="200"/>
        <w:rPr>
          <w:rFonts w:ascii="宋体" w:hAnsi="宋体" w:cs="宋体"/>
          <w:szCs w:val="21"/>
        </w:rPr>
      </w:pPr>
      <w:r>
        <w:rPr>
          <w:rFonts w:hint="eastAsia" w:ascii="宋体" w:hAnsi="宋体" w:cs="宋体"/>
          <w:szCs w:val="21"/>
        </w:rPr>
        <w:t>4、总价金额与按单价汇总金额不一致的，</w:t>
      </w:r>
      <w:r>
        <w:rPr>
          <w:szCs w:val="21"/>
        </w:rPr>
        <w:t>以单价金额计算结果为准。</w:t>
      </w:r>
      <w:r>
        <w:rPr>
          <w:rFonts w:hint="eastAsia" w:ascii="宋体" w:hAnsi="宋体" w:cs="宋体"/>
          <w:szCs w:val="21"/>
        </w:rPr>
        <w:t>。</w:t>
      </w:r>
    </w:p>
    <w:p w14:paraId="511C7167">
      <w:pPr>
        <w:snapToGrid w:val="0"/>
        <w:spacing w:line="360" w:lineRule="auto"/>
        <w:ind w:left="420" w:firstLine="420" w:firstLineChars="200"/>
        <w:rPr>
          <w:rFonts w:ascii="宋体" w:hAnsi="宋体" w:cs="宋体"/>
          <w:szCs w:val="21"/>
        </w:rPr>
      </w:pPr>
      <w:r>
        <w:rPr>
          <w:rFonts w:hint="eastAsia" w:ascii="宋体" w:hAnsi="宋体" w:cs="宋体"/>
          <w:szCs w:val="21"/>
        </w:rPr>
        <w:t>同时出现两种以上不一致的，按照前款规定的顺序修正。评标委员会应当通过电子交易平台要求投标人对修正后的报价予以确认并对投标人产生约束力。投标人不接受修正或在政采云上的规定的时间内不予确认的，其投标无效。</w:t>
      </w:r>
    </w:p>
    <w:p w14:paraId="6A6FCFC4">
      <w:pPr>
        <w:pStyle w:val="32"/>
        <w:tabs>
          <w:tab w:val="left" w:pos="630"/>
        </w:tabs>
        <w:snapToGrid w:val="0"/>
        <w:spacing w:before="0" w:beforeLines="0" w:after="0" w:afterLines="0" w:line="360" w:lineRule="auto"/>
        <w:ind w:left="420" w:firstLine="472" w:firstLineChars="196"/>
        <w:outlineLvl w:val="2"/>
        <w:rPr>
          <w:rFonts w:ascii="黑体" w:hAnsi="黑体" w:eastAsia="黑体" w:cs="黑体"/>
          <w:b/>
        </w:rPr>
      </w:pPr>
      <w:r>
        <w:rPr>
          <w:rFonts w:hint="eastAsia" w:ascii="黑体" w:hAnsi="黑体" w:eastAsia="黑体" w:cs="黑体"/>
          <w:b/>
        </w:rPr>
        <w:t>（五）评标原则和评标办法</w:t>
      </w:r>
    </w:p>
    <w:p w14:paraId="080D2BAB">
      <w:pPr>
        <w:pStyle w:val="32"/>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5775E32A">
      <w:pPr>
        <w:pStyle w:val="55"/>
        <w:widowControl w:val="0"/>
        <w:adjustRightInd w:val="0"/>
        <w:spacing w:before="0" w:beforeAutospacing="0" w:after="0" w:afterAutospacing="0" w:line="360" w:lineRule="auto"/>
        <w:ind w:left="420" w:firstLine="420" w:firstLineChars="200"/>
        <w:jc w:val="both"/>
        <w:rPr>
          <w:rFonts w:cs="宋体"/>
          <w:sz w:val="21"/>
          <w:szCs w:val="21"/>
        </w:rPr>
      </w:pPr>
      <w:r>
        <w:rPr>
          <w:rFonts w:hint="eastAsia" w:cs="宋体"/>
          <w:kern w:val="2"/>
          <w:sz w:val="21"/>
          <w:szCs w:val="21"/>
          <w:lang w:bidi="ar"/>
        </w:rPr>
        <w:t>2、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6FE78115">
      <w:pPr>
        <w:pStyle w:val="55"/>
        <w:widowControl w:val="0"/>
        <w:adjustRightInd w:val="0"/>
        <w:spacing w:before="0" w:beforeAutospacing="0" w:after="0" w:afterAutospacing="0" w:line="480" w:lineRule="exact"/>
        <w:ind w:left="420" w:firstLine="420" w:firstLineChars="200"/>
        <w:jc w:val="both"/>
        <w:rPr>
          <w:rFonts w:cs="宋体"/>
          <w:sz w:val="21"/>
          <w:szCs w:val="21"/>
        </w:rPr>
      </w:pPr>
      <w:r>
        <w:rPr>
          <w:rFonts w:hint="eastAsia" w:cs="宋体"/>
          <w:kern w:val="2"/>
          <w:sz w:val="21"/>
          <w:szCs w:val="21"/>
          <w:lang w:bidi="ar"/>
        </w:rPr>
        <w:t>3、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4FBC7D3">
      <w:pPr>
        <w:pStyle w:val="55"/>
        <w:widowControl w:val="0"/>
        <w:adjustRightInd w:val="0"/>
        <w:spacing w:before="0" w:beforeAutospacing="0" w:after="0" w:afterAutospacing="0" w:line="480" w:lineRule="exact"/>
        <w:ind w:left="420" w:firstLine="420" w:firstLineChars="200"/>
        <w:jc w:val="both"/>
        <w:rPr>
          <w:rFonts w:cs="宋体"/>
          <w:kern w:val="2"/>
          <w:sz w:val="21"/>
          <w:szCs w:val="21"/>
          <w:lang w:bidi="ar"/>
        </w:rPr>
      </w:pPr>
      <w:r>
        <w:rPr>
          <w:rFonts w:hint="eastAsia" w:cs="宋体"/>
          <w:kern w:val="2"/>
          <w:sz w:val="21"/>
          <w:szCs w:val="21"/>
          <w:lang w:bidi="ar"/>
        </w:rPr>
        <w:t>非单一产品采购项目，采购人应当根据采购项目技术构成、产品价格比重等合理确定核心产品，并在招标文件中载明。多家投标人提供的核心产品品牌相同的，按前款规定处理。</w:t>
      </w:r>
    </w:p>
    <w:p w14:paraId="3489657E">
      <w:pPr>
        <w:spacing w:line="360" w:lineRule="auto"/>
        <w:ind w:hanging="210"/>
        <w:rPr>
          <w:rFonts w:ascii="宋体" w:hAnsi="宋体" w:cs="宋体"/>
          <w:szCs w:val="21"/>
          <w:lang w:bidi="ar"/>
        </w:rPr>
      </w:pPr>
      <w:r>
        <w:rPr>
          <w:rFonts w:hint="eastAsia" w:cs="宋体"/>
          <w:szCs w:val="21"/>
          <w:lang w:bidi="ar"/>
        </w:rPr>
        <w:t>4、</w:t>
      </w:r>
      <w:r>
        <w:rPr>
          <w:rFonts w:hint="eastAsia" w:ascii="宋体" w:hAnsi="宋体" w:cs="宋体"/>
        </w:rPr>
        <w:t>具体评标内容及评分标准等详见第四章《评标办法》。</w:t>
      </w:r>
    </w:p>
    <w:p w14:paraId="563B0722">
      <w:pPr>
        <w:pStyle w:val="32"/>
        <w:snapToGrid w:val="0"/>
        <w:spacing w:before="312" w:beforeLines="100" w:after="312" w:afterLines="100" w:line="360" w:lineRule="auto"/>
        <w:ind w:left="701" w:hanging="281"/>
        <w:jc w:val="center"/>
        <w:outlineLvl w:val="1"/>
        <w:rPr>
          <w:rFonts w:ascii="黑体" w:hAnsi="黑体" w:eastAsia="黑体" w:cs="黑体"/>
          <w:b/>
          <w:sz w:val="28"/>
          <w:szCs w:val="28"/>
        </w:rPr>
      </w:pPr>
      <w:r>
        <w:rPr>
          <w:rFonts w:hint="eastAsia" w:ascii="黑体" w:hAnsi="黑体" w:eastAsia="黑体" w:cs="黑体"/>
          <w:b/>
          <w:sz w:val="28"/>
          <w:szCs w:val="28"/>
        </w:rPr>
        <w:t>六、定标</w:t>
      </w:r>
    </w:p>
    <w:p w14:paraId="4CE0D213">
      <w:pPr>
        <w:pStyle w:val="32"/>
        <w:snapToGrid w:val="0"/>
        <w:spacing w:before="0" w:beforeLines="0" w:after="0" w:afterLines="0" w:line="360" w:lineRule="auto"/>
        <w:ind w:left="420" w:firstLine="472" w:firstLineChars="196"/>
        <w:outlineLvl w:val="2"/>
        <w:rPr>
          <w:rFonts w:ascii="黑体" w:hAnsi="黑体" w:eastAsia="黑体" w:cs="黑体"/>
          <w:b/>
        </w:rPr>
      </w:pPr>
      <w:r>
        <w:rPr>
          <w:rFonts w:hint="eastAsia" w:ascii="黑体" w:hAnsi="黑体" w:eastAsia="黑体" w:cs="黑体"/>
          <w:b/>
          <w:bCs/>
        </w:rPr>
        <w:t>（一）确定中标投标人。</w:t>
      </w:r>
      <w:r>
        <w:rPr>
          <w:rFonts w:hint="eastAsia" w:ascii="黑体" w:hAnsi="黑体" w:eastAsia="黑体" w:cs="黑体"/>
          <w:b/>
        </w:rPr>
        <w:t>本项目由采购人（或采购人事先授权评标委员会）确定中标投标人。</w:t>
      </w:r>
    </w:p>
    <w:p w14:paraId="3E1E0224">
      <w:pPr>
        <w:pStyle w:val="32"/>
        <w:snapToGrid w:val="0"/>
        <w:spacing w:before="0" w:beforeLines="0" w:after="0" w:afterLines="0" w:line="360" w:lineRule="auto"/>
        <w:ind w:left="420" w:firstLine="415" w:firstLineChars="198"/>
        <w:rPr>
          <w:rFonts w:hAnsi="宋体" w:cs="宋体"/>
          <w:sz w:val="21"/>
          <w:szCs w:val="21"/>
        </w:rPr>
      </w:pPr>
      <w:r>
        <w:rPr>
          <w:rFonts w:hint="eastAsia" w:hAnsi="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投标人，中标（成交）候选人撤销投标（响应）文件不能成为采购人不确认采购结果的正当理由。中标、成交通知书和中标、成交结果公告应当在规定时间内同时发出。</w:t>
      </w:r>
    </w:p>
    <w:p w14:paraId="6DF1FBC1">
      <w:pPr>
        <w:pStyle w:val="32"/>
        <w:snapToGrid w:val="0"/>
        <w:spacing w:before="0" w:beforeLines="0" w:after="0" w:afterLines="0" w:line="360" w:lineRule="auto"/>
        <w:ind w:left="420" w:firstLine="477" w:firstLineChars="198"/>
        <w:outlineLvl w:val="2"/>
        <w:rPr>
          <w:rFonts w:ascii="黑体" w:hAnsi="黑体" w:eastAsia="黑体" w:cs="黑体"/>
          <w:b/>
          <w:bCs/>
        </w:rPr>
      </w:pPr>
      <w:r>
        <w:rPr>
          <w:rFonts w:hint="eastAsia" w:ascii="黑体" w:hAnsi="黑体" w:eastAsia="黑体" w:cs="黑体"/>
          <w:b/>
          <w:bCs/>
        </w:rPr>
        <w:t>（二）中标通知与中标结果公告</w:t>
      </w:r>
    </w:p>
    <w:p w14:paraId="6A200D25">
      <w:pPr>
        <w:pStyle w:val="32"/>
        <w:numPr>
          <w:ilvl w:val="0"/>
          <w:numId w:val="8"/>
        </w:numPr>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rPr>
        <w:t>自中标人确定之日起2个工作日内，采购代理机构通过电子交易平台或以纸质形式向中标人发出中标通知书，并同时在相关网站上发布中标公告。</w:t>
      </w:r>
    </w:p>
    <w:p w14:paraId="291E7618">
      <w:pPr>
        <w:pStyle w:val="32"/>
        <w:numPr>
          <w:ilvl w:val="0"/>
          <w:numId w:val="8"/>
        </w:numPr>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rPr>
        <w:t>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3992D01">
      <w:pPr>
        <w:pStyle w:val="32"/>
        <w:snapToGrid w:val="0"/>
        <w:spacing w:before="0" w:beforeLines="0" w:after="0" w:afterLines="0" w:line="360" w:lineRule="auto"/>
        <w:ind w:left="420" w:leftChars="200"/>
        <w:rPr>
          <w:rFonts w:hAnsi="宋体" w:cs="宋体"/>
          <w:sz w:val="21"/>
          <w:szCs w:val="21"/>
        </w:rPr>
      </w:pPr>
      <w:r>
        <w:rPr>
          <w:rFonts w:hint="eastAsia" w:hAnsi="宋体" w:cs="宋体"/>
          <w:sz w:val="21"/>
          <w:szCs w:val="21"/>
        </w:rPr>
        <w:t>3、公告期限为1个工作日。</w:t>
      </w:r>
    </w:p>
    <w:p w14:paraId="5E427FFA">
      <w:pPr>
        <w:pStyle w:val="32"/>
        <w:adjustRightInd w:val="0"/>
        <w:snapToGrid w:val="0"/>
        <w:spacing w:before="0" w:beforeLines="0" w:after="0" w:afterLines="0" w:line="360" w:lineRule="auto"/>
        <w:ind w:left="420" w:firstLine="482" w:firstLineChars="200"/>
        <w:outlineLvl w:val="2"/>
        <w:rPr>
          <w:rFonts w:ascii="黑体" w:hAnsi="黑体" w:eastAsia="黑体" w:cs="黑体"/>
          <w:b/>
        </w:rPr>
      </w:pPr>
      <w:r>
        <w:rPr>
          <w:rFonts w:hint="eastAsia" w:ascii="黑体" w:hAnsi="黑体" w:eastAsia="黑体" w:cs="黑体"/>
          <w:b/>
        </w:rPr>
        <w:t>（三）其它情形</w:t>
      </w:r>
    </w:p>
    <w:p w14:paraId="215EA695">
      <w:pPr>
        <w:pStyle w:val="32"/>
        <w:adjustRightInd w:val="0"/>
        <w:snapToGrid w:val="0"/>
        <w:spacing w:before="0" w:beforeLines="0" w:after="0" w:afterLines="0" w:line="360" w:lineRule="auto"/>
        <w:ind w:left="420" w:firstLine="420" w:firstLineChars="200"/>
        <w:outlineLvl w:val="9"/>
        <w:rPr>
          <w:rFonts w:hint="eastAsia" w:hAnsi="宋体" w:cs="宋体"/>
          <w:sz w:val="21"/>
          <w:szCs w:val="21"/>
        </w:rPr>
      </w:pPr>
      <w:r>
        <w:rPr>
          <w:rFonts w:hint="eastAsia" w:hAnsi="宋体" w:cs="宋体"/>
          <w:bCs/>
          <w:sz w:val="21"/>
          <w:szCs w:val="21"/>
        </w:rPr>
        <w:t>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也可</w:t>
      </w:r>
      <w:r>
        <w:rPr>
          <w:rFonts w:hint="eastAsia" w:hAnsi="宋体" w:cs="宋体"/>
          <w:sz w:val="21"/>
          <w:szCs w:val="21"/>
        </w:rPr>
        <w:t>重新开展政府采购活动。</w:t>
      </w:r>
    </w:p>
    <w:p w14:paraId="5D2E8F75">
      <w:pPr>
        <w:pStyle w:val="32"/>
        <w:adjustRightInd w:val="0"/>
        <w:snapToGrid w:val="0"/>
        <w:spacing w:before="0" w:beforeLines="0" w:after="0" w:afterLines="0" w:line="360" w:lineRule="auto"/>
        <w:ind w:left="420" w:firstLine="420" w:firstLineChars="200"/>
        <w:outlineLvl w:val="9"/>
        <w:rPr>
          <w:rFonts w:hint="eastAsia" w:hAnsi="宋体" w:cs="宋体"/>
          <w:sz w:val="21"/>
          <w:szCs w:val="21"/>
        </w:rPr>
      </w:pPr>
    </w:p>
    <w:p w14:paraId="4F035C8F">
      <w:pPr>
        <w:pStyle w:val="32"/>
        <w:adjustRightInd w:val="0"/>
        <w:snapToGrid w:val="0"/>
        <w:spacing w:before="0" w:beforeLines="0" w:after="0" w:afterLines="0" w:line="360" w:lineRule="auto"/>
        <w:ind w:left="420" w:firstLine="420" w:firstLineChars="200"/>
        <w:outlineLvl w:val="9"/>
        <w:rPr>
          <w:rFonts w:hint="eastAsia" w:hAnsi="宋体" w:cs="宋体"/>
          <w:sz w:val="21"/>
          <w:szCs w:val="21"/>
        </w:rPr>
      </w:pPr>
    </w:p>
    <w:p w14:paraId="20014CC2">
      <w:pPr>
        <w:pStyle w:val="32"/>
        <w:adjustRightInd w:val="0"/>
        <w:snapToGrid w:val="0"/>
        <w:spacing w:before="0" w:beforeLines="0" w:after="0" w:afterLines="0" w:line="360" w:lineRule="auto"/>
        <w:ind w:left="420" w:firstLine="420" w:firstLineChars="200"/>
        <w:outlineLvl w:val="9"/>
        <w:rPr>
          <w:rFonts w:hint="eastAsia" w:hAnsi="宋体" w:cs="宋体"/>
          <w:sz w:val="21"/>
          <w:szCs w:val="21"/>
        </w:rPr>
      </w:pPr>
    </w:p>
    <w:p w14:paraId="4DFD9753">
      <w:pPr>
        <w:pStyle w:val="32"/>
        <w:snapToGrid w:val="0"/>
        <w:spacing w:before="312" w:beforeLines="100" w:after="312" w:afterLines="100" w:line="360" w:lineRule="auto"/>
        <w:ind w:left="701" w:hanging="281"/>
        <w:jc w:val="center"/>
        <w:outlineLvl w:val="1"/>
        <w:rPr>
          <w:rFonts w:ascii="黑体" w:hAnsi="黑体" w:eastAsia="黑体" w:cs="黑体"/>
          <w:b/>
          <w:sz w:val="21"/>
          <w:szCs w:val="21"/>
        </w:rPr>
      </w:pPr>
      <w:r>
        <w:rPr>
          <w:rFonts w:hint="eastAsia" w:ascii="黑体" w:hAnsi="黑体" w:eastAsia="黑体" w:cs="黑体"/>
          <w:b/>
          <w:sz w:val="28"/>
          <w:szCs w:val="28"/>
        </w:rPr>
        <w:t>七、合同授予</w:t>
      </w:r>
    </w:p>
    <w:p w14:paraId="33CE6551">
      <w:pPr>
        <w:pStyle w:val="32"/>
        <w:adjustRightInd w:val="0"/>
        <w:snapToGrid w:val="0"/>
        <w:spacing w:before="0" w:beforeLines="0" w:after="0" w:afterLines="0" w:line="360" w:lineRule="auto"/>
        <w:ind w:left="420" w:firstLine="482" w:firstLineChars="200"/>
        <w:outlineLvl w:val="2"/>
        <w:rPr>
          <w:rFonts w:ascii="黑体" w:hAnsi="黑体" w:eastAsia="黑体" w:cs="黑体"/>
          <w:b/>
        </w:rPr>
      </w:pPr>
      <w:r>
        <w:rPr>
          <w:rFonts w:hint="eastAsia" w:ascii="黑体" w:hAnsi="黑体" w:eastAsia="黑体" w:cs="黑体"/>
          <w:b/>
        </w:rPr>
        <w:t>（一）签订合同</w:t>
      </w:r>
    </w:p>
    <w:p w14:paraId="61A2B8CE">
      <w:pPr>
        <w:pStyle w:val="32"/>
        <w:adjustRightInd w:val="0"/>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rPr>
        <w:t>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采购人与中标人按照招标文件确定的事项签订政府采购合同，并及时上传发布。</w:t>
      </w:r>
    </w:p>
    <w:p w14:paraId="42248357">
      <w:pPr>
        <w:pStyle w:val="32"/>
        <w:adjustRightInd w:val="0"/>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rPr>
        <w:t>2、中标人按规定的日期、时间、地点，由法定代表人或其授权代表与采购人代表签订合同。如中标人为联合体的，由联合体成员各方法定代表人或其授权代表与采购人代表签订合同。</w:t>
      </w:r>
    </w:p>
    <w:p w14:paraId="2F81DC9B">
      <w:pPr>
        <w:pStyle w:val="32"/>
        <w:adjustRightInd w:val="0"/>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rPr>
        <w:t>3、中标人拒绝与采购人签订合同的，采购人可以按照评审报告推荐的中标或者成交候选人名单排序，确定下一候选人为中标投标人，也可以重新开展政府采购活动。</w:t>
      </w:r>
    </w:p>
    <w:p w14:paraId="4DCA3E23">
      <w:pPr>
        <w:pStyle w:val="32"/>
        <w:adjustRightInd w:val="0"/>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rPr>
        <w:t>4、中标人放弃中标资格导致重新采购的，应当承担支付专家评审费等费用在内的赔偿责任。</w:t>
      </w:r>
    </w:p>
    <w:p w14:paraId="0D0E8AC6">
      <w:pPr>
        <w:pStyle w:val="32"/>
        <w:adjustRightInd w:val="0"/>
        <w:snapToGrid w:val="0"/>
        <w:spacing w:before="0" w:beforeLines="0" w:after="0" w:afterLines="0" w:line="360" w:lineRule="auto"/>
        <w:ind w:left="420" w:firstLine="482" w:firstLineChars="200"/>
        <w:outlineLvl w:val="2"/>
        <w:rPr>
          <w:rFonts w:ascii="黑体" w:hAnsi="黑体" w:eastAsia="黑体" w:cs="黑体"/>
          <w:b/>
        </w:rPr>
      </w:pPr>
      <w:r>
        <w:rPr>
          <w:rFonts w:hint="eastAsia" w:ascii="黑体" w:hAnsi="黑体" w:eastAsia="黑体" w:cs="黑体"/>
          <w:b/>
        </w:rPr>
        <w:t>（二）履约保证金</w:t>
      </w:r>
    </w:p>
    <w:p w14:paraId="36B889B9">
      <w:pPr>
        <w:pStyle w:val="32"/>
        <w:adjustRightInd w:val="0"/>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rPr>
        <w:t>1、拟签订的合同文本要求中标人提交履约保证金的，中标人应当以支票、汇票、本票或者金融机构、担保机构出具的保函等非现金形式提交。履约保证金的数额不得超过政府采购合同金额的1%。鼓励和支持投标人以银行、保险公司出具的保函形式提供履约保证金。采购人不得拒收履约保函，项目验收结束后应及时退还，延迟退还的，应当按照合同约定和法律规定承担相应的赔偿责任。</w:t>
      </w:r>
    </w:p>
    <w:p w14:paraId="5777D2E8">
      <w:pPr>
        <w:pStyle w:val="32"/>
        <w:adjustRightInd w:val="0"/>
        <w:snapToGrid w:val="0"/>
        <w:spacing w:before="0" w:beforeLines="0" w:after="0" w:afterLines="0" w:line="360" w:lineRule="auto"/>
        <w:ind w:left="420" w:firstLine="420" w:firstLineChars="200"/>
        <w:rPr>
          <w:rFonts w:hAnsi="宋体" w:cs="宋体"/>
          <w:sz w:val="21"/>
          <w:szCs w:val="21"/>
        </w:rPr>
      </w:pPr>
      <w:r>
        <w:rPr>
          <w:rFonts w:hint="eastAsia" w:hAnsi="宋体" w:cs="宋体"/>
          <w:sz w:val="21"/>
          <w:szCs w:val="21"/>
        </w:rPr>
        <w:t>2、中标人可登录政采云平台-【金融服务】—【我的项目】—【已备案合同】以保函形式提供：1.中标人在合同列表选择需要投保的合同，点击[保函推荐]。2.在弹框里查看推荐的保函产品，中标人自行选择保函产品，点击[立即申请]。3.在弹框里填写保函申请信息。具体步骤：选择产品—填写投标人信息—选择中标项目—确认信息—等待保险/保函受理—确认保单—支付保费—成功出单。政采云金融专线400-903-9583。</w:t>
      </w:r>
    </w:p>
    <w:p w14:paraId="784C2DB9">
      <w:pPr>
        <w:pStyle w:val="32"/>
        <w:adjustRightInd w:val="0"/>
        <w:snapToGrid w:val="0"/>
        <w:spacing w:before="0" w:beforeLines="0" w:after="0" w:afterLines="0" w:line="360" w:lineRule="auto"/>
        <w:ind w:left="420" w:firstLine="420" w:firstLineChars="200"/>
      </w:pPr>
      <w:r>
        <w:rPr>
          <w:rFonts w:hint="eastAsia"/>
          <w:sz w:val="21"/>
          <w:szCs w:val="21"/>
        </w:rPr>
        <w:t>3、</w:t>
      </w:r>
      <w:r>
        <w:rPr>
          <w:sz w:val="21"/>
          <w:szCs w:val="21"/>
        </w:rPr>
        <w:t>合同执行中，如中标人不按双方合同约定履约，则按合同约定先在履约保证金中扣除相应金额作为违约金，履约保证金不足以赔偿损失的，按实际损失赔偿。</w:t>
      </w:r>
    </w:p>
    <w:p w14:paraId="587C80A6">
      <w:pPr>
        <w:pStyle w:val="32"/>
        <w:snapToGrid w:val="0"/>
        <w:spacing w:before="312" w:beforeLines="100" w:line="360" w:lineRule="auto"/>
        <w:ind w:left="701" w:hanging="281"/>
        <w:jc w:val="center"/>
        <w:outlineLvl w:val="1"/>
        <w:rPr>
          <w:rFonts w:ascii="黑体" w:hAnsi="黑体" w:eastAsia="黑体" w:cs="黑体"/>
          <w:b/>
          <w:sz w:val="28"/>
          <w:szCs w:val="28"/>
        </w:rPr>
      </w:pPr>
      <w:r>
        <w:rPr>
          <w:rFonts w:hint="eastAsia" w:ascii="黑体" w:hAnsi="黑体" w:eastAsia="黑体" w:cs="黑体"/>
          <w:b/>
          <w:sz w:val="28"/>
          <w:szCs w:val="28"/>
        </w:rPr>
        <w:t>八、验收</w:t>
      </w:r>
    </w:p>
    <w:p w14:paraId="5AF75403">
      <w:pPr>
        <w:spacing w:line="420" w:lineRule="exact"/>
        <w:ind w:left="420" w:firstLine="482" w:firstLineChars="200"/>
        <w:contextualSpacing/>
        <w:rPr>
          <w:rFonts w:ascii="黑体" w:hAnsi="黑体" w:eastAsia="黑体" w:cs="黑体"/>
          <w:b/>
          <w:bCs/>
          <w:sz w:val="24"/>
        </w:rPr>
      </w:pPr>
      <w:r>
        <w:rPr>
          <w:rFonts w:hint="eastAsia" w:ascii="黑体" w:hAnsi="黑体" w:eastAsia="黑体" w:cs="黑体"/>
          <w:b/>
          <w:bCs/>
          <w:sz w:val="24"/>
        </w:rPr>
        <w:t>（一）验收</w:t>
      </w:r>
    </w:p>
    <w:p w14:paraId="321C238A">
      <w:pPr>
        <w:spacing w:line="420" w:lineRule="exact"/>
        <w:ind w:left="420" w:firstLine="420" w:firstLineChars="200"/>
        <w:contextualSpacing/>
        <w:rPr>
          <w:rFonts w:ascii="宋体" w:hAnsi="宋体" w:cs="宋体"/>
          <w:szCs w:val="21"/>
        </w:rPr>
      </w:pPr>
      <w:r>
        <w:rPr>
          <w:rFonts w:hint="eastAsia" w:ascii="宋体" w:hAnsi="宋体" w:cs="宋体"/>
          <w:szCs w:val="21"/>
        </w:rPr>
        <w:t>1、采购人组织对中标供应商履约的验收。大型或者复杂的政府采购项目，应当邀请国家认可的质量检测机构参加验收工作。验收方成员应当在验收书上签字，并承担相应的法律责任。如果发现与合同中要求不符，中标供应商须承担由此发生的一切损失和费用，并接受相应的处理。</w:t>
      </w:r>
    </w:p>
    <w:p w14:paraId="0E4CBAE5">
      <w:pPr>
        <w:spacing w:line="420" w:lineRule="exact"/>
        <w:ind w:left="420" w:firstLine="420" w:firstLineChars="200"/>
        <w:contextualSpacing/>
        <w:rPr>
          <w:rFonts w:ascii="宋体" w:hAnsi="宋体" w:cs="宋体"/>
          <w:szCs w:val="21"/>
        </w:rPr>
      </w:pPr>
      <w:r>
        <w:rPr>
          <w:rFonts w:hint="eastAsia" w:ascii="宋体" w:hAnsi="宋体" w:cs="宋体"/>
          <w:szCs w:val="21"/>
        </w:rPr>
        <w:t>2、采购人可以邀请参加本项目的其他供应商或者第三方机构参与验收。参与验收的供应商或者第三方机构的意见作为验收书的参考资料一并存档。</w:t>
      </w:r>
    </w:p>
    <w:p w14:paraId="4EFA3643">
      <w:pPr>
        <w:spacing w:line="420" w:lineRule="exact"/>
        <w:ind w:left="420" w:firstLine="420" w:firstLineChars="200"/>
        <w:contextualSpacing/>
        <w:rPr>
          <w:rFonts w:ascii="宋体" w:hAnsi="宋体" w:cs="宋体"/>
          <w:szCs w:val="21"/>
        </w:rPr>
      </w:pPr>
      <w:r>
        <w:rPr>
          <w:rFonts w:hint="eastAsia" w:ascii="宋体" w:hAnsi="宋体" w:cs="宋体"/>
          <w:szCs w:val="21"/>
        </w:rPr>
        <w:t>3、严格按照采购合同开展履约验收。采购人成立验收小组，按照采购合同的约定对中标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176306">
      <w:pPr>
        <w:spacing w:line="420" w:lineRule="exact"/>
        <w:ind w:left="420" w:firstLine="420" w:firstLineChars="200"/>
        <w:contextualSpacing/>
        <w:rPr>
          <w:rFonts w:ascii="宋体" w:hAnsi="宋体" w:cs="宋体"/>
          <w:szCs w:val="21"/>
        </w:rPr>
        <w:sectPr>
          <w:footerReference r:id="rId14" w:type="first"/>
          <w:footerReference r:id="rId13" w:type="default"/>
          <w:pgSz w:w="11906" w:h="16838"/>
          <w:pgMar w:top="1134" w:right="1134" w:bottom="1134" w:left="1134" w:header="851" w:footer="850" w:gutter="0"/>
          <w:cols w:space="0" w:num="1"/>
          <w:rtlGutter w:val="0"/>
          <w:docGrid w:type="lines" w:linePitch="312" w:charSpace="0"/>
        </w:sectPr>
      </w:pPr>
      <w:r>
        <w:rPr>
          <w:rFonts w:hint="eastAsia" w:ascii="宋体" w:hAnsi="宋体" w:cs="宋体"/>
          <w:szCs w:val="21"/>
        </w:rPr>
        <w:t>4、验收合格的项目，采购人将根据采购合同的约定及时向中标供应商支付采购资金、退还履约保证金。验收不合格的项目，采购人将依法及时处理。采购合同的履行、违约责任和解决争议的方式等适用《中华人民共和国民法典》。中标供应商在履约过程中有政府采购法律法规规定的违法违规情形的，采购人应当及时报告本级财政部</w:t>
      </w:r>
      <w:bookmarkStart w:id="60" w:name="_Hlt75236011"/>
      <w:bookmarkEnd w:id="60"/>
      <w:bookmarkStart w:id="61" w:name="_Hlt68073093"/>
      <w:bookmarkEnd w:id="61"/>
      <w:bookmarkStart w:id="62" w:name="_Hlt74714665"/>
      <w:bookmarkEnd w:id="62"/>
      <w:bookmarkStart w:id="63" w:name="_Hlt74707468"/>
      <w:bookmarkEnd w:id="63"/>
      <w:bookmarkStart w:id="64" w:name="_Hlt68403820"/>
      <w:bookmarkEnd w:id="64"/>
      <w:bookmarkStart w:id="65" w:name="_Hlt74730295"/>
      <w:bookmarkEnd w:id="65"/>
      <w:bookmarkStart w:id="66" w:name="_Hlt75236290"/>
      <w:bookmarkEnd w:id="66"/>
      <w:bookmarkStart w:id="67" w:name="_Hlt74729768"/>
      <w:bookmarkEnd w:id="67"/>
      <w:bookmarkStart w:id="68" w:name="_Hlt68057669"/>
      <w:bookmarkEnd w:id="68"/>
      <w:bookmarkStart w:id="69" w:name="_Hlt68072990"/>
      <w:bookmarkEnd w:id="69"/>
      <w:bookmarkStart w:id="70" w:name="_Hlt68072998"/>
      <w:bookmarkEnd w:id="70"/>
      <w:bookmarkStart w:id="71" w:name="_Hlt75236101"/>
      <w:bookmarkEnd w:id="71"/>
    </w:p>
    <w:p w14:paraId="0B4A70C5">
      <w:pPr>
        <w:pStyle w:val="32"/>
        <w:snapToGrid w:val="0"/>
        <w:spacing w:before="0" w:beforeLines="0" w:after="0" w:afterLines="0" w:line="360" w:lineRule="auto"/>
        <w:ind w:left="741" w:hanging="321"/>
        <w:jc w:val="center"/>
        <w:outlineLvl w:val="0"/>
        <w:rPr>
          <w:rFonts w:ascii="黑体" w:hAnsi="黑体" w:eastAsia="黑体" w:cs="黑体"/>
          <w:b/>
        </w:rPr>
      </w:pPr>
      <w:bookmarkStart w:id="72" w:name="_Toc66379545"/>
      <w:bookmarkStart w:id="73" w:name="_Toc21510"/>
      <w:r>
        <w:rPr>
          <w:rFonts w:hint="eastAsia" w:ascii="黑体" w:hAnsi="黑体" w:eastAsia="黑体" w:cs="黑体"/>
          <w:b/>
          <w:sz w:val="32"/>
          <w:szCs w:val="32"/>
        </w:rPr>
        <w:t>第四章  评标办法</w:t>
      </w:r>
      <w:bookmarkEnd w:id="72"/>
      <w:bookmarkEnd w:id="73"/>
    </w:p>
    <w:p w14:paraId="6801D156">
      <w:pPr>
        <w:spacing w:line="360" w:lineRule="auto"/>
        <w:ind w:left="660" w:hanging="240"/>
        <w:rPr>
          <w:rFonts w:ascii="宋体" w:hAnsi="宋体" w:cs="宋体"/>
          <w:sz w:val="24"/>
        </w:rPr>
      </w:pPr>
    </w:p>
    <w:p w14:paraId="6B43093D">
      <w:pPr>
        <w:snapToGrid w:val="0"/>
        <w:spacing w:line="360" w:lineRule="auto"/>
        <w:ind w:left="420" w:firstLine="420" w:firstLineChars="200"/>
        <w:rPr>
          <w:rFonts w:hint="eastAsia" w:ascii="宋体" w:hAnsi="宋体" w:cs="宋体"/>
          <w:szCs w:val="21"/>
        </w:rPr>
      </w:pPr>
      <w:r>
        <w:rPr>
          <w:rFonts w:hint="eastAsia" w:ascii="宋体" w:hAnsi="宋体" w:cs="宋体"/>
          <w:szCs w:val="21"/>
        </w:rPr>
        <w:t>为公正、公平、科学地选择中标人，根据《中华人民共和国政府采购法》等有关法律法规的规定，并结合本项目的实际，制定本办法。</w:t>
      </w:r>
    </w:p>
    <w:p w14:paraId="4CCDABB7">
      <w:pPr>
        <w:snapToGrid w:val="0"/>
        <w:spacing w:line="360" w:lineRule="auto"/>
        <w:ind w:left="420" w:firstLine="420" w:firstLineChars="200"/>
        <w:rPr>
          <w:rFonts w:hint="eastAsia" w:ascii="宋体" w:hAnsi="宋体" w:cs="宋体"/>
          <w:szCs w:val="21"/>
        </w:rPr>
      </w:pPr>
      <w:r>
        <w:rPr>
          <w:rFonts w:hint="eastAsia" w:ascii="宋体" w:hAnsi="宋体" w:cs="宋体"/>
          <w:szCs w:val="21"/>
        </w:rPr>
        <w:t>本办法适用于舟山市定海区公路照明能源托管项目的评标。</w:t>
      </w:r>
    </w:p>
    <w:p w14:paraId="574F5CAD">
      <w:pPr>
        <w:snapToGrid w:val="0"/>
        <w:spacing w:line="360" w:lineRule="auto"/>
        <w:ind w:left="661" w:hanging="241"/>
        <w:outlineLvl w:val="1"/>
        <w:rPr>
          <w:rFonts w:ascii="黑体" w:hAnsi="黑体" w:eastAsia="黑体" w:cs="黑体"/>
          <w:b/>
          <w:sz w:val="24"/>
        </w:rPr>
      </w:pPr>
      <w:r>
        <w:rPr>
          <w:rFonts w:hint="eastAsia" w:ascii="黑体" w:hAnsi="黑体" w:eastAsia="黑体" w:cs="黑体"/>
          <w:b/>
          <w:sz w:val="24"/>
        </w:rPr>
        <w:t>一、总则</w:t>
      </w:r>
    </w:p>
    <w:p w14:paraId="389510D0">
      <w:pPr>
        <w:snapToGrid w:val="0"/>
        <w:spacing w:line="360" w:lineRule="auto"/>
        <w:ind w:left="420" w:firstLine="420" w:firstLineChars="200"/>
        <w:rPr>
          <w:rFonts w:ascii="宋体" w:hAnsi="宋体" w:cs="宋体"/>
          <w:bCs/>
          <w:szCs w:val="21"/>
        </w:rPr>
      </w:pPr>
      <w:r>
        <w:rPr>
          <w:rFonts w:hint="eastAsia" w:ascii="宋体" w:hAnsi="宋体" w:cs="宋体"/>
          <w:szCs w:val="21"/>
        </w:rPr>
        <w:t>本次评标采用综合评分法，总分为100分，其中</w:t>
      </w:r>
      <w:r>
        <w:rPr>
          <w:rFonts w:hint="eastAsia" w:ascii="宋体" w:hAnsi="宋体" w:cs="宋体"/>
          <w:szCs w:val="21"/>
          <w:highlight w:val="none"/>
        </w:rPr>
        <w:t>价格分</w:t>
      </w:r>
      <w:r>
        <w:rPr>
          <w:rFonts w:hint="eastAsia" w:ascii="宋体" w:hAnsi="宋体" w:cs="宋体"/>
          <w:szCs w:val="21"/>
          <w:highlight w:val="none"/>
          <w:u w:val="single"/>
        </w:rPr>
        <w:t xml:space="preserve"> 10  </w:t>
      </w:r>
      <w:r>
        <w:rPr>
          <w:rFonts w:hint="eastAsia" w:ascii="宋体" w:hAnsi="宋体" w:cs="宋体"/>
          <w:szCs w:val="21"/>
          <w:highlight w:val="none"/>
        </w:rPr>
        <w:t>分、商务技术分</w:t>
      </w:r>
      <w:r>
        <w:rPr>
          <w:rFonts w:hint="eastAsia" w:ascii="宋体" w:hAnsi="宋体" w:cs="宋体"/>
          <w:szCs w:val="21"/>
          <w:highlight w:val="none"/>
          <w:u w:val="single"/>
        </w:rPr>
        <w:t xml:space="preserve"> 90  </w:t>
      </w:r>
      <w:r>
        <w:rPr>
          <w:rFonts w:hint="eastAsia" w:ascii="宋体" w:hAnsi="宋体" w:cs="宋体"/>
          <w:szCs w:val="21"/>
          <w:highlight w:val="none"/>
        </w:rPr>
        <w:t>分。</w:t>
      </w:r>
      <w:r>
        <w:rPr>
          <w:rFonts w:hint="eastAsia" w:ascii="宋体" w:hAnsi="宋体" w:cs="宋体"/>
          <w:szCs w:val="21"/>
        </w:rPr>
        <w:t>合格投标人的评标得分为各项目汇总得分，中标候选资格按评标得分由高到低顺序排列，得分相同的，按投标报价由低到高顺序排列；得分且投标报价相同的，按技术得分由高到低顺序排列。</w:t>
      </w:r>
      <w:r>
        <w:rPr>
          <w:rFonts w:hint="eastAsia" w:ascii="宋体" w:hAnsi="宋体" w:cs="宋体"/>
          <w:bCs/>
          <w:szCs w:val="21"/>
        </w:rPr>
        <w:t>评分过程中采用四舍五入法，并保留小数2位。除财政部门另有规定外，评标委员会推荐</w:t>
      </w:r>
      <w:r>
        <w:rPr>
          <w:rFonts w:hint="eastAsia" w:ascii="宋体" w:hAnsi="宋体" w:cs="宋体"/>
          <w:szCs w:val="21"/>
        </w:rPr>
        <w:t>得分</w:t>
      </w:r>
      <w:r>
        <w:rPr>
          <w:rFonts w:hint="eastAsia" w:ascii="宋体" w:hAnsi="宋体" w:cs="宋体"/>
          <w:bCs/>
          <w:szCs w:val="21"/>
        </w:rPr>
        <w:t>排列前</w:t>
      </w:r>
      <w:r>
        <w:rPr>
          <w:rFonts w:hint="eastAsia" w:ascii="宋体" w:hAnsi="宋体" w:cs="宋体"/>
          <w:bCs/>
          <w:szCs w:val="21"/>
          <w:u w:val="single"/>
        </w:rPr>
        <w:t>3</w:t>
      </w:r>
      <w:r>
        <w:rPr>
          <w:rFonts w:hint="eastAsia" w:ascii="宋体" w:hAnsi="宋体" w:cs="宋体"/>
          <w:bCs/>
          <w:szCs w:val="21"/>
        </w:rPr>
        <w:t>名的投标人为中标候选人。</w:t>
      </w:r>
    </w:p>
    <w:p w14:paraId="00A4E73A">
      <w:pPr>
        <w:snapToGrid w:val="0"/>
        <w:spacing w:line="360" w:lineRule="auto"/>
        <w:ind w:left="420" w:firstLine="420" w:firstLineChars="200"/>
        <w:rPr>
          <w:rFonts w:ascii="宋体" w:hAnsi="宋体" w:cs="宋体"/>
          <w:szCs w:val="21"/>
        </w:rPr>
      </w:pPr>
      <w:r>
        <w:rPr>
          <w:rFonts w:hint="eastAsia" w:ascii="宋体" w:hAnsi="宋体" w:cs="宋体"/>
          <w:szCs w:val="21"/>
        </w:rPr>
        <w:t>技术、</w:t>
      </w:r>
      <w:r>
        <w:rPr>
          <w:rFonts w:hint="eastAsia" w:ascii="宋体" w:hAnsi="宋体" w:cs="宋体"/>
          <w:bCs/>
          <w:szCs w:val="21"/>
        </w:rPr>
        <w:t>资信及</w:t>
      </w:r>
      <w:r>
        <w:rPr>
          <w:rFonts w:hint="eastAsia" w:ascii="宋体" w:hAnsi="宋体" w:cs="宋体"/>
          <w:szCs w:val="21"/>
        </w:rPr>
        <w:t>商务分=评标委员会所有成员评分合计数/评标委员会组成人员数</w:t>
      </w:r>
    </w:p>
    <w:p w14:paraId="1799EAD3">
      <w:pPr>
        <w:snapToGrid w:val="0"/>
        <w:spacing w:line="360" w:lineRule="auto"/>
        <w:ind w:left="420" w:firstLine="420" w:firstLineChars="200"/>
        <w:rPr>
          <w:rFonts w:ascii="宋体" w:hAnsi="宋体" w:cs="宋体"/>
          <w:bCs/>
          <w:szCs w:val="21"/>
        </w:rPr>
      </w:pPr>
      <w:r>
        <w:rPr>
          <w:rFonts w:hint="eastAsia" w:ascii="宋体" w:hAnsi="宋体" w:cs="宋体"/>
          <w:szCs w:val="21"/>
        </w:rPr>
        <w:t>投标人评标</w:t>
      </w:r>
      <w:r>
        <w:rPr>
          <w:rFonts w:hint="eastAsia" w:ascii="宋体" w:hAnsi="宋体" w:cs="宋体"/>
          <w:bCs/>
          <w:szCs w:val="21"/>
        </w:rPr>
        <w:t>综合得分=价格分+商务技术分</w:t>
      </w:r>
    </w:p>
    <w:p w14:paraId="58CB83BA">
      <w:pPr>
        <w:snapToGrid w:val="0"/>
        <w:spacing w:line="360" w:lineRule="auto"/>
        <w:ind w:left="661" w:hanging="241"/>
        <w:outlineLvl w:val="1"/>
        <w:rPr>
          <w:rFonts w:ascii="黑体" w:hAnsi="黑体" w:eastAsia="黑体" w:cs="黑体"/>
          <w:b/>
          <w:sz w:val="24"/>
        </w:rPr>
      </w:pPr>
      <w:r>
        <w:rPr>
          <w:rFonts w:hint="eastAsia" w:ascii="黑体" w:hAnsi="黑体" w:eastAsia="黑体" w:cs="黑体"/>
          <w:b/>
          <w:sz w:val="24"/>
        </w:rPr>
        <w:t>二、资格审查</w:t>
      </w:r>
    </w:p>
    <w:p w14:paraId="5799B361">
      <w:pPr>
        <w:snapToGrid w:val="0"/>
        <w:spacing w:line="360" w:lineRule="auto"/>
        <w:ind w:left="420" w:firstLine="420" w:firstLineChars="200"/>
        <w:rPr>
          <w:rFonts w:ascii="宋体" w:hAnsi="宋体" w:cs="宋体"/>
          <w:b/>
          <w:bCs/>
          <w:szCs w:val="21"/>
        </w:rPr>
      </w:pPr>
      <w:r>
        <w:rPr>
          <w:rFonts w:hint="eastAsia" w:ascii="宋体" w:hAnsi="宋体" w:cs="宋体"/>
          <w:szCs w:val="21"/>
        </w:rPr>
        <w:t>采购人或者采购代理机构对各投标人的资格进行审查，投标人资格条件不符合招标文件要求的投标无效，不再进入符合性审查。</w:t>
      </w:r>
    </w:p>
    <w:p w14:paraId="45DCD5CE">
      <w:pPr>
        <w:snapToGrid w:val="0"/>
        <w:spacing w:line="360" w:lineRule="auto"/>
        <w:ind w:left="420" w:firstLine="4006" w:firstLineChars="1900"/>
        <w:jc w:val="both"/>
        <w:rPr>
          <w:rFonts w:ascii="宋体" w:hAnsi="宋体" w:cs="宋体"/>
          <w:b/>
          <w:bCs/>
          <w:szCs w:val="21"/>
        </w:rPr>
      </w:pPr>
      <w:r>
        <w:rPr>
          <w:rFonts w:hint="eastAsia" w:ascii="宋体" w:hAnsi="宋体" w:cs="宋体"/>
          <w:b/>
          <w:bCs/>
          <w:szCs w:val="21"/>
        </w:rPr>
        <w:t>资格审查表</w:t>
      </w:r>
    </w:p>
    <w:tbl>
      <w:tblPr>
        <w:tblStyle w:val="60"/>
        <w:tblpPr w:leftFromText="180" w:rightFromText="180" w:vertAnchor="text" w:horzAnchor="page" w:tblpX="1491" w:tblpY="386"/>
        <w:tblOverlap w:val="never"/>
        <w:tblW w:w="9104"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47"/>
        <w:gridCol w:w="5076"/>
        <w:gridCol w:w="3381"/>
      </w:tblGrid>
      <w:tr w14:paraId="3F60C3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89" w:hRule="atLeast"/>
        </w:trPr>
        <w:tc>
          <w:tcPr>
            <w:tcW w:w="647" w:type="dxa"/>
            <w:vAlign w:val="center"/>
          </w:tcPr>
          <w:p w14:paraId="55844985">
            <w:pPr>
              <w:tabs>
                <w:tab w:val="left" w:pos="0"/>
              </w:tabs>
              <w:snapToGrid w:val="0"/>
              <w:spacing w:line="360" w:lineRule="auto"/>
              <w:jc w:val="center"/>
              <w:rPr>
                <w:rFonts w:ascii="宋体" w:hAnsi="宋体" w:cs="宋体"/>
                <w:szCs w:val="21"/>
              </w:rPr>
            </w:pPr>
            <w:r>
              <w:rPr>
                <w:rFonts w:hint="eastAsia" w:ascii="宋体" w:hAnsi="宋体" w:cs="宋体"/>
                <w:szCs w:val="21"/>
              </w:rPr>
              <w:t>序号</w:t>
            </w:r>
          </w:p>
        </w:tc>
        <w:tc>
          <w:tcPr>
            <w:tcW w:w="5076" w:type="dxa"/>
            <w:vAlign w:val="center"/>
          </w:tcPr>
          <w:p w14:paraId="2CA8DC6E">
            <w:pPr>
              <w:tabs>
                <w:tab w:val="left" w:pos="0"/>
              </w:tabs>
              <w:snapToGrid w:val="0"/>
              <w:spacing w:line="360" w:lineRule="auto"/>
              <w:jc w:val="center"/>
              <w:rPr>
                <w:rFonts w:ascii="宋体" w:hAnsi="宋体" w:cs="宋体"/>
                <w:szCs w:val="21"/>
              </w:rPr>
            </w:pPr>
            <w:r>
              <w:rPr>
                <w:rFonts w:hint="eastAsia" w:ascii="宋体" w:hAnsi="宋体" w:cs="宋体"/>
                <w:szCs w:val="21"/>
              </w:rPr>
              <w:t>项目内容</w:t>
            </w:r>
          </w:p>
        </w:tc>
        <w:tc>
          <w:tcPr>
            <w:tcW w:w="3381" w:type="dxa"/>
            <w:vAlign w:val="center"/>
          </w:tcPr>
          <w:p w14:paraId="33BE31CA">
            <w:pPr>
              <w:tabs>
                <w:tab w:val="left" w:pos="0"/>
              </w:tabs>
              <w:snapToGrid w:val="0"/>
              <w:spacing w:line="360" w:lineRule="auto"/>
              <w:jc w:val="center"/>
              <w:rPr>
                <w:rFonts w:ascii="宋体" w:hAnsi="宋体" w:cs="宋体"/>
                <w:szCs w:val="21"/>
              </w:rPr>
            </w:pPr>
            <w:r>
              <w:rPr>
                <w:rFonts w:hint="eastAsia" w:ascii="宋体" w:hAnsi="宋体" w:cs="宋体"/>
                <w:szCs w:val="21"/>
              </w:rPr>
              <w:t>合    格    条    件</w:t>
            </w:r>
          </w:p>
        </w:tc>
      </w:tr>
      <w:tr w14:paraId="19389A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47" w:type="dxa"/>
            <w:tcBorders>
              <w:top w:val="single" w:color="auto" w:sz="4" w:space="0"/>
            </w:tcBorders>
            <w:vAlign w:val="center"/>
          </w:tcPr>
          <w:p w14:paraId="56513128">
            <w:pPr>
              <w:tabs>
                <w:tab w:val="left" w:pos="0"/>
              </w:tabs>
              <w:snapToGrid w:val="0"/>
              <w:spacing w:line="360" w:lineRule="auto"/>
              <w:jc w:val="center"/>
              <w:rPr>
                <w:rFonts w:ascii="宋体" w:hAnsi="宋体" w:cs="宋体"/>
                <w:szCs w:val="21"/>
              </w:rPr>
            </w:pPr>
            <w:r>
              <w:rPr>
                <w:rFonts w:hint="eastAsia" w:ascii="宋体" w:hAnsi="宋体" w:cs="宋体"/>
                <w:szCs w:val="21"/>
              </w:rPr>
              <w:t>１</w:t>
            </w:r>
          </w:p>
        </w:tc>
        <w:tc>
          <w:tcPr>
            <w:tcW w:w="5076" w:type="dxa"/>
            <w:tcBorders>
              <w:top w:val="single" w:color="auto" w:sz="4" w:space="0"/>
            </w:tcBorders>
            <w:vAlign w:val="center"/>
          </w:tcPr>
          <w:p w14:paraId="297C9C65">
            <w:pPr>
              <w:spacing w:line="360" w:lineRule="auto"/>
              <w:rPr>
                <w:rFonts w:ascii="宋体" w:hAnsi="宋体" w:cs="宋体"/>
                <w:szCs w:val="21"/>
              </w:rPr>
            </w:pPr>
            <w:r>
              <w:rPr>
                <w:rFonts w:hint="eastAsia" w:ascii="宋体" w:hAnsi="宋体" w:cs="宋体"/>
                <w:szCs w:val="21"/>
              </w:rPr>
              <w:t>满足《中华人民共和国政府采购法》第二十二条规定：</w:t>
            </w:r>
          </w:p>
          <w:p w14:paraId="0C62F68F">
            <w:pPr>
              <w:snapToGrid w:val="0"/>
              <w:spacing w:line="360" w:lineRule="auto"/>
              <w:rPr>
                <w:rFonts w:ascii="宋体" w:hAnsi="宋体" w:cs="宋体"/>
                <w:szCs w:val="21"/>
              </w:rPr>
            </w:pPr>
            <w:r>
              <w:rPr>
                <w:rFonts w:hint="eastAsia" w:ascii="宋体" w:hAnsi="宋体" w:cs="宋体"/>
              </w:rPr>
              <w:t>1、具有独立承担民事责任的能力；</w:t>
            </w:r>
          </w:p>
        </w:tc>
        <w:tc>
          <w:tcPr>
            <w:tcW w:w="3381" w:type="dxa"/>
            <w:tcBorders>
              <w:top w:val="single" w:color="auto" w:sz="4" w:space="0"/>
            </w:tcBorders>
            <w:vAlign w:val="center"/>
          </w:tcPr>
          <w:p w14:paraId="068AE166">
            <w:pPr>
              <w:tabs>
                <w:tab w:val="left" w:pos="0"/>
              </w:tabs>
              <w:snapToGrid w:val="0"/>
              <w:spacing w:line="360" w:lineRule="auto"/>
              <w:rPr>
                <w:rFonts w:ascii="宋体" w:hAnsi="宋体" w:cs="宋体"/>
                <w:szCs w:val="21"/>
              </w:rPr>
            </w:pPr>
            <w:r>
              <w:rPr>
                <w:rFonts w:hint="eastAsia" w:ascii="宋体" w:hAnsi="宋体" w:cs="宋体"/>
                <w:kern w:val="0"/>
                <w:szCs w:val="21"/>
              </w:rPr>
              <w:t>法人或者其他组织的营业执照等证明文件，自然人的身份证明</w:t>
            </w:r>
            <w:r>
              <w:rPr>
                <w:rFonts w:hint="eastAsia" w:ascii="宋体" w:hAnsi="宋体" w:cs="宋体"/>
                <w:color w:val="000000"/>
                <w:szCs w:val="21"/>
              </w:rPr>
              <w:t>，并</w:t>
            </w:r>
            <w:r>
              <w:rPr>
                <w:rFonts w:hint="eastAsia" w:ascii="宋体" w:hAnsi="宋体" w:cs="宋体"/>
                <w:szCs w:val="21"/>
              </w:rPr>
              <w:t>真实有效。</w:t>
            </w:r>
          </w:p>
        </w:tc>
      </w:tr>
      <w:tr w14:paraId="3B0801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7" w:hRule="atLeast"/>
        </w:trPr>
        <w:tc>
          <w:tcPr>
            <w:tcW w:w="647" w:type="dxa"/>
            <w:tcBorders>
              <w:bottom w:val="single" w:color="auto" w:sz="4" w:space="0"/>
            </w:tcBorders>
            <w:vAlign w:val="center"/>
          </w:tcPr>
          <w:p w14:paraId="73E364FF">
            <w:pPr>
              <w:tabs>
                <w:tab w:val="left" w:pos="0"/>
              </w:tabs>
              <w:snapToGrid w:val="0"/>
              <w:spacing w:line="360" w:lineRule="auto"/>
              <w:jc w:val="center"/>
              <w:rPr>
                <w:rFonts w:ascii="宋体" w:hAnsi="宋体" w:cs="宋体"/>
                <w:szCs w:val="21"/>
              </w:rPr>
            </w:pPr>
            <w:r>
              <w:rPr>
                <w:rFonts w:hint="eastAsia" w:ascii="宋体" w:hAnsi="宋体" w:cs="宋体"/>
                <w:szCs w:val="21"/>
              </w:rPr>
              <w:t>２</w:t>
            </w:r>
          </w:p>
        </w:tc>
        <w:tc>
          <w:tcPr>
            <w:tcW w:w="5076" w:type="dxa"/>
            <w:tcBorders>
              <w:bottom w:val="single" w:color="auto" w:sz="4" w:space="0"/>
            </w:tcBorders>
            <w:vAlign w:val="center"/>
          </w:tcPr>
          <w:p w14:paraId="2F7313AD">
            <w:pPr>
              <w:spacing w:line="360" w:lineRule="auto"/>
              <w:rPr>
                <w:rFonts w:ascii="宋体" w:hAnsi="宋体" w:cs="宋体"/>
                <w:szCs w:val="21"/>
              </w:rPr>
            </w:pPr>
            <w:r>
              <w:rPr>
                <w:rFonts w:hint="eastAsia" w:ascii="宋体" w:hAnsi="宋体" w:cs="宋体"/>
                <w:szCs w:val="21"/>
              </w:rPr>
              <w:t>满足《中华人民共和国政府采购法》第二十二条规定：</w:t>
            </w:r>
          </w:p>
          <w:p w14:paraId="3E58D0F9">
            <w:pPr>
              <w:spacing w:line="360" w:lineRule="auto"/>
              <w:rPr>
                <w:rFonts w:ascii="宋体" w:cs="Arial"/>
              </w:rPr>
            </w:pPr>
            <w:r>
              <w:rPr>
                <w:rFonts w:hint="eastAsia" w:ascii="宋体" w:cs="Arial"/>
              </w:rPr>
              <w:t>2、具有良好的商业信誉和健全的财务会计制度；</w:t>
            </w:r>
          </w:p>
          <w:p w14:paraId="5EA47807">
            <w:pPr>
              <w:spacing w:line="360" w:lineRule="auto"/>
              <w:rPr>
                <w:rFonts w:ascii="宋体" w:cs="Arial"/>
              </w:rPr>
            </w:pPr>
            <w:r>
              <w:rPr>
                <w:rFonts w:hint="eastAsia" w:ascii="宋体" w:cs="Arial"/>
              </w:rPr>
              <w:t>3、具有履行合同所必需的设备和专业技术能力；</w:t>
            </w:r>
          </w:p>
          <w:p w14:paraId="4D8B842C">
            <w:pPr>
              <w:spacing w:line="360" w:lineRule="auto"/>
              <w:rPr>
                <w:rFonts w:ascii="宋体" w:cs="Arial"/>
              </w:rPr>
            </w:pPr>
            <w:r>
              <w:rPr>
                <w:rFonts w:hint="eastAsia" w:ascii="宋体" w:cs="Arial"/>
              </w:rPr>
              <w:t>4、有依法缴纳税收和社会保障资金的良好记录；</w:t>
            </w:r>
          </w:p>
          <w:p w14:paraId="25252F29">
            <w:pPr>
              <w:snapToGrid w:val="0"/>
              <w:spacing w:line="360" w:lineRule="auto"/>
              <w:rPr>
                <w:rFonts w:ascii="宋体" w:hAnsi="宋体" w:cs="宋体"/>
                <w:color w:val="000000"/>
                <w:szCs w:val="21"/>
              </w:rPr>
            </w:pPr>
            <w:r>
              <w:rPr>
                <w:rFonts w:hint="eastAsia" w:ascii="宋体"/>
              </w:rPr>
              <w:t>5、参加政府采购活动前三年内，在经营活动中没有重大违法记录。</w:t>
            </w:r>
          </w:p>
        </w:tc>
        <w:tc>
          <w:tcPr>
            <w:tcW w:w="3381" w:type="dxa"/>
            <w:tcBorders>
              <w:bottom w:val="single" w:color="auto" w:sz="4" w:space="0"/>
            </w:tcBorders>
            <w:vAlign w:val="center"/>
          </w:tcPr>
          <w:p w14:paraId="086C9CBD">
            <w:pPr>
              <w:tabs>
                <w:tab w:val="left" w:pos="0"/>
              </w:tabs>
              <w:snapToGrid w:val="0"/>
              <w:spacing w:line="360" w:lineRule="auto"/>
              <w:rPr>
                <w:rFonts w:ascii="宋体" w:hAnsi="宋体" w:cs="宋体"/>
                <w:szCs w:val="21"/>
              </w:rPr>
            </w:pPr>
            <w:r>
              <w:rPr>
                <w:rFonts w:hint="eastAsia" w:ascii="宋体" w:hAnsi="宋体" w:cs="宋体"/>
                <w:szCs w:val="21"/>
              </w:rPr>
              <w:t>投标资格承诺函符合招标文件要求</w:t>
            </w:r>
          </w:p>
        </w:tc>
      </w:tr>
      <w:tr w14:paraId="46B5ED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647" w:type="dxa"/>
            <w:tcBorders>
              <w:top w:val="single" w:color="auto" w:sz="4" w:space="0"/>
              <w:bottom w:val="single" w:color="auto" w:sz="4" w:space="0"/>
            </w:tcBorders>
            <w:vAlign w:val="center"/>
          </w:tcPr>
          <w:p w14:paraId="20C0D709">
            <w:pPr>
              <w:tabs>
                <w:tab w:val="left" w:pos="0"/>
              </w:tabs>
              <w:snapToGrid w:val="0"/>
              <w:spacing w:line="360" w:lineRule="auto"/>
              <w:jc w:val="center"/>
              <w:rPr>
                <w:rFonts w:ascii="宋体" w:hAnsi="宋体" w:cs="宋体"/>
                <w:szCs w:val="21"/>
              </w:rPr>
            </w:pPr>
            <w:r>
              <w:rPr>
                <w:rFonts w:hint="eastAsia" w:ascii="宋体" w:hAnsi="宋体" w:cs="宋体"/>
                <w:szCs w:val="21"/>
              </w:rPr>
              <w:t>3</w:t>
            </w:r>
          </w:p>
        </w:tc>
        <w:tc>
          <w:tcPr>
            <w:tcW w:w="5076" w:type="dxa"/>
            <w:tcBorders>
              <w:top w:val="single" w:color="auto" w:sz="4" w:space="0"/>
              <w:bottom w:val="single" w:color="auto" w:sz="4" w:space="0"/>
            </w:tcBorders>
            <w:vAlign w:val="center"/>
          </w:tcPr>
          <w:p w14:paraId="78337E5D">
            <w:pPr>
              <w:tabs>
                <w:tab w:val="left" w:pos="0"/>
              </w:tabs>
              <w:snapToGrid w:val="0"/>
              <w:spacing w:line="360" w:lineRule="auto"/>
              <w:jc w:val="left"/>
              <w:rPr>
                <w:rFonts w:ascii="宋体" w:hAnsi="宋体" w:cs="宋体"/>
                <w:szCs w:val="21"/>
              </w:rPr>
            </w:pPr>
            <w:r>
              <w:rPr>
                <w:rFonts w:hint="eastAsia" w:ascii="宋体" w:hAnsi="宋体" w:cs="宋体"/>
                <w:szCs w:val="21"/>
              </w:rPr>
              <w:t>未被“信用中国”（www.creditchina.gov.cn)、中国政府采购网（www.ccgp.gov.cn）列入失信被执行人、重大税收违法案件当事人名单、政府采购严重违法失信行为记录名单</w:t>
            </w:r>
          </w:p>
        </w:tc>
        <w:tc>
          <w:tcPr>
            <w:tcW w:w="3381" w:type="dxa"/>
            <w:tcBorders>
              <w:top w:val="single" w:color="auto" w:sz="4" w:space="0"/>
              <w:bottom w:val="single" w:color="auto" w:sz="4" w:space="0"/>
            </w:tcBorders>
            <w:vAlign w:val="center"/>
          </w:tcPr>
          <w:p w14:paraId="777ACBA2">
            <w:pPr>
              <w:tabs>
                <w:tab w:val="left" w:pos="0"/>
              </w:tabs>
              <w:snapToGrid w:val="0"/>
              <w:spacing w:line="360" w:lineRule="auto"/>
              <w:jc w:val="left"/>
              <w:rPr>
                <w:rFonts w:ascii="宋体" w:hAnsi="宋体" w:cs="宋体"/>
                <w:szCs w:val="21"/>
              </w:rPr>
            </w:pPr>
            <w:r>
              <w:rPr>
                <w:rFonts w:hint="eastAsia" w:ascii="宋体" w:hAnsi="宋体" w:cs="宋体"/>
                <w:szCs w:val="21"/>
              </w:rPr>
              <w:t>通过“信用中国”网站（www.creditchina.gov.cn）、中国政府采购网（www.ccgp.gov.cn）查询，</w:t>
            </w:r>
            <w:r>
              <w:rPr>
                <w:rFonts w:hint="eastAsia" w:ascii="宋体" w:hAnsi="宋体" w:cs="宋体"/>
                <w:szCs w:val="21"/>
                <w:highlight w:val="none"/>
              </w:rPr>
              <w:t>以开标当日网页查询记录为准。</w:t>
            </w:r>
          </w:p>
        </w:tc>
      </w:tr>
      <w:tr w14:paraId="3A2E29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81" w:hRule="atLeast"/>
        </w:trPr>
        <w:tc>
          <w:tcPr>
            <w:tcW w:w="647" w:type="dxa"/>
            <w:tcBorders>
              <w:top w:val="single" w:color="auto" w:sz="4" w:space="0"/>
              <w:bottom w:val="single" w:color="auto" w:sz="4" w:space="0"/>
            </w:tcBorders>
            <w:vAlign w:val="center"/>
          </w:tcPr>
          <w:p w14:paraId="241C4856">
            <w:pPr>
              <w:tabs>
                <w:tab w:val="left" w:pos="0"/>
              </w:tabs>
              <w:snapToGrid w:val="0"/>
              <w:spacing w:line="360" w:lineRule="auto"/>
              <w:jc w:val="center"/>
              <w:rPr>
                <w:rFonts w:ascii="宋体" w:hAnsi="宋体" w:cs="宋体"/>
                <w:szCs w:val="21"/>
              </w:rPr>
            </w:pPr>
            <w:r>
              <w:rPr>
                <w:rFonts w:hint="eastAsia" w:ascii="宋体" w:hAnsi="宋体" w:cs="宋体"/>
                <w:szCs w:val="21"/>
              </w:rPr>
              <w:t>4</w:t>
            </w:r>
          </w:p>
        </w:tc>
        <w:tc>
          <w:tcPr>
            <w:tcW w:w="5076" w:type="dxa"/>
            <w:tcBorders>
              <w:top w:val="single" w:color="auto" w:sz="4" w:space="0"/>
              <w:bottom w:val="single" w:color="auto" w:sz="4" w:space="0"/>
            </w:tcBorders>
            <w:vAlign w:val="center"/>
          </w:tcPr>
          <w:p w14:paraId="3ECB39E5">
            <w:pPr>
              <w:spacing w:line="360" w:lineRule="auto"/>
              <w:rPr>
                <w:rFonts w:ascii="宋体" w:cs="Arial"/>
              </w:rPr>
            </w:pPr>
            <w:r>
              <w:rPr>
                <w:rFonts w:ascii="宋体" w:hAnsi="宋体" w:cs="Arial"/>
                <w:kern w:val="0"/>
                <w:szCs w:val="21"/>
              </w:rPr>
              <w:t>落实政府采购政策需满足的资格要求：</w:t>
            </w:r>
          </w:p>
        </w:tc>
        <w:tc>
          <w:tcPr>
            <w:tcW w:w="3381" w:type="dxa"/>
            <w:tcBorders>
              <w:top w:val="single" w:color="auto" w:sz="4" w:space="0"/>
              <w:bottom w:val="single" w:color="auto" w:sz="4" w:space="0"/>
            </w:tcBorders>
            <w:vAlign w:val="center"/>
          </w:tcPr>
          <w:p w14:paraId="437C8AEF">
            <w:pPr>
              <w:spacing w:line="360" w:lineRule="auto"/>
              <w:jc w:val="left"/>
              <w:rPr>
                <w:rFonts w:ascii="宋体" w:hAnsi="宋体" w:cs="宋体"/>
              </w:rPr>
            </w:pPr>
            <w:r>
              <w:rPr>
                <w:rFonts w:hint="eastAsia" w:ascii="宋体" w:hAnsi="宋体"/>
              </w:rPr>
              <w:t>《中小企业声明函》或</w:t>
            </w:r>
            <w:r>
              <w:rPr>
                <w:rFonts w:hint="eastAsia" w:ascii="宋体" w:hAnsi="宋体" w:cs="Arial"/>
                <w:kern w:val="0"/>
                <w:szCs w:val="21"/>
              </w:rPr>
              <w:t>（</w:t>
            </w:r>
            <w:r>
              <w:rPr>
                <w:rFonts w:hint="eastAsia" w:ascii="宋体" w:hAnsi="宋体" w:cs="宋体"/>
                <w:bCs/>
              </w:rPr>
              <w:t>监狱企业、残疾人福利性单位</w:t>
            </w:r>
            <w:r>
              <w:rPr>
                <w:rFonts w:hint="eastAsia" w:ascii="宋体" w:hAnsi="宋体"/>
              </w:rPr>
              <w:t>声</w:t>
            </w:r>
            <w:r>
              <w:rPr>
                <w:rFonts w:hint="eastAsia" w:ascii="宋体" w:hAnsi="宋体" w:cs="宋体"/>
                <w:bCs/>
              </w:rPr>
              <w:t>明函</w:t>
            </w:r>
            <w:r>
              <w:rPr>
                <w:rFonts w:hint="eastAsia" w:ascii="宋体" w:hAnsi="宋体" w:cs="Arial"/>
                <w:kern w:val="0"/>
                <w:szCs w:val="21"/>
              </w:rPr>
              <w:t>）</w:t>
            </w:r>
            <w:r>
              <w:rPr>
                <w:rFonts w:hint="eastAsia" w:ascii="宋体" w:hAnsi="宋体"/>
              </w:rPr>
              <w:t>，格式以招标文件要求为准。</w:t>
            </w:r>
          </w:p>
        </w:tc>
      </w:tr>
      <w:tr w14:paraId="0DBBED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1" w:hRule="atLeast"/>
        </w:trPr>
        <w:tc>
          <w:tcPr>
            <w:tcW w:w="647" w:type="dxa"/>
            <w:tcBorders>
              <w:top w:val="single" w:color="auto" w:sz="4" w:space="0"/>
              <w:bottom w:val="single" w:color="auto" w:sz="4" w:space="0"/>
            </w:tcBorders>
            <w:vAlign w:val="center"/>
          </w:tcPr>
          <w:p w14:paraId="2C3DC44F">
            <w:pPr>
              <w:tabs>
                <w:tab w:val="left" w:pos="0"/>
              </w:tabs>
              <w:snapToGrid w:val="0"/>
              <w:spacing w:line="360" w:lineRule="auto"/>
              <w:jc w:val="center"/>
              <w:rPr>
                <w:rFonts w:ascii="宋体" w:hAnsi="宋体" w:cs="宋体"/>
                <w:szCs w:val="21"/>
              </w:rPr>
            </w:pPr>
            <w:r>
              <w:rPr>
                <w:rFonts w:hint="eastAsia" w:ascii="宋体" w:hAnsi="宋体" w:cs="宋体"/>
                <w:szCs w:val="21"/>
              </w:rPr>
              <w:t>5</w:t>
            </w:r>
          </w:p>
        </w:tc>
        <w:tc>
          <w:tcPr>
            <w:tcW w:w="5076" w:type="dxa"/>
            <w:tcBorders>
              <w:top w:val="single" w:color="auto" w:sz="4" w:space="0"/>
              <w:bottom w:val="single" w:color="auto" w:sz="4" w:space="0"/>
            </w:tcBorders>
            <w:vAlign w:val="center"/>
          </w:tcPr>
          <w:p w14:paraId="36D02D8F">
            <w:pPr>
              <w:spacing w:line="360" w:lineRule="auto"/>
              <w:rPr>
                <w:rFonts w:ascii="宋体" w:hAnsi="宋体" w:cs="Arial"/>
                <w:kern w:val="0"/>
                <w:szCs w:val="21"/>
              </w:rPr>
            </w:pPr>
            <w:r>
              <w:rPr>
                <w:rFonts w:hint="eastAsia" w:ascii="宋体" w:hAnsi="宋体" w:cs="宋体"/>
                <w:szCs w:val="21"/>
              </w:rPr>
              <w:t>本项目的特定资格要求：</w:t>
            </w:r>
            <w:r>
              <w:rPr>
                <w:rFonts w:hint="eastAsia" w:ascii="宋体" w:hAnsi="宋体" w:cs="Arial"/>
                <w:kern w:val="0"/>
                <w:szCs w:val="21"/>
              </w:rPr>
              <w:t>（如有）</w:t>
            </w:r>
          </w:p>
        </w:tc>
        <w:tc>
          <w:tcPr>
            <w:tcW w:w="3381" w:type="dxa"/>
            <w:tcBorders>
              <w:top w:val="single" w:color="auto" w:sz="4" w:space="0"/>
              <w:bottom w:val="single" w:color="auto" w:sz="4" w:space="0"/>
            </w:tcBorders>
            <w:vAlign w:val="center"/>
          </w:tcPr>
          <w:p w14:paraId="68E88BBE">
            <w:pPr>
              <w:spacing w:line="360" w:lineRule="auto"/>
              <w:jc w:val="left"/>
              <w:rPr>
                <w:rFonts w:hint="default" w:ascii="宋体" w:hAnsi="宋体" w:eastAsia="宋体"/>
                <w:lang w:val="en-US" w:eastAsia="zh-CN"/>
              </w:rPr>
            </w:pPr>
            <w:r>
              <w:rPr>
                <w:rFonts w:hint="eastAsia" w:ascii="宋体" w:hAnsi="宋体"/>
                <w:lang w:val="en-US" w:eastAsia="zh-CN"/>
              </w:rPr>
              <w:t>/</w:t>
            </w:r>
          </w:p>
        </w:tc>
      </w:tr>
      <w:tr w14:paraId="13E16D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47" w:type="dxa"/>
            <w:tcBorders>
              <w:top w:val="single" w:color="auto" w:sz="4" w:space="0"/>
              <w:bottom w:val="single" w:color="auto" w:sz="4" w:space="0"/>
            </w:tcBorders>
            <w:vAlign w:val="center"/>
          </w:tcPr>
          <w:p w14:paraId="5AC56427">
            <w:pPr>
              <w:tabs>
                <w:tab w:val="left" w:pos="0"/>
              </w:tabs>
              <w:snapToGrid w:val="0"/>
              <w:spacing w:line="360" w:lineRule="auto"/>
              <w:jc w:val="center"/>
              <w:rPr>
                <w:rFonts w:ascii="宋体" w:hAnsi="宋体" w:cs="宋体"/>
                <w:szCs w:val="21"/>
              </w:rPr>
            </w:pPr>
            <w:r>
              <w:rPr>
                <w:rFonts w:hint="eastAsia" w:ascii="宋体" w:hAnsi="宋体" w:cs="宋体"/>
                <w:szCs w:val="21"/>
              </w:rPr>
              <w:t>6</w:t>
            </w:r>
          </w:p>
        </w:tc>
        <w:tc>
          <w:tcPr>
            <w:tcW w:w="5076" w:type="dxa"/>
            <w:tcBorders>
              <w:top w:val="single" w:color="auto" w:sz="4" w:space="0"/>
              <w:bottom w:val="single" w:color="auto" w:sz="4" w:space="0"/>
            </w:tcBorders>
            <w:vAlign w:val="center"/>
          </w:tcPr>
          <w:p w14:paraId="5AF12641">
            <w:pPr>
              <w:tabs>
                <w:tab w:val="left" w:pos="0"/>
              </w:tabs>
              <w:snapToGrid w:val="0"/>
              <w:rPr>
                <w:rFonts w:ascii="宋体" w:hAnsi="宋体" w:cs="宋体"/>
                <w:szCs w:val="21"/>
              </w:rPr>
            </w:pPr>
            <w:r>
              <w:rPr>
                <w:rFonts w:hint="eastAsia" w:ascii="宋体" w:hAnsi="宋体" w:cs="宋体"/>
                <w:szCs w:val="21"/>
              </w:rPr>
              <w:t>联合体投标（如是）</w:t>
            </w:r>
          </w:p>
        </w:tc>
        <w:tc>
          <w:tcPr>
            <w:tcW w:w="3381" w:type="dxa"/>
            <w:tcBorders>
              <w:top w:val="single" w:color="auto" w:sz="4" w:space="0"/>
              <w:bottom w:val="single" w:color="auto" w:sz="4" w:space="0"/>
            </w:tcBorders>
            <w:vAlign w:val="center"/>
          </w:tcPr>
          <w:p w14:paraId="5DAACC56">
            <w:pPr>
              <w:pStyle w:val="23"/>
              <w:numPr>
                <w:ilvl w:val="0"/>
                <w:numId w:val="0"/>
              </w:numPr>
              <w:rPr>
                <w:rFonts w:hint="eastAsia" w:eastAsia="宋体"/>
                <w:lang w:val="en-US" w:eastAsia="zh-CN"/>
              </w:rPr>
            </w:pPr>
            <w:r>
              <w:rPr>
                <w:rFonts w:hint="eastAsia"/>
                <w:lang w:val="en-US" w:eastAsia="zh-CN"/>
              </w:rPr>
              <w:t>/</w:t>
            </w:r>
          </w:p>
        </w:tc>
      </w:tr>
    </w:tbl>
    <w:p w14:paraId="65658AAE">
      <w:pPr>
        <w:snapToGrid w:val="0"/>
        <w:spacing w:line="360" w:lineRule="auto"/>
        <w:ind w:left="420" w:firstLine="420" w:firstLineChars="200"/>
        <w:rPr>
          <w:rFonts w:ascii="宋体" w:hAnsi="宋体" w:cs="宋体"/>
          <w:szCs w:val="21"/>
        </w:rPr>
      </w:pPr>
      <w:r>
        <w:rPr>
          <w:rFonts w:hint="eastAsia" w:ascii="宋体" w:hAnsi="宋体" w:cs="宋体"/>
          <w:szCs w:val="21"/>
          <w:lang w:val="zh-CN"/>
        </w:rPr>
        <w:t>注：</w:t>
      </w:r>
      <w:r>
        <w:rPr>
          <w:rFonts w:hint="eastAsia" w:ascii="宋体" w:hAnsi="宋体" w:cs="宋体"/>
          <w:szCs w:val="21"/>
        </w:rPr>
        <w:t>投标人必须提供审查项目的全部内容资料，如提供资料不全或提供的资料不符合资格审查要求，则视作资格审查不合格，作无效投标。</w:t>
      </w:r>
    </w:p>
    <w:p w14:paraId="05AF48B7">
      <w:pPr>
        <w:snapToGrid w:val="0"/>
        <w:spacing w:line="360" w:lineRule="auto"/>
        <w:ind w:left="661" w:hanging="241"/>
        <w:outlineLvl w:val="1"/>
        <w:rPr>
          <w:rFonts w:ascii="黑体" w:hAnsi="黑体" w:eastAsia="黑体" w:cs="黑体"/>
          <w:b/>
          <w:sz w:val="24"/>
        </w:rPr>
      </w:pPr>
      <w:r>
        <w:rPr>
          <w:rFonts w:hint="eastAsia" w:ascii="黑体" w:hAnsi="黑体" w:eastAsia="黑体" w:cs="黑体"/>
          <w:b/>
          <w:sz w:val="24"/>
        </w:rPr>
        <w:t>三、</w:t>
      </w:r>
      <w:r>
        <w:rPr>
          <w:rFonts w:hint="eastAsia" w:ascii="黑体" w:hAnsi="黑体" w:eastAsia="黑体" w:cs="黑体"/>
          <w:b/>
          <w:bCs/>
          <w:sz w:val="24"/>
        </w:rPr>
        <w:t>投标文件</w:t>
      </w:r>
      <w:r>
        <w:rPr>
          <w:rFonts w:hint="eastAsia" w:ascii="黑体" w:hAnsi="黑体" w:eastAsia="黑体" w:cs="黑体"/>
          <w:b/>
          <w:sz w:val="24"/>
        </w:rPr>
        <w:t>符合性审查</w:t>
      </w:r>
    </w:p>
    <w:p w14:paraId="4A07DE5E">
      <w:pPr>
        <w:snapToGrid w:val="0"/>
        <w:spacing w:line="360" w:lineRule="auto"/>
        <w:ind w:left="420" w:firstLine="420" w:firstLineChars="200"/>
        <w:rPr>
          <w:rFonts w:ascii="宋体" w:hAnsi="宋体" w:cs="宋体"/>
          <w:bCs/>
          <w:szCs w:val="21"/>
        </w:rPr>
      </w:pPr>
      <w:r>
        <w:rPr>
          <w:rFonts w:hint="eastAsia" w:ascii="宋体" w:hAnsi="宋体" w:cs="宋体"/>
          <w:bCs/>
          <w:szCs w:val="21"/>
        </w:rPr>
        <w:t>评标委员会对资格审查合格的投标文件进行符合性审查，确定是否对招标文件作出了实质性响应。符合性审查不合格的投标无效，不再</w:t>
      </w:r>
      <w:r>
        <w:rPr>
          <w:rFonts w:hint="eastAsia" w:ascii="宋体" w:hAnsi="宋体" w:cs="宋体"/>
          <w:szCs w:val="21"/>
        </w:rPr>
        <w:t>进行商务和技术评估、综合比较与评价。</w:t>
      </w:r>
      <w:r>
        <w:rPr>
          <w:rFonts w:hint="eastAsia" w:ascii="宋体" w:hAnsi="宋体" w:cs="宋体"/>
          <w:bCs/>
          <w:szCs w:val="21"/>
        </w:rPr>
        <w:t>投标人不得通过修正或撤消不合要求的偏离或保留从而使其投标成为有效投标，但经评标委员会认定属于投标人疏忽、笔误所造成的差错，应当允许其在评标结束之前进行修改或者补正（可以是复印件、传真件等）。修改或者补正投标文件必须通过电子交易平台进行，并应在中标结果公告之前查核原件。限期内不补正或经补正后仍不符合招标文件要求的，应认定其投标无效。</w:t>
      </w:r>
    </w:p>
    <w:p w14:paraId="49240BA6">
      <w:pPr>
        <w:snapToGrid w:val="0"/>
        <w:spacing w:line="360" w:lineRule="auto"/>
        <w:ind w:left="420" w:firstLine="413" w:firstLineChars="196"/>
        <w:rPr>
          <w:rFonts w:ascii="黑体" w:hAnsi="黑体" w:eastAsia="黑体" w:cs="黑体"/>
          <w:b/>
          <w:bCs/>
          <w:szCs w:val="21"/>
        </w:rPr>
      </w:pPr>
      <w:r>
        <w:rPr>
          <w:rFonts w:hint="eastAsia" w:ascii="黑体" w:hAnsi="黑体" w:eastAsia="黑体" w:cs="黑体"/>
          <w:b/>
          <w:bCs/>
          <w:szCs w:val="21"/>
        </w:rPr>
        <w:t>1.在商务、技术评审时，如发现下列情形之一的，投标文件将被视为无效：</w:t>
      </w:r>
    </w:p>
    <w:p w14:paraId="397B9FAB">
      <w:pPr>
        <w:spacing w:line="360" w:lineRule="auto"/>
        <w:ind w:left="420" w:firstLine="420" w:firstLineChars="200"/>
        <w:rPr>
          <w:rFonts w:ascii="宋体" w:hAnsi="宋体" w:cs="宋体"/>
          <w:szCs w:val="21"/>
        </w:rPr>
      </w:pPr>
      <w:r>
        <w:rPr>
          <w:rFonts w:hint="eastAsia" w:ascii="宋体" w:hAnsi="宋体" w:cs="宋体"/>
          <w:szCs w:val="21"/>
        </w:rPr>
        <w:t>（1）单位负责人为同一人或者存在直接控股、管理关系的不同投标人，同时参加同一合同项下投标的；</w:t>
      </w:r>
    </w:p>
    <w:p w14:paraId="3B1D398B">
      <w:pPr>
        <w:spacing w:line="360" w:lineRule="auto"/>
        <w:ind w:left="420" w:firstLine="420" w:firstLineChars="200"/>
        <w:rPr>
          <w:rFonts w:ascii="宋体" w:hAnsi="宋体" w:cs="宋体"/>
          <w:szCs w:val="21"/>
        </w:rPr>
      </w:pPr>
      <w:r>
        <w:rPr>
          <w:rFonts w:hint="eastAsia" w:ascii="宋体" w:hAnsi="宋体" w:cs="宋体"/>
          <w:szCs w:val="21"/>
        </w:rPr>
        <w:t>（2）为项目提供整体设计、规范编制或者项目管理、监理、检测等服务的投标人，再参加本采购项目的其他采购活动的；</w:t>
      </w:r>
    </w:p>
    <w:p w14:paraId="6C6E8259">
      <w:pPr>
        <w:snapToGrid w:val="0"/>
        <w:spacing w:line="360" w:lineRule="auto"/>
        <w:ind w:left="420" w:firstLine="411" w:firstLineChars="196"/>
        <w:rPr>
          <w:rFonts w:ascii="宋体" w:hAnsi="宋体" w:cs="宋体"/>
          <w:szCs w:val="21"/>
        </w:rPr>
      </w:pPr>
      <w:r>
        <w:rPr>
          <w:rFonts w:hint="eastAsia" w:ascii="宋体" w:hAnsi="宋体" w:cs="宋体"/>
          <w:szCs w:val="21"/>
        </w:rPr>
        <w:t>（3）投标文件未按招标文件要求盖章的；</w:t>
      </w:r>
    </w:p>
    <w:p w14:paraId="08B25F84">
      <w:pPr>
        <w:snapToGrid w:val="0"/>
        <w:spacing w:line="360" w:lineRule="auto"/>
        <w:ind w:left="420" w:firstLine="411" w:firstLineChars="196"/>
        <w:rPr>
          <w:rFonts w:ascii="宋体" w:hAnsi="宋体" w:cs="宋体"/>
          <w:szCs w:val="21"/>
        </w:rPr>
      </w:pPr>
      <w:r>
        <w:rPr>
          <w:rFonts w:hint="eastAsia" w:ascii="宋体" w:hAnsi="宋体" w:cs="宋体"/>
          <w:szCs w:val="21"/>
        </w:rPr>
        <w:t>（4）未提供</w:t>
      </w:r>
      <w:r>
        <w:rPr>
          <w:rFonts w:hint="eastAsia" w:ascii="宋体" w:hAnsi="宋体" w:cs="宋体"/>
          <w:bCs/>
          <w:kern w:val="0"/>
          <w:szCs w:val="21"/>
        </w:rPr>
        <w:t>投标声明函</w:t>
      </w:r>
      <w:r>
        <w:rPr>
          <w:rFonts w:hint="eastAsia" w:ascii="宋体" w:hAnsi="宋体" w:cs="宋体"/>
          <w:szCs w:val="21"/>
        </w:rPr>
        <w:t>或</w:t>
      </w:r>
      <w:r>
        <w:rPr>
          <w:rFonts w:hint="eastAsia" w:ascii="宋体" w:hAnsi="宋体" w:cs="宋体"/>
          <w:bCs/>
          <w:kern w:val="0"/>
          <w:szCs w:val="21"/>
        </w:rPr>
        <w:t>填写项目不齐全的</w:t>
      </w:r>
      <w:r>
        <w:rPr>
          <w:rFonts w:hint="eastAsia" w:ascii="宋体" w:hAnsi="宋体" w:cs="宋体"/>
          <w:szCs w:val="21"/>
        </w:rPr>
        <w:t>；</w:t>
      </w:r>
    </w:p>
    <w:p w14:paraId="29CCA0CD">
      <w:pPr>
        <w:pStyle w:val="24"/>
        <w:snapToGrid w:val="0"/>
        <w:spacing w:line="360" w:lineRule="auto"/>
        <w:ind w:left="420" w:firstLine="395" w:firstLineChars="196"/>
        <w:rPr>
          <w:rFonts w:hAnsi="宋体" w:cs="宋体"/>
          <w:snapToGrid w:val="0"/>
          <w:sz w:val="21"/>
          <w:szCs w:val="21"/>
        </w:rPr>
      </w:pPr>
      <w:r>
        <w:rPr>
          <w:rFonts w:hint="eastAsia" w:hAnsi="宋体" w:cs="宋体"/>
          <w:sz w:val="21"/>
          <w:szCs w:val="21"/>
        </w:rPr>
        <w:t>（</w:t>
      </w:r>
      <w:r>
        <w:rPr>
          <w:rFonts w:hint="eastAsia" w:hAnsi="宋体" w:cs="宋体"/>
          <w:snapToGrid w:val="0"/>
          <w:sz w:val="21"/>
          <w:szCs w:val="21"/>
        </w:rPr>
        <w:t>5）投标有效期不满足招标文件要求的；</w:t>
      </w:r>
    </w:p>
    <w:p w14:paraId="3CB5949E">
      <w:pPr>
        <w:pStyle w:val="24"/>
        <w:snapToGrid w:val="0"/>
        <w:spacing w:line="360" w:lineRule="auto"/>
        <w:ind w:left="420" w:firstLine="395" w:firstLineChars="196"/>
        <w:rPr>
          <w:rFonts w:hAnsi="宋体" w:cs="宋体"/>
          <w:spacing w:val="0"/>
          <w:kern w:val="2"/>
          <w:sz w:val="21"/>
          <w:szCs w:val="21"/>
        </w:rPr>
      </w:pPr>
      <w:r>
        <w:rPr>
          <w:rFonts w:hint="eastAsia" w:hAnsi="宋体" w:cs="宋体"/>
          <w:sz w:val="21"/>
          <w:szCs w:val="21"/>
        </w:rPr>
        <w:t>（6）</w:t>
      </w:r>
      <w:r>
        <w:rPr>
          <w:rFonts w:hint="eastAsia" w:hAnsi="宋体" w:cs="宋体"/>
          <w:spacing w:val="0"/>
          <w:kern w:val="2"/>
          <w:sz w:val="21"/>
          <w:szCs w:val="21"/>
        </w:rPr>
        <w:t>以联合体形式进行投标的，在投标文件中未提交联合体协议的；</w:t>
      </w:r>
    </w:p>
    <w:p w14:paraId="006A8884">
      <w:pPr>
        <w:spacing w:line="360" w:lineRule="auto"/>
        <w:ind w:left="420" w:firstLine="420" w:firstLineChars="200"/>
        <w:rPr>
          <w:szCs w:val="21"/>
        </w:rPr>
      </w:pPr>
      <w:r>
        <w:rPr>
          <w:szCs w:val="21"/>
        </w:rPr>
        <w:t>（</w:t>
      </w:r>
      <w:r>
        <w:rPr>
          <w:rFonts w:hint="eastAsia"/>
          <w:szCs w:val="21"/>
        </w:rPr>
        <w:t>7</w:t>
      </w:r>
      <w:r>
        <w:rPr>
          <w:szCs w:val="21"/>
        </w:rPr>
        <w:t>）投标产品被列入财政部、发展改革委发布的节能产品政府采购品目清单且标注为“★”的政府强制采购产品，未提供国家市场监督管理总局公布的《参与实施政府采购节能产品认证机构名录》内的认证机构出具的、处于有效期之内的该产品的节能标志产品认证证书的；</w:t>
      </w:r>
    </w:p>
    <w:p w14:paraId="43E4A23B">
      <w:pPr>
        <w:snapToGrid w:val="0"/>
        <w:spacing w:line="360" w:lineRule="auto"/>
        <w:ind w:left="420" w:firstLine="411" w:firstLineChars="196"/>
        <w:rPr>
          <w:rFonts w:ascii="宋体" w:hAnsi="宋体" w:cs="宋体"/>
          <w:bCs/>
          <w:szCs w:val="21"/>
        </w:rPr>
      </w:pPr>
      <w:r>
        <w:rPr>
          <w:szCs w:val="21"/>
        </w:rPr>
        <w:t>（</w:t>
      </w:r>
      <w:r>
        <w:rPr>
          <w:rFonts w:hint="eastAsia"/>
          <w:szCs w:val="21"/>
        </w:rPr>
        <w:t>8</w:t>
      </w:r>
      <w:r>
        <w:rPr>
          <w:szCs w:val="21"/>
        </w:rPr>
        <w:t>）</w:t>
      </w:r>
      <w:r>
        <w:rPr>
          <w:rFonts w:hint="eastAsia" w:ascii="宋体" w:hAnsi="宋体" w:cs="宋体"/>
          <w:bCs/>
          <w:szCs w:val="21"/>
        </w:rPr>
        <w:t>未按招标文件要求提供样品的；</w:t>
      </w:r>
    </w:p>
    <w:p w14:paraId="5222DEFD">
      <w:pPr>
        <w:snapToGrid w:val="0"/>
        <w:spacing w:line="360" w:lineRule="auto"/>
        <w:ind w:left="420" w:firstLine="411" w:firstLineChars="196"/>
        <w:rPr>
          <w:szCs w:val="21"/>
        </w:rPr>
      </w:pPr>
      <w:r>
        <w:rPr>
          <w:szCs w:val="21"/>
        </w:rPr>
        <w:t>（</w:t>
      </w:r>
      <w:r>
        <w:rPr>
          <w:rFonts w:hint="eastAsia"/>
          <w:szCs w:val="21"/>
        </w:rPr>
        <w:t>9</w:t>
      </w:r>
      <w:r>
        <w:rPr>
          <w:szCs w:val="21"/>
        </w:rPr>
        <w:t>）未提供或未如实提供投标货物的技术参数，或者投标文件标明的商务、技术响应与事实不符或虚假投标的；</w:t>
      </w:r>
    </w:p>
    <w:p w14:paraId="6CA55770">
      <w:pPr>
        <w:snapToGrid w:val="0"/>
        <w:spacing w:line="360" w:lineRule="auto"/>
        <w:ind w:left="420" w:firstLine="411" w:firstLineChars="196"/>
        <w:rPr>
          <w:szCs w:val="21"/>
        </w:rPr>
      </w:pPr>
      <w:r>
        <w:rPr>
          <w:szCs w:val="21"/>
        </w:rPr>
        <w:t>（</w:t>
      </w:r>
      <w:r>
        <w:rPr>
          <w:rFonts w:hint="eastAsia"/>
          <w:szCs w:val="21"/>
        </w:rPr>
        <w:t>10</w:t>
      </w:r>
      <w:r>
        <w:rPr>
          <w:szCs w:val="21"/>
        </w:rPr>
        <w:t>）评审内容及标准中明确扣分至0分废标的；</w:t>
      </w:r>
    </w:p>
    <w:p w14:paraId="5E1131A6">
      <w:pPr>
        <w:snapToGrid w:val="0"/>
        <w:spacing w:line="360" w:lineRule="auto"/>
        <w:ind w:left="420" w:firstLine="411" w:firstLineChars="196"/>
        <w:rPr>
          <w:szCs w:val="21"/>
        </w:rPr>
      </w:pPr>
      <w:r>
        <w:rPr>
          <w:szCs w:val="21"/>
        </w:rPr>
        <w:t>（1</w:t>
      </w:r>
      <w:r>
        <w:rPr>
          <w:rFonts w:hint="eastAsia"/>
          <w:szCs w:val="21"/>
        </w:rPr>
        <w:t>1</w:t>
      </w:r>
      <w:r>
        <w:rPr>
          <w:szCs w:val="21"/>
        </w:rPr>
        <w:t>）未响应</w:t>
      </w:r>
      <w:r>
        <w:rPr>
          <w:rFonts w:hint="eastAsia"/>
          <w:szCs w:val="21"/>
        </w:rPr>
        <w:t>招标文件</w:t>
      </w:r>
      <w:r>
        <w:rPr>
          <w:szCs w:val="21"/>
        </w:rPr>
        <w:t>标注“▲”的实质性要求的；</w:t>
      </w:r>
    </w:p>
    <w:p w14:paraId="1BA2E539">
      <w:pPr>
        <w:pStyle w:val="24"/>
        <w:snapToGrid w:val="0"/>
        <w:spacing w:line="360" w:lineRule="auto"/>
        <w:ind w:left="420" w:firstLine="395" w:firstLineChars="196"/>
        <w:rPr>
          <w:rFonts w:hAnsi="宋体" w:cs="宋体"/>
          <w:sz w:val="21"/>
          <w:szCs w:val="21"/>
        </w:rPr>
      </w:pPr>
      <w:r>
        <w:rPr>
          <w:rFonts w:hint="eastAsia" w:hAnsi="宋体" w:cs="宋体"/>
          <w:sz w:val="21"/>
          <w:szCs w:val="21"/>
        </w:rPr>
        <w:t>（12）投标技术方案不明确，存在一个或一个以上备选（替代）投标方案的；</w:t>
      </w:r>
    </w:p>
    <w:p w14:paraId="4E636243">
      <w:pPr>
        <w:pStyle w:val="24"/>
        <w:snapToGrid w:val="0"/>
        <w:spacing w:line="360" w:lineRule="auto"/>
        <w:ind w:left="420" w:firstLine="395" w:firstLineChars="196"/>
        <w:rPr>
          <w:rFonts w:hAnsi="宋体" w:cs="宋体"/>
          <w:sz w:val="21"/>
          <w:szCs w:val="21"/>
        </w:rPr>
      </w:pPr>
      <w:r>
        <w:rPr>
          <w:rFonts w:hint="eastAsia" w:hAnsi="宋体" w:cs="宋体"/>
          <w:sz w:val="21"/>
          <w:szCs w:val="21"/>
        </w:rPr>
        <w:t>（13）投标文件含有采购人不能接受的附加条件的；</w:t>
      </w:r>
    </w:p>
    <w:p w14:paraId="72F12186">
      <w:pPr>
        <w:spacing w:line="360" w:lineRule="auto"/>
        <w:ind w:left="420" w:firstLine="420" w:firstLineChars="200"/>
        <w:rPr>
          <w:rFonts w:ascii="宋体" w:hAnsi="宋体" w:cs="宋体"/>
          <w:szCs w:val="21"/>
        </w:rPr>
      </w:pPr>
      <w:r>
        <w:rPr>
          <w:rFonts w:hint="eastAsia" w:ascii="宋体" w:hAnsi="宋体" w:cs="宋体"/>
          <w:szCs w:val="21"/>
        </w:rPr>
        <w:t>（14）不同投标人的投标文件由同一单位或者个人编制的；</w:t>
      </w:r>
    </w:p>
    <w:p w14:paraId="5DA79BD7">
      <w:pPr>
        <w:spacing w:line="360" w:lineRule="auto"/>
        <w:rPr>
          <w:rFonts w:ascii="宋体" w:hAnsi="宋体" w:cs="宋体"/>
          <w:szCs w:val="21"/>
        </w:rPr>
      </w:pPr>
      <w:r>
        <w:rPr>
          <w:rFonts w:hint="eastAsia" w:ascii="宋体" w:hAnsi="宋体" w:cs="宋体"/>
          <w:szCs w:val="21"/>
        </w:rPr>
        <w:t>　　（15）不同投标人委托同一单位或者个人办理投标事宜的；</w:t>
      </w:r>
    </w:p>
    <w:p w14:paraId="1EE35BC0">
      <w:pPr>
        <w:tabs>
          <w:tab w:val="left" w:pos="1080"/>
        </w:tabs>
        <w:spacing w:line="360" w:lineRule="auto"/>
        <w:rPr>
          <w:rFonts w:ascii="宋体" w:hAnsi="宋体" w:cs="宋体"/>
          <w:szCs w:val="21"/>
        </w:rPr>
      </w:pPr>
      <w:r>
        <w:rPr>
          <w:rFonts w:hint="eastAsia" w:ascii="宋体" w:hAnsi="宋体" w:cs="宋体"/>
          <w:szCs w:val="21"/>
        </w:rPr>
        <w:t>　　（16） 不同投标人的投标文件载明的项目管理成员或者联系人员为同一人的；</w:t>
      </w:r>
    </w:p>
    <w:p w14:paraId="41157C09">
      <w:pPr>
        <w:spacing w:line="360" w:lineRule="auto"/>
        <w:rPr>
          <w:rFonts w:ascii="宋体" w:hAnsi="宋体" w:cs="宋体"/>
          <w:szCs w:val="21"/>
        </w:rPr>
      </w:pPr>
      <w:r>
        <w:rPr>
          <w:rFonts w:hint="eastAsia" w:ascii="宋体" w:hAnsi="宋体" w:cs="宋体"/>
          <w:szCs w:val="21"/>
        </w:rPr>
        <w:t>　　（17）不同投标人的投标文件异常一致或者投标报价呈规律性差异的；</w:t>
      </w:r>
    </w:p>
    <w:p w14:paraId="1726610A">
      <w:pPr>
        <w:spacing w:line="360" w:lineRule="auto"/>
        <w:rPr>
          <w:rFonts w:ascii="宋体" w:hAnsi="宋体" w:cs="宋体"/>
          <w:szCs w:val="21"/>
        </w:rPr>
      </w:pPr>
      <w:r>
        <w:rPr>
          <w:rFonts w:hint="eastAsia" w:ascii="宋体" w:hAnsi="宋体" w:cs="宋体"/>
          <w:szCs w:val="21"/>
        </w:rPr>
        <w:t>　　（18）不同投标人的投标文件相互混装的；</w:t>
      </w:r>
    </w:p>
    <w:p w14:paraId="6B7D835A">
      <w:pPr>
        <w:spacing w:line="360" w:lineRule="auto"/>
        <w:ind w:firstLine="420" w:firstLineChars="200"/>
        <w:rPr>
          <w:rFonts w:hint="eastAsia" w:ascii="宋体" w:hAnsi="宋体" w:cs="宋体"/>
          <w:szCs w:val="21"/>
        </w:rPr>
      </w:pPr>
      <w:r>
        <w:rPr>
          <w:rFonts w:hint="eastAsia" w:ascii="宋体" w:hAnsi="宋体" w:cs="宋体"/>
          <w:szCs w:val="21"/>
        </w:rPr>
        <w:t>（19）法律、法规和招标文件规定的其他无效情形。</w:t>
      </w:r>
    </w:p>
    <w:p w14:paraId="5495B560">
      <w:pPr>
        <w:pStyle w:val="24"/>
        <w:snapToGrid w:val="0"/>
        <w:spacing w:line="360" w:lineRule="auto"/>
        <w:ind w:left="420" w:firstLine="398" w:firstLineChars="196"/>
        <w:rPr>
          <w:rFonts w:ascii="黑体" w:hAnsi="黑体" w:eastAsia="黑体" w:cs="黑体"/>
          <w:b/>
          <w:bCs/>
          <w:sz w:val="21"/>
          <w:szCs w:val="21"/>
        </w:rPr>
      </w:pPr>
      <w:r>
        <w:rPr>
          <w:rFonts w:hint="eastAsia" w:ascii="黑体" w:hAnsi="黑体" w:eastAsia="黑体" w:cs="黑体"/>
          <w:b/>
          <w:bCs/>
          <w:sz w:val="21"/>
          <w:szCs w:val="21"/>
        </w:rPr>
        <w:t>2.在报价评审时，如发现下列情形之一的，投标将被视为无效：</w:t>
      </w:r>
    </w:p>
    <w:p w14:paraId="6AA100A1">
      <w:pPr>
        <w:pStyle w:val="24"/>
        <w:snapToGrid w:val="0"/>
        <w:spacing w:line="360" w:lineRule="auto"/>
        <w:ind w:left="420" w:firstLine="395" w:firstLineChars="196"/>
        <w:rPr>
          <w:rFonts w:hAnsi="宋体" w:cs="宋体"/>
          <w:bCs/>
          <w:sz w:val="21"/>
          <w:szCs w:val="21"/>
        </w:rPr>
      </w:pPr>
      <w:r>
        <w:rPr>
          <w:rFonts w:hint="eastAsia" w:hAnsi="宋体" w:cs="宋体"/>
          <w:sz w:val="21"/>
          <w:szCs w:val="21"/>
        </w:rPr>
        <w:t>（1）投标文件未按招标文件要求盖章的；</w:t>
      </w:r>
    </w:p>
    <w:p w14:paraId="2DF26791">
      <w:pPr>
        <w:pStyle w:val="24"/>
        <w:snapToGrid w:val="0"/>
        <w:spacing w:line="360" w:lineRule="auto"/>
        <w:ind w:left="420" w:firstLine="395" w:firstLineChars="196"/>
        <w:rPr>
          <w:rFonts w:hAnsi="宋体" w:cs="宋体"/>
          <w:sz w:val="21"/>
          <w:szCs w:val="21"/>
        </w:rPr>
      </w:pPr>
      <w:r>
        <w:rPr>
          <w:rFonts w:hint="eastAsia" w:hAnsi="宋体" w:cs="宋体"/>
          <w:sz w:val="21"/>
          <w:szCs w:val="21"/>
        </w:rPr>
        <w:t>（2）报价超过招标文件中规定的最高限价的；</w:t>
      </w:r>
    </w:p>
    <w:p w14:paraId="15D07B1E">
      <w:pPr>
        <w:pStyle w:val="24"/>
        <w:snapToGrid w:val="0"/>
        <w:spacing w:line="360" w:lineRule="auto"/>
        <w:ind w:left="420" w:firstLine="404" w:firstLineChars="200"/>
        <w:rPr>
          <w:rFonts w:hAnsi="宋体" w:cs="宋体"/>
          <w:sz w:val="21"/>
          <w:szCs w:val="21"/>
        </w:rPr>
      </w:pPr>
      <w:r>
        <w:rPr>
          <w:rFonts w:hint="eastAsia" w:hAnsi="宋体" w:cs="宋体"/>
          <w:sz w:val="21"/>
          <w:szCs w:val="21"/>
        </w:rPr>
        <w:t>（3）投标报价具有选择性的；</w:t>
      </w:r>
    </w:p>
    <w:p w14:paraId="05A9A172">
      <w:pPr>
        <w:pStyle w:val="24"/>
        <w:snapToGrid w:val="0"/>
        <w:spacing w:line="360" w:lineRule="auto"/>
        <w:ind w:left="420" w:firstLine="404" w:firstLineChars="200"/>
        <w:rPr>
          <w:rFonts w:hAnsi="宋体" w:cs="宋体"/>
          <w:sz w:val="21"/>
          <w:szCs w:val="21"/>
        </w:rPr>
      </w:pPr>
      <w:r>
        <w:rPr>
          <w:rFonts w:hint="eastAsia" w:hAnsi="宋体" w:cs="宋体"/>
          <w:sz w:val="21"/>
          <w:szCs w:val="21"/>
        </w:rPr>
        <w:t>（4）不接受按招标文件规定的修正错误原则修正后的报价的；</w:t>
      </w:r>
    </w:p>
    <w:p w14:paraId="51176F67">
      <w:pPr>
        <w:pStyle w:val="24"/>
        <w:snapToGrid w:val="0"/>
        <w:spacing w:line="360" w:lineRule="auto"/>
        <w:ind w:left="420" w:firstLine="404" w:firstLineChars="200"/>
        <w:rPr>
          <w:rFonts w:hAnsi="宋体" w:cs="宋体"/>
          <w:sz w:val="21"/>
          <w:szCs w:val="21"/>
        </w:rPr>
      </w:pPr>
      <w:r>
        <w:rPr>
          <w:rFonts w:hint="eastAsia" w:hAnsi="宋体" w:cs="宋体"/>
          <w:sz w:val="21"/>
          <w:szCs w:val="21"/>
        </w:rPr>
        <w:t>（5）评标委员会认为投标人的报价明显低于其他通过符合性审查投标人的报价，且投标不能证明其报价合理性，有可能影响产品质量或者不能诚信履约的；</w:t>
      </w:r>
    </w:p>
    <w:p w14:paraId="2AB80590">
      <w:pPr>
        <w:pStyle w:val="24"/>
        <w:snapToGrid w:val="0"/>
        <w:spacing w:line="360" w:lineRule="auto"/>
        <w:ind w:left="420" w:firstLine="404" w:firstLineChars="200"/>
        <w:rPr>
          <w:rFonts w:hAnsi="宋体" w:cs="宋体"/>
          <w:sz w:val="21"/>
          <w:szCs w:val="21"/>
        </w:rPr>
      </w:pPr>
      <w:r>
        <w:rPr>
          <w:rFonts w:hint="eastAsia" w:hAnsi="宋体" w:cs="宋体"/>
          <w:sz w:val="21"/>
          <w:szCs w:val="21"/>
        </w:rPr>
        <w:t>（6）法律、法规和招标文件规定的其他无效情形。</w:t>
      </w:r>
    </w:p>
    <w:p w14:paraId="71F971AB">
      <w:pPr>
        <w:snapToGrid w:val="0"/>
        <w:spacing w:line="360" w:lineRule="auto"/>
        <w:ind w:left="420" w:firstLine="422" w:firstLineChars="200"/>
        <w:rPr>
          <w:rFonts w:ascii="黑体" w:hAnsi="黑体" w:eastAsia="黑体" w:cs="黑体"/>
          <w:b/>
          <w:bCs/>
          <w:spacing w:val="-4"/>
          <w:szCs w:val="21"/>
        </w:rPr>
      </w:pPr>
      <w:r>
        <w:rPr>
          <w:rFonts w:hint="eastAsia" w:ascii="黑体" w:hAnsi="黑体" w:eastAsia="黑体" w:cs="黑体"/>
          <w:b/>
          <w:bCs/>
          <w:szCs w:val="21"/>
        </w:rPr>
        <w:t>3.</w:t>
      </w:r>
      <w:r>
        <w:rPr>
          <w:rFonts w:hint="eastAsia" w:ascii="黑体" w:hAnsi="黑体" w:eastAsia="黑体" w:cs="黑体"/>
          <w:b/>
          <w:bCs/>
          <w:spacing w:val="-4"/>
          <w:szCs w:val="21"/>
        </w:rPr>
        <w:t>参加同一个标项的投标人存在下列情形之一的，投标无效：</w:t>
      </w:r>
    </w:p>
    <w:p w14:paraId="75A2CB44">
      <w:pPr>
        <w:snapToGrid w:val="0"/>
        <w:spacing w:line="360" w:lineRule="auto"/>
        <w:ind w:left="420" w:firstLine="404" w:firstLineChars="200"/>
        <w:rPr>
          <w:spacing w:val="-4"/>
          <w:szCs w:val="21"/>
        </w:rPr>
      </w:pPr>
      <w:r>
        <w:rPr>
          <w:spacing w:val="-4"/>
          <w:szCs w:val="21"/>
        </w:rPr>
        <w:t>（1）不同</w:t>
      </w:r>
      <w:r>
        <w:rPr>
          <w:rFonts w:hint="eastAsia"/>
          <w:spacing w:val="-4"/>
          <w:szCs w:val="21"/>
        </w:rPr>
        <w:t>投标人</w:t>
      </w:r>
      <w:r>
        <w:rPr>
          <w:spacing w:val="-4"/>
          <w:szCs w:val="21"/>
        </w:rPr>
        <w:t>的电子投标文件上传计算机的IP地址、网卡MAC地址、CPU序列号或硬盘序列号等硬件信息相同的；</w:t>
      </w:r>
    </w:p>
    <w:p w14:paraId="4C3A02EA">
      <w:pPr>
        <w:snapToGrid w:val="0"/>
        <w:spacing w:line="360" w:lineRule="auto"/>
        <w:ind w:left="420" w:firstLine="404" w:firstLineChars="200"/>
        <w:rPr>
          <w:spacing w:val="-4"/>
          <w:szCs w:val="21"/>
        </w:rPr>
      </w:pPr>
      <w:r>
        <w:rPr>
          <w:spacing w:val="-4"/>
          <w:szCs w:val="21"/>
        </w:rPr>
        <w:t>（2）上传的电子投标文件若出现使用本项目其他投标</w:t>
      </w:r>
      <w:r>
        <w:rPr>
          <w:rFonts w:hint="eastAsia"/>
          <w:spacing w:val="-4"/>
          <w:szCs w:val="21"/>
        </w:rPr>
        <w:t>投标人</w:t>
      </w:r>
      <w:r>
        <w:rPr>
          <w:spacing w:val="-4"/>
          <w:szCs w:val="21"/>
        </w:rPr>
        <w:t>的数字证书加密的，或者加盖本项目其他</w:t>
      </w:r>
      <w:r>
        <w:rPr>
          <w:rFonts w:hint="eastAsia"/>
          <w:spacing w:val="-4"/>
          <w:szCs w:val="21"/>
        </w:rPr>
        <w:t>投标人</w:t>
      </w:r>
      <w:r>
        <w:rPr>
          <w:spacing w:val="-4"/>
          <w:szCs w:val="21"/>
        </w:rPr>
        <w:t>的电子印章的；</w:t>
      </w:r>
    </w:p>
    <w:p w14:paraId="30C89CE6">
      <w:pPr>
        <w:snapToGrid w:val="0"/>
        <w:spacing w:line="360" w:lineRule="auto"/>
        <w:ind w:left="420" w:firstLine="404" w:firstLineChars="200"/>
        <w:rPr>
          <w:spacing w:val="-4"/>
          <w:szCs w:val="21"/>
        </w:rPr>
      </w:pPr>
      <w:r>
        <w:rPr>
          <w:spacing w:val="-4"/>
          <w:szCs w:val="21"/>
        </w:rPr>
        <w:t>（3）不同</w:t>
      </w:r>
      <w:r>
        <w:rPr>
          <w:rFonts w:hint="eastAsia"/>
          <w:spacing w:val="-4"/>
          <w:szCs w:val="21"/>
        </w:rPr>
        <w:t>投标人</w:t>
      </w:r>
      <w:r>
        <w:rPr>
          <w:spacing w:val="-4"/>
          <w:szCs w:val="21"/>
        </w:rPr>
        <w:t>的投标文件的内容存在三处（含）以上错误一致，且无法合理解释的；</w:t>
      </w:r>
    </w:p>
    <w:p w14:paraId="5AD41635">
      <w:pPr>
        <w:snapToGrid w:val="0"/>
        <w:spacing w:line="240" w:lineRule="auto"/>
        <w:ind w:left="420" w:firstLine="404" w:firstLineChars="200"/>
        <w:rPr>
          <w:rFonts w:ascii="宋体" w:hAnsi="宋体" w:cs="宋体"/>
          <w:szCs w:val="21"/>
          <w:lang w:val="en-GB"/>
        </w:rPr>
      </w:pPr>
      <w:r>
        <w:rPr>
          <w:spacing w:val="-4"/>
          <w:szCs w:val="21"/>
        </w:rPr>
        <w:t>（4）不同</w:t>
      </w:r>
      <w:r>
        <w:rPr>
          <w:rFonts w:hint="eastAsia"/>
          <w:spacing w:val="-4"/>
          <w:szCs w:val="21"/>
        </w:rPr>
        <w:t>投标人</w:t>
      </w:r>
      <w:r>
        <w:rPr>
          <w:spacing w:val="-4"/>
          <w:szCs w:val="21"/>
        </w:rPr>
        <w:t>的联系人为同一人或不同联系人的联系电话一致，且无法合理解释的。</w:t>
      </w:r>
    </w:p>
    <w:tbl>
      <w:tblPr>
        <w:tblStyle w:val="60"/>
        <w:tblpPr w:leftFromText="180" w:rightFromText="180" w:vertAnchor="text" w:horzAnchor="page" w:tblpX="1240" w:tblpY="654"/>
        <w:tblOverlap w:val="never"/>
        <w:tblW w:w="48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66"/>
        <w:gridCol w:w="1185"/>
        <w:gridCol w:w="6227"/>
        <w:gridCol w:w="795"/>
      </w:tblGrid>
      <w:tr w14:paraId="7793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5" w:type="pct"/>
            <w:vAlign w:val="center"/>
          </w:tcPr>
          <w:p w14:paraId="69A747E8">
            <w:pPr>
              <w:tabs>
                <w:tab w:val="left" w:pos="1899"/>
              </w:tabs>
              <w:adjustRightInd w:val="0"/>
              <w:snapToGrid w:val="0"/>
              <w:spacing w:before="100" w:after="50"/>
              <w:jc w:val="center"/>
              <w:rPr>
                <w:rFonts w:ascii="宋体" w:hAnsi="宋体"/>
              </w:rPr>
            </w:pPr>
            <w:r>
              <w:rPr>
                <w:rFonts w:hint="eastAsia" w:ascii="宋体" w:hAnsi="宋体"/>
              </w:rPr>
              <w:t>序号</w:t>
            </w:r>
          </w:p>
        </w:tc>
        <w:tc>
          <w:tcPr>
            <w:tcW w:w="1014" w:type="pct"/>
            <w:gridSpan w:val="2"/>
            <w:vAlign w:val="center"/>
          </w:tcPr>
          <w:p w14:paraId="6DC4EB0C">
            <w:pPr>
              <w:tabs>
                <w:tab w:val="left" w:pos="1899"/>
              </w:tabs>
              <w:adjustRightInd w:val="0"/>
              <w:snapToGrid w:val="0"/>
              <w:spacing w:before="100" w:after="50"/>
              <w:jc w:val="center"/>
              <w:rPr>
                <w:rFonts w:hint="eastAsia" w:ascii="宋体" w:hAnsi="宋体"/>
              </w:rPr>
            </w:pPr>
            <w:r>
              <w:rPr>
                <w:rFonts w:hint="eastAsia" w:ascii="宋体" w:hAnsi="宋体"/>
              </w:rPr>
              <w:t>评定项目</w:t>
            </w:r>
          </w:p>
        </w:tc>
        <w:tc>
          <w:tcPr>
            <w:tcW w:w="3237" w:type="pct"/>
            <w:vAlign w:val="center"/>
          </w:tcPr>
          <w:p w14:paraId="43627558">
            <w:pPr>
              <w:tabs>
                <w:tab w:val="left" w:pos="1899"/>
              </w:tabs>
              <w:adjustRightInd w:val="0"/>
              <w:snapToGrid w:val="0"/>
              <w:spacing w:before="100" w:after="50"/>
              <w:jc w:val="center"/>
              <w:rPr>
                <w:rFonts w:ascii="宋体" w:hAnsi="宋体"/>
              </w:rPr>
            </w:pPr>
            <w:r>
              <w:rPr>
                <w:rFonts w:hint="eastAsia" w:ascii="宋体" w:hAnsi="宋体"/>
              </w:rPr>
              <w:t>评审依据</w:t>
            </w:r>
          </w:p>
        </w:tc>
        <w:tc>
          <w:tcPr>
            <w:tcW w:w="413" w:type="pct"/>
            <w:vAlign w:val="center"/>
          </w:tcPr>
          <w:p w14:paraId="162DDBAF">
            <w:pPr>
              <w:tabs>
                <w:tab w:val="left" w:pos="1899"/>
              </w:tabs>
              <w:adjustRightInd w:val="0"/>
              <w:snapToGrid w:val="0"/>
              <w:spacing w:before="100" w:after="50"/>
              <w:jc w:val="center"/>
              <w:rPr>
                <w:rFonts w:ascii="宋体" w:hAnsi="宋体"/>
              </w:rPr>
            </w:pPr>
            <w:r>
              <w:rPr>
                <w:rFonts w:hint="eastAsia" w:ascii="宋体" w:hAnsi="宋体"/>
              </w:rPr>
              <w:t>分值</w:t>
            </w:r>
          </w:p>
          <w:p w14:paraId="5CFF1C73">
            <w:pPr>
              <w:tabs>
                <w:tab w:val="left" w:pos="1899"/>
              </w:tabs>
              <w:adjustRightInd w:val="0"/>
              <w:snapToGrid w:val="0"/>
              <w:spacing w:before="100" w:after="50"/>
              <w:jc w:val="center"/>
              <w:rPr>
                <w:rFonts w:ascii="宋体" w:hAnsi="宋体"/>
              </w:rPr>
            </w:pPr>
            <w:r>
              <w:rPr>
                <w:rFonts w:hint="eastAsia" w:ascii="宋体" w:hAnsi="宋体"/>
              </w:rPr>
              <w:t>范围</w:t>
            </w:r>
          </w:p>
        </w:tc>
      </w:tr>
      <w:tr w14:paraId="6945A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5" w:type="pct"/>
            <w:vAlign w:val="center"/>
          </w:tcPr>
          <w:p w14:paraId="6E5734AA">
            <w:pPr>
              <w:tabs>
                <w:tab w:val="left" w:pos="1899"/>
              </w:tabs>
              <w:adjustRightInd w:val="0"/>
              <w:snapToGrid w:val="0"/>
              <w:spacing w:before="100" w:after="50"/>
              <w:jc w:val="center"/>
              <w:rPr>
                <w:rFonts w:hint="eastAsia" w:ascii="宋体" w:hAnsi="宋体" w:eastAsia="宋体"/>
                <w:lang w:val="en-US" w:eastAsia="zh-CN"/>
              </w:rPr>
            </w:pPr>
            <w:r>
              <w:rPr>
                <w:rFonts w:hint="eastAsia" w:ascii="宋体" w:hAnsi="宋体"/>
                <w:lang w:val="en-US" w:eastAsia="zh-CN"/>
              </w:rPr>
              <w:t>1</w:t>
            </w:r>
          </w:p>
        </w:tc>
        <w:tc>
          <w:tcPr>
            <w:tcW w:w="398" w:type="pct"/>
            <w:vMerge w:val="restart"/>
            <w:vAlign w:val="center"/>
          </w:tcPr>
          <w:p w14:paraId="1D050107">
            <w:pPr>
              <w:tabs>
                <w:tab w:val="left" w:pos="1899"/>
              </w:tabs>
              <w:adjustRightInd w:val="0"/>
              <w:snapToGrid w:val="0"/>
              <w:spacing w:before="100" w:after="50" w:line="360" w:lineRule="auto"/>
              <w:jc w:val="center"/>
              <w:rPr>
                <w:rFonts w:hint="eastAsia" w:ascii="宋体" w:hAnsi="宋体" w:cs="宋体"/>
              </w:rPr>
            </w:pPr>
          </w:p>
          <w:p w14:paraId="0F0EB1F9">
            <w:pPr>
              <w:pStyle w:val="59"/>
              <w:rPr>
                <w:rFonts w:hint="eastAsia" w:ascii="宋体" w:hAnsi="宋体" w:cs="宋体"/>
              </w:rPr>
            </w:pPr>
          </w:p>
          <w:p w14:paraId="3CE941DC">
            <w:pPr>
              <w:rPr>
                <w:rFonts w:hint="eastAsia" w:ascii="宋体" w:hAnsi="宋体" w:cs="宋体"/>
              </w:rPr>
            </w:pPr>
          </w:p>
          <w:p w14:paraId="45D4FD95">
            <w:pPr>
              <w:pStyle w:val="59"/>
              <w:rPr>
                <w:rFonts w:hint="eastAsia" w:ascii="宋体" w:hAnsi="宋体" w:cs="宋体"/>
              </w:rPr>
            </w:pPr>
          </w:p>
          <w:p w14:paraId="7AD558C8">
            <w:pPr>
              <w:rPr>
                <w:rFonts w:hint="eastAsia" w:ascii="宋体" w:hAnsi="宋体" w:cs="宋体"/>
              </w:rPr>
            </w:pPr>
          </w:p>
          <w:p w14:paraId="357325F8">
            <w:pPr>
              <w:pStyle w:val="59"/>
              <w:rPr>
                <w:rFonts w:hint="eastAsia" w:ascii="宋体" w:hAnsi="宋体" w:cs="宋体"/>
              </w:rPr>
            </w:pPr>
          </w:p>
          <w:p w14:paraId="196CC4DE">
            <w:pPr>
              <w:rPr>
                <w:rFonts w:hint="eastAsia" w:ascii="宋体" w:hAnsi="宋体" w:cs="宋体"/>
              </w:rPr>
            </w:pPr>
          </w:p>
          <w:p w14:paraId="4A7D1C9D">
            <w:pPr>
              <w:pStyle w:val="59"/>
              <w:rPr>
                <w:rFonts w:hint="eastAsia" w:ascii="宋体" w:hAnsi="宋体" w:cs="宋体"/>
              </w:rPr>
            </w:pPr>
          </w:p>
          <w:p w14:paraId="25181987">
            <w:pPr>
              <w:rPr>
                <w:rFonts w:hint="eastAsia" w:ascii="宋体" w:hAnsi="宋体" w:cs="宋体"/>
              </w:rPr>
            </w:pPr>
          </w:p>
          <w:p w14:paraId="01049495">
            <w:pPr>
              <w:pStyle w:val="59"/>
              <w:rPr>
                <w:rFonts w:hint="eastAsia" w:ascii="宋体" w:hAnsi="宋体" w:cs="宋体"/>
              </w:rPr>
            </w:pPr>
          </w:p>
          <w:p w14:paraId="63EBEA6D">
            <w:pPr>
              <w:rPr>
                <w:rFonts w:hint="eastAsia" w:ascii="宋体" w:hAnsi="宋体" w:cs="宋体"/>
              </w:rPr>
            </w:pPr>
          </w:p>
          <w:p w14:paraId="15918CDE">
            <w:pPr>
              <w:pStyle w:val="59"/>
              <w:rPr>
                <w:rFonts w:hint="eastAsia" w:ascii="宋体" w:hAnsi="宋体" w:cs="宋体"/>
              </w:rPr>
            </w:pPr>
          </w:p>
          <w:p w14:paraId="53C3020C">
            <w:pPr>
              <w:rPr>
                <w:rFonts w:hint="eastAsia" w:ascii="宋体" w:hAnsi="宋体" w:cs="宋体"/>
              </w:rPr>
            </w:pPr>
          </w:p>
          <w:p w14:paraId="636AE7C8">
            <w:pPr>
              <w:pStyle w:val="59"/>
              <w:rPr>
                <w:rFonts w:hint="eastAsia" w:ascii="宋体" w:hAnsi="宋体" w:cs="宋体"/>
              </w:rPr>
            </w:pPr>
          </w:p>
          <w:p w14:paraId="16EF27A0">
            <w:pPr>
              <w:rPr>
                <w:rFonts w:hint="eastAsia" w:ascii="宋体" w:hAnsi="宋体" w:cs="宋体"/>
              </w:rPr>
            </w:pPr>
          </w:p>
          <w:p w14:paraId="376B4A93">
            <w:pPr>
              <w:pStyle w:val="59"/>
              <w:rPr>
                <w:rFonts w:hint="eastAsia" w:ascii="宋体" w:hAnsi="宋体" w:cs="宋体"/>
              </w:rPr>
            </w:pPr>
          </w:p>
          <w:p w14:paraId="2C7D4ED7">
            <w:pPr>
              <w:rPr>
                <w:rFonts w:hint="eastAsia" w:ascii="宋体" w:hAnsi="宋体" w:cs="宋体"/>
              </w:rPr>
            </w:pPr>
          </w:p>
          <w:p w14:paraId="1B72A595">
            <w:pPr>
              <w:pStyle w:val="59"/>
              <w:rPr>
                <w:rFonts w:hint="eastAsia" w:ascii="宋体" w:hAnsi="宋体" w:cs="宋体"/>
              </w:rPr>
            </w:pPr>
          </w:p>
          <w:p w14:paraId="3730B4E0">
            <w:pPr>
              <w:rPr>
                <w:rFonts w:hint="eastAsia" w:ascii="宋体" w:hAnsi="宋体" w:cs="宋体"/>
              </w:rPr>
            </w:pPr>
          </w:p>
          <w:p w14:paraId="2AFFEC1A">
            <w:pPr>
              <w:pStyle w:val="59"/>
              <w:rPr>
                <w:rFonts w:hint="eastAsia" w:ascii="宋体" w:hAnsi="宋体" w:cs="宋体"/>
              </w:rPr>
            </w:pPr>
          </w:p>
          <w:p w14:paraId="6D1274C4">
            <w:pPr>
              <w:rPr>
                <w:rFonts w:hint="eastAsia" w:ascii="宋体" w:hAnsi="宋体" w:cs="宋体"/>
              </w:rPr>
            </w:pPr>
          </w:p>
          <w:p w14:paraId="55D2194C">
            <w:pPr>
              <w:pStyle w:val="59"/>
              <w:rPr>
                <w:rFonts w:hint="eastAsia" w:ascii="宋体" w:hAnsi="宋体" w:cs="宋体"/>
              </w:rPr>
            </w:pPr>
          </w:p>
          <w:p w14:paraId="048FEDBE">
            <w:pPr>
              <w:rPr>
                <w:rFonts w:hint="eastAsia" w:ascii="宋体" w:hAnsi="宋体" w:cs="宋体"/>
              </w:rPr>
            </w:pPr>
          </w:p>
          <w:p w14:paraId="732F60B1">
            <w:pPr>
              <w:pStyle w:val="59"/>
              <w:rPr>
                <w:rFonts w:hint="eastAsia" w:ascii="宋体" w:hAnsi="宋体" w:cs="宋体"/>
              </w:rPr>
            </w:pPr>
          </w:p>
          <w:p w14:paraId="0B641E3A">
            <w:pPr>
              <w:rPr>
                <w:rFonts w:hint="eastAsia" w:ascii="宋体" w:hAnsi="宋体" w:cs="宋体"/>
              </w:rPr>
            </w:pPr>
          </w:p>
          <w:p w14:paraId="294CFAE1">
            <w:pPr>
              <w:pStyle w:val="59"/>
              <w:rPr>
                <w:rFonts w:hint="eastAsia" w:ascii="宋体" w:hAnsi="宋体" w:cs="宋体"/>
              </w:rPr>
            </w:pPr>
          </w:p>
          <w:p w14:paraId="22C152F2">
            <w:pPr>
              <w:rPr>
                <w:rFonts w:hint="eastAsia" w:ascii="宋体" w:hAnsi="宋体" w:cs="宋体"/>
              </w:rPr>
            </w:pPr>
          </w:p>
          <w:p w14:paraId="1F64C32E">
            <w:pPr>
              <w:pStyle w:val="59"/>
              <w:rPr>
                <w:rFonts w:hint="eastAsia" w:ascii="宋体" w:hAnsi="宋体" w:cs="宋体"/>
              </w:rPr>
            </w:pPr>
          </w:p>
          <w:p w14:paraId="615B1A03">
            <w:pPr>
              <w:rPr>
                <w:rFonts w:hint="eastAsia" w:ascii="宋体" w:hAnsi="宋体" w:cs="宋体"/>
              </w:rPr>
            </w:pPr>
          </w:p>
          <w:p w14:paraId="6AF1D804">
            <w:pPr>
              <w:pStyle w:val="59"/>
              <w:rPr>
                <w:rFonts w:hint="eastAsia" w:ascii="宋体" w:hAnsi="宋体" w:cs="宋体"/>
              </w:rPr>
            </w:pPr>
          </w:p>
          <w:p w14:paraId="59531747">
            <w:pPr>
              <w:rPr>
                <w:rFonts w:hint="eastAsia" w:ascii="宋体" w:hAnsi="宋体" w:cs="宋体"/>
              </w:rPr>
            </w:pPr>
          </w:p>
          <w:p w14:paraId="32E4C86E">
            <w:pPr>
              <w:pStyle w:val="59"/>
              <w:rPr>
                <w:rFonts w:hint="eastAsia" w:ascii="宋体" w:hAnsi="宋体" w:cs="宋体"/>
                <w:lang w:val="en-US" w:eastAsia="zh-CN"/>
              </w:rPr>
            </w:pPr>
            <w:r>
              <w:rPr>
                <w:rFonts w:hint="eastAsia" w:ascii="宋体" w:hAnsi="宋体" w:cs="宋体"/>
                <w:lang w:val="en-US" w:eastAsia="zh-CN"/>
              </w:rPr>
              <w:t>商</w:t>
            </w:r>
          </w:p>
          <w:p w14:paraId="763EA004">
            <w:pPr>
              <w:pStyle w:val="59"/>
              <w:rPr>
                <w:rFonts w:hint="eastAsia" w:ascii="宋体" w:hAnsi="宋体" w:cs="宋体"/>
                <w:lang w:val="en-US" w:eastAsia="zh-CN"/>
              </w:rPr>
            </w:pPr>
            <w:r>
              <w:rPr>
                <w:rFonts w:hint="eastAsia" w:ascii="宋体" w:hAnsi="宋体" w:cs="宋体"/>
                <w:lang w:val="en-US" w:eastAsia="zh-CN"/>
              </w:rPr>
              <w:t>务</w:t>
            </w:r>
          </w:p>
          <w:p w14:paraId="53245FAB">
            <w:pPr>
              <w:pStyle w:val="59"/>
              <w:rPr>
                <w:rFonts w:hint="eastAsia" w:ascii="宋体" w:hAnsi="宋体" w:cs="宋体"/>
                <w:lang w:val="en-US" w:eastAsia="zh-CN"/>
              </w:rPr>
            </w:pPr>
            <w:r>
              <w:rPr>
                <w:rFonts w:hint="eastAsia" w:ascii="宋体" w:hAnsi="宋体" w:cs="宋体"/>
                <w:lang w:val="en-US" w:eastAsia="zh-CN"/>
              </w:rPr>
              <w:t>部</w:t>
            </w:r>
          </w:p>
          <w:p w14:paraId="05DFCB3D">
            <w:pPr>
              <w:pStyle w:val="59"/>
              <w:rPr>
                <w:rFonts w:hint="eastAsia" w:ascii="宋体" w:hAnsi="宋体" w:cs="宋体"/>
                <w:lang w:val="en-US" w:eastAsia="zh-CN"/>
              </w:rPr>
            </w:pPr>
            <w:r>
              <w:rPr>
                <w:rFonts w:hint="eastAsia" w:ascii="宋体" w:hAnsi="宋体" w:cs="宋体"/>
                <w:lang w:val="en-US" w:eastAsia="zh-CN"/>
              </w:rPr>
              <w:t>分</w:t>
            </w:r>
          </w:p>
          <w:p w14:paraId="5E54D0FB">
            <w:pPr>
              <w:ind w:left="210" w:leftChars="100" w:firstLine="0" w:firstLineChars="0"/>
              <w:rPr>
                <w:rFonts w:hint="default"/>
                <w:lang w:val="en-US" w:eastAsia="zh-CN"/>
              </w:rPr>
            </w:pPr>
            <w:r>
              <w:rPr>
                <w:rFonts w:hint="eastAsia"/>
                <w:lang w:val="en-US" w:eastAsia="zh-CN"/>
              </w:rPr>
              <w:t>57分</w:t>
            </w:r>
          </w:p>
        </w:tc>
        <w:tc>
          <w:tcPr>
            <w:tcW w:w="616" w:type="pct"/>
            <w:vAlign w:val="center"/>
          </w:tcPr>
          <w:p w14:paraId="47EABA8B">
            <w:pPr>
              <w:tabs>
                <w:tab w:val="left" w:pos="1899"/>
              </w:tabs>
              <w:adjustRightInd w:val="0"/>
              <w:snapToGrid w:val="0"/>
              <w:spacing w:before="100" w:after="50"/>
              <w:jc w:val="center"/>
              <w:rPr>
                <w:rFonts w:hint="eastAsia" w:ascii="宋体" w:hAnsi="宋体"/>
                <w:lang w:val="en-US" w:eastAsia="zh-CN"/>
              </w:rPr>
            </w:pPr>
            <w:r>
              <w:rPr>
                <w:rFonts w:hint="eastAsia" w:ascii="宋体" w:hAnsi="宋体"/>
                <w:lang w:val="en-US" w:eastAsia="zh-CN"/>
              </w:rPr>
              <w:t>业绩要求</w:t>
            </w:r>
          </w:p>
        </w:tc>
        <w:tc>
          <w:tcPr>
            <w:tcW w:w="3237" w:type="pct"/>
            <w:vAlign w:val="center"/>
          </w:tcPr>
          <w:p w14:paraId="120A52CB">
            <w:pPr>
              <w:tabs>
                <w:tab w:val="left" w:pos="1899"/>
              </w:tabs>
              <w:adjustRightInd w:val="0"/>
              <w:snapToGrid w:val="0"/>
              <w:spacing w:before="100" w:after="50"/>
              <w:jc w:val="left"/>
              <w:rPr>
                <w:rFonts w:hint="eastAsia" w:ascii="宋体" w:hAnsi="宋体"/>
                <w:lang w:val="en-US" w:eastAsia="zh-CN"/>
              </w:rPr>
            </w:pPr>
            <w:r>
              <w:rPr>
                <w:rFonts w:hint="eastAsia" w:ascii="宋体" w:hAnsi="宋体"/>
                <w:lang w:val="en-US" w:eastAsia="zh-CN"/>
              </w:rPr>
              <w:t>投标人完成过类似能源管理项目的每个得1分，最高得1分</w:t>
            </w:r>
          </w:p>
          <w:p w14:paraId="64BE7E22">
            <w:pPr>
              <w:tabs>
                <w:tab w:val="left" w:pos="1899"/>
              </w:tabs>
              <w:adjustRightInd w:val="0"/>
              <w:snapToGrid w:val="0"/>
              <w:spacing w:before="100" w:after="50"/>
              <w:jc w:val="left"/>
              <w:rPr>
                <w:rFonts w:hint="default" w:ascii="宋体" w:hAnsi="宋体"/>
                <w:lang w:val="en-US" w:eastAsia="zh-CN"/>
              </w:rPr>
            </w:pPr>
            <w:r>
              <w:rPr>
                <w:rFonts w:hint="eastAsia" w:ascii="宋体" w:hAnsi="宋体"/>
                <w:lang w:val="en-US" w:eastAsia="zh-CN"/>
              </w:rPr>
              <w:t>注：提供项目合同复印件。</w:t>
            </w:r>
          </w:p>
        </w:tc>
        <w:tc>
          <w:tcPr>
            <w:tcW w:w="413" w:type="pct"/>
            <w:vAlign w:val="center"/>
          </w:tcPr>
          <w:p w14:paraId="382C56E1">
            <w:pPr>
              <w:tabs>
                <w:tab w:val="left" w:pos="1899"/>
              </w:tabs>
              <w:adjustRightInd w:val="0"/>
              <w:snapToGrid w:val="0"/>
              <w:spacing w:before="100" w:after="50"/>
              <w:jc w:val="center"/>
              <w:rPr>
                <w:rFonts w:hint="eastAsia" w:ascii="宋体" w:hAnsi="宋体" w:eastAsia="宋体"/>
                <w:lang w:val="en-US" w:eastAsia="zh-CN"/>
              </w:rPr>
            </w:pPr>
            <w:r>
              <w:rPr>
                <w:rFonts w:hint="eastAsia" w:ascii="宋体" w:hAnsi="宋体"/>
                <w:lang w:val="en-US" w:eastAsia="zh-CN"/>
              </w:rPr>
              <w:t>1</w:t>
            </w:r>
          </w:p>
        </w:tc>
      </w:tr>
      <w:tr w14:paraId="2F52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9" w:hRule="atLeast"/>
        </w:trPr>
        <w:tc>
          <w:tcPr>
            <w:tcW w:w="335" w:type="pct"/>
            <w:tcBorders>
              <w:right w:val="single" w:color="auto" w:sz="4" w:space="0"/>
            </w:tcBorders>
            <w:vAlign w:val="center"/>
          </w:tcPr>
          <w:p w14:paraId="07365C14">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lang w:val="en-US" w:eastAsia="zh-CN"/>
              </w:rPr>
              <w:t>2</w:t>
            </w:r>
          </w:p>
        </w:tc>
        <w:tc>
          <w:tcPr>
            <w:tcW w:w="398" w:type="pct"/>
            <w:vMerge w:val="continue"/>
            <w:vAlign w:val="center"/>
          </w:tcPr>
          <w:p w14:paraId="3FC1FA17">
            <w:pPr>
              <w:ind w:firstLine="210" w:firstLineChars="100"/>
              <w:rPr>
                <w:rFonts w:hint="default"/>
                <w:lang w:val="en-US" w:eastAsia="zh-CN"/>
              </w:rPr>
            </w:pPr>
          </w:p>
        </w:tc>
        <w:tc>
          <w:tcPr>
            <w:tcW w:w="616" w:type="pct"/>
            <w:tcBorders>
              <w:left w:val="single" w:color="auto" w:sz="4" w:space="0"/>
            </w:tcBorders>
            <w:vAlign w:val="center"/>
          </w:tcPr>
          <w:p w14:paraId="63AF356B">
            <w:pPr>
              <w:spacing w:line="380" w:lineRule="exact"/>
              <w:jc w:val="center"/>
              <w:rPr>
                <w:rFonts w:ascii="宋体" w:hAnsi="宋体" w:cs="宋体"/>
                <w:szCs w:val="21"/>
              </w:rPr>
            </w:pPr>
            <w:r>
              <w:rPr>
                <w:rFonts w:hint="eastAsia" w:ascii="宋体" w:hAnsi="宋体" w:cs="宋体"/>
                <w:szCs w:val="21"/>
              </w:rPr>
              <w:t>人员配备</w:t>
            </w:r>
          </w:p>
        </w:tc>
        <w:tc>
          <w:tcPr>
            <w:tcW w:w="3237" w:type="pct"/>
            <w:vAlign w:val="center"/>
          </w:tcPr>
          <w:p w14:paraId="31AE36F9">
            <w:pPr>
              <w:numPr>
                <w:ilvl w:val="0"/>
                <w:numId w:val="0"/>
              </w:numPr>
              <w:spacing w:line="360" w:lineRule="auto"/>
              <w:rPr>
                <w:rFonts w:hint="eastAsia" w:ascii="宋体" w:hAnsi="宋体" w:cs="宋体"/>
                <w:lang w:val="en-US" w:eastAsia="zh-CN"/>
              </w:rPr>
            </w:pPr>
            <w:r>
              <w:rPr>
                <w:rFonts w:hint="eastAsia" w:ascii="宋体" w:hAnsi="宋体" w:eastAsia="宋体" w:cs="宋体"/>
                <w:kern w:val="2"/>
                <w:sz w:val="21"/>
                <w:szCs w:val="24"/>
                <w:lang w:val="en-US" w:eastAsia="zh-CN" w:bidi="ar-SA"/>
              </w:rPr>
              <w:t>1、</w:t>
            </w:r>
            <w:r>
              <w:rPr>
                <w:rFonts w:hint="eastAsia" w:ascii="宋体" w:hAnsi="宋体" w:cs="宋体"/>
                <w:lang w:val="en-US" w:eastAsia="zh-CN"/>
              </w:rPr>
              <w:t>项目负责人具有高级工程师职称、且同时具有机电工程专业一级建造师</w:t>
            </w:r>
            <w:r>
              <w:rPr>
                <w:rFonts w:hint="eastAsia" w:ascii="宋体" w:hAnsi="宋体" w:cs="宋体"/>
                <w:highlight w:val="none"/>
                <w:lang w:val="en-US" w:eastAsia="zh-CN"/>
              </w:rPr>
              <w:t>执业证书的</w:t>
            </w:r>
            <w:r>
              <w:rPr>
                <w:rFonts w:hint="eastAsia" w:ascii="宋体" w:hAnsi="宋体" w:cs="宋体"/>
                <w:lang w:val="en-US" w:eastAsia="zh-CN"/>
              </w:rPr>
              <w:t>，得3分；</w:t>
            </w:r>
          </w:p>
          <w:p w14:paraId="5DE6CED9">
            <w:pPr>
              <w:numPr>
                <w:ilvl w:val="0"/>
                <w:numId w:val="0"/>
              </w:numPr>
              <w:spacing w:line="360" w:lineRule="auto"/>
              <w:rPr>
                <w:rFonts w:hint="eastAsia" w:ascii="宋体" w:hAnsi="宋体" w:cs="宋体"/>
                <w:lang w:val="en-US" w:eastAsia="zh-CN"/>
              </w:rPr>
            </w:pPr>
            <w:r>
              <w:rPr>
                <w:rFonts w:hint="eastAsia" w:ascii="宋体" w:hAnsi="宋体" w:cs="宋体"/>
                <w:lang w:val="en-US" w:eastAsia="zh-CN"/>
              </w:rPr>
              <w:t>2、项目技术负责人具有注册电气工程师执业证书的，得3分；</w:t>
            </w:r>
          </w:p>
          <w:p w14:paraId="423BF42E">
            <w:pPr>
              <w:numPr>
                <w:ilvl w:val="0"/>
                <w:numId w:val="0"/>
              </w:numPr>
              <w:spacing w:line="360" w:lineRule="auto"/>
              <w:rPr>
                <w:rFonts w:hint="eastAsia" w:ascii="宋体" w:hAnsi="宋体" w:cs="宋体"/>
                <w:lang w:val="en-US" w:eastAsia="zh-CN"/>
              </w:rPr>
            </w:pPr>
            <w:r>
              <w:rPr>
                <w:rFonts w:hint="eastAsia" w:ascii="宋体" w:hAnsi="宋体" w:cs="宋体"/>
                <w:lang w:val="en-US" w:eastAsia="zh-CN"/>
              </w:rPr>
              <w:t>3、项目成员中具有输配电及用电工程工程师中级及以上职称，得2分；</w:t>
            </w:r>
          </w:p>
          <w:p w14:paraId="3C132975">
            <w:pPr>
              <w:numPr>
                <w:ilvl w:val="0"/>
                <w:numId w:val="0"/>
              </w:numPr>
              <w:spacing w:line="360" w:lineRule="auto"/>
              <w:rPr>
                <w:rFonts w:hint="eastAsia" w:ascii="宋体" w:hAnsi="宋体" w:cs="宋体"/>
                <w:lang w:val="en-US" w:eastAsia="zh-CN"/>
              </w:rPr>
            </w:pPr>
            <w:r>
              <w:rPr>
                <w:rFonts w:hint="eastAsia" w:ascii="宋体" w:hAnsi="宋体" w:cs="宋体"/>
                <w:lang w:val="en-US" w:eastAsia="zh-CN"/>
              </w:rPr>
              <w:t>4、同时具有高空作业操作证、高压电工作业操作证、低压电工作业操作证，每人得1分，最高得4分。</w:t>
            </w:r>
          </w:p>
          <w:p w14:paraId="4099F8A4">
            <w:pPr>
              <w:numPr>
                <w:ilvl w:val="0"/>
                <w:numId w:val="0"/>
              </w:numPr>
              <w:spacing w:line="360" w:lineRule="auto"/>
              <w:rPr>
                <w:rFonts w:hint="default" w:ascii="宋体" w:hAnsi="宋体" w:cs="宋体"/>
                <w:lang w:val="en-US" w:eastAsia="zh-CN"/>
              </w:rPr>
            </w:pPr>
            <w:r>
              <w:rPr>
                <w:rFonts w:hint="eastAsia" w:ascii="宋体" w:hAnsi="宋体" w:cs="宋体"/>
                <w:lang w:val="en-US" w:eastAsia="zh-CN"/>
              </w:rPr>
              <w:t>注：</w:t>
            </w:r>
            <w:r>
              <w:rPr>
                <w:rFonts w:hint="eastAsia" w:ascii="宋体" w:hAnsi="宋体" w:eastAsia="宋体" w:cs="宋体"/>
                <w:kern w:val="2"/>
                <w:sz w:val="21"/>
                <w:szCs w:val="21"/>
                <w:lang w:val="en-US" w:eastAsia="zh-CN" w:bidi="ar-SA"/>
              </w:rPr>
              <w:t>提供上述人员的相应证书及上述人员在本单位缴纳的连续近三个月的社保证明。</w:t>
            </w:r>
          </w:p>
        </w:tc>
        <w:tc>
          <w:tcPr>
            <w:tcW w:w="413" w:type="pct"/>
            <w:vAlign w:val="center"/>
          </w:tcPr>
          <w:p w14:paraId="4F498157">
            <w:pPr>
              <w:tabs>
                <w:tab w:val="left" w:pos="1899"/>
              </w:tabs>
              <w:adjustRightInd w:val="0"/>
              <w:snapToGrid w:val="0"/>
              <w:spacing w:before="100" w:after="50" w:line="360" w:lineRule="auto"/>
              <w:jc w:val="center"/>
              <w:rPr>
                <w:rFonts w:hint="default" w:ascii="宋体" w:hAnsi="宋体" w:eastAsia="宋体" w:cs="宋体"/>
                <w:lang w:val="en-US" w:eastAsia="zh-CN"/>
              </w:rPr>
            </w:pPr>
            <w:r>
              <w:rPr>
                <w:rFonts w:hint="eastAsia" w:ascii="宋体" w:hAnsi="宋体" w:cs="宋体"/>
                <w:lang w:val="en-US" w:eastAsia="zh-CN"/>
              </w:rPr>
              <w:t xml:space="preserve"> 12</w:t>
            </w:r>
          </w:p>
        </w:tc>
      </w:tr>
      <w:tr w14:paraId="77D7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5" w:type="pct"/>
            <w:tcBorders>
              <w:right w:val="single" w:color="auto" w:sz="4" w:space="0"/>
            </w:tcBorders>
            <w:vAlign w:val="center"/>
          </w:tcPr>
          <w:p w14:paraId="40CC22DF">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lang w:val="en-US" w:eastAsia="zh-CN"/>
              </w:rPr>
              <w:t>3</w:t>
            </w:r>
          </w:p>
        </w:tc>
        <w:tc>
          <w:tcPr>
            <w:tcW w:w="398" w:type="pct"/>
            <w:vMerge w:val="continue"/>
            <w:vAlign w:val="center"/>
          </w:tcPr>
          <w:p w14:paraId="56329C77">
            <w:pPr>
              <w:tabs>
                <w:tab w:val="left" w:pos="1899"/>
              </w:tabs>
              <w:adjustRightInd w:val="0"/>
              <w:snapToGrid w:val="0"/>
              <w:spacing w:before="100" w:after="50" w:line="360" w:lineRule="auto"/>
              <w:jc w:val="center"/>
              <w:rPr>
                <w:rFonts w:hint="eastAsia" w:ascii="宋体" w:hAnsi="宋体" w:cs="宋体"/>
              </w:rPr>
            </w:pPr>
          </w:p>
        </w:tc>
        <w:tc>
          <w:tcPr>
            <w:tcW w:w="616" w:type="pct"/>
            <w:tcBorders>
              <w:left w:val="single" w:color="auto" w:sz="4" w:space="0"/>
            </w:tcBorders>
            <w:vAlign w:val="center"/>
          </w:tcPr>
          <w:p w14:paraId="6A421F28">
            <w:pPr>
              <w:tabs>
                <w:tab w:val="left" w:pos="1899"/>
              </w:tabs>
              <w:adjustRightInd w:val="0"/>
              <w:snapToGrid w:val="0"/>
              <w:spacing w:before="100" w:after="50" w:line="360" w:lineRule="auto"/>
              <w:rPr>
                <w:rFonts w:ascii="宋体" w:hAnsi="宋体" w:cs="宋体"/>
                <w:szCs w:val="21"/>
              </w:rPr>
            </w:pPr>
          </w:p>
          <w:p w14:paraId="70BA1892">
            <w:pPr>
              <w:tabs>
                <w:tab w:val="left" w:pos="1899"/>
              </w:tabs>
              <w:adjustRightInd w:val="0"/>
              <w:snapToGrid w:val="0"/>
              <w:spacing w:before="100" w:after="50" w:line="360" w:lineRule="auto"/>
              <w:jc w:val="center"/>
              <w:rPr>
                <w:rFonts w:ascii="宋体" w:hAnsi="宋体" w:cs="宋体"/>
                <w:szCs w:val="21"/>
              </w:rPr>
            </w:pPr>
            <w:r>
              <w:rPr>
                <w:rFonts w:hint="eastAsia" w:ascii="宋体" w:hAnsi="宋体" w:cs="宋体"/>
                <w:szCs w:val="21"/>
              </w:rPr>
              <w:t>产品认证     （寿命认证）</w:t>
            </w:r>
          </w:p>
        </w:tc>
        <w:tc>
          <w:tcPr>
            <w:tcW w:w="3237" w:type="pct"/>
            <w:vAlign w:val="center"/>
          </w:tcPr>
          <w:p w14:paraId="51808B80">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投标人所投模组化路灯产品获得光通维持寿命为 50000小时的CQC产品认证证书得2分，</w:t>
            </w:r>
            <w:bookmarkStart w:id="74" w:name="OLE_LINK1"/>
            <w:r>
              <w:rPr>
                <w:rFonts w:hint="eastAsia" w:ascii="宋体" w:hAnsi="宋体" w:cs="宋体"/>
                <w:szCs w:val="21"/>
              </w:rPr>
              <w:t>提供证书复印件，未提供不得分</w:t>
            </w:r>
            <w:bookmarkEnd w:id="74"/>
            <w:r>
              <w:rPr>
                <w:rFonts w:hint="eastAsia" w:ascii="宋体" w:hAnsi="宋体" w:cs="宋体"/>
                <w:szCs w:val="21"/>
              </w:rPr>
              <w:t>。</w:t>
            </w:r>
          </w:p>
          <w:p w14:paraId="5BE9ECCE">
            <w:pPr>
              <w:tabs>
                <w:tab w:val="left" w:pos="1899"/>
              </w:tabs>
              <w:adjustRightInd w:val="0"/>
              <w:snapToGrid w:val="0"/>
              <w:spacing w:line="360" w:lineRule="auto"/>
              <w:jc w:val="left"/>
              <w:rPr>
                <w:rFonts w:hint="default" w:ascii="宋体" w:hAnsi="宋体" w:cs="宋体"/>
                <w:szCs w:val="21"/>
                <w:lang w:val="en-US" w:eastAsia="zh-CN"/>
              </w:rPr>
            </w:pPr>
            <w:r>
              <w:rPr>
                <w:rFonts w:hint="eastAsia" w:ascii="宋体" w:hAnsi="宋体" w:cs="宋体"/>
                <w:szCs w:val="21"/>
              </w:rPr>
              <w:t xml:space="preserve">有效证明材料：                                                                                                       </w:t>
            </w:r>
          </w:p>
          <w:p w14:paraId="6B49503D">
            <w:pPr>
              <w:tabs>
                <w:tab w:val="left" w:pos="1899"/>
              </w:tabs>
              <w:adjustRightInd w:val="0"/>
              <w:snapToGrid w:val="0"/>
              <w:spacing w:line="360" w:lineRule="auto"/>
              <w:jc w:val="lef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提供中国质量认证中心出具的CQC产品认证证书和与证书对应的试验报告的电子档并加盖公章，提供认证证书在全国认证认可信息公共服务平台证书状态为“有效”的查询证明截图（证书和试验报告原件备查）。</w:t>
            </w:r>
          </w:p>
        </w:tc>
        <w:tc>
          <w:tcPr>
            <w:tcW w:w="413" w:type="pct"/>
            <w:vAlign w:val="center"/>
          </w:tcPr>
          <w:p w14:paraId="4950E0F0">
            <w:pPr>
              <w:tabs>
                <w:tab w:val="left" w:pos="1899"/>
              </w:tabs>
              <w:adjustRightInd w:val="0"/>
              <w:snapToGrid w:val="0"/>
              <w:spacing w:before="100" w:after="50" w:line="360" w:lineRule="auto"/>
              <w:jc w:val="center"/>
              <w:rPr>
                <w:rFonts w:ascii="宋体" w:hAnsi="宋体" w:cs="宋体"/>
              </w:rPr>
            </w:pPr>
            <w:r>
              <w:rPr>
                <w:rFonts w:hint="eastAsia" w:ascii="宋体" w:hAnsi="宋体" w:cs="宋体"/>
              </w:rPr>
              <w:t>2</w:t>
            </w:r>
          </w:p>
        </w:tc>
      </w:tr>
      <w:tr w14:paraId="415F5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335" w:type="pct"/>
            <w:tcBorders>
              <w:right w:val="single" w:color="auto" w:sz="4" w:space="0"/>
            </w:tcBorders>
            <w:vAlign w:val="center"/>
          </w:tcPr>
          <w:p w14:paraId="02B276BB">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lang w:val="en-US" w:eastAsia="zh-CN"/>
              </w:rPr>
              <w:t>4</w:t>
            </w:r>
          </w:p>
        </w:tc>
        <w:tc>
          <w:tcPr>
            <w:tcW w:w="398" w:type="pct"/>
            <w:vMerge w:val="continue"/>
            <w:vAlign w:val="center"/>
          </w:tcPr>
          <w:p w14:paraId="42044BB8">
            <w:pPr>
              <w:tabs>
                <w:tab w:val="left" w:pos="1899"/>
              </w:tabs>
              <w:adjustRightInd w:val="0"/>
              <w:snapToGrid w:val="0"/>
              <w:spacing w:before="100" w:after="50" w:line="360" w:lineRule="auto"/>
              <w:jc w:val="center"/>
              <w:rPr>
                <w:rFonts w:hint="eastAsia" w:ascii="宋体" w:hAnsi="宋体" w:cs="宋体"/>
              </w:rPr>
            </w:pPr>
          </w:p>
        </w:tc>
        <w:tc>
          <w:tcPr>
            <w:tcW w:w="616" w:type="pct"/>
            <w:tcBorders>
              <w:left w:val="single" w:color="auto" w:sz="4" w:space="0"/>
            </w:tcBorders>
            <w:vAlign w:val="center"/>
          </w:tcPr>
          <w:p w14:paraId="5974907B">
            <w:pPr>
              <w:tabs>
                <w:tab w:val="left" w:pos="1899"/>
              </w:tabs>
              <w:adjustRightInd w:val="0"/>
              <w:snapToGrid w:val="0"/>
              <w:spacing w:before="100" w:after="50" w:line="360" w:lineRule="auto"/>
              <w:rPr>
                <w:rFonts w:ascii="宋体" w:hAnsi="宋体" w:cs="宋体"/>
                <w:szCs w:val="21"/>
              </w:rPr>
            </w:pPr>
            <w:r>
              <w:rPr>
                <w:rFonts w:hint="eastAsia" w:ascii="宋体" w:hAnsi="宋体" w:cs="宋体"/>
                <w:szCs w:val="21"/>
              </w:rPr>
              <w:t>节能认证</w:t>
            </w:r>
          </w:p>
        </w:tc>
        <w:tc>
          <w:tcPr>
            <w:tcW w:w="3237" w:type="pct"/>
            <w:vAlign w:val="center"/>
          </w:tcPr>
          <w:p w14:paraId="34E63078">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投标人所投模组化路灯产品通过GB 37478-2019标准的节能认证，路灯功率段分别在30W＜功率≤40W、40W＜功率≤100W、100W＜功率≤150W、150W＜功率≤250W、250W&lt;功率≤300W范围内，全部覆盖得2分，缺-项扣1分，缺两项及以上不得分。</w:t>
            </w:r>
          </w:p>
          <w:p w14:paraId="280C5DC4">
            <w:pPr>
              <w:tabs>
                <w:tab w:val="left" w:pos="1899"/>
              </w:tabs>
              <w:adjustRightInd w:val="0"/>
              <w:snapToGrid w:val="0"/>
              <w:spacing w:line="360" w:lineRule="auto"/>
              <w:jc w:val="left"/>
              <w:rPr>
                <w:rFonts w:hint="default" w:ascii="宋体" w:hAnsi="宋体" w:cs="宋体"/>
                <w:szCs w:val="21"/>
                <w:lang w:val="en-US" w:eastAsia="zh-CN"/>
              </w:rPr>
            </w:pPr>
            <w:r>
              <w:rPr>
                <w:rFonts w:hint="eastAsia" w:ascii="宋体" w:hAnsi="宋体" w:cs="宋体"/>
                <w:szCs w:val="21"/>
              </w:rPr>
              <w:t xml:space="preserve">有效证明材料：                                                                                                       </w:t>
            </w:r>
          </w:p>
          <w:p w14:paraId="648B510A">
            <w:pPr>
              <w:tabs>
                <w:tab w:val="left" w:pos="1899"/>
              </w:tabs>
              <w:adjustRightInd w:val="0"/>
              <w:snapToGrid w:val="0"/>
              <w:spacing w:line="360" w:lineRule="auto"/>
              <w:jc w:val="left"/>
              <w:rPr>
                <w:rFonts w:hint="eastAsia" w:ascii="宋体" w:hAnsi="宋体" w:eastAsia="宋体" w:cs="宋体"/>
                <w:szCs w:val="21"/>
                <w:lang w:eastAsia="zh-CN"/>
              </w:rPr>
            </w:pPr>
            <w:r>
              <w:rPr>
                <w:rFonts w:hint="eastAsia" w:ascii="宋体" w:hAnsi="宋体" w:cs="宋体"/>
                <w:szCs w:val="21"/>
                <w:lang w:val="en-US" w:eastAsia="zh-CN"/>
              </w:rPr>
              <w:t>1、</w:t>
            </w:r>
            <w:r>
              <w:rPr>
                <w:rFonts w:hint="eastAsia" w:ascii="宋体" w:hAnsi="宋体" w:cs="宋体"/>
                <w:szCs w:val="21"/>
              </w:rPr>
              <w:t>提供中国质量认证中心出具的CQC节能产品认证证书电子档，提供认证证书在全国认证认可信息公共服务平台证书状态为“有效”的查询证明截图</w:t>
            </w:r>
            <w:r>
              <w:rPr>
                <w:rFonts w:hint="eastAsia" w:ascii="宋体" w:hAnsi="宋体" w:cs="宋体"/>
                <w:szCs w:val="21"/>
                <w:lang w:eastAsia="zh-CN"/>
              </w:rPr>
              <w:t>。</w:t>
            </w:r>
          </w:p>
        </w:tc>
        <w:tc>
          <w:tcPr>
            <w:tcW w:w="413" w:type="pct"/>
            <w:vAlign w:val="center"/>
          </w:tcPr>
          <w:p w14:paraId="3700F0E1">
            <w:pPr>
              <w:tabs>
                <w:tab w:val="left" w:pos="1899"/>
              </w:tabs>
              <w:adjustRightInd w:val="0"/>
              <w:snapToGrid w:val="0"/>
              <w:spacing w:before="100" w:after="50" w:line="360" w:lineRule="auto"/>
              <w:jc w:val="center"/>
              <w:rPr>
                <w:rFonts w:ascii="宋体" w:hAnsi="宋体" w:cs="宋体"/>
              </w:rPr>
            </w:pPr>
            <w:r>
              <w:rPr>
                <w:rFonts w:hint="eastAsia" w:ascii="宋体" w:hAnsi="宋体" w:cs="宋体"/>
              </w:rPr>
              <w:t>2</w:t>
            </w:r>
          </w:p>
        </w:tc>
      </w:tr>
      <w:tr w14:paraId="2EED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5" w:type="pct"/>
            <w:tcBorders>
              <w:right w:val="single" w:color="auto" w:sz="4" w:space="0"/>
            </w:tcBorders>
            <w:vAlign w:val="center"/>
          </w:tcPr>
          <w:p w14:paraId="61BA838F">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lang w:val="en-US" w:eastAsia="zh-CN"/>
              </w:rPr>
              <w:t>5</w:t>
            </w:r>
          </w:p>
        </w:tc>
        <w:tc>
          <w:tcPr>
            <w:tcW w:w="398" w:type="pct"/>
            <w:vMerge w:val="continue"/>
            <w:vAlign w:val="center"/>
          </w:tcPr>
          <w:p w14:paraId="02013320">
            <w:pPr>
              <w:tabs>
                <w:tab w:val="left" w:pos="1899"/>
              </w:tabs>
              <w:adjustRightInd w:val="0"/>
              <w:snapToGrid w:val="0"/>
              <w:spacing w:before="100" w:after="50" w:line="360" w:lineRule="auto"/>
              <w:jc w:val="center"/>
              <w:rPr>
                <w:rFonts w:hint="eastAsia" w:ascii="宋体" w:hAnsi="宋体" w:cs="宋体"/>
              </w:rPr>
            </w:pPr>
          </w:p>
        </w:tc>
        <w:tc>
          <w:tcPr>
            <w:tcW w:w="616" w:type="pct"/>
            <w:tcBorders>
              <w:left w:val="single" w:color="auto" w:sz="4" w:space="0"/>
            </w:tcBorders>
            <w:vAlign w:val="center"/>
          </w:tcPr>
          <w:p w14:paraId="6A38E24D">
            <w:pPr>
              <w:tabs>
                <w:tab w:val="left" w:pos="1899"/>
              </w:tabs>
              <w:adjustRightInd w:val="0"/>
              <w:snapToGrid w:val="0"/>
              <w:spacing w:before="100" w:after="50" w:line="360" w:lineRule="auto"/>
              <w:jc w:val="center"/>
              <w:rPr>
                <w:rFonts w:ascii="宋体" w:hAnsi="宋体" w:cs="宋体"/>
                <w:szCs w:val="21"/>
              </w:rPr>
            </w:pPr>
            <w:r>
              <w:rPr>
                <w:rFonts w:hint="eastAsia" w:ascii="宋体" w:hAnsi="宋体" w:cs="宋体"/>
                <w:szCs w:val="21"/>
              </w:rPr>
              <w:t>光通维持率实测</w:t>
            </w:r>
          </w:p>
        </w:tc>
        <w:tc>
          <w:tcPr>
            <w:tcW w:w="3237" w:type="pct"/>
            <w:vAlign w:val="center"/>
          </w:tcPr>
          <w:p w14:paraId="29826996">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 xml:space="preserve">投标人所投模组化路灯产品通过（IES LM-79-19、GB/T9468-2008）灯具实际燃点的光通量维持率测试，同时测试时长达到以下要求得3分，否则不得分 </w:t>
            </w:r>
          </w:p>
          <w:p w14:paraId="5176BCEA">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（1）测试时间≥55000小时，且光通量维持率≥85%得</w:t>
            </w:r>
            <w:r>
              <w:rPr>
                <w:rFonts w:hint="eastAsia" w:ascii="宋体" w:hAnsi="宋体" w:cs="宋体"/>
                <w:szCs w:val="21"/>
                <w:lang w:val="en-US" w:eastAsia="zh-CN"/>
              </w:rPr>
              <w:t>3</w:t>
            </w:r>
            <w:r>
              <w:rPr>
                <w:rFonts w:hint="eastAsia" w:ascii="宋体" w:hAnsi="宋体" w:cs="宋体"/>
                <w:szCs w:val="21"/>
              </w:rPr>
              <w:t>分</w:t>
            </w:r>
          </w:p>
          <w:p w14:paraId="67968A7D">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（2）测试时间≥35000小时，且光通量维持率≥90%得</w:t>
            </w:r>
            <w:r>
              <w:rPr>
                <w:rFonts w:hint="eastAsia" w:ascii="宋体" w:hAnsi="宋体" w:cs="宋体"/>
                <w:szCs w:val="21"/>
                <w:lang w:val="en-US" w:eastAsia="zh-CN"/>
              </w:rPr>
              <w:t>2</w:t>
            </w:r>
            <w:r>
              <w:rPr>
                <w:rFonts w:hint="eastAsia" w:ascii="宋体" w:hAnsi="宋体" w:cs="宋体"/>
                <w:szCs w:val="21"/>
              </w:rPr>
              <w:t>分                                                                         （3）测试时间≥20000小时，且光通量维持率≥95%得</w:t>
            </w:r>
            <w:r>
              <w:rPr>
                <w:rFonts w:hint="eastAsia" w:ascii="宋体" w:hAnsi="宋体" w:cs="宋体"/>
                <w:szCs w:val="21"/>
                <w:lang w:val="en-US" w:eastAsia="zh-CN"/>
              </w:rPr>
              <w:t>1</w:t>
            </w:r>
            <w:r>
              <w:rPr>
                <w:rFonts w:hint="eastAsia" w:ascii="宋体" w:hAnsi="宋体" w:cs="宋体"/>
                <w:szCs w:val="21"/>
              </w:rPr>
              <w:t>分                                                                                       有效证明材料：</w:t>
            </w:r>
          </w:p>
          <w:p w14:paraId="102A974C">
            <w:pPr>
              <w:tabs>
                <w:tab w:val="left" w:pos="1899"/>
              </w:tabs>
              <w:adjustRightInd w:val="0"/>
              <w:snapToGrid w:val="0"/>
              <w:spacing w:line="360" w:lineRule="auto"/>
              <w:jc w:val="lef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提供国家灯具质量检验检测中心或国家电光源质量监督检验中心出具的检测报告，提供报告复印</w:t>
            </w:r>
            <w:r>
              <w:rPr>
                <w:rFonts w:hint="eastAsia" w:ascii="宋体" w:hAnsi="宋体" w:cs="宋体"/>
                <w:szCs w:val="21"/>
                <w:lang w:val="en-US" w:eastAsia="zh-CN"/>
              </w:rPr>
              <w:t>件</w:t>
            </w:r>
            <w:r>
              <w:rPr>
                <w:rFonts w:hint="eastAsia" w:ascii="宋体" w:hAnsi="宋体" w:cs="宋体"/>
                <w:szCs w:val="21"/>
              </w:rPr>
              <w:t>。</w:t>
            </w:r>
          </w:p>
        </w:tc>
        <w:tc>
          <w:tcPr>
            <w:tcW w:w="413" w:type="pct"/>
            <w:vAlign w:val="center"/>
          </w:tcPr>
          <w:p w14:paraId="66AF1AB8">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lang w:val="en-US" w:eastAsia="zh-CN"/>
              </w:rPr>
              <w:t>3</w:t>
            </w:r>
          </w:p>
        </w:tc>
      </w:tr>
      <w:tr w14:paraId="53E7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trPr>
        <w:tc>
          <w:tcPr>
            <w:tcW w:w="335" w:type="pct"/>
            <w:tcBorders>
              <w:right w:val="single" w:color="auto" w:sz="4" w:space="0"/>
            </w:tcBorders>
            <w:vAlign w:val="center"/>
          </w:tcPr>
          <w:p w14:paraId="5925975F">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lang w:val="en-US" w:eastAsia="zh-CN"/>
              </w:rPr>
              <w:t>6</w:t>
            </w:r>
          </w:p>
        </w:tc>
        <w:tc>
          <w:tcPr>
            <w:tcW w:w="398" w:type="pct"/>
            <w:vMerge w:val="continue"/>
            <w:vAlign w:val="center"/>
          </w:tcPr>
          <w:p w14:paraId="5718B507">
            <w:pPr>
              <w:tabs>
                <w:tab w:val="left" w:pos="1899"/>
              </w:tabs>
              <w:adjustRightInd w:val="0"/>
              <w:snapToGrid w:val="0"/>
              <w:spacing w:before="100" w:after="50" w:line="360" w:lineRule="auto"/>
              <w:jc w:val="center"/>
              <w:rPr>
                <w:rFonts w:hint="eastAsia" w:ascii="宋体" w:hAnsi="宋体" w:cs="宋体"/>
              </w:rPr>
            </w:pPr>
          </w:p>
        </w:tc>
        <w:tc>
          <w:tcPr>
            <w:tcW w:w="616" w:type="pct"/>
            <w:tcBorders>
              <w:left w:val="single" w:color="auto" w:sz="4" w:space="0"/>
            </w:tcBorders>
            <w:vAlign w:val="center"/>
          </w:tcPr>
          <w:p w14:paraId="2A2D9B75">
            <w:pPr>
              <w:tabs>
                <w:tab w:val="left" w:pos="1899"/>
              </w:tabs>
              <w:adjustRightInd w:val="0"/>
              <w:snapToGrid w:val="0"/>
              <w:spacing w:before="100" w:after="50" w:line="360" w:lineRule="auto"/>
              <w:jc w:val="center"/>
              <w:rPr>
                <w:rFonts w:ascii="宋体" w:hAnsi="宋体" w:cs="宋体"/>
                <w:szCs w:val="21"/>
              </w:rPr>
            </w:pPr>
            <w:r>
              <w:rPr>
                <w:rFonts w:hint="eastAsia" w:ascii="宋体" w:hAnsi="宋体" w:cs="宋体"/>
                <w:szCs w:val="21"/>
              </w:rPr>
              <w:t>机械加载 试验</w:t>
            </w:r>
          </w:p>
        </w:tc>
        <w:tc>
          <w:tcPr>
            <w:tcW w:w="3237" w:type="pct"/>
            <w:vAlign w:val="center"/>
          </w:tcPr>
          <w:p w14:paraId="5D20F96A">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 xml:space="preserve">投标人所投模组化路灯产品通过（GB 7000.1-2015）机械加载试验：                                                    </w:t>
            </w:r>
          </w:p>
          <w:p w14:paraId="208A17E1">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1、施加负载是灯具10倍重量的，且测试时长＞55000小时得</w:t>
            </w:r>
            <w:r>
              <w:rPr>
                <w:rFonts w:hint="eastAsia" w:ascii="宋体" w:hAnsi="宋体" w:cs="宋体"/>
                <w:szCs w:val="21"/>
                <w:lang w:val="en-US" w:eastAsia="zh-CN"/>
              </w:rPr>
              <w:t>2</w:t>
            </w:r>
            <w:r>
              <w:rPr>
                <w:rFonts w:hint="eastAsia" w:ascii="宋体" w:hAnsi="宋体" w:cs="宋体"/>
                <w:szCs w:val="21"/>
              </w:rPr>
              <w:t>分                                                        2、施加负载是灯具4倍重量的，且测试时长＞55000小时得</w:t>
            </w:r>
            <w:r>
              <w:rPr>
                <w:rFonts w:hint="eastAsia" w:ascii="宋体" w:hAnsi="宋体" w:cs="宋体"/>
                <w:szCs w:val="21"/>
                <w:lang w:val="en-US" w:eastAsia="zh-CN"/>
              </w:rPr>
              <w:t>1</w:t>
            </w:r>
            <w:r>
              <w:rPr>
                <w:rFonts w:hint="eastAsia" w:ascii="宋体" w:hAnsi="宋体" w:cs="宋体"/>
                <w:szCs w:val="21"/>
              </w:rPr>
              <w:t xml:space="preserve">分                                                   3、施加负载小于4倍灯具重量或测试时长少于55000小时（含）均不得分                                                                                                 有效证明材料：                                                                                                </w:t>
            </w:r>
          </w:p>
          <w:p w14:paraId="4D37BF4F">
            <w:pPr>
              <w:tabs>
                <w:tab w:val="left" w:pos="1899"/>
              </w:tabs>
              <w:adjustRightInd w:val="0"/>
              <w:snapToGrid w:val="0"/>
              <w:spacing w:line="360" w:lineRule="auto"/>
              <w:jc w:val="left"/>
              <w:rPr>
                <w:rFonts w:hint="eastAsia" w:ascii="宋体" w:hAnsi="宋体" w:eastAsia="宋体" w:cs="宋体"/>
                <w:szCs w:val="21"/>
                <w:lang w:eastAsia="zh-CN"/>
              </w:rPr>
            </w:pPr>
            <w:r>
              <w:rPr>
                <w:rFonts w:hint="eastAsia" w:ascii="宋体" w:hAnsi="宋体" w:cs="宋体"/>
                <w:szCs w:val="21"/>
                <w:lang w:val="en-US" w:eastAsia="zh-CN"/>
              </w:rPr>
              <w:t>1、</w:t>
            </w:r>
            <w:r>
              <w:rPr>
                <w:rFonts w:hint="eastAsia" w:ascii="宋体" w:hAnsi="宋体" w:cs="宋体"/>
                <w:szCs w:val="21"/>
              </w:rPr>
              <w:t>提供国家</w:t>
            </w:r>
            <w:r>
              <w:rPr>
                <w:rFonts w:hint="eastAsia" w:ascii="宋体" w:hAnsi="宋体" w:cs="宋体"/>
                <w:szCs w:val="21"/>
                <w:lang w:val="en-US" w:eastAsia="zh-CN"/>
              </w:rPr>
              <w:t>权威</w:t>
            </w:r>
            <w:r>
              <w:rPr>
                <w:rFonts w:hint="eastAsia" w:ascii="宋体" w:hAnsi="宋体" w:cs="宋体"/>
                <w:szCs w:val="21"/>
              </w:rPr>
              <w:t>检测机构出具的检测报告，提供报告复印件</w:t>
            </w:r>
            <w:r>
              <w:rPr>
                <w:rFonts w:hint="eastAsia" w:ascii="宋体" w:hAnsi="宋体" w:cs="宋体"/>
                <w:szCs w:val="21"/>
                <w:lang w:eastAsia="zh-CN"/>
              </w:rPr>
              <w:t>。</w:t>
            </w:r>
          </w:p>
        </w:tc>
        <w:tc>
          <w:tcPr>
            <w:tcW w:w="413" w:type="pct"/>
            <w:vAlign w:val="center"/>
          </w:tcPr>
          <w:p w14:paraId="76FCD267">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lang w:val="en-US" w:eastAsia="zh-CN"/>
              </w:rPr>
              <w:t>2</w:t>
            </w:r>
          </w:p>
        </w:tc>
      </w:tr>
      <w:tr w14:paraId="10B4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335" w:type="pct"/>
            <w:tcBorders>
              <w:right w:val="single" w:color="auto" w:sz="4" w:space="0"/>
            </w:tcBorders>
            <w:vAlign w:val="center"/>
          </w:tcPr>
          <w:p w14:paraId="03FD107E">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lang w:val="en-US" w:eastAsia="zh-CN"/>
              </w:rPr>
              <w:t>7</w:t>
            </w:r>
          </w:p>
        </w:tc>
        <w:tc>
          <w:tcPr>
            <w:tcW w:w="398" w:type="pct"/>
            <w:vMerge w:val="continue"/>
            <w:vAlign w:val="center"/>
          </w:tcPr>
          <w:p w14:paraId="53B34FDC">
            <w:pPr>
              <w:tabs>
                <w:tab w:val="left" w:pos="1899"/>
              </w:tabs>
              <w:adjustRightInd w:val="0"/>
              <w:snapToGrid w:val="0"/>
              <w:spacing w:before="100" w:after="50" w:line="360" w:lineRule="auto"/>
              <w:jc w:val="center"/>
              <w:rPr>
                <w:rFonts w:hint="eastAsia" w:ascii="宋体" w:hAnsi="宋体" w:cs="宋体"/>
              </w:rPr>
            </w:pPr>
          </w:p>
        </w:tc>
        <w:tc>
          <w:tcPr>
            <w:tcW w:w="616" w:type="pct"/>
            <w:tcBorders>
              <w:left w:val="single" w:color="auto" w:sz="4" w:space="0"/>
            </w:tcBorders>
            <w:vAlign w:val="center"/>
          </w:tcPr>
          <w:p w14:paraId="22284B48">
            <w:pPr>
              <w:tabs>
                <w:tab w:val="left" w:pos="1899"/>
              </w:tabs>
              <w:adjustRightInd w:val="0"/>
              <w:snapToGrid w:val="0"/>
              <w:spacing w:before="100" w:after="50" w:line="360" w:lineRule="auto"/>
              <w:rPr>
                <w:rFonts w:ascii="宋体" w:hAnsi="宋体" w:cs="宋体"/>
                <w:szCs w:val="21"/>
              </w:rPr>
            </w:pPr>
          </w:p>
          <w:p w14:paraId="73B646D9">
            <w:pPr>
              <w:tabs>
                <w:tab w:val="left" w:pos="1899"/>
              </w:tabs>
              <w:adjustRightInd w:val="0"/>
              <w:snapToGrid w:val="0"/>
              <w:spacing w:before="100" w:after="50" w:line="360" w:lineRule="auto"/>
              <w:rPr>
                <w:rFonts w:ascii="宋体" w:hAnsi="宋体" w:cs="宋体"/>
                <w:szCs w:val="21"/>
              </w:rPr>
            </w:pPr>
            <w:r>
              <w:rPr>
                <w:rFonts w:hint="eastAsia" w:ascii="宋体" w:hAnsi="宋体" w:cs="宋体"/>
                <w:szCs w:val="21"/>
              </w:rPr>
              <w:t>耐紫外（UV）老化试验</w:t>
            </w:r>
          </w:p>
          <w:p w14:paraId="17A6A68D">
            <w:pPr>
              <w:tabs>
                <w:tab w:val="left" w:pos="1899"/>
              </w:tabs>
              <w:adjustRightInd w:val="0"/>
              <w:snapToGrid w:val="0"/>
              <w:spacing w:before="100" w:after="50" w:line="360" w:lineRule="auto"/>
              <w:jc w:val="center"/>
              <w:rPr>
                <w:rFonts w:ascii="宋体" w:hAnsi="宋体" w:cs="宋体"/>
                <w:szCs w:val="21"/>
              </w:rPr>
            </w:pPr>
          </w:p>
          <w:p w14:paraId="0B5B0BFC">
            <w:pPr>
              <w:tabs>
                <w:tab w:val="left" w:pos="1899"/>
              </w:tabs>
              <w:adjustRightInd w:val="0"/>
              <w:snapToGrid w:val="0"/>
              <w:spacing w:before="100" w:after="50" w:line="360" w:lineRule="auto"/>
              <w:jc w:val="center"/>
              <w:rPr>
                <w:rFonts w:ascii="宋体" w:hAnsi="宋体" w:cs="宋体"/>
                <w:szCs w:val="21"/>
              </w:rPr>
            </w:pPr>
          </w:p>
          <w:p w14:paraId="7BBC4CB9">
            <w:pPr>
              <w:tabs>
                <w:tab w:val="left" w:pos="1899"/>
              </w:tabs>
              <w:adjustRightInd w:val="0"/>
              <w:snapToGrid w:val="0"/>
              <w:spacing w:before="100" w:after="50" w:line="360" w:lineRule="auto"/>
              <w:jc w:val="center"/>
              <w:rPr>
                <w:rFonts w:ascii="宋体" w:hAnsi="宋体" w:cs="宋体"/>
                <w:szCs w:val="21"/>
              </w:rPr>
            </w:pPr>
          </w:p>
        </w:tc>
        <w:tc>
          <w:tcPr>
            <w:tcW w:w="3237" w:type="pct"/>
            <w:vAlign w:val="center"/>
          </w:tcPr>
          <w:p w14:paraId="2B2B2DCD">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投标人所投模组化路灯产品通过（IEC 60079-0:2017、GB/T 9468-2008、IES LM-79-19）标准耐紫外UV光老化测试                                                    1、测试时间≥5000小时，且光通量维持率≥90%得3分</w:t>
            </w:r>
          </w:p>
          <w:p w14:paraId="088D86E5">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 xml:space="preserve">2、测试时间≥4000小时，且光通量维持率≥95%得2分                                                                         3、测试时间≥1500小时，且光通量维持率≥98%得1分 </w:t>
            </w:r>
          </w:p>
          <w:p w14:paraId="01E3AE62">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有效证明材料：</w:t>
            </w:r>
          </w:p>
          <w:p w14:paraId="727478E2">
            <w:pPr>
              <w:tabs>
                <w:tab w:val="left" w:pos="1899"/>
              </w:tabs>
              <w:adjustRightInd w:val="0"/>
              <w:snapToGrid w:val="0"/>
              <w:spacing w:line="360" w:lineRule="auto"/>
              <w:jc w:val="left"/>
              <w:rPr>
                <w:rFonts w:hint="eastAsia" w:ascii="宋体" w:hAnsi="宋体" w:eastAsia="宋体" w:cs="宋体"/>
                <w:szCs w:val="21"/>
                <w:lang w:eastAsia="zh-CN"/>
              </w:rPr>
            </w:pPr>
            <w:r>
              <w:rPr>
                <w:rFonts w:hint="eastAsia" w:ascii="宋体" w:hAnsi="宋体" w:cs="宋体"/>
                <w:szCs w:val="21"/>
                <w:lang w:val="en-US" w:eastAsia="zh-CN"/>
              </w:rPr>
              <w:t>1、</w:t>
            </w:r>
            <w:r>
              <w:rPr>
                <w:rFonts w:hint="eastAsia" w:ascii="宋体" w:hAnsi="宋体" w:cs="宋体"/>
                <w:szCs w:val="21"/>
              </w:rPr>
              <w:t>提供国家灯具质量检验检测中心或国家电光源质量监督检验中心出具的检测报告，提供报告复印件</w:t>
            </w:r>
            <w:r>
              <w:rPr>
                <w:rFonts w:hint="eastAsia" w:ascii="宋体" w:hAnsi="宋体" w:cs="宋体"/>
                <w:szCs w:val="21"/>
                <w:lang w:eastAsia="zh-CN"/>
              </w:rPr>
              <w:t>。</w:t>
            </w:r>
          </w:p>
        </w:tc>
        <w:tc>
          <w:tcPr>
            <w:tcW w:w="413" w:type="pct"/>
            <w:vAlign w:val="center"/>
          </w:tcPr>
          <w:p w14:paraId="7423B071">
            <w:pPr>
              <w:tabs>
                <w:tab w:val="left" w:pos="1899"/>
              </w:tabs>
              <w:adjustRightInd w:val="0"/>
              <w:snapToGrid w:val="0"/>
              <w:spacing w:before="100" w:after="50" w:line="360" w:lineRule="auto"/>
              <w:jc w:val="center"/>
              <w:rPr>
                <w:rFonts w:ascii="宋体" w:hAnsi="宋体" w:cs="宋体"/>
              </w:rPr>
            </w:pPr>
            <w:r>
              <w:rPr>
                <w:rFonts w:hint="eastAsia" w:ascii="宋体" w:hAnsi="宋体" w:cs="宋体"/>
              </w:rPr>
              <w:t>3</w:t>
            </w:r>
          </w:p>
        </w:tc>
      </w:tr>
      <w:tr w14:paraId="530B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4" w:hRule="atLeast"/>
        </w:trPr>
        <w:tc>
          <w:tcPr>
            <w:tcW w:w="335" w:type="pct"/>
            <w:tcBorders>
              <w:right w:val="single" w:color="auto" w:sz="4" w:space="0"/>
            </w:tcBorders>
            <w:vAlign w:val="center"/>
          </w:tcPr>
          <w:p w14:paraId="1C929E78">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lang w:val="en-US" w:eastAsia="zh-CN"/>
              </w:rPr>
              <w:t>8</w:t>
            </w:r>
          </w:p>
        </w:tc>
        <w:tc>
          <w:tcPr>
            <w:tcW w:w="398" w:type="pct"/>
            <w:vMerge w:val="continue"/>
            <w:vAlign w:val="center"/>
          </w:tcPr>
          <w:p w14:paraId="7E14D316">
            <w:pPr>
              <w:tabs>
                <w:tab w:val="left" w:pos="1899"/>
              </w:tabs>
              <w:adjustRightInd w:val="0"/>
              <w:snapToGrid w:val="0"/>
              <w:spacing w:before="100" w:after="50" w:line="360" w:lineRule="auto"/>
              <w:jc w:val="center"/>
              <w:rPr>
                <w:rFonts w:hint="eastAsia" w:ascii="宋体" w:hAnsi="宋体" w:cs="宋体"/>
              </w:rPr>
            </w:pPr>
          </w:p>
        </w:tc>
        <w:tc>
          <w:tcPr>
            <w:tcW w:w="616" w:type="pct"/>
            <w:tcBorders>
              <w:left w:val="single" w:color="auto" w:sz="4" w:space="0"/>
            </w:tcBorders>
            <w:vAlign w:val="center"/>
          </w:tcPr>
          <w:p w14:paraId="6C1E7746">
            <w:pPr>
              <w:tabs>
                <w:tab w:val="left" w:pos="1899"/>
              </w:tabs>
              <w:adjustRightInd w:val="0"/>
              <w:snapToGrid w:val="0"/>
              <w:spacing w:before="100" w:after="50" w:line="360" w:lineRule="auto"/>
              <w:jc w:val="center"/>
              <w:rPr>
                <w:rFonts w:ascii="宋体" w:hAnsi="宋体" w:cs="宋体"/>
                <w:szCs w:val="21"/>
              </w:rPr>
            </w:pPr>
          </w:p>
          <w:p w14:paraId="79163F51">
            <w:pPr>
              <w:tabs>
                <w:tab w:val="left" w:pos="1899"/>
              </w:tabs>
              <w:adjustRightInd w:val="0"/>
              <w:snapToGrid w:val="0"/>
              <w:spacing w:before="100" w:after="50" w:line="360" w:lineRule="auto"/>
              <w:jc w:val="center"/>
              <w:rPr>
                <w:rFonts w:ascii="宋体" w:hAnsi="宋体" w:cs="宋体"/>
                <w:szCs w:val="21"/>
              </w:rPr>
            </w:pPr>
            <w:r>
              <w:rPr>
                <w:rFonts w:hint="eastAsia" w:ascii="宋体" w:hAnsi="宋体" w:cs="宋体"/>
                <w:szCs w:val="21"/>
              </w:rPr>
              <w:t>风力试验</w:t>
            </w:r>
          </w:p>
          <w:p w14:paraId="2DCA244A">
            <w:pPr>
              <w:tabs>
                <w:tab w:val="left" w:pos="1899"/>
              </w:tabs>
              <w:adjustRightInd w:val="0"/>
              <w:snapToGrid w:val="0"/>
              <w:spacing w:before="100" w:after="50" w:line="360" w:lineRule="auto"/>
              <w:jc w:val="center"/>
              <w:rPr>
                <w:rFonts w:ascii="宋体" w:hAnsi="宋体" w:cs="宋体"/>
                <w:szCs w:val="21"/>
              </w:rPr>
            </w:pPr>
          </w:p>
          <w:p w14:paraId="452268A7">
            <w:pPr>
              <w:tabs>
                <w:tab w:val="left" w:pos="1899"/>
              </w:tabs>
              <w:adjustRightInd w:val="0"/>
              <w:snapToGrid w:val="0"/>
              <w:spacing w:before="100" w:after="50" w:line="360" w:lineRule="auto"/>
              <w:jc w:val="center"/>
              <w:rPr>
                <w:rFonts w:ascii="宋体" w:hAnsi="宋体" w:cs="宋体"/>
                <w:szCs w:val="21"/>
              </w:rPr>
            </w:pPr>
          </w:p>
        </w:tc>
        <w:tc>
          <w:tcPr>
            <w:tcW w:w="3237" w:type="pct"/>
            <w:vAlign w:val="center"/>
          </w:tcPr>
          <w:p w14:paraId="0E3B9E62">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 xml:space="preserve">投标人所投模组化路灯产品通过（GB 7000.1-2015 、GB 7000.203-2013）风力等级达到17级及以上的风力试验(安装高度&gt;15m，v=67m/s)，试验后灯具无损坏、移位变形现象得2分； 风力等级达到16级的风力试验（安装高度≤15m,风速v=52m/s)，试验后灯具无损坏、移位变形现象得1分, 低于或者没有以上等级报告的不得分。                                                                            </w:t>
            </w:r>
          </w:p>
          <w:p w14:paraId="02134E82">
            <w:pPr>
              <w:tabs>
                <w:tab w:val="left" w:pos="1899"/>
              </w:tabs>
              <w:adjustRightInd w:val="0"/>
              <w:snapToGrid w:val="0"/>
              <w:spacing w:line="360" w:lineRule="auto"/>
              <w:jc w:val="left"/>
              <w:rPr>
                <w:rFonts w:hint="default" w:ascii="宋体" w:hAnsi="宋体" w:cs="宋体"/>
                <w:szCs w:val="21"/>
                <w:lang w:val="en-US" w:eastAsia="zh-CN"/>
              </w:rPr>
            </w:pPr>
            <w:r>
              <w:rPr>
                <w:rFonts w:hint="eastAsia" w:ascii="宋体" w:hAnsi="宋体" w:cs="宋体"/>
                <w:szCs w:val="21"/>
              </w:rPr>
              <w:t xml:space="preserve">有效证明材料：                                                                                                         </w:t>
            </w:r>
          </w:p>
          <w:p w14:paraId="0DC61B6A">
            <w:pPr>
              <w:tabs>
                <w:tab w:val="left" w:pos="1899"/>
              </w:tabs>
              <w:adjustRightInd w:val="0"/>
              <w:snapToGrid w:val="0"/>
              <w:spacing w:line="360" w:lineRule="auto"/>
              <w:jc w:val="left"/>
              <w:rPr>
                <w:rFonts w:hint="eastAsia" w:ascii="宋体" w:hAnsi="宋体" w:eastAsia="宋体" w:cs="宋体"/>
                <w:szCs w:val="21"/>
                <w:lang w:eastAsia="zh-CN"/>
              </w:rPr>
            </w:pPr>
            <w:r>
              <w:rPr>
                <w:rFonts w:hint="eastAsia" w:ascii="宋体" w:hAnsi="宋体" w:cs="宋体"/>
                <w:szCs w:val="21"/>
                <w:lang w:val="en-US" w:eastAsia="zh-CN"/>
              </w:rPr>
              <w:t>1、</w:t>
            </w:r>
            <w:r>
              <w:rPr>
                <w:rFonts w:hint="eastAsia" w:ascii="宋体" w:hAnsi="宋体" w:cs="宋体"/>
                <w:szCs w:val="21"/>
              </w:rPr>
              <w:t>提供国家灯具质量检验检测中心或国家电光源质量监督检验中心出具的检测报告，提供报告复印件</w:t>
            </w:r>
            <w:r>
              <w:rPr>
                <w:rFonts w:hint="eastAsia" w:ascii="宋体" w:hAnsi="宋体" w:cs="宋体"/>
                <w:szCs w:val="21"/>
                <w:lang w:eastAsia="zh-CN"/>
              </w:rPr>
              <w:t>。</w:t>
            </w:r>
          </w:p>
        </w:tc>
        <w:tc>
          <w:tcPr>
            <w:tcW w:w="413" w:type="pct"/>
            <w:vAlign w:val="center"/>
          </w:tcPr>
          <w:p w14:paraId="717BC62A">
            <w:pPr>
              <w:tabs>
                <w:tab w:val="left" w:pos="1899"/>
              </w:tabs>
              <w:adjustRightInd w:val="0"/>
              <w:snapToGrid w:val="0"/>
              <w:spacing w:before="100" w:after="50" w:line="360" w:lineRule="auto"/>
              <w:jc w:val="center"/>
              <w:rPr>
                <w:rFonts w:ascii="宋体" w:hAnsi="宋体" w:cs="宋体"/>
              </w:rPr>
            </w:pPr>
            <w:r>
              <w:rPr>
                <w:rFonts w:hint="eastAsia" w:ascii="宋体" w:hAnsi="宋体" w:cs="宋体"/>
              </w:rPr>
              <w:t>2</w:t>
            </w:r>
          </w:p>
        </w:tc>
      </w:tr>
      <w:tr w14:paraId="11A2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trPr>
        <w:tc>
          <w:tcPr>
            <w:tcW w:w="335" w:type="pct"/>
            <w:tcBorders>
              <w:right w:val="single" w:color="auto" w:sz="4" w:space="0"/>
            </w:tcBorders>
            <w:vAlign w:val="center"/>
          </w:tcPr>
          <w:p w14:paraId="471141CE">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lang w:val="en-US" w:eastAsia="zh-CN"/>
              </w:rPr>
              <w:t>9</w:t>
            </w:r>
          </w:p>
        </w:tc>
        <w:tc>
          <w:tcPr>
            <w:tcW w:w="398" w:type="pct"/>
            <w:vMerge w:val="continue"/>
            <w:vAlign w:val="center"/>
          </w:tcPr>
          <w:p w14:paraId="5F90915A">
            <w:pPr>
              <w:tabs>
                <w:tab w:val="left" w:pos="1899"/>
              </w:tabs>
              <w:adjustRightInd w:val="0"/>
              <w:snapToGrid w:val="0"/>
              <w:spacing w:before="100" w:after="50" w:line="360" w:lineRule="auto"/>
              <w:jc w:val="center"/>
              <w:rPr>
                <w:rFonts w:hint="eastAsia" w:ascii="宋体" w:hAnsi="宋体" w:cs="宋体"/>
              </w:rPr>
            </w:pPr>
          </w:p>
        </w:tc>
        <w:tc>
          <w:tcPr>
            <w:tcW w:w="616" w:type="pct"/>
            <w:tcBorders>
              <w:left w:val="single" w:color="auto" w:sz="4" w:space="0"/>
            </w:tcBorders>
            <w:vAlign w:val="center"/>
          </w:tcPr>
          <w:p w14:paraId="4AF3F335">
            <w:pPr>
              <w:tabs>
                <w:tab w:val="left" w:pos="1899"/>
              </w:tabs>
              <w:adjustRightInd w:val="0"/>
              <w:snapToGrid w:val="0"/>
              <w:spacing w:before="100" w:after="50" w:line="360" w:lineRule="auto"/>
              <w:jc w:val="center"/>
              <w:rPr>
                <w:rFonts w:ascii="宋体" w:hAnsi="宋体" w:cs="宋体"/>
                <w:szCs w:val="21"/>
              </w:rPr>
            </w:pPr>
            <w:r>
              <w:rPr>
                <w:rFonts w:hint="eastAsia" w:ascii="宋体" w:hAnsi="宋体" w:cs="宋体"/>
                <w:szCs w:val="21"/>
              </w:rPr>
              <w:t>IP防护等级</w:t>
            </w:r>
          </w:p>
        </w:tc>
        <w:tc>
          <w:tcPr>
            <w:tcW w:w="3237" w:type="pct"/>
            <w:vAlign w:val="center"/>
          </w:tcPr>
          <w:p w14:paraId="7F34558D">
            <w:pPr>
              <w:tabs>
                <w:tab w:val="left" w:pos="1899"/>
              </w:tabs>
              <w:adjustRightInd w:val="0"/>
              <w:snapToGrid w:val="0"/>
              <w:spacing w:line="360" w:lineRule="auto"/>
              <w:jc w:val="left"/>
              <w:rPr>
                <w:rFonts w:hint="eastAsia" w:ascii="宋体" w:hAnsi="宋体" w:eastAsia="宋体" w:cs="宋体"/>
                <w:szCs w:val="21"/>
                <w:highlight w:val="yellow"/>
                <w:lang w:eastAsia="zh-CN"/>
              </w:rPr>
            </w:pPr>
            <w:r>
              <w:rPr>
                <w:rFonts w:hint="eastAsia" w:ascii="宋体" w:hAnsi="宋体" w:cs="宋体"/>
                <w:szCs w:val="21"/>
              </w:rPr>
              <w:t>投标人所投模组化路灯产品通过（GB 7000.1-2015、GB 7000.203-2013）测试标准，</w:t>
            </w:r>
            <w:r>
              <w:rPr>
                <w:rFonts w:hint="eastAsia" w:ascii="宋体" w:hAnsi="宋体" w:cs="宋体"/>
                <w:szCs w:val="21"/>
                <w:highlight w:val="none"/>
              </w:rPr>
              <w:t>试验后灯具防护等级≥IP68得</w:t>
            </w:r>
            <w:r>
              <w:rPr>
                <w:rFonts w:hint="eastAsia" w:ascii="宋体" w:hAnsi="宋体" w:cs="宋体"/>
                <w:szCs w:val="21"/>
                <w:highlight w:val="none"/>
                <w:lang w:val="en-US" w:eastAsia="zh-CN"/>
              </w:rPr>
              <w:t>2</w:t>
            </w:r>
            <w:r>
              <w:rPr>
                <w:rFonts w:hint="eastAsia" w:ascii="宋体" w:hAnsi="宋体" w:cs="宋体"/>
                <w:szCs w:val="21"/>
                <w:highlight w:val="none"/>
              </w:rPr>
              <w:t>分，IP6</w:t>
            </w:r>
            <w:r>
              <w:rPr>
                <w:rFonts w:hint="eastAsia" w:ascii="宋体" w:hAnsi="宋体" w:cs="宋体"/>
                <w:szCs w:val="21"/>
                <w:highlight w:val="none"/>
                <w:lang w:val="en-US" w:eastAsia="zh-CN"/>
              </w:rPr>
              <w:t>7</w:t>
            </w:r>
            <w:r>
              <w:rPr>
                <w:rFonts w:hint="eastAsia" w:ascii="宋体" w:hAnsi="宋体" w:cs="宋体"/>
                <w:szCs w:val="21"/>
                <w:highlight w:val="none"/>
              </w:rPr>
              <w:t>得</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eastAsia="zh-CN"/>
              </w:rPr>
              <w:t>。</w:t>
            </w:r>
          </w:p>
          <w:p w14:paraId="22824DE8">
            <w:pPr>
              <w:tabs>
                <w:tab w:val="left" w:pos="1899"/>
              </w:tabs>
              <w:adjustRightInd w:val="0"/>
              <w:snapToGrid w:val="0"/>
              <w:spacing w:line="360" w:lineRule="auto"/>
              <w:jc w:val="left"/>
              <w:rPr>
                <w:rFonts w:hint="default" w:ascii="宋体" w:hAnsi="宋体" w:cs="宋体"/>
                <w:szCs w:val="21"/>
                <w:lang w:val="en-US" w:eastAsia="zh-CN"/>
              </w:rPr>
            </w:pPr>
            <w:r>
              <w:rPr>
                <w:rFonts w:hint="eastAsia" w:ascii="宋体" w:hAnsi="宋体" w:cs="宋体"/>
                <w:szCs w:val="21"/>
              </w:rPr>
              <w:t xml:space="preserve">有效证明材料：                                                                                                    </w:t>
            </w:r>
          </w:p>
          <w:p w14:paraId="3673FA80">
            <w:pPr>
              <w:tabs>
                <w:tab w:val="left" w:pos="1899"/>
              </w:tabs>
              <w:adjustRightInd w:val="0"/>
              <w:snapToGrid w:val="0"/>
              <w:spacing w:line="360" w:lineRule="auto"/>
              <w:jc w:val="left"/>
              <w:rPr>
                <w:rFonts w:hint="eastAsia" w:ascii="宋体" w:hAnsi="宋体" w:eastAsia="宋体" w:cs="宋体"/>
                <w:szCs w:val="21"/>
                <w:lang w:eastAsia="zh-CN"/>
              </w:rPr>
            </w:pPr>
            <w:r>
              <w:rPr>
                <w:rFonts w:hint="eastAsia" w:ascii="宋体" w:hAnsi="宋体" w:cs="宋体"/>
                <w:szCs w:val="21"/>
                <w:lang w:val="en-US" w:eastAsia="zh-CN"/>
              </w:rPr>
              <w:t>1、</w:t>
            </w:r>
            <w:r>
              <w:rPr>
                <w:rFonts w:hint="eastAsia" w:ascii="宋体" w:hAnsi="宋体" w:cs="宋体"/>
                <w:szCs w:val="21"/>
              </w:rPr>
              <w:t>提供国家灯具质量检验检测中心或国家电光源质量监督检验中心出具的检测报告，提供报告复印件</w:t>
            </w:r>
            <w:r>
              <w:rPr>
                <w:rFonts w:hint="eastAsia" w:ascii="宋体" w:hAnsi="宋体" w:cs="宋体"/>
                <w:szCs w:val="21"/>
                <w:lang w:eastAsia="zh-CN"/>
              </w:rPr>
              <w:t>。</w:t>
            </w:r>
          </w:p>
        </w:tc>
        <w:tc>
          <w:tcPr>
            <w:tcW w:w="413" w:type="pct"/>
            <w:vAlign w:val="center"/>
          </w:tcPr>
          <w:p w14:paraId="13BE02FF">
            <w:pPr>
              <w:tabs>
                <w:tab w:val="left" w:pos="1899"/>
              </w:tabs>
              <w:adjustRightInd w:val="0"/>
              <w:snapToGrid w:val="0"/>
              <w:spacing w:before="100" w:after="50" w:line="360" w:lineRule="auto"/>
              <w:jc w:val="center"/>
              <w:rPr>
                <w:rFonts w:ascii="宋体" w:hAnsi="宋体" w:cs="宋体"/>
              </w:rPr>
            </w:pPr>
            <w:r>
              <w:rPr>
                <w:rFonts w:hint="eastAsia" w:ascii="宋体" w:hAnsi="宋体" w:cs="宋体"/>
              </w:rPr>
              <w:t>2</w:t>
            </w:r>
          </w:p>
        </w:tc>
      </w:tr>
      <w:tr w14:paraId="7248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335" w:type="pct"/>
            <w:tcBorders>
              <w:right w:val="single" w:color="auto" w:sz="4" w:space="0"/>
            </w:tcBorders>
            <w:vAlign w:val="center"/>
          </w:tcPr>
          <w:p w14:paraId="69B8A47D">
            <w:pPr>
              <w:tabs>
                <w:tab w:val="left" w:pos="1899"/>
              </w:tabs>
              <w:adjustRightInd w:val="0"/>
              <w:snapToGrid w:val="0"/>
              <w:spacing w:before="100" w:after="50" w:line="360" w:lineRule="auto"/>
              <w:jc w:val="center"/>
              <w:rPr>
                <w:rFonts w:hint="default" w:ascii="宋体" w:hAnsi="宋体" w:eastAsia="宋体" w:cs="宋体"/>
                <w:lang w:val="en-US" w:eastAsia="zh-CN"/>
              </w:rPr>
            </w:pPr>
            <w:r>
              <w:rPr>
                <w:rFonts w:hint="eastAsia" w:ascii="宋体" w:hAnsi="宋体" w:cs="宋体"/>
                <w:lang w:val="en-US" w:eastAsia="zh-CN"/>
              </w:rPr>
              <w:t>10</w:t>
            </w:r>
          </w:p>
        </w:tc>
        <w:tc>
          <w:tcPr>
            <w:tcW w:w="398" w:type="pct"/>
            <w:vMerge w:val="continue"/>
            <w:vAlign w:val="center"/>
          </w:tcPr>
          <w:p w14:paraId="47AD235D">
            <w:pPr>
              <w:tabs>
                <w:tab w:val="left" w:pos="1899"/>
              </w:tabs>
              <w:adjustRightInd w:val="0"/>
              <w:snapToGrid w:val="0"/>
              <w:spacing w:before="100" w:after="50" w:line="360" w:lineRule="auto"/>
              <w:jc w:val="center"/>
              <w:rPr>
                <w:rFonts w:hint="eastAsia" w:ascii="宋体" w:hAnsi="宋体" w:cs="宋体"/>
              </w:rPr>
            </w:pPr>
          </w:p>
        </w:tc>
        <w:tc>
          <w:tcPr>
            <w:tcW w:w="616" w:type="pct"/>
            <w:tcBorders>
              <w:left w:val="single" w:color="auto" w:sz="4" w:space="0"/>
            </w:tcBorders>
            <w:vAlign w:val="center"/>
          </w:tcPr>
          <w:p w14:paraId="2A774742">
            <w:pPr>
              <w:tabs>
                <w:tab w:val="left" w:pos="1899"/>
              </w:tabs>
              <w:adjustRightInd w:val="0"/>
              <w:snapToGrid w:val="0"/>
              <w:spacing w:before="100" w:after="50" w:line="360" w:lineRule="auto"/>
              <w:jc w:val="center"/>
              <w:rPr>
                <w:rFonts w:ascii="宋体" w:hAnsi="宋体" w:cs="宋体"/>
                <w:szCs w:val="21"/>
                <w:highlight w:val="none"/>
              </w:rPr>
            </w:pPr>
            <w:r>
              <w:rPr>
                <w:rFonts w:hint="eastAsia" w:ascii="宋体" w:hAnsi="宋体" w:cs="宋体"/>
                <w:szCs w:val="21"/>
                <w:highlight w:val="none"/>
              </w:rPr>
              <w:t>电气和光学</w:t>
            </w:r>
          </w:p>
        </w:tc>
        <w:tc>
          <w:tcPr>
            <w:tcW w:w="3237" w:type="pct"/>
            <w:vAlign w:val="center"/>
          </w:tcPr>
          <w:p w14:paraId="2B2B3189">
            <w:pPr>
              <w:tabs>
                <w:tab w:val="left" w:pos="1899"/>
              </w:tabs>
              <w:adjustRightInd w:val="0"/>
              <w:snapToGrid w:val="0"/>
              <w:spacing w:line="360" w:lineRule="auto"/>
              <w:jc w:val="left"/>
              <w:rPr>
                <w:rFonts w:hint="eastAsia" w:ascii="宋体" w:hAnsi="宋体" w:cs="宋体"/>
                <w:szCs w:val="21"/>
                <w:highlight w:val="none"/>
              </w:rPr>
            </w:pPr>
            <w:r>
              <w:rPr>
                <w:rFonts w:hint="eastAsia" w:ascii="宋体" w:hAnsi="宋体" w:cs="宋体"/>
                <w:szCs w:val="21"/>
                <w:highlight w:val="none"/>
              </w:rPr>
              <w:t xml:space="preserve">电气和光学：投标人所投模组化路灯产品满足色温3000K±100K、色容差＜6 、能效等级（电源效率）＞88% 条件下： </w:t>
            </w:r>
          </w:p>
          <w:p w14:paraId="36E095A8">
            <w:pPr>
              <w:tabs>
                <w:tab w:val="left" w:pos="1899"/>
              </w:tabs>
              <w:adjustRightInd w:val="0"/>
              <w:snapToGrid w:val="0"/>
              <w:spacing w:line="360" w:lineRule="auto"/>
              <w:jc w:val="left"/>
              <w:rPr>
                <w:rFonts w:hint="eastAsia" w:ascii="宋体" w:hAnsi="宋体" w:cs="宋体"/>
                <w:szCs w:val="21"/>
                <w:highlight w:val="none"/>
              </w:rPr>
            </w:pPr>
            <w:r>
              <w:rPr>
                <w:rFonts w:hint="eastAsia" w:ascii="宋体" w:hAnsi="宋体" w:cs="宋体"/>
                <w:szCs w:val="21"/>
                <w:highlight w:val="none"/>
              </w:rPr>
              <w:t>1、光效＞180 LM/W得2分</w:t>
            </w:r>
          </w:p>
          <w:p w14:paraId="5D88FD68">
            <w:pPr>
              <w:tabs>
                <w:tab w:val="left" w:pos="1899"/>
              </w:tabs>
              <w:adjustRightInd w:val="0"/>
              <w:snapToGrid w:val="0"/>
              <w:spacing w:line="360" w:lineRule="auto"/>
              <w:jc w:val="left"/>
              <w:rPr>
                <w:rFonts w:hint="eastAsia" w:ascii="宋体" w:hAnsi="宋体" w:cs="宋体"/>
                <w:szCs w:val="21"/>
                <w:highlight w:val="none"/>
              </w:rPr>
            </w:pPr>
            <w:r>
              <w:rPr>
                <w:rFonts w:hint="eastAsia" w:ascii="宋体" w:hAnsi="宋体" w:cs="宋体"/>
                <w:szCs w:val="21"/>
                <w:highlight w:val="none"/>
              </w:rPr>
              <w:t>2、光效＞170 LM/W得1.5分</w:t>
            </w:r>
          </w:p>
          <w:p w14:paraId="1E507744">
            <w:pPr>
              <w:tabs>
                <w:tab w:val="left" w:pos="1899"/>
              </w:tabs>
              <w:adjustRightInd w:val="0"/>
              <w:snapToGrid w:val="0"/>
              <w:spacing w:line="360" w:lineRule="auto"/>
              <w:jc w:val="left"/>
              <w:rPr>
                <w:rFonts w:hint="eastAsia" w:ascii="宋体" w:hAnsi="宋体" w:cs="宋体"/>
                <w:szCs w:val="21"/>
                <w:highlight w:val="none"/>
              </w:rPr>
            </w:pPr>
            <w:r>
              <w:rPr>
                <w:rFonts w:hint="eastAsia" w:ascii="宋体" w:hAnsi="宋体" w:cs="宋体"/>
                <w:szCs w:val="21"/>
                <w:highlight w:val="none"/>
              </w:rPr>
              <w:t>3、光效＞160 LM/W得1分</w:t>
            </w:r>
          </w:p>
          <w:p w14:paraId="62CA1A1B">
            <w:pPr>
              <w:tabs>
                <w:tab w:val="left" w:pos="1899"/>
              </w:tabs>
              <w:adjustRightInd w:val="0"/>
              <w:snapToGrid w:val="0"/>
              <w:spacing w:line="360" w:lineRule="auto"/>
              <w:jc w:val="left"/>
              <w:rPr>
                <w:rFonts w:hint="default" w:ascii="宋体" w:hAnsi="宋体" w:cs="宋体"/>
                <w:szCs w:val="21"/>
                <w:lang w:val="en-US" w:eastAsia="zh-CN"/>
              </w:rPr>
            </w:pPr>
            <w:r>
              <w:rPr>
                <w:rFonts w:hint="eastAsia" w:ascii="宋体" w:hAnsi="宋体" w:cs="宋体"/>
                <w:szCs w:val="21"/>
                <w:highlight w:val="none"/>
              </w:rPr>
              <w:t xml:space="preserve">有效证明材料：                                                                                                   </w:t>
            </w:r>
          </w:p>
          <w:p w14:paraId="303EE5E5">
            <w:pPr>
              <w:tabs>
                <w:tab w:val="left" w:pos="1899"/>
              </w:tabs>
              <w:adjustRightInd w:val="0"/>
              <w:snapToGrid w:val="0"/>
              <w:spacing w:line="360" w:lineRule="auto"/>
              <w:jc w:val="left"/>
              <w:rPr>
                <w:rFonts w:hint="eastAsia" w:ascii="宋体" w:hAnsi="宋体" w:eastAsia="宋体" w:cs="宋体"/>
                <w:strike/>
                <w:szCs w:val="21"/>
                <w:highlight w:val="none"/>
                <w:lang w:eastAsia="zh-CN"/>
              </w:rPr>
            </w:pPr>
            <w:r>
              <w:rPr>
                <w:rFonts w:hint="eastAsia" w:ascii="宋体" w:hAnsi="宋体" w:cs="宋体"/>
                <w:szCs w:val="21"/>
                <w:highlight w:val="none"/>
                <w:lang w:val="en-US" w:eastAsia="zh-CN"/>
              </w:rPr>
              <w:t>1、</w:t>
            </w:r>
            <w:r>
              <w:rPr>
                <w:rFonts w:hint="eastAsia" w:ascii="宋体" w:hAnsi="宋体" w:cs="宋体"/>
                <w:szCs w:val="21"/>
                <w:highlight w:val="none"/>
              </w:rPr>
              <w:t>提供国家灯具质量检验检测中心或国家电光源质量监督检验中心出具的检测报告，提供报告复印件</w:t>
            </w:r>
            <w:r>
              <w:rPr>
                <w:rFonts w:hint="eastAsia" w:ascii="宋体" w:hAnsi="宋体" w:cs="宋体"/>
                <w:szCs w:val="21"/>
                <w:highlight w:val="none"/>
                <w:lang w:eastAsia="zh-CN"/>
              </w:rPr>
              <w:t>。</w:t>
            </w:r>
          </w:p>
        </w:tc>
        <w:tc>
          <w:tcPr>
            <w:tcW w:w="413" w:type="pct"/>
            <w:vAlign w:val="center"/>
          </w:tcPr>
          <w:p w14:paraId="36BAEA81">
            <w:pPr>
              <w:tabs>
                <w:tab w:val="left" w:pos="1899"/>
              </w:tabs>
              <w:adjustRightInd w:val="0"/>
              <w:snapToGrid w:val="0"/>
              <w:spacing w:before="100" w:after="50" w:line="360" w:lineRule="auto"/>
              <w:jc w:val="center"/>
              <w:rPr>
                <w:rFonts w:ascii="宋体" w:hAnsi="宋体" w:cs="宋体"/>
              </w:rPr>
            </w:pPr>
            <w:r>
              <w:rPr>
                <w:rFonts w:hint="eastAsia" w:ascii="宋体" w:hAnsi="宋体" w:cs="宋体"/>
              </w:rPr>
              <w:t>2</w:t>
            </w:r>
          </w:p>
        </w:tc>
      </w:tr>
      <w:tr w14:paraId="01EE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335" w:type="pct"/>
            <w:tcBorders>
              <w:right w:val="single" w:color="auto" w:sz="4" w:space="0"/>
            </w:tcBorders>
            <w:vAlign w:val="center"/>
          </w:tcPr>
          <w:p w14:paraId="48904F46">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1</w:t>
            </w:r>
          </w:p>
        </w:tc>
        <w:tc>
          <w:tcPr>
            <w:tcW w:w="398" w:type="pct"/>
            <w:vMerge w:val="continue"/>
            <w:vAlign w:val="center"/>
          </w:tcPr>
          <w:p w14:paraId="5524E872">
            <w:pPr>
              <w:tabs>
                <w:tab w:val="left" w:pos="1899"/>
              </w:tabs>
              <w:adjustRightInd w:val="0"/>
              <w:snapToGrid w:val="0"/>
              <w:spacing w:before="100" w:after="50" w:line="360" w:lineRule="auto"/>
              <w:jc w:val="center"/>
              <w:rPr>
                <w:rFonts w:hint="eastAsia" w:ascii="宋体" w:hAnsi="宋体" w:cs="宋体"/>
              </w:rPr>
            </w:pPr>
          </w:p>
        </w:tc>
        <w:tc>
          <w:tcPr>
            <w:tcW w:w="616" w:type="pct"/>
            <w:tcBorders>
              <w:left w:val="single" w:color="auto" w:sz="4" w:space="0"/>
            </w:tcBorders>
            <w:vAlign w:val="center"/>
          </w:tcPr>
          <w:p w14:paraId="74899FAF">
            <w:pPr>
              <w:tabs>
                <w:tab w:val="left" w:pos="1899"/>
              </w:tabs>
              <w:adjustRightInd w:val="0"/>
              <w:snapToGrid w:val="0"/>
              <w:spacing w:before="100" w:after="50" w:line="360" w:lineRule="auto"/>
              <w:jc w:val="center"/>
              <w:rPr>
                <w:rFonts w:ascii="宋体" w:hAnsi="宋体" w:cs="宋体"/>
                <w:szCs w:val="21"/>
                <w:highlight w:val="none"/>
              </w:rPr>
            </w:pPr>
            <w:r>
              <w:rPr>
                <w:rFonts w:hint="eastAsia" w:ascii="宋体" w:hAnsi="宋体" w:cs="宋体"/>
                <w:szCs w:val="21"/>
                <w:highlight w:val="none"/>
              </w:rPr>
              <w:t>WF2防腐认证</w:t>
            </w:r>
          </w:p>
        </w:tc>
        <w:tc>
          <w:tcPr>
            <w:tcW w:w="3237" w:type="pct"/>
            <w:vAlign w:val="center"/>
          </w:tcPr>
          <w:p w14:paraId="17AE39C8">
            <w:pPr>
              <w:tabs>
                <w:tab w:val="left" w:pos="1899"/>
              </w:tabs>
              <w:adjustRightInd w:val="0"/>
              <w:snapToGrid w:val="0"/>
              <w:spacing w:line="360" w:lineRule="auto"/>
              <w:jc w:val="left"/>
              <w:rPr>
                <w:rFonts w:hint="eastAsia" w:ascii="宋体" w:hAnsi="宋体" w:cs="宋体"/>
                <w:szCs w:val="21"/>
                <w:highlight w:val="none"/>
              </w:rPr>
            </w:pPr>
            <w:r>
              <w:rPr>
                <w:rFonts w:hint="eastAsia" w:ascii="宋体" w:hAnsi="宋体" w:cs="宋体"/>
                <w:szCs w:val="21"/>
              </w:rPr>
              <w:t>投标人所投</w:t>
            </w:r>
            <w:r>
              <w:rPr>
                <w:rFonts w:hint="eastAsia" w:ascii="宋体" w:hAnsi="宋体" w:cs="宋体"/>
                <w:szCs w:val="21"/>
                <w:highlight w:val="none"/>
              </w:rPr>
              <w:t>LED灯具</w:t>
            </w:r>
            <w:r>
              <w:rPr>
                <w:rFonts w:hint="eastAsia" w:ascii="宋体" w:hAnsi="宋体" w:cs="宋体"/>
                <w:szCs w:val="21"/>
                <w:highlight w:val="none"/>
                <w:lang w:eastAsia="zh-CN"/>
              </w:rPr>
              <w:t>，</w:t>
            </w:r>
            <w:r>
              <w:rPr>
                <w:rFonts w:hint="eastAsia" w:ascii="宋体" w:hAnsi="宋体" w:cs="宋体"/>
                <w:szCs w:val="21"/>
                <w:highlight w:val="none"/>
              </w:rPr>
              <w:t>制造商生产的路灯产品获得CQC产品认证证书，且灯具使用温度Ta≥55℃的，灯具应具有控制端口调光功能和防腐性能，防腐等级应为WF2，得</w:t>
            </w:r>
            <w:r>
              <w:rPr>
                <w:rFonts w:hint="eastAsia" w:ascii="宋体" w:hAnsi="宋体" w:cs="宋体"/>
                <w:szCs w:val="21"/>
                <w:highlight w:val="none"/>
                <w:lang w:val="en-US" w:eastAsia="zh-CN"/>
              </w:rPr>
              <w:t>2</w:t>
            </w:r>
            <w:r>
              <w:rPr>
                <w:rFonts w:hint="eastAsia" w:ascii="宋体" w:hAnsi="宋体" w:cs="宋体"/>
                <w:szCs w:val="21"/>
                <w:highlight w:val="none"/>
              </w:rPr>
              <w:t xml:space="preserve">分，没有不得分。    </w:t>
            </w:r>
          </w:p>
          <w:p w14:paraId="026366D6">
            <w:pPr>
              <w:tabs>
                <w:tab w:val="left" w:pos="1899"/>
              </w:tabs>
              <w:adjustRightInd w:val="0"/>
              <w:snapToGrid w:val="0"/>
              <w:spacing w:line="360" w:lineRule="auto"/>
              <w:jc w:val="left"/>
              <w:rPr>
                <w:rFonts w:hint="eastAsia" w:ascii="宋体" w:hAnsi="宋体" w:cs="宋体"/>
                <w:szCs w:val="21"/>
                <w:highlight w:val="none"/>
              </w:rPr>
            </w:pPr>
            <w:r>
              <w:rPr>
                <w:rFonts w:hint="eastAsia" w:ascii="宋体" w:hAnsi="宋体" w:cs="宋体"/>
                <w:szCs w:val="21"/>
                <w:highlight w:val="none"/>
              </w:rPr>
              <w:t xml:space="preserve">有效证明材料：                                                                                    </w:t>
            </w:r>
          </w:p>
          <w:p w14:paraId="499D35DE">
            <w:pPr>
              <w:tabs>
                <w:tab w:val="left" w:pos="1899"/>
              </w:tabs>
              <w:adjustRightInd w:val="0"/>
              <w:snapToGrid w:val="0"/>
              <w:spacing w:line="360" w:lineRule="auto"/>
              <w:jc w:val="left"/>
              <w:rPr>
                <w:rFonts w:hint="eastAsia" w:ascii="宋体" w:hAnsi="宋体" w:eastAsia="宋体" w:cs="宋体"/>
                <w:szCs w:val="21"/>
                <w:highlight w:val="none"/>
                <w:lang w:eastAsia="zh-CN"/>
              </w:rPr>
            </w:pPr>
            <w:r>
              <w:rPr>
                <w:rFonts w:hint="eastAsia" w:ascii="宋体" w:hAnsi="宋体" w:cs="宋体"/>
                <w:szCs w:val="21"/>
                <w:highlight w:val="none"/>
              </w:rPr>
              <w:t>提供证书复印件及全国认证认可信息公共服务平台官网截图</w:t>
            </w:r>
            <w:r>
              <w:rPr>
                <w:rFonts w:hint="eastAsia" w:ascii="宋体" w:hAnsi="宋体" w:cs="宋体"/>
                <w:szCs w:val="21"/>
                <w:highlight w:val="none"/>
                <w:lang w:eastAsia="zh-CN"/>
              </w:rPr>
              <w:t>。</w:t>
            </w:r>
          </w:p>
        </w:tc>
        <w:tc>
          <w:tcPr>
            <w:tcW w:w="413" w:type="pct"/>
            <w:vAlign w:val="center"/>
          </w:tcPr>
          <w:p w14:paraId="587F9929">
            <w:pPr>
              <w:tabs>
                <w:tab w:val="left" w:pos="1899"/>
              </w:tabs>
              <w:adjustRightInd w:val="0"/>
              <w:snapToGrid w:val="0"/>
              <w:spacing w:before="100" w:after="50" w:line="360" w:lineRule="auto"/>
              <w:jc w:val="center"/>
              <w:rPr>
                <w:rFonts w:ascii="宋体" w:hAnsi="宋体" w:cs="宋体"/>
              </w:rPr>
            </w:pPr>
            <w:r>
              <w:rPr>
                <w:rFonts w:hint="eastAsia" w:ascii="宋体" w:hAnsi="宋体" w:cs="宋体"/>
              </w:rPr>
              <w:t>2</w:t>
            </w:r>
          </w:p>
        </w:tc>
      </w:tr>
      <w:tr w14:paraId="21EF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335" w:type="pct"/>
            <w:tcBorders>
              <w:right w:val="single" w:color="auto" w:sz="4" w:space="0"/>
            </w:tcBorders>
            <w:vAlign w:val="center"/>
          </w:tcPr>
          <w:p w14:paraId="23D24B6E">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2</w:t>
            </w:r>
          </w:p>
        </w:tc>
        <w:tc>
          <w:tcPr>
            <w:tcW w:w="398" w:type="pct"/>
            <w:vMerge w:val="continue"/>
            <w:vAlign w:val="center"/>
          </w:tcPr>
          <w:p w14:paraId="67A333EA">
            <w:pPr>
              <w:tabs>
                <w:tab w:val="left" w:pos="1899"/>
              </w:tabs>
              <w:adjustRightInd w:val="0"/>
              <w:snapToGrid w:val="0"/>
              <w:spacing w:before="100" w:after="50" w:line="360" w:lineRule="auto"/>
              <w:jc w:val="center"/>
              <w:rPr>
                <w:rFonts w:hint="eastAsia" w:ascii="宋体" w:hAnsi="宋体" w:cs="宋体"/>
              </w:rPr>
            </w:pPr>
          </w:p>
        </w:tc>
        <w:tc>
          <w:tcPr>
            <w:tcW w:w="616" w:type="pct"/>
            <w:tcBorders>
              <w:left w:val="single" w:color="auto" w:sz="4" w:space="0"/>
            </w:tcBorders>
            <w:vAlign w:val="center"/>
          </w:tcPr>
          <w:p w14:paraId="0167145E">
            <w:pPr>
              <w:tabs>
                <w:tab w:val="left" w:pos="1899"/>
              </w:tabs>
              <w:adjustRightInd w:val="0"/>
              <w:snapToGrid w:val="0"/>
              <w:spacing w:before="100" w:after="50" w:line="360" w:lineRule="auto"/>
              <w:jc w:val="center"/>
              <w:rPr>
                <w:rFonts w:ascii="宋体" w:hAnsi="宋体" w:cs="宋体"/>
                <w:szCs w:val="21"/>
              </w:rPr>
            </w:pPr>
            <w:r>
              <w:rPr>
                <w:rFonts w:hint="eastAsia" w:ascii="宋体" w:hAnsi="宋体" w:cs="宋体"/>
                <w:szCs w:val="21"/>
              </w:rPr>
              <w:t>电源开关</w:t>
            </w:r>
          </w:p>
          <w:p w14:paraId="5435E956">
            <w:pPr>
              <w:tabs>
                <w:tab w:val="left" w:pos="1899"/>
              </w:tabs>
              <w:adjustRightInd w:val="0"/>
              <w:snapToGrid w:val="0"/>
              <w:spacing w:before="100" w:after="50" w:line="360" w:lineRule="auto"/>
              <w:jc w:val="center"/>
              <w:rPr>
                <w:rFonts w:ascii="宋体" w:hAnsi="宋体" w:cs="宋体"/>
                <w:szCs w:val="21"/>
              </w:rPr>
            </w:pPr>
            <w:r>
              <w:rPr>
                <w:rFonts w:hint="eastAsia" w:ascii="宋体" w:hAnsi="宋体" w:cs="宋体"/>
                <w:szCs w:val="21"/>
              </w:rPr>
              <w:t>试验</w:t>
            </w:r>
          </w:p>
        </w:tc>
        <w:tc>
          <w:tcPr>
            <w:tcW w:w="3237" w:type="pct"/>
            <w:vAlign w:val="center"/>
          </w:tcPr>
          <w:p w14:paraId="799BC0AE">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投标人所投模组化路灯产品通过GB/T 33721-2017电源开关试验：</w:t>
            </w:r>
          </w:p>
          <w:p w14:paraId="3C0114B0">
            <w:pPr>
              <w:tabs>
                <w:tab w:val="left" w:pos="1899"/>
              </w:tabs>
              <w:adjustRightInd w:val="0"/>
              <w:snapToGrid w:val="0"/>
              <w:spacing w:line="360" w:lineRule="auto"/>
              <w:jc w:val="left"/>
              <w:rPr>
                <w:rFonts w:hint="eastAsia" w:ascii="宋体" w:hAnsi="宋体" w:eastAsia="宋体" w:cs="宋体"/>
                <w:szCs w:val="21"/>
                <w:lang w:eastAsia="zh-CN"/>
              </w:rPr>
            </w:pPr>
            <w:r>
              <w:rPr>
                <w:rFonts w:hint="eastAsia" w:ascii="宋体" w:hAnsi="宋体" w:cs="宋体"/>
                <w:szCs w:val="21"/>
              </w:rPr>
              <w:t>1、循环次数≥280万次得3分</w:t>
            </w:r>
            <w:r>
              <w:rPr>
                <w:rFonts w:hint="eastAsia" w:ascii="宋体" w:hAnsi="宋体" w:cs="宋体"/>
                <w:szCs w:val="21"/>
                <w:lang w:eastAsia="zh-CN"/>
              </w:rPr>
              <w:t>；</w:t>
            </w:r>
          </w:p>
          <w:p w14:paraId="24D1CB57">
            <w:pPr>
              <w:tabs>
                <w:tab w:val="left" w:pos="1899"/>
              </w:tabs>
              <w:adjustRightInd w:val="0"/>
              <w:snapToGrid w:val="0"/>
              <w:spacing w:line="360" w:lineRule="auto"/>
              <w:jc w:val="left"/>
              <w:rPr>
                <w:rFonts w:hint="eastAsia" w:ascii="宋体" w:hAnsi="宋体" w:eastAsia="宋体" w:cs="宋体"/>
                <w:szCs w:val="21"/>
                <w:lang w:eastAsia="zh-CN"/>
              </w:rPr>
            </w:pPr>
            <w:r>
              <w:rPr>
                <w:rFonts w:hint="eastAsia" w:ascii="宋体" w:hAnsi="宋体" w:cs="宋体"/>
                <w:szCs w:val="21"/>
              </w:rPr>
              <w:t>2、280万次＞循环次数≥180万次得2分</w:t>
            </w:r>
            <w:r>
              <w:rPr>
                <w:rFonts w:hint="eastAsia" w:ascii="宋体" w:hAnsi="宋体" w:cs="宋体"/>
                <w:szCs w:val="21"/>
                <w:lang w:eastAsia="zh-CN"/>
              </w:rPr>
              <w:t>；</w:t>
            </w:r>
          </w:p>
          <w:p w14:paraId="6ED09CCF">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3、循环次数≤80万次得1分，未提供则不得分。</w:t>
            </w:r>
          </w:p>
          <w:p w14:paraId="5B93357C">
            <w:pPr>
              <w:tabs>
                <w:tab w:val="left" w:pos="1899"/>
              </w:tabs>
              <w:adjustRightInd w:val="0"/>
              <w:snapToGrid w:val="0"/>
              <w:spacing w:line="360" w:lineRule="auto"/>
              <w:jc w:val="left"/>
              <w:rPr>
                <w:rFonts w:hint="default" w:ascii="宋体" w:hAnsi="宋体" w:cs="宋体"/>
                <w:szCs w:val="21"/>
                <w:lang w:val="en-US" w:eastAsia="zh-CN"/>
              </w:rPr>
            </w:pPr>
            <w:r>
              <w:rPr>
                <w:rFonts w:hint="eastAsia" w:ascii="宋体" w:hAnsi="宋体" w:cs="宋体"/>
                <w:szCs w:val="21"/>
              </w:rPr>
              <w:t xml:space="preserve">有效证明材料：                                                                                               </w:t>
            </w:r>
          </w:p>
          <w:p w14:paraId="608BDDC7">
            <w:pPr>
              <w:tabs>
                <w:tab w:val="left" w:pos="1899"/>
              </w:tabs>
              <w:adjustRightInd w:val="0"/>
              <w:snapToGrid w:val="0"/>
              <w:spacing w:line="360" w:lineRule="auto"/>
              <w:jc w:val="left"/>
              <w:rPr>
                <w:rFonts w:hint="eastAsia" w:ascii="宋体" w:hAnsi="宋体" w:eastAsia="宋体" w:cs="宋体"/>
                <w:szCs w:val="21"/>
                <w:lang w:eastAsia="zh-CN"/>
              </w:rPr>
            </w:pPr>
            <w:r>
              <w:rPr>
                <w:rFonts w:hint="eastAsia" w:ascii="宋体" w:hAnsi="宋体" w:cs="宋体"/>
                <w:szCs w:val="21"/>
              </w:rPr>
              <w:t>提供国家级检测机构出具的检测报告，提供报告复印件</w:t>
            </w:r>
            <w:r>
              <w:rPr>
                <w:rFonts w:hint="eastAsia" w:ascii="宋体" w:hAnsi="宋体" w:cs="宋体"/>
                <w:szCs w:val="21"/>
                <w:lang w:eastAsia="zh-CN"/>
              </w:rPr>
              <w:t>。</w:t>
            </w:r>
          </w:p>
        </w:tc>
        <w:tc>
          <w:tcPr>
            <w:tcW w:w="413" w:type="pct"/>
            <w:vAlign w:val="center"/>
          </w:tcPr>
          <w:p w14:paraId="3B0C77A8">
            <w:pPr>
              <w:tabs>
                <w:tab w:val="left" w:pos="1899"/>
              </w:tabs>
              <w:adjustRightInd w:val="0"/>
              <w:snapToGrid w:val="0"/>
              <w:spacing w:before="100" w:after="50" w:line="360" w:lineRule="auto"/>
              <w:jc w:val="center"/>
              <w:rPr>
                <w:rFonts w:ascii="宋体" w:hAnsi="宋体" w:cs="宋体"/>
              </w:rPr>
            </w:pPr>
            <w:r>
              <w:rPr>
                <w:rFonts w:hint="eastAsia" w:ascii="宋体" w:hAnsi="宋体" w:cs="宋体"/>
              </w:rPr>
              <w:t>3</w:t>
            </w:r>
          </w:p>
        </w:tc>
      </w:tr>
      <w:tr w14:paraId="3A94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335" w:type="pct"/>
            <w:tcBorders>
              <w:right w:val="single" w:color="auto" w:sz="4" w:space="0"/>
            </w:tcBorders>
            <w:vAlign w:val="center"/>
          </w:tcPr>
          <w:p w14:paraId="2630DC20">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3</w:t>
            </w:r>
          </w:p>
        </w:tc>
        <w:tc>
          <w:tcPr>
            <w:tcW w:w="398" w:type="pct"/>
            <w:vMerge w:val="continue"/>
            <w:vAlign w:val="center"/>
          </w:tcPr>
          <w:p w14:paraId="76D5CB58">
            <w:pPr>
              <w:tabs>
                <w:tab w:val="left" w:pos="1899"/>
              </w:tabs>
              <w:adjustRightInd w:val="0"/>
              <w:snapToGrid w:val="0"/>
              <w:spacing w:before="100" w:after="50" w:line="360" w:lineRule="auto"/>
              <w:jc w:val="center"/>
              <w:rPr>
                <w:rFonts w:hint="eastAsia" w:ascii="宋体" w:hAnsi="宋体" w:cs="宋体"/>
              </w:rPr>
            </w:pPr>
          </w:p>
        </w:tc>
        <w:tc>
          <w:tcPr>
            <w:tcW w:w="616" w:type="pct"/>
            <w:tcBorders>
              <w:left w:val="single" w:color="auto" w:sz="4" w:space="0"/>
            </w:tcBorders>
            <w:vAlign w:val="center"/>
          </w:tcPr>
          <w:p w14:paraId="64F55AAD">
            <w:pPr>
              <w:tabs>
                <w:tab w:val="left" w:pos="1899"/>
              </w:tabs>
              <w:adjustRightInd w:val="0"/>
              <w:snapToGrid w:val="0"/>
              <w:spacing w:before="100" w:after="50" w:line="360" w:lineRule="auto"/>
              <w:jc w:val="center"/>
              <w:rPr>
                <w:rFonts w:ascii="宋体" w:hAnsi="宋体" w:cs="宋体"/>
                <w:szCs w:val="21"/>
              </w:rPr>
            </w:pPr>
            <w:r>
              <w:rPr>
                <w:rFonts w:hint="eastAsia" w:ascii="宋体" w:hAnsi="宋体" w:cs="宋体"/>
                <w:szCs w:val="21"/>
              </w:rPr>
              <w:t>能效能级</w:t>
            </w:r>
          </w:p>
        </w:tc>
        <w:tc>
          <w:tcPr>
            <w:tcW w:w="3237" w:type="pct"/>
            <w:vAlign w:val="center"/>
          </w:tcPr>
          <w:p w14:paraId="024F63CB">
            <w:pPr>
              <w:tabs>
                <w:tab w:val="left" w:pos="1899"/>
              </w:tabs>
              <w:adjustRightInd w:val="0"/>
              <w:snapToGrid w:val="0"/>
              <w:spacing w:line="360" w:lineRule="auto"/>
              <w:jc w:val="left"/>
              <w:rPr>
                <w:rFonts w:hint="eastAsia" w:ascii="宋体" w:hAnsi="宋体" w:cs="宋体"/>
                <w:szCs w:val="21"/>
              </w:rPr>
            </w:pPr>
            <w:r>
              <w:rPr>
                <w:rFonts w:hint="eastAsia" w:ascii="宋体" w:hAnsi="宋体" w:cs="宋体"/>
                <w:szCs w:val="21"/>
              </w:rPr>
              <w:t>投标人所投模组化路灯产品获得能效I级标识得2分，提供投标产品型号在“中国能效标识官网(https://www.energylabel.com.cn/index.htm)”的备案信息截图</w:t>
            </w:r>
            <w:r>
              <w:rPr>
                <w:rFonts w:hint="eastAsia" w:ascii="宋体" w:hAnsi="宋体" w:cs="宋体"/>
                <w:szCs w:val="21"/>
                <w:lang w:eastAsia="zh-CN"/>
              </w:rPr>
              <w:t>，</w:t>
            </w:r>
            <w:r>
              <w:rPr>
                <w:rFonts w:hint="eastAsia" w:ascii="宋体" w:hAnsi="宋体" w:cs="宋体"/>
                <w:szCs w:val="21"/>
              </w:rPr>
              <w:t>没有不得分。</w:t>
            </w:r>
          </w:p>
          <w:p w14:paraId="2472648F">
            <w:pPr>
              <w:tabs>
                <w:tab w:val="left" w:pos="1899"/>
              </w:tabs>
              <w:adjustRightInd w:val="0"/>
              <w:snapToGrid w:val="0"/>
              <w:spacing w:line="360" w:lineRule="auto"/>
              <w:jc w:val="left"/>
              <w:rPr>
                <w:rFonts w:hint="eastAsia" w:ascii="宋体" w:hAnsi="宋体" w:cs="宋体"/>
                <w:szCs w:val="21"/>
              </w:rPr>
            </w:pPr>
            <w:r>
              <w:rPr>
                <w:rFonts w:hint="eastAsia" w:ascii="宋体" w:hAnsi="宋体" w:cs="宋体"/>
                <w:szCs w:val="21"/>
                <w:lang w:val="en-US" w:eastAsia="zh-CN"/>
              </w:rPr>
              <w:t>注：提供官网网页查询截图。</w:t>
            </w:r>
          </w:p>
        </w:tc>
        <w:tc>
          <w:tcPr>
            <w:tcW w:w="413" w:type="pct"/>
            <w:vAlign w:val="center"/>
          </w:tcPr>
          <w:p w14:paraId="20C63F52">
            <w:pPr>
              <w:tabs>
                <w:tab w:val="left" w:pos="1899"/>
              </w:tabs>
              <w:adjustRightInd w:val="0"/>
              <w:snapToGrid w:val="0"/>
              <w:spacing w:before="100" w:after="50" w:line="360" w:lineRule="auto"/>
              <w:jc w:val="center"/>
              <w:rPr>
                <w:rFonts w:ascii="宋体" w:hAnsi="宋体" w:cs="宋体"/>
              </w:rPr>
            </w:pPr>
            <w:r>
              <w:rPr>
                <w:rFonts w:hint="eastAsia" w:ascii="宋体" w:hAnsi="宋体" w:cs="宋体"/>
              </w:rPr>
              <w:t>2</w:t>
            </w:r>
          </w:p>
        </w:tc>
      </w:tr>
      <w:tr w14:paraId="1810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8" w:hRule="atLeast"/>
        </w:trPr>
        <w:tc>
          <w:tcPr>
            <w:tcW w:w="335" w:type="pct"/>
            <w:tcBorders>
              <w:bottom w:val="single" w:color="auto" w:sz="4" w:space="0"/>
              <w:right w:val="single" w:color="auto" w:sz="4" w:space="0"/>
            </w:tcBorders>
            <w:vAlign w:val="center"/>
          </w:tcPr>
          <w:p w14:paraId="5E1EB343">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4</w:t>
            </w:r>
          </w:p>
        </w:tc>
        <w:tc>
          <w:tcPr>
            <w:tcW w:w="398" w:type="pct"/>
            <w:vMerge w:val="continue"/>
            <w:vAlign w:val="center"/>
          </w:tcPr>
          <w:p w14:paraId="77390ABC">
            <w:pPr>
              <w:tabs>
                <w:tab w:val="left" w:pos="1899"/>
              </w:tabs>
              <w:adjustRightInd w:val="0"/>
              <w:snapToGrid w:val="0"/>
              <w:spacing w:before="100" w:after="50" w:line="360" w:lineRule="auto"/>
              <w:jc w:val="center"/>
              <w:rPr>
                <w:rFonts w:hint="eastAsia" w:ascii="宋体" w:hAnsi="宋体" w:cs="宋体"/>
              </w:rPr>
            </w:pPr>
          </w:p>
        </w:tc>
        <w:tc>
          <w:tcPr>
            <w:tcW w:w="616" w:type="pct"/>
            <w:tcBorders>
              <w:left w:val="single" w:color="auto" w:sz="4" w:space="0"/>
            </w:tcBorders>
            <w:vAlign w:val="center"/>
          </w:tcPr>
          <w:p w14:paraId="352AA75B">
            <w:pPr>
              <w:tabs>
                <w:tab w:val="left" w:pos="1899"/>
              </w:tabs>
              <w:adjustRightInd w:val="0"/>
              <w:snapToGrid w:val="0"/>
              <w:spacing w:before="100" w:after="50" w:line="360" w:lineRule="auto"/>
              <w:jc w:val="center"/>
              <w:rPr>
                <w:rFonts w:ascii="宋体" w:hAnsi="宋体" w:cs="宋体"/>
                <w:szCs w:val="21"/>
              </w:rPr>
            </w:pPr>
            <w:r>
              <w:rPr>
                <w:rFonts w:hint="eastAsia" w:ascii="宋体" w:hAnsi="宋体" w:cs="宋体"/>
                <w:szCs w:val="21"/>
              </w:rPr>
              <w:t>海洋环境暴露试验</w:t>
            </w:r>
          </w:p>
          <w:p w14:paraId="043F3E41">
            <w:pPr>
              <w:tabs>
                <w:tab w:val="left" w:pos="1899"/>
              </w:tabs>
              <w:adjustRightInd w:val="0"/>
              <w:snapToGrid w:val="0"/>
              <w:spacing w:before="100" w:after="50" w:line="360" w:lineRule="auto"/>
              <w:jc w:val="center"/>
              <w:rPr>
                <w:rFonts w:ascii="宋体" w:hAnsi="宋体" w:cs="宋体"/>
                <w:szCs w:val="21"/>
              </w:rPr>
            </w:pPr>
            <w:r>
              <w:rPr>
                <w:rFonts w:hint="eastAsia" w:ascii="宋体" w:hAnsi="宋体" w:cs="宋体"/>
                <w:szCs w:val="21"/>
              </w:rPr>
              <w:t>（高温高湿环境）</w:t>
            </w:r>
          </w:p>
        </w:tc>
        <w:tc>
          <w:tcPr>
            <w:tcW w:w="3237" w:type="pct"/>
            <w:vAlign w:val="center"/>
          </w:tcPr>
          <w:p w14:paraId="1F69C10D">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投标人所投模组化路灯产品通过GB/T 24824-2009标准，LED路灯通过真实海洋环境进行暴露试验，灯具的测试地址须与暴露地址一致，暴露时长须超过8000小时，同时暴露试验前、后，灯具参数须满足：</w:t>
            </w:r>
          </w:p>
          <w:p w14:paraId="3648E0E5">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1、功率变化率＜±5%</w:t>
            </w:r>
          </w:p>
          <w:p w14:paraId="3F527CD0">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2、光通量维持率＞95%</w:t>
            </w:r>
          </w:p>
          <w:p w14:paraId="6AD07FFB">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3、色温变化＜±150K</w:t>
            </w:r>
          </w:p>
          <w:p w14:paraId="53848693">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4、色容差变化值＜±5SDCM</w:t>
            </w:r>
          </w:p>
          <w:p w14:paraId="233DB27C">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5、功率因数＞0.98</w:t>
            </w:r>
          </w:p>
          <w:p w14:paraId="0A43198A">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以上同时具备得</w:t>
            </w:r>
            <w:r>
              <w:rPr>
                <w:rFonts w:hint="eastAsia" w:ascii="宋体" w:hAnsi="宋体" w:cs="宋体"/>
                <w:szCs w:val="21"/>
                <w:lang w:val="en-US" w:eastAsia="zh-CN"/>
              </w:rPr>
              <w:t>3</w:t>
            </w:r>
            <w:r>
              <w:rPr>
                <w:rFonts w:hint="eastAsia" w:ascii="宋体" w:hAnsi="宋体" w:cs="宋体"/>
                <w:szCs w:val="21"/>
              </w:rPr>
              <w:t>分，缺一不得分。</w:t>
            </w:r>
          </w:p>
          <w:p w14:paraId="2FCCA281">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有效证明材料：</w:t>
            </w:r>
          </w:p>
          <w:p w14:paraId="36F4B75F">
            <w:pPr>
              <w:tabs>
                <w:tab w:val="left" w:pos="1899"/>
              </w:tabs>
              <w:adjustRightInd w:val="0"/>
              <w:snapToGrid w:val="0"/>
              <w:spacing w:line="360" w:lineRule="auto"/>
              <w:jc w:val="left"/>
              <w:rPr>
                <w:rFonts w:hint="eastAsia" w:ascii="宋体" w:hAnsi="宋体" w:eastAsia="宋体" w:cs="宋体"/>
                <w:szCs w:val="21"/>
                <w:highlight w:val="yellow"/>
                <w:lang w:eastAsia="zh-CN"/>
              </w:rPr>
            </w:pPr>
            <w:r>
              <w:rPr>
                <w:rFonts w:hint="eastAsia" w:ascii="宋体" w:hAnsi="宋体" w:cs="宋体"/>
                <w:szCs w:val="21"/>
              </w:rPr>
              <w:t>提供第三方权威机构出具的带有CNAS资质的检测报告，任何根据理论数值推算的或非实际燃点的检测报告一律不得分，提供报告复印件</w:t>
            </w:r>
            <w:r>
              <w:rPr>
                <w:rFonts w:hint="eastAsia" w:ascii="宋体" w:hAnsi="宋体" w:cs="宋体"/>
                <w:szCs w:val="21"/>
                <w:lang w:eastAsia="zh-CN"/>
              </w:rPr>
              <w:t>。</w:t>
            </w:r>
          </w:p>
        </w:tc>
        <w:tc>
          <w:tcPr>
            <w:tcW w:w="413" w:type="pct"/>
            <w:vAlign w:val="center"/>
          </w:tcPr>
          <w:p w14:paraId="7731A0E6">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lang w:val="en-US" w:eastAsia="zh-CN"/>
              </w:rPr>
              <w:t>3</w:t>
            </w:r>
          </w:p>
        </w:tc>
      </w:tr>
      <w:tr w14:paraId="12A4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335" w:type="pct"/>
            <w:tcBorders>
              <w:top w:val="single" w:color="auto" w:sz="4" w:space="0"/>
              <w:left w:val="single" w:color="auto" w:sz="4" w:space="0"/>
              <w:right w:val="single" w:color="auto" w:sz="4" w:space="0"/>
            </w:tcBorders>
            <w:vAlign w:val="center"/>
          </w:tcPr>
          <w:p w14:paraId="71AA2C31">
            <w:pPr>
              <w:rPr>
                <w:rFonts w:hint="eastAsia" w:eastAsia="宋体"/>
                <w:lang w:eastAsia="zh-CN"/>
              </w:rPr>
            </w:pPr>
            <w:r>
              <w:rPr>
                <w:rFonts w:hint="eastAsia"/>
              </w:rPr>
              <w:t>1</w:t>
            </w:r>
            <w:r>
              <w:rPr>
                <w:rFonts w:hint="eastAsia"/>
                <w:lang w:val="en-US" w:eastAsia="zh-CN"/>
              </w:rPr>
              <w:t>5</w:t>
            </w:r>
          </w:p>
        </w:tc>
        <w:tc>
          <w:tcPr>
            <w:tcW w:w="398" w:type="pct"/>
            <w:vMerge w:val="continue"/>
            <w:vAlign w:val="center"/>
          </w:tcPr>
          <w:p w14:paraId="2A5ADCF4">
            <w:pPr>
              <w:rPr>
                <w:rFonts w:hint="eastAsia"/>
              </w:rPr>
            </w:pPr>
          </w:p>
        </w:tc>
        <w:tc>
          <w:tcPr>
            <w:tcW w:w="616" w:type="pct"/>
            <w:tcBorders>
              <w:left w:val="single" w:color="auto" w:sz="4" w:space="0"/>
            </w:tcBorders>
            <w:vAlign w:val="center"/>
          </w:tcPr>
          <w:p w14:paraId="635CEE9D">
            <w:pPr>
              <w:tabs>
                <w:tab w:val="left" w:pos="1899"/>
              </w:tabs>
              <w:adjustRightInd w:val="0"/>
              <w:snapToGrid w:val="0"/>
              <w:spacing w:before="100" w:after="50" w:line="360" w:lineRule="auto"/>
              <w:rPr>
                <w:rFonts w:ascii="宋体" w:hAnsi="宋体" w:cs="宋体"/>
                <w:szCs w:val="21"/>
              </w:rPr>
            </w:pPr>
            <w:r>
              <w:rPr>
                <w:rFonts w:hint="eastAsia" w:ascii="宋体" w:hAnsi="宋体" w:cs="宋体"/>
                <w:szCs w:val="21"/>
              </w:rPr>
              <w:t>产品殊荣</w:t>
            </w:r>
          </w:p>
        </w:tc>
        <w:tc>
          <w:tcPr>
            <w:tcW w:w="3237" w:type="pct"/>
            <w:vAlign w:val="center"/>
          </w:tcPr>
          <w:p w14:paraId="79917AF9">
            <w:pPr>
              <w:tabs>
                <w:tab w:val="left" w:pos="1899"/>
              </w:tabs>
              <w:adjustRightInd w:val="0"/>
              <w:snapToGrid w:val="0"/>
              <w:spacing w:line="360" w:lineRule="auto"/>
              <w:jc w:val="left"/>
              <w:rPr>
                <w:rFonts w:ascii="宋体" w:hAnsi="宋体" w:cs="宋体"/>
                <w:szCs w:val="21"/>
              </w:rPr>
            </w:pPr>
            <w:r>
              <w:rPr>
                <w:rFonts w:hint="eastAsia" w:ascii="宋体" w:hAnsi="宋体" w:cs="宋体"/>
                <w:szCs w:val="21"/>
                <w:lang w:val="en-US" w:eastAsia="zh-CN"/>
              </w:rPr>
              <w:t>投标人采购的</w:t>
            </w:r>
            <w:r>
              <w:rPr>
                <w:rFonts w:hint="eastAsia" w:ascii="宋体" w:hAnsi="宋体" w:cs="宋体"/>
                <w:szCs w:val="21"/>
              </w:rPr>
              <w:t>LED灯具制造商进入政府部门(省级及以上)颁发的“</w:t>
            </w:r>
            <w:r>
              <w:rPr>
                <w:rFonts w:hint="eastAsia" w:ascii="宋体" w:hAnsi="宋体" w:cs="宋体"/>
                <w:szCs w:val="21"/>
                <w:highlight w:val="none"/>
              </w:rPr>
              <w:t>制造精品”</w:t>
            </w:r>
            <w:r>
              <w:rPr>
                <w:rFonts w:hint="eastAsia" w:ascii="宋体" w:hAnsi="宋体" w:cs="宋体"/>
                <w:szCs w:val="21"/>
              </w:rPr>
              <w:t>名单的得4分。</w:t>
            </w:r>
          </w:p>
          <w:p w14:paraId="75D1CB88">
            <w:pPr>
              <w:tabs>
                <w:tab w:val="left" w:pos="1899"/>
              </w:tabs>
              <w:adjustRightInd w:val="0"/>
              <w:snapToGrid w:val="0"/>
              <w:spacing w:line="360" w:lineRule="auto"/>
              <w:jc w:val="left"/>
              <w:rPr>
                <w:rFonts w:hint="eastAsia" w:ascii="宋体" w:hAnsi="宋体" w:cs="宋体"/>
                <w:szCs w:val="21"/>
              </w:rPr>
            </w:pPr>
            <w:r>
              <w:rPr>
                <w:rFonts w:hint="eastAsia" w:ascii="宋体" w:hAnsi="宋体" w:cs="宋体"/>
                <w:szCs w:val="21"/>
              </w:rPr>
              <w:t>有效证明材料:</w:t>
            </w:r>
          </w:p>
          <w:p w14:paraId="7C67169B">
            <w:pPr>
              <w:tabs>
                <w:tab w:val="left" w:pos="1899"/>
              </w:tabs>
              <w:adjustRightInd w:val="0"/>
              <w:snapToGrid w:val="0"/>
              <w:spacing w:line="360" w:lineRule="auto"/>
              <w:jc w:val="left"/>
              <w:rPr>
                <w:rFonts w:hint="default" w:ascii="宋体" w:hAnsi="宋体" w:cs="宋体"/>
                <w:szCs w:val="21"/>
                <w:lang w:val="en-US" w:eastAsia="zh-CN"/>
              </w:rPr>
            </w:pPr>
            <w:r>
              <w:rPr>
                <w:rFonts w:hint="eastAsia" w:ascii="宋体" w:hAnsi="宋体" w:cs="宋体"/>
                <w:szCs w:val="21"/>
                <w:lang w:val="en-US" w:eastAsia="zh-CN"/>
              </w:rPr>
              <w:t>1、提供证书复印件（或文件）等证明材料；</w:t>
            </w:r>
          </w:p>
          <w:p w14:paraId="4A9415AA">
            <w:pPr>
              <w:tabs>
                <w:tab w:val="left" w:pos="1899"/>
              </w:tabs>
              <w:adjustRightInd w:val="0"/>
              <w:snapToGrid w:val="0"/>
              <w:spacing w:line="360" w:lineRule="auto"/>
              <w:jc w:val="left"/>
              <w:rPr>
                <w:rFonts w:hint="eastAsia" w:ascii="宋体" w:hAnsi="宋体" w:eastAsia="宋体" w:cs="宋体"/>
                <w:szCs w:val="21"/>
                <w:highlight w:val="yellow"/>
                <w:lang w:eastAsia="zh-CN"/>
              </w:rPr>
            </w:pPr>
            <w:r>
              <w:rPr>
                <w:rFonts w:hint="eastAsia" w:ascii="宋体" w:hAnsi="宋体" w:cs="宋体"/>
                <w:szCs w:val="21"/>
                <w:lang w:val="en-US" w:eastAsia="zh-CN"/>
              </w:rPr>
              <w:t>2、</w:t>
            </w:r>
            <w:r>
              <w:rPr>
                <w:rFonts w:hint="eastAsia" w:ascii="宋体" w:hAnsi="宋体" w:cs="宋体"/>
                <w:szCs w:val="21"/>
              </w:rPr>
              <w:t>提供相关文件复印件并加盖公章，未提供不得分</w:t>
            </w:r>
            <w:r>
              <w:rPr>
                <w:rFonts w:hint="eastAsia" w:ascii="宋体" w:hAnsi="宋体" w:cs="宋体"/>
                <w:szCs w:val="21"/>
                <w:lang w:eastAsia="zh-CN"/>
              </w:rPr>
              <w:t>。</w:t>
            </w:r>
          </w:p>
        </w:tc>
        <w:tc>
          <w:tcPr>
            <w:tcW w:w="413" w:type="pct"/>
            <w:vAlign w:val="center"/>
          </w:tcPr>
          <w:p w14:paraId="07CE6A6B">
            <w:pPr>
              <w:tabs>
                <w:tab w:val="left" w:pos="1899"/>
              </w:tabs>
              <w:adjustRightInd w:val="0"/>
              <w:snapToGrid w:val="0"/>
              <w:spacing w:before="100" w:after="50" w:line="360" w:lineRule="auto"/>
              <w:jc w:val="center"/>
              <w:rPr>
                <w:rFonts w:ascii="宋体" w:hAnsi="宋体" w:cs="宋体"/>
              </w:rPr>
            </w:pPr>
            <w:r>
              <w:rPr>
                <w:rFonts w:hint="eastAsia" w:ascii="宋体" w:hAnsi="宋体" w:cs="宋体"/>
              </w:rPr>
              <w:t>4</w:t>
            </w:r>
          </w:p>
        </w:tc>
      </w:tr>
      <w:tr w14:paraId="0F91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335" w:type="pct"/>
            <w:tcBorders>
              <w:left w:val="single" w:color="auto" w:sz="4" w:space="0"/>
              <w:bottom w:val="single" w:color="auto" w:sz="4" w:space="0"/>
              <w:right w:val="single" w:color="auto" w:sz="4" w:space="0"/>
            </w:tcBorders>
            <w:vAlign w:val="center"/>
          </w:tcPr>
          <w:p w14:paraId="2C792930">
            <w:pPr>
              <w:rPr>
                <w:rFonts w:hint="eastAsia" w:eastAsia="宋体"/>
                <w:lang w:eastAsia="zh-CN"/>
              </w:rPr>
            </w:pPr>
            <w:r>
              <w:rPr>
                <w:rFonts w:hint="eastAsia"/>
              </w:rPr>
              <w:t>1</w:t>
            </w:r>
            <w:r>
              <w:rPr>
                <w:rFonts w:hint="eastAsia"/>
                <w:lang w:val="en-US" w:eastAsia="zh-CN"/>
              </w:rPr>
              <w:t>6</w:t>
            </w:r>
          </w:p>
        </w:tc>
        <w:tc>
          <w:tcPr>
            <w:tcW w:w="398" w:type="pct"/>
            <w:vMerge w:val="continue"/>
            <w:vAlign w:val="center"/>
          </w:tcPr>
          <w:p w14:paraId="4A994876">
            <w:pPr>
              <w:rPr>
                <w:rFonts w:hint="eastAsia"/>
              </w:rPr>
            </w:pPr>
          </w:p>
        </w:tc>
        <w:tc>
          <w:tcPr>
            <w:tcW w:w="616" w:type="pct"/>
            <w:tcBorders>
              <w:left w:val="single" w:color="auto" w:sz="4" w:space="0"/>
            </w:tcBorders>
            <w:vAlign w:val="center"/>
          </w:tcPr>
          <w:p w14:paraId="6A86B9D6">
            <w:pPr>
              <w:tabs>
                <w:tab w:val="left" w:pos="1899"/>
              </w:tabs>
              <w:adjustRightInd w:val="0"/>
              <w:snapToGrid w:val="0"/>
              <w:spacing w:before="100" w:after="50" w:line="360" w:lineRule="auto"/>
              <w:rPr>
                <w:rFonts w:ascii="宋体" w:hAnsi="宋体" w:cs="宋体"/>
                <w:szCs w:val="21"/>
                <w:highlight w:val="magenta"/>
              </w:rPr>
            </w:pPr>
            <w:r>
              <w:rPr>
                <w:rFonts w:hint="eastAsia" w:ascii="宋体" w:hAnsi="宋体" w:cs="宋体"/>
                <w:szCs w:val="21"/>
              </w:rPr>
              <w:t>技术能力</w:t>
            </w:r>
          </w:p>
        </w:tc>
        <w:tc>
          <w:tcPr>
            <w:tcW w:w="3237" w:type="pct"/>
            <w:vAlign w:val="center"/>
          </w:tcPr>
          <w:p w14:paraId="5F1FDC44">
            <w:pPr>
              <w:tabs>
                <w:tab w:val="left" w:pos="1899"/>
              </w:tabs>
              <w:adjustRightInd w:val="0"/>
              <w:snapToGrid w:val="0"/>
              <w:spacing w:line="360" w:lineRule="auto"/>
              <w:jc w:val="left"/>
              <w:rPr>
                <w:rFonts w:hint="eastAsia" w:ascii="宋体" w:hAnsi="宋体" w:cs="宋体"/>
                <w:szCs w:val="21"/>
                <w:lang w:eastAsia="zh-CN"/>
              </w:rPr>
            </w:pPr>
            <w:r>
              <w:rPr>
                <w:rFonts w:hint="eastAsia" w:ascii="宋体" w:hAnsi="宋体" w:cs="宋体"/>
                <w:szCs w:val="21"/>
              </w:rPr>
              <w:t>LED灯具制造商生产的路灯相关产品具有自主研发的国家知识产权局颁发的LED路灯灯具相关发明专利。</w:t>
            </w:r>
            <w:r>
              <w:rPr>
                <w:rFonts w:hint="eastAsia" w:ascii="宋体" w:hAnsi="宋体" w:cs="宋体"/>
                <w:color w:val="auto"/>
                <w:szCs w:val="21"/>
              </w:rPr>
              <w:t>有已授权的发明专利10项的，得1分，在此基础上，每增加1项得0.5分，最高得4分。有效证明材料:专利名称必须带有“模组”或“LED路灯”或“照明装置”方可得分</w:t>
            </w:r>
            <w:r>
              <w:rPr>
                <w:rFonts w:hint="eastAsia" w:ascii="宋体" w:hAnsi="宋体" w:cs="宋体"/>
                <w:szCs w:val="21"/>
              </w:rPr>
              <w:t>，专利权人应与LED灯具制造商为同一厂家，提供专利证书复印件</w:t>
            </w:r>
            <w:r>
              <w:rPr>
                <w:rFonts w:hint="eastAsia" w:ascii="宋体" w:hAnsi="宋体" w:cs="宋体"/>
                <w:szCs w:val="21"/>
                <w:lang w:eastAsia="zh-CN"/>
              </w:rPr>
              <w:t>。</w:t>
            </w:r>
          </w:p>
          <w:p w14:paraId="460D87FE">
            <w:pPr>
              <w:tabs>
                <w:tab w:val="left" w:pos="1899"/>
              </w:tabs>
              <w:adjustRightInd w:val="0"/>
              <w:snapToGrid w:val="0"/>
              <w:spacing w:line="360" w:lineRule="auto"/>
              <w:jc w:val="left"/>
              <w:rPr>
                <w:rFonts w:hint="eastAsia" w:ascii="宋体" w:hAnsi="宋体" w:cs="宋体"/>
                <w:szCs w:val="21"/>
                <w:lang w:val="en-US" w:eastAsia="zh-CN"/>
              </w:rPr>
            </w:pPr>
            <w:r>
              <w:rPr>
                <w:rFonts w:hint="eastAsia" w:ascii="宋体" w:hAnsi="宋体" w:cs="宋体"/>
                <w:szCs w:val="21"/>
                <w:lang w:val="en-US" w:eastAsia="zh-CN"/>
              </w:rPr>
              <w:t>有效证明材料：</w:t>
            </w:r>
          </w:p>
          <w:p w14:paraId="23497143">
            <w:pPr>
              <w:tabs>
                <w:tab w:val="left" w:pos="1899"/>
              </w:tabs>
              <w:adjustRightInd w:val="0"/>
              <w:snapToGrid w:val="0"/>
              <w:spacing w:line="360" w:lineRule="auto"/>
              <w:jc w:val="left"/>
              <w:rPr>
                <w:rFonts w:hint="default" w:ascii="宋体" w:hAnsi="宋体" w:cs="宋体"/>
                <w:szCs w:val="21"/>
                <w:lang w:val="en-US" w:eastAsia="zh-CN"/>
              </w:rPr>
            </w:pPr>
            <w:r>
              <w:rPr>
                <w:rFonts w:hint="eastAsia" w:ascii="宋体" w:hAnsi="宋体" w:cs="宋体"/>
                <w:szCs w:val="21"/>
                <w:lang w:val="en-US" w:eastAsia="zh-CN"/>
              </w:rPr>
              <w:t>1、提供专利证书复印件。</w:t>
            </w:r>
          </w:p>
        </w:tc>
        <w:tc>
          <w:tcPr>
            <w:tcW w:w="413" w:type="pct"/>
            <w:vAlign w:val="center"/>
          </w:tcPr>
          <w:p w14:paraId="7717C952">
            <w:pPr>
              <w:tabs>
                <w:tab w:val="left" w:pos="1899"/>
              </w:tabs>
              <w:adjustRightInd w:val="0"/>
              <w:snapToGrid w:val="0"/>
              <w:spacing w:before="100" w:after="50" w:line="360" w:lineRule="auto"/>
              <w:jc w:val="center"/>
              <w:rPr>
                <w:rFonts w:ascii="宋体" w:hAnsi="宋体" w:cs="宋体"/>
              </w:rPr>
            </w:pPr>
            <w:r>
              <w:rPr>
                <w:rFonts w:hint="eastAsia" w:ascii="宋体" w:hAnsi="宋体" w:cs="宋体"/>
              </w:rPr>
              <w:t>4</w:t>
            </w:r>
          </w:p>
        </w:tc>
      </w:tr>
      <w:tr w14:paraId="15C5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335" w:type="pct"/>
            <w:tcBorders>
              <w:top w:val="single" w:color="auto" w:sz="4" w:space="0"/>
              <w:right w:val="single" w:color="auto" w:sz="4" w:space="0"/>
            </w:tcBorders>
            <w:vAlign w:val="center"/>
          </w:tcPr>
          <w:p w14:paraId="6CC19047">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7</w:t>
            </w:r>
          </w:p>
        </w:tc>
        <w:tc>
          <w:tcPr>
            <w:tcW w:w="398" w:type="pct"/>
            <w:vMerge w:val="continue"/>
            <w:vAlign w:val="center"/>
          </w:tcPr>
          <w:p w14:paraId="1C04FFD0">
            <w:pPr>
              <w:tabs>
                <w:tab w:val="left" w:pos="1899"/>
              </w:tabs>
              <w:adjustRightInd w:val="0"/>
              <w:snapToGrid w:val="0"/>
              <w:spacing w:before="100" w:after="50" w:line="360" w:lineRule="auto"/>
              <w:jc w:val="center"/>
              <w:rPr>
                <w:rFonts w:hint="eastAsia" w:ascii="宋体" w:hAnsi="宋体" w:cs="宋体"/>
              </w:rPr>
            </w:pPr>
          </w:p>
        </w:tc>
        <w:tc>
          <w:tcPr>
            <w:tcW w:w="616" w:type="pct"/>
            <w:tcBorders>
              <w:left w:val="single" w:color="auto" w:sz="4" w:space="0"/>
            </w:tcBorders>
            <w:vAlign w:val="center"/>
          </w:tcPr>
          <w:p w14:paraId="57E12ED4">
            <w:pPr>
              <w:tabs>
                <w:tab w:val="left" w:pos="1899"/>
              </w:tabs>
              <w:adjustRightInd w:val="0"/>
              <w:snapToGrid w:val="0"/>
              <w:spacing w:before="100" w:after="50" w:line="360" w:lineRule="auto"/>
              <w:jc w:val="center"/>
              <w:rPr>
                <w:rFonts w:ascii="宋体" w:hAnsi="宋体" w:cs="宋体"/>
              </w:rPr>
            </w:pPr>
            <w:r>
              <w:rPr>
                <w:rFonts w:hint="eastAsia" w:ascii="宋体" w:hAnsi="宋体" w:cs="宋体"/>
              </w:rPr>
              <w:t>CQC模组性能认证</w:t>
            </w:r>
          </w:p>
        </w:tc>
        <w:tc>
          <w:tcPr>
            <w:tcW w:w="3237" w:type="pct"/>
            <w:vAlign w:val="center"/>
          </w:tcPr>
          <w:p w14:paraId="566F42F6">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投标人所投路灯产品使用的LED模块（或模组）获符合GB/T 24823-2017 CQC模组性能认证，且防护等级达到 IP66/IP68得3分，未提供不得分</w:t>
            </w:r>
          </w:p>
          <w:p w14:paraId="592D0DC1">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有效证明材料：</w:t>
            </w:r>
          </w:p>
          <w:p w14:paraId="6C44E793">
            <w:pPr>
              <w:tabs>
                <w:tab w:val="left" w:pos="1899"/>
              </w:tabs>
              <w:adjustRightInd w:val="0"/>
              <w:snapToGrid w:val="0"/>
              <w:spacing w:line="360" w:lineRule="auto"/>
              <w:jc w:val="left"/>
              <w:rPr>
                <w:rFonts w:ascii="宋体" w:hAnsi="宋体" w:cs="宋体"/>
                <w:strike/>
                <w:szCs w:val="21"/>
              </w:rPr>
            </w:pPr>
            <w:r>
              <w:rPr>
                <w:rFonts w:hint="eastAsia" w:ascii="宋体" w:hAnsi="宋体" w:cs="宋体"/>
                <w:szCs w:val="21"/>
              </w:rPr>
              <w:t>提供中国质量认证中心出具的CQC产品认证证书电子档，提供认证证书在全国认证认可信息公共服务平台证书状态为“有效”的查询证明截图。</w:t>
            </w:r>
          </w:p>
        </w:tc>
        <w:tc>
          <w:tcPr>
            <w:tcW w:w="413" w:type="pct"/>
            <w:vAlign w:val="center"/>
          </w:tcPr>
          <w:p w14:paraId="131DF913">
            <w:pPr>
              <w:tabs>
                <w:tab w:val="left" w:pos="1899"/>
              </w:tabs>
              <w:adjustRightInd w:val="0"/>
              <w:snapToGrid w:val="0"/>
              <w:spacing w:before="100" w:after="50" w:line="360" w:lineRule="auto"/>
              <w:jc w:val="center"/>
              <w:rPr>
                <w:rFonts w:ascii="宋体" w:hAnsi="宋体" w:cs="宋体"/>
              </w:rPr>
            </w:pPr>
            <w:r>
              <w:rPr>
                <w:rFonts w:hint="eastAsia" w:ascii="宋体" w:hAnsi="宋体" w:cs="宋体"/>
              </w:rPr>
              <w:t>3</w:t>
            </w:r>
          </w:p>
        </w:tc>
      </w:tr>
      <w:tr w14:paraId="5472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5" w:type="pct"/>
            <w:tcBorders>
              <w:right w:val="single" w:color="auto" w:sz="4" w:space="0"/>
            </w:tcBorders>
            <w:vAlign w:val="center"/>
          </w:tcPr>
          <w:p w14:paraId="71B41D2F">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8</w:t>
            </w:r>
          </w:p>
        </w:tc>
        <w:tc>
          <w:tcPr>
            <w:tcW w:w="398" w:type="pct"/>
            <w:vMerge w:val="continue"/>
            <w:vAlign w:val="center"/>
          </w:tcPr>
          <w:p w14:paraId="103EC41F">
            <w:pPr>
              <w:tabs>
                <w:tab w:val="left" w:pos="1899"/>
              </w:tabs>
              <w:adjustRightInd w:val="0"/>
              <w:snapToGrid w:val="0"/>
              <w:spacing w:before="100" w:after="50" w:line="360" w:lineRule="auto"/>
              <w:jc w:val="center"/>
              <w:rPr>
                <w:rFonts w:hint="eastAsia" w:ascii="宋体" w:hAnsi="宋体" w:cs="宋体"/>
              </w:rPr>
            </w:pPr>
          </w:p>
        </w:tc>
        <w:tc>
          <w:tcPr>
            <w:tcW w:w="616" w:type="pct"/>
            <w:tcBorders>
              <w:left w:val="single" w:color="auto" w:sz="4" w:space="0"/>
            </w:tcBorders>
            <w:vAlign w:val="center"/>
          </w:tcPr>
          <w:p w14:paraId="6B0F92D7">
            <w:pPr>
              <w:tabs>
                <w:tab w:val="left" w:pos="1899"/>
              </w:tabs>
              <w:adjustRightInd w:val="0"/>
              <w:snapToGrid w:val="0"/>
              <w:spacing w:before="100" w:after="50" w:line="360" w:lineRule="auto"/>
              <w:jc w:val="center"/>
              <w:rPr>
                <w:rFonts w:ascii="宋体" w:hAnsi="宋体" w:cs="宋体"/>
              </w:rPr>
            </w:pPr>
            <w:r>
              <w:rPr>
                <w:rFonts w:hint="eastAsia" w:ascii="宋体" w:hAnsi="宋体" w:cs="宋体"/>
              </w:rPr>
              <w:t>模块IP等级与气密性</w:t>
            </w:r>
          </w:p>
        </w:tc>
        <w:tc>
          <w:tcPr>
            <w:tcW w:w="3237" w:type="pct"/>
            <w:vAlign w:val="center"/>
          </w:tcPr>
          <w:p w14:paraId="686ED618">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投标人所投路灯产品使用的LED模块（或模组）通过(GB 19510.1-2009、 GB 24819-2009 、GB 7000.1-2015)  IP等级（IP*8，水深3米）与气密性试验，试验后LED模块内部无水进入，同时电气强度试验500V无闪络击穿：</w:t>
            </w:r>
          </w:p>
          <w:p w14:paraId="74A420BE">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1.测试时长≥4000小时得</w:t>
            </w:r>
            <w:r>
              <w:rPr>
                <w:rFonts w:hint="eastAsia" w:ascii="宋体" w:hAnsi="宋体" w:cs="宋体"/>
                <w:szCs w:val="21"/>
                <w:lang w:val="en-US" w:eastAsia="zh-CN"/>
              </w:rPr>
              <w:t>3</w:t>
            </w:r>
            <w:r>
              <w:rPr>
                <w:rFonts w:hint="eastAsia" w:ascii="宋体" w:hAnsi="宋体" w:cs="宋体"/>
                <w:szCs w:val="21"/>
              </w:rPr>
              <w:t>分</w:t>
            </w:r>
          </w:p>
          <w:p w14:paraId="2E80496B">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2.测试时长≥3000小时得2分</w:t>
            </w:r>
          </w:p>
          <w:p w14:paraId="48C4AA08">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3.测试时长≥1000小时得1分</w:t>
            </w:r>
          </w:p>
          <w:p w14:paraId="7362E6EC">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有效证明材料：</w:t>
            </w:r>
          </w:p>
          <w:p w14:paraId="667F4AF4">
            <w:pPr>
              <w:tabs>
                <w:tab w:val="left" w:pos="1899"/>
              </w:tabs>
              <w:adjustRightInd w:val="0"/>
              <w:snapToGrid w:val="0"/>
              <w:spacing w:line="360" w:lineRule="auto"/>
              <w:jc w:val="left"/>
              <w:rPr>
                <w:rFonts w:hint="eastAsia" w:ascii="宋体" w:hAnsi="宋体" w:eastAsia="宋体" w:cs="宋体"/>
                <w:strike/>
                <w:szCs w:val="21"/>
                <w:lang w:eastAsia="zh-CN"/>
              </w:rPr>
            </w:pPr>
            <w:r>
              <w:rPr>
                <w:rFonts w:hint="eastAsia" w:ascii="宋体" w:hAnsi="宋体" w:cs="宋体"/>
                <w:szCs w:val="21"/>
              </w:rPr>
              <w:t>提供国家灯具质量检验检测中心或国家电光源质量监督检验中心出具的检测报告，提供报告原件扫描件</w:t>
            </w:r>
            <w:r>
              <w:rPr>
                <w:rFonts w:hint="eastAsia" w:ascii="宋体" w:hAnsi="宋体" w:cs="宋体"/>
                <w:szCs w:val="21"/>
                <w:lang w:eastAsia="zh-CN"/>
              </w:rPr>
              <w:t>。</w:t>
            </w:r>
          </w:p>
        </w:tc>
        <w:tc>
          <w:tcPr>
            <w:tcW w:w="413" w:type="pct"/>
            <w:vAlign w:val="center"/>
          </w:tcPr>
          <w:p w14:paraId="58DD285A">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lang w:val="en-US" w:eastAsia="zh-CN"/>
              </w:rPr>
              <w:t>3</w:t>
            </w:r>
          </w:p>
        </w:tc>
      </w:tr>
      <w:tr w14:paraId="612E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35" w:type="pct"/>
            <w:tcBorders>
              <w:right w:val="single" w:color="auto" w:sz="4" w:space="0"/>
            </w:tcBorders>
            <w:vAlign w:val="center"/>
          </w:tcPr>
          <w:p w14:paraId="358A98C9">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9</w:t>
            </w:r>
          </w:p>
        </w:tc>
        <w:tc>
          <w:tcPr>
            <w:tcW w:w="398" w:type="pct"/>
            <w:vMerge w:val="continue"/>
            <w:vAlign w:val="center"/>
          </w:tcPr>
          <w:p w14:paraId="2236F52F">
            <w:pPr>
              <w:tabs>
                <w:tab w:val="left" w:pos="1899"/>
              </w:tabs>
              <w:adjustRightInd w:val="0"/>
              <w:snapToGrid w:val="0"/>
              <w:spacing w:before="100" w:after="50" w:line="360" w:lineRule="auto"/>
              <w:jc w:val="center"/>
              <w:rPr>
                <w:rFonts w:hint="eastAsia" w:ascii="宋体" w:hAnsi="宋体" w:cs="宋体"/>
              </w:rPr>
            </w:pPr>
          </w:p>
        </w:tc>
        <w:tc>
          <w:tcPr>
            <w:tcW w:w="616" w:type="pct"/>
            <w:tcBorders>
              <w:left w:val="single" w:color="auto" w:sz="4" w:space="0"/>
            </w:tcBorders>
            <w:vAlign w:val="center"/>
          </w:tcPr>
          <w:p w14:paraId="59E5F2E5">
            <w:pPr>
              <w:tabs>
                <w:tab w:val="left" w:pos="1899"/>
              </w:tabs>
              <w:adjustRightInd w:val="0"/>
              <w:snapToGrid w:val="0"/>
              <w:spacing w:before="100" w:after="50" w:line="360" w:lineRule="auto"/>
              <w:jc w:val="center"/>
              <w:rPr>
                <w:rFonts w:ascii="宋体" w:hAnsi="宋体" w:cs="宋体"/>
                <w:szCs w:val="21"/>
                <w:highlight w:val="yellow"/>
              </w:rPr>
            </w:pPr>
            <w:r>
              <w:rPr>
                <w:rFonts w:hint="eastAsia" w:ascii="宋体" w:hAnsi="宋体" w:cs="宋体"/>
                <w:szCs w:val="21"/>
              </w:rPr>
              <w:t>单灯控制器节能及安全性能</w:t>
            </w:r>
          </w:p>
        </w:tc>
        <w:tc>
          <w:tcPr>
            <w:tcW w:w="3237" w:type="pct"/>
            <w:vAlign w:val="center"/>
          </w:tcPr>
          <w:p w14:paraId="2A949A5E">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投标人所投单灯控制器性能满足如下:</w:t>
            </w:r>
          </w:p>
          <w:p w14:paraId="2AE06260">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1.待机功耗≤1.3W（有功功率）；满足得1分</w:t>
            </w:r>
          </w:p>
          <w:p w14:paraId="60EB13E2">
            <w:pPr>
              <w:tabs>
                <w:tab w:val="left" w:pos="1899"/>
              </w:tabs>
              <w:adjustRightInd w:val="0"/>
              <w:snapToGrid w:val="0"/>
              <w:spacing w:line="360" w:lineRule="auto"/>
              <w:jc w:val="left"/>
              <w:rPr>
                <w:rFonts w:ascii="宋体" w:hAnsi="宋体" w:cs="宋体"/>
                <w:szCs w:val="21"/>
              </w:rPr>
            </w:pPr>
            <w:r>
              <w:rPr>
                <w:rFonts w:hint="eastAsia" w:ascii="宋体" w:hAnsi="宋体" w:cs="宋体"/>
                <w:szCs w:val="21"/>
              </w:rPr>
              <w:t>2.通过灼热丝试验，外壳650℃±10℃，30s±1s，样品自燃时间≤30s。满足得1分</w:t>
            </w:r>
          </w:p>
          <w:p w14:paraId="22FC84DE">
            <w:pPr>
              <w:tabs>
                <w:tab w:val="left" w:pos="1899"/>
              </w:tabs>
              <w:adjustRightInd w:val="0"/>
              <w:snapToGrid w:val="0"/>
              <w:spacing w:line="360" w:lineRule="auto"/>
              <w:jc w:val="left"/>
              <w:rPr>
                <w:rFonts w:hint="eastAsia" w:ascii="宋体" w:hAnsi="宋体" w:cs="宋体"/>
                <w:szCs w:val="21"/>
              </w:rPr>
            </w:pPr>
            <w:r>
              <w:rPr>
                <w:rFonts w:hint="eastAsia" w:ascii="宋体" w:hAnsi="宋体" w:cs="宋体"/>
                <w:szCs w:val="21"/>
              </w:rPr>
              <w:t>有效证明材料：</w:t>
            </w:r>
          </w:p>
          <w:p w14:paraId="7D39D5C2">
            <w:pPr>
              <w:tabs>
                <w:tab w:val="left" w:pos="1899"/>
              </w:tabs>
              <w:adjustRightInd w:val="0"/>
              <w:snapToGrid w:val="0"/>
              <w:spacing w:line="360" w:lineRule="auto"/>
              <w:jc w:val="left"/>
              <w:rPr>
                <w:rFonts w:ascii="宋体" w:hAnsi="宋体" w:cs="宋体"/>
                <w:szCs w:val="21"/>
                <w:highlight w:val="yellow"/>
              </w:rPr>
            </w:pPr>
            <w:r>
              <w:rPr>
                <w:rFonts w:hint="eastAsia" w:ascii="宋体" w:hAnsi="宋体" w:cs="宋体"/>
                <w:szCs w:val="21"/>
                <w:lang w:val="en-US" w:eastAsia="zh-CN"/>
              </w:rPr>
              <w:t>提供国家认可的CMA和CNAS标识的第三方检验报告证明。</w:t>
            </w:r>
          </w:p>
        </w:tc>
        <w:tc>
          <w:tcPr>
            <w:tcW w:w="413" w:type="pct"/>
            <w:vAlign w:val="center"/>
          </w:tcPr>
          <w:p w14:paraId="068F9174">
            <w:pPr>
              <w:tabs>
                <w:tab w:val="left" w:pos="1899"/>
              </w:tabs>
              <w:adjustRightInd w:val="0"/>
              <w:snapToGrid w:val="0"/>
              <w:spacing w:before="100" w:after="50" w:line="360" w:lineRule="auto"/>
              <w:jc w:val="center"/>
              <w:rPr>
                <w:rFonts w:ascii="宋体" w:hAnsi="宋体" w:cs="宋体"/>
              </w:rPr>
            </w:pPr>
            <w:r>
              <w:rPr>
                <w:rFonts w:hint="eastAsia" w:ascii="宋体" w:hAnsi="宋体" w:cs="宋体"/>
              </w:rPr>
              <w:t>2</w:t>
            </w:r>
          </w:p>
        </w:tc>
      </w:tr>
      <w:tr w14:paraId="0B6F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trPr>
        <w:tc>
          <w:tcPr>
            <w:tcW w:w="335" w:type="pct"/>
            <w:vAlign w:val="center"/>
          </w:tcPr>
          <w:p w14:paraId="30616CD2">
            <w:pPr>
              <w:tabs>
                <w:tab w:val="left" w:pos="1899"/>
              </w:tabs>
              <w:adjustRightInd w:val="0"/>
              <w:snapToGrid w:val="0"/>
              <w:spacing w:before="100" w:after="50" w:line="360" w:lineRule="auto"/>
              <w:rPr>
                <w:rFonts w:hint="default" w:ascii="宋体" w:hAnsi="宋体" w:eastAsia="宋体" w:cs="宋体"/>
                <w:lang w:val="en-US" w:eastAsia="zh-CN"/>
              </w:rPr>
            </w:pPr>
            <w:r>
              <w:rPr>
                <w:rFonts w:hint="eastAsia" w:ascii="宋体" w:hAnsi="宋体" w:cs="宋体"/>
                <w:lang w:val="en-US" w:eastAsia="zh-CN"/>
              </w:rPr>
              <w:t>20</w:t>
            </w:r>
          </w:p>
        </w:tc>
        <w:tc>
          <w:tcPr>
            <w:tcW w:w="398" w:type="pct"/>
            <w:vMerge w:val="restart"/>
            <w:vAlign w:val="center"/>
          </w:tcPr>
          <w:p w14:paraId="30D735CB">
            <w:pPr>
              <w:tabs>
                <w:tab w:val="left" w:pos="1899"/>
              </w:tabs>
              <w:adjustRightInd w:val="0"/>
              <w:snapToGrid w:val="0"/>
              <w:spacing w:before="100" w:after="50" w:line="360" w:lineRule="auto"/>
              <w:jc w:val="center"/>
              <w:rPr>
                <w:rFonts w:ascii="宋体" w:hAnsi="宋体" w:cs="宋体"/>
              </w:rPr>
            </w:pPr>
          </w:p>
          <w:p w14:paraId="20E25D12">
            <w:pPr>
              <w:pStyle w:val="59"/>
              <w:jc w:val="center"/>
              <w:rPr>
                <w:rFonts w:ascii="宋体" w:hAnsi="宋体" w:cs="宋体"/>
              </w:rPr>
            </w:pPr>
          </w:p>
          <w:p w14:paraId="174651BD">
            <w:pPr>
              <w:jc w:val="center"/>
              <w:rPr>
                <w:rFonts w:ascii="宋体" w:hAnsi="宋体" w:cs="宋体"/>
              </w:rPr>
            </w:pPr>
          </w:p>
          <w:p w14:paraId="0BFA6E8C">
            <w:pPr>
              <w:pStyle w:val="59"/>
              <w:jc w:val="center"/>
              <w:rPr>
                <w:rFonts w:ascii="宋体" w:hAnsi="宋体" w:cs="宋体"/>
              </w:rPr>
            </w:pPr>
          </w:p>
          <w:p w14:paraId="636693B7">
            <w:pPr>
              <w:jc w:val="center"/>
              <w:rPr>
                <w:rFonts w:ascii="宋体" w:hAnsi="宋体" w:cs="宋体"/>
              </w:rPr>
            </w:pPr>
          </w:p>
          <w:p w14:paraId="67F9C59D">
            <w:pPr>
              <w:pStyle w:val="59"/>
              <w:jc w:val="center"/>
              <w:rPr>
                <w:rFonts w:ascii="宋体" w:hAnsi="宋体" w:cs="宋体"/>
              </w:rPr>
            </w:pPr>
          </w:p>
          <w:p w14:paraId="18016B65">
            <w:pPr>
              <w:jc w:val="center"/>
              <w:rPr>
                <w:rFonts w:ascii="宋体" w:hAnsi="宋体" w:cs="宋体"/>
              </w:rPr>
            </w:pPr>
          </w:p>
          <w:p w14:paraId="3A3E60B6">
            <w:pPr>
              <w:pStyle w:val="59"/>
              <w:jc w:val="center"/>
              <w:rPr>
                <w:rFonts w:ascii="宋体" w:hAnsi="宋体" w:cs="宋体"/>
              </w:rPr>
            </w:pPr>
          </w:p>
          <w:p w14:paraId="207CA260">
            <w:pPr>
              <w:jc w:val="center"/>
              <w:rPr>
                <w:rFonts w:ascii="宋体" w:hAnsi="宋体" w:cs="宋体"/>
              </w:rPr>
            </w:pPr>
          </w:p>
          <w:p w14:paraId="3757D30A">
            <w:pPr>
              <w:pStyle w:val="59"/>
              <w:jc w:val="center"/>
              <w:rPr>
                <w:rFonts w:ascii="宋体" w:hAnsi="宋体" w:cs="宋体"/>
              </w:rPr>
            </w:pPr>
          </w:p>
          <w:p w14:paraId="299641AF">
            <w:pPr>
              <w:jc w:val="center"/>
              <w:rPr>
                <w:rFonts w:ascii="宋体" w:hAnsi="宋体" w:cs="宋体"/>
              </w:rPr>
            </w:pPr>
          </w:p>
          <w:p w14:paraId="6FFA7280">
            <w:pPr>
              <w:pStyle w:val="59"/>
              <w:jc w:val="center"/>
              <w:rPr>
                <w:rFonts w:ascii="宋体" w:hAnsi="宋体" w:cs="宋体"/>
              </w:rPr>
            </w:pPr>
          </w:p>
          <w:p w14:paraId="342B4224">
            <w:pPr>
              <w:jc w:val="center"/>
              <w:rPr>
                <w:rFonts w:ascii="宋体" w:hAnsi="宋体" w:cs="宋体"/>
              </w:rPr>
            </w:pPr>
          </w:p>
          <w:p w14:paraId="2D7F704E">
            <w:pPr>
              <w:pStyle w:val="59"/>
              <w:jc w:val="center"/>
              <w:rPr>
                <w:rFonts w:ascii="宋体" w:hAnsi="宋体" w:cs="宋体"/>
              </w:rPr>
            </w:pPr>
          </w:p>
          <w:p w14:paraId="45F32F71">
            <w:pPr>
              <w:jc w:val="center"/>
              <w:rPr>
                <w:rFonts w:ascii="宋体" w:hAnsi="宋体" w:cs="宋体"/>
              </w:rPr>
            </w:pPr>
          </w:p>
          <w:p w14:paraId="50B0D4EB">
            <w:pPr>
              <w:pStyle w:val="59"/>
              <w:jc w:val="center"/>
              <w:rPr>
                <w:rFonts w:ascii="宋体" w:hAnsi="宋体" w:cs="宋体"/>
              </w:rPr>
            </w:pPr>
          </w:p>
          <w:p w14:paraId="35C598D1">
            <w:pPr>
              <w:jc w:val="center"/>
              <w:rPr>
                <w:rFonts w:ascii="宋体" w:hAnsi="宋体" w:cs="宋体"/>
              </w:rPr>
            </w:pPr>
          </w:p>
          <w:p w14:paraId="70C6FD4B">
            <w:pPr>
              <w:pStyle w:val="59"/>
              <w:ind w:left="0" w:leftChars="0" w:firstLine="0" w:firstLineChars="0"/>
              <w:jc w:val="center"/>
              <w:rPr>
                <w:rFonts w:hint="eastAsia" w:ascii="宋体" w:hAnsi="宋体" w:cs="宋体"/>
                <w:lang w:val="en-US" w:eastAsia="zh-CN"/>
              </w:rPr>
            </w:pPr>
            <w:r>
              <w:rPr>
                <w:rFonts w:hint="eastAsia" w:ascii="宋体" w:hAnsi="宋体" w:cs="宋体"/>
                <w:lang w:val="en-US" w:eastAsia="zh-CN"/>
              </w:rPr>
              <w:t>技</w:t>
            </w:r>
          </w:p>
          <w:p w14:paraId="0137D3BA">
            <w:pPr>
              <w:pStyle w:val="59"/>
              <w:ind w:left="0" w:leftChars="0" w:firstLine="0" w:firstLineChars="0"/>
              <w:jc w:val="center"/>
              <w:rPr>
                <w:rFonts w:hint="eastAsia" w:ascii="宋体" w:hAnsi="宋体" w:cs="宋体"/>
                <w:lang w:val="en-US" w:eastAsia="zh-CN"/>
              </w:rPr>
            </w:pPr>
            <w:r>
              <w:rPr>
                <w:rFonts w:hint="eastAsia" w:ascii="宋体" w:hAnsi="宋体" w:cs="宋体"/>
                <w:lang w:val="en-US" w:eastAsia="zh-CN"/>
              </w:rPr>
              <w:t>术</w:t>
            </w:r>
          </w:p>
          <w:p w14:paraId="03545EDC">
            <w:pPr>
              <w:pStyle w:val="59"/>
              <w:ind w:left="0" w:leftChars="0" w:firstLine="0" w:firstLineChars="0"/>
              <w:jc w:val="center"/>
              <w:rPr>
                <w:rFonts w:hint="eastAsia" w:ascii="宋体" w:hAnsi="宋体" w:cs="宋体"/>
                <w:lang w:val="en-US" w:eastAsia="zh-CN"/>
              </w:rPr>
            </w:pPr>
            <w:r>
              <w:rPr>
                <w:rFonts w:hint="eastAsia" w:ascii="宋体" w:hAnsi="宋体" w:cs="宋体"/>
                <w:lang w:val="en-US" w:eastAsia="zh-CN"/>
              </w:rPr>
              <w:t>部</w:t>
            </w:r>
          </w:p>
          <w:p w14:paraId="2B8FE6A8">
            <w:pPr>
              <w:pStyle w:val="59"/>
              <w:ind w:left="0" w:leftChars="0" w:firstLine="0" w:firstLineChars="0"/>
              <w:jc w:val="center"/>
              <w:rPr>
                <w:rFonts w:hint="eastAsia" w:ascii="宋体" w:hAnsi="宋体" w:cs="宋体"/>
                <w:lang w:val="en-US" w:eastAsia="zh-CN"/>
              </w:rPr>
            </w:pPr>
            <w:r>
              <w:rPr>
                <w:rFonts w:hint="eastAsia" w:ascii="宋体" w:hAnsi="宋体" w:cs="宋体"/>
                <w:lang w:val="en-US" w:eastAsia="zh-CN"/>
              </w:rPr>
              <w:t>分</w:t>
            </w:r>
          </w:p>
          <w:p w14:paraId="5BC65FB1">
            <w:pPr>
              <w:pStyle w:val="59"/>
              <w:ind w:left="0" w:leftChars="0" w:firstLine="0" w:firstLineChars="0"/>
              <w:jc w:val="center"/>
              <w:rPr>
                <w:rFonts w:hint="eastAsia" w:ascii="宋体" w:hAnsi="宋体" w:cs="宋体"/>
                <w:lang w:val="en-US" w:eastAsia="zh-CN"/>
              </w:rPr>
            </w:pPr>
            <w:r>
              <w:rPr>
                <w:rFonts w:hint="eastAsia" w:ascii="宋体" w:hAnsi="宋体" w:cs="宋体"/>
                <w:lang w:val="en-US" w:eastAsia="zh-CN"/>
              </w:rPr>
              <w:t>33</w:t>
            </w:r>
          </w:p>
          <w:p w14:paraId="519E3D91">
            <w:pPr>
              <w:pStyle w:val="59"/>
              <w:ind w:left="0" w:leftChars="0" w:firstLine="0" w:firstLineChars="0"/>
              <w:jc w:val="center"/>
              <w:rPr>
                <w:rFonts w:hint="default" w:eastAsia="宋体"/>
                <w:lang w:val="en-US" w:eastAsia="zh-CN"/>
              </w:rPr>
            </w:pPr>
            <w:r>
              <w:rPr>
                <w:rFonts w:hint="eastAsia" w:ascii="宋体" w:hAnsi="宋体" w:cs="宋体"/>
                <w:lang w:val="en-US" w:eastAsia="zh-CN"/>
              </w:rPr>
              <w:t>分</w:t>
            </w:r>
          </w:p>
        </w:tc>
        <w:tc>
          <w:tcPr>
            <w:tcW w:w="616" w:type="pct"/>
            <w:vAlign w:val="center"/>
          </w:tcPr>
          <w:p w14:paraId="5E90E99C">
            <w:pPr>
              <w:tabs>
                <w:tab w:val="left" w:pos="1899"/>
              </w:tabs>
              <w:adjustRightInd w:val="0"/>
              <w:snapToGrid w:val="0"/>
              <w:spacing w:before="100" w:after="50" w:line="360" w:lineRule="auto"/>
              <w:jc w:val="center"/>
              <w:rPr>
                <w:rFonts w:ascii="宋体" w:hAnsi="宋体" w:cs="宋体"/>
                <w:color w:val="auto"/>
                <w:highlight w:val="none"/>
              </w:rPr>
            </w:pPr>
            <w:r>
              <w:rPr>
                <w:rFonts w:hint="eastAsia" w:ascii="宋体" w:hAnsi="宋体" w:cs="宋体"/>
                <w:bCs/>
                <w:color w:val="auto"/>
                <w:kern w:val="1"/>
                <w:szCs w:val="21"/>
                <w:highlight w:val="none"/>
              </w:rPr>
              <w:t>节能技术方案与服务</w:t>
            </w:r>
          </w:p>
        </w:tc>
        <w:tc>
          <w:tcPr>
            <w:tcW w:w="3237" w:type="pct"/>
            <w:vAlign w:val="center"/>
          </w:tcPr>
          <w:p w14:paraId="32DD370D">
            <w:pPr>
              <w:tabs>
                <w:tab w:val="left" w:pos="1899"/>
              </w:tabs>
              <w:adjustRightInd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节能技术方案与服务（包括但不限于以下内容：节能改造替换方案、智慧路灯管理信息平台建设方案、节能效果预评估、本项目服务能力等）。</w:t>
            </w:r>
          </w:p>
          <w:p w14:paraId="438B29B7">
            <w:pPr>
              <w:numPr>
                <w:ilvl w:val="0"/>
                <w:numId w:val="9"/>
              </w:numPr>
              <w:tabs>
                <w:tab w:val="left" w:pos="1899"/>
              </w:tabs>
              <w:adjustRightInd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节能改造替换方案: 产品配置完整，产品替换设计合理，改造计划科学，可行性强。针对方案的完整性、合理性、可行性进行综合评述。（3分）；</w:t>
            </w:r>
          </w:p>
          <w:p w14:paraId="372D1F96">
            <w:pPr>
              <w:numPr>
                <w:ilvl w:val="-1"/>
                <w:numId w:val="0"/>
              </w:numPr>
              <w:tabs>
                <w:tab w:val="left" w:pos="1899"/>
              </w:tabs>
              <w:adjustRightInd w:val="0"/>
              <w:snapToGrid w:val="0"/>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方案</w:t>
            </w:r>
            <w:r>
              <w:rPr>
                <w:rFonts w:hint="eastAsia" w:ascii="宋体" w:hAnsi="宋体" w:cs="宋体"/>
                <w:color w:val="auto"/>
                <w:highlight w:val="none"/>
              </w:rPr>
              <w:t>完整性、合理性、可行性</w:t>
            </w:r>
            <w:r>
              <w:rPr>
                <w:rFonts w:hint="eastAsia" w:ascii="宋体" w:hAnsi="宋体" w:cs="宋体"/>
                <w:color w:val="auto"/>
                <w:highlight w:val="none"/>
                <w:lang w:val="en-US" w:eastAsia="zh-CN"/>
              </w:rPr>
              <w:t>强的得3分；</w:t>
            </w:r>
          </w:p>
          <w:p w14:paraId="2FAEFBEC">
            <w:pPr>
              <w:numPr>
                <w:ilvl w:val="-1"/>
                <w:numId w:val="0"/>
              </w:numPr>
              <w:tabs>
                <w:tab w:val="left" w:pos="1899"/>
              </w:tabs>
              <w:adjustRightInd w:val="0"/>
              <w:snapToGrid w:val="0"/>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方案</w:t>
            </w:r>
            <w:r>
              <w:rPr>
                <w:rFonts w:hint="eastAsia" w:ascii="宋体" w:hAnsi="宋体" w:cs="宋体"/>
                <w:color w:val="auto"/>
                <w:highlight w:val="none"/>
              </w:rPr>
              <w:t>完整性、合理性、可行性</w:t>
            </w:r>
            <w:r>
              <w:rPr>
                <w:rFonts w:hint="eastAsia" w:ascii="宋体" w:hAnsi="宋体" w:cs="宋体"/>
                <w:color w:val="auto"/>
                <w:highlight w:val="none"/>
                <w:lang w:val="en-US" w:eastAsia="zh-CN"/>
              </w:rPr>
              <w:t>一般的得2分；</w:t>
            </w:r>
          </w:p>
          <w:p w14:paraId="3A290F5C">
            <w:pPr>
              <w:numPr>
                <w:ilvl w:val="-1"/>
                <w:numId w:val="0"/>
              </w:numPr>
              <w:tabs>
                <w:tab w:val="left" w:pos="1899"/>
              </w:tabs>
              <w:adjustRightInd w:val="0"/>
              <w:snapToGrid w:val="0"/>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方案</w:t>
            </w:r>
            <w:r>
              <w:rPr>
                <w:rFonts w:hint="eastAsia" w:ascii="宋体" w:hAnsi="宋体" w:cs="宋体"/>
                <w:color w:val="auto"/>
                <w:highlight w:val="none"/>
              </w:rPr>
              <w:t>完整性、合理性、可行性</w:t>
            </w:r>
            <w:r>
              <w:rPr>
                <w:rFonts w:hint="eastAsia" w:ascii="宋体" w:hAnsi="宋体" w:cs="宋体"/>
                <w:color w:val="auto"/>
                <w:highlight w:val="none"/>
                <w:lang w:val="en-US" w:eastAsia="zh-CN"/>
              </w:rPr>
              <w:t>差的得1分；</w:t>
            </w:r>
          </w:p>
          <w:p w14:paraId="3D7601DB">
            <w:pPr>
              <w:numPr>
                <w:ilvl w:val="-1"/>
                <w:numId w:val="0"/>
              </w:numPr>
              <w:tabs>
                <w:tab w:val="left" w:pos="1899"/>
              </w:tabs>
              <w:adjustRightInd w:val="0"/>
              <w:snapToGrid w:val="0"/>
              <w:spacing w:line="360" w:lineRule="auto"/>
              <w:jc w:val="lef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不提供不得分。</w:t>
            </w:r>
          </w:p>
          <w:p w14:paraId="23ADC4CA">
            <w:pPr>
              <w:numPr>
                <w:ilvl w:val="0"/>
                <w:numId w:val="9"/>
              </w:numPr>
              <w:tabs>
                <w:tab w:val="left" w:pos="1899"/>
              </w:tabs>
              <w:adjustRightInd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智慧路灯管理信息平台建设:平台功能完整，操作便捷，包含远程开关/调光、故障自动报警、能耗实时监控等功能。针对方案的完整性、合理性、可行性进行综合评分。（3分）；</w:t>
            </w:r>
          </w:p>
          <w:p w14:paraId="6675078A">
            <w:pPr>
              <w:numPr>
                <w:ilvl w:val="-1"/>
                <w:numId w:val="0"/>
              </w:numPr>
              <w:tabs>
                <w:tab w:val="left" w:pos="1899"/>
              </w:tabs>
              <w:adjustRightInd w:val="0"/>
              <w:snapToGrid w:val="0"/>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方案</w:t>
            </w:r>
            <w:r>
              <w:rPr>
                <w:rFonts w:hint="eastAsia" w:ascii="宋体" w:hAnsi="宋体" w:cs="宋体"/>
                <w:color w:val="auto"/>
                <w:highlight w:val="none"/>
              </w:rPr>
              <w:t>完整性、合理性、可行性</w:t>
            </w:r>
            <w:r>
              <w:rPr>
                <w:rFonts w:hint="eastAsia" w:ascii="宋体" w:hAnsi="宋体" w:cs="宋体"/>
                <w:color w:val="auto"/>
                <w:highlight w:val="none"/>
                <w:lang w:val="en-US" w:eastAsia="zh-CN"/>
              </w:rPr>
              <w:t>强的得3分；</w:t>
            </w:r>
          </w:p>
          <w:p w14:paraId="71F9667A">
            <w:pPr>
              <w:numPr>
                <w:ilvl w:val="-1"/>
                <w:numId w:val="0"/>
              </w:numPr>
              <w:tabs>
                <w:tab w:val="left" w:pos="1899"/>
              </w:tabs>
              <w:adjustRightInd w:val="0"/>
              <w:snapToGrid w:val="0"/>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方案</w:t>
            </w:r>
            <w:r>
              <w:rPr>
                <w:rFonts w:hint="eastAsia" w:ascii="宋体" w:hAnsi="宋体" w:cs="宋体"/>
                <w:color w:val="auto"/>
                <w:highlight w:val="none"/>
              </w:rPr>
              <w:t>完整性、合理性、可行性</w:t>
            </w:r>
            <w:r>
              <w:rPr>
                <w:rFonts w:hint="eastAsia" w:ascii="宋体" w:hAnsi="宋体" w:cs="宋体"/>
                <w:color w:val="auto"/>
                <w:highlight w:val="none"/>
                <w:lang w:val="en-US" w:eastAsia="zh-CN"/>
              </w:rPr>
              <w:t>一般的得2分；</w:t>
            </w:r>
          </w:p>
          <w:p w14:paraId="20911AB6">
            <w:pPr>
              <w:numPr>
                <w:ilvl w:val="-1"/>
                <w:numId w:val="0"/>
              </w:numPr>
              <w:tabs>
                <w:tab w:val="left" w:pos="1899"/>
              </w:tabs>
              <w:adjustRightInd w:val="0"/>
              <w:snapToGrid w:val="0"/>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方案</w:t>
            </w:r>
            <w:r>
              <w:rPr>
                <w:rFonts w:hint="eastAsia" w:ascii="宋体" w:hAnsi="宋体" w:cs="宋体"/>
                <w:color w:val="auto"/>
                <w:highlight w:val="none"/>
              </w:rPr>
              <w:t>完整性、合理性、可行性</w:t>
            </w:r>
            <w:r>
              <w:rPr>
                <w:rFonts w:hint="eastAsia" w:ascii="宋体" w:hAnsi="宋体" w:cs="宋体"/>
                <w:color w:val="auto"/>
                <w:highlight w:val="none"/>
                <w:lang w:val="en-US" w:eastAsia="zh-CN"/>
              </w:rPr>
              <w:t>差的得1分；</w:t>
            </w:r>
          </w:p>
          <w:p w14:paraId="5F5028ED">
            <w:pPr>
              <w:numPr>
                <w:ilvl w:val="-1"/>
                <w:numId w:val="0"/>
              </w:numPr>
              <w:tabs>
                <w:tab w:val="left" w:pos="1899"/>
              </w:tabs>
              <w:adjustRightInd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lang w:val="en-US" w:eastAsia="zh-CN"/>
              </w:rPr>
              <w:t>不提供不得分。</w:t>
            </w:r>
          </w:p>
          <w:p w14:paraId="763419A6">
            <w:pPr>
              <w:numPr>
                <w:ilvl w:val="0"/>
                <w:numId w:val="9"/>
              </w:numPr>
              <w:tabs>
                <w:tab w:val="left" w:pos="1899"/>
              </w:tabs>
              <w:adjustRightInd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节能效果预评估：节能效果优秀，计算全面、灯具配光设计合理，针对性强。内容需完整、清晰、明确、针对性强、可操作性强，针对方案的完整性、合理性、可行性进行综合评述。（3分）；</w:t>
            </w:r>
          </w:p>
          <w:p w14:paraId="16D21631">
            <w:pPr>
              <w:numPr>
                <w:ilvl w:val="-1"/>
                <w:numId w:val="0"/>
              </w:numPr>
              <w:tabs>
                <w:tab w:val="left" w:pos="1899"/>
              </w:tabs>
              <w:adjustRightInd w:val="0"/>
              <w:snapToGrid w:val="0"/>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方案</w:t>
            </w:r>
            <w:r>
              <w:rPr>
                <w:rFonts w:hint="eastAsia" w:ascii="宋体" w:hAnsi="宋体" w:cs="宋体"/>
                <w:color w:val="auto"/>
                <w:highlight w:val="none"/>
              </w:rPr>
              <w:t>完整性、合理性、可行性</w:t>
            </w:r>
            <w:r>
              <w:rPr>
                <w:rFonts w:hint="eastAsia" w:ascii="宋体" w:hAnsi="宋体" w:cs="宋体"/>
                <w:color w:val="auto"/>
                <w:highlight w:val="none"/>
                <w:lang w:val="en-US" w:eastAsia="zh-CN"/>
              </w:rPr>
              <w:t>强的得3分；</w:t>
            </w:r>
          </w:p>
          <w:p w14:paraId="40E93B00">
            <w:pPr>
              <w:numPr>
                <w:ilvl w:val="-1"/>
                <w:numId w:val="0"/>
              </w:numPr>
              <w:tabs>
                <w:tab w:val="left" w:pos="1899"/>
              </w:tabs>
              <w:adjustRightInd w:val="0"/>
              <w:snapToGrid w:val="0"/>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方案</w:t>
            </w:r>
            <w:r>
              <w:rPr>
                <w:rFonts w:hint="eastAsia" w:ascii="宋体" w:hAnsi="宋体" w:cs="宋体"/>
                <w:color w:val="auto"/>
                <w:highlight w:val="none"/>
              </w:rPr>
              <w:t>完整性、合理性、可行性</w:t>
            </w:r>
            <w:r>
              <w:rPr>
                <w:rFonts w:hint="eastAsia" w:ascii="宋体" w:hAnsi="宋体" w:cs="宋体"/>
                <w:color w:val="auto"/>
                <w:highlight w:val="none"/>
                <w:lang w:val="en-US" w:eastAsia="zh-CN"/>
              </w:rPr>
              <w:t>一般的得2分；</w:t>
            </w:r>
          </w:p>
          <w:p w14:paraId="2D21C6AA">
            <w:pPr>
              <w:numPr>
                <w:ilvl w:val="-1"/>
                <w:numId w:val="0"/>
              </w:numPr>
              <w:tabs>
                <w:tab w:val="left" w:pos="1899"/>
              </w:tabs>
              <w:adjustRightInd w:val="0"/>
              <w:snapToGrid w:val="0"/>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方案</w:t>
            </w:r>
            <w:r>
              <w:rPr>
                <w:rFonts w:hint="eastAsia" w:ascii="宋体" w:hAnsi="宋体" w:cs="宋体"/>
                <w:color w:val="auto"/>
                <w:highlight w:val="none"/>
              </w:rPr>
              <w:t>完整性、合理性、可行性</w:t>
            </w:r>
            <w:r>
              <w:rPr>
                <w:rFonts w:hint="eastAsia" w:ascii="宋体" w:hAnsi="宋体" w:cs="宋体"/>
                <w:color w:val="auto"/>
                <w:highlight w:val="none"/>
                <w:lang w:val="en-US" w:eastAsia="zh-CN"/>
              </w:rPr>
              <w:t>差的得1分；</w:t>
            </w:r>
          </w:p>
          <w:p w14:paraId="56F4E82E">
            <w:pPr>
              <w:numPr>
                <w:ilvl w:val="-1"/>
                <w:numId w:val="0"/>
              </w:numPr>
              <w:tabs>
                <w:tab w:val="left" w:pos="1899"/>
              </w:tabs>
              <w:adjustRightInd w:val="0"/>
              <w:snapToGrid w:val="0"/>
              <w:spacing w:line="360" w:lineRule="auto"/>
              <w:jc w:val="lef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不提供不得分。</w:t>
            </w:r>
          </w:p>
          <w:p w14:paraId="6D40E6E9">
            <w:pPr>
              <w:numPr>
                <w:ilvl w:val="0"/>
                <w:numId w:val="9"/>
              </w:numPr>
              <w:tabs>
                <w:tab w:val="left" w:pos="1899"/>
              </w:tabs>
              <w:adjustRightInd w:val="0"/>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本项目服务能力：保证措施完善、合理，且能满足采购人的需求。针对方案的完整性、合理性、可行性进行综合评述。（</w:t>
            </w:r>
            <w:r>
              <w:rPr>
                <w:rFonts w:hint="eastAsia" w:ascii="宋体" w:hAnsi="宋体" w:cs="宋体"/>
                <w:color w:val="auto"/>
                <w:highlight w:val="none"/>
                <w:lang w:val="en-US" w:eastAsia="zh-CN"/>
              </w:rPr>
              <w:t>3</w:t>
            </w:r>
            <w:r>
              <w:rPr>
                <w:rFonts w:hint="eastAsia" w:ascii="宋体" w:hAnsi="宋体" w:cs="宋体"/>
                <w:color w:val="auto"/>
                <w:highlight w:val="none"/>
              </w:rPr>
              <w:t>分）；</w:t>
            </w:r>
          </w:p>
          <w:p w14:paraId="75974FE5">
            <w:pPr>
              <w:numPr>
                <w:ilvl w:val="-1"/>
                <w:numId w:val="0"/>
              </w:numPr>
              <w:tabs>
                <w:tab w:val="left" w:pos="1899"/>
              </w:tabs>
              <w:adjustRightInd w:val="0"/>
              <w:snapToGrid w:val="0"/>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方案</w:t>
            </w:r>
            <w:r>
              <w:rPr>
                <w:rFonts w:hint="eastAsia" w:ascii="宋体" w:hAnsi="宋体" w:cs="宋体"/>
                <w:color w:val="auto"/>
                <w:highlight w:val="none"/>
              </w:rPr>
              <w:t>完整性、合理性、可行性</w:t>
            </w:r>
            <w:r>
              <w:rPr>
                <w:rFonts w:hint="eastAsia" w:ascii="宋体" w:hAnsi="宋体" w:cs="宋体"/>
                <w:color w:val="auto"/>
                <w:highlight w:val="none"/>
                <w:lang w:val="en-US" w:eastAsia="zh-CN"/>
              </w:rPr>
              <w:t>强的得3分；</w:t>
            </w:r>
          </w:p>
          <w:p w14:paraId="3B90BE4B">
            <w:pPr>
              <w:numPr>
                <w:ilvl w:val="-1"/>
                <w:numId w:val="0"/>
              </w:numPr>
              <w:tabs>
                <w:tab w:val="left" w:pos="1899"/>
              </w:tabs>
              <w:adjustRightInd w:val="0"/>
              <w:snapToGrid w:val="0"/>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方案</w:t>
            </w:r>
            <w:r>
              <w:rPr>
                <w:rFonts w:hint="eastAsia" w:ascii="宋体" w:hAnsi="宋体" w:cs="宋体"/>
                <w:color w:val="auto"/>
                <w:highlight w:val="none"/>
              </w:rPr>
              <w:t>完整性、合理性、可行性</w:t>
            </w:r>
            <w:r>
              <w:rPr>
                <w:rFonts w:hint="eastAsia" w:ascii="宋体" w:hAnsi="宋体" w:cs="宋体"/>
                <w:color w:val="auto"/>
                <w:highlight w:val="none"/>
                <w:lang w:val="en-US" w:eastAsia="zh-CN"/>
              </w:rPr>
              <w:t>一般的得2分；</w:t>
            </w:r>
          </w:p>
          <w:p w14:paraId="461255F7">
            <w:pPr>
              <w:numPr>
                <w:ilvl w:val="-1"/>
                <w:numId w:val="0"/>
              </w:numPr>
              <w:tabs>
                <w:tab w:val="left" w:pos="1899"/>
              </w:tabs>
              <w:adjustRightInd w:val="0"/>
              <w:snapToGrid w:val="0"/>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方案</w:t>
            </w:r>
            <w:r>
              <w:rPr>
                <w:rFonts w:hint="eastAsia" w:ascii="宋体" w:hAnsi="宋体" w:cs="宋体"/>
                <w:color w:val="auto"/>
                <w:highlight w:val="none"/>
              </w:rPr>
              <w:t>完整性、合理性、可行性</w:t>
            </w:r>
            <w:r>
              <w:rPr>
                <w:rFonts w:hint="eastAsia" w:ascii="宋体" w:hAnsi="宋体" w:cs="宋体"/>
                <w:color w:val="auto"/>
                <w:highlight w:val="none"/>
                <w:lang w:val="en-US" w:eastAsia="zh-CN"/>
              </w:rPr>
              <w:t>差的得1分；</w:t>
            </w:r>
          </w:p>
          <w:p w14:paraId="5777C3CE">
            <w:pPr>
              <w:numPr>
                <w:ilvl w:val="-1"/>
                <w:numId w:val="0"/>
              </w:numPr>
              <w:tabs>
                <w:tab w:val="left" w:pos="1899"/>
              </w:tabs>
              <w:adjustRightInd w:val="0"/>
              <w:snapToGrid w:val="0"/>
              <w:spacing w:line="360" w:lineRule="auto"/>
              <w:jc w:val="left"/>
              <w:rPr>
                <w:color w:val="auto"/>
                <w:highlight w:val="none"/>
              </w:rPr>
            </w:pPr>
            <w:r>
              <w:rPr>
                <w:rFonts w:hint="eastAsia" w:ascii="宋体" w:hAnsi="宋体" w:cs="宋体"/>
                <w:color w:val="auto"/>
                <w:highlight w:val="none"/>
                <w:lang w:val="en-US" w:eastAsia="zh-CN"/>
              </w:rPr>
              <w:t>不提供不得分。</w:t>
            </w:r>
          </w:p>
        </w:tc>
        <w:tc>
          <w:tcPr>
            <w:tcW w:w="413" w:type="pct"/>
            <w:vAlign w:val="center"/>
          </w:tcPr>
          <w:p w14:paraId="039FC066">
            <w:pPr>
              <w:tabs>
                <w:tab w:val="left" w:pos="1899"/>
              </w:tabs>
              <w:adjustRightInd w:val="0"/>
              <w:snapToGrid w:val="0"/>
              <w:spacing w:before="100" w:after="50" w:line="360" w:lineRule="auto"/>
              <w:jc w:val="center"/>
              <w:rPr>
                <w:rFonts w:ascii="宋体" w:hAnsi="宋体" w:cs="宋体"/>
              </w:rPr>
            </w:pPr>
            <w:r>
              <w:rPr>
                <w:rFonts w:hint="eastAsia" w:ascii="宋体" w:hAnsi="宋体" w:cs="宋体"/>
              </w:rPr>
              <w:t>12</w:t>
            </w:r>
          </w:p>
        </w:tc>
      </w:tr>
      <w:tr w14:paraId="4876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5" w:type="pct"/>
            <w:vAlign w:val="center"/>
          </w:tcPr>
          <w:p w14:paraId="2300FAED">
            <w:pPr>
              <w:tabs>
                <w:tab w:val="left" w:pos="1899"/>
              </w:tabs>
              <w:adjustRightInd w:val="0"/>
              <w:snapToGrid w:val="0"/>
              <w:spacing w:before="100" w:after="50" w:line="360" w:lineRule="auto"/>
              <w:rPr>
                <w:rFonts w:hint="default" w:ascii="宋体" w:hAnsi="宋体" w:eastAsia="宋体" w:cs="宋体"/>
                <w:lang w:val="en-US" w:eastAsia="zh-CN"/>
              </w:rPr>
            </w:pPr>
            <w:r>
              <w:rPr>
                <w:rFonts w:hint="eastAsia" w:ascii="宋体" w:hAnsi="宋体" w:cs="宋体"/>
                <w:lang w:val="en-US" w:eastAsia="zh-CN"/>
              </w:rPr>
              <w:t>21</w:t>
            </w:r>
          </w:p>
        </w:tc>
        <w:tc>
          <w:tcPr>
            <w:tcW w:w="398" w:type="pct"/>
            <w:vMerge w:val="continue"/>
            <w:vAlign w:val="center"/>
          </w:tcPr>
          <w:p w14:paraId="62E53062">
            <w:pPr>
              <w:tabs>
                <w:tab w:val="left" w:pos="1899"/>
              </w:tabs>
              <w:adjustRightInd w:val="0"/>
              <w:snapToGrid w:val="0"/>
              <w:spacing w:before="100" w:after="50" w:line="360" w:lineRule="auto"/>
              <w:rPr>
                <w:rFonts w:ascii="宋体" w:hAnsi="宋体" w:cs="宋体"/>
              </w:rPr>
            </w:pPr>
          </w:p>
        </w:tc>
        <w:tc>
          <w:tcPr>
            <w:tcW w:w="616" w:type="pct"/>
            <w:vAlign w:val="center"/>
          </w:tcPr>
          <w:p w14:paraId="0A3D3DAA">
            <w:pPr>
              <w:tabs>
                <w:tab w:val="left" w:pos="1899"/>
              </w:tabs>
              <w:adjustRightInd w:val="0"/>
              <w:snapToGrid w:val="0"/>
              <w:spacing w:before="100" w:after="50" w:line="360" w:lineRule="auto"/>
              <w:jc w:val="center"/>
              <w:rPr>
                <w:rFonts w:ascii="宋体" w:hAnsi="宋体" w:cs="宋体"/>
                <w:bCs/>
                <w:kern w:val="1"/>
                <w:szCs w:val="21"/>
              </w:rPr>
            </w:pPr>
            <w:r>
              <w:rPr>
                <w:bCs/>
                <w:kern w:val="28"/>
                <w:szCs w:val="21"/>
              </w:rPr>
              <w:t>节能改造施工组织方案</w:t>
            </w:r>
          </w:p>
        </w:tc>
        <w:tc>
          <w:tcPr>
            <w:tcW w:w="3237" w:type="pct"/>
            <w:vAlign w:val="center"/>
          </w:tcPr>
          <w:p w14:paraId="3E3716B8">
            <w:pPr>
              <w:tabs>
                <w:tab w:val="left" w:pos="1899"/>
              </w:tabs>
              <w:adjustRightInd w:val="0"/>
              <w:snapToGrid w:val="0"/>
              <w:spacing w:line="360" w:lineRule="auto"/>
              <w:jc w:val="left"/>
              <w:rPr>
                <w:rFonts w:ascii="宋体" w:hAnsi="宋体" w:cs="宋体"/>
              </w:rPr>
            </w:pPr>
            <w:r>
              <w:rPr>
                <w:rFonts w:hint="eastAsia" w:ascii="宋体" w:hAnsi="宋体" w:cs="宋体"/>
              </w:rPr>
              <w:t>根据投标人提出的施工组织方案（包括但不限于技术方案、安装调试（施工）、验收、维护、人员安排进度、）是否切实可行、合理、规范、高效进行综合评议：</w:t>
            </w:r>
          </w:p>
          <w:p w14:paraId="326E8363">
            <w:pPr>
              <w:tabs>
                <w:tab w:val="left" w:pos="1899"/>
              </w:tabs>
              <w:adjustRightInd w:val="0"/>
              <w:snapToGrid w:val="0"/>
              <w:spacing w:line="360" w:lineRule="auto"/>
              <w:jc w:val="left"/>
              <w:rPr>
                <w:rFonts w:ascii="宋体" w:hAnsi="宋体" w:cs="宋体"/>
              </w:rPr>
            </w:pPr>
            <w:r>
              <w:rPr>
                <w:rFonts w:hint="eastAsia" w:ascii="宋体" w:hAnsi="宋体" w:cs="宋体"/>
              </w:rPr>
              <w:t>1.方案内容完全结合项目实际情况，人员安排合理、不同区域分工分项明确、进度计划科学合理、目标明确清晰的得</w:t>
            </w:r>
            <w:r>
              <w:rPr>
                <w:rFonts w:hint="eastAsia" w:ascii="宋体" w:hAnsi="宋体" w:cs="宋体"/>
                <w:lang w:val="en-US" w:eastAsia="zh-CN"/>
              </w:rPr>
              <w:t>6</w:t>
            </w:r>
            <w:r>
              <w:rPr>
                <w:rFonts w:hint="eastAsia" w:ascii="宋体" w:hAnsi="宋体" w:cs="宋体"/>
              </w:rPr>
              <w:t>分；</w:t>
            </w:r>
          </w:p>
          <w:p w14:paraId="7B5A4CB7">
            <w:pPr>
              <w:tabs>
                <w:tab w:val="left" w:pos="1899"/>
              </w:tabs>
              <w:adjustRightInd w:val="0"/>
              <w:snapToGrid w:val="0"/>
              <w:spacing w:line="360" w:lineRule="auto"/>
              <w:jc w:val="left"/>
              <w:rPr>
                <w:rFonts w:ascii="宋体" w:hAnsi="宋体" w:cs="宋体"/>
              </w:rPr>
            </w:pPr>
            <w:r>
              <w:rPr>
                <w:rFonts w:hint="eastAsia" w:ascii="宋体" w:hAnsi="宋体" w:cs="宋体"/>
              </w:rPr>
              <w:t>2.方案内容结合项目实际情况，人员安排相对合理、分工分项比较明确、进度计划较为合理、目标明确的得</w:t>
            </w:r>
            <w:r>
              <w:rPr>
                <w:rFonts w:hint="eastAsia" w:ascii="宋体" w:hAnsi="宋体" w:cs="宋体"/>
                <w:lang w:val="en-US" w:eastAsia="zh-CN"/>
              </w:rPr>
              <w:t>4</w:t>
            </w:r>
            <w:r>
              <w:rPr>
                <w:rFonts w:hint="eastAsia" w:ascii="宋体" w:hAnsi="宋体" w:cs="宋体"/>
              </w:rPr>
              <w:t>分；</w:t>
            </w:r>
          </w:p>
          <w:p w14:paraId="717ED01E">
            <w:pPr>
              <w:tabs>
                <w:tab w:val="left" w:pos="1899"/>
              </w:tabs>
              <w:adjustRightInd w:val="0"/>
              <w:snapToGrid w:val="0"/>
              <w:spacing w:line="360" w:lineRule="auto"/>
              <w:jc w:val="left"/>
              <w:rPr>
                <w:rFonts w:ascii="宋体" w:hAnsi="宋体" w:cs="宋体"/>
              </w:rPr>
            </w:pPr>
            <w:r>
              <w:rPr>
                <w:rFonts w:hint="eastAsia" w:ascii="宋体" w:hAnsi="宋体" w:cs="宋体"/>
              </w:rPr>
              <w:t>3.方案内容基本符合实际需求，有简单的人员安排及分工、但针对性不强，进度计划不够合理的得</w:t>
            </w:r>
            <w:r>
              <w:rPr>
                <w:rFonts w:hint="eastAsia" w:ascii="宋体" w:hAnsi="宋体" w:cs="宋体"/>
                <w:lang w:val="en-US" w:eastAsia="zh-CN"/>
              </w:rPr>
              <w:t>2</w:t>
            </w:r>
            <w:r>
              <w:rPr>
                <w:rFonts w:hint="eastAsia" w:ascii="宋体" w:hAnsi="宋体" w:cs="宋体"/>
              </w:rPr>
              <w:t>分；</w:t>
            </w:r>
          </w:p>
          <w:p w14:paraId="59BBD196">
            <w:pPr>
              <w:tabs>
                <w:tab w:val="left" w:pos="1899"/>
              </w:tabs>
              <w:adjustRightInd w:val="0"/>
              <w:snapToGrid w:val="0"/>
              <w:spacing w:line="360" w:lineRule="auto"/>
              <w:jc w:val="left"/>
              <w:rPr>
                <w:rFonts w:ascii="宋体" w:hAnsi="宋体" w:cs="宋体"/>
              </w:rPr>
            </w:pPr>
            <w:r>
              <w:rPr>
                <w:rFonts w:hint="eastAsia" w:ascii="宋体" w:hAnsi="宋体" w:cs="宋体"/>
              </w:rPr>
              <w:t>4.未提供或不满足招标人要求的不得分。</w:t>
            </w:r>
          </w:p>
        </w:tc>
        <w:tc>
          <w:tcPr>
            <w:tcW w:w="413" w:type="pct"/>
            <w:vAlign w:val="center"/>
          </w:tcPr>
          <w:p w14:paraId="1B1DCAFA">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lang w:val="en-US" w:eastAsia="zh-CN"/>
              </w:rPr>
              <w:t>6</w:t>
            </w:r>
          </w:p>
        </w:tc>
      </w:tr>
      <w:tr w14:paraId="1F0D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5" w:type="pct"/>
            <w:vAlign w:val="center"/>
          </w:tcPr>
          <w:p w14:paraId="077F00C5">
            <w:pPr>
              <w:tabs>
                <w:tab w:val="left" w:pos="1899"/>
              </w:tabs>
              <w:adjustRightInd w:val="0"/>
              <w:snapToGrid w:val="0"/>
              <w:spacing w:before="100" w:after="50" w:line="360" w:lineRule="auto"/>
              <w:jc w:val="center"/>
              <w:rPr>
                <w:rFonts w:hint="default" w:ascii="宋体" w:hAnsi="宋体" w:eastAsia="宋体" w:cs="宋体"/>
                <w:lang w:val="en-US" w:eastAsia="zh-CN"/>
              </w:rPr>
            </w:pPr>
            <w:r>
              <w:rPr>
                <w:rFonts w:hint="eastAsia" w:ascii="宋体" w:hAnsi="宋体" w:cs="宋体"/>
                <w:lang w:val="en-US" w:eastAsia="zh-CN"/>
              </w:rPr>
              <w:t>22</w:t>
            </w:r>
          </w:p>
        </w:tc>
        <w:tc>
          <w:tcPr>
            <w:tcW w:w="398" w:type="pct"/>
            <w:vMerge w:val="continue"/>
            <w:vAlign w:val="center"/>
          </w:tcPr>
          <w:p w14:paraId="7526A298">
            <w:pPr>
              <w:tabs>
                <w:tab w:val="left" w:pos="1899"/>
              </w:tabs>
              <w:adjustRightInd w:val="0"/>
              <w:snapToGrid w:val="0"/>
              <w:spacing w:before="100" w:after="50" w:line="360" w:lineRule="auto"/>
              <w:jc w:val="center"/>
              <w:rPr>
                <w:rFonts w:ascii="宋体" w:hAnsi="宋体" w:cs="宋体"/>
              </w:rPr>
            </w:pPr>
          </w:p>
        </w:tc>
        <w:tc>
          <w:tcPr>
            <w:tcW w:w="616" w:type="pct"/>
            <w:vAlign w:val="center"/>
          </w:tcPr>
          <w:p w14:paraId="244CEFD5">
            <w:pPr>
              <w:tabs>
                <w:tab w:val="left" w:pos="1899"/>
              </w:tabs>
              <w:adjustRightInd w:val="0"/>
              <w:snapToGrid w:val="0"/>
              <w:spacing w:before="100" w:after="50" w:line="360" w:lineRule="auto"/>
              <w:jc w:val="center"/>
              <w:rPr>
                <w:rFonts w:ascii="宋体" w:hAnsi="宋体" w:cs="宋体"/>
                <w:szCs w:val="21"/>
              </w:rPr>
            </w:pPr>
            <w:r>
              <w:rPr>
                <w:rFonts w:hint="eastAsia" w:ascii="宋体" w:hAnsi="宋体" w:cs="宋体"/>
                <w:bCs/>
                <w:kern w:val="1"/>
                <w:szCs w:val="21"/>
              </w:rPr>
              <w:t>巡检、养护方案与保障措施</w:t>
            </w:r>
          </w:p>
        </w:tc>
        <w:tc>
          <w:tcPr>
            <w:tcW w:w="3237" w:type="pct"/>
            <w:vAlign w:val="center"/>
          </w:tcPr>
          <w:p w14:paraId="3C8A4D48">
            <w:pPr>
              <w:pStyle w:val="23"/>
              <w:spacing w:line="360" w:lineRule="auto"/>
              <w:rPr>
                <w:rFonts w:ascii="宋体" w:hAnsi="宋体" w:cs="宋体"/>
                <w:sz w:val="21"/>
                <w:szCs w:val="21"/>
              </w:rPr>
            </w:pPr>
            <w:r>
              <w:rPr>
                <w:rFonts w:hint="eastAsia" w:ascii="宋体" w:hAnsi="宋体" w:cs="宋体"/>
                <w:sz w:val="21"/>
                <w:szCs w:val="21"/>
              </w:rPr>
              <w:t>巡检、养护方案与保障措施（包括但不限于以下内容：巡查管理方案、养护计划安排、保障措施、应急方案等）</w:t>
            </w:r>
          </w:p>
          <w:p w14:paraId="2CB754E9">
            <w:pPr>
              <w:pStyle w:val="23"/>
              <w:spacing w:line="360" w:lineRule="auto"/>
              <w:rPr>
                <w:rFonts w:ascii="宋体" w:hAnsi="宋体" w:cs="宋体"/>
                <w:sz w:val="21"/>
                <w:szCs w:val="21"/>
              </w:rPr>
            </w:pPr>
            <w:r>
              <w:rPr>
                <w:rFonts w:hint="eastAsia" w:ascii="宋体" w:hAnsi="宋体" w:cs="宋体"/>
                <w:sz w:val="21"/>
                <w:szCs w:val="21"/>
              </w:rPr>
              <w:t>1.方案内容全面、详细、合理，具有系统性、科学性，核心编制内容具有专业性和针对性，结合项目实际情况可行性强得</w:t>
            </w:r>
            <w:r>
              <w:rPr>
                <w:rFonts w:hint="eastAsia" w:ascii="宋体" w:hAnsi="宋体" w:cs="宋体"/>
                <w:sz w:val="21"/>
                <w:szCs w:val="21"/>
                <w:lang w:val="en-US" w:eastAsia="zh-CN"/>
              </w:rPr>
              <w:t>6</w:t>
            </w:r>
            <w:r>
              <w:rPr>
                <w:rFonts w:hint="eastAsia" w:ascii="宋体" w:hAnsi="宋体" w:cs="宋体"/>
                <w:sz w:val="21"/>
                <w:szCs w:val="21"/>
              </w:rPr>
              <w:t>分；</w:t>
            </w:r>
          </w:p>
          <w:p w14:paraId="7BC89D01">
            <w:pPr>
              <w:pStyle w:val="23"/>
              <w:spacing w:line="360" w:lineRule="auto"/>
              <w:rPr>
                <w:rFonts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.方案内容全面、详细得</w:t>
            </w:r>
            <w:r>
              <w:rPr>
                <w:rFonts w:hint="eastAsia" w:ascii="宋体" w:hAnsi="宋体" w:cs="宋体"/>
                <w:sz w:val="21"/>
                <w:szCs w:val="21"/>
                <w:lang w:val="en-US" w:eastAsia="zh-CN"/>
              </w:rPr>
              <w:t>4</w:t>
            </w:r>
            <w:r>
              <w:rPr>
                <w:rFonts w:hint="eastAsia" w:ascii="宋体" w:hAnsi="宋体" w:cs="宋体"/>
                <w:sz w:val="21"/>
                <w:szCs w:val="21"/>
              </w:rPr>
              <w:t>分；</w:t>
            </w:r>
          </w:p>
          <w:p w14:paraId="0F3FE8D1">
            <w:pPr>
              <w:pStyle w:val="23"/>
              <w:spacing w:line="360" w:lineRule="auto"/>
              <w:rPr>
                <w:rFonts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.具备整体工作方案得</w:t>
            </w:r>
            <w:r>
              <w:rPr>
                <w:rFonts w:hint="eastAsia" w:ascii="宋体" w:hAnsi="宋体" w:cs="宋体"/>
                <w:sz w:val="21"/>
                <w:szCs w:val="21"/>
                <w:lang w:val="en-US" w:eastAsia="zh-CN"/>
              </w:rPr>
              <w:t>2</w:t>
            </w:r>
            <w:r>
              <w:rPr>
                <w:rFonts w:hint="eastAsia" w:ascii="宋体" w:hAnsi="宋体" w:cs="宋体"/>
                <w:sz w:val="21"/>
                <w:szCs w:val="21"/>
              </w:rPr>
              <w:t>分；</w:t>
            </w:r>
          </w:p>
          <w:p w14:paraId="5000FA8E">
            <w:pPr>
              <w:pStyle w:val="23"/>
              <w:spacing w:line="360" w:lineRule="auto"/>
              <w:rPr>
                <w:rFonts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.未提供则不得分。</w:t>
            </w:r>
          </w:p>
        </w:tc>
        <w:tc>
          <w:tcPr>
            <w:tcW w:w="413" w:type="pct"/>
            <w:vAlign w:val="center"/>
          </w:tcPr>
          <w:p w14:paraId="652AB5F2">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lang w:val="en-US" w:eastAsia="zh-CN"/>
              </w:rPr>
              <w:t>6</w:t>
            </w:r>
          </w:p>
        </w:tc>
      </w:tr>
      <w:tr w14:paraId="3D30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5" w:type="pct"/>
            <w:vAlign w:val="center"/>
          </w:tcPr>
          <w:p w14:paraId="3470AF7E">
            <w:pPr>
              <w:tabs>
                <w:tab w:val="left" w:pos="1899"/>
              </w:tabs>
              <w:adjustRightInd w:val="0"/>
              <w:snapToGrid w:val="0"/>
              <w:spacing w:before="100" w:after="50" w:line="360" w:lineRule="auto"/>
              <w:jc w:val="center"/>
              <w:rPr>
                <w:rFonts w:hint="default" w:ascii="宋体" w:hAnsi="宋体" w:eastAsia="宋体" w:cs="宋体"/>
                <w:lang w:val="en-US" w:eastAsia="zh-CN"/>
              </w:rPr>
            </w:pPr>
            <w:r>
              <w:rPr>
                <w:rFonts w:hint="eastAsia" w:ascii="宋体" w:hAnsi="宋体" w:cs="宋体"/>
                <w:lang w:val="en-US" w:eastAsia="zh-CN"/>
              </w:rPr>
              <w:t>23</w:t>
            </w:r>
          </w:p>
        </w:tc>
        <w:tc>
          <w:tcPr>
            <w:tcW w:w="398" w:type="pct"/>
            <w:vMerge w:val="continue"/>
            <w:vAlign w:val="center"/>
          </w:tcPr>
          <w:p w14:paraId="285D4BB9">
            <w:pPr>
              <w:tabs>
                <w:tab w:val="left" w:pos="1899"/>
              </w:tabs>
              <w:adjustRightInd w:val="0"/>
              <w:snapToGrid w:val="0"/>
              <w:spacing w:before="100" w:after="50" w:line="360" w:lineRule="auto"/>
              <w:jc w:val="center"/>
              <w:rPr>
                <w:rFonts w:ascii="宋体" w:hAnsi="宋体" w:cs="宋体"/>
              </w:rPr>
            </w:pPr>
          </w:p>
        </w:tc>
        <w:tc>
          <w:tcPr>
            <w:tcW w:w="616" w:type="pct"/>
            <w:vAlign w:val="center"/>
          </w:tcPr>
          <w:p w14:paraId="22873102">
            <w:pPr>
              <w:tabs>
                <w:tab w:val="left" w:pos="1899"/>
              </w:tabs>
              <w:adjustRightInd w:val="0"/>
              <w:snapToGrid w:val="0"/>
              <w:spacing w:before="100" w:after="50" w:line="360" w:lineRule="auto"/>
              <w:jc w:val="center"/>
              <w:rPr>
                <w:rFonts w:ascii="宋体" w:hAnsi="宋体" w:cs="宋体"/>
              </w:rPr>
            </w:pPr>
            <w:r>
              <w:rPr>
                <w:szCs w:val="21"/>
              </w:rPr>
              <w:t>合理化建议</w:t>
            </w:r>
          </w:p>
        </w:tc>
        <w:tc>
          <w:tcPr>
            <w:tcW w:w="3237" w:type="pct"/>
            <w:vAlign w:val="center"/>
          </w:tcPr>
          <w:p w14:paraId="2E5E3082">
            <w:pPr>
              <w:pStyle w:val="23"/>
              <w:spacing w:line="360" w:lineRule="auto"/>
              <w:rPr>
                <w:rFonts w:ascii="宋体" w:hAnsi="宋体" w:cs="宋体"/>
                <w:sz w:val="21"/>
                <w:szCs w:val="21"/>
              </w:rPr>
            </w:pPr>
            <w:r>
              <w:rPr>
                <w:rFonts w:hint="eastAsia" w:ascii="宋体" w:hAnsi="宋体" w:cs="宋体"/>
                <w:sz w:val="21"/>
                <w:szCs w:val="21"/>
              </w:rPr>
              <w:t>根据投标人对本项目的合理化建议是否对招标人有利程度进行综合打分：</w:t>
            </w:r>
          </w:p>
          <w:p w14:paraId="4BC0A974">
            <w:pPr>
              <w:pStyle w:val="23"/>
              <w:spacing w:line="360" w:lineRule="auto"/>
              <w:rPr>
                <w:rFonts w:ascii="宋体" w:hAnsi="宋体" w:cs="宋体"/>
                <w:sz w:val="21"/>
                <w:szCs w:val="21"/>
              </w:rPr>
            </w:pPr>
            <w:r>
              <w:rPr>
                <w:rFonts w:hint="eastAsia" w:ascii="宋体" w:hAnsi="宋体" w:cs="宋体"/>
                <w:sz w:val="21"/>
                <w:szCs w:val="21"/>
              </w:rPr>
              <w:t>1.符合采购人实际需求、能够切实提升效率的得</w:t>
            </w:r>
            <w:r>
              <w:rPr>
                <w:rFonts w:hint="eastAsia" w:ascii="宋体" w:hAnsi="宋体" w:cs="宋体"/>
                <w:sz w:val="21"/>
                <w:szCs w:val="21"/>
                <w:lang w:val="en-US" w:eastAsia="zh-CN"/>
              </w:rPr>
              <w:t>4</w:t>
            </w:r>
            <w:r>
              <w:rPr>
                <w:rFonts w:hint="eastAsia" w:ascii="宋体" w:hAnsi="宋体" w:cs="宋体"/>
                <w:sz w:val="21"/>
                <w:szCs w:val="21"/>
              </w:rPr>
              <w:t>分；</w:t>
            </w:r>
          </w:p>
          <w:p w14:paraId="14C62DA3">
            <w:pPr>
              <w:pStyle w:val="23"/>
              <w:spacing w:line="360" w:lineRule="auto"/>
              <w:rPr>
                <w:rFonts w:ascii="宋体" w:hAnsi="宋体" w:cs="宋体"/>
                <w:sz w:val="21"/>
                <w:szCs w:val="21"/>
              </w:rPr>
            </w:pPr>
            <w:r>
              <w:rPr>
                <w:rFonts w:hint="eastAsia" w:ascii="宋体" w:hAnsi="宋体" w:cs="宋体"/>
                <w:sz w:val="21"/>
                <w:szCs w:val="21"/>
              </w:rPr>
              <w:t>2.与采购人实际需求有一定差距、实用性一般的，得</w:t>
            </w:r>
            <w:r>
              <w:rPr>
                <w:rFonts w:hint="eastAsia" w:ascii="宋体" w:hAnsi="宋体" w:cs="宋体"/>
                <w:sz w:val="21"/>
                <w:szCs w:val="21"/>
                <w:lang w:val="en-US" w:eastAsia="zh-CN"/>
              </w:rPr>
              <w:t>2</w:t>
            </w:r>
            <w:r>
              <w:rPr>
                <w:rFonts w:hint="eastAsia" w:ascii="宋体" w:hAnsi="宋体" w:cs="宋体"/>
                <w:sz w:val="21"/>
                <w:szCs w:val="21"/>
              </w:rPr>
              <w:t>分；</w:t>
            </w:r>
            <w:r>
              <w:rPr>
                <w:rFonts w:hint="eastAsia" w:ascii="宋体" w:hAnsi="宋体" w:cs="宋体"/>
                <w:sz w:val="21"/>
                <w:szCs w:val="21"/>
              </w:rPr>
              <w:br w:type="textWrapping"/>
            </w:r>
            <w:r>
              <w:rPr>
                <w:rFonts w:hint="eastAsia" w:ascii="宋体" w:hAnsi="宋体" w:cs="宋体"/>
                <w:sz w:val="21"/>
                <w:szCs w:val="21"/>
              </w:rPr>
              <w:t>3.与采购人实际需求差距较大、实用性较差的，得1分；</w:t>
            </w:r>
          </w:p>
          <w:p w14:paraId="65746B49">
            <w:pPr>
              <w:pStyle w:val="23"/>
              <w:spacing w:line="360" w:lineRule="auto"/>
              <w:rPr>
                <w:rFonts w:ascii="宋体" w:hAnsi="宋体" w:cs="宋体"/>
              </w:rPr>
            </w:pPr>
            <w:r>
              <w:rPr>
                <w:rFonts w:hint="eastAsia" w:ascii="宋体" w:hAnsi="宋体" w:cs="宋体"/>
                <w:sz w:val="21"/>
                <w:szCs w:val="21"/>
              </w:rPr>
              <w:t>4.项目合理化建议完全偏离或未做相关描述的不得分。</w:t>
            </w:r>
          </w:p>
        </w:tc>
        <w:tc>
          <w:tcPr>
            <w:tcW w:w="413" w:type="pct"/>
            <w:vAlign w:val="center"/>
          </w:tcPr>
          <w:p w14:paraId="04268730">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lang w:val="en-US" w:eastAsia="zh-CN"/>
              </w:rPr>
              <w:t>4</w:t>
            </w:r>
          </w:p>
        </w:tc>
      </w:tr>
      <w:tr w14:paraId="6002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35" w:type="pct"/>
            <w:vAlign w:val="center"/>
          </w:tcPr>
          <w:p w14:paraId="4B3CF18C">
            <w:pPr>
              <w:tabs>
                <w:tab w:val="left" w:pos="1899"/>
              </w:tabs>
              <w:adjustRightInd w:val="0"/>
              <w:snapToGrid w:val="0"/>
              <w:spacing w:before="100" w:after="50" w:line="360" w:lineRule="auto"/>
              <w:jc w:val="center"/>
              <w:rPr>
                <w:rFonts w:hint="default" w:ascii="宋体" w:hAnsi="宋体" w:eastAsia="宋体" w:cs="宋体"/>
                <w:lang w:val="en-US" w:eastAsia="zh-CN"/>
              </w:rPr>
            </w:pPr>
            <w:r>
              <w:rPr>
                <w:rFonts w:hint="eastAsia" w:ascii="宋体" w:hAnsi="宋体" w:cs="宋体"/>
                <w:lang w:val="en-US" w:eastAsia="zh-CN"/>
              </w:rPr>
              <w:t>24</w:t>
            </w:r>
          </w:p>
        </w:tc>
        <w:tc>
          <w:tcPr>
            <w:tcW w:w="398" w:type="pct"/>
            <w:vMerge w:val="continue"/>
            <w:vAlign w:val="center"/>
          </w:tcPr>
          <w:p w14:paraId="431D8B0E">
            <w:pPr>
              <w:tabs>
                <w:tab w:val="left" w:pos="1899"/>
              </w:tabs>
              <w:adjustRightInd w:val="0"/>
              <w:snapToGrid w:val="0"/>
              <w:spacing w:before="100" w:after="50" w:line="360" w:lineRule="auto"/>
              <w:jc w:val="center"/>
              <w:rPr>
                <w:rFonts w:ascii="宋体" w:hAnsi="宋体" w:cs="宋体"/>
              </w:rPr>
            </w:pPr>
          </w:p>
        </w:tc>
        <w:tc>
          <w:tcPr>
            <w:tcW w:w="616" w:type="pct"/>
            <w:vAlign w:val="center"/>
          </w:tcPr>
          <w:p w14:paraId="1DC7E297">
            <w:pPr>
              <w:tabs>
                <w:tab w:val="left" w:pos="1899"/>
              </w:tabs>
              <w:adjustRightInd w:val="0"/>
              <w:snapToGrid w:val="0"/>
              <w:spacing w:before="100" w:after="50" w:line="360" w:lineRule="auto"/>
              <w:jc w:val="center"/>
              <w:rPr>
                <w:szCs w:val="21"/>
              </w:rPr>
            </w:pPr>
            <w:r>
              <w:rPr>
                <w:szCs w:val="21"/>
              </w:rPr>
              <w:t>响应服务承诺及服务机构设立情况</w:t>
            </w:r>
          </w:p>
        </w:tc>
        <w:tc>
          <w:tcPr>
            <w:tcW w:w="3237" w:type="pct"/>
            <w:vAlign w:val="center"/>
          </w:tcPr>
          <w:p w14:paraId="31673CCD">
            <w:pPr>
              <w:pStyle w:val="23"/>
              <w:spacing w:line="360" w:lineRule="auto"/>
              <w:rPr>
                <w:rFonts w:ascii="宋体" w:hAnsi="宋体" w:cs="宋体"/>
                <w:sz w:val="21"/>
                <w:szCs w:val="21"/>
              </w:rPr>
            </w:pPr>
            <w:r>
              <w:rPr>
                <w:rFonts w:hint="eastAsia" w:ascii="宋体" w:hAnsi="宋体" w:cs="宋体"/>
                <w:sz w:val="21"/>
                <w:szCs w:val="21"/>
              </w:rPr>
              <w:t>根据投标人合同履行期内服务响应时间及故障排除时间承诺是否高效、便捷，专业技术服务人员配置调度能力是否满足应急响应需求、售后服务能力（售后服务机构分布（或承诺设置售后服务机构）、服务的专业技术能力等方面）的情况(提供证明材料、承诺设置售后服务机构的需提供承诺函，否则不得分) 等情况，由评委进行综合评议：</w:t>
            </w:r>
          </w:p>
          <w:p w14:paraId="57A8218E">
            <w:pPr>
              <w:pStyle w:val="23"/>
              <w:spacing w:line="360" w:lineRule="auto"/>
              <w:rPr>
                <w:rFonts w:ascii="宋体" w:hAnsi="宋体" w:cs="宋体"/>
                <w:sz w:val="21"/>
                <w:szCs w:val="21"/>
              </w:rPr>
            </w:pPr>
            <w:r>
              <w:rPr>
                <w:rFonts w:hint="eastAsia" w:ascii="宋体" w:hAnsi="宋体" w:cs="宋体"/>
                <w:sz w:val="21"/>
                <w:szCs w:val="21"/>
              </w:rPr>
              <w:t>1.售后服务方案完善，服务团队人员齐全，备品备件充足，现场响应时间等本地化服务能力强的，</w:t>
            </w:r>
            <w:r>
              <w:rPr>
                <w:rFonts w:hint="eastAsia" w:ascii="宋体" w:hAnsi="宋体" w:cs="宋体"/>
                <w:sz w:val="21"/>
                <w:szCs w:val="21"/>
                <w:lang w:val="en-US" w:eastAsia="zh-CN"/>
              </w:rPr>
              <w:t>5</w:t>
            </w:r>
            <w:r>
              <w:rPr>
                <w:rFonts w:hint="eastAsia" w:ascii="宋体" w:hAnsi="宋体" w:cs="宋体"/>
                <w:sz w:val="21"/>
                <w:szCs w:val="21"/>
              </w:rPr>
              <w:t>分；</w:t>
            </w:r>
          </w:p>
          <w:p w14:paraId="68A3D273">
            <w:pPr>
              <w:pStyle w:val="23"/>
              <w:spacing w:line="360" w:lineRule="auto"/>
              <w:rPr>
                <w:rFonts w:ascii="宋体" w:hAnsi="宋体" w:cs="宋体"/>
                <w:sz w:val="21"/>
                <w:szCs w:val="21"/>
              </w:rPr>
            </w:pPr>
            <w:r>
              <w:rPr>
                <w:rFonts w:hint="eastAsia" w:ascii="宋体" w:hAnsi="宋体" w:cs="宋体"/>
                <w:sz w:val="21"/>
                <w:szCs w:val="21"/>
              </w:rPr>
              <w:t>2.售后服务方案全面，服务团队人员足够，备品备件较为足够，现场响应时间等本地化服务能力较强的，3分；</w:t>
            </w:r>
          </w:p>
          <w:p w14:paraId="07C8DBE7">
            <w:pPr>
              <w:pStyle w:val="23"/>
              <w:spacing w:line="360" w:lineRule="auto"/>
              <w:rPr>
                <w:rFonts w:ascii="宋体" w:hAnsi="宋体" w:cs="宋体"/>
                <w:sz w:val="21"/>
                <w:szCs w:val="21"/>
              </w:rPr>
            </w:pPr>
            <w:r>
              <w:rPr>
                <w:rFonts w:hint="eastAsia" w:ascii="宋体" w:hAnsi="宋体" w:cs="宋体"/>
                <w:sz w:val="21"/>
                <w:szCs w:val="21"/>
              </w:rPr>
              <w:t>3.售后服务方案基本完整，服务团队人员、备品备件基本足够，现场响应时间等本地化服务能力尚可的，1分；</w:t>
            </w:r>
          </w:p>
          <w:p w14:paraId="4C827CD6">
            <w:pPr>
              <w:pStyle w:val="23"/>
              <w:spacing w:line="360" w:lineRule="auto"/>
              <w:rPr>
                <w:rFonts w:ascii="宋体" w:hAnsi="宋体" w:cs="宋体"/>
                <w:sz w:val="21"/>
                <w:szCs w:val="21"/>
              </w:rPr>
            </w:pPr>
            <w:r>
              <w:rPr>
                <w:rFonts w:hint="eastAsia" w:ascii="宋体" w:hAnsi="宋体" w:cs="宋体"/>
                <w:sz w:val="21"/>
                <w:szCs w:val="21"/>
              </w:rPr>
              <w:t>4.未提供或不满足招标人要求的不得分。</w:t>
            </w:r>
          </w:p>
        </w:tc>
        <w:tc>
          <w:tcPr>
            <w:tcW w:w="413" w:type="pct"/>
            <w:vAlign w:val="center"/>
          </w:tcPr>
          <w:p w14:paraId="44D6A457">
            <w:pPr>
              <w:tabs>
                <w:tab w:val="left" w:pos="1899"/>
              </w:tabs>
              <w:adjustRightInd w:val="0"/>
              <w:snapToGrid w:val="0"/>
              <w:spacing w:before="100" w:after="50" w:line="360" w:lineRule="auto"/>
              <w:jc w:val="center"/>
              <w:rPr>
                <w:rFonts w:hint="eastAsia" w:ascii="宋体" w:hAnsi="宋体" w:eastAsia="宋体" w:cs="宋体"/>
                <w:lang w:eastAsia="zh-CN"/>
              </w:rPr>
            </w:pPr>
            <w:r>
              <w:rPr>
                <w:rFonts w:hint="eastAsia" w:ascii="宋体" w:hAnsi="宋体" w:cs="宋体"/>
                <w:lang w:val="en-US" w:eastAsia="zh-CN"/>
              </w:rPr>
              <w:t>5</w:t>
            </w:r>
          </w:p>
        </w:tc>
      </w:tr>
    </w:tbl>
    <w:p w14:paraId="250283AB">
      <w:pPr>
        <w:spacing w:line="360" w:lineRule="auto"/>
        <w:ind w:left="661" w:hanging="241"/>
        <w:outlineLvl w:val="1"/>
        <w:rPr>
          <w:rFonts w:ascii="黑体" w:hAnsi="黑体" w:eastAsia="黑体" w:cs="黑体"/>
          <w:b/>
          <w:sz w:val="24"/>
        </w:rPr>
      </w:pPr>
      <w:r>
        <w:rPr>
          <w:rFonts w:hint="eastAsia" w:ascii="黑体" w:hAnsi="黑体" w:eastAsia="黑体" w:cs="黑体"/>
          <w:b/>
          <w:sz w:val="24"/>
        </w:rPr>
        <w:t xml:space="preserve">四、评审内容及标准 </w:t>
      </w:r>
    </w:p>
    <w:p w14:paraId="5FE8521E">
      <w:pPr>
        <w:spacing w:line="360" w:lineRule="auto"/>
        <w:ind w:left="420" w:firstLine="413" w:firstLineChars="196"/>
        <w:outlineLvl w:val="2"/>
        <w:rPr>
          <w:rFonts w:ascii="黑体" w:hAnsi="黑体" w:eastAsia="黑体" w:cs="黑体"/>
          <w:b/>
          <w:bCs/>
          <w:szCs w:val="21"/>
        </w:rPr>
      </w:pPr>
      <w:r>
        <w:rPr>
          <w:rFonts w:hint="eastAsia" w:ascii="黑体" w:hAnsi="黑体" w:eastAsia="黑体" w:cs="黑体"/>
          <w:b/>
          <w:bCs/>
          <w:szCs w:val="21"/>
        </w:rPr>
        <w:t>（一）</w:t>
      </w:r>
      <w:r>
        <w:rPr>
          <w:rFonts w:hint="eastAsia" w:ascii="黑体" w:hAnsi="黑体" w:eastAsia="黑体" w:cs="黑体"/>
          <w:b/>
          <w:szCs w:val="21"/>
        </w:rPr>
        <w:t>商务技术</w:t>
      </w:r>
      <w:r>
        <w:rPr>
          <w:rFonts w:hint="eastAsia" w:ascii="黑体" w:hAnsi="黑体" w:eastAsia="黑体" w:cs="黑体"/>
          <w:b/>
          <w:bCs/>
          <w:szCs w:val="21"/>
        </w:rPr>
        <w:t>评分（ 90分）</w:t>
      </w:r>
    </w:p>
    <w:p w14:paraId="62064459">
      <w:pPr>
        <w:snapToGrid w:val="0"/>
        <w:spacing w:line="360" w:lineRule="auto"/>
        <w:ind w:left="420" w:firstLine="422" w:firstLineChars="200"/>
        <w:rPr>
          <w:rFonts w:ascii="宋体" w:hAnsi="宋体" w:cs="宋体"/>
          <w:b/>
          <w:bCs/>
          <w:szCs w:val="21"/>
        </w:rPr>
      </w:pPr>
      <w:r>
        <w:rPr>
          <w:rFonts w:hint="eastAsia" w:ascii="宋体" w:hAnsi="宋体" w:cs="宋体"/>
          <w:b/>
          <w:szCs w:val="21"/>
        </w:rPr>
        <w:t> *备注：投标人编制投标文件（商务技术文件部分）时，建议按此目录（序号和内容）提供评标标准相应的商务技术资料。</w:t>
      </w:r>
    </w:p>
    <w:p w14:paraId="3385B0CC">
      <w:pPr>
        <w:snapToGrid w:val="0"/>
        <w:spacing w:line="360" w:lineRule="auto"/>
        <w:ind w:left="420" w:firstLine="422" w:firstLineChars="200"/>
        <w:outlineLvl w:val="2"/>
        <w:rPr>
          <w:rFonts w:ascii="黑体" w:hAnsi="黑体" w:eastAsia="黑体" w:cs="黑体"/>
          <w:b/>
          <w:bCs/>
          <w:szCs w:val="21"/>
          <w:highlight w:val="none"/>
        </w:rPr>
      </w:pPr>
      <w:r>
        <w:rPr>
          <w:rFonts w:hint="eastAsia" w:ascii="黑体" w:hAnsi="黑体" w:eastAsia="黑体" w:cs="黑体"/>
          <w:b/>
          <w:bCs/>
          <w:szCs w:val="21"/>
        </w:rPr>
        <w:t>（二）</w:t>
      </w:r>
      <w:r>
        <w:rPr>
          <w:rFonts w:hint="eastAsia" w:ascii="黑体" w:hAnsi="黑体" w:eastAsia="黑体" w:cs="黑体"/>
          <w:b/>
          <w:szCs w:val="21"/>
        </w:rPr>
        <w:t>价格得分（</w:t>
      </w:r>
      <w:r>
        <w:rPr>
          <w:rFonts w:hint="eastAsia" w:ascii="黑体" w:hAnsi="黑体" w:eastAsia="黑体" w:cs="黑体"/>
          <w:b/>
          <w:szCs w:val="21"/>
          <w:highlight w:val="none"/>
        </w:rPr>
        <w:t>10分）</w:t>
      </w:r>
    </w:p>
    <w:p w14:paraId="0819A361">
      <w:pPr>
        <w:snapToGrid w:val="0"/>
        <w:spacing w:line="360" w:lineRule="auto"/>
        <w:ind w:left="420" w:firstLine="420" w:firstLineChars="200"/>
        <w:rPr>
          <w:rFonts w:ascii="宋体" w:hAnsi="宋体" w:cs="宋体"/>
          <w:szCs w:val="21"/>
          <w:highlight w:val="none"/>
        </w:rPr>
      </w:pPr>
      <w:r>
        <w:rPr>
          <w:rFonts w:hint="eastAsia" w:ascii="宋体" w:hAnsi="宋体" w:cs="宋体"/>
          <w:szCs w:val="21"/>
          <w:highlight w:val="none"/>
        </w:rPr>
        <w:t>价格分采用低价优先法计算，即满足招标文件要求且投标价格最低的投标报价为评标基准价，其他投标投标人的价格分按照下列公式计算：</w:t>
      </w:r>
    </w:p>
    <w:p w14:paraId="2CA70B52">
      <w:pPr>
        <w:snapToGrid w:val="0"/>
        <w:spacing w:line="360" w:lineRule="auto"/>
        <w:ind w:left="420" w:firstLine="420" w:firstLineChars="200"/>
        <w:rPr>
          <w:rFonts w:ascii="宋体" w:hAnsi="宋体" w:cs="宋体"/>
          <w:b/>
          <w:szCs w:val="21"/>
          <w:highlight w:val="none"/>
        </w:rPr>
      </w:pPr>
      <w:r>
        <w:rPr>
          <w:rFonts w:hint="eastAsia" w:ascii="宋体" w:hAnsi="宋体" w:cs="宋体"/>
          <w:szCs w:val="21"/>
          <w:highlight w:val="none"/>
        </w:rPr>
        <w:t>价格分=（评标基准价/投标报价）×10</w:t>
      </w:r>
    </w:p>
    <w:p w14:paraId="2BB585F1">
      <w:pPr>
        <w:snapToGrid w:val="0"/>
        <w:spacing w:line="360" w:lineRule="auto"/>
        <w:ind w:left="420" w:firstLine="420" w:firstLineChars="200"/>
        <w:jc w:val="left"/>
        <w:rPr>
          <w:rFonts w:ascii="宋体" w:hAnsi="宋体" w:cs="宋体"/>
          <w:szCs w:val="21"/>
        </w:rPr>
      </w:pPr>
      <w:r>
        <w:rPr>
          <w:rFonts w:hint="eastAsia" w:ascii="宋体" w:hAnsi="宋体" w:cs="宋体"/>
          <w:szCs w:val="21"/>
        </w:rPr>
        <w:t>此项由评标委员会集体核实后统一评分。</w:t>
      </w:r>
    </w:p>
    <w:p w14:paraId="01A5C992">
      <w:pPr>
        <w:widowControl/>
        <w:spacing w:line="360" w:lineRule="auto"/>
        <w:ind w:left="631" w:hanging="211"/>
        <w:jc w:val="center"/>
        <w:rPr>
          <w:rFonts w:ascii="宋体" w:hAnsi="宋体" w:cs="宋体"/>
          <w:b/>
          <w:szCs w:val="21"/>
        </w:rPr>
      </w:pPr>
    </w:p>
    <w:p w14:paraId="23A47F01">
      <w:pPr>
        <w:pStyle w:val="23"/>
        <w:spacing w:line="360" w:lineRule="auto"/>
        <w:rPr>
          <w:rFonts w:ascii="宋体" w:hAnsi="宋体" w:cs="宋体"/>
          <w:sz w:val="21"/>
          <w:szCs w:val="21"/>
        </w:rPr>
      </w:pPr>
    </w:p>
    <w:p w14:paraId="1853CF72">
      <w:pPr>
        <w:rPr>
          <w:rFonts w:ascii="宋体" w:hAnsi="宋体" w:cs="宋体"/>
          <w:sz w:val="21"/>
          <w:szCs w:val="21"/>
        </w:rPr>
      </w:pPr>
    </w:p>
    <w:p w14:paraId="035019A5">
      <w:pPr>
        <w:rPr>
          <w:rFonts w:ascii="宋体" w:hAnsi="宋体" w:cs="宋体"/>
          <w:sz w:val="21"/>
          <w:szCs w:val="21"/>
        </w:rPr>
      </w:pPr>
    </w:p>
    <w:p w14:paraId="7B5FD45F">
      <w:pPr>
        <w:rPr>
          <w:rFonts w:ascii="宋体" w:hAnsi="宋体" w:cs="宋体"/>
          <w:sz w:val="21"/>
          <w:szCs w:val="21"/>
        </w:rPr>
      </w:pPr>
    </w:p>
    <w:p w14:paraId="27CDE78A">
      <w:pPr>
        <w:rPr>
          <w:rFonts w:ascii="宋体" w:hAnsi="宋体" w:cs="宋体"/>
          <w:sz w:val="21"/>
          <w:szCs w:val="21"/>
        </w:rPr>
      </w:pPr>
    </w:p>
    <w:p w14:paraId="5E8A276B">
      <w:pPr>
        <w:rPr>
          <w:rFonts w:ascii="宋体" w:hAnsi="宋体" w:cs="宋体"/>
          <w:sz w:val="21"/>
          <w:szCs w:val="21"/>
        </w:rPr>
      </w:pPr>
    </w:p>
    <w:p w14:paraId="38CB5399">
      <w:pPr>
        <w:rPr>
          <w:rFonts w:ascii="宋体" w:hAnsi="宋体" w:cs="宋体"/>
          <w:sz w:val="21"/>
          <w:szCs w:val="21"/>
        </w:rPr>
      </w:pPr>
    </w:p>
    <w:p w14:paraId="77B7869B">
      <w:pPr>
        <w:rPr>
          <w:rFonts w:ascii="宋体" w:hAnsi="宋体" w:cs="宋体"/>
          <w:sz w:val="21"/>
          <w:szCs w:val="21"/>
        </w:rPr>
      </w:pPr>
    </w:p>
    <w:p w14:paraId="01171CA3">
      <w:pPr>
        <w:rPr>
          <w:rFonts w:ascii="宋体" w:hAnsi="宋体" w:cs="宋体"/>
          <w:sz w:val="21"/>
          <w:szCs w:val="21"/>
        </w:rPr>
      </w:pPr>
    </w:p>
    <w:p w14:paraId="0B034A86">
      <w:pPr>
        <w:rPr>
          <w:rFonts w:ascii="宋体" w:hAnsi="宋体" w:cs="宋体"/>
          <w:sz w:val="21"/>
          <w:szCs w:val="21"/>
        </w:rPr>
      </w:pPr>
    </w:p>
    <w:p w14:paraId="33E1FDFC">
      <w:pPr>
        <w:rPr>
          <w:rFonts w:ascii="宋体" w:hAnsi="宋体" w:cs="宋体"/>
          <w:sz w:val="21"/>
          <w:szCs w:val="21"/>
        </w:rPr>
      </w:pPr>
    </w:p>
    <w:p w14:paraId="39E300BC">
      <w:pPr>
        <w:rPr>
          <w:rFonts w:ascii="宋体" w:hAnsi="宋体" w:cs="宋体"/>
          <w:sz w:val="21"/>
          <w:szCs w:val="21"/>
        </w:rPr>
      </w:pPr>
    </w:p>
    <w:p w14:paraId="5A2FA20E">
      <w:pPr>
        <w:rPr>
          <w:rFonts w:ascii="宋体" w:hAnsi="宋体" w:cs="宋体"/>
          <w:sz w:val="21"/>
          <w:szCs w:val="21"/>
        </w:rPr>
      </w:pPr>
    </w:p>
    <w:p w14:paraId="15B3F10D">
      <w:pPr>
        <w:rPr>
          <w:rFonts w:ascii="宋体" w:hAnsi="宋体" w:cs="宋体"/>
          <w:sz w:val="21"/>
          <w:szCs w:val="21"/>
        </w:rPr>
      </w:pPr>
    </w:p>
    <w:p w14:paraId="18169107">
      <w:pPr>
        <w:rPr>
          <w:rFonts w:ascii="宋体" w:hAnsi="宋体" w:cs="宋体"/>
          <w:sz w:val="21"/>
          <w:szCs w:val="21"/>
        </w:rPr>
      </w:pPr>
    </w:p>
    <w:p w14:paraId="748D6D02">
      <w:pPr>
        <w:rPr>
          <w:rFonts w:ascii="宋体" w:hAnsi="宋体" w:cs="宋体"/>
          <w:sz w:val="21"/>
          <w:szCs w:val="21"/>
        </w:rPr>
      </w:pPr>
    </w:p>
    <w:p w14:paraId="7D6B4D3B">
      <w:pPr>
        <w:rPr>
          <w:rFonts w:ascii="宋体" w:hAnsi="宋体" w:cs="宋体"/>
          <w:sz w:val="21"/>
          <w:szCs w:val="21"/>
        </w:rPr>
      </w:pPr>
    </w:p>
    <w:p w14:paraId="6665E0DD">
      <w:pPr>
        <w:rPr>
          <w:rFonts w:ascii="宋体" w:hAnsi="宋体" w:cs="宋体"/>
          <w:sz w:val="21"/>
          <w:szCs w:val="21"/>
        </w:rPr>
      </w:pPr>
    </w:p>
    <w:p w14:paraId="31A0D59B">
      <w:pPr>
        <w:rPr>
          <w:rFonts w:ascii="宋体" w:hAnsi="宋体" w:cs="宋体"/>
          <w:sz w:val="21"/>
          <w:szCs w:val="21"/>
        </w:rPr>
      </w:pPr>
    </w:p>
    <w:p w14:paraId="647A23F0">
      <w:pPr>
        <w:rPr>
          <w:rFonts w:ascii="宋体" w:hAnsi="宋体" w:cs="宋体"/>
          <w:sz w:val="21"/>
          <w:szCs w:val="21"/>
        </w:rPr>
      </w:pPr>
    </w:p>
    <w:p w14:paraId="01682876">
      <w:pPr>
        <w:rPr>
          <w:rFonts w:ascii="宋体" w:hAnsi="宋体" w:cs="宋体"/>
          <w:sz w:val="21"/>
          <w:szCs w:val="21"/>
        </w:rPr>
      </w:pPr>
    </w:p>
    <w:p w14:paraId="40BCCF9F">
      <w:pPr>
        <w:rPr>
          <w:rFonts w:ascii="宋体" w:hAnsi="宋体" w:cs="宋体"/>
          <w:sz w:val="21"/>
          <w:szCs w:val="21"/>
        </w:rPr>
      </w:pPr>
    </w:p>
    <w:p w14:paraId="7DED467B">
      <w:pPr>
        <w:rPr>
          <w:rFonts w:ascii="宋体" w:hAnsi="宋体" w:cs="宋体"/>
          <w:sz w:val="21"/>
          <w:szCs w:val="21"/>
        </w:rPr>
      </w:pPr>
    </w:p>
    <w:p w14:paraId="2A9EF915">
      <w:pPr>
        <w:rPr>
          <w:rFonts w:ascii="宋体" w:hAnsi="宋体" w:cs="宋体"/>
          <w:sz w:val="21"/>
          <w:szCs w:val="21"/>
        </w:rPr>
      </w:pPr>
    </w:p>
    <w:p w14:paraId="2249A39A">
      <w:pPr>
        <w:pStyle w:val="52"/>
        <w:spacing w:after="120"/>
        <w:ind w:left="660" w:hanging="240"/>
      </w:pPr>
    </w:p>
    <w:p w14:paraId="5889999D">
      <w:pPr>
        <w:pStyle w:val="52"/>
        <w:spacing w:after="120"/>
        <w:ind w:left="660" w:hanging="240"/>
      </w:pPr>
    </w:p>
    <w:p w14:paraId="59DC98AC">
      <w:pPr>
        <w:pStyle w:val="52"/>
        <w:spacing w:after="120"/>
        <w:ind w:left="660" w:hanging="240"/>
      </w:pPr>
    </w:p>
    <w:p w14:paraId="77C57443">
      <w:pPr>
        <w:pStyle w:val="2"/>
        <w:spacing w:line="360" w:lineRule="auto"/>
        <w:ind w:left="741" w:hanging="321"/>
        <w:rPr>
          <w:rFonts w:ascii="黑体" w:hAnsi="黑体" w:eastAsia="黑体" w:cs="黑体"/>
        </w:rPr>
      </w:pPr>
      <w:bookmarkStart w:id="75" w:name="_Toc66379547"/>
      <w:bookmarkStart w:id="76" w:name="_Toc8090"/>
      <w:r>
        <w:rPr>
          <w:rFonts w:hint="eastAsia" w:ascii="黑体" w:hAnsi="黑体" w:eastAsia="黑体" w:cs="黑体"/>
          <w:sz w:val="32"/>
          <w:szCs w:val="32"/>
        </w:rPr>
        <w:t xml:space="preserve">第五章  </w:t>
      </w:r>
      <w:r>
        <w:rPr>
          <w:rFonts w:hint="eastAsia" w:ascii="黑体" w:hAnsi="黑体" w:eastAsia="黑体" w:cs="黑体"/>
          <w:bCs w:val="0"/>
          <w:sz w:val="32"/>
          <w:szCs w:val="32"/>
        </w:rPr>
        <w:t>合同主要条款</w:t>
      </w:r>
      <w:bookmarkEnd w:id="75"/>
      <w:bookmarkEnd w:id="76"/>
    </w:p>
    <w:p w14:paraId="0DCEB1A3">
      <w:pPr>
        <w:spacing w:line="360" w:lineRule="auto"/>
        <w:ind w:left="420" w:right="-185" w:rightChars="-88" w:firstLine="422" w:firstLineChars="200"/>
        <w:rPr>
          <w:rFonts w:ascii="宋体" w:hAnsi="宋体" w:cs="宋体"/>
          <w:b/>
          <w:bCs/>
          <w:sz w:val="32"/>
          <w:szCs w:val="32"/>
          <w:highlight w:val="yellow"/>
        </w:rPr>
      </w:pPr>
      <w:r>
        <w:rPr>
          <w:rFonts w:hint="eastAsia" w:ascii="宋体" w:hAnsi="宋体" w:cs="宋体"/>
          <w:b/>
          <w:szCs w:val="21"/>
        </w:rPr>
        <w:t>（本条款为买卖双方必须遵守的基本条款，买卖双方可根据实际情况签订合同文本；正式合同以双方签字盖章的文本为准。）</w:t>
      </w:r>
    </w:p>
    <w:p w14:paraId="40D78FCB">
      <w:pPr>
        <w:ind w:left="741" w:hanging="321"/>
        <w:outlineLvl w:val="9"/>
        <w:rPr>
          <w:rFonts w:ascii="宋体" w:hAnsi="宋体" w:cs="宋体"/>
          <w:sz w:val="32"/>
          <w:szCs w:val="32"/>
          <w:highlight w:val="yellow"/>
        </w:rPr>
      </w:pPr>
      <w:bookmarkStart w:id="77" w:name="_Toc66379548"/>
      <w:bookmarkStart w:id="78" w:name="_Toc16069"/>
    </w:p>
    <w:p w14:paraId="333E28D7">
      <w:pPr>
        <w:adjustRightInd w:val="0"/>
        <w:snapToGrid w:val="0"/>
        <w:spacing w:line="560" w:lineRule="exact"/>
        <w:jc w:val="left"/>
        <w:rPr>
          <w:rFonts w:ascii="宋体" w:hAnsi="宋体" w:cs="宋体"/>
          <w:szCs w:val="21"/>
        </w:rPr>
      </w:pPr>
      <w:r>
        <w:rPr>
          <w:rFonts w:hint="eastAsia" w:ascii="宋体" w:hAnsi="宋体" w:cs="宋体"/>
          <w:szCs w:val="21"/>
        </w:rPr>
        <w:t>甲方：舟山市定海区公路与运输管理中心            （以下简称甲方）</w:t>
      </w:r>
    </w:p>
    <w:p w14:paraId="3D02A6F3">
      <w:pPr>
        <w:adjustRightInd w:val="0"/>
        <w:snapToGrid w:val="0"/>
        <w:spacing w:line="560" w:lineRule="exact"/>
        <w:jc w:val="left"/>
        <w:rPr>
          <w:rFonts w:ascii="宋体" w:hAnsi="宋体" w:cs="宋体"/>
          <w:szCs w:val="21"/>
        </w:rPr>
      </w:pPr>
      <w:r>
        <w:rPr>
          <w:rFonts w:hint="eastAsia" w:ascii="宋体" w:hAnsi="宋体" w:cs="宋体"/>
          <w:szCs w:val="21"/>
        </w:rPr>
        <w:t>住所地：</w:t>
      </w:r>
    </w:p>
    <w:p w14:paraId="27AC9B53">
      <w:pPr>
        <w:adjustRightInd w:val="0"/>
        <w:snapToGrid w:val="0"/>
        <w:spacing w:line="560" w:lineRule="exact"/>
        <w:jc w:val="left"/>
        <w:rPr>
          <w:rFonts w:ascii="宋体" w:hAnsi="宋体" w:cs="宋体"/>
          <w:szCs w:val="21"/>
        </w:rPr>
      </w:pPr>
      <w:r>
        <w:rPr>
          <w:rFonts w:hint="eastAsia" w:ascii="宋体" w:hAnsi="宋体" w:cs="宋体"/>
          <w:szCs w:val="21"/>
        </w:rPr>
        <w:t>法定代表人：</w:t>
      </w:r>
    </w:p>
    <w:p w14:paraId="4A86278B">
      <w:pPr>
        <w:adjustRightInd w:val="0"/>
        <w:snapToGrid w:val="0"/>
        <w:spacing w:line="560" w:lineRule="exact"/>
        <w:jc w:val="left"/>
        <w:rPr>
          <w:rFonts w:ascii="宋体" w:hAnsi="宋体" w:cs="宋体"/>
          <w:szCs w:val="21"/>
        </w:rPr>
      </w:pPr>
      <w:r>
        <w:rPr>
          <w:rFonts w:hint="eastAsia" w:ascii="宋体" w:hAnsi="宋体" w:cs="宋体"/>
          <w:szCs w:val="21"/>
        </w:rPr>
        <w:t xml:space="preserve">联系人： </w:t>
      </w:r>
    </w:p>
    <w:p w14:paraId="69EC6631">
      <w:pPr>
        <w:adjustRightInd w:val="0"/>
        <w:snapToGrid w:val="0"/>
        <w:spacing w:line="560" w:lineRule="exact"/>
        <w:jc w:val="left"/>
        <w:rPr>
          <w:rFonts w:ascii="宋体" w:hAnsi="宋体" w:cs="宋体"/>
          <w:szCs w:val="21"/>
        </w:rPr>
      </w:pPr>
      <w:r>
        <w:rPr>
          <w:rFonts w:hint="eastAsia" w:ascii="宋体" w:hAnsi="宋体" w:cs="宋体"/>
          <w:szCs w:val="21"/>
        </w:rPr>
        <w:t>联系电话：</w:t>
      </w:r>
    </w:p>
    <w:p w14:paraId="17F528CD">
      <w:pPr>
        <w:adjustRightInd w:val="0"/>
        <w:snapToGrid w:val="0"/>
        <w:spacing w:line="560" w:lineRule="exact"/>
        <w:jc w:val="left"/>
        <w:rPr>
          <w:rFonts w:ascii="宋体" w:hAnsi="宋体" w:cs="宋体"/>
          <w:szCs w:val="21"/>
        </w:rPr>
      </w:pPr>
      <w:r>
        <w:rPr>
          <w:rFonts w:hint="eastAsia" w:ascii="宋体" w:hAnsi="宋体" w:cs="宋体"/>
          <w:szCs w:val="21"/>
        </w:rPr>
        <w:t>乙方：   （以下简称乙方）</w:t>
      </w:r>
    </w:p>
    <w:p w14:paraId="334B656A">
      <w:pPr>
        <w:adjustRightInd w:val="0"/>
        <w:snapToGrid w:val="0"/>
        <w:spacing w:line="560" w:lineRule="exact"/>
        <w:ind w:left="840" w:hanging="840" w:hangingChars="400"/>
        <w:jc w:val="left"/>
        <w:rPr>
          <w:rFonts w:ascii="宋体" w:hAnsi="宋体" w:cs="宋体"/>
          <w:szCs w:val="21"/>
        </w:rPr>
      </w:pPr>
      <w:r>
        <w:rPr>
          <w:rFonts w:hint="eastAsia" w:ascii="宋体" w:hAnsi="宋体" w:cs="宋体"/>
          <w:szCs w:val="21"/>
        </w:rPr>
        <w:t>住所地：</w:t>
      </w:r>
    </w:p>
    <w:p w14:paraId="79D8748A">
      <w:pPr>
        <w:adjustRightInd w:val="0"/>
        <w:snapToGrid w:val="0"/>
        <w:spacing w:line="560" w:lineRule="exact"/>
        <w:jc w:val="left"/>
        <w:rPr>
          <w:rFonts w:ascii="宋体" w:hAnsi="宋体" w:cs="宋体"/>
          <w:szCs w:val="21"/>
        </w:rPr>
      </w:pPr>
      <w:r>
        <w:rPr>
          <w:rFonts w:hint="eastAsia" w:ascii="宋体" w:hAnsi="宋体" w:cs="宋体"/>
          <w:szCs w:val="21"/>
        </w:rPr>
        <w:t xml:space="preserve">法定代表人： </w:t>
      </w:r>
    </w:p>
    <w:p w14:paraId="4288284F">
      <w:pPr>
        <w:adjustRightInd w:val="0"/>
        <w:snapToGrid w:val="0"/>
        <w:spacing w:line="560" w:lineRule="exact"/>
        <w:jc w:val="left"/>
        <w:rPr>
          <w:rFonts w:ascii="宋体" w:hAnsi="宋体" w:cs="宋体"/>
          <w:szCs w:val="21"/>
        </w:rPr>
      </w:pPr>
      <w:r>
        <w:rPr>
          <w:rFonts w:hint="eastAsia" w:ascii="宋体" w:hAnsi="宋体" w:cs="宋体"/>
          <w:szCs w:val="21"/>
        </w:rPr>
        <w:t>联系人：</w:t>
      </w:r>
    </w:p>
    <w:p w14:paraId="758F1BF9">
      <w:pPr>
        <w:adjustRightInd w:val="0"/>
        <w:snapToGrid w:val="0"/>
        <w:spacing w:line="560" w:lineRule="exact"/>
        <w:jc w:val="left"/>
        <w:rPr>
          <w:rFonts w:ascii="宋体" w:hAnsi="宋体" w:cs="宋体"/>
          <w:szCs w:val="21"/>
        </w:rPr>
      </w:pPr>
      <w:r>
        <w:rPr>
          <w:rFonts w:hint="eastAsia" w:ascii="宋体" w:hAnsi="宋体" w:cs="宋体"/>
          <w:szCs w:val="21"/>
        </w:rPr>
        <w:t>联系电话：</w:t>
      </w:r>
    </w:p>
    <w:p w14:paraId="25E8B541">
      <w:pPr>
        <w:rPr>
          <w:rFonts w:ascii="宋体" w:hAnsi="宋体" w:cs="宋体"/>
          <w:szCs w:val="21"/>
        </w:rPr>
      </w:pPr>
    </w:p>
    <w:p w14:paraId="6280546D">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鉴于本合同双方同意按“合同能源管理”模式就</w:t>
      </w:r>
      <w:r>
        <w:rPr>
          <w:rFonts w:hint="eastAsia" w:ascii="宋体" w:hAnsi="宋体" w:cs="宋体"/>
          <w:szCs w:val="21"/>
          <w:u w:val="single"/>
        </w:rPr>
        <w:t>舟山市定海区公路照明能源托管项目</w:t>
      </w:r>
      <w:r>
        <w:rPr>
          <w:rFonts w:hint="eastAsia" w:ascii="宋体" w:hAnsi="宋体" w:cs="宋体"/>
          <w:szCs w:val="21"/>
        </w:rPr>
        <w:t>项目（以下简称“项目”或“本项目”）进行能源费用托管型专项节能服务，并支付相应的节能服务和能源托管费用。双方经过平等协商，在真实、充分地表达各自意愿的基础上，根据《中华人民共和国民法典》及其他相关法律法规的规定，达成如下协议，并由双方共同恪守。</w:t>
      </w:r>
    </w:p>
    <w:p w14:paraId="47B05DD7">
      <w:pPr>
        <w:numPr>
          <w:ilvl w:val="0"/>
          <w:numId w:val="10"/>
        </w:numPr>
        <w:adjustRightInd w:val="0"/>
        <w:snapToGrid w:val="0"/>
        <w:spacing w:before="240" w:beforeLines="100" w:after="240" w:afterLines="100" w:line="360" w:lineRule="auto"/>
        <w:ind w:left="631" w:hanging="211"/>
        <w:jc w:val="center"/>
        <w:rPr>
          <w:rFonts w:hint="eastAsia" w:ascii="宋体" w:hAnsi="宋体" w:cs="宋体"/>
          <w:b/>
          <w:bCs/>
          <w:szCs w:val="21"/>
        </w:rPr>
      </w:pPr>
      <w:r>
        <w:rPr>
          <w:rFonts w:hint="eastAsia" w:ascii="宋体" w:hAnsi="宋体" w:cs="宋体"/>
          <w:b/>
          <w:bCs/>
          <w:szCs w:val="21"/>
        </w:rPr>
        <w:t xml:space="preserve"> 术语和定义</w:t>
      </w:r>
    </w:p>
    <w:p w14:paraId="29CEAC8E">
      <w:pPr>
        <w:numPr>
          <w:ilvl w:val="1"/>
          <w:numId w:val="11"/>
        </w:numPr>
        <w:adjustRightInd w:val="0"/>
        <w:snapToGrid w:val="0"/>
        <w:spacing w:line="360" w:lineRule="auto"/>
        <w:ind w:left="420" w:firstLine="420" w:firstLineChars="200"/>
        <w:jc w:val="left"/>
        <w:rPr>
          <w:rFonts w:hint="eastAsia" w:ascii="宋体" w:hAnsi="宋体" w:cs="宋体"/>
          <w:szCs w:val="21"/>
        </w:rPr>
      </w:pPr>
      <w:r>
        <w:rPr>
          <w:rFonts w:hint="eastAsia" w:ascii="宋体" w:hAnsi="宋体" w:cs="宋体"/>
          <w:szCs w:val="21"/>
        </w:rPr>
        <w:t xml:space="preserve"> 舟山市定海区公路与运输管理中心采用能源包干的方式将能源费用托管给</w:t>
      </w:r>
      <w:r>
        <w:rPr>
          <w:rFonts w:hint="eastAsia" w:ascii="宋体" w:hAnsi="宋体" w:cs="宋体"/>
          <w:szCs w:val="21"/>
          <w:lang w:val="en-US" w:eastAsia="zh-CN"/>
        </w:rPr>
        <w:t>能源服务公司</w:t>
      </w:r>
      <w:r>
        <w:rPr>
          <w:rFonts w:hint="eastAsia" w:ascii="宋体" w:hAnsi="宋体" w:cs="宋体"/>
          <w:szCs w:val="21"/>
        </w:rPr>
        <w:t>（即：每年支付</w:t>
      </w:r>
      <w:r>
        <w:rPr>
          <w:rFonts w:hint="eastAsia" w:ascii="宋体" w:hAnsi="宋体" w:cs="宋体"/>
          <w:szCs w:val="21"/>
          <w:lang w:val="en-US" w:eastAsia="zh-CN"/>
        </w:rPr>
        <w:t>能源托管公司</w:t>
      </w:r>
      <w:r>
        <w:rPr>
          <w:rFonts w:hint="eastAsia" w:ascii="宋体" w:hAnsi="宋体" w:cs="宋体"/>
          <w:szCs w:val="21"/>
        </w:rPr>
        <w:t>合同约定金额的能源托管费），由</w:t>
      </w:r>
      <w:r>
        <w:rPr>
          <w:rFonts w:hint="eastAsia" w:ascii="宋体" w:hAnsi="宋体" w:cs="宋体"/>
          <w:szCs w:val="21"/>
          <w:lang w:val="en-US" w:eastAsia="zh-CN"/>
        </w:rPr>
        <w:t>能源服务公司</w:t>
      </w:r>
      <w:r>
        <w:rPr>
          <w:rFonts w:hint="eastAsia" w:ascii="宋体" w:hAnsi="宋体" w:cs="宋体"/>
          <w:szCs w:val="21"/>
        </w:rPr>
        <w:t>负责向能源供应公司支付本项目范围内的能源费用（电费）以及项目的相关节能技改投资建设及运行管理，享有合同托管期内的所有节能收益，利用节能收益向采购人提供综合能源服务。</w:t>
      </w:r>
    </w:p>
    <w:p w14:paraId="3AA8D57E">
      <w:pPr>
        <w:widowControl/>
        <w:spacing w:line="360" w:lineRule="auto"/>
        <w:ind w:left="420"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 xml:space="preserve">能源基准 </w:t>
      </w:r>
    </w:p>
    <w:p w14:paraId="39FFAD00">
      <w:pPr>
        <w:widowControl/>
        <w:spacing w:line="360" w:lineRule="auto"/>
        <w:rPr>
          <w:rFonts w:hint="eastAsia" w:ascii="宋体" w:hAnsi="宋体" w:eastAsia="宋体" w:cs="宋体"/>
          <w:szCs w:val="21"/>
          <w:highlight w:val="green"/>
          <w:lang w:eastAsia="zh-CN"/>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highlight w:val="none"/>
        </w:rPr>
        <w:t xml:space="preserve"> 用作比较能源绩效的定量参考依据。</w:t>
      </w:r>
      <w:r>
        <w:rPr>
          <w:rFonts w:hint="eastAsia" w:ascii="宋体" w:hAnsi="宋体" w:cs="宋体"/>
          <w:szCs w:val="21"/>
          <w:highlight w:val="none"/>
          <w:lang w:eastAsia="zh-CN"/>
        </w:rPr>
        <w:t>（2024年3月至2025年2月用电</w:t>
      </w:r>
      <w:r>
        <w:rPr>
          <w:rFonts w:hint="eastAsia" w:ascii="宋体" w:hAnsi="宋体" w:cs="宋体"/>
          <w:szCs w:val="21"/>
          <w:highlight w:val="none"/>
          <w:lang w:val="en-US" w:eastAsia="zh-CN"/>
        </w:rPr>
        <w:t>设备</w:t>
      </w:r>
      <w:r>
        <w:rPr>
          <w:rFonts w:hint="eastAsia" w:ascii="宋体" w:hAnsi="宋体" w:cs="宋体"/>
          <w:szCs w:val="21"/>
          <w:highlight w:val="none"/>
          <w:lang w:eastAsia="zh-CN"/>
        </w:rPr>
        <w:t>总能耗</w:t>
      </w:r>
      <w:r>
        <w:rPr>
          <w:rFonts w:hint="eastAsia" w:ascii="宋体" w:hAnsi="宋体" w:cs="宋体"/>
          <w:szCs w:val="21"/>
          <w:highlight w:val="none"/>
          <w:lang w:val="en-US" w:eastAsia="zh-CN"/>
        </w:rPr>
        <w:t>及能耗费用</w:t>
      </w:r>
      <w:r>
        <w:rPr>
          <w:rFonts w:hint="eastAsia" w:ascii="宋体" w:hAnsi="宋体" w:cs="宋体"/>
          <w:szCs w:val="21"/>
          <w:highlight w:val="none"/>
          <w:lang w:eastAsia="zh-CN"/>
        </w:rPr>
        <w:t>）</w:t>
      </w:r>
    </w:p>
    <w:p w14:paraId="5B8B345D">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1.4  本合同及相关附件中所涉及的其他有关名词和技术术语，其定义和解释依据中华人民共和国国家标准GB/T24915—2010《合同能源管理技术通则》。</w:t>
      </w:r>
    </w:p>
    <w:p w14:paraId="5B08F8F5">
      <w:pPr>
        <w:adjustRightInd w:val="0"/>
        <w:snapToGrid w:val="0"/>
        <w:spacing w:before="240" w:beforeLines="100" w:after="240" w:afterLines="100" w:line="360" w:lineRule="auto"/>
        <w:ind w:left="420" w:firstLine="422" w:firstLineChars="200"/>
        <w:jc w:val="center"/>
        <w:rPr>
          <w:rFonts w:hint="eastAsia" w:ascii="宋体" w:hAnsi="宋体" w:cs="宋体"/>
          <w:b/>
          <w:bCs/>
          <w:szCs w:val="21"/>
        </w:rPr>
      </w:pPr>
    </w:p>
    <w:p w14:paraId="2F757C74">
      <w:pPr>
        <w:adjustRightInd w:val="0"/>
        <w:snapToGrid w:val="0"/>
        <w:spacing w:before="240" w:beforeLines="100" w:after="240" w:afterLines="100" w:line="360" w:lineRule="auto"/>
        <w:ind w:left="420" w:firstLine="422" w:firstLineChars="200"/>
        <w:jc w:val="center"/>
        <w:rPr>
          <w:rFonts w:ascii="宋体" w:hAnsi="宋体" w:cs="宋体"/>
          <w:b/>
          <w:bCs/>
          <w:szCs w:val="21"/>
        </w:rPr>
      </w:pPr>
      <w:r>
        <w:rPr>
          <w:rFonts w:hint="eastAsia" w:ascii="宋体" w:hAnsi="宋体" w:cs="宋体"/>
          <w:b/>
          <w:bCs/>
          <w:szCs w:val="21"/>
        </w:rPr>
        <w:t>第二节  项目期限</w:t>
      </w:r>
    </w:p>
    <w:p w14:paraId="2F1159C3">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2.1  本合同期限为十年，自2025年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日始，至2035年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7303483">
      <w:pPr>
        <w:adjustRightInd w:val="0"/>
        <w:snapToGrid w:val="0"/>
        <w:spacing w:before="240" w:beforeLines="100" w:after="240" w:afterLines="100" w:line="360" w:lineRule="auto"/>
        <w:ind w:left="420" w:firstLine="422" w:firstLineChars="200"/>
        <w:jc w:val="center"/>
        <w:rPr>
          <w:rFonts w:ascii="宋体" w:hAnsi="宋体" w:cs="宋体"/>
          <w:szCs w:val="21"/>
        </w:rPr>
      </w:pPr>
      <w:r>
        <w:rPr>
          <w:rFonts w:hint="eastAsia" w:ascii="宋体" w:hAnsi="宋体" w:cs="宋体"/>
          <w:b/>
          <w:bCs/>
          <w:szCs w:val="21"/>
        </w:rPr>
        <w:t>第三节  项目实施、验收</w:t>
      </w:r>
      <w:r>
        <w:rPr>
          <w:rFonts w:hint="eastAsia" w:ascii="宋体" w:hAnsi="宋体" w:cs="宋体"/>
          <w:szCs w:val="21"/>
        </w:rPr>
        <w:t xml:space="preserve">  </w:t>
      </w:r>
    </w:p>
    <w:p w14:paraId="438E3F1B">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1</w:t>
      </w:r>
      <w:r>
        <w:rPr>
          <w:rFonts w:hint="eastAsia" w:ascii="宋体" w:hAnsi="宋体" w:cs="宋体"/>
          <w:szCs w:val="21"/>
        </w:rPr>
        <w:t xml:space="preserve"> 乙方应当依照</w:t>
      </w:r>
      <w:r>
        <w:rPr>
          <w:rFonts w:hint="eastAsia" w:ascii="宋体" w:hAnsi="宋体" w:cs="宋体"/>
          <w:szCs w:val="21"/>
          <w:lang w:val="en-US" w:eastAsia="zh-CN"/>
        </w:rPr>
        <w:t>采购文件规定</w:t>
      </w:r>
      <w:r>
        <w:rPr>
          <w:rFonts w:hint="eastAsia" w:ascii="宋体" w:hAnsi="宋体" w:cs="宋体"/>
          <w:szCs w:val="21"/>
        </w:rPr>
        <w:t>的时间</w:t>
      </w:r>
      <w:r>
        <w:rPr>
          <w:rFonts w:hint="eastAsia" w:ascii="宋体" w:hAnsi="宋体" w:cs="宋体"/>
          <w:szCs w:val="21"/>
          <w:lang w:val="en-US" w:eastAsia="zh-CN"/>
        </w:rPr>
        <w:t>进行</w:t>
      </w:r>
      <w:r>
        <w:rPr>
          <w:rFonts w:hint="eastAsia" w:ascii="宋体" w:hAnsi="宋体" w:cs="宋体"/>
          <w:szCs w:val="21"/>
        </w:rPr>
        <w:t>项目的建设、实施和运行。</w:t>
      </w:r>
    </w:p>
    <w:p w14:paraId="6AE7E4A8">
      <w:pPr>
        <w:adjustRightInd w:val="0"/>
        <w:snapToGrid w:val="0"/>
        <w:spacing w:line="360" w:lineRule="auto"/>
        <w:ind w:left="420" w:firstLine="420" w:firstLineChars="200"/>
        <w:jc w:val="left"/>
        <w:rPr>
          <w:rFonts w:hint="eastAsia" w:ascii="宋体" w:hAnsi="宋体" w:eastAsia="宋体" w:cs="宋体"/>
          <w:szCs w:val="21"/>
          <w:lang w:eastAsia="zh-CN"/>
        </w:rPr>
      </w:pPr>
      <w:r>
        <w:rPr>
          <w:rFonts w:hint="eastAsia" w:ascii="宋体" w:hAnsi="宋体" w:cs="宋体"/>
          <w:szCs w:val="21"/>
        </w:rPr>
        <w:t>3.</w:t>
      </w:r>
      <w:r>
        <w:rPr>
          <w:rFonts w:hint="eastAsia" w:ascii="宋体" w:hAnsi="宋体" w:cs="宋体"/>
          <w:szCs w:val="21"/>
          <w:lang w:val="en-US" w:eastAsia="zh-CN"/>
        </w:rPr>
        <w:t xml:space="preserve">2 </w:t>
      </w:r>
      <w:r>
        <w:rPr>
          <w:rFonts w:hint="eastAsia" w:ascii="宋体" w:hAnsi="宋体" w:cs="宋体"/>
          <w:szCs w:val="21"/>
        </w:rPr>
        <w:t>项目验收</w:t>
      </w:r>
      <w:r>
        <w:rPr>
          <w:rFonts w:hint="eastAsia" w:ascii="宋体" w:hAnsi="宋体" w:cs="宋体"/>
          <w:szCs w:val="21"/>
          <w:lang w:eastAsia="zh-CN"/>
        </w:rPr>
        <w:t>：甲方根据项目的运行情况，按国家相关标准的要求进行验收，验收合格后向乙方出具验收报告。</w:t>
      </w:r>
    </w:p>
    <w:p w14:paraId="734C131D"/>
    <w:p w14:paraId="198E36DC">
      <w:pPr>
        <w:adjustRightInd w:val="0"/>
        <w:snapToGrid w:val="0"/>
        <w:spacing w:before="240" w:beforeLines="100" w:after="240" w:afterLines="100" w:line="360" w:lineRule="auto"/>
        <w:ind w:left="420" w:firstLine="422" w:firstLineChars="200"/>
        <w:jc w:val="center"/>
        <w:rPr>
          <w:rFonts w:ascii="宋体" w:hAnsi="宋体" w:cs="宋体"/>
          <w:b/>
          <w:bCs/>
          <w:szCs w:val="21"/>
        </w:rPr>
      </w:pPr>
      <w:r>
        <w:rPr>
          <w:rFonts w:hint="eastAsia" w:ascii="宋体" w:hAnsi="宋体" w:cs="宋体"/>
          <w:b/>
          <w:bCs/>
          <w:szCs w:val="21"/>
        </w:rPr>
        <w:t>第四节  能源费用付款方式</w:t>
      </w:r>
    </w:p>
    <w:p w14:paraId="04A3834D">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4.1  双方确定采用“能源费用托管型”合同能源管理模式，由甲方委托乙方对项目进行投资、设计、施工并且在双方约定期限内，由乙方负责对该项目进行日常运营维护及管理，甲方需按照本协议约定向乙方支付能源使用费用，项目消耗的成本由乙方承担。</w:t>
      </w:r>
    </w:p>
    <w:p w14:paraId="280A173B">
      <w:pPr>
        <w:adjustRightInd w:val="0"/>
        <w:snapToGrid w:val="0"/>
        <w:spacing w:line="360" w:lineRule="auto"/>
        <w:ind w:left="420" w:firstLine="420" w:firstLineChars="200"/>
        <w:jc w:val="left"/>
        <w:rPr>
          <w:rFonts w:hint="eastAsia" w:ascii="宋体" w:hAnsi="宋体" w:eastAsia="宋体" w:cs="宋体"/>
          <w:szCs w:val="21"/>
          <w:lang w:eastAsia="zh-CN"/>
        </w:rPr>
      </w:pPr>
      <w:r>
        <w:rPr>
          <w:rFonts w:hint="eastAsia" w:ascii="宋体" w:hAnsi="宋体" w:cs="宋体"/>
          <w:szCs w:val="21"/>
        </w:rPr>
        <w:t>4.2  本合同能源托管费用采用包干形式</w:t>
      </w:r>
      <w:r>
        <w:rPr>
          <w:rFonts w:hint="eastAsia" w:ascii="宋体" w:hAnsi="宋体" w:cs="宋体"/>
          <w:szCs w:val="21"/>
          <w:lang w:eastAsia="zh-CN"/>
        </w:rPr>
        <w:t>。</w:t>
      </w:r>
    </w:p>
    <w:p w14:paraId="55D9FE6F">
      <w:pPr>
        <w:adjustRightInd w:val="0"/>
        <w:snapToGrid w:val="0"/>
        <w:spacing w:line="360" w:lineRule="auto"/>
        <w:ind w:left="420" w:firstLine="420" w:firstLineChars="200"/>
        <w:jc w:val="left"/>
        <w:rPr>
          <w:rFonts w:hint="eastAsia" w:ascii="宋体" w:hAnsi="宋体" w:cs="宋体"/>
          <w:szCs w:val="21"/>
        </w:rPr>
      </w:pPr>
      <w:r>
        <w:rPr>
          <w:rFonts w:hint="eastAsia" w:ascii="宋体" w:hAnsi="宋体" w:cs="宋体"/>
          <w:szCs w:val="21"/>
        </w:rPr>
        <w:t>4.3.1 在合同生效以及具备实施条件后7个工作日内，</w:t>
      </w:r>
      <w:r>
        <w:rPr>
          <w:rFonts w:hint="eastAsia" w:ascii="宋体" w:hAnsi="宋体" w:cs="宋体"/>
          <w:szCs w:val="21"/>
          <w:lang w:val="en-US" w:eastAsia="zh-CN"/>
        </w:rPr>
        <w:t>甲方</w:t>
      </w:r>
      <w:r>
        <w:rPr>
          <w:rFonts w:hint="eastAsia" w:ascii="宋体" w:hAnsi="宋体" w:cs="宋体"/>
          <w:szCs w:val="21"/>
        </w:rPr>
        <w:t>向</w:t>
      </w:r>
      <w:r>
        <w:rPr>
          <w:rFonts w:hint="eastAsia" w:ascii="宋体" w:hAnsi="宋体" w:cs="宋体"/>
          <w:szCs w:val="21"/>
          <w:lang w:val="en-US" w:eastAsia="zh-CN"/>
        </w:rPr>
        <w:t>乙方</w:t>
      </w:r>
      <w:r>
        <w:rPr>
          <w:rFonts w:hint="eastAsia" w:ascii="宋体" w:hAnsi="宋体" w:cs="宋体"/>
          <w:szCs w:val="21"/>
        </w:rPr>
        <w:t>支付年中标价的20%作为项目预付款（在签订合同时，</w:t>
      </w:r>
      <w:r>
        <w:rPr>
          <w:rFonts w:hint="eastAsia" w:ascii="宋体" w:hAnsi="宋体" w:cs="宋体"/>
          <w:szCs w:val="21"/>
          <w:lang w:val="en-US" w:eastAsia="zh-CN"/>
        </w:rPr>
        <w:t>乙方</w:t>
      </w:r>
      <w:r>
        <w:rPr>
          <w:rFonts w:hint="eastAsia" w:ascii="宋体" w:hAnsi="宋体" w:cs="宋体"/>
          <w:szCs w:val="21"/>
        </w:rPr>
        <w:t>明确表示无需预付款或者主动要求降低预付款比例的，</w:t>
      </w:r>
      <w:r>
        <w:rPr>
          <w:rFonts w:hint="eastAsia" w:ascii="宋体" w:hAnsi="宋体" w:cs="宋体"/>
          <w:szCs w:val="21"/>
          <w:lang w:val="en-US" w:eastAsia="zh-CN"/>
        </w:rPr>
        <w:t>甲方</w:t>
      </w:r>
      <w:r>
        <w:rPr>
          <w:rFonts w:hint="eastAsia" w:ascii="宋体" w:hAnsi="宋体" w:cs="宋体"/>
          <w:szCs w:val="21"/>
        </w:rPr>
        <w:t>可不支付或减少预付款支付比例。</w:t>
      </w:r>
      <w:r>
        <w:rPr>
          <w:rFonts w:hint="eastAsia" w:ascii="宋体" w:hAnsi="宋体" w:cs="宋体"/>
          <w:szCs w:val="21"/>
          <w:lang w:val="en-US" w:eastAsia="zh-CN"/>
        </w:rPr>
        <w:t>甲方</w:t>
      </w:r>
      <w:r>
        <w:rPr>
          <w:rFonts w:hint="eastAsia" w:ascii="宋体" w:hAnsi="宋体" w:cs="宋体"/>
          <w:szCs w:val="21"/>
        </w:rPr>
        <w:t>可以要求供应商提交银行、保险公司等金融机构出具的预付款保函或其他担保措施。保函的金额、有效期等在签订合同时约定）。</w:t>
      </w:r>
    </w:p>
    <w:p w14:paraId="58636352">
      <w:pPr>
        <w:adjustRightInd w:val="0"/>
        <w:snapToGrid w:val="0"/>
        <w:spacing w:line="360" w:lineRule="auto"/>
        <w:ind w:left="420" w:firstLine="420" w:firstLineChars="200"/>
        <w:jc w:val="left"/>
        <w:rPr>
          <w:rFonts w:hint="eastAsia" w:ascii="宋体" w:hAnsi="宋体" w:cs="宋体"/>
          <w:szCs w:val="21"/>
        </w:rPr>
      </w:pPr>
      <w:r>
        <w:rPr>
          <w:rFonts w:hint="eastAsia" w:ascii="宋体" w:hAnsi="宋体" w:cs="宋体"/>
          <w:szCs w:val="21"/>
        </w:rPr>
        <w:t>4.3.2第一至第九年度能源托管费用每季度支付一次，每次支付的金额为该周期年能源托管费用的1/4，次季第一个月支付上季费用（如有预付款，预付款抵扣</w:t>
      </w:r>
      <w:r>
        <w:rPr>
          <w:rFonts w:hint="eastAsia" w:ascii="宋体" w:hAnsi="宋体" w:cs="宋体"/>
          <w:szCs w:val="21"/>
          <w:lang w:val="en-US" w:eastAsia="zh-CN"/>
        </w:rPr>
        <w:t>甲方</w:t>
      </w:r>
      <w:r>
        <w:rPr>
          <w:rFonts w:hint="eastAsia" w:ascii="宋体" w:hAnsi="宋体" w:cs="宋体"/>
          <w:szCs w:val="21"/>
        </w:rPr>
        <w:t>实际支付金额），每年根据考核结果进行年度结算。支付前，乙方向甲方开具上个季度的节能服务发票，否则甲方有权延期付款且不承担任何违约责任。</w:t>
      </w:r>
    </w:p>
    <w:p w14:paraId="029F62E2">
      <w:pPr>
        <w:adjustRightInd w:val="0"/>
        <w:snapToGrid w:val="0"/>
        <w:spacing w:line="360" w:lineRule="auto"/>
        <w:ind w:left="420" w:firstLine="420" w:firstLineChars="200"/>
        <w:jc w:val="left"/>
        <w:rPr>
          <w:rFonts w:hint="eastAsia" w:ascii="宋体" w:hAnsi="宋体" w:cs="宋体"/>
          <w:szCs w:val="21"/>
        </w:rPr>
      </w:pPr>
      <w:r>
        <w:rPr>
          <w:rFonts w:hint="eastAsia" w:ascii="宋体" w:hAnsi="宋体" w:cs="宋体"/>
          <w:szCs w:val="21"/>
        </w:rPr>
        <w:t>4.3.3第十年度能源托管费在托管服务期满后，</w:t>
      </w:r>
      <w:r>
        <w:rPr>
          <w:rFonts w:hint="eastAsia" w:ascii="宋体" w:hAnsi="宋体" w:cs="宋体"/>
          <w:szCs w:val="21"/>
          <w:lang w:val="en-US" w:eastAsia="zh-CN"/>
        </w:rPr>
        <w:t>乙方</w:t>
      </w:r>
      <w:r>
        <w:rPr>
          <w:rFonts w:hint="eastAsia" w:ascii="宋体" w:hAnsi="宋体" w:cs="宋体"/>
          <w:szCs w:val="21"/>
        </w:rPr>
        <w:t>应商移交完所有设备及档案资料并经业主考核确认后1个月内一次性付清。</w:t>
      </w:r>
    </w:p>
    <w:p w14:paraId="2649829A">
      <w:pPr>
        <w:adjustRightInd w:val="0"/>
        <w:snapToGrid w:val="0"/>
        <w:spacing w:line="360" w:lineRule="auto"/>
        <w:ind w:left="420" w:firstLine="420" w:firstLineChars="200"/>
        <w:jc w:val="left"/>
        <w:rPr>
          <w:rFonts w:ascii="宋体" w:hAnsi="宋体" w:cs="宋体"/>
          <w:szCs w:val="21"/>
          <w:highlight w:val="green"/>
        </w:rPr>
      </w:pPr>
      <w:r>
        <w:rPr>
          <w:rFonts w:hint="eastAsia" w:ascii="宋体" w:hAnsi="宋体" w:cs="宋体"/>
          <w:szCs w:val="21"/>
        </w:rPr>
        <w:t>4.4 乙方为该项目能源托管而新增的设备投资成本回收周期</w:t>
      </w:r>
      <w:r>
        <w:rPr>
          <w:rFonts w:hint="eastAsia" w:ascii="宋体" w:hAnsi="宋体" w:cs="宋体"/>
          <w:szCs w:val="21"/>
          <w:highlight w:val="none"/>
        </w:rPr>
        <w:t>为10年，</w:t>
      </w:r>
      <w:r>
        <w:rPr>
          <w:rFonts w:hint="eastAsia" w:ascii="宋体" w:hAnsi="宋体" w:cs="宋体"/>
          <w:szCs w:val="21"/>
        </w:rPr>
        <w:t>10年合同期满后，能源托管公司将本项目的全部设施及其投资的项目资产（包括硬件、软件的永久使用权）无偿移交给采购人，项目范围内的全部设备设施的所有权归项目采购人所有。</w:t>
      </w:r>
    </w:p>
    <w:p w14:paraId="7F3472F3">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4.5 能源单价发生变化时的调整办法：</w:t>
      </w:r>
    </w:p>
    <w:p w14:paraId="00C77726">
      <w:pPr>
        <w:adjustRightInd w:val="0"/>
        <w:snapToGrid w:val="0"/>
        <w:spacing w:line="360" w:lineRule="auto"/>
        <w:ind w:left="420" w:firstLine="420" w:firstLineChars="200"/>
        <w:jc w:val="left"/>
        <w:rPr>
          <w:rFonts w:hint="eastAsia" w:ascii="宋体" w:hAnsi="宋体" w:cs="宋体"/>
          <w:szCs w:val="21"/>
          <w:highlight w:val="none"/>
        </w:rPr>
      </w:pPr>
      <w:r>
        <w:rPr>
          <w:rFonts w:hint="eastAsia" w:ascii="宋体" w:hAnsi="宋体" w:cs="宋体"/>
          <w:szCs w:val="21"/>
          <w:highlight w:val="none"/>
        </w:rPr>
        <w:t>4.5.</w:t>
      </w:r>
      <w:r>
        <w:rPr>
          <w:rFonts w:hint="eastAsia" w:ascii="宋体" w:hAnsi="宋体" w:cs="宋体"/>
          <w:szCs w:val="21"/>
          <w:highlight w:val="none"/>
          <w:lang w:val="en-US" w:eastAsia="zh-CN"/>
        </w:rPr>
        <w:t>1</w:t>
      </w:r>
      <w:r>
        <w:rPr>
          <w:rFonts w:hint="eastAsia" w:ascii="宋体" w:hAnsi="宋体" w:cs="宋体"/>
          <w:szCs w:val="21"/>
          <w:highlight w:val="none"/>
        </w:rPr>
        <w:t>合同签订前，建立经</w:t>
      </w:r>
      <w:r>
        <w:rPr>
          <w:rFonts w:hint="eastAsia" w:ascii="宋体" w:hAnsi="宋体" w:cs="宋体"/>
          <w:szCs w:val="21"/>
          <w:highlight w:val="none"/>
          <w:lang w:val="en-US" w:eastAsia="zh-CN"/>
        </w:rPr>
        <w:t>甲乙</w:t>
      </w:r>
      <w:r>
        <w:rPr>
          <w:rFonts w:hint="eastAsia" w:ascii="宋体" w:hAnsi="宋体" w:cs="宋体"/>
          <w:szCs w:val="21"/>
          <w:highlight w:val="none"/>
        </w:rPr>
        <w:t>双方确认的本项目实施范围内的所有照明设施及用电设备数量</w:t>
      </w:r>
      <w:r>
        <w:rPr>
          <w:rFonts w:hint="eastAsia" w:ascii="宋体" w:hAnsi="宋体" w:cs="宋体"/>
          <w:szCs w:val="21"/>
          <w:highlight w:val="none"/>
          <w:lang w:val="en-US" w:eastAsia="zh-CN"/>
        </w:rPr>
        <w:t>.</w:t>
      </w:r>
      <w:r>
        <w:rPr>
          <w:rFonts w:hint="eastAsia" w:ascii="宋体" w:hAnsi="宋体" w:cs="宋体"/>
          <w:szCs w:val="21"/>
          <w:highlight w:val="none"/>
        </w:rPr>
        <w:t>合同签订后如发生用能设备</w:t>
      </w:r>
      <w:r>
        <w:rPr>
          <w:rFonts w:hint="eastAsia" w:ascii="宋体" w:hAnsi="宋体" w:cs="宋体"/>
          <w:szCs w:val="21"/>
          <w:highlight w:val="none"/>
          <w:lang w:val="en-US" w:eastAsia="zh-CN"/>
        </w:rPr>
        <w:t>额定功率</w:t>
      </w:r>
      <w:r>
        <w:rPr>
          <w:rFonts w:hint="eastAsia" w:ascii="宋体" w:hAnsi="宋体" w:cs="宋体"/>
          <w:szCs w:val="21"/>
          <w:highlight w:val="none"/>
        </w:rPr>
        <w:t>增减，在</w:t>
      </w:r>
      <w:r>
        <w:rPr>
          <w:rFonts w:hint="eastAsia" w:ascii="宋体" w:hAnsi="宋体" w:cs="宋体"/>
          <w:szCs w:val="21"/>
          <w:highlight w:val="none"/>
          <w:lang w:val="en-US" w:eastAsia="zh-CN"/>
        </w:rPr>
        <w:t>甲乙</w:t>
      </w:r>
      <w:r>
        <w:rPr>
          <w:rFonts w:hint="eastAsia" w:ascii="宋体" w:hAnsi="宋体" w:cs="宋体"/>
          <w:szCs w:val="21"/>
          <w:highlight w:val="none"/>
        </w:rPr>
        <w:t>双方确权后，能源托管单位出具设备</w:t>
      </w:r>
      <w:r>
        <w:rPr>
          <w:rFonts w:hint="eastAsia" w:ascii="宋体" w:hAnsi="宋体" w:cs="宋体"/>
          <w:szCs w:val="21"/>
          <w:highlight w:val="none"/>
          <w:lang w:val="en-US" w:eastAsia="zh-CN"/>
        </w:rPr>
        <w:t>能耗功率</w:t>
      </w:r>
      <w:r>
        <w:rPr>
          <w:rFonts w:hint="eastAsia" w:ascii="宋体" w:hAnsi="宋体" w:cs="宋体"/>
          <w:szCs w:val="21"/>
          <w:highlight w:val="none"/>
        </w:rPr>
        <w:t>增减分析报告，由</w:t>
      </w:r>
      <w:r>
        <w:rPr>
          <w:rFonts w:hint="eastAsia" w:ascii="宋体" w:hAnsi="宋体" w:cs="宋体"/>
          <w:szCs w:val="21"/>
          <w:highlight w:val="none"/>
          <w:lang w:val="en-US" w:eastAsia="zh-CN"/>
        </w:rPr>
        <w:t>甲方</w:t>
      </w:r>
      <w:r>
        <w:rPr>
          <w:rFonts w:hint="eastAsia" w:ascii="宋体" w:hAnsi="宋体" w:cs="宋体"/>
          <w:szCs w:val="21"/>
          <w:highlight w:val="none"/>
        </w:rPr>
        <w:t>对超支部分进行审核确认，如双方存有异议，可委托第三方机构进行审核。设备额定功率增减在15kw（含）以内的合同金额不作调整；设备额定功率增减超过15KW的，超出（或减少）部分的耗能量应以新增（减少）设备（设施）的额定功率为依据，电价以当期单价为准，并经合同双方协商最终书面确认托管费用。</w:t>
      </w:r>
    </w:p>
    <w:p w14:paraId="7914BB71">
      <w:pPr>
        <w:adjustRightInd w:val="0"/>
        <w:snapToGrid w:val="0"/>
        <w:spacing w:line="360" w:lineRule="auto"/>
        <w:ind w:left="420" w:firstLine="420" w:firstLineChars="200"/>
        <w:jc w:val="left"/>
        <w:rPr>
          <w:rFonts w:hint="eastAsia" w:ascii="宋体" w:hAnsi="宋体" w:cs="宋体"/>
          <w:szCs w:val="21"/>
        </w:rPr>
      </w:pPr>
      <w:r>
        <w:rPr>
          <w:rFonts w:hint="eastAsia" w:ascii="宋体" w:hAnsi="宋体" w:cs="宋体"/>
          <w:szCs w:val="21"/>
        </w:rPr>
        <w:t>4.5.</w:t>
      </w:r>
      <w:r>
        <w:rPr>
          <w:rFonts w:hint="eastAsia" w:ascii="宋体" w:hAnsi="宋体" w:cs="宋体"/>
          <w:szCs w:val="21"/>
          <w:lang w:val="en-US" w:eastAsia="zh-CN"/>
        </w:rPr>
        <w:t>2</w:t>
      </w:r>
      <w:r>
        <w:rPr>
          <w:rFonts w:hint="eastAsia" w:ascii="宋体" w:hAnsi="宋体" w:cs="宋体"/>
          <w:szCs w:val="21"/>
        </w:rPr>
        <w:t>在合同期间，如发生极端天气或遇到不可控外力影响，双方可就能源费用进行协商调整，具体方式以书面补充协议形式确定。</w:t>
      </w:r>
    </w:p>
    <w:p w14:paraId="73162760">
      <w:pPr>
        <w:adjustRightInd w:val="0"/>
        <w:snapToGrid w:val="0"/>
        <w:spacing w:line="360" w:lineRule="auto"/>
        <w:ind w:left="420" w:firstLine="420" w:firstLineChars="200"/>
        <w:jc w:val="left"/>
        <w:rPr>
          <w:rFonts w:hint="default" w:ascii="宋体" w:hAnsi="宋体" w:cs="宋体"/>
          <w:szCs w:val="21"/>
          <w:lang w:val="en-US" w:eastAsia="zh-CN"/>
        </w:rPr>
      </w:pPr>
      <w:r>
        <w:rPr>
          <w:rFonts w:hint="eastAsia" w:ascii="宋体" w:hAnsi="宋体" w:cs="宋体"/>
          <w:szCs w:val="21"/>
          <w:lang w:val="en-US" w:eastAsia="zh-CN"/>
        </w:rPr>
        <w:t>4.6 竣工验收时甲方委托第三方检测机构检测改造路段，检测标准根据国家相应标准，同时要求节能率相比改造前达到 12 %以上，并由第三方机构出具《路灯节能改造工程节能量检测报告》、《道路照度质量测试报告》等相关报告。如未能达到 12 %以上的节能率，甲方有权单方提出终止合同。</w:t>
      </w:r>
    </w:p>
    <w:p w14:paraId="7A60F70B">
      <w:pPr>
        <w:pStyle w:val="59"/>
        <w:rPr>
          <w:rFonts w:hint="default" w:eastAsia="宋体"/>
          <w:lang w:val="en-US" w:eastAsia="zh-CN"/>
        </w:rPr>
      </w:pPr>
    </w:p>
    <w:p w14:paraId="654A742C">
      <w:pPr>
        <w:adjustRightInd w:val="0"/>
        <w:snapToGrid w:val="0"/>
        <w:spacing w:before="240" w:beforeLines="100" w:after="240" w:afterLines="100" w:line="360" w:lineRule="auto"/>
        <w:ind w:left="420" w:firstLine="422" w:firstLineChars="200"/>
        <w:jc w:val="center"/>
        <w:rPr>
          <w:rFonts w:ascii="宋体" w:hAnsi="宋体" w:cs="宋体"/>
          <w:b/>
          <w:bCs/>
          <w:szCs w:val="21"/>
        </w:rPr>
      </w:pPr>
      <w:r>
        <w:rPr>
          <w:rFonts w:hint="eastAsia" w:ascii="宋体" w:hAnsi="宋体" w:cs="宋体"/>
          <w:b/>
          <w:bCs/>
          <w:szCs w:val="21"/>
        </w:rPr>
        <w:t>第五节  甲方的义务</w:t>
      </w:r>
    </w:p>
    <w:p w14:paraId="5A09EB5D">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5.1 如根据相关的法律法规，或者是基于任何有权的第三方的要求，本项目内关于节能方面的技改由甲方向相应的政府机构或者其他第三方申请许可、同意或者批准，及时申请该等许可、同意或者是批准，并在本合同期间保持其有效性。</w:t>
      </w:r>
    </w:p>
    <w:p w14:paraId="255B76D2">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5.2  甲方应当根据乙方的合理要求，及时提供节能项目设计和实施所必须的资料和数据，并确保其真实、准确、完整。</w:t>
      </w:r>
    </w:p>
    <w:p w14:paraId="1E535538">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5.3  甲方应为乙方提供节能项目实施所需要的现场条件和必要的协助。</w:t>
      </w:r>
    </w:p>
    <w:p w14:paraId="20FDB0D8">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5.4  甲方应根据项目方案的相关规定，及时配合协助乙方完成项目的试运行和验收。</w:t>
      </w:r>
    </w:p>
    <w:p w14:paraId="563DE11F">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5.5 甲方应当根据项目方案的规定，为乙方进行项目的建设、维护、运营及检测、修理项目设施和设备提供合理的协助，保证乙方可合理使用本项目有关的设施和设备。</w:t>
      </w:r>
    </w:p>
    <w:p w14:paraId="2FEEF6A0">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5.6 能源费用托管期间，如设备发生故障、损坏和丢失，甲方应配合乙方对设备进行维修和监管。</w:t>
      </w:r>
    </w:p>
    <w:p w14:paraId="70FDAFE4">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5.7 能源费用托管期间，甲方应积极配合乙方做好辖区内的节能方面宣传和各业主单位的用能监督。</w:t>
      </w:r>
    </w:p>
    <w:p w14:paraId="55B2F98B">
      <w:pPr>
        <w:adjustRightInd w:val="0"/>
        <w:snapToGrid w:val="0"/>
        <w:spacing w:before="240" w:beforeLines="100" w:after="240" w:afterLines="100" w:line="360" w:lineRule="auto"/>
        <w:ind w:left="420" w:firstLine="422" w:firstLineChars="200"/>
        <w:jc w:val="center"/>
        <w:rPr>
          <w:rFonts w:ascii="宋体" w:hAnsi="宋体" w:cs="宋体"/>
          <w:b/>
          <w:bCs/>
          <w:szCs w:val="21"/>
        </w:rPr>
      </w:pPr>
      <w:r>
        <w:rPr>
          <w:rFonts w:hint="eastAsia" w:ascii="宋体" w:hAnsi="宋体" w:cs="宋体"/>
          <w:b/>
          <w:bCs/>
          <w:szCs w:val="21"/>
        </w:rPr>
        <w:t>第六节  乙方的义务</w:t>
      </w:r>
    </w:p>
    <w:p w14:paraId="2744A1D0">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6.1 乙方应当按照项目方案文件规定的技术标准和要求以及本合同的规定，自行或者通过第三方按时完成本项目的方案设计、建设、运营以及维护。</w:t>
      </w:r>
    </w:p>
    <w:p w14:paraId="0A36E0D8">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6.2 乙方负责对节能技改项目设备进行操作、维护、保养。在合同有效期内，对设备运行、维修和保养定期作出记录并妥善保存。</w:t>
      </w:r>
    </w:p>
    <w:p w14:paraId="3EB00882">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6.3  乙方应当确保其工作人员和其聘请的第三方严格遵守甲方区域现场安全和卫生等方面的规定，并听从甲方合理的现场指挥。在项目实施、运行的整个过程中遵守相关法律法规，以及甲方的相关规章制度。</w:t>
      </w:r>
    </w:p>
    <w:p w14:paraId="1F902552">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6.4  乙方安装和调试相关设备、设施应符合国家、行业有关施工管理法律法规和与项目相对应的技术标准规范要求，以及甲方合理的特有的施工、管理要求。</w:t>
      </w:r>
    </w:p>
    <w:p w14:paraId="6CB7ED50">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6.5 乙方每季度统计能耗数据，总结节能措施报甲方审核。</w:t>
      </w:r>
    </w:p>
    <w:p w14:paraId="2EFF0570">
      <w:pPr>
        <w:adjustRightInd w:val="0"/>
        <w:snapToGrid w:val="0"/>
        <w:spacing w:before="240" w:beforeLines="100" w:after="240" w:afterLines="100" w:line="360" w:lineRule="auto"/>
        <w:ind w:left="420" w:firstLine="422" w:firstLineChars="200"/>
        <w:jc w:val="center"/>
        <w:rPr>
          <w:rFonts w:ascii="宋体" w:hAnsi="宋体" w:cs="宋体"/>
          <w:b/>
          <w:bCs/>
          <w:szCs w:val="21"/>
        </w:rPr>
      </w:pPr>
      <w:r>
        <w:rPr>
          <w:rFonts w:hint="eastAsia" w:ascii="宋体" w:hAnsi="宋体" w:cs="宋体"/>
          <w:b/>
          <w:bCs/>
          <w:szCs w:val="21"/>
        </w:rPr>
        <w:t>第</w:t>
      </w:r>
      <w:r>
        <w:rPr>
          <w:rFonts w:hint="eastAsia" w:ascii="宋体" w:hAnsi="宋体" w:cs="宋体"/>
          <w:b/>
          <w:bCs/>
          <w:szCs w:val="21"/>
          <w:lang w:val="en-US" w:eastAsia="zh-CN"/>
        </w:rPr>
        <w:t>七</w:t>
      </w:r>
      <w:r>
        <w:rPr>
          <w:rFonts w:hint="eastAsia" w:ascii="宋体" w:hAnsi="宋体" w:cs="宋体"/>
          <w:b/>
          <w:bCs/>
          <w:szCs w:val="21"/>
        </w:rPr>
        <w:t>节  所有权和风险分担</w:t>
      </w:r>
    </w:p>
    <w:p w14:paraId="2937C7D2">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.1  本项目乙方的设备投资成本回收周期到期，并且甲方付清本合同约定下的全部款项后，由乙方出资为本项目合同能源服务新增的设备（简称“项目财产”）的所有权将无偿转让给甲方，乙方应保证该项目财产正常运行。</w:t>
      </w:r>
    </w:p>
    <w:p w14:paraId="5DE11A23">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.2  项目财产的所有权由乙方移交给甲方时，应同时移交本项目继续运行所必需的资料。如该项目财产的继续使用需要乙方的相关技术和／或相关知识产权的授权，乙方应当无偿向甲方提供仅适用于本项目的该等授权。如该项目财产的继续使用涉及第三方的服务和／或相关知识产权的授权，该等服务和授权的费用由甲方承担。</w:t>
      </w:r>
    </w:p>
    <w:p w14:paraId="55AD1309">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.3  项目财产的所有权不因一方违约或者本合同的提前解除而转移。在本合同提前解除时，项目财产依照第11.6条的规定处理。</w:t>
      </w:r>
    </w:p>
    <w:p w14:paraId="4167E590">
      <w:pPr>
        <w:adjustRightInd w:val="0"/>
        <w:snapToGrid w:val="0"/>
        <w:spacing w:line="360" w:lineRule="auto"/>
        <w:ind w:left="420" w:firstLine="420" w:firstLineChars="200"/>
        <w:jc w:val="left"/>
      </w:pPr>
      <w:r>
        <w:rPr>
          <w:rFonts w:hint="eastAsia" w:ascii="宋体" w:hAnsi="宋体" w:cs="宋体"/>
          <w:szCs w:val="21"/>
          <w:lang w:val="en-US" w:eastAsia="zh-CN"/>
        </w:rPr>
        <w:t>7</w:t>
      </w:r>
      <w:r>
        <w:rPr>
          <w:rFonts w:hint="eastAsia" w:ascii="宋体" w:hAnsi="宋体" w:cs="宋体"/>
          <w:szCs w:val="21"/>
        </w:rPr>
        <w:t>.4  在本合同期间，项目财产灭失、被窃、人为损坏的风险由乙方承担。</w:t>
      </w:r>
    </w:p>
    <w:p w14:paraId="307A377B">
      <w:pPr>
        <w:adjustRightInd w:val="0"/>
        <w:snapToGrid w:val="0"/>
        <w:spacing w:line="360" w:lineRule="auto"/>
        <w:ind w:left="420" w:firstLine="420" w:firstLineChars="200"/>
        <w:jc w:val="left"/>
        <w:rPr>
          <w:rFonts w:hint="eastAsia" w:ascii="宋体" w:hAnsi="宋体" w:cs="宋体"/>
          <w:szCs w:val="21"/>
          <w:lang w:val="en-US" w:eastAsia="zh-CN"/>
        </w:rPr>
      </w:pPr>
      <w:r>
        <w:rPr>
          <w:rFonts w:hint="eastAsia" w:ascii="宋体" w:hAnsi="宋体" w:cs="宋体"/>
          <w:szCs w:val="21"/>
          <w:lang w:val="en-US" w:eastAsia="zh-CN"/>
        </w:rPr>
        <w:t>7.5  乙方应在合同签订后7个工作日内，向甲方缴纳年能源托管费的1%作为履约保证金（即：  元整），缴纳方式为提供第三方单位出具的等额履约保函；如合同履行期间内没发生扣款情形，则在合同履行结束后一个月内无息退还给乙方；如因乙方原因造成的各类处罚、损失、赔偿等，甲方有权优先从履行保证金中予以扣除。</w:t>
      </w:r>
    </w:p>
    <w:p w14:paraId="38D86829">
      <w:pPr>
        <w:adjustRightInd w:val="0"/>
        <w:snapToGrid w:val="0"/>
        <w:spacing w:before="240" w:beforeLines="100" w:after="240" w:afterLines="100" w:line="360" w:lineRule="auto"/>
        <w:ind w:left="420" w:firstLine="422" w:firstLineChars="200"/>
        <w:jc w:val="center"/>
        <w:rPr>
          <w:rFonts w:ascii="宋体" w:hAnsi="宋体" w:cs="宋体"/>
          <w:b/>
          <w:bCs/>
          <w:szCs w:val="21"/>
        </w:rPr>
      </w:pPr>
      <w:r>
        <w:rPr>
          <w:rFonts w:hint="eastAsia" w:ascii="宋体" w:hAnsi="宋体" w:cs="宋体"/>
          <w:b/>
          <w:bCs/>
          <w:szCs w:val="21"/>
        </w:rPr>
        <w:t>第</w:t>
      </w:r>
      <w:r>
        <w:rPr>
          <w:rFonts w:hint="eastAsia" w:ascii="宋体" w:hAnsi="宋体" w:cs="宋体"/>
          <w:b/>
          <w:bCs/>
          <w:szCs w:val="21"/>
          <w:lang w:val="en-US" w:eastAsia="zh-CN"/>
        </w:rPr>
        <w:t>八</w:t>
      </w:r>
      <w:r>
        <w:rPr>
          <w:rFonts w:hint="eastAsia" w:ascii="宋体" w:hAnsi="宋体" w:cs="宋体"/>
          <w:b/>
          <w:bCs/>
          <w:szCs w:val="21"/>
        </w:rPr>
        <w:t>节  违约责任</w:t>
      </w:r>
    </w:p>
    <w:p w14:paraId="31FC27EA">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.1  如甲方未按照本合同的规定及时向乙方支付款项，则应当按照银行同期贷款利率的三倍向乙方支付滞纳金。</w:t>
      </w:r>
    </w:p>
    <w:p w14:paraId="2BDA6709">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.2如果乙方未能按照项目方案规定的时间和要求完成项目的建设，除非该等延误是由于不可抗力或者是甲方过错造成，则乙方应当按照每日1000元向甲方支付误工的赔偿金。</w:t>
      </w:r>
    </w:p>
    <w:p w14:paraId="1CC67745">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.3本条规定的违约责任方式不影响甲乙双方依照法律法规可获得的其他救济手段。</w:t>
      </w:r>
    </w:p>
    <w:p w14:paraId="2CD3CC5D">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.4 一方违约后，另一方应采取适当措施，防止损失的扩大，否则不能就扩大部分的损失要求赔偿。</w:t>
      </w:r>
    </w:p>
    <w:p w14:paraId="0AF28C09">
      <w:pPr>
        <w:adjustRightInd w:val="0"/>
        <w:snapToGrid w:val="0"/>
        <w:spacing w:before="240" w:beforeLines="100" w:after="240" w:afterLines="100" w:line="360" w:lineRule="auto"/>
        <w:ind w:left="420" w:firstLine="422" w:firstLineChars="200"/>
        <w:jc w:val="center"/>
        <w:rPr>
          <w:rFonts w:ascii="宋体" w:hAnsi="宋体" w:cs="宋体"/>
          <w:b/>
          <w:bCs/>
          <w:szCs w:val="21"/>
        </w:rPr>
      </w:pPr>
      <w:r>
        <w:rPr>
          <w:rFonts w:hint="eastAsia" w:ascii="宋体" w:hAnsi="宋体" w:cs="宋体"/>
          <w:b/>
          <w:bCs/>
          <w:szCs w:val="21"/>
        </w:rPr>
        <w:t>第</w:t>
      </w:r>
      <w:r>
        <w:rPr>
          <w:rFonts w:hint="eastAsia" w:ascii="宋体" w:hAnsi="宋体" w:cs="宋体"/>
          <w:b/>
          <w:bCs/>
          <w:szCs w:val="21"/>
          <w:lang w:val="en-US" w:eastAsia="zh-CN"/>
        </w:rPr>
        <w:t>九</w:t>
      </w:r>
      <w:r>
        <w:rPr>
          <w:rFonts w:hint="eastAsia" w:ascii="宋体" w:hAnsi="宋体" w:cs="宋体"/>
          <w:b/>
          <w:bCs/>
          <w:szCs w:val="21"/>
        </w:rPr>
        <w:t>节  不可抗力</w:t>
      </w:r>
    </w:p>
    <w:p w14:paraId="4B4E8B8C">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.1  本合同下的不可抗力是指超出了相关方合理控制范围的任何行为、事件或原因，包括但不限于：</w:t>
      </w:r>
    </w:p>
    <w:p w14:paraId="597BE0F4">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雷电、洪水、风暴、地震、滑坡、暴雨等自然灾害、战争、骚乱、暴动、全国紧急状态（无论是实际情况或法律规定的情况）、火灾或劳工纠纷（无论是否涉及相关方的雇员）、流行病、隔离、辐射或放射性污染。</w:t>
      </w:r>
    </w:p>
    <w:p w14:paraId="1294001D">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.2  如果一方（“受影响方”）由于不可抗力事件的发生，无法或预计无法履行合同下的义务，受影响方就必须在知晓不可抗力的有关事件的5日内向另一方（“非影响方”）提交书面通知，提供不可抗力事件的细节。</w:t>
      </w:r>
    </w:p>
    <w:p w14:paraId="3BE703A5">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.3  受影响方必须采取一切合理的措施，以消除或减轻不可抗力事件有关的影响。</w:t>
      </w:r>
    </w:p>
    <w:p w14:paraId="09DC8A36">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.4  在不可抗力事件持续期间，受影响方的履行义务暂时中止，相应的义务履行期限相应顺延，并将不会对由此造成的损失或损坏对非影响万承担责任。在不可抗力事件结束后，受影响方应该尽快恢复履行本合同下的义务。</w:t>
      </w:r>
    </w:p>
    <w:p w14:paraId="278E7D5B">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 xml:space="preserve">.5  如果因为不可抗力事件的影响，受影响方不能履行本合同项下的任何义务，而且非影响方在收到不可抗力通知后，受影响方的不能履行义务持续时间达90个连续日，且在此期间，双方没有能够谈判达成一项彼此可以接受的替代方式来执行本合同下的项目，任何一方可向另一方提供书面通知，解除本协议，而不用承担任何责任。 </w:t>
      </w:r>
    </w:p>
    <w:p w14:paraId="4DCBF334">
      <w:pPr>
        <w:adjustRightInd w:val="0"/>
        <w:snapToGrid w:val="0"/>
        <w:spacing w:before="240" w:beforeLines="100" w:after="240" w:afterLines="100" w:line="360" w:lineRule="auto"/>
        <w:ind w:left="420" w:firstLine="422" w:firstLineChars="200"/>
        <w:jc w:val="center"/>
        <w:rPr>
          <w:rFonts w:hint="default" w:ascii="宋体" w:hAnsi="宋体" w:eastAsia="宋体" w:cs="宋体"/>
          <w:b/>
          <w:bCs/>
          <w:szCs w:val="21"/>
          <w:lang w:val="en-US" w:eastAsia="zh-CN"/>
        </w:rPr>
      </w:pPr>
    </w:p>
    <w:p w14:paraId="60730A23">
      <w:pPr>
        <w:adjustRightInd w:val="0"/>
        <w:snapToGrid w:val="0"/>
        <w:spacing w:before="240" w:beforeLines="100" w:after="240" w:afterLines="100" w:line="360" w:lineRule="auto"/>
        <w:ind w:left="420" w:firstLine="422" w:firstLineChars="200"/>
        <w:jc w:val="center"/>
        <w:rPr>
          <w:rFonts w:ascii="宋体" w:hAnsi="宋体" w:cs="宋体"/>
          <w:b/>
          <w:bCs/>
          <w:szCs w:val="21"/>
        </w:rPr>
      </w:pPr>
      <w:r>
        <w:rPr>
          <w:rFonts w:hint="eastAsia" w:ascii="宋体" w:hAnsi="宋体" w:cs="宋体"/>
          <w:b/>
          <w:bCs/>
          <w:szCs w:val="21"/>
        </w:rPr>
        <w:t>第十节  合同解除</w:t>
      </w:r>
    </w:p>
    <w:p w14:paraId="2FF3C753">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.1  本合同可经由甲乙双方协商一致后书面解除。</w:t>
      </w:r>
    </w:p>
    <w:p w14:paraId="5056766B">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.2  本合同可依照第10.5条（不可抗力）的规定解除。</w:t>
      </w:r>
    </w:p>
    <w:p w14:paraId="7597794E">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.3  当甲方迟延履行付款义务达60日时，乙方有权书面通知甲方后解除本合同。</w:t>
      </w:r>
    </w:p>
    <w:p w14:paraId="2724C355">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.4  当乙方延误项目建设期限达360日时，甲方有权书面通知乙方后解除本合同。</w:t>
      </w:r>
    </w:p>
    <w:p w14:paraId="2501DE90">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.5  本合同解除后，本项目应当终止实施，除非双方另行按照相关规定处理，项目财产由乙方员责拆除、取回，并根据甲方的合理要求，将项目现场恢复原状，费用由乙方承担，甲方应对乙方提供合理的协助。如乙方经甲方合理提前通知后拒绝履行前述义务，则甲方有权自行拆除相关设备，并就因此产生的费用和损失向乙方求偿。</w:t>
      </w:r>
    </w:p>
    <w:p w14:paraId="11004EC1">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若是甲方违约乙方解除合同的，上述恢复现场的费用由甲方承担。</w:t>
      </w:r>
    </w:p>
    <w:p w14:paraId="4F923BDE">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.6 甲方违约乙方解除合同的，乙方已取得能源使用费不予退回。</w:t>
      </w:r>
    </w:p>
    <w:p w14:paraId="0FE1E4A4">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.7本合同的解除不影响任意一方根据本合同或者相关的法律法规向对方寻求赔偿的权利，也不影响一方在合同解除前到期的付款义务的履行。</w:t>
      </w:r>
    </w:p>
    <w:p w14:paraId="3ACABBB5">
      <w:pPr>
        <w:adjustRightInd w:val="0"/>
        <w:snapToGrid w:val="0"/>
        <w:spacing w:before="240" w:beforeLines="100" w:after="240" w:afterLines="100" w:line="360" w:lineRule="auto"/>
        <w:ind w:left="420" w:firstLine="422" w:firstLineChars="200"/>
        <w:jc w:val="center"/>
        <w:rPr>
          <w:rFonts w:ascii="宋体" w:hAnsi="宋体" w:cs="宋体"/>
          <w:b/>
          <w:bCs/>
          <w:szCs w:val="21"/>
        </w:rPr>
      </w:pPr>
      <w:r>
        <w:rPr>
          <w:rFonts w:hint="eastAsia" w:ascii="宋体" w:hAnsi="宋体" w:cs="宋体"/>
          <w:b/>
          <w:bCs/>
          <w:szCs w:val="21"/>
        </w:rPr>
        <w:t>第十</w:t>
      </w:r>
      <w:r>
        <w:rPr>
          <w:rFonts w:hint="eastAsia" w:ascii="宋体" w:hAnsi="宋体" w:cs="宋体"/>
          <w:b/>
          <w:bCs/>
          <w:szCs w:val="21"/>
          <w:lang w:val="en-US" w:eastAsia="zh-CN"/>
        </w:rPr>
        <w:t>一</w:t>
      </w:r>
      <w:r>
        <w:rPr>
          <w:rFonts w:hint="eastAsia" w:ascii="宋体" w:hAnsi="宋体" w:cs="宋体"/>
          <w:b/>
          <w:bCs/>
          <w:szCs w:val="21"/>
        </w:rPr>
        <w:t>节  合同项下的权利、义务的转让</w:t>
      </w:r>
    </w:p>
    <w:p w14:paraId="1B3E0EA1">
      <w:pPr>
        <w:adjustRightInd w:val="0"/>
        <w:snapToGrid w:val="0"/>
        <w:spacing w:line="360" w:lineRule="auto"/>
        <w:ind w:left="420" w:firstLine="420" w:firstLineChars="200"/>
        <w:jc w:val="left"/>
        <w:rPr>
          <w:rFonts w:ascii="宋体" w:hAnsi="宋体" w:cs="宋体"/>
          <w:b/>
          <w:bCs/>
          <w:szCs w:val="21"/>
        </w:rPr>
      </w:pPr>
      <w:r>
        <w:rPr>
          <w:rFonts w:hint="eastAsia" w:ascii="宋体" w:hAnsi="宋体" w:cs="宋体"/>
          <w:szCs w:val="21"/>
        </w:rPr>
        <w:t>双方约定，合同项下权利、义务的转让按照以下方式进行：除非经另一方书面同意，乙方不得将合同项下权利、义务转让给第三方，乙方关联方除外。</w:t>
      </w:r>
    </w:p>
    <w:p w14:paraId="4375137A">
      <w:pPr>
        <w:adjustRightInd w:val="0"/>
        <w:snapToGrid w:val="0"/>
        <w:spacing w:before="240" w:beforeLines="100" w:after="240" w:afterLines="100" w:line="360" w:lineRule="auto"/>
        <w:ind w:left="420" w:firstLine="422" w:firstLineChars="200"/>
        <w:jc w:val="center"/>
        <w:rPr>
          <w:rFonts w:ascii="宋体" w:hAnsi="宋体" w:cs="宋体"/>
          <w:b/>
          <w:bCs/>
          <w:szCs w:val="21"/>
        </w:rPr>
      </w:pPr>
      <w:r>
        <w:rPr>
          <w:rFonts w:hint="eastAsia" w:ascii="宋体" w:hAnsi="宋体" w:cs="宋体"/>
          <w:b/>
          <w:bCs/>
          <w:szCs w:val="21"/>
        </w:rPr>
        <w:t>第十</w:t>
      </w:r>
      <w:r>
        <w:rPr>
          <w:rFonts w:hint="eastAsia" w:ascii="宋体" w:hAnsi="宋体" w:cs="宋体"/>
          <w:b/>
          <w:bCs/>
          <w:szCs w:val="21"/>
          <w:lang w:val="en-US" w:eastAsia="zh-CN"/>
        </w:rPr>
        <w:t>二</w:t>
      </w:r>
      <w:r>
        <w:rPr>
          <w:rFonts w:hint="eastAsia" w:ascii="宋体" w:hAnsi="宋体" w:cs="宋体"/>
          <w:b/>
          <w:bCs/>
          <w:szCs w:val="21"/>
        </w:rPr>
        <w:t>节  争议的解决办法及合同的其他事项</w:t>
      </w:r>
    </w:p>
    <w:p w14:paraId="4649D320">
      <w:pPr>
        <w:adjustRightInd w:val="0"/>
        <w:snapToGrid w:val="0"/>
        <w:spacing w:line="360" w:lineRule="auto"/>
        <w:ind w:left="420" w:firstLine="420" w:firstLineChars="200"/>
        <w:jc w:val="left"/>
        <w:rPr>
          <w:rFonts w:ascii="宋体" w:hAnsi="宋体" w:cs="宋体"/>
          <w:szCs w:val="21"/>
          <w:u w:val="single"/>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.1本合同在履行中发生争议，由双方协商解决，协商不成，双方可选择</w:t>
      </w:r>
      <w:r>
        <w:rPr>
          <w:rFonts w:hint="eastAsia" w:ascii="宋体" w:hAnsi="宋体" w:cs="宋体"/>
          <w:szCs w:val="21"/>
          <w:u w:val="single"/>
        </w:rPr>
        <w:t xml:space="preserve">     </w:t>
      </w:r>
    </w:p>
    <w:p w14:paraId="65543BA0">
      <w:pPr>
        <w:numPr>
          <w:ilvl w:val="0"/>
          <w:numId w:val="12"/>
        </w:numPr>
        <w:adjustRightInd w:val="0"/>
        <w:snapToGrid w:val="0"/>
        <w:spacing w:line="360" w:lineRule="auto"/>
        <w:ind w:left="420" w:firstLine="420" w:firstLineChars="200"/>
        <w:jc w:val="left"/>
      </w:pPr>
      <w:r>
        <w:rPr>
          <w:rFonts w:hint="eastAsia" w:ascii="宋体" w:hAnsi="宋体" w:cs="宋体"/>
          <w:szCs w:val="21"/>
        </w:rPr>
        <w:t>向甲方所在地仲裁委员会申请仲裁；</w:t>
      </w:r>
    </w:p>
    <w:p w14:paraId="6BEC7F1B">
      <w:pPr>
        <w:pStyle w:val="59"/>
        <w:ind w:left="420" w:firstLine="210"/>
      </w:pPr>
      <w:r>
        <w:rPr>
          <w:rFonts w:hint="eastAsia" w:ascii="宋体" w:hAnsi="宋体" w:cs="宋体"/>
          <w:szCs w:val="21"/>
        </w:rPr>
        <w:t xml:space="preserve">  B、向甲方所在人民法院提起上诉。</w:t>
      </w:r>
    </w:p>
    <w:p w14:paraId="588FC00E">
      <w:pPr>
        <w:adjustRightInd w:val="0"/>
        <w:snapToGrid w:val="0"/>
        <w:spacing w:line="360" w:lineRule="auto"/>
        <w:ind w:left="420" w:firstLine="420" w:firstLineChars="200"/>
        <w:jc w:val="left"/>
        <w:rPr>
          <w:rFonts w:ascii="宋体" w:hAnsi="宋体" w:cs="宋体"/>
          <w:szCs w:val="21"/>
        </w:rPr>
      </w:pPr>
      <w:r>
        <w:rPr>
          <w:rFonts w:hint="eastAsia" w:ascii="宋体" w:hAnsi="宋体" w:cs="宋体"/>
          <w:szCs w:val="21"/>
        </w:rPr>
        <w:t xml:space="preserve">14.2 本合同一式肆份，甲、乙双方各执贰份。 </w:t>
      </w:r>
    </w:p>
    <w:p w14:paraId="1C8D402F">
      <w:pPr>
        <w:adjustRightInd w:val="0"/>
        <w:snapToGrid w:val="0"/>
        <w:spacing w:line="360" w:lineRule="auto"/>
        <w:ind w:left="420" w:firstLine="420" w:firstLineChars="200"/>
        <w:jc w:val="left"/>
        <w:rPr>
          <w:rFonts w:hint="eastAsia" w:ascii="宋体" w:hAnsi="宋体" w:cs="宋体"/>
          <w:szCs w:val="21"/>
        </w:rPr>
      </w:pPr>
      <w:r>
        <w:rPr>
          <w:rFonts w:hint="eastAsia" w:ascii="宋体" w:hAnsi="宋体" w:cs="宋体"/>
          <w:szCs w:val="21"/>
        </w:rPr>
        <w:t>14.3 本合同自签订之日起生效。</w:t>
      </w:r>
    </w:p>
    <w:p w14:paraId="5F26B2E4">
      <w:pPr>
        <w:rPr>
          <w:rFonts w:hint="default"/>
          <w:lang w:val="en-US" w:eastAsia="zh-CN"/>
        </w:rPr>
      </w:pPr>
      <w:r>
        <w:rPr>
          <w:rFonts w:hint="eastAsia" w:ascii="宋体" w:hAnsi="宋体" w:cs="宋体"/>
          <w:szCs w:val="21"/>
          <w:lang w:val="en-US" w:eastAsia="zh-CN"/>
        </w:rPr>
        <w:t xml:space="preserve">                      </w:t>
      </w:r>
    </w:p>
    <w:p w14:paraId="79BA70CD">
      <w:pPr>
        <w:pStyle w:val="59"/>
        <w:ind w:firstLine="3584" w:firstLineChars="1700"/>
        <w:jc w:val="both"/>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十三节   其他</w:t>
      </w:r>
    </w:p>
    <w:p w14:paraId="27626195">
      <w:pPr>
        <w:rPr>
          <w:rFonts w:hint="default" w:ascii="宋体" w:hAnsi="宋体" w:cs="宋体"/>
          <w:szCs w:val="21"/>
          <w:highlight w:val="none"/>
          <w:lang w:val="en-US" w:eastAsia="zh-CN"/>
        </w:rPr>
      </w:pPr>
      <w:r>
        <w:rPr>
          <w:rFonts w:hint="eastAsia" w:ascii="宋体" w:hAnsi="宋体" w:cs="宋体"/>
          <w:b/>
          <w:bCs/>
          <w:kern w:val="2"/>
          <w:sz w:val="21"/>
          <w:szCs w:val="21"/>
          <w:highlight w:val="none"/>
          <w:lang w:val="en-US" w:eastAsia="zh-CN" w:bidi="ar-SA"/>
        </w:rPr>
        <w:t xml:space="preserve">        </w:t>
      </w:r>
      <w:r>
        <w:rPr>
          <w:rFonts w:hint="eastAsia" w:ascii="宋体" w:hAnsi="宋体" w:cs="宋体"/>
          <w:szCs w:val="21"/>
          <w:highlight w:val="none"/>
          <w:lang w:val="en-US" w:eastAsia="zh-CN"/>
        </w:rPr>
        <w:t>13.1如本合同中有未明确的条款，甲乙双方应以采购文件中所规定的所有内容实施本项目。</w:t>
      </w:r>
    </w:p>
    <w:p w14:paraId="1DD032AA">
      <w:pPr>
        <w:tabs>
          <w:tab w:val="left" w:pos="891"/>
          <w:tab w:val="left" w:pos="9540"/>
        </w:tabs>
        <w:adjustRightInd w:val="0"/>
        <w:snapToGrid w:val="0"/>
        <w:spacing w:line="560" w:lineRule="exact"/>
        <w:ind w:right="-50" w:rightChars="-24"/>
        <w:jc w:val="left"/>
        <w:rPr>
          <w:rFonts w:ascii="宋体" w:hAnsi="宋体" w:cs="宋体"/>
          <w:szCs w:val="21"/>
          <w:highlight w:val="yellow"/>
        </w:rPr>
      </w:pPr>
    </w:p>
    <w:p w14:paraId="0C76D736">
      <w:pPr>
        <w:tabs>
          <w:tab w:val="left" w:pos="891"/>
          <w:tab w:val="left" w:pos="9540"/>
        </w:tabs>
        <w:adjustRightInd w:val="0"/>
        <w:snapToGrid w:val="0"/>
        <w:spacing w:line="560" w:lineRule="exact"/>
        <w:ind w:right="-50" w:rightChars="-24"/>
        <w:jc w:val="left"/>
        <w:rPr>
          <w:rFonts w:ascii="宋体" w:hAnsi="宋体" w:cs="宋体"/>
          <w:szCs w:val="21"/>
        </w:rPr>
      </w:pPr>
      <w:r>
        <w:rPr>
          <w:rFonts w:hint="eastAsia" w:ascii="宋体" w:hAnsi="宋体" w:cs="宋体"/>
          <w:szCs w:val="21"/>
        </w:rPr>
        <w:t>甲方签章：                          乙方签章：</w:t>
      </w:r>
    </w:p>
    <w:p w14:paraId="0ED66777">
      <w:pPr>
        <w:rPr>
          <w:rFonts w:ascii="宋体" w:hAnsi="宋体" w:cs="宋体"/>
          <w:szCs w:val="21"/>
        </w:rPr>
      </w:pPr>
    </w:p>
    <w:p w14:paraId="08828E6F">
      <w:pPr>
        <w:tabs>
          <w:tab w:val="left" w:pos="666"/>
        </w:tabs>
        <w:jc w:val="left"/>
        <w:rPr>
          <w:rFonts w:ascii="宋体" w:hAnsi="宋体" w:cs="宋体"/>
          <w:szCs w:val="21"/>
        </w:rPr>
      </w:pPr>
      <w:r>
        <w:rPr>
          <w:rFonts w:hint="eastAsia" w:ascii="宋体" w:hAnsi="宋体" w:cs="宋体"/>
          <w:szCs w:val="21"/>
        </w:rPr>
        <w:t xml:space="preserve">法人代表或授权代表人：              法人代表或授权代表人： </w:t>
      </w:r>
    </w:p>
    <w:p w14:paraId="4DA934DB">
      <w:pPr>
        <w:tabs>
          <w:tab w:val="left" w:pos="666"/>
        </w:tabs>
        <w:jc w:val="left"/>
        <w:rPr>
          <w:rFonts w:ascii="宋体" w:hAnsi="宋体" w:cs="宋体"/>
          <w:szCs w:val="21"/>
        </w:rPr>
      </w:pPr>
    </w:p>
    <w:p w14:paraId="22BC41F7">
      <w:pPr>
        <w:tabs>
          <w:tab w:val="left" w:pos="666"/>
        </w:tabs>
        <w:ind w:left="420" w:firstLine="480" w:firstLineChars="200"/>
        <w:jc w:val="left"/>
        <w:rPr>
          <w:rFonts w:ascii="宋体" w:hAnsi="宋体" w:cs="宋体"/>
          <w:sz w:val="24"/>
        </w:rPr>
      </w:pPr>
    </w:p>
    <w:p w14:paraId="583CE70D">
      <w:pPr>
        <w:tabs>
          <w:tab w:val="left" w:pos="666"/>
        </w:tabs>
        <w:ind w:left="660" w:hanging="240"/>
        <w:jc w:val="left"/>
        <w:rPr>
          <w:rFonts w:ascii="宋体" w:hAnsi="宋体" w:cs="宋体"/>
          <w:sz w:val="24"/>
        </w:rPr>
      </w:pPr>
    </w:p>
    <w:p w14:paraId="5CAB1DF5">
      <w:pPr>
        <w:tabs>
          <w:tab w:val="left" w:pos="666"/>
        </w:tabs>
        <w:rPr>
          <w:rFonts w:ascii="宋体" w:hAnsi="宋体" w:cs="宋体"/>
          <w:szCs w:val="21"/>
        </w:rPr>
      </w:pPr>
      <w:r>
        <w:rPr>
          <w:rFonts w:ascii="宋体" w:hAnsi="宋体" w:cs="宋体"/>
          <w:szCs w:val="21"/>
        </w:rPr>
        <w:t>签订日期： 年 月 日</w:t>
      </w:r>
    </w:p>
    <w:p w14:paraId="21163426">
      <w:pPr>
        <w:tabs>
          <w:tab w:val="left" w:pos="666"/>
        </w:tabs>
        <w:ind w:left="420" w:firstLine="2625" w:firstLineChars="1250"/>
        <w:jc w:val="left"/>
        <w:rPr>
          <w:rFonts w:ascii="宋体" w:hAnsi="宋体" w:cs="宋体"/>
          <w:szCs w:val="21"/>
        </w:rPr>
      </w:pPr>
    </w:p>
    <w:p w14:paraId="50974E8B">
      <w:pPr>
        <w:tabs>
          <w:tab w:val="left" w:pos="666"/>
        </w:tabs>
        <w:jc w:val="left"/>
        <w:rPr>
          <w:szCs w:val="21"/>
        </w:rPr>
      </w:pPr>
      <w:r>
        <w:rPr>
          <w:rFonts w:ascii="宋体" w:hAnsi="宋体" w:cs="宋体"/>
          <w:szCs w:val="21"/>
        </w:rPr>
        <w:t>签订地点：</w:t>
      </w:r>
    </w:p>
    <w:p w14:paraId="3BB2150A">
      <w:pPr>
        <w:spacing w:line="360" w:lineRule="auto"/>
        <w:ind w:left="420" w:firstLine="482" w:firstLineChars="200"/>
        <w:jc w:val="center"/>
        <w:rPr>
          <w:rFonts w:ascii="宋体" w:hAnsi="宋体" w:cs="仿宋_GB2312"/>
          <w:b/>
          <w:bCs/>
          <w:sz w:val="24"/>
        </w:rPr>
      </w:pPr>
    </w:p>
    <w:p w14:paraId="3C4E452A">
      <w:pPr>
        <w:ind w:left="741" w:hanging="321"/>
        <w:jc w:val="center"/>
        <w:outlineLvl w:val="9"/>
        <w:rPr>
          <w:rFonts w:ascii="黑体" w:hAnsi="黑体" w:eastAsia="黑体" w:cs="黑体"/>
          <w:b/>
          <w:bCs/>
          <w:sz w:val="32"/>
          <w:szCs w:val="32"/>
        </w:rPr>
      </w:pPr>
    </w:p>
    <w:p w14:paraId="745C3FA3">
      <w:pPr>
        <w:ind w:left="741" w:hanging="321"/>
        <w:jc w:val="center"/>
        <w:outlineLvl w:val="9"/>
        <w:rPr>
          <w:rFonts w:ascii="黑体" w:hAnsi="黑体" w:eastAsia="黑体" w:cs="黑体"/>
          <w:b/>
          <w:bCs/>
          <w:sz w:val="32"/>
          <w:szCs w:val="32"/>
        </w:rPr>
      </w:pPr>
    </w:p>
    <w:p w14:paraId="4304F089">
      <w:pPr>
        <w:ind w:left="741" w:hanging="321"/>
        <w:jc w:val="center"/>
        <w:outlineLvl w:val="9"/>
        <w:rPr>
          <w:rFonts w:ascii="黑体" w:hAnsi="黑体" w:eastAsia="黑体" w:cs="黑体"/>
          <w:b/>
          <w:bCs/>
          <w:sz w:val="32"/>
          <w:szCs w:val="32"/>
        </w:rPr>
      </w:pPr>
    </w:p>
    <w:p w14:paraId="594E08FE">
      <w:pPr>
        <w:pStyle w:val="59"/>
        <w:outlineLvl w:val="9"/>
        <w:rPr>
          <w:rFonts w:ascii="黑体" w:hAnsi="黑体" w:eastAsia="黑体" w:cs="黑体"/>
          <w:b/>
          <w:bCs/>
          <w:sz w:val="32"/>
          <w:szCs w:val="32"/>
        </w:rPr>
      </w:pPr>
    </w:p>
    <w:p w14:paraId="7582B21B">
      <w:pPr>
        <w:outlineLvl w:val="9"/>
        <w:rPr>
          <w:rFonts w:ascii="黑体" w:hAnsi="黑体" w:eastAsia="黑体" w:cs="黑体"/>
          <w:b/>
          <w:bCs/>
          <w:sz w:val="32"/>
          <w:szCs w:val="32"/>
        </w:rPr>
      </w:pPr>
    </w:p>
    <w:p w14:paraId="04A2EF27">
      <w:pPr>
        <w:pStyle w:val="59"/>
        <w:outlineLvl w:val="9"/>
        <w:rPr>
          <w:rFonts w:ascii="黑体" w:hAnsi="黑体" w:eastAsia="黑体" w:cs="黑体"/>
          <w:b/>
          <w:bCs/>
          <w:sz w:val="32"/>
          <w:szCs w:val="32"/>
        </w:rPr>
      </w:pPr>
    </w:p>
    <w:p w14:paraId="583C65BA">
      <w:pPr>
        <w:outlineLvl w:val="9"/>
        <w:rPr>
          <w:rFonts w:ascii="黑体" w:hAnsi="黑体" w:eastAsia="黑体" w:cs="黑体"/>
          <w:b/>
          <w:bCs/>
          <w:sz w:val="32"/>
          <w:szCs w:val="32"/>
        </w:rPr>
      </w:pPr>
    </w:p>
    <w:p w14:paraId="2A26D4FA">
      <w:pPr>
        <w:pStyle w:val="59"/>
        <w:outlineLvl w:val="9"/>
        <w:rPr>
          <w:rFonts w:ascii="黑体" w:hAnsi="黑体" w:eastAsia="黑体" w:cs="黑体"/>
          <w:b/>
          <w:bCs/>
          <w:sz w:val="32"/>
          <w:szCs w:val="32"/>
        </w:rPr>
      </w:pPr>
    </w:p>
    <w:p w14:paraId="5B69C284">
      <w:pPr>
        <w:outlineLvl w:val="9"/>
        <w:rPr>
          <w:rFonts w:ascii="黑体" w:hAnsi="黑体" w:eastAsia="黑体" w:cs="黑体"/>
          <w:b/>
          <w:bCs/>
          <w:sz w:val="32"/>
          <w:szCs w:val="32"/>
        </w:rPr>
      </w:pPr>
    </w:p>
    <w:p w14:paraId="208FF230">
      <w:pPr>
        <w:pStyle w:val="59"/>
        <w:outlineLvl w:val="9"/>
        <w:rPr>
          <w:rFonts w:ascii="黑体" w:hAnsi="黑体" w:eastAsia="黑体" w:cs="黑体"/>
          <w:b/>
          <w:bCs/>
          <w:sz w:val="32"/>
          <w:szCs w:val="32"/>
        </w:rPr>
      </w:pPr>
    </w:p>
    <w:p w14:paraId="042750BA">
      <w:pPr>
        <w:outlineLvl w:val="9"/>
        <w:rPr>
          <w:rFonts w:ascii="黑体" w:hAnsi="黑体" w:eastAsia="黑体" w:cs="黑体"/>
          <w:b/>
          <w:bCs/>
          <w:sz w:val="32"/>
          <w:szCs w:val="32"/>
        </w:rPr>
      </w:pPr>
    </w:p>
    <w:p w14:paraId="25548972">
      <w:pPr>
        <w:pStyle w:val="59"/>
        <w:outlineLvl w:val="9"/>
        <w:rPr>
          <w:rFonts w:ascii="黑体" w:hAnsi="黑体" w:eastAsia="黑体" w:cs="黑体"/>
          <w:b/>
          <w:bCs/>
          <w:sz w:val="32"/>
          <w:szCs w:val="32"/>
        </w:rPr>
      </w:pPr>
    </w:p>
    <w:p w14:paraId="05C0CB07">
      <w:pPr>
        <w:rPr>
          <w:rFonts w:ascii="黑体" w:hAnsi="黑体" w:eastAsia="黑体" w:cs="黑体"/>
          <w:b/>
          <w:bCs/>
          <w:sz w:val="32"/>
          <w:szCs w:val="32"/>
        </w:rPr>
      </w:pPr>
    </w:p>
    <w:p w14:paraId="022CA782">
      <w:pPr>
        <w:pStyle w:val="59"/>
        <w:rPr>
          <w:rFonts w:ascii="黑体" w:hAnsi="黑体" w:eastAsia="黑体" w:cs="黑体"/>
          <w:b/>
          <w:bCs/>
          <w:sz w:val="32"/>
          <w:szCs w:val="32"/>
        </w:rPr>
      </w:pPr>
    </w:p>
    <w:p w14:paraId="06FE3E37">
      <w:pPr>
        <w:rPr>
          <w:rFonts w:ascii="黑体" w:hAnsi="黑体" w:eastAsia="黑体" w:cs="黑体"/>
          <w:b/>
          <w:bCs/>
          <w:sz w:val="32"/>
          <w:szCs w:val="32"/>
        </w:rPr>
      </w:pPr>
    </w:p>
    <w:p w14:paraId="00AFC113">
      <w:pPr>
        <w:pStyle w:val="59"/>
        <w:rPr>
          <w:rFonts w:ascii="黑体" w:hAnsi="黑体" w:eastAsia="黑体" w:cs="黑体"/>
          <w:b/>
          <w:bCs/>
          <w:sz w:val="32"/>
          <w:szCs w:val="32"/>
        </w:rPr>
      </w:pPr>
    </w:p>
    <w:p w14:paraId="18D65357">
      <w:pPr>
        <w:rPr>
          <w:rFonts w:ascii="黑体" w:hAnsi="黑体" w:eastAsia="黑体" w:cs="黑体"/>
          <w:b/>
          <w:bCs/>
          <w:sz w:val="32"/>
          <w:szCs w:val="32"/>
        </w:rPr>
      </w:pPr>
    </w:p>
    <w:p w14:paraId="63C33C7F">
      <w:pPr>
        <w:pStyle w:val="59"/>
        <w:rPr>
          <w:rFonts w:ascii="黑体" w:hAnsi="黑体" w:eastAsia="黑体" w:cs="黑体"/>
          <w:b/>
          <w:bCs/>
          <w:sz w:val="32"/>
          <w:szCs w:val="32"/>
        </w:rPr>
      </w:pPr>
    </w:p>
    <w:p w14:paraId="30D119DE">
      <w:pPr>
        <w:rPr>
          <w:rFonts w:ascii="黑体" w:hAnsi="黑体" w:eastAsia="黑体" w:cs="黑体"/>
          <w:b/>
          <w:bCs/>
          <w:sz w:val="32"/>
          <w:szCs w:val="32"/>
        </w:rPr>
      </w:pPr>
    </w:p>
    <w:p w14:paraId="6B078132">
      <w:pPr>
        <w:pStyle w:val="59"/>
        <w:rPr>
          <w:rFonts w:ascii="黑体" w:hAnsi="黑体" w:eastAsia="黑体" w:cs="黑体"/>
          <w:b/>
          <w:bCs/>
          <w:sz w:val="32"/>
          <w:szCs w:val="32"/>
        </w:rPr>
      </w:pPr>
    </w:p>
    <w:p w14:paraId="4CB39C63">
      <w:pPr>
        <w:rPr>
          <w:rFonts w:ascii="黑体" w:hAnsi="黑体" w:eastAsia="黑体" w:cs="黑体"/>
          <w:b/>
          <w:bCs/>
          <w:sz w:val="32"/>
          <w:szCs w:val="32"/>
        </w:rPr>
      </w:pPr>
    </w:p>
    <w:p w14:paraId="6112B5C3">
      <w:pPr>
        <w:pStyle w:val="59"/>
      </w:pPr>
    </w:p>
    <w:p w14:paraId="7FAA27E2">
      <w:pPr>
        <w:rPr>
          <w:rFonts w:ascii="黑体" w:hAnsi="黑体" w:eastAsia="黑体" w:cs="黑体"/>
          <w:b/>
          <w:bCs/>
          <w:sz w:val="32"/>
          <w:szCs w:val="32"/>
        </w:rPr>
      </w:pPr>
    </w:p>
    <w:p w14:paraId="7D2DFA7F">
      <w:pPr>
        <w:pStyle w:val="59"/>
      </w:pPr>
    </w:p>
    <w:p w14:paraId="22788834">
      <w:pPr>
        <w:ind w:left="741" w:hanging="321"/>
        <w:jc w:val="center"/>
        <w:outlineLvl w:val="0"/>
        <w:rPr>
          <w:rFonts w:ascii="黑体" w:hAnsi="黑体" w:eastAsia="黑体" w:cs="黑体"/>
          <w:b/>
          <w:bCs/>
          <w:sz w:val="32"/>
          <w:szCs w:val="32"/>
        </w:rPr>
      </w:pPr>
      <w:r>
        <w:rPr>
          <w:rFonts w:hint="eastAsia" w:ascii="黑体" w:hAnsi="黑体" w:eastAsia="黑体" w:cs="黑体"/>
          <w:b/>
          <w:bCs/>
          <w:sz w:val="32"/>
          <w:szCs w:val="32"/>
        </w:rPr>
        <w:t>第六章　投标文件格式</w:t>
      </w:r>
      <w:bookmarkEnd w:id="77"/>
      <w:bookmarkEnd w:id="78"/>
    </w:p>
    <w:p w14:paraId="69D7FE61">
      <w:pPr>
        <w:snapToGrid w:val="0"/>
        <w:spacing w:line="360" w:lineRule="auto"/>
        <w:ind w:left="661" w:hanging="241"/>
        <w:rPr>
          <w:rFonts w:ascii="宋体" w:hAnsi="宋体" w:cs="宋体"/>
          <w:b/>
          <w:sz w:val="24"/>
        </w:rPr>
      </w:pPr>
    </w:p>
    <w:p w14:paraId="5CF4EBAD">
      <w:pPr>
        <w:snapToGrid w:val="0"/>
        <w:spacing w:line="360" w:lineRule="auto"/>
        <w:ind w:left="661" w:hanging="241"/>
        <w:outlineLvl w:val="1"/>
        <w:rPr>
          <w:rFonts w:ascii="黑体" w:hAnsi="黑体" w:eastAsia="黑体" w:cs="黑体"/>
          <w:b/>
          <w:bCs/>
          <w:sz w:val="24"/>
          <w:szCs w:val="20"/>
        </w:rPr>
      </w:pPr>
      <w:r>
        <w:rPr>
          <w:rFonts w:hint="eastAsia" w:ascii="黑体" w:hAnsi="黑体" w:eastAsia="黑体" w:cs="黑体"/>
          <w:b/>
          <w:sz w:val="24"/>
        </w:rPr>
        <w:t>1. 电子</w:t>
      </w:r>
      <w:r>
        <w:rPr>
          <w:rFonts w:hint="eastAsia" w:ascii="黑体" w:hAnsi="黑体" w:eastAsia="黑体" w:cs="黑体"/>
          <w:b/>
          <w:sz w:val="24"/>
          <w:lang w:bidi="ar"/>
        </w:rPr>
        <w:t>备份投标文件</w:t>
      </w:r>
      <w:r>
        <w:rPr>
          <w:rFonts w:hint="eastAsia" w:ascii="黑体" w:hAnsi="黑体" w:eastAsia="黑体" w:cs="黑体"/>
          <w:b/>
          <w:bCs/>
          <w:sz w:val="24"/>
        </w:rPr>
        <w:t>的外包装封面格式</w:t>
      </w:r>
    </w:p>
    <w:p w14:paraId="7B9A4209">
      <w:pPr>
        <w:snapToGrid w:val="0"/>
        <w:spacing w:line="360" w:lineRule="auto"/>
        <w:ind w:left="660" w:hanging="240"/>
        <w:rPr>
          <w:rFonts w:ascii="宋体" w:hAnsi="宋体" w:cs="宋体"/>
          <w:bCs/>
          <w:sz w:val="24"/>
          <w:szCs w:val="20"/>
        </w:rPr>
      </w:pPr>
    </w:p>
    <w:p w14:paraId="6AEF33D4">
      <w:pPr>
        <w:snapToGrid w:val="0"/>
        <w:spacing w:line="360" w:lineRule="auto"/>
        <w:ind w:left="942" w:hanging="522"/>
        <w:jc w:val="center"/>
        <w:rPr>
          <w:rFonts w:ascii="宋体" w:hAnsi="宋体" w:cs="宋体"/>
          <w:b/>
          <w:bCs/>
          <w:sz w:val="52"/>
          <w:szCs w:val="52"/>
        </w:rPr>
      </w:pPr>
      <w:r>
        <w:rPr>
          <w:rFonts w:hint="eastAsia" w:ascii="宋体" w:hAnsi="宋体" w:cs="宋体"/>
          <w:b/>
          <w:bCs/>
          <w:sz w:val="52"/>
          <w:szCs w:val="52"/>
        </w:rPr>
        <w:t>电子备份投标文件</w:t>
      </w:r>
    </w:p>
    <w:p w14:paraId="0BB230E3">
      <w:pPr>
        <w:snapToGrid w:val="0"/>
        <w:spacing w:line="360" w:lineRule="auto"/>
        <w:ind w:left="660" w:hanging="240"/>
        <w:rPr>
          <w:rFonts w:ascii="宋体" w:hAnsi="宋体" w:cs="宋体"/>
          <w:bCs/>
          <w:sz w:val="24"/>
          <w:szCs w:val="20"/>
        </w:rPr>
      </w:pPr>
    </w:p>
    <w:p w14:paraId="02914D87">
      <w:pPr>
        <w:snapToGrid w:val="0"/>
        <w:spacing w:line="360" w:lineRule="auto"/>
        <w:ind w:left="2647" w:leftChars="594" w:hanging="1400" w:hangingChars="500"/>
        <w:rPr>
          <w:rFonts w:ascii="宋体" w:hAnsi="宋体" w:cs="宋体"/>
          <w:bCs/>
          <w:sz w:val="28"/>
          <w:szCs w:val="28"/>
        </w:rPr>
      </w:pPr>
      <w:r>
        <w:rPr>
          <w:rFonts w:hint="eastAsia" w:ascii="宋体" w:hAnsi="宋体" w:cs="宋体"/>
          <w:bCs/>
          <w:sz w:val="28"/>
          <w:szCs w:val="28"/>
        </w:rPr>
        <w:t xml:space="preserve">项目名称： </w:t>
      </w:r>
    </w:p>
    <w:p w14:paraId="08061C75">
      <w:pPr>
        <w:snapToGrid w:val="0"/>
        <w:spacing w:line="360" w:lineRule="auto"/>
        <w:ind w:left="420" w:firstLine="560" w:firstLineChars="200"/>
        <w:rPr>
          <w:rFonts w:ascii="宋体" w:hAnsi="宋体" w:cs="宋体"/>
          <w:bCs/>
          <w:sz w:val="28"/>
          <w:szCs w:val="28"/>
        </w:rPr>
      </w:pPr>
      <w:r>
        <w:rPr>
          <w:rFonts w:hint="eastAsia" w:ascii="宋体" w:hAnsi="宋体" w:cs="宋体"/>
          <w:bCs/>
          <w:sz w:val="28"/>
          <w:szCs w:val="28"/>
        </w:rPr>
        <w:t xml:space="preserve">     项目编号：</w:t>
      </w:r>
    </w:p>
    <w:p w14:paraId="0FC4D636">
      <w:pPr>
        <w:snapToGrid w:val="0"/>
        <w:spacing w:line="360" w:lineRule="auto"/>
        <w:ind w:left="420" w:firstLine="560" w:firstLineChars="200"/>
        <w:rPr>
          <w:rFonts w:ascii="宋体" w:hAnsi="宋体" w:cs="宋体"/>
          <w:bCs/>
          <w:sz w:val="28"/>
          <w:szCs w:val="28"/>
        </w:rPr>
      </w:pPr>
      <w:r>
        <w:rPr>
          <w:rFonts w:hint="eastAsia" w:ascii="宋体" w:hAnsi="宋体" w:cs="宋体"/>
          <w:bCs/>
          <w:sz w:val="28"/>
          <w:szCs w:val="28"/>
        </w:rPr>
        <w:t xml:space="preserve">     </w:t>
      </w:r>
    </w:p>
    <w:p w14:paraId="495FBE87">
      <w:pPr>
        <w:pStyle w:val="15"/>
        <w:snapToGrid w:val="0"/>
        <w:spacing w:line="360" w:lineRule="auto"/>
        <w:ind w:left="420" w:firstLine="1260" w:firstLineChars="450"/>
        <w:rPr>
          <w:rFonts w:ascii="宋体" w:hAnsi="宋体" w:cs="宋体"/>
          <w:bCs/>
          <w:sz w:val="28"/>
          <w:szCs w:val="28"/>
        </w:rPr>
      </w:pPr>
    </w:p>
    <w:p w14:paraId="10C7FAE2">
      <w:pPr>
        <w:pStyle w:val="15"/>
        <w:snapToGrid w:val="0"/>
        <w:spacing w:line="360" w:lineRule="auto"/>
        <w:ind w:left="420" w:firstLine="1260" w:firstLineChars="450"/>
        <w:rPr>
          <w:rFonts w:ascii="宋体" w:hAnsi="宋体" w:cs="宋体"/>
          <w:bCs/>
          <w:sz w:val="28"/>
          <w:szCs w:val="28"/>
        </w:rPr>
      </w:pPr>
    </w:p>
    <w:p w14:paraId="151D08FC">
      <w:pPr>
        <w:pStyle w:val="15"/>
        <w:snapToGrid w:val="0"/>
        <w:spacing w:line="360" w:lineRule="auto"/>
        <w:ind w:left="420" w:firstLine="1260" w:firstLineChars="450"/>
        <w:rPr>
          <w:rFonts w:ascii="宋体" w:hAnsi="宋体" w:cs="宋体"/>
          <w:bCs/>
          <w:sz w:val="28"/>
          <w:szCs w:val="28"/>
        </w:rPr>
      </w:pPr>
    </w:p>
    <w:p w14:paraId="36FF71EF">
      <w:pPr>
        <w:pStyle w:val="15"/>
        <w:snapToGrid w:val="0"/>
        <w:spacing w:line="360" w:lineRule="auto"/>
        <w:ind w:left="420" w:firstLine="1260" w:firstLineChars="450"/>
        <w:rPr>
          <w:rFonts w:ascii="宋体" w:hAnsi="宋体" w:cs="宋体"/>
          <w:bCs/>
          <w:sz w:val="28"/>
          <w:szCs w:val="28"/>
        </w:rPr>
      </w:pPr>
    </w:p>
    <w:p w14:paraId="0D41BB94">
      <w:pPr>
        <w:pStyle w:val="15"/>
        <w:snapToGrid w:val="0"/>
        <w:spacing w:line="360" w:lineRule="auto"/>
        <w:ind w:left="420" w:firstLine="1260" w:firstLineChars="450"/>
        <w:rPr>
          <w:rFonts w:ascii="宋体" w:hAnsi="宋体" w:cs="宋体"/>
          <w:bCs/>
          <w:sz w:val="28"/>
          <w:szCs w:val="28"/>
        </w:rPr>
      </w:pPr>
      <w:r>
        <w:rPr>
          <w:rFonts w:hint="eastAsia" w:ascii="宋体" w:hAnsi="宋体" w:cs="宋体"/>
          <w:bCs/>
          <w:sz w:val="28"/>
          <w:szCs w:val="28"/>
        </w:rPr>
        <w:t>投标人名称：（盖章）</w:t>
      </w:r>
    </w:p>
    <w:p w14:paraId="1CD1F1F7">
      <w:pPr>
        <w:pStyle w:val="15"/>
        <w:snapToGrid w:val="0"/>
        <w:spacing w:line="360" w:lineRule="auto"/>
        <w:ind w:left="420" w:firstLine="1260" w:firstLineChars="450"/>
        <w:rPr>
          <w:rFonts w:ascii="宋体" w:hAnsi="宋体" w:cs="宋体"/>
          <w:bCs/>
          <w:sz w:val="28"/>
          <w:szCs w:val="28"/>
        </w:rPr>
      </w:pPr>
      <w:r>
        <w:rPr>
          <w:rFonts w:hint="eastAsia" w:ascii="宋体" w:hAnsi="宋体" w:cs="宋体"/>
          <w:bCs/>
          <w:sz w:val="28"/>
          <w:szCs w:val="28"/>
        </w:rPr>
        <w:t>投标人地址：</w:t>
      </w:r>
    </w:p>
    <w:p w14:paraId="3E167D20">
      <w:pPr>
        <w:pStyle w:val="15"/>
        <w:snapToGrid w:val="0"/>
        <w:spacing w:line="360" w:lineRule="auto"/>
        <w:ind w:left="420" w:firstLine="1260" w:firstLineChars="450"/>
        <w:rPr>
          <w:rFonts w:ascii="宋体" w:hAnsi="宋体" w:cs="宋体"/>
          <w:bCs/>
          <w:sz w:val="28"/>
          <w:szCs w:val="28"/>
        </w:rPr>
      </w:pPr>
      <w:r>
        <w:rPr>
          <w:rFonts w:hint="eastAsia" w:ascii="宋体" w:hAnsi="宋体" w:cs="宋体"/>
          <w:bCs/>
          <w:sz w:val="28"/>
          <w:szCs w:val="28"/>
        </w:rPr>
        <w:t>在  年  月  日  时  分之前不得启封</w:t>
      </w:r>
    </w:p>
    <w:p w14:paraId="49EDED37">
      <w:pPr>
        <w:pStyle w:val="15"/>
        <w:snapToGrid w:val="0"/>
        <w:spacing w:line="360" w:lineRule="auto"/>
        <w:ind w:left="420" w:firstLine="1164" w:firstLineChars="416"/>
        <w:rPr>
          <w:rFonts w:ascii="宋体" w:hAnsi="宋体" w:cs="宋体"/>
          <w:sz w:val="28"/>
          <w:szCs w:val="28"/>
        </w:rPr>
      </w:pPr>
    </w:p>
    <w:p w14:paraId="54D5BD67">
      <w:pPr>
        <w:pStyle w:val="15"/>
        <w:snapToGrid w:val="0"/>
        <w:spacing w:line="360" w:lineRule="auto"/>
        <w:ind w:left="420" w:firstLine="1164" w:firstLineChars="416"/>
        <w:rPr>
          <w:rFonts w:ascii="宋体" w:hAnsi="宋体" w:cs="宋体"/>
          <w:sz w:val="28"/>
          <w:szCs w:val="28"/>
        </w:rPr>
      </w:pPr>
    </w:p>
    <w:p w14:paraId="6F1AEFF0">
      <w:pPr>
        <w:snapToGrid w:val="0"/>
        <w:spacing w:line="360" w:lineRule="auto"/>
        <w:ind w:left="700" w:hanging="280"/>
        <w:rPr>
          <w:rFonts w:ascii="宋体" w:hAnsi="宋体" w:cs="宋体"/>
          <w:sz w:val="24"/>
          <w:szCs w:val="20"/>
        </w:rPr>
      </w:pPr>
      <w:r>
        <w:rPr>
          <w:rFonts w:hint="eastAsia" w:ascii="宋体" w:hAnsi="宋体" w:cs="宋体"/>
          <w:sz w:val="28"/>
          <w:szCs w:val="28"/>
        </w:rPr>
        <w:t xml:space="preserve">                        年  月  日</w:t>
      </w:r>
    </w:p>
    <w:p w14:paraId="060C6063">
      <w:pPr>
        <w:snapToGrid w:val="0"/>
        <w:spacing w:line="360" w:lineRule="auto"/>
        <w:ind w:left="661" w:hanging="241"/>
        <w:outlineLvl w:val="1"/>
        <w:rPr>
          <w:rFonts w:ascii="黑体" w:hAnsi="黑体" w:eastAsia="黑体" w:cs="黑体"/>
          <w:b/>
          <w:sz w:val="24"/>
          <w:szCs w:val="20"/>
        </w:rPr>
      </w:pPr>
      <w:r>
        <w:rPr>
          <w:rFonts w:ascii="宋体" w:hAnsi="宋体" w:cs="宋体"/>
          <w:b/>
          <w:sz w:val="24"/>
        </w:rPr>
        <w:br w:type="page"/>
      </w:r>
      <w:r>
        <w:rPr>
          <w:rFonts w:hint="eastAsia" w:ascii="黑体" w:hAnsi="黑体" w:eastAsia="黑体" w:cs="黑体"/>
          <w:b/>
          <w:sz w:val="24"/>
        </w:rPr>
        <w:t>2. 资格证明文件/商务技术文件/报价</w:t>
      </w:r>
      <w:r>
        <w:rPr>
          <w:rFonts w:hint="eastAsia" w:ascii="黑体" w:hAnsi="黑体" w:eastAsia="黑体" w:cs="黑体"/>
          <w:b/>
          <w:bCs/>
          <w:sz w:val="24"/>
        </w:rPr>
        <w:t>文件</w:t>
      </w:r>
      <w:r>
        <w:rPr>
          <w:rFonts w:hint="eastAsia" w:ascii="黑体" w:hAnsi="黑体" w:eastAsia="黑体" w:cs="黑体"/>
          <w:b/>
          <w:sz w:val="24"/>
        </w:rPr>
        <w:t xml:space="preserve">封面格式 </w:t>
      </w:r>
    </w:p>
    <w:p w14:paraId="54AEC577">
      <w:pPr>
        <w:snapToGrid w:val="0"/>
        <w:spacing w:line="360" w:lineRule="auto"/>
        <w:ind w:left="660" w:hanging="240"/>
        <w:rPr>
          <w:rFonts w:ascii="宋体" w:hAnsi="宋体" w:cs="宋体"/>
          <w:b/>
          <w:bCs/>
          <w:sz w:val="32"/>
          <w:szCs w:val="20"/>
        </w:rPr>
      </w:pPr>
      <w:r>
        <w:rPr>
          <w:rFonts w:hint="eastAsia" w:ascii="宋体" w:hAnsi="宋体" w:cs="宋体"/>
          <w:sz w:val="24"/>
        </w:rPr>
        <w:t xml:space="preserve">                                                    </w:t>
      </w:r>
    </w:p>
    <w:p w14:paraId="4546E439">
      <w:pPr>
        <w:snapToGrid w:val="0"/>
        <w:spacing w:line="360" w:lineRule="auto"/>
        <w:ind w:left="660" w:hanging="240"/>
        <w:jc w:val="center"/>
        <w:rPr>
          <w:rFonts w:ascii="宋体" w:hAnsi="宋体" w:cs="宋体"/>
          <w:bCs/>
          <w:sz w:val="24"/>
          <w:szCs w:val="20"/>
        </w:rPr>
      </w:pPr>
    </w:p>
    <w:p w14:paraId="3747ABBB">
      <w:pPr>
        <w:snapToGrid w:val="0"/>
        <w:spacing w:line="360" w:lineRule="auto"/>
        <w:ind w:left="942" w:hanging="522"/>
        <w:jc w:val="center"/>
        <w:rPr>
          <w:rFonts w:ascii="黑体" w:hAnsi="黑体" w:eastAsia="黑体" w:cs="黑体"/>
          <w:b/>
          <w:bCs/>
          <w:sz w:val="52"/>
          <w:szCs w:val="52"/>
        </w:rPr>
      </w:pPr>
      <w:r>
        <w:rPr>
          <w:rFonts w:hint="eastAsia" w:ascii="黑体" w:hAnsi="黑体" w:eastAsia="黑体" w:cs="黑体"/>
          <w:b/>
          <w:bCs/>
          <w:sz w:val="52"/>
          <w:szCs w:val="52"/>
        </w:rPr>
        <w:t>资格证明文件/商务技术文件</w:t>
      </w:r>
    </w:p>
    <w:p w14:paraId="659F03CD">
      <w:pPr>
        <w:snapToGrid w:val="0"/>
        <w:spacing w:line="360" w:lineRule="auto"/>
        <w:ind w:left="942" w:hanging="522"/>
        <w:jc w:val="center"/>
        <w:rPr>
          <w:rFonts w:ascii="黑体" w:hAnsi="黑体" w:eastAsia="黑体" w:cs="黑体"/>
          <w:b/>
          <w:bCs/>
          <w:sz w:val="52"/>
          <w:szCs w:val="52"/>
        </w:rPr>
      </w:pPr>
      <w:r>
        <w:rPr>
          <w:rFonts w:hint="eastAsia" w:ascii="黑体" w:hAnsi="黑体" w:eastAsia="黑体" w:cs="黑体"/>
          <w:b/>
          <w:bCs/>
          <w:sz w:val="52"/>
          <w:szCs w:val="52"/>
        </w:rPr>
        <w:t>/报价文件</w:t>
      </w:r>
    </w:p>
    <w:p w14:paraId="402C914D">
      <w:pPr>
        <w:snapToGrid w:val="0"/>
        <w:spacing w:line="360" w:lineRule="auto"/>
        <w:ind w:left="660" w:hanging="240"/>
        <w:rPr>
          <w:rFonts w:ascii="宋体" w:hAnsi="宋体" w:cs="宋体"/>
          <w:bCs/>
          <w:sz w:val="24"/>
          <w:szCs w:val="20"/>
        </w:rPr>
      </w:pPr>
    </w:p>
    <w:p w14:paraId="4B3A248F">
      <w:pPr>
        <w:snapToGrid w:val="0"/>
        <w:spacing w:line="360" w:lineRule="auto"/>
        <w:ind w:left="2647" w:leftChars="594" w:hanging="1400" w:hangingChars="500"/>
        <w:rPr>
          <w:rFonts w:ascii="黑体" w:hAnsi="黑体" w:eastAsia="黑体" w:cs="黑体"/>
          <w:bCs/>
          <w:sz w:val="28"/>
          <w:szCs w:val="28"/>
        </w:rPr>
      </w:pPr>
      <w:r>
        <w:rPr>
          <w:rFonts w:hint="eastAsia" w:ascii="黑体" w:hAnsi="黑体" w:eastAsia="黑体" w:cs="黑体"/>
          <w:bCs/>
          <w:sz w:val="28"/>
          <w:szCs w:val="28"/>
        </w:rPr>
        <w:t xml:space="preserve">项目名称： </w:t>
      </w:r>
    </w:p>
    <w:p w14:paraId="0B739472">
      <w:pPr>
        <w:snapToGrid w:val="0"/>
        <w:spacing w:line="360" w:lineRule="auto"/>
        <w:ind w:left="420" w:firstLine="560" w:firstLineChars="200"/>
        <w:rPr>
          <w:rFonts w:ascii="黑体" w:hAnsi="黑体" w:eastAsia="黑体" w:cs="黑体"/>
          <w:bCs/>
          <w:sz w:val="28"/>
          <w:szCs w:val="28"/>
        </w:rPr>
      </w:pPr>
      <w:r>
        <w:rPr>
          <w:rFonts w:hint="eastAsia" w:ascii="黑体" w:hAnsi="黑体" w:eastAsia="黑体" w:cs="黑体"/>
          <w:bCs/>
          <w:sz w:val="28"/>
          <w:szCs w:val="28"/>
        </w:rPr>
        <w:t xml:space="preserve">     项目编号：   </w:t>
      </w:r>
    </w:p>
    <w:p w14:paraId="1EC4027B">
      <w:pPr>
        <w:pStyle w:val="15"/>
        <w:snapToGrid w:val="0"/>
        <w:spacing w:line="360" w:lineRule="auto"/>
        <w:ind w:left="420" w:firstLine="1260" w:firstLineChars="450"/>
        <w:rPr>
          <w:rFonts w:ascii="黑体" w:hAnsi="黑体" w:eastAsia="黑体" w:cs="黑体"/>
          <w:bCs/>
          <w:sz w:val="28"/>
          <w:szCs w:val="28"/>
        </w:rPr>
      </w:pPr>
    </w:p>
    <w:p w14:paraId="698FF433">
      <w:pPr>
        <w:pStyle w:val="15"/>
        <w:snapToGrid w:val="0"/>
        <w:spacing w:line="360" w:lineRule="auto"/>
        <w:ind w:left="420" w:firstLine="1260" w:firstLineChars="450"/>
        <w:rPr>
          <w:rFonts w:ascii="黑体" w:hAnsi="黑体" w:eastAsia="黑体" w:cs="黑体"/>
          <w:bCs/>
          <w:sz w:val="28"/>
          <w:szCs w:val="28"/>
        </w:rPr>
      </w:pPr>
    </w:p>
    <w:p w14:paraId="2FF04D0D">
      <w:pPr>
        <w:pStyle w:val="15"/>
        <w:snapToGrid w:val="0"/>
        <w:spacing w:line="360" w:lineRule="auto"/>
        <w:ind w:left="420" w:firstLine="1260" w:firstLineChars="450"/>
        <w:rPr>
          <w:rFonts w:ascii="黑体" w:hAnsi="黑体" w:eastAsia="黑体" w:cs="黑体"/>
          <w:bCs/>
          <w:sz w:val="28"/>
          <w:szCs w:val="28"/>
        </w:rPr>
      </w:pPr>
    </w:p>
    <w:p w14:paraId="543AC350">
      <w:pPr>
        <w:pStyle w:val="15"/>
        <w:snapToGrid w:val="0"/>
        <w:spacing w:line="360" w:lineRule="auto"/>
        <w:ind w:left="420" w:firstLine="1260" w:firstLineChars="450"/>
        <w:rPr>
          <w:rFonts w:ascii="黑体" w:hAnsi="黑体" w:eastAsia="黑体" w:cs="黑体"/>
          <w:bCs/>
          <w:sz w:val="28"/>
          <w:szCs w:val="28"/>
        </w:rPr>
      </w:pPr>
    </w:p>
    <w:p w14:paraId="24F4CD4A">
      <w:pPr>
        <w:pStyle w:val="15"/>
        <w:snapToGrid w:val="0"/>
        <w:spacing w:line="360" w:lineRule="auto"/>
        <w:ind w:left="420" w:firstLine="1260" w:firstLineChars="450"/>
        <w:rPr>
          <w:rFonts w:ascii="黑体" w:hAnsi="黑体" w:eastAsia="黑体" w:cs="黑体"/>
          <w:bCs/>
          <w:sz w:val="28"/>
          <w:szCs w:val="28"/>
        </w:rPr>
      </w:pPr>
    </w:p>
    <w:p w14:paraId="60C4F9F1">
      <w:pPr>
        <w:pStyle w:val="15"/>
        <w:snapToGrid w:val="0"/>
        <w:spacing w:line="360" w:lineRule="auto"/>
        <w:ind w:left="420" w:firstLine="1260" w:firstLineChars="450"/>
        <w:rPr>
          <w:rFonts w:ascii="黑体" w:hAnsi="黑体" w:eastAsia="黑体" w:cs="黑体"/>
          <w:bCs/>
          <w:sz w:val="28"/>
          <w:szCs w:val="28"/>
        </w:rPr>
      </w:pPr>
    </w:p>
    <w:p w14:paraId="34164DF9">
      <w:pPr>
        <w:pStyle w:val="15"/>
        <w:snapToGrid w:val="0"/>
        <w:spacing w:line="360" w:lineRule="auto"/>
        <w:ind w:left="420" w:firstLine="1260" w:firstLineChars="450"/>
        <w:rPr>
          <w:rFonts w:ascii="黑体" w:hAnsi="黑体" w:eastAsia="黑体" w:cs="黑体"/>
          <w:bCs/>
          <w:sz w:val="28"/>
          <w:szCs w:val="28"/>
        </w:rPr>
      </w:pPr>
    </w:p>
    <w:p w14:paraId="19CEB86B">
      <w:pPr>
        <w:pStyle w:val="15"/>
        <w:snapToGrid w:val="0"/>
        <w:spacing w:line="360" w:lineRule="auto"/>
        <w:ind w:left="420" w:firstLine="1260" w:firstLineChars="450"/>
        <w:rPr>
          <w:rFonts w:ascii="黑体" w:hAnsi="黑体" w:eastAsia="黑体" w:cs="黑体"/>
          <w:bCs/>
          <w:sz w:val="28"/>
          <w:szCs w:val="28"/>
        </w:rPr>
      </w:pPr>
    </w:p>
    <w:p w14:paraId="77FD367E">
      <w:pPr>
        <w:pStyle w:val="15"/>
        <w:snapToGrid w:val="0"/>
        <w:spacing w:line="360" w:lineRule="auto"/>
        <w:ind w:left="420" w:firstLine="1260" w:firstLineChars="450"/>
        <w:rPr>
          <w:rFonts w:ascii="黑体" w:hAnsi="黑体" w:eastAsia="黑体" w:cs="黑体"/>
          <w:bCs/>
          <w:sz w:val="28"/>
          <w:szCs w:val="28"/>
        </w:rPr>
      </w:pPr>
    </w:p>
    <w:p w14:paraId="052C4DF2">
      <w:pPr>
        <w:pStyle w:val="15"/>
        <w:snapToGrid w:val="0"/>
        <w:spacing w:line="360" w:lineRule="auto"/>
        <w:ind w:left="420" w:firstLine="1260" w:firstLineChars="450"/>
        <w:rPr>
          <w:rFonts w:ascii="黑体" w:hAnsi="黑体" w:eastAsia="黑体" w:cs="黑体"/>
          <w:bCs/>
          <w:sz w:val="28"/>
          <w:szCs w:val="28"/>
        </w:rPr>
      </w:pPr>
      <w:r>
        <w:rPr>
          <w:rFonts w:hint="eastAsia" w:ascii="黑体" w:hAnsi="黑体" w:eastAsia="黑体" w:cs="黑体"/>
          <w:bCs/>
          <w:sz w:val="28"/>
          <w:szCs w:val="28"/>
        </w:rPr>
        <w:t>投标人名称：（签章）</w:t>
      </w:r>
    </w:p>
    <w:p w14:paraId="5FE316FB">
      <w:pPr>
        <w:pStyle w:val="15"/>
        <w:snapToGrid w:val="0"/>
        <w:spacing w:line="360" w:lineRule="auto"/>
        <w:ind w:left="420" w:firstLine="1260" w:firstLineChars="450"/>
        <w:rPr>
          <w:rFonts w:ascii="黑体" w:hAnsi="黑体" w:eastAsia="黑体" w:cs="黑体"/>
          <w:bCs/>
          <w:sz w:val="28"/>
          <w:szCs w:val="28"/>
        </w:rPr>
      </w:pPr>
      <w:r>
        <w:rPr>
          <w:rFonts w:hint="eastAsia" w:ascii="黑体" w:hAnsi="黑体" w:eastAsia="黑体" w:cs="黑体"/>
          <w:bCs/>
          <w:sz w:val="28"/>
          <w:szCs w:val="28"/>
        </w:rPr>
        <w:t>投标人地址：</w:t>
      </w:r>
    </w:p>
    <w:p w14:paraId="3F4B30D8">
      <w:pPr>
        <w:snapToGrid w:val="0"/>
        <w:spacing w:line="360" w:lineRule="auto"/>
        <w:ind w:left="700" w:hanging="280"/>
        <w:jc w:val="center"/>
        <w:rPr>
          <w:rFonts w:ascii="黑体" w:hAnsi="黑体" w:eastAsia="黑体" w:cs="黑体"/>
          <w:sz w:val="28"/>
          <w:szCs w:val="28"/>
        </w:rPr>
      </w:pPr>
    </w:p>
    <w:p w14:paraId="759A2411">
      <w:pPr>
        <w:snapToGrid w:val="0"/>
        <w:spacing w:line="360" w:lineRule="auto"/>
        <w:ind w:left="700" w:hanging="280"/>
        <w:jc w:val="center"/>
        <w:rPr>
          <w:rFonts w:ascii="黑体" w:hAnsi="黑体" w:eastAsia="黑体" w:cs="黑体"/>
          <w:sz w:val="28"/>
          <w:szCs w:val="28"/>
        </w:rPr>
      </w:pPr>
      <w:r>
        <w:rPr>
          <w:rFonts w:hint="eastAsia" w:ascii="黑体" w:hAnsi="黑体" w:eastAsia="黑体" w:cs="黑体"/>
          <w:sz w:val="28"/>
          <w:szCs w:val="28"/>
        </w:rPr>
        <w:t>年  月  日</w:t>
      </w:r>
    </w:p>
    <w:p w14:paraId="56339B31">
      <w:pPr>
        <w:pStyle w:val="73"/>
        <w:rPr>
          <w:rFonts w:ascii="宋体" w:hAnsi="宋体" w:cs="宋体"/>
          <w:sz w:val="28"/>
          <w:szCs w:val="28"/>
        </w:rPr>
      </w:pPr>
    </w:p>
    <w:p w14:paraId="5A63E5A8">
      <w:pPr>
        <w:pStyle w:val="74"/>
        <w:rPr>
          <w:rFonts w:ascii="宋体" w:hAnsi="宋体" w:cs="宋体"/>
          <w:sz w:val="28"/>
          <w:szCs w:val="28"/>
        </w:rPr>
      </w:pPr>
    </w:p>
    <w:p w14:paraId="6EBF4E68">
      <w:pPr>
        <w:ind w:left="700" w:hanging="280"/>
        <w:rPr>
          <w:rFonts w:ascii="宋体" w:hAnsi="宋体" w:cs="宋体"/>
          <w:sz w:val="28"/>
          <w:szCs w:val="28"/>
        </w:rPr>
      </w:pPr>
    </w:p>
    <w:p w14:paraId="61E66034">
      <w:pPr>
        <w:pStyle w:val="73"/>
        <w:rPr>
          <w:rFonts w:ascii="宋体" w:hAnsi="宋体" w:cs="宋体"/>
          <w:sz w:val="28"/>
          <w:szCs w:val="28"/>
        </w:rPr>
      </w:pPr>
    </w:p>
    <w:p w14:paraId="16A51810">
      <w:pPr>
        <w:pStyle w:val="74"/>
        <w:rPr>
          <w:rFonts w:ascii="宋体" w:hAnsi="宋体" w:cs="宋体"/>
          <w:sz w:val="28"/>
          <w:szCs w:val="28"/>
        </w:rPr>
      </w:pPr>
    </w:p>
    <w:p w14:paraId="4DE3EBAD"/>
    <w:p w14:paraId="6E93686B">
      <w:pPr>
        <w:pStyle w:val="74"/>
      </w:pPr>
    </w:p>
    <w:p w14:paraId="23B94961">
      <w:pPr>
        <w:snapToGrid w:val="0"/>
        <w:spacing w:line="360" w:lineRule="auto"/>
        <w:ind w:left="661" w:hanging="241"/>
        <w:jc w:val="left"/>
        <w:outlineLvl w:val="1"/>
        <w:rPr>
          <w:rFonts w:ascii="黑体" w:hAnsi="黑体" w:eastAsia="黑体" w:cs="黑体"/>
          <w:b/>
          <w:sz w:val="24"/>
        </w:rPr>
      </w:pPr>
      <w:r>
        <w:rPr>
          <w:rFonts w:hint="eastAsia" w:ascii="黑体" w:hAnsi="黑体" w:eastAsia="黑体" w:cs="黑体"/>
          <w:b/>
          <w:sz w:val="24"/>
        </w:rPr>
        <w:t>3. 资格证明文件目录</w:t>
      </w:r>
    </w:p>
    <w:p w14:paraId="5D8A3E4B">
      <w:pPr>
        <w:pStyle w:val="23"/>
        <w:ind w:left="701" w:hanging="281"/>
        <w:jc w:val="center"/>
        <w:rPr>
          <w:rFonts w:ascii="黑体" w:hAnsi="黑体" w:eastAsia="黑体" w:cs="黑体"/>
          <w:b/>
          <w:bCs/>
        </w:rPr>
      </w:pPr>
      <w:r>
        <w:rPr>
          <w:rFonts w:hint="eastAsia" w:ascii="黑体" w:hAnsi="黑体" w:eastAsia="黑体" w:cs="黑体"/>
          <w:b/>
          <w:bCs/>
        </w:rPr>
        <w:t>目 录</w:t>
      </w:r>
    </w:p>
    <w:p w14:paraId="52D9D8C6">
      <w:pPr>
        <w:tabs>
          <w:tab w:val="left" w:pos="720"/>
          <w:tab w:val="left" w:pos="5355"/>
        </w:tabs>
        <w:spacing w:line="360" w:lineRule="auto"/>
        <w:ind w:left="420" w:firstLine="420" w:firstLineChars="200"/>
        <w:rPr>
          <w:rFonts w:ascii="宋体" w:hAnsi="宋体"/>
          <w:szCs w:val="21"/>
        </w:rPr>
      </w:pPr>
    </w:p>
    <w:p w14:paraId="1FEF2F7C">
      <w:pPr>
        <w:widowControl/>
        <w:spacing w:line="360" w:lineRule="auto"/>
        <w:ind w:left="420" w:firstLine="420" w:firstLineChars="200"/>
        <w:jc w:val="left"/>
        <w:rPr>
          <w:kern w:val="0"/>
          <w:szCs w:val="21"/>
        </w:rPr>
      </w:pPr>
      <w:r>
        <w:rPr>
          <w:rFonts w:hint="eastAsia" w:ascii="宋体" w:hAnsi="宋体"/>
          <w:color w:val="000000"/>
          <w:szCs w:val="21"/>
        </w:rPr>
        <w:t>1、</w:t>
      </w:r>
      <w:r>
        <w:rPr>
          <w:kern w:val="0"/>
          <w:szCs w:val="21"/>
        </w:rPr>
        <w:t>法人或者其他组织的营业执照等证明文件，自然人的身份证明。</w:t>
      </w:r>
    </w:p>
    <w:p w14:paraId="5C2B9C9D">
      <w:pPr>
        <w:tabs>
          <w:tab w:val="left" w:pos="720"/>
          <w:tab w:val="left" w:pos="5355"/>
        </w:tabs>
        <w:spacing w:line="360" w:lineRule="auto"/>
        <w:ind w:left="420" w:firstLine="420" w:firstLineChars="200"/>
        <w:rPr>
          <w:rFonts w:ascii="宋体" w:hAnsi="宋体" w:cs="宋体"/>
          <w:color w:val="000000"/>
          <w:szCs w:val="21"/>
        </w:rPr>
      </w:pPr>
      <w:r>
        <w:rPr>
          <w:rFonts w:hint="eastAsia" w:ascii="宋体" w:hAnsi="宋体"/>
          <w:szCs w:val="21"/>
        </w:rPr>
        <w:t>2、</w:t>
      </w:r>
      <w:r>
        <w:rPr>
          <w:rFonts w:hint="eastAsia" w:ascii="宋体" w:hAnsi="宋体" w:cs="宋体"/>
          <w:color w:val="000000"/>
          <w:szCs w:val="21"/>
        </w:rPr>
        <w:t>投标人资格</w:t>
      </w:r>
      <w:r>
        <w:rPr>
          <w:rFonts w:hint="eastAsia" w:ascii="宋体" w:hAnsi="宋体"/>
          <w:szCs w:val="21"/>
        </w:rPr>
        <w:t>承诺书；</w:t>
      </w:r>
      <w:r>
        <w:rPr>
          <w:rFonts w:ascii="宋体" w:hAnsi="宋体"/>
          <w:szCs w:val="21"/>
        </w:rPr>
        <w:t>（</w:t>
      </w:r>
      <w:r>
        <w:rPr>
          <w:rFonts w:hint="eastAsia" w:ascii="宋体" w:hAnsi="宋体"/>
          <w:szCs w:val="21"/>
        </w:rPr>
        <w:t>格式详见附件1</w:t>
      </w:r>
      <w:r>
        <w:rPr>
          <w:rFonts w:ascii="宋体" w:hAnsi="宋体"/>
          <w:szCs w:val="21"/>
        </w:rPr>
        <w:t>）</w:t>
      </w:r>
    </w:p>
    <w:p w14:paraId="6ECCA037">
      <w:pPr>
        <w:widowControl/>
        <w:snapToGrid w:val="0"/>
        <w:spacing w:line="360" w:lineRule="auto"/>
        <w:ind w:left="420" w:firstLine="420" w:firstLineChars="200"/>
        <w:jc w:val="left"/>
        <w:rPr>
          <w:rFonts w:ascii="宋体" w:hAnsi="宋体" w:cs="宋体"/>
          <w:szCs w:val="21"/>
        </w:rPr>
      </w:pPr>
      <w:r>
        <w:rPr>
          <w:rFonts w:hint="eastAsia" w:ascii="宋体" w:hAnsi="宋体"/>
          <w:szCs w:val="21"/>
        </w:rPr>
        <w:t>3、提供自采购公告发布之日起至投标截止日内任意时间的“信用中国”网站（www.creditchina.gov.cn）、中国政府采购网（www.ccgp.gov.cn）投标人信用查询网页截</w:t>
      </w:r>
      <w:r>
        <w:rPr>
          <w:rFonts w:hint="eastAsia" w:ascii="宋体" w:hAnsi="宋体" w:cs="宋体"/>
          <w:szCs w:val="21"/>
        </w:rPr>
        <w:t>图；（以开标当日工作人员核实的查询结果为准）</w:t>
      </w:r>
    </w:p>
    <w:p w14:paraId="7A9BA8A5">
      <w:pPr>
        <w:widowControl/>
        <w:snapToGrid w:val="0"/>
        <w:spacing w:line="360" w:lineRule="auto"/>
        <w:ind w:left="420" w:firstLine="420" w:firstLineChars="200"/>
        <w:jc w:val="left"/>
        <w:rPr>
          <w:rFonts w:ascii="宋体" w:hAnsi="宋体" w:cs="宋体"/>
          <w:color w:val="000000"/>
          <w:szCs w:val="21"/>
        </w:rPr>
      </w:pPr>
      <w:r>
        <w:rPr>
          <w:rFonts w:hint="eastAsia" w:ascii="宋体" w:hAnsi="宋体"/>
          <w:szCs w:val="21"/>
        </w:rPr>
        <w:t>4、</w:t>
      </w:r>
      <w:r>
        <w:rPr>
          <w:rFonts w:hint="eastAsia" w:ascii="宋体" w:hAnsi="宋体" w:cs="宋体"/>
          <w:szCs w:val="21"/>
        </w:rPr>
        <w:t>落实政府采购政策需满足的资格要求（如果有要求）</w:t>
      </w:r>
      <w:r>
        <w:rPr>
          <w:rFonts w:hint="eastAsia" w:ascii="宋体" w:hAnsi="宋体" w:cs="宋体"/>
          <w:kern w:val="0"/>
          <w:szCs w:val="21"/>
        </w:rPr>
        <w:t>：</w:t>
      </w:r>
      <w:r>
        <w:rPr>
          <w:rFonts w:hint="eastAsia" w:ascii="宋体" w:hAnsi="宋体" w:cs="宋体"/>
          <w:color w:val="000000"/>
          <w:kern w:val="0"/>
          <w:szCs w:val="21"/>
          <w:lang w:bidi="ar"/>
        </w:rPr>
        <w:t>按采购公告要求提供证明材料：中小企业声明函</w:t>
      </w:r>
      <w:r>
        <w:rPr>
          <w:rFonts w:hint="eastAsia" w:ascii="Arial" w:hAnsi="Arial" w:cs="Arial"/>
          <w:color w:val="000000"/>
          <w:kern w:val="0"/>
          <w:szCs w:val="21"/>
          <w:lang w:bidi="ar"/>
        </w:rPr>
        <w:t>或</w:t>
      </w:r>
      <w:r>
        <w:rPr>
          <w:rFonts w:hint="eastAsia" w:ascii="宋体" w:hAnsi="宋体" w:cs="宋体"/>
          <w:color w:val="000000"/>
          <w:kern w:val="0"/>
          <w:szCs w:val="21"/>
          <w:lang w:bidi="ar"/>
        </w:rPr>
        <w:t>监狱企业声明函或残疾人福利性单位声明函；</w:t>
      </w:r>
      <w:r>
        <w:rPr>
          <w:rFonts w:ascii="宋体" w:hAnsi="宋体"/>
          <w:szCs w:val="21"/>
        </w:rPr>
        <w:t>（</w:t>
      </w:r>
      <w:r>
        <w:rPr>
          <w:rFonts w:hint="eastAsia" w:ascii="宋体" w:hAnsi="宋体"/>
          <w:szCs w:val="21"/>
        </w:rPr>
        <w:t>格式详见附件2</w:t>
      </w:r>
      <w:r>
        <w:rPr>
          <w:rFonts w:ascii="宋体" w:hAnsi="宋体"/>
          <w:szCs w:val="21"/>
        </w:rPr>
        <w:t>）</w:t>
      </w:r>
    </w:p>
    <w:p w14:paraId="664D7DF4">
      <w:pPr>
        <w:widowControl/>
        <w:snapToGrid w:val="0"/>
        <w:spacing w:line="360" w:lineRule="auto"/>
        <w:ind w:left="420" w:firstLine="420" w:firstLineChars="200"/>
        <w:jc w:val="left"/>
        <w:rPr>
          <w:rFonts w:ascii="宋体" w:hAnsi="宋体" w:cs="宋体"/>
          <w:szCs w:val="21"/>
        </w:rPr>
      </w:pPr>
      <w:r>
        <w:rPr>
          <w:rFonts w:hint="eastAsia" w:ascii="宋体" w:hAnsi="宋体" w:cs="宋体"/>
          <w:szCs w:val="21"/>
        </w:rPr>
        <w:t>5、本项目的特定资格要求（如果有要求）：</w:t>
      </w:r>
      <w:r>
        <w:rPr>
          <w:rFonts w:hint="eastAsia" w:ascii="宋体" w:hAnsi="宋体" w:cs="宋体"/>
          <w:color w:val="000000"/>
          <w:kern w:val="0"/>
          <w:szCs w:val="21"/>
          <w:lang w:bidi="ar"/>
        </w:rPr>
        <w:t>按采购公告要求提供资质证明材料。</w:t>
      </w:r>
    </w:p>
    <w:p w14:paraId="1960ABB5">
      <w:pPr>
        <w:snapToGrid w:val="0"/>
        <w:spacing w:line="360" w:lineRule="auto"/>
        <w:ind w:left="420" w:firstLine="420" w:firstLineChars="200"/>
        <w:jc w:val="left"/>
        <w:rPr>
          <w:rFonts w:ascii="宋体" w:hAnsi="宋体" w:cs="宋体"/>
          <w:szCs w:val="21"/>
        </w:rPr>
      </w:pPr>
      <w:r>
        <w:rPr>
          <w:rFonts w:hint="eastAsia" w:ascii="宋体" w:hAnsi="宋体" w:cs="宋体"/>
          <w:kern w:val="0"/>
          <w:szCs w:val="21"/>
        </w:rPr>
        <w:t>6、联合协议（如为联合体投标）；</w:t>
      </w:r>
      <w:r>
        <w:rPr>
          <w:rFonts w:hint="eastAsia" w:ascii="宋体" w:hAnsi="宋体" w:cs="宋体"/>
          <w:szCs w:val="21"/>
        </w:rPr>
        <w:t>（格式详见附件3）</w:t>
      </w:r>
    </w:p>
    <w:p w14:paraId="36EC81C2">
      <w:pPr>
        <w:snapToGrid w:val="0"/>
        <w:spacing w:line="360" w:lineRule="auto"/>
        <w:ind w:left="420" w:firstLine="420" w:firstLineChars="200"/>
        <w:jc w:val="left"/>
        <w:rPr>
          <w:rFonts w:ascii="宋体" w:hAnsi="宋体" w:cs="宋体"/>
          <w:szCs w:val="21"/>
        </w:rPr>
      </w:pPr>
      <w:r>
        <w:rPr>
          <w:rFonts w:hint="eastAsia" w:ascii="宋体" w:hAnsi="宋体" w:cs="宋体"/>
          <w:szCs w:val="21"/>
        </w:rPr>
        <w:t>7、其它招标文件要求或投标人认为需要提交的资料。</w:t>
      </w:r>
    </w:p>
    <w:p w14:paraId="1805415A">
      <w:pPr>
        <w:snapToGrid w:val="0"/>
        <w:spacing w:before="120" w:beforeLines="50" w:after="50" w:line="360" w:lineRule="auto"/>
        <w:ind w:left="420" w:firstLine="420" w:firstLineChars="200"/>
        <w:rPr>
          <w:rFonts w:ascii="宋体" w:hAnsi="宋体" w:cs="宋体"/>
          <w:szCs w:val="21"/>
        </w:rPr>
      </w:pPr>
    </w:p>
    <w:p w14:paraId="0DC7C93C">
      <w:pPr>
        <w:snapToGrid w:val="0"/>
        <w:spacing w:before="120" w:beforeLines="50" w:after="50" w:line="360" w:lineRule="auto"/>
        <w:outlineLvl w:val="2"/>
        <w:rPr>
          <w:rFonts w:ascii="黑体" w:hAnsi="黑体" w:eastAsia="黑体" w:cs="黑体"/>
        </w:rPr>
      </w:pPr>
      <w:r>
        <w:rPr>
          <w:rFonts w:hint="eastAsia" w:ascii="宋体" w:hAnsi="宋体" w:cs="宋体"/>
          <w:szCs w:val="21"/>
        </w:rPr>
        <w:br w:type="page"/>
      </w:r>
      <w:r>
        <w:rPr>
          <w:rFonts w:hint="eastAsia" w:ascii="黑体" w:hAnsi="黑体" w:eastAsia="黑体" w:cs="黑体"/>
        </w:rPr>
        <w:t>附件1</w:t>
      </w:r>
    </w:p>
    <w:p w14:paraId="2AC2A0B4">
      <w:pPr>
        <w:snapToGrid w:val="0"/>
        <w:spacing w:line="360" w:lineRule="auto"/>
        <w:ind w:left="701" w:hanging="281"/>
        <w:jc w:val="center"/>
        <w:rPr>
          <w:rFonts w:ascii="宋体" w:hAnsi="宋体" w:cs="宋体"/>
          <w:b/>
          <w:sz w:val="28"/>
          <w:szCs w:val="28"/>
        </w:rPr>
      </w:pPr>
    </w:p>
    <w:p w14:paraId="08E12FE0">
      <w:pPr>
        <w:snapToGrid w:val="0"/>
        <w:spacing w:line="360" w:lineRule="auto"/>
        <w:ind w:left="701" w:hanging="281"/>
        <w:jc w:val="center"/>
        <w:rPr>
          <w:rFonts w:ascii="黑体" w:hAnsi="黑体" w:eastAsia="黑体" w:cs="黑体"/>
          <w:sz w:val="28"/>
          <w:szCs w:val="28"/>
        </w:rPr>
      </w:pPr>
      <w:r>
        <w:rPr>
          <w:rFonts w:hint="eastAsia" w:ascii="黑体" w:hAnsi="黑体" w:eastAsia="黑体" w:cs="黑体"/>
          <w:b/>
          <w:sz w:val="28"/>
          <w:szCs w:val="28"/>
        </w:rPr>
        <w:t>投标人资格承诺函</w:t>
      </w:r>
    </w:p>
    <w:p w14:paraId="31754785">
      <w:pPr>
        <w:snapToGrid w:val="0"/>
        <w:spacing w:line="360" w:lineRule="auto"/>
        <w:ind w:left="660" w:hanging="240"/>
        <w:rPr>
          <w:rFonts w:ascii="宋体" w:hAnsi="宋体" w:cs="宋体"/>
          <w:sz w:val="24"/>
        </w:rPr>
      </w:pPr>
    </w:p>
    <w:p w14:paraId="70D1451E">
      <w:pPr>
        <w:snapToGrid w:val="0"/>
        <w:spacing w:line="360" w:lineRule="auto"/>
        <w:rPr>
          <w:rFonts w:ascii="宋体" w:hAnsi="宋体" w:cs="宋体"/>
          <w:szCs w:val="21"/>
        </w:rPr>
      </w:pPr>
      <w:r>
        <w:rPr>
          <w:rFonts w:hint="eastAsia" w:ascii="宋体" w:hAnsi="宋体" w:cs="宋体"/>
          <w:szCs w:val="21"/>
        </w:rPr>
        <w:t>致：______ ：</w:t>
      </w:r>
    </w:p>
    <w:p w14:paraId="3D23463F">
      <w:pPr>
        <w:snapToGrid w:val="0"/>
        <w:spacing w:line="360" w:lineRule="auto"/>
        <w:ind w:left="420" w:firstLine="420" w:firstLineChars="200"/>
        <w:rPr>
          <w:rFonts w:ascii="宋体" w:hAnsi="宋体" w:cs="宋体"/>
          <w:szCs w:val="21"/>
        </w:rPr>
      </w:pPr>
      <w:r>
        <w:rPr>
          <w:rFonts w:hint="eastAsia" w:ascii="宋体" w:hAnsi="宋体" w:cs="宋体"/>
          <w:szCs w:val="21"/>
          <w:u w:val="single"/>
        </w:rPr>
        <w:t xml:space="preserve">（投标人名称）  </w:t>
      </w:r>
      <w:r>
        <w:rPr>
          <w:rFonts w:hint="eastAsia" w:ascii="宋体" w:hAnsi="宋体" w:cs="宋体"/>
          <w:szCs w:val="21"/>
        </w:rPr>
        <w:t>符合参加本次政府采购活动的资格条件并承诺如下：</w:t>
      </w:r>
    </w:p>
    <w:p w14:paraId="0B5A4CC4">
      <w:pPr>
        <w:snapToGrid w:val="0"/>
        <w:spacing w:line="360" w:lineRule="auto"/>
        <w:ind w:left="420" w:firstLine="420" w:firstLineChars="200"/>
        <w:rPr>
          <w:rFonts w:ascii="宋体" w:hAnsi="宋体" w:cs="宋体"/>
          <w:szCs w:val="21"/>
        </w:rPr>
      </w:pPr>
      <w:r>
        <w:rPr>
          <w:rFonts w:hint="eastAsia" w:ascii="宋体" w:hAnsi="宋体" w:cs="宋体"/>
          <w:szCs w:val="21"/>
        </w:rPr>
        <w:t>一、满足《中华人民共和国政府采购法》第二十二条规定：</w:t>
      </w:r>
    </w:p>
    <w:p w14:paraId="4CB14FEB">
      <w:pPr>
        <w:snapToGrid w:val="0"/>
        <w:spacing w:line="360" w:lineRule="auto"/>
        <w:ind w:left="420" w:firstLine="420" w:firstLineChars="200"/>
        <w:rPr>
          <w:rFonts w:ascii="宋体" w:hAnsi="宋体" w:cs="宋体"/>
          <w:kern w:val="0"/>
          <w:szCs w:val="21"/>
        </w:rPr>
      </w:pPr>
      <w:r>
        <w:rPr>
          <w:rFonts w:hint="eastAsia" w:ascii="宋体" w:hAnsi="宋体" w:cs="宋体"/>
          <w:kern w:val="0"/>
          <w:szCs w:val="21"/>
        </w:rPr>
        <w:t>1、具有独立承担民事责任的能力；</w:t>
      </w:r>
    </w:p>
    <w:p w14:paraId="2EF21BFE">
      <w:pPr>
        <w:snapToGrid w:val="0"/>
        <w:spacing w:line="360" w:lineRule="auto"/>
        <w:ind w:left="420" w:firstLine="420" w:firstLineChars="200"/>
        <w:rPr>
          <w:rFonts w:ascii="宋体" w:hAnsi="宋体" w:cs="宋体"/>
          <w:kern w:val="0"/>
          <w:szCs w:val="21"/>
        </w:rPr>
      </w:pPr>
      <w:r>
        <w:rPr>
          <w:rFonts w:hint="eastAsia" w:ascii="宋体" w:hAnsi="宋体" w:cs="宋体"/>
          <w:kern w:val="0"/>
          <w:szCs w:val="21"/>
        </w:rPr>
        <w:t>2、具有良好的商业信誉和健全的财务会计制度；</w:t>
      </w:r>
    </w:p>
    <w:p w14:paraId="6D5FB634">
      <w:pPr>
        <w:snapToGrid w:val="0"/>
        <w:spacing w:line="360" w:lineRule="auto"/>
        <w:ind w:left="420" w:firstLine="420" w:firstLineChars="200"/>
        <w:rPr>
          <w:rFonts w:ascii="宋体" w:hAnsi="宋体" w:cs="宋体"/>
          <w:kern w:val="0"/>
          <w:szCs w:val="21"/>
        </w:rPr>
      </w:pPr>
      <w:r>
        <w:rPr>
          <w:rFonts w:hint="eastAsia" w:ascii="宋体" w:hAnsi="宋体" w:cs="宋体"/>
          <w:kern w:val="0"/>
          <w:szCs w:val="21"/>
        </w:rPr>
        <w:t>3、具有履行合同所必需的设备和专业技术能力；</w:t>
      </w:r>
    </w:p>
    <w:p w14:paraId="3C903DFF">
      <w:pPr>
        <w:snapToGrid w:val="0"/>
        <w:spacing w:line="360" w:lineRule="auto"/>
        <w:ind w:left="420" w:firstLine="420" w:firstLineChars="200"/>
        <w:rPr>
          <w:rFonts w:ascii="宋体" w:hAnsi="宋体" w:cs="宋体"/>
          <w:kern w:val="0"/>
          <w:szCs w:val="21"/>
        </w:rPr>
      </w:pPr>
      <w:r>
        <w:rPr>
          <w:rFonts w:hint="eastAsia" w:ascii="宋体" w:hAnsi="宋体" w:cs="宋体"/>
          <w:kern w:val="0"/>
          <w:szCs w:val="21"/>
        </w:rPr>
        <w:t>4、有依法缴纳税收和社会保障资金的良好记录；</w:t>
      </w:r>
    </w:p>
    <w:p w14:paraId="6BABB7E2">
      <w:pPr>
        <w:snapToGrid w:val="0"/>
        <w:spacing w:line="360" w:lineRule="auto"/>
        <w:ind w:left="420" w:firstLine="420" w:firstLineChars="200"/>
        <w:rPr>
          <w:rFonts w:ascii="宋体" w:hAnsi="宋体" w:cs="宋体"/>
          <w:kern w:val="0"/>
          <w:szCs w:val="21"/>
        </w:rPr>
      </w:pPr>
      <w:r>
        <w:rPr>
          <w:rFonts w:hint="eastAsia" w:ascii="宋体" w:hAnsi="宋体" w:cs="宋体"/>
          <w:kern w:val="0"/>
          <w:szCs w:val="21"/>
        </w:rPr>
        <w:t>5、参加政府采购活动前三年内，在经营活动中没有重大违法记录</w:t>
      </w:r>
      <w:r>
        <w:rPr>
          <w:rFonts w:hint="eastAsia" w:ascii="宋体" w:hAnsi="宋体"/>
          <w:szCs w:val="21"/>
        </w:rPr>
        <w:t>（没有因违法经营受到刑事处罚，没有被责令停产停业、被吊销许可证或者执照、被处以较大数额罚款等行政处罚，没有因违法经营被禁止参加政府采购活动的期限未满情形）</w:t>
      </w:r>
      <w:r>
        <w:rPr>
          <w:rFonts w:hint="eastAsia" w:ascii="宋体" w:hAnsi="宋体" w:cs="宋体"/>
          <w:kern w:val="0"/>
          <w:szCs w:val="21"/>
        </w:rPr>
        <w:t>；</w:t>
      </w:r>
    </w:p>
    <w:p w14:paraId="6AD22FE7">
      <w:pPr>
        <w:snapToGrid w:val="0"/>
        <w:spacing w:line="360" w:lineRule="auto"/>
        <w:ind w:left="420" w:firstLine="420" w:firstLineChars="200"/>
        <w:rPr>
          <w:rFonts w:ascii="宋体" w:hAnsi="宋体" w:cs="宋体"/>
          <w:kern w:val="0"/>
          <w:szCs w:val="21"/>
        </w:rPr>
      </w:pPr>
      <w:r>
        <w:rPr>
          <w:rFonts w:hint="eastAsia" w:ascii="宋体" w:hAnsi="宋体" w:cs="宋体"/>
          <w:kern w:val="0"/>
          <w:szCs w:val="21"/>
        </w:rPr>
        <w:t>二、未被“信用中国”（www.creditchina.gov.cn)、中国政府采购网（www.ccgp.gov.cn）列入失信被执行人、重大税收违法案件当事人名单、政府采购严重违法失信行为记录名单。</w:t>
      </w:r>
    </w:p>
    <w:p w14:paraId="1874AB46">
      <w:pPr>
        <w:snapToGrid w:val="0"/>
        <w:spacing w:line="360" w:lineRule="auto"/>
        <w:ind w:left="420" w:firstLine="420" w:firstLineChars="200"/>
        <w:rPr>
          <w:rFonts w:ascii="宋体" w:hAnsi="宋体" w:cs="宋体"/>
          <w:i/>
          <w:kern w:val="0"/>
          <w:szCs w:val="21"/>
        </w:rPr>
      </w:pPr>
    </w:p>
    <w:p w14:paraId="60D1077B">
      <w:pPr>
        <w:snapToGrid w:val="0"/>
        <w:spacing w:line="360" w:lineRule="auto"/>
        <w:ind w:left="420" w:firstLine="420" w:firstLineChars="200"/>
        <w:rPr>
          <w:rFonts w:ascii="宋体" w:hAnsi="宋体" w:cs="宋体"/>
          <w:kern w:val="0"/>
          <w:szCs w:val="21"/>
        </w:rPr>
      </w:pPr>
    </w:p>
    <w:p w14:paraId="49BBF09F">
      <w:pPr>
        <w:snapToGrid w:val="0"/>
        <w:spacing w:line="360" w:lineRule="auto"/>
        <w:ind w:left="420" w:firstLine="420" w:firstLineChars="200"/>
        <w:rPr>
          <w:rFonts w:ascii="宋体" w:hAnsi="宋体" w:cs="宋体"/>
          <w:kern w:val="0"/>
          <w:szCs w:val="21"/>
        </w:rPr>
      </w:pPr>
      <w:r>
        <w:rPr>
          <w:rFonts w:hint="eastAsia" w:ascii="宋体" w:hAnsi="宋体" w:cs="宋体"/>
          <w:kern w:val="0"/>
          <w:szCs w:val="21"/>
        </w:rPr>
        <w:t>本单位对上述承诺内容的真实性负责。如有虚假，将依法承担相应责任。</w:t>
      </w:r>
    </w:p>
    <w:p w14:paraId="34B937EE">
      <w:pPr>
        <w:spacing w:line="360" w:lineRule="auto"/>
        <w:rPr>
          <w:rFonts w:ascii="宋体" w:hAnsi="宋体" w:cs="宋体"/>
          <w:szCs w:val="21"/>
        </w:rPr>
      </w:pPr>
    </w:p>
    <w:p w14:paraId="2994F3C4">
      <w:pPr>
        <w:spacing w:line="360" w:lineRule="auto"/>
        <w:ind w:left="660" w:hanging="240"/>
        <w:rPr>
          <w:rFonts w:ascii="宋体" w:hAnsi="宋体" w:cs="宋体"/>
          <w:sz w:val="24"/>
        </w:rPr>
      </w:pPr>
    </w:p>
    <w:p w14:paraId="7B7F534A">
      <w:pPr>
        <w:spacing w:line="540" w:lineRule="exact"/>
        <w:ind w:left="420" w:firstLine="3360" w:firstLineChars="1600"/>
        <w:contextualSpacing/>
        <w:rPr>
          <w:rFonts w:ascii="宋体" w:hAnsi="宋体" w:cs="宋体"/>
          <w:szCs w:val="21"/>
        </w:rPr>
      </w:pPr>
      <w:r>
        <w:rPr>
          <w:rFonts w:hint="eastAsia" w:ascii="宋体" w:hAnsi="宋体" w:cs="宋体"/>
          <w:szCs w:val="21"/>
        </w:rPr>
        <w:t>投标人名称(签章)：</w:t>
      </w:r>
    </w:p>
    <w:p w14:paraId="35026722">
      <w:pPr>
        <w:spacing w:line="540" w:lineRule="exact"/>
        <w:contextualSpacing/>
        <w:rPr>
          <w:rFonts w:ascii="宋体" w:hAnsi="宋体" w:cs="宋体"/>
          <w:szCs w:val="21"/>
        </w:rPr>
      </w:pPr>
      <w:r>
        <w:rPr>
          <w:rFonts w:hint="eastAsia" w:ascii="宋体" w:hAnsi="宋体" w:cs="宋体"/>
          <w:szCs w:val="21"/>
        </w:rPr>
        <w:t xml:space="preserve">                                         日期：  年  月   日</w:t>
      </w:r>
    </w:p>
    <w:p w14:paraId="04AD8552">
      <w:pPr>
        <w:pStyle w:val="59"/>
        <w:ind w:left="420" w:firstLine="210"/>
        <w:jc w:val="center"/>
        <w:rPr>
          <w:rFonts w:ascii="宋体" w:hAnsi="宋体" w:cs="宋体"/>
          <w:szCs w:val="21"/>
        </w:rPr>
      </w:pPr>
    </w:p>
    <w:p w14:paraId="47957361">
      <w:pPr>
        <w:pStyle w:val="32"/>
        <w:snapToGrid w:val="0"/>
        <w:spacing w:beforeLines="0" w:afterLines="0" w:line="240" w:lineRule="auto"/>
        <w:ind w:left="631" w:hanging="211"/>
        <w:rPr>
          <w:rFonts w:hAnsi="宋体"/>
          <w:b/>
          <w:bCs/>
          <w:sz w:val="21"/>
          <w:szCs w:val="21"/>
        </w:rPr>
      </w:pPr>
    </w:p>
    <w:p w14:paraId="57AFC88A">
      <w:pPr>
        <w:pStyle w:val="32"/>
        <w:snapToGrid w:val="0"/>
        <w:spacing w:beforeLines="0" w:afterLines="0" w:line="240" w:lineRule="auto"/>
        <w:ind w:left="631" w:hanging="211"/>
        <w:rPr>
          <w:rFonts w:hAnsi="宋体"/>
          <w:b/>
          <w:bCs/>
          <w:sz w:val="21"/>
          <w:szCs w:val="21"/>
        </w:rPr>
      </w:pPr>
    </w:p>
    <w:p w14:paraId="1C839769">
      <w:pPr>
        <w:pStyle w:val="32"/>
        <w:snapToGrid w:val="0"/>
        <w:spacing w:beforeLines="0" w:afterLines="0" w:line="240" w:lineRule="auto"/>
        <w:ind w:left="631" w:hanging="211"/>
        <w:rPr>
          <w:rFonts w:hAnsi="宋体"/>
          <w:b/>
          <w:bCs/>
          <w:sz w:val="21"/>
          <w:szCs w:val="21"/>
        </w:rPr>
      </w:pPr>
    </w:p>
    <w:p w14:paraId="5661AFC3">
      <w:pPr>
        <w:pStyle w:val="32"/>
        <w:snapToGrid w:val="0"/>
        <w:spacing w:beforeLines="0" w:afterLines="0" w:line="240" w:lineRule="auto"/>
        <w:ind w:left="631" w:hanging="211"/>
        <w:rPr>
          <w:rFonts w:hAnsi="宋体"/>
          <w:b/>
          <w:bCs/>
          <w:sz w:val="21"/>
          <w:szCs w:val="21"/>
        </w:rPr>
      </w:pPr>
    </w:p>
    <w:p w14:paraId="745473C5">
      <w:pPr>
        <w:pStyle w:val="32"/>
        <w:snapToGrid w:val="0"/>
        <w:spacing w:beforeLines="0" w:afterLines="0" w:line="240" w:lineRule="auto"/>
        <w:ind w:left="631" w:hanging="211"/>
        <w:rPr>
          <w:rFonts w:hAnsi="宋体"/>
          <w:b/>
          <w:bCs/>
          <w:sz w:val="21"/>
          <w:szCs w:val="21"/>
        </w:rPr>
      </w:pPr>
    </w:p>
    <w:p w14:paraId="363BE5A1">
      <w:pPr>
        <w:pStyle w:val="32"/>
        <w:snapToGrid w:val="0"/>
        <w:spacing w:beforeLines="0" w:afterLines="0" w:line="240" w:lineRule="auto"/>
        <w:ind w:left="631" w:hanging="211"/>
        <w:rPr>
          <w:rFonts w:hAnsi="宋体"/>
          <w:b/>
          <w:bCs/>
          <w:sz w:val="21"/>
          <w:szCs w:val="21"/>
        </w:rPr>
      </w:pPr>
    </w:p>
    <w:p w14:paraId="7640AD48">
      <w:pPr>
        <w:pStyle w:val="32"/>
        <w:snapToGrid w:val="0"/>
        <w:spacing w:beforeLines="0" w:afterLines="0" w:line="240" w:lineRule="auto"/>
        <w:ind w:left="631" w:hanging="211"/>
        <w:rPr>
          <w:rFonts w:hAnsi="宋体"/>
          <w:b/>
          <w:bCs/>
          <w:sz w:val="21"/>
          <w:szCs w:val="21"/>
        </w:rPr>
      </w:pPr>
    </w:p>
    <w:p w14:paraId="06BD8312">
      <w:pPr>
        <w:pStyle w:val="32"/>
        <w:snapToGrid w:val="0"/>
        <w:spacing w:beforeLines="0" w:afterLines="0" w:line="240" w:lineRule="auto"/>
        <w:ind w:left="631" w:hanging="211"/>
        <w:rPr>
          <w:rFonts w:hAnsi="宋体"/>
          <w:b/>
          <w:bCs/>
          <w:sz w:val="21"/>
          <w:szCs w:val="21"/>
        </w:rPr>
      </w:pPr>
    </w:p>
    <w:p w14:paraId="7294CC89">
      <w:pPr>
        <w:pStyle w:val="32"/>
        <w:snapToGrid w:val="0"/>
        <w:spacing w:beforeLines="0" w:afterLines="0" w:line="240" w:lineRule="auto"/>
        <w:ind w:left="631" w:hanging="211"/>
        <w:rPr>
          <w:rFonts w:hAnsi="宋体"/>
          <w:b/>
          <w:bCs/>
          <w:sz w:val="21"/>
          <w:szCs w:val="21"/>
        </w:rPr>
      </w:pPr>
    </w:p>
    <w:p w14:paraId="5BDABFCE">
      <w:pPr>
        <w:pStyle w:val="32"/>
        <w:snapToGrid w:val="0"/>
        <w:spacing w:beforeLines="0" w:afterLines="0" w:line="240" w:lineRule="auto"/>
        <w:outlineLvl w:val="2"/>
        <w:rPr>
          <w:rFonts w:ascii="黑体" w:hAnsi="黑体" w:eastAsia="黑体" w:cs="黑体"/>
          <w:spacing w:val="20"/>
          <w:sz w:val="21"/>
          <w:szCs w:val="21"/>
        </w:rPr>
      </w:pPr>
      <w:r>
        <w:rPr>
          <w:rFonts w:hint="eastAsia" w:ascii="黑体" w:hAnsi="黑体" w:eastAsia="黑体" w:cs="黑体"/>
          <w:sz w:val="21"/>
          <w:szCs w:val="21"/>
        </w:rPr>
        <w:t>附件2</w:t>
      </w:r>
    </w:p>
    <w:p w14:paraId="28A5675C">
      <w:pPr>
        <w:pStyle w:val="32"/>
        <w:snapToGrid w:val="0"/>
        <w:spacing w:before="120" w:beforeLines="0" w:after="120" w:afterLines="0" w:line="240" w:lineRule="auto"/>
        <w:ind w:left="701" w:hanging="281"/>
        <w:jc w:val="center"/>
        <w:rPr>
          <w:rFonts w:ascii="黑体" w:hAnsi="黑体" w:eastAsia="黑体" w:cs="黑体"/>
          <w:bCs/>
          <w:sz w:val="21"/>
          <w:szCs w:val="21"/>
        </w:rPr>
      </w:pPr>
      <w:r>
        <w:rPr>
          <w:rFonts w:hint="eastAsia" w:ascii="黑体" w:hAnsi="黑体" w:eastAsia="黑体" w:cs="黑体"/>
          <w:b/>
          <w:sz w:val="28"/>
          <w:szCs w:val="28"/>
        </w:rPr>
        <w:t xml:space="preserve">中小企业声明函（货物类）  </w:t>
      </w:r>
    </w:p>
    <w:p w14:paraId="4B07BED2">
      <w:pPr>
        <w:pStyle w:val="32"/>
        <w:snapToGrid w:val="0"/>
        <w:spacing w:before="120" w:beforeLines="0" w:after="120" w:afterLines="0" w:line="360" w:lineRule="auto"/>
        <w:ind w:hanging="210"/>
        <w:jc w:val="left"/>
        <w:rPr>
          <w:bCs/>
          <w:sz w:val="21"/>
          <w:szCs w:val="21"/>
        </w:rPr>
      </w:pPr>
      <w:r>
        <w:rPr>
          <w:rFonts w:hint="eastAsia"/>
          <w:bCs/>
          <w:sz w:val="21"/>
          <w:szCs w:val="21"/>
        </w:rPr>
        <w:t>本公司（联合体）郑重声明，根据《政府采购促进中小企业发展管理办法》（财库［20</w:t>
      </w:r>
      <w:r>
        <w:rPr>
          <w:bCs/>
          <w:sz w:val="21"/>
          <w:szCs w:val="21"/>
        </w:rPr>
        <w:t>20</w:t>
      </w:r>
      <w:r>
        <w:rPr>
          <w:rFonts w:hint="eastAsia"/>
          <w:bCs/>
          <w:sz w:val="21"/>
          <w:szCs w:val="21"/>
        </w:rPr>
        <w:t>］</w:t>
      </w:r>
      <w:r>
        <w:rPr>
          <w:bCs/>
          <w:sz w:val="21"/>
          <w:szCs w:val="21"/>
        </w:rPr>
        <w:t>46</w:t>
      </w:r>
      <w:r>
        <w:rPr>
          <w:rFonts w:hint="eastAsia"/>
          <w:bCs/>
          <w:sz w:val="21"/>
          <w:szCs w:val="21"/>
        </w:rPr>
        <w:t>号）的规定，本公司（联合体）参加</w:t>
      </w:r>
      <w:r>
        <w:rPr>
          <w:rFonts w:hint="eastAsia"/>
          <w:bCs/>
          <w:sz w:val="21"/>
          <w:szCs w:val="21"/>
          <w:u w:val="single"/>
        </w:rPr>
        <w:t>（单位名称）</w:t>
      </w:r>
      <w:r>
        <w:rPr>
          <w:rFonts w:hint="eastAsia"/>
          <w:bCs/>
          <w:sz w:val="21"/>
          <w:szCs w:val="21"/>
        </w:rPr>
        <w:t xml:space="preserve"> 的</w:t>
      </w:r>
      <w:r>
        <w:rPr>
          <w:rFonts w:hint="eastAsia"/>
          <w:bCs/>
          <w:sz w:val="21"/>
          <w:szCs w:val="21"/>
          <w:u w:val="single"/>
        </w:rPr>
        <w:t xml:space="preserve"> （项目名称）</w:t>
      </w:r>
      <w:r>
        <w:rPr>
          <w:rFonts w:hint="eastAsia"/>
          <w:bCs/>
          <w:sz w:val="21"/>
          <w:szCs w:val="21"/>
        </w:rPr>
        <w:t>采购活动，提供的货物全部由符合政策要求的中小企业制造。相关企业（含联合体中的中小企业、签订分包意向协议的中小企业）的具体情况如下：</w:t>
      </w:r>
    </w:p>
    <w:p w14:paraId="3CE70B43">
      <w:pPr>
        <w:pStyle w:val="32"/>
        <w:snapToGrid w:val="0"/>
        <w:spacing w:before="120" w:beforeLines="0" w:after="120" w:afterLines="0" w:line="360" w:lineRule="auto"/>
        <w:ind w:hanging="210"/>
        <w:jc w:val="left"/>
        <w:rPr>
          <w:bCs/>
          <w:sz w:val="21"/>
          <w:szCs w:val="21"/>
          <w:u w:val="single"/>
        </w:rPr>
      </w:pPr>
      <w:r>
        <w:rPr>
          <w:rFonts w:hint="eastAsia"/>
          <w:bCs/>
          <w:sz w:val="21"/>
          <w:szCs w:val="21"/>
        </w:rPr>
        <w:t>1、</w:t>
      </w:r>
      <w:r>
        <w:rPr>
          <w:rFonts w:hint="eastAsia"/>
          <w:bCs/>
          <w:sz w:val="21"/>
          <w:szCs w:val="21"/>
          <w:u w:val="single"/>
        </w:rPr>
        <w:t>（标的名称）</w:t>
      </w:r>
      <w:r>
        <w:rPr>
          <w:rFonts w:hint="eastAsia"/>
          <w:bCs/>
          <w:sz w:val="21"/>
          <w:szCs w:val="21"/>
        </w:rPr>
        <w:t>，属于</w:t>
      </w:r>
      <w:r>
        <w:rPr>
          <w:rFonts w:hint="eastAsia" w:hAnsi="宋体" w:cs="宋体"/>
          <w:sz w:val="21"/>
          <w:szCs w:val="21"/>
          <w:u w:val="single"/>
        </w:rPr>
        <w:t>（招标文件中明确的所属行业）</w:t>
      </w:r>
      <w:r>
        <w:rPr>
          <w:rFonts w:hint="eastAsia" w:hAnsi="宋体" w:cs="宋体"/>
          <w:sz w:val="21"/>
          <w:szCs w:val="21"/>
        </w:rPr>
        <w:t>行业，</w:t>
      </w:r>
      <w:r>
        <w:rPr>
          <w:rFonts w:hint="eastAsia"/>
          <w:bCs/>
          <w:sz w:val="21"/>
          <w:szCs w:val="21"/>
        </w:rPr>
        <w:t>制造商为</w:t>
      </w:r>
      <w:r>
        <w:rPr>
          <w:rFonts w:hint="eastAsia"/>
          <w:bCs/>
          <w:sz w:val="21"/>
          <w:szCs w:val="21"/>
          <w:u w:val="single"/>
        </w:rPr>
        <w:t>（企业名称）</w:t>
      </w:r>
      <w:r>
        <w:rPr>
          <w:rFonts w:hint="eastAsia"/>
          <w:bCs/>
          <w:sz w:val="21"/>
          <w:szCs w:val="21"/>
        </w:rPr>
        <w:t>，</w:t>
      </w:r>
      <w:r>
        <w:rPr>
          <w:rFonts w:hint="eastAsia"/>
          <w:bCs/>
          <w:iCs/>
          <w:sz w:val="21"/>
          <w:szCs w:val="21"/>
        </w:rPr>
        <w:t>从业人员</w:t>
      </w:r>
      <w:r>
        <w:rPr>
          <w:rFonts w:hint="eastAsia"/>
          <w:bCs/>
          <w:iCs/>
          <w:sz w:val="21"/>
          <w:szCs w:val="21"/>
          <w:u w:val="single"/>
        </w:rPr>
        <w:t xml:space="preserve"> </w:t>
      </w:r>
      <w:r>
        <w:rPr>
          <w:bCs/>
          <w:iCs/>
          <w:sz w:val="21"/>
          <w:szCs w:val="21"/>
          <w:u w:val="single"/>
        </w:rPr>
        <w:t xml:space="preserve"> </w:t>
      </w:r>
      <w:r>
        <w:rPr>
          <w:rFonts w:hint="eastAsia"/>
          <w:bCs/>
          <w:iCs/>
          <w:sz w:val="21"/>
          <w:szCs w:val="21"/>
          <w:u w:val="single"/>
        </w:rPr>
        <w:t xml:space="preserve"> </w:t>
      </w:r>
      <w:r>
        <w:rPr>
          <w:rFonts w:hint="eastAsia"/>
          <w:bCs/>
          <w:iCs/>
          <w:sz w:val="21"/>
          <w:szCs w:val="21"/>
        </w:rPr>
        <w:t>人、营业收入为</w:t>
      </w:r>
      <w:r>
        <w:rPr>
          <w:rFonts w:hint="eastAsia"/>
          <w:bCs/>
          <w:iCs/>
          <w:sz w:val="21"/>
          <w:szCs w:val="21"/>
          <w:u w:val="single"/>
        </w:rPr>
        <w:t xml:space="preserve">   </w:t>
      </w:r>
      <w:r>
        <w:rPr>
          <w:rFonts w:hint="eastAsia"/>
          <w:bCs/>
          <w:iCs/>
          <w:sz w:val="21"/>
          <w:szCs w:val="21"/>
        </w:rPr>
        <w:t>万元</w:t>
      </w:r>
      <w:r>
        <w:rPr>
          <w:rFonts w:hint="eastAsia"/>
          <w:bCs/>
          <w:sz w:val="21"/>
          <w:szCs w:val="21"/>
        </w:rPr>
        <w:t>，资产总额</w:t>
      </w:r>
      <w:r>
        <w:rPr>
          <w:rFonts w:hint="eastAsia"/>
          <w:bCs/>
          <w:iCs/>
          <w:sz w:val="21"/>
          <w:szCs w:val="21"/>
          <w:u w:val="single"/>
        </w:rPr>
        <w:t xml:space="preserve">   </w:t>
      </w:r>
      <w:r>
        <w:rPr>
          <w:rFonts w:hint="eastAsia"/>
          <w:bCs/>
          <w:sz w:val="21"/>
          <w:szCs w:val="21"/>
        </w:rPr>
        <w:t>万元，属于</w:t>
      </w:r>
      <w:r>
        <w:rPr>
          <w:bCs/>
          <w:sz w:val="21"/>
          <w:szCs w:val="21"/>
          <w:u w:val="single"/>
        </w:rPr>
        <w:t xml:space="preserve"> </w:t>
      </w:r>
      <w:r>
        <w:rPr>
          <w:rFonts w:hint="eastAsia"/>
          <w:bCs/>
          <w:sz w:val="21"/>
          <w:szCs w:val="21"/>
          <w:u w:val="single"/>
        </w:rPr>
        <w:t>（中型企业、小型企业、微型企业）；</w:t>
      </w:r>
    </w:p>
    <w:p w14:paraId="2CE46802">
      <w:pPr>
        <w:pStyle w:val="32"/>
        <w:snapToGrid w:val="0"/>
        <w:spacing w:before="120" w:beforeLines="0" w:after="120" w:afterLines="0" w:line="360" w:lineRule="auto"/>
        <w:ind w:hanging="210"/>
        <w:jc w:val="left"/>
        <w:rPr>
          <w:bCs/>
          <w:sz w:val="21"/>
          <w:szCs w:val="21"/>
          <w:u w:val="single"/>
        </w:rPr>
      </w:pPr>
      <w:r>
        <w:rPr>
          <w:bCs/>
          <w:sz w:val="21"/>
          <w:szCs w:val="21"/>
        </w:rPr>
        <w:t>2</w:t>
      </w:r>
      <w:r>
        <w:rPr>
          <w:rFonts w:hint="eastAsia"/>
          <w:bCs/>
          <w:sz w:val="21"/>
          <w:szCs w:val="21"/>
        </w:rPr>
        <w:t>、</w:t>
      </w:r>
      <w:r>
        <w:rPr>
          <w:rFonts w:hint="eastAsia"/>
          <w:bCs/>
          <w:sz w:val="21"/>
          <w:szCs w:val="21"/>
          <w:u w:val="single"/>
        </w:rPr>
        <w:t>（标的名称）</w:t>
      </w:r>
      <w:r>
        <w:rPr>
          <w:rFonts w:hint="eastAsia"/>
          <w:bCs/>
          <w:sz w:val="21"/>
          <w:szCs w:val="21"/>
        </w:rPr>
        <w:t>，属于</w:t>
      </w:r>
      <w:r>
        <w:rPr>
          <w:rFonts w:hint="eastAsia" w:hAnsi="宋体" w:cs="宋体"/>
          <w:sz w:val="21"/>
          <w:szCs w:val="21"/>
          <w:u w:val="single"/>
        </w:rPr>
        <w:t>（招标文件中明确的所属行业）</w:t>
      </w:r>
      <w:r>
        <w:rPr>
          <w:rFonts w:hint="eastAsia" w:hAnsi="宋体" w:cs="宋体"/>
          <w:sz w:val="21"/>
          <w:szCs w:val="21"/>
        </w:rPr>
        <w:t>行业，</w:t>
      </w:r>
      <w:r>
        <w:rPr>
          <w:rFonts w:hint="eastAsia"/>
          <w:bCs/>
          <w:sz w:val="21"/>
          <w:szCs w:val="21"/>
        </w:rPr>
        <w:t>制造商为</w:t>
      </w:r>
      <w:r>
        <w:rPr>
          <w:rFonts w:hint="eastAsia"/>
          <w:bCs/>
          <w:sz w:val="21"/>
          <w:szCs w:val="21"/>
          <w:u w:val="single"/>
        </w:rPr>
        <w:t>（企业名称）</w:t>
      </w:r>
      <w:r>
        <w:rPr>
          <w:rFonts w:hint="eastAsia"/>
          <w:bCs/>
          <w:sz w:val="21"/>
          <w:szCs w:val="21"/>
        </w:rPr>
        <w:t>，</w:t>
      </w:r>
      <w:r>
        <w:rPr>
          <w:rFonts w:hint="eastAsia"/>
          <w:bCs/>
          <w:iCs/>
          <w:sz w:val="21"/>
          <w:szCs w:val="21"/>
        </w:rPr>
        <w:t>从业人员</w:t>
      </w:r>
      <w:r>
        <w:rPr>
          <w:rFonts w:hint="eastAsia"/>
          <w:bCs/>
          <w:iCs/>
          <w:sz w:val="21"/>
          <w:szCs w:val="21"/>
          <w:u w:val="single"/>
        </w:rPr>
        <w:t xml:space="preserve"> </w:t>
      </w:r>
      <w:r>
        <w:rPr>
          <w:bCs/>
          <w:iCs/>
          <w:sz w:val="21"/>
          <w:szCs w:val="21"/>
          <w:u w:val="single"/>
        </w:rPr>
        <w:t xml:space="preserve"> </w:t>
      </w:r>
      <w:r>
        <w:rPr>
          <w:rFonts w:hint="eastAsia"/>
          <w:bCs/>
          <w:iCs/>
          <w:sz w:val="21"/>
          <w:szCs w:val="21"/>
          <w:u w:val="single"/>
        </w:rPr>
        <w:t xml:space="preserve"> </w:t>
      </w:r>
      <w:r>
        <w:rPr>
          <w:rFonts w:hint="eastAsia"/>
          <w:bCs/>
          <w:iCs/>
          <w:sz w:val="21"/>
          <w:szCs w:val="21"/>
        </w:rPr>
        <w:t>人、营业收入为</w:t>
      </w:r>
      <w:r>
        <w:rPr>
          <w:rFonts w:hint="eastAsia"/>
          <w:bCs/>
          <w:iCs/>
          <w:sz w:val="21"/>
          <w:szCs w:val="21"/>
          <w:u w:val="single"/>
        </w:rPr>
        <w:t xml:space="preserve">   </w:t>
      </w:r>
      <w:r>
        <w:rPr>
          <w:rFonts w:hint="eastAsia"/>
          <w:bCs/>
          <w:iCs/>
          <w:sz w:val="21"/>
          <w:szCs w:val="21"/>
        </w:rPr>
        <w:t>万元</w:t>
      </w:r>
      <w:r>
        <w:rPr>
          <w:rFonts w:hint="eastAsia"/>
          <w:bCs/>
          <w:sz w:val="21"/>
          <w:szCs w:val="21"/>
        </w:rPr>
        <w:t>，资产总额</w:t>
      </w:r>
      <w:r>
        <w:rPr>
          <w:rFonts w:hint="eastAsia"/>
          <w:bCs/>
          <w:iCs/>
          <w:sz w:val="21"/>
          <w:szCs w:val="21"/>
          <w:u w:val="single"/>
        </w:rPr>
        <w:t xml:space="preserve">   </w:t>
      </w:r>
      <w:r>
        <w:rPr>
          <w:rFonts w:hint="eastAsia"/>
          <w:bCs/>
          <w:sz w:val="21"/>
          <w:szCs w:val="21"/>
        </w:rPr>
        <w:t>万元，属于</w:t>
      </w:r>
      <w:r>
        <w:rPr>
          <w:bCs/>
          <w:sz w:val="21"/>
          <w:szCs w:val="21"/>
          <w:u w:val="single"/>
        </w:rPr>
        <w:t xml:space="preserve"> </w:t>
      </w:r>
      <w:r>
        <w:rPr>
          <w:rFonts w:hint="eastAsia"/>
          <w:bCs/>
          <w:sz w:val="21"/>
          <w:szCs w:val="21"/>
          <w:u w:val="single"/>
        </w:rPr>
        <w:t>（中型企业、小型企业、微型企业）；</w:t>
      </w:r>
    </w:p>
    <w:p w14:paraId="453B310A">
      <w:pPr>
        <w:pStyle w:val="32"/>
        <w:snapToGrid w:val="0"/>
        <w:spacing w:before="120" w:beforeLines="0" w:after="120" w:afterLines="0" w:line="360" w:lineRule="auto"/>
        <w:ind w:hanging="210"/>
        <w:jc w:val="left"/>
        <w:rPr>
          <w:bCs/>
          <w:sz w:val="21"/>
          <w:szCs w:val="21"/>
        </w:rPr>
      </w:pPr>
      <w:r>
        <w:rPr>
          <w:bCs/>
          <w:sz w:val="21"/>
          <w:szCs w:val="21"/>
        </w:rPr>
        <w:t>………</w:t>
      </w:r>
    </w:p>
    <w:p w14:paraId="4275552B">
      <w:pPr>
        <w:pStyle w:val="32"/>
        <w:snapToGrid w:val="0"/>
        <w:spacing w:before="120" w:beforeLines="0" w:after="120" w:afterLines="0" w:line="360" w:lineRule="auto"/>
        <w:ind w:left="420" w:firstLine="420" w:firstLineChars="200"/>
        <w:jc w:val="left"/>
        <w:rPr>
          <w:b/>
          <w:bCs/>
          <w:sz w:val="21"/>
          <w:szCs w:val="21"/>
          <w:u w:val="single"/>
          <w:shd w:val="pct10" w:color="auto" w:fill="FFFFFF"/>
        </w:rPr>
      </w:pPr>
      <w:r>
        <w:rPr>
          <w:rFonts w:hint="eastAsia"/>
          <w:bCs/>
          <w:sz w:val="21"/>
          <w:szCs w:val="21"/>
        </w:rPr>
        <w:t>以上企业，不属于大企业的分支机构，不存在控股股东为大企业的情形，也不存在与大企业的负责人为同一人的情形。</w:t>
      </w:r>
    </w:p>
    <w:p w14:paraId="0AA88D9D">
      <w:pPr>
        <w:pStyle w:val="32"/>
        <w:snapToGrid w:val="0"/>
        <w:spacing w:before="120" w:beforeLines="0" w:after="120" w:afterLines="0" w:line="360" w:lineRule="auto"/>
        <w:ind w:left="420" w:firstLine="422" w:firstLineChars="200"/>
        <w:jc w:val="left"/>
        <w:rPr>
          <w:b/>
          <w:bCs/>
          <w:sz w:val="21"/>
          <w:szCs w:val="21"/>
          <w:u w:val="single"/>
          <w:shd w:val="pct10" w:color="auto" w:fill="FFFFFF"/>
        </w:rPr>
      </w:pPr>
      <w:r>
        <w:rPr>
          <w:rFonts w:hint="eastAsia"/>
          <w:b/>
          <w:bCs/>
          <w:sz w:val="21"/>
          <w:szCs w:val="21"/>
          <w:u w:val="single"/>
          <w:shd w:val="pct10" w:color="auto" w:fill="FFFFFF"/>
        </w:rPr>
        <w:t>本企业对上述声明内容的真实性负责。如有虚假，将依法承担相应责任。</w:t>
      </w:r>
    </w:p>
    <w:p w14:paraId="085F4D98">
      <w:pPr>
        <w:pStyle w:val="32"/>
        <w:snapToGrid w:val="0"/>
        <w:spacing w:before="120" w:beforeLines="0" w:after="120" w:afterLines="0" w:line="240" w:lineRule="auto"/>
        <w:ind w:left="670" w:hanging="250"/>
        <w:rPr>
          <w:rFonts w:hAnsi="宋体"/>
          <w:spacing w:val="20"/>
          <w:sz w:val="21"/>
          <w:szCs w:val="21"/>
        </w:rPr>
      </w:pPr>
    </w:p>
    <w:p w14:paraId="2DF5EB72">
      <w:pPr>
        <w:spacing w:line="500" w:lineRule="exact"/>
        <w:ind w:left="420" w:firstLine="4250" w:firstLineChars="1700"/>
        <w:contextualSpacing/>
        <w:rPr>
          <w:rFonts w:ascii="宋体" w:hAnsi="宋体" w:cs="宋体"/>
          <w:szCs w:val="21"/>
        </w:rPr>
      </w:pPr>
      <w:r>
        <w:rPr>
          <w:rFonts w:hint="eastAsia" w:hAnsi="宋体"/>
          <w:spacing w:val="20"/>
          <w:szCs w:val="21"/>
        </w:rPr>
        <w:t>投标人</w:t>
      </w:r>
      <w:r>
        <w:rPr>
          <w:rFonts w:hint="eastAsia" w:ascii="宋体" w:hAnsi="宋体" w:cs="宋体"/>
          <w:szCs w:val="21"/>
        </w:rPr>
        <w:t>名称（签章）：</w:t>
      </w:r>
    </w:p>
    <w:p w14:paraId="5C2E415A">
      <w:pPr>
        <w:pStyle w:val="32"/>
        <w:snapToGrid w:val="0"/>
        <w:spacing w:before="120" w:beforeLines="0" w:after="120" w:afterLines="0" w:line="360" w:lineRule="auto"/>
        <w:ind w:left="420" w:firstLine="4200" w:firstLineChars="2000"/>
        <w:jc w:val="left"/>
        <w:rPr>
          <w:rFonts w:hAnsi="宋体" w:cs="宋体"/>
          <w:b/>
          <w:bCs/>
          <w:sz w:val="21"/>
          <w:szCs w:val="21"/>
          <w:u w:val="single"/>
          <w:shd w:val="pct10" w:color="auto" w:fill="FFFFFF"/>
        </w:rPr>
      </w:pPr>
      <w:r>
        <w:rPr>
          <w:rFonts w:hint="eastAsia" w:hAnsi="宋体" w:cs="宋体"/>
          <w:sz w:val="21"/>
          <w:szCs w:val="21"/>
        </w:rPr>
        <w:t>日 期：</w:t>
      </w:r>
    </w:p>
    <w:p w14:paraId="25A3CA17">
      <w:pPr>
        <w:pStyle w:val="32"/>
        <w:snapToGrid w:val="0"/>
        <w:spacing w:before="120" w:beforeLines="0" w:after="120" w:afterLines="0" w:line="240" w:lineRule="auto"/>
        <w:ind w:left="601" w:hanging="181"/>
        <w:jc w:val="left"/>
        <w:rPr>
          <w:b/>
          <w:bCs/>
          <w:sz w:val="18"/>
          <w:szCs w:val="18"/>
          <w:u w:val="single"/>
          <w:shd w:val="pct10" w:color="auto" w:fill="FFFFFF"/>
        </w:rPr>
      </w:pPr>
    </w:p>
    <w:p w14:paraId="45102DB8">
      <w:pPr>
        <w:adjustRightInd w:val="0"/>
        <w:snapToGrid w:val="0"/>
        <w:spacing w:line="360" w:lineRule="auto"/>
        <w:rPr>
          <w:rFonts w:ascii="宋体" w:hAnsi="宋体" w:cs="宋体"/>
          <w:szCs w:val="21"/>
        </w:rPr>
      </w:pPr>
      <w:r>
        <w:rPr>
          <w:rFonts w:hint="eastAsia" w:ascii="宋体" w:hAnsi="宋体" w:cs="宋体"/>
          <w:szCs w:val="21"/>
        </w:rPr>
        <w:t>填写要求：</w:t>
      </w:r>
    </w:p>
    <w:p w14:paraId="4A3AAA0E">
      <w:pPr>
        <w:numPr>
          <w:ilvl w:val="0"/>
          <w:numId w:val="13"/>
        </w:numPr>
        <w:adjustRightInd w:val="0"/>
        <w:snapToGrid w:val="0"/>
        <w:spacing w:line="360" w:lineRule="auto"/>
        <w:ind w:left="420" w:firstLine="420" w:firstLineChars="200"/>
        <w:rPr>
          <w:rFonts w:ascii="宋体" w:hAnsi="宋体" w:cs="宋体"/>
          <w:szCs w:val="21"/>
        </w:rPr>
      </w:pPr>
      <w:r>
        <w:rPr>
          <w:rFonts w:hint="eastAsia" w:ascii="宋体" w:hAnsi="宋体" w:cs="宋体"/>
          <w:szCs w:val="21"/>
        </w:rPr>
        <w:t>“标的名称”、“招标文件中明确的所属行业”依据招标文件第三章投标人须知前附表中“采购标的及其对应的中小企业划分标准所属行业”的指引逐一填写，</w:t>
      </w:r>
      <w:r>
        <w:rPr>
          <w:rFonts w:hint="eastAsia" w:ascii="宋体" w:hAnsi="宋体" w:cs="宋体"/>
          <w:szCs w:val="21"/>
          <w:shd w:val="pct10" w:color="auto" w:fill="FFFFFF"/>
        </w:rPr>
        <w:t>标的设备分别由不同制造商制造的，请按序号填写齐全所有标的货物制造商的信息</w:t>
      </w:r>
      <w:r>
        <w:rPr>
          <w:rFonts w:hint="eastAsia" w:ascii="宋体" w:hAnsi="宋体" w:cs="宋体"/>
          <w:szCs w:val="21"/>
        </w:rPr>
        <w:t>，以上内容不得缺漏；</w:t>
      </w:r>
    </w:p>
    <w:p w14:paraId="43C4C8A3">
      <w:pPr>
        <w:numPr>
          <w:ilvl w:val="0"/>
          <w:numId w:val="13"/>
        </w:numPr>
        <w:adjustRightInd w:val="0"/>
        <w:snapToGrid w:val="0"/>
        <w:spacing w:line="360" w:lineRule="auto"/>
        <w:ind w:left="420" w:firstLine="420" w:firstLineChars="200"/>
        <w:rPr>
          <w:rFonts w:ascii="宋体" w:hAnsi="宋体" w:cs="宋体"/>
          <w:szCs w:val="21"/>
        </w:rPr>
      </w:pPr>
      <w:r>
        <w:rPr>
          <w:rFonts w:hint="eastAsia" w:ascii="宋体" w:hAnsi="宋体" w:cs="宋体"/>
          <w:szCs w:val="21"/>
        </w:rPr>
        <w:t>从业人员、营业收入、资产总额应填报上一年度数据，无上一年度数据的新成立企业可不填报；</w:t>
      </w:r>
    </w:p>
    <w:p w14:paraId="4CE15B05">
      <w:pPr>
        <w:numPr>
          <w:ilvl w:val="0"/>
          <w:numId w:val="13"/>
        </w:numPr>
        <w:adjustRightInd w:val="0"/>
        <w:snapToGrid w:val="0"/>
        <w:spacing w:line="360" w:lineRule="auto"/>
        <w:ind w:left="420" w:firstLine="420" w:firstLineChars="200"/>
        <w:rPr>
          <w:rFonts w:ascii="宋体" w:hAnsi="宋体" w:cs="宋体"/>
          <w:szCs w:val="21"/>
        </w:rPr>
      </w:pPr>
      <w:r>
        <w:rPr>
          <w:rFonts w:hint="eastAsia" w:ascii="宋体" w:hAnsi="宋体" w:cs="宋体"/>
          <w:szCs w:val="21"/>
        </w:rPr>
        <w:t>中型企业、小型企业、微型企业等3种企业类型，结合以上数据，应依据《中小企业划型标准规定》（工信部联企业〔2011〕300号）确定，如国家对中小企业划型有新的规定，从其规定；</w:t>
      </w:r>
    </w:p>
    <w:p w14:paraId="7B90C46E">
      <w:pPr>
        <w:numPr>
          <w:ilvl w:val="0"/>
          <w:numId w:val="13"/>
        </w:numPr>
        <w:adjustRightInd w:val="0"/>
        <w:snapToGrid w:val="0"/>
        <w:spacing w:line="360" w:lineRule="auto"/>
        <w:ind w:left="420" w:firstLine="420" w:firstLineChars="200"/>
        <w:rPr>
          <w:rFonts w:ascii="宋体" w:hAnsi="宋体" w:cs="宋体"/>
          <w:szCs w:val="21"/>
        </w:rPr>
      </w:pPr>
      <w:r>
        <w:rPr>
          <w:rFonts w:hint="eastAsia" w:ascii="宋体" w:hAnsi="宋体" w:cs="宋体"/>
          <w:szCs w:val="21"/>
        </w:rPr>
        <w:t>投标人提供的《中小企业声明函》与实际情况不符的或者未按以上要求填写的，中小企业声明函无效，不享受中小企业扶持政策；作为资格条件的，视作不符合资格要求。声明内容不实的，属于提供虚假材料谋取中标、成交的，依法承担法律责任。</w:t>
      </w:r>
    </w:p>
    <w:p w14:paraId="22B2B0C5">
      <w:pPr>
        <w:pStyle w:val="32"/>
        <w:snapToGrid w:val="0"/>
        <w:spacing w:beforeLines="0" w:afterLines="0" w:line="240" w:lineRule="auto"/>
        <w:ind w:left="631" w:hanging="211"/>
        <w:jc w:val="center"/>
        <w:rPr>
          <w:rFonts w:ascii="黑体" w:hAnsi="黑体" w:eastAsia="黑体" w:cs="黑体"/>
          <w:b/>
          <w:sz w:val="28"/>
          <w:szCs w:val="28"/>
        </w:rPr>
      </w:pPr>
      <w:r>
        <w:rPr>
          <w:rFonts w:hAnsi="宋体" w:cs="仿宋_GB2312"/>
          <w:b/>
          <w:sz w:val="21"/>
          <w:szCs w:val="21"/>
        </w:rPr>
        <w:br w:type="page"/>
      </w:r>
      <w:r>
        <w:rPr>
          <w:rFonts w:hint="eastAsia" w:ascii="黑体" w:hAnsi="黑体" w:eastAsia="黑体" w:cs="黑体"/>
          <w:b/>
          <w:sz w:val="28"/>
          <w:szCs w:val="28"/>
        </w:rPr>
        <w:t>中小企业声明函（服务类、工程类）</w:t>
      </w:r>
    </w:p>
    <w:p w14:paraId="2E464E7E">
      <w:pPr>
        <w:autoSpaceDE w:val="0"/>
        <w:autoSpaceDN w:val="0"/>
        <w:adjustRightInd w:val="0"/>
        <w:spacing w:line="360" w:lineRule="auto"/>
        <w:ind w:right="157" w:hanging="210"/>
        <w:jc w:val="left"/>
        <w:rPr>
          <w:kern w:val="0"/>
          <w:szCs w:val="21"/>
        </w:rPr>
      </w:pPr>
      <w:r>
        <w:rPr>
          <w:kern w:val="0"/>
          <w:szCs w:val="21"/>
        </w:rPr>
        <w:t>本公司（联合体）郑重声明，根据《政府采购促进中小企业发展管理办法》（财库 ﹝2020﹞46号）的规定，本公司（联合体）参加</w:t>
      </w:r>
      <w:r>
        <w:rPr>
          <w:kern w:val="0"/>
          <w:szCs w:val="21"/>
          <w:u w:val="single"/>
        </w:rPr>
        <w:t>（单位名称）</w:t>
      </w:r>
      <w:r>
        <w:rPr>
          <w:kern w:val="0"/>
          <w:szCs w:val="21"/>
        </w:rPr>
        <w:t>的</w:t>
      </w:r>
      <w:r>
        <w:rPr>
          <w:kern w:val="0"/>
          <w:szCs w:val="21"/>
          <w:u w:val="single"/>
        </w:rPr>
        <w:t>（项目名称）</w:t>
      </w:r>
      <w:r>
        <w:rPr>
          <w:kern w:val="0"/>
          <w:szCs w:val="21"/>
        </w:rPr>
        <w:t xml:space="preserve">采购活动，服务全部由符合政策要求的中小企业承接。相关企业的具体情况如下： </w:t>
      </w:r>
    </w:p>
    <w:p w14:paraId="6D1AB3AA">
      <w:pPr>
        <w:autoSpaceDE w:val="0"/>
        <w:autoSpaceDN w:val="0"/>
        <w:adjustRightInd w:val="0"/>
        <w:spacing w:line="360" w:lineRule="auto"/>
        <w:ind w:left="420" w:firstLine="420" w:firstLineChars="200"/>
        <w:jc w:val="left"/>
        <w:rPr>
          <w:kern w:val="0"/>
          <w:szCs w:val="21"/>
        </w:rPr>
      </w:pPr>
      <w:r>
        <w:rPr>
          <w:kern w:val="0"/>
          <w:szCs w:val="21"/>
        </w:rPr>
        <w:t>1.</w:t>
      </w:r>
      <w:r>
        <w:rPr>
          <w:kern w:val="0"/>
          <w:szCs w:val="21"/>
          <w:u w:val="single"/>
        </w:rPr>
        <w:t>（标的名称）</w:t>
      </w:r>
      <w:r>
        <w:rPr>
          <w:kern w:val="0"/>
          <w:szCs w:val="21"/>
        </w:rPr>
        <w:t>，属于</w:t>
      </w:r>
      <w:r>
        <w:rPr>
          <w:kern w:val="0"/>
          <w:szCs w:val="21"/>
          <w:u w:val="single"/>
        </w:rPr>
        <w:t>（</w:t>
      </w:r>
      <w:r>
        <w:rPr>
          <w:rFonts w:hint="eastAsia"/>
          <w:kern w:val="0"/>
          <w:szCs w:val="21"/>
          <w:u w:val="single"/>
        </w:rPr>
        <w:t>招标文件</w:t>
      </w:r>
      <w:r>
        <w:rPr>
          <w:kern w:val="0"/>
          <w:szCs w:val="21"/>
          <w:u w:val="single"/>
        </w:rPr>
        <w:t>中明确的所属行业）</w:t>
      </w:r>
      <w:r>
        <w:rPr>
          <w:kern w:val="0"/>
          <w:szCs w:val="21"/>
        </w:rPr>
        <w:t>；承接企业为</w:t>
      </w:r>
      <w:r>
        <w:rPr>
          <w:kern w:val="0"/>
          <w:szCs w:val="21"/>
          <w:u w:val="single"/>
        </w:rPr>
        <w:t>（企业名称）</w:t>
      </w:r>
      <w:r>
        <w:rPr>
          <w:kern w:val="0"/>
          <w:szCs w:val="21"/>
        </w:rPr>
        <w:t>，从业人员</w:t>
      </w:r>
      <w:r>
        <w:rPr>
          <w:kern w:val="0"/>
          <w:szCs w:val="21"/>
          <w:u w:val="single"/>
        </w:rPr>
        <w:t xml:space="preserve">      </w:t>
      </w:r>
      <w:r>
        <w:rPr>
          <w:kern w:val="0"/>
          <w:szCs w:val="21"/>
        </w:rPr>
        <w:t>人，营业收入为</w:t>
      </w:r>
      <w:r>
        <w:rPr>
          <w:kern w:val="0"/>
          <w:szCs w:val="21"/>
          <w:u w:val="single"/>
        </w:rPr>
        <w:t xml:space="preserve">       </w:t>
      </w:r>
      <w:r>
        <w:rPr>
          <w:kern w:val="0"/>
          <w:szCs w:val="21"/>
        </w:rPr>
        <w:t>万元，资产总额为</w:t>
      </w:r>
      <w:r>
        <w:rPr>
          <w:kern w:val="0"/>
          <w:szCs w:val="21"/>
          <w:u w:val="single"/>
        </w:rPr>
        <w:t xml:space="preserve">      </w:t>
      </w:r>
      <w:r>
        <w:rPr>
          <w:kern w:val="0"/>
          <w:szCs w:val="21"/>
        </w:rPr>
        <w:t>万元</w:t>
      </w:r>
      <w:r>
        <w:rPr>
          <w:kern w:val="0"/>
          <w:vertAlign w:val="superscript"/>
        </w:rPr>
        <w:footnoteReference w:id="0"/>
      </w:r>
      <w:r>
        <w:rPr>
          <w:kern w:val="0"/>
          <w:szCs w:val="21"/>
        </w:rPr>
        <w:t>，属于</w:t>
      </w:r>
      <w:r>
        <w:rPr>
          <w:kern w:val="0"/>
          <w:szCs w:val="21"/>
          <w:u w:val="single"/>
        </w:rPr>
        <w:t>（中型企业、小型企业、微型企业）</w:t>
      </w:r>
      <w:r>
        <w:rPr>
          <w:kern w:val="0"/>
          <w:szCs w:val="21"/>
        </w:rPr>
        <w:t xml:space="preserve">； </w:t>
      </w:r>
    </w:p>
    <w:p w14:paraId="3C4FFE40">
      <w:pPr>
        <w:autoSpaceDE w:val="0"/>
        <w:autoSpaceDN w:val="0"/>
        <w:adjustRightInd w:val="0"/>
        <w:spacing w:line="360" w:lineRule="auto"/>
        <w:ind w:left="420" w:firstLine="420" w:firstLineChars="200"/>
        <w:jc w:val="left"/>
        <w:rPr>
          <w:kern w:val="0"/>
          <w:szCs w:val="21"/>
        </w:rPr>
      </w:pPr>
    </w:p>
    <w:p w14:paraId="5CB3EFB8">
      <w:pPr>
        <w:autoSpaceDE w:val="0"/>
        <w:autoSpaceDN w:val="0"/>
        <w:adjustRightInd w:val="0"/>
        <w:spacing w:line="360" w:lineRule="auto"/>
        <w:ind w:right="157" w:hanging="210"/>
        <w:jc w:val="left"/>
        <w:rPr>
          <w:kern w:val="0"/>
          <w:szCs w:val="21"/>
        </w:rPr>
      </w:pPr>
      <w:r>
        <w:rPr>
          <w:kern w:val="0"/>
          <w:szCs w:val="21"/>
        </w:rPr>
        <w:t>以上企业，不属于大企业的分支机构，不存在控股股东为大企业的情形，也不存在与大企业的负责人为同一人的情形。</w:t>
      </w:r>
    </w:p>
    <w:p w14:paraId="7D859116">
      <w:pPr>
        <w:autoSpaceDE w:val="0"/>
        <w:autoSpaceDN w:val="0"/>
        <w:adjustRightInd w:val="0"/>
        <w:spacing w:line="360" w:lineRule="auto"/>
        <w:ind w:left="420" w:firstLine="420" w:firstLineChars="200"/>
        <w:jc w:val="left"/>
        <w:rPr>
          <w:kern w:val="0"/>
          <w:szCs w:val="21"/>
        </w:rPr>
      </w:pPr>
      <w:r>
        <w:rPr>
          <w:kern w:val="0"/>
          <w:szCs w:val="21"/>
        </w:rPr>
        <w:t>本企业对上述声明内容的真实性负责。如有虚假，将依法承担相应责任。</w:t>
      </w:r>
    </w:p>
    <w:p w14:paraId="6A9AAB28">
      <w:pPr>
        <w:autoSpaceDE w:val="0"/>
        <w:autoSpaceDN w:val="0"/>
        <w:adjustRightInd w:val="0"/>
        <w:spacing w:line="360" w:lineRule="auto"/>
        <w:jc w:val="left"/>
        <w:rPr>
          <w:kern w:val="0"/>
          <w:szCs w:val="21"/>
        </w:rPr>
      </w:pPr>
    </w:p>
    <w:p w14:paraId="5EE602A1">
      <w:pPr>
        <w:snapToGrid w:val="0"/>
        <w:spacing w:before="50" w:after="50" w:line="360" w:lineRule="auto"/>
        <w:ind w:left="420" w:firstLine="3360" w:firstLineChars="1600"/>
        <w:rPr>
          <w:rFonts w:ascii="宋体" w:hAnsi="宋体" w:cs="宋体"/>
          <w:spacing w:val="20"/>
          <w:szCs w:val="21"/>
        </w:rPr>
      </w:pPr>
      <w:r>
        <w:rPr>
          <w:rFonts w:hint="eastAsia" w:ascii="宋体" w:hAnsi="宋体" w:cs="宋体"/>
          <w:szCs w:val="21"/>
        </w:rPr>
        <w:t>投标人名称（签章）：</w:t>
      </w:r>
      <w:r>
        <w:rPr>
          <w:rFonts w:hint="eastAsia" w:ascii="宋体" w:hAnsi="宋体" w:cs="宋体"/>
          <w:spacing w:val="20"/>
          <w:szCs w:val="21"/>
        </w:rPr>
        <w:t xml:space="preserve">        </w:t>
      </w:r>
    </w:p>
    <w:p w14:paraId="255929BD">
      <w:pPr>
        <w:snapToGrid w:val="0"/>
        <w:spacing w:before="50" w:after="50" w:line="360" w:lineRule="auto"/>
        <w:ind w:left="420" w:firstLine="3500" w:firstLineChars="1400"/>
        <w:rPr>
          <w:b/>
          <w:bCs/>
          <w:szCs w:val="21"/>
          <w:u w:val="single"/>
          <w:shd w:val="pct10" w:color="auto" w:fill="FFFFFF"/>
        </w:rPr>
      </w:pPr>
      <w:r>
        <w:rPr>
          <w:rFonts w:hint="eastAsia" w:ascii="宋体" w:hAnsi="宋体" w:cs="宋体"/>
          <w:spacing w:val="20"/>
          <w:szCs w:val="21"/>
        </w:rPr>
        <w:t>日  期：</w:t>
      </w:r>
    </w:p>
    <w:p w14:paraId="0E9C910C">
      <w:pPr>
        <w:spacing w:line="460" w:lineRule="exact"/>
        <w:ind w:left="631" w:hanging="211"/>
        <w:contextualSpacing/>
        <w:rPr>
          <w:rFonts w:ascii="宋体" w:hAnsi="宋体" w:cs="宋体"/>
          <w:szCs w:val="21"/>
        </w:rPr>
      </w:pPr>
      <w:r>
        <w:rPr>
          <w:rFonts w:hint="eastAsia" w:ascii="宋体" w:hAnsi="宋体" w:cs="宋体"/>
          <w:b/>
          <w:bCs/>
          <w:szCs w:val="21"/>
        </w:rPr>
        <w:t>填写要求：</w:t>
      </w:r>
    </w:p>
    <w:p w14:paraId="539483B4">
      <w:pPr>
        <w:numPr>
          <w:ilvl w:val="0"/>
          <w:numId w:val="14"/>
        </w:numPr>
        <w:spacing w:line="460" w:lineRule="exact"/>
        <w:ind w:left="420" w:firstLine="420" w:firstLineChars="200"/>
        <w:contextualSpacing/>
        <w:rPr>
          <w:rFonts w:ascii="宋体" w:hAnsi="宋体" w:cs="宋体"/>
          <w:szCs w:val="21"/>
        </w:rPr>
      </w:pPr>
      <w:r>
        <w:rPr>
          <w:rFonts w:hint="eastAsia" w:ascii="宋体" w:hAnsi="宋体" w:cs="宋体"/>
          <w:szCs w:val="21"/>
        </w:rPr>
        <w:t>“标的名称”、“招标文件中明确的所属行业”依据招标文件第三章投标人须知前附表中“采购标的及其对应的中小企业划分标准所属行业”的指引逐一填写，“承建（承接）企业”按实际填写，以上内容不得缺漏；</w:t>
      </w:r>
    </w:p>
    <w:p w14:paraId="6D5E40CC">
      <w:pPr>
        <w:numPr>
          <w:ilvl w:val="0"/>
          <w:numId w:val="14"/>
        </w:numPr>
        <w:spacing w:line="460" w:lineRule="exact"/>
        <w:ind w:left="420" w:firstLine="420" w:firstLineChars="200"/>
        <w:contextualSpacing/>
        <w:rPr>
          <w:rFonts w:ascii="宋体" w:hAnsi="宋体" w:cs="宋体"/>
          <w:szCs w:val="21"/>
        </w:rPr>
      </w:pPr>
      <w:r>
        <w:rPr>
          <w:rFonts w:hint="eastAsia" w:ascii="宋体" w:hAnsi="宋体" w:cs="宋体"/>
          <w:szCs w:val="21"/>
        </w:rPr>
        <w:t>从业人员、营业收入、资产总额应填报上一年度数据，无上一年度数据的新成立企业可不填报；</w:t>
      </w:r>
    </w:p>
    <w:p w14:paraId="61594446">
      <w:pPr>
        <w:numPr>
          <w:ilvl w:val="0"/>
          <w:numId w:val="14"/>
        </w:numPr>
        <w:spacing w:line="460" w:lineRule="exact"/>
        <w:ind w:left="420" w:firstLine="420" w:firstLineChars="200"/>
        <w:contextualSpacing/>
        <w:rPr>
          <w:rFonts w:ascii="宋体" w:hAnsi="宋体" w:cs="宋体"/>
          <w:szCs w:val="21"/>
        </w:rPr>
      </w:pPr>
      <w:r>
        <w:rPr>
          <w:rFonts w:hint="eastAsia" w:ascii="宋体" w:hAnsi="宋体" w:cs="宋体"/>
          <w:szCs w:val="21"/>
        </w:rPr>
        <w:t>中型企业、小型企业、微型企业等3种企业类型，结合以上数据，应依据《中小企业划型标准规定》（工信部联企业〔2011〕300号）确定，如国家对中小企业划型有新的规定，从其规定；</w:t>
      </w:r>
    </w:p>
    <w:p w14:paraId="2801F28D">
      <w:pPr>
        <w:numPr>
          <w:ilvl w:val="0"/>
          <w:numId w:val="14"/>
        </w:numPr>
        <w:spacing w:line="460" w:lineRule="exact"/>
        <w:ind w:left="420" w:firstLine="420" w:firstLineChars="200"/>
        <w:contextualSpacing/>
        <w:rPr>
          <w:rFonts w:ascii="宋体" w:hAnsi="宋体" w:cs="宋体"/>
          <w:szCs w:val="21"/>
        </w:rPr>
      </w:pPr>
      <w:r>
        <w:rPr>
          <w:rFonts w:hint="eastAsia" w:ascii="宋体" w:hAnsi="宋体" w:cs="宋体"/>
          <w:szCs w:val="21"/>
        </w:rPr>
        <w:t>投标人提供的《中小企业声明函》与实际情况不符的或者未按以上要求填写的，中小企业声明函无效，不享受中小企业扶持政策；作为资格条件的，视作不符合资格要求。声明内容不实的，属于提供虚假材料谋取中标、成交的，依法承担法律责任。</w:t>
      </w:r>
    </w:p>
    <w:p w14:paraId="6CBAE48F">
      <w:pPr>
        <w:pStyle w:val="73"/>
      </w:pPr>
    </w:p>
    <w:p w14:paraId="00066BC4">
      <w:pPr>
        <w:pStyle w:val="73"/>
        <w:rPr>
          <w:rFonts w:ascii="宋体" w:hAnsi="宋体" w:eastAsia="宋体" w:cs="宋体"/>
          <w:sz w:val="21"/>
          <w:szCs w:val="21"/>
        </w:rPr>
      </w:pPr>
    </w:p>
    <w:p w14:paraId="07A342FE">
      <w:pPr>
        <w:pStyle w:val="74"/>
        <w:rPr>
          <w:rFonts w:ascii="宋体" w:hAnsi="宋体" w:cs="宋体"/>
          <w:szCs w:val="21"/>
        </w:rPr>
      </w:pPr>
    </w:p>
    <w:p w14:paraId="7CF328FD">
      <w:pPr>
        <w:rPr>
          <w:rFonts w:ascii="宋体" w:hAnsi="宋体" w:cs="宋体"/>
          <w:szCs w:val="21"/>
        </w:rPr>
      </w:pPr>
    </w:p>
    <w:p w14:paraId="0C73AFE5">
      <w:pPr>
        <w:pStyle w:val="73"/>
      </w:pPr>
    </w:p>
    <w:p w14:paraId="16049C1C">
      <w:pPr>
        <w:pStyle w:val="74"/>
      </w:pPr>
    </w:p>
    <w:p w14:paraId="107682C4"/>
    <w:p w14:paraId="09EAAEEB">
      <w:pPr>
        <w:pStyle w:val="59"/>
      </w:pPr>
    </w:p>
    <w:p w14:paraId="5A32A878"/>
    <w:p w14:paraId="6BE7EE7C">
      <w:pPr>
        <w:pStyle w:val="59"/>
      </w:pPr>
    </w:p>
    <w:p w14:paraId="0447AEF6">
      <w:pPr>
        <w:pStyle w:val="32"/>
        <w:spacing w:before="120" w:after="120" w:line="360" w:lineRule="auto"/>
        <w:ind w:left="701" w:hanging="281"/>
        <w:jc w:val="center"/>
        <w:rPr>
          <w:rFonts w:ascii="黑体" w:hAnsi="黑体" w:eastAsia="黑体" w:cs="黑体"/>
          <w:b/>
          <w:sz w:val="28"/>
          <w:szCs w:val="28"/>
        </w:rPr>
      </w:pPr>
      <w:r>
        <w:rPr>
          <w:rFonts w:hint="eastAsia" w:ascii="黑体" w:hAnsi="黑体" w:eastAsia="黑体" w:cs="黑体"/>
          <w:b/>
          <w:sz w:val="28"/>
          <w:szCs w:val="28"/>
        </w:rPr>
        <w:t xml:space="preserve"> 监狱企业声明函</w:t>
      </w:r>
    </w:p>
    <w:p w14:paraId="73ED3097">
      <w:pPr>
        <w:spacing w:line="360" w:lineRule="auto"/>
        <w:ind w:left="420" w:firstLine="2880" w:firstLineChars="1200"/>
        <w:rPr>
          <w:sz w:val="24"/>
        </w:rPr>
      </w:pPr>
      <w:r>
        <w:rPr>
          <w:sz w:val="24"/>
        </w:rPr>
        <w:t>【非监狱企业不用提供】</w:t>
      </w:r>
    </w:p>
    <w:p w14:paraId="307A24CB">
      <w:pPr>
        <w:spacing w:line="360" w:lineRule="auto"/>
        <w:ind w:hanging="210"/>
        <w:rPr>
          <w:szCs w:val="21"/>
        </w:rPr>
      </w:pPr>
    </w:p>
    <w:p w14:paraId="58FB5474">
      <w:pPr>
        <w:spacing w:line="360" w:lineRule="auto"/>
        <w:ind w:left="420" w:firstLine="525" w:firstLineChars="250"/>
        <w:rPr>
          <w:szCs w:val="21"/>
        </w:rPr>
      </w:pPr>
      <w:r>
        <w:rPr>
          <w:szCs w:val="21"/>
        </w:rPr>
        <w:t>监狱企业参加政府采购活动时，应当提供由省级以上监狱管理本企业郑重声明，根据《关于政府采购支持监狱企业发展有关问题的通知》（财库[2014]68号）的规定，本企业为监狱企业。</w:t>
      </w:r>
    </w:p>
    <w:p w14:paraId="75F120CD">
      <w:pPr>
        <w:spacing w:line="360" w:lineRule="auto"/>
        <w:ind w:hanging="210"/>
        <w:rPr>
          <w:szCs w:val="21"/>
        </w:rPr>
      </w:pPr>
      <w:r>
        <w:rPr>
          <w:szCs w:val="21"/>
        </w:rPr>
        <w:t>根据上述标准，我企业属于监狱企业的理由为：。</w:t>
      </w:r>
    </w:p>
    <w:p w14:paraId="255EF688">
      <w:pPr>
        <w:spacing w:line="360" w:lineRule="auto"/>
        <w:ind w:hanging="210"/>
        <w:rPr>
          <w:szCs w:val="21"/>
        </w:rPr>
      </w:pPr>
      <w:r>
        <w:rPr>
          <w:szCs w:val="21"/>
        </w:rPr>
        <w:t>本企业为参加（项目名称：）（项目编号：）采购活动提供本企业的产品。</w:t>
      </w:r>
    </w:p>
    <w:p w14:paraId="7A0AF08D">
      <w:pPr>
        <w:spacing w:line="360" w:lineRule="auto"/>
        <w:ind w:hanging="210"/>
        <w:rPr>
          <w:szCs w:val="21"/>
        </w:rPr>
      </w:pPr>
      <w:r>
        <w:rPr>
          <w:szCs w:val="21"/>
        </w:rPr>
        <w:t>本企业对上述声明的真实性负责。如有虚假，将依法承担相应责任。</w:t>
      </w:r>
    </w:p>
    <w:p w14:paraId="0528CC92">
      <w:pPr>
        <w:spacing w:line="360" w:lineRule="auto"/>
        <w:ind w:hanging="210"/>
        <w:rPr>
          <w:szCs w:val="21"/>
        </w:rPr>
      </w:pPr>
    </w:p>
    <w:p w14:paraId="4B2E7F0E">
      <w:pPr>
        <w:spacing w:line="500" w:lineRule="exact"/>
        <w:ind w:left="420" w:firstLine="4095" w:firstLineChars="1950"/>
        <w:contextualSpacing/>
        <w:rPr>
          <w:rFonts w:ascii="宋体" w:hAnsi="宋体" w:cs="宋体"/>
          <w:szCs w:val="21"/>
        </w:rPr>
      </w:pPr>
      <w:r>
        <w:rPr>
          <w:rFonts w:hint="eastAsia" w:ascii="宋体" w:hAnsi="宋体" w:cs="宋体"/>
          <w:szCs w:val="21"/>
        </w:rPr>
        <w:t>投标人名称（签章）：</w:t>
      </w:r>
    </w:p>
    <w:p w14:paraId="23F6A7B1">
      <w:pPr>
        <w:spacing w:line="360" w:lineRule="auto"/>
        <w:ind w:left="420" w:firstLine="4044" w:firstLineChars="1926"/>
        <w:rPr>
          <w:szCs w:val="21"/>
        </w:rPr>
      </w:pPr>
      <w:r>
        <w:rPr>
          <w:rFonts w:hint="eastAsia" w:ascii="宋体" w:hAnsi="宋体" w:cs="宋体"/>
          <w:szCs w:val="21"/>
        </w:rPr>
        <w:t>日 期：</w:t>
      </w:r>
    </w:p>
    <w:p w14:paraId="40E5FF0E">
      <w:pPr>
        <w:spacing w:line="360" w:lineRule="auto"/>
        <w:rPr>
          <w:szCs w:val="21"/>
        </w:rPr>
      </w:pPr>
    </w:p>
    <w:p w14:paraId="14AA65E0">
      <w:pPr>
        <w:spacing w:line="360" w:lineRule="auto"/>
        <w:rPr>
          <w:szCs w:val="21"/>
        </w:rPr>
      </w:pPr>
      <w:r>
        <w:rPr>
          <w:rFonts w:hint="eastAsia"/>
          <w:szCs w:val="21"/>
        </w:rPr>
        <w:t>说明:</w:t>
      </w:r>
    </w:p>
    <w:p w14:paraId="1ED90A4D">
      <w:pPr>
        <w:spacing w:line="360" w:lineRule="auto"/>
        <w:ind w:hanging="210"/>
        <w:rPr>
          <w:szCs w:val="21"/>
        </w:rPr>
      </w:pPr>
      <w:r>
        <w:rPr>
          <w:rFonts w:hint="eastAsia"/>
          <w:szCs w:val="21"/>
        </w:rPr>
        <w:t>投标人</w:t>
      </w:r>
      <w:r>
        <w:rPr>
          <w:szCs w:val="21"/>
        </w:rPr>
        <w:t>为监狱企业的提供此函。</w:t>
      </w:r>
    </w:p>
    <w:p w14:paraId="200A46AF">
      <w:pPr>
        <w:spacing w:line="360" w:lineRule="auto"/>
        <w:ind w:hanging="210"/>
        <w:rPr>
          <w:rFonts w:ascii="宋体" w:hAnsi="宋体" w:cs="宋体"/>
          <w:szCs w:val="21"/>
        </w:rPr>
      </w:pPr>
      <w:r>
        <w:rPr>
          <w:rFonts w:hint="eastAsia" w:ascii="宋体" w:hAnsi="宋体" w:cs="宋体"/>
          <w:szCs w:val="21"/>
        </w:rPr>
        <w:t>由省级以上监狱管理局、戒毒管理局（含新疆生产建设兵团）出具的属于监狱企业的证明文件。</w:t>
      </w:r>
    </w:p>
    <w:p w14:paraId="6F699AE3">
      <w:pPr>
        <w:spacing w:line="360" w:lineRule="auto"/>
        <w:ind w:hanging="210"/>
        <w:rPr>
          <w:b/>
          <w:sz w:val="24"/>
          <w:szCs w:val="24"/>
        </w:rPr>
      </w:pPr>
      <w:r>
        <w:rPr>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9DB828D">
      <w:pPr>
        <w:pStyle w:val="37"/>
        <w:spacing w:line="360" w:lineRule="auto"/>
        <w:ind w:left="661" w:hanging="241"/>
        <w:rPr>
          <w:b/>
          <w:sz w:val="24"/>
          <w:szCs w:val="24"/>
        </w:rPr>
      </w:pPr>
    </w:p>
    <w:p w14:paraId="6C5DF3D2">
      <w:pPr>
        <w:pStyle w:val="37"/>
        <w:spacing w:line="360" w:lineRule="auto"/>
        <w:ind w:left="661" w:hanging="241"/>
        <w:rPr>
          <w:b/>
          <w:sz w:val="24"/>
          <w:szCs w:val="24"/>
        </w:rPr>
      </w:pPr>
    </w:p>
    <w:p w14:paraId="3D52247C">
      <w:pPr>
        <w:pStyle w:val="37"/>
        <w:spacing w:line="360" w:lineRule="auto"/>
        <w:ind w:left="661" w:hanging="241"/>
        <w:rPr>
          <w:b/>
          <w:sz w:val="24"/>
          <w:szCs w:val="24"/>
        </w:rPr>
      </w:pPr>
    </w:p>
    <w:p w14:paraId="7FF39404">
      <w:pPr>
        <w:pStyle w:val="37"/>
        <w:spacing w:line="360" w:lineRule="auto"/>
        <w:ind w:left="701" w:hanging="281"/>
        <w:jc w:val="center"/>
        <w:rPr>
          <w:rFonts w:ascii="黑体" w:hAnsi="黑体" w:eastAsia="黑体" w:cs="黑体"/>
          <w:b/>
          <w:sz w:val="28"/>
          <w:szCs w:val="28"/>
        </w:rPr>
      </w:pPr>
      <w:r>
        <w:rPr>
          <w:rFonts w:hint="eastAsia" w:ascii="黑体" w:hAnsi="黑体" w:eastAsia="黑体" w:cs="黑体"/>
          <w:b/>
          <w:sz w:val="28"/>
          <w:szCs w:val="28"/>
        </w:rPr>
        <w:t xml:space="preserve">   残疾人福利性单位声明函</w:t>
      </w:r>
    </w:p>
    <w:p w14:paraId="7E2D2460">
      <w:pPr>
        <w:pStyle w:val="37"/>
        <w:spacing w:line="360" w:lineRule="auto"/>
        <w:ind w:left="420" w:firstLine="2835" w:firstLineChars="1350"/>
        <w:rPr>
          <w:sz w:val="21"/>
          <w:szCs w:val="21"/>
        </w:rPr>
      </w:pPr>
      <w:r>
        <w:rPr>
          <w:sz w:val="21"/>
          <w:szCs w:val="21"/>
        </w:rPr>
        <w:t>【非残疾人福利性单位不用提供】</w:t>
      </w:r>
    </w:p>
    <w:p w14:paraId="6B03AACE">
      <w:pPr>
        <w:pStyle w:val="37"/>
        <w:spacing w:line="360" w:lineRule="auto"/>
        <w:rPr>
          <w:sz w:val="21"/>
          <w:szCs w:val="21"/>
        </w:rPr>
      </w:pPr>
    </w:p>
    <w:p w14:paraId="7EF4ED7C">
      <w:pPr>
        <w:pStyle w:val="37"/>
        <w:spacing w:line="360" w:lineRule="auto"/>
        <w:ind w:left="420" w:firstLine="420" w:firstLineChars="200"/>
        <w:rPr>
          <w:sz w:val="21"/>
          <w:szCs w:val="21"/>
        </w:rPr>
      </w:pPr>
      <w:r>
        <w:rPr>
          <w:sz w:val="21"/>
          <w:szCs w:val="21"/>
        </w:rPr>
        <w:t>本单位郑重声明，根据《财政部民政部中国残疾人联合会关于促进残疾人就业政府采购政策的通知》（财库〔2017〕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17B60019">
      <w:pPr>
        <w:pStyle w:val="37"/>
        <w:spacing w:line="360" w:lineRule="auto"/>
        <w:ind w:left="420" w:firstLine="420" w:firstLineChars="200"/>
        <w:rPr>
          <w:sz w:val="21"/>
          <w:szCs w:val="21"/>
        </w:rPr>
      </w:pPr>
      <w:r>
        <w:rPr>
          <w:sz w:val="21"/>
          <w:szCs w:val="21"/>
        </w:rPr>
        <w:t>本单位对上述声明的真实性负责。如有虚假，将依法承担相应责任。</w:t>
      </w:r>
    </w:p>
    <w:p w14:paraId="5CFD1AD9">
      <w:pPr>
        <w:pStyle w:val="37"/>
        <w:spacing w:line="360" w:lineRule="auto"/>
        <w:rPr>
          <w:sz w:val="21"/>
          <w:szCs w:val="21"/>
        </w:rPr>
      </w:pPr>
    </w:p>
    <w:p w14:paraId="10E42209">
      <w:pPr>
        <w:pStyle w:val="37"/>
        <w:spacing w:line="360" w:lineRule="auto"/>
        <w:rPr>
          <w:sz w:val="21"/>
          <w:szCs w:val="21"/>
        </w:rPr>
      </w:pPr>
    </w:p>
    <w:p w14:paraId="46D621C7">
      <w:pPr>
        <w:spacing w:line="500" w:lineRule="exact"/>
        <w:ind w:left="420" w:firstLine="4095" w:firstLineChars="1950"/>
        <w:contextualSpacing/>
        <w:rPr>
          <w:rFonts w:ascii="宋体" w:hAnsi="宋体" w:cs="宋体"/>
          <w:szCs w:val="21"/>
        </w:rPr>
      </w:pPr>
      <w:r>
        <w:rPr>
          <w:rFonts w:hint="eastAsia" w:ascii="宋体" w:hAnsi="宋体" w:cs="宋体"/>
          <w:szCs w:val="21"/>
        </w:rPr>
        <w:t>投标人名称（签章）：</w:t>
      </w:r>
    </w:p>
    <w:p w14:paraId="5A39EF09">
      <w:pPr>
        <w:spacing w:line="360" w:lineRule="auto"/>
        <w:ind w:left="420" w:firstLine="4044" w:firstLineChars="1926"/>
        <w:rPr>
          <w:rFonts w:ascii="宋体" w:hAnsi="宋体" w:cs="宋体"/>
          <w:szCs w:val="21"/>
        </w:rPr>
      </w:pPr>
      <w:r>
        <w:rPr>
          <w:rFonts w:hint="eastAsia" w:ascii="宋体" w:hAnsi="宋体" w:cs="宋体"/>
          <w:szCs w:val="21"/>
        </w:rPr>
        <w:t>日 期：</w:t>
      </w:r>
    </w:p>
    <w:p w14:paraId="0F8A89D4">
      <w:pPr>
        <w:spacing w:line="360" w:lineRule="auto"/>
        <w:ind w:hanging="210"/>
        <w:rPr>
          <w:szCs w:val="21"/>
        </w:rPr>
      </w:pPr>
    </w:p>
    <w:p w14:paraId="56509AFD">
      <w:pPr>
        <w:spacing w:line="360" w:lineRule="auto"/>
        <w:ind w:hanging="210"/>
        <w:rPr>
          <w:szCs w:val="21"/>
        </w:rPr>
      </w:pPr>
      <w:r>
        <w:rPr>
          <w:szCs w:val="21"/>
        </w:rPr>
        <w:t>说明：</w:t>
      </w:r>
      <w:r>
        <w:rPr>
          <w:rFonts w:hint="eastAsia"/>
          <w:szCs w:val="21"/>
        </w:rPr>
        <w:t>投标人</w:t>
      </w:r>
      <w:r>
        <w:rPr>
          <w:szCs w:val="21"/>
        </w:rPr>
        <w:t>为残疾人福利性单位的提供此函。</w:t>
      </w:r>
    </w:p>
    <w:p w14:paraId="4F149FB0">
      <w:pPr>
        <w:snapToGrid w:val="0"/>
        <w:outlineLvl w:val="2"/>
        <w:rPr>
          <w:rFonts w:ascii="黑体" w:hAnsi="黑体" w:eastAsia="黑体" w:cs="黑体"/>
        </w:rPr>
      </w:pPr>
      <w:r>
        <w:rPr>
          <w:rFonts w:hint="eastAsia" w:ascii="黑体" w:hAnsi="黑体" w:eastAsia="黑体" w:cs="黑体"/>
          <w:szCs w:val="21"/>
        </w:rPr>
        <w:t>附件3</w:t>
      </w:r>
    </w:p>
    <w:p w14:paraId="6425BE5D">
      <w:pPr>
        <w:ind w:left="721" w:hanging="301"/>
        <w:jc w:val="center"/>
        <w:rPr>
          <w:rFonts w:hAnsi="宋体" w:cs="宋体"/>
          <w:b/>
          <w:sz w:val="30"/>
          <w:szCs w:val="30"/>
          <w:lang w:bidi="ar"/>
        </w:rPr>
      </w:pPr>
    </w:p>
    <w:p w14:paraId="270B382D">
      <w:pPr>
        <w:ind w:left="701" w:hanging="281"/>
        <w:jc w:val="center"/>
        <w:rPr>
          <w:rFonts w:ascii="黑体" w:hAnsi="黑体" w:eastAsia="黑体" w:cs="黑体"/>
          <w:b/>
          <w:sz w:val="28"/>
          <w:szCs w:val="28"/>
        </w:rPr>
      </w:pPr>
      <w:r>
        <w:rPr>
          <w:rFonts w:hint="eastAsia" w:ascii="黑体" w:hAnsi="黑体" w:eastAsia="黑体" w:cs="黑体"/>
          <w:b/>
          <w:sz w:val="28"/>
          <w:szCs w:val="28"/>
          <w:lang w:bidi="ar"/>
        </w:rPr>
        <w:t>联合体协议</w:t>
      </w:r>
    </w:p>
    <w:p w14:paraId="6507685A">
      <w:pPr>
        <w:spacing w:line="360" w:lineRule="auto"/>
        <w:ind w:left="661" w:hanging="241"/>
        <w:jc w:val="left"/>
        <w:rPr>
          <w:rFonts w:hAnsi="宋体" w:cs="宋体"/>
          <w:b/>
          <w:sz w:val="24"/>
          <w:lang w:bidi="ar"/>
        </w:rPr>
      </w:pPr>
    </w:p>
    <w:p w14:paraId="70DE8987">
      <w:pPr>
        <w:spacing w:line="360" w:lineRule="auto"/>
        <w:ind w:left="631" w:hanging="211"/>
        <w:jc w:val="left"/>
        <w:rPr>
          <w:rFonts w:ascii="宋体" w:hAnsi="宋体" w:cs="宋体"/>
          <w:b/>
          <w:szCs w:val="21"/>
        </w:rPr>
      </w:pPr>
      <w:r>
        <w:rPr>
          <w:rFonts w:hint="eastAsia" w:ascii="宋体" w:hAnsi="宋体" w:cs="宋体"/>
          <w:b/>
          <w:szCs w:val="21"/>
          <w:lang w:bidi="ar"/>
        </w:rPr>
        <w:t>（以联合体形式投标的，提供联合协议；如果项目不接受联合体投标或者投标人不以联合体形式投标的，则不需要提供）</w:t>
      </w:r>
    </w:p>
    <w:p w14:paraId="07D6AC6B">
      <w:pPr>
        <w:snapToGrid w:val="0"/>
        <w:spacing w:line="360" w:lineRule="auto"/>
        <w:ind w:hanging="210"/>
        <w:rPr>
          <w:rFonts w:ascii="宋体" w:hAnsi="宋体" w:cs="宋体"/>
          <w:kern w:val="0"/>
          <w:szCs w:val="21"/>
          <w:u w:val="single"/>
        </w:rPr>
      </w:pPr>
    </w:p>
    <w:p w14:paraId="08875EC7">
      <w:pPr>
        <w:snapToGrid w:val="0"/>
        <w:spacing w:line="360" w:lineRule="auto"/>
        <w:ind w:hanging="210"/>
        <w:rPr>
          <w:rFonts w:ascii="宋体" w:hAnsi="宋体" w:cs="宋体"/>
          <w:kern w:val="0"/>
          <w:szCs w:val="21"/>
          <w:lang w:val="zh-CN"/>
        </w:rPr>
      </w:pPr>
      <w:r>
        <w:rPr>
          <w:rFonts w:hint="eastAsia" w:ascii="宋体" w:hAnsi="宋体" w:cs="宋体"/>
          <w:kern w:val="0"/>
          <w:szCs w:val="21"/>
          <w:u w:val="single"/>
        </w:rPr>
        <w:t>（联合体所有成员名称）</w:t>
      </w:r>
      <w:r>
        <w:rPr>
          <w:rFonts w:hint="eastAsia" w:ascii="宋体" w:hAnsi="宋体" w:cs="宋体"/>
          <w:kern w:val="0"/>
          <w:szCs w:val="21"/>
        </w:rPr>
        <w:t>自愿</w:t>
      </w:r>
      <w:r>
        <w:rPr>
          <w:rFonts w:hint="eastAsia" w:ascii="宋体" w:hAnsi="宋体" w:cs="宋体"/>
          <w:kern w:val="0"/>
          <w:szCs w:val="21"/>
          <w:lang w:val="zh-CN"/>
        </w:rPr>
        <w:t>组成一个联合体，以一个投标人的身份</w:t>
      </w:r>
      <w:r>
        <w:rPr>
          <w:rFonts w:hint="eastAsia" w:ascii="宋体" w:hAnsi="宋体" w:cs="宋体"/>
          <w:kern w:val="0"/>
          <w:szCs w:val="21"/>
        </w:rPr>
        <w:t>参加</w:t>
      </w:r>
      <w:r>
        <w:rPr>
          <w:rFonts w:hint="eastAsia" w:ascii="宋体" w:hAnsi="宋体" w:cs="宋体"/>
          <w:szCs w:val="21"/>
          <w:u w:val="single"/>
        </w:rPr>
        <w:t>（项目名称）</w:t>
      </w:r>
      <w:r>
        <w:rPr>
          <w:rFonts w:hint="eastAsia" w:ascii="宋体" w:hAnsi="宋体" w:cs="宋体"/>
          <w:szCs w:val="21"/>
        </w:rPr>
        <w:t>【招标编号：</w:t>
      </w:r>
      <w:r>
        <w:rPr>
          <w:rFonts w:hint="eastAsia" w:ascii="宋体" w:hAnsi="宋体" w:cs="宋体"/>
          <w:szCs w:val="21"/>
          <w:u w:val="single"/>
        </w:rPr>
        <w:t>（项目编号）</w:t>
      </w:r>
      <w:r>
        <w:rPr>
          <w:rFonts w:hint="eastAsia" w:ascii="宋体" w:hAnsi="宋体" w:cs="宋体"/>
          <w:szCs w:val="21"/>
        </w:rPr>
        <w:t>】</w:t>
      </w:r>
      <w:r>
        <w:rPr>
          <w:rFonts w:hint="eastAsia" w:ascii="宋体" w:hAnsi="宋体" w:cs="宋体"/>
          <w:kern w:val="0"/>
          <w:szCs w:val="21"/>
          <w:lang w:val="zh-CN"/>
        </w:rPr>
        <w:t xml:space="preserve">投标。 </w:t>
      </w:r>
    </w:p>
    <w:p w14:paraId="6BC525F0">
      <w:pPr>
        <w:snapToGrid w:val="0"/>
        <w:spacing w:line="360" w:lineRule="auto"/>
        <w:ind w:hanging="210"/>
        <w:rPr>
          <w:rFonts w:ascii="宋体" w:hAnsi="宋体" w:cs="宋体"/>
          <w:kern w:val="0"/>
          <w:szCs w:val="21"/>
          <w:lang w:val="zh-CN"/>
        </w:rPr>
      </w:pPr>
      <w:r>
        <w:rPr>
          <w:rFonts w:hint="eastAsia" w:ascii="宋体" w:hAnsi="宋体" w:cs="宋体"/>
          <w:kern w:val="0"/>
          <w:szCs w:val="21"/>
          <w:lang w:val="zh-CN"/>
        </w:rPr>
        <w:t>一、各方一致决定，</w:t>
      </w:r>
      <w:r>
        <w:rPr>
          <w:rFonts w:hint="eastAsia" w:ascii="宋体" w:hAnsi="宋体" w:cs="宋体"/>
          <w:kern w:val="0"/>
          <w:szCs w:val="21"/>
          <w:u w:val="single"/>
        </w:rPr>
        <w:t>（某联合体成员名称）</w:t>
      </w:r>
      <w:r>
        <w:rPr>
          <w:rFonts w:hint="eastAsia" w:ascii="宋体" w:hAnsi="宋体" w:cs="宋体"/>
          <w:kern w:val="0"/>
          <w:szCs w:val="21"/>
        </w:rPr>
        <w:t>为联合体</w:t>
      </w:r>
      <w:r>
        <w:rPr>
          <w:rFonts w:hint="eastAsia" w:ascii="宋体" w:hAnsi="宋体" w:cs="宋体"/>
          <w:kern w:val="0"/>
          <w:szCs w:val="21"/>
          <w:lang w:val="zh-CN"/>
        </w:rPr>
        <w:t>牵头人</w:t>
      </w:r>
      <w:r>
        <w:rPr>
          <w:rFonts w:hint="eastAsia" w:ascii="宋体" w:hAnsi="宋体" w:cs="宋体"/>
          <w:szCs w:val="21"/>
        </w:rPr>
        <w:t>，代表所有联合体成员负责投标和合同实施阶段的主办、协调工作</w:t>
      </w:r>
      <w:r>
        <w:rPr>
          <w:rFonts w:hint="eastAsia" w:ascii="宋体" w:hAnsi="宋体" w:cs="宋体"/>
          <w:kern w:val="0"/>
          <w:szCs w:val="21"/>
          <w:lang w:val="zh-CN"/>
        </w:rPr>
        <w:t>。</w:t>
      </w:r>
    </w:p>
    <w:p w14:paraId="1323DF30">
      <w:pPr>
        <w:snapToGrid w:val="0"/>
        <w:spacing w:line="360" w:lineRule="auto"/>
        <w:ind w:hanging="210"/>
        <w:rPr>
          <w:rFonts w:ascii="宋体" w:hAnsi="宋体" w:cs="宋体"/>
          <w:kern w:val="0"/>
          <w:szCs w:val="21"/>
          <w:lang w:val="zh-CN"/>
        </w:rPr>
      </w:pPr>
      <w:r>
        <w:rPr>
          <w:rFonts w:hint="eastAsia" w:ascii="宋体" w:hAnsi="宋体" w:cs="宋体"/>
          <w:kern w:val="0"/>
          <w:szCs w:val="21"/>
          <w:lang w:val="zh-CN"/>
        </w:rPr>
        <w:t>二、</w:t>
      </w:r>
      <w:r>
        <w:rPr>
          <w:rFonts w:hint="eastAsia" w:ascii="宋体" w:hAnsi="宋体" w:cs="宋体"/>
          <w:szCs w:val="21"/>
        </w:rPr>
        <w:t>所有联合体成员各方签署授权书，授权书载明的</w:t>
      </w:r>
      <w:r>
        <w:rPr>
          <w:rFonts w:hint="eastAsia" w:ascii="宋体" w:hAnsi="宋体" w:cs="宋体"/>
          <w:kern w:val="0"/>
          <w:szCs w:val="21"/>
          <w:lang w:val="zh-CN"/>
        </w:rPr>
        <w:t>授权代表根据招标文件规定及投标内容而对采购人、采购代理机构所作的任何合法承诺，包括书面澄清及相应等均对联合投标各方产生约束力。</w:t>
      </w:r>
    </w:p>
    <w:p w14:paraId="4D72780F">
      <w:pPr>
        <w:snapToGrid w:val="0"/>
        <w:spacing w:line="360" w:lineRule="auto"/>
        <w:ind w:hanging="210"/>
        <w:rPr>
          <w:rFonts w:ascii="宋体" w:hAnsi="宋体" w:cs="宋体"/>
          <w:kern w:val="0"/>
          <w:szCs w:val="21"/>
          <w:lang w:val="zh-CN"/>
        </w:rPr>
      </w:pPr>
      <w:r>
        <w:rPr>
          <w:rFonts w:hint="eastAsia" w:ascii="宋体" w:hAnsi="宋体" w:cs="宋体"/>
          <w:kern w:val="0"/>
          <w:szCs w:val="21"/>
          <w:lang w:val="zh-CN"/>
        </w:rPr>
        <w:t>三、本次联合投标中，分工如下：</w:t>
      </w:r>
    </w:p>
    <w:p w14:paraId="0015AC8E">
      <w:pPr>
        <w:snapToGrid w:val="0"/>
        <w:spacing w:line="360" w:lineRule="auto"/>
        <w:ind w:hanging="210"/>
        <w:rPr>
          <w:rFonts w:ascii="宋体" w:hAnsi="宋体" w:cs="宋体"/>
          <w:kern w:val="0"/>
          <w:szCs w:val="21"/>
          <w:lang w:val="zh-CN"/>
        </w:rPr>
      </w:pPr>
      <w:r>
        <w:rPr>
          <w:rFonts w:hint="eastAsia" w:ascii="宋体" w:hAnsi="宋体" w:cs="宋体"/>
          <w:kern w:val="0"/>
          <w:szCs w:val="21"/>
          <w:u w:val="single"/>
        </w:rPr>
        <w:t>（联合体成员1）</w:t>
      </w:r>
      <w:r>
        <w:rPr>
          <w:rFonts w:hint="eastAsia" w:ascii="宋体" w:hAnsi="宋体" w:cs="宋体"/>
          <w:kern w:val="0"/>
          <w:szCs w:val="21"/>
          <w:lang w:val="zh-CN"/>
        </w:rPr>
        <w:t>承担的工作和义务为：；</w:t>
      </w:r>
    </w:p>
    <w:p w14:paraId="2CBF78EA">
      <w:pPr>
        <w:snapToGrid w:val="0"/>
        <w:spacing w:line="360" w:lineRule="auto"/>
        <w:ind w:hanging="210"/>
        <w:rPr>
          <w:rFonts w:ascii="宋体" w:hAnsi="宋体" w:cs="宋体"/>
          <w:kern w:val="0"/>
          <w:szCs w:val="21"/>
          <w:lang w:val="zh-CN"/>
        </w:rPr>
      </w:pPr>
      <w:r>
        <w:rPr>
          <w:rFonts w:hint="eastAsia" w:ascii="宋体" w:hAnsi="宋体" w:cs="宋体"/>
          <w:kern w:val="0"/>
          <w:szCs w:val="21"/>
          <w:u w:val="single"/>
        </w:rPr>
        <w:t>（联合体成员2）</w:t>
      </w:r>
      <w:r>
        <w:rPr>
          <w:rFonts w:hint="eastAsia" w:ascii="宋体" w:hAnsi="宋体" w:cs="宋体"/>
          <w:kern w:val="0"/>
          <w:szCs w:val="21"/>
          <w:lang w:val="zh-CN"/>
        </w:rPr>
        <w:t>承担的工作和义务为：；</w:t>
      </w:r>
    </w:p>
    <w:p w14:paraId="38ECE11A">
      <w:pPr>
        <w:snapToGrid w:val="0"/>
        <w:spacing w:line="360" w:lineRule="auto"/>
        <w:ind w:hanging="210"/>
        <w:rPr>
          <w:rFonts w:ascii="宋体" w:hAnsi="宋体" w:cs="宋体"/>
          <w:kern w:val="0"/>
          <w:szCs w:val="21"/>
          <w:lang w:val="zh-CN"/>
        </w:rPr>
      </w:pPr>
      <w:r>
        <w:rPr>
          <w:rFonts w:hint="eastAsia" w:ascii="宋体" w:hAnsi="宋体" w:cs="宋体"/>
          <w:kern w:val="0"/>
          <w:szCs w:val="21"/>
          <w:lang w:val="zh-CN"/>
        </w:rPr>
        <w:t>……</w:t>
      </w:r>
    </w:p>
    <w:p w14:paraId="226D004B">
      <w:pPr>
        <w:snapToGrid w:val="0"/>
        <w:spacing w:line="360" w:lineRule="auto"/>
        <w:ind w:hanging="210"/>
        <w:rPr>
          <w:rFonts w:ascii="宋体" w:hAnsi="宋体" w:cs="宋体"/>
          <w:kern w:val="0"/>
          <w:szCs w:val="21"/>
          <w:lang w:val="zh-CN"/>
        </w:rPr>
      </w:pPr>
      <w:r>
        <w:rPr>
          <w:rFonts w:hint="eastAsia" w:ascii="宋体" w:hAnsi="宋体" w:cs="宋体"/>
          <w:kern w:val="0"/>
          <w:szCs w:val="21"/>
          <w:lang w:val="zh-CN"/>
        </w:rPr>
        <w:t>四、联合体成员中小企业合同份额。</w:t>
      </w:r>
    </w:p>
    <w:p w14:paraId="77DED67D">
      <w:pPr>
        <w:snapToGrid w:val="0"/>
        <w:spacing w:line="360" w:lineRule="auto"/>
        <w:ind w:hanging="210"/>
        <w:rPr>
          <w:rFonts w:ascii="宋体" w:hAnsi="宋体" w:cs="宋体"/>
          <w:b/>
          <w:kern w:val="0"/>
          <w:szCs w:val="21"/>
          <w:lang w:val="zh-CN"/>
        </w:rPr>
      </w:pPr>
      <w:r>
        <w:rPr>
          <w:rFonts w:hint="eastAsia" w:ascii="宋体" w:hAnsi="宋体" w:cs="宋体"/>
          <w:kern w:val="0"/>
          <w:szCs w:val="21"/>
          <w:lang w:val="zh-CN"/>
        </w:rPr>
        <w:t>1、</w:t>
      </w:r>
      <w:r>
        <w:rPr>
          <w:rFonts w:hint="eastAsia" w:ascii="宋体" w:hAnsi="宋体" w:cs="宋体"/>
          <w:kern w:val="0"/>
          <w:szCs w:val="21"/>
          <w:u w:val="single"/>
        </w:rPr>
        <w:t>（</w:t>
      </w:r>
      <w:bookmarkStart w:id="79" w:name="_Hlk101131882"/>
      <w:r>
        <w:rPr>
          <w:rFonts w:hint="eastAsia" w:ascii="宋体" w:hAnsi="宋体" w:cs="宋体"/>
          <w:kern w:val="0"/>
          <w:szCs w:val="21"/>
          <w:u w:val="single"/>
        </w:rPr>
        <w:t>联合体成员X,……</w:t>
      </w:r>
      <w:bookmarkEnd w:id="79"/>
      <w:r>
        <w:rPr>
          <w:rFonts w:hint="eastAsia" w:ascii="宋体" w:hAnsi="宋体" w:cs="宋体"/>
          <w:kern w:val="0"/>
          <w:szCs w:val="21"/>
          <w:u w:val="single"/>
        </w:rPr>
        <w:t>）</w:t>
      </w:r>
      <w:r>
        <w:rPr>
          <w:rFonts w:hint="eastAsia" w:ascii="宋体" w:hAnsi="宋体" w:cs="宋体"/>
          <w:kern w:val="0"/>
          <w:szCs w:val="21"/>
        </w:rPr>
        <w:t>提供的服务由小微企业承接，其合同份额占到合同总金额%以上</w:t>
      </w:r>
      <w:r>
        <w:rPr>
          <w:rFonts w:hint="eastAsia" w:ascii="宋体" w:hAnsi="宋体" w:cs="宋体"/>
          <w:kern w:val="0"/>
          <w:szCs w:val="21"/>
          <w:lang w:val="zh-CN"/>
        </w:rPr>
        <w:t>。</w:t>
      </w:r>
      <w:r>
        <w:rPr>
          <w:rFonts w:hint="eastAsia" w:ascii="宋体" w:hAnsi="宋体" w:cs="宋体"/>
          <w:b/>
          <w:kern w:val="0"/>
          <w:szCs w:val="21"/>
          <w:lang w:val="zh-CN"/>
        </w:rPr>
        <w:t>（</w:t>
      </w:r>
      <w:bookmarkStart w:id="80" w:name="_Hlk101133598"/>
      <w:r>
        <w:rPr>
          <w:rFonts w:hint="eastAsia" w:ascii="宋体" w:hAnsi="宋体" w:cs="宋体"/>
          <w:b/>
          <w:kern w:val="0"/>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投标人</w:t>
      </w:r>
      <w:r>
        <w:rPr>
          <w:rFonts w:hint="eastAsia" w:ascii="宋体" w:hAnsi="宋体" w:cs="宋体"/>
          <w:b/>
          <w:szCs w:val="21"/>
        </w:rPr>
        <w:t>拟享受以上价格扣除政策的，填写有关内容。</w:t>
      </w:r>
      <w:bookmarkEnd w:id="80"/>
      <w:r>
        <w:rPr>
          <w:rFonts w:hint="eastAsia" w:ascii="宋体" w:hAnsi="宋体" w:cs="宋体"/>
          <w:b/>
          <w:kern w:val="0"/>
          <w:szCs w:val="21"/>
          <w:lang w:val="zh-CN"/>
        </w:rPr>
        <w:t>）</w:t>
      </w:r>
    </w:p>
    <w:p w14:paraId="4E85775D">
      <w:pPr>
        <w:spacing w:line="360" w:lineRule="auto"/>
        <w:ind w:left="420" w:firstLine="630" w:firstLineChars="300"/>
        <w:rPr>
          <w:rFonts w:ascii="宋体" w:hAnsi="宋体" w:cs="宋体"/>
          <w:b/>
          <w:bCs/>
          <w:kern w:val="0"/>
          <w:szCs w:val="21"/>
          <w:lang w:val="zh-CN"/>
        </w:rPr>
      </w:pPr>
      <w:r>
        <w:rPr>
          <w:rFonts w:hint="eastAsia" w:ascii="宋体" w:hAnsi="宋体" w:cs="宋体"/>
          <w:szCs w:val="21"/>
        </w:rPr>
        <w:t>2、</w:t>
      </w:r>
      <w:bookmarkStart w:id="81" w:name="_Hlk101133173"/>
      <w:r>
        <w:rPr>
          <w:rFonts w:hint="eastAsia" w:ascii="宋体" w:hAnsi="宋体" w:cs="宋体"/>
          <w:szCs w:val="21"/>
        </w:rPr>
        <w:t>中小企业合同金额达到%，小微企业合同金额达到%</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要求以联合体形式参加的项目或采购包，投标人按招标文件中规定的联合协议中中小企业、小微企业合同金额应当达到的比例要求填写。</w:t>
      </w:r>
      <w:r>
        <w:rPr>
          <w:rFonts w:hint="eastAsia" w:ascii="宋体" w:hAnsi="宋体" w:cs="宋体"/>
          <w:b/>
          <w:bCs/>
          <w:kern w:val="0"/>
          <w:szCs w:val="21"/>
          <w:lang w:val="zh-CN"/>
        </w:rPr>
        <w:t>）</w:t>
      </w:r>
      <w:bookmarkEnd w:id="81"/>
    </w:p>
    <w:p w14:paraId="7AA24485">
      <w:pPr>
        <w:snapToGrid w:val="0"/>
        <w:spacing w:line="360" w:lineRule="auto"/>
        <w:ind w:hanging="210"/>
        <w:rPr>
          <w:rFonts w:ascii="宋体" w:hAnsi="宋体" w:cs="宋体"/>
          <w:kern w:val="0"/>
          <w:szCs w:val="21"/>
          <w:lang w:val="zh-CN"/>
        </w:rPr>
      </w:pPr>
      <w:r>
        <w:rPr>
          <w:rFonts w:hint="eastAsia" w:ascii="宋体" w:hAnsi="宋体" w:cs="宋体"/>
          <w:kern w:val="0"/>
          <w:szCs w:val="21"/>
          <w:lang w:val="zh-CN"/>
        </w:rPr>
        <w:t>五、如果中标，</w:t>
      </w:r>
      <w:r>
        <w:rPr>
          <w:rFonts w:hint="eastAsia" w:ascii="宋体" w:hAnsi="宋体" w:cs="宋体"/>
          <w:szCs w:val="21"/>
        </w:rPr>
        <w:t>联合体各成员方共同与采购人签订合同，并就采购合同约定的事项对采购人承担连带责任。</w:t>
      </w:r>
    </w:p>
    <w:p w14:paraId="35F9828E">
      <w:pPr>
        <w:snapToGrid w:val="0"/>
        <w:spacing w:line="360" w:lineRule="auto"/>
        <w:ind w:hanging="210"/>
        <w:rPr>
          <w:rFonts w:ascii="宋体" w:hAnsi="宋体" w:cs="宋体"/>
          <w:kern w:val="0"/>
          <w:szCs w:val="21"/>
          <w:lang w:val="zh-CN"/>
        </w:rPr>
      </w:pPr>
      <w:r>
        <w:rPr>
          <w:rFonts w:hint="eastAsia" w:ascii="宋体" w:hAnsi="宋体" w:cs="宋体"/>
          <w:kern w:val="0"/>
          <w:szCs w:val="21"/>
          <w:lang w:val="zh-CN"/>
        </w:rPr>
        <w:t>六、有关本次联合投标的其他事宜：</w:t>
      </w:r>
    </w:p>
    <w:p w14:paraId="745B0F26">
      <w:pPr>
        <w:snapToGrid w:val="0"/>
        <w:spacing w:line="360" w:lineRule="auto"/>
        <w:ind w:hanging="210"/>
        <w:rPr>
          <w:rFonts w:ascii="宋体" w:hAnsi="宋体" w:cs="宋体"/>
          <w:kern w:val="0"/>
          <w:szCs w:val="21"/>
          <w:lang w:val="zh-CN"/>
        </w:rPr>
      </w:pPr>
      <w:r>
        <w:rPr>
          <w:rFonts w:hint="eastAsia" w:ascii="宋体" w:hAnsi="宋体" w:cs="宋体"/>
          <w:kern w:val="0"/>
          <w:szCs w:val="21"/>
          <w:lang w:val="zh-CN"/>
        </w:rPr>
        <w:t>1、联合体各方不再单独参加或者与其他投标人另外组成联合体参加同一合同项下的政府采购活动。</w:t>
      </w:r>
    </w:p>
    <w:p w14:paraId="040F6369">
      <w:pPr>
        <w:snapToGrid w:val="0"/>
        <w:spacing w:line="360" w:lineRule="auto"/>
        <w:ind w:hanging="210"/>
        <w:rPr>
          <w:rFonts w:ascii="宋体" w:hAnsi="宋体" w:cs="宋体"/>
          <w:kern w:val="0"/>
          <w:szCs w:val="21"/>
          <w:lang w:val="zh-CN"/>
        </w:rPr>
      </w:pPr>
      <w:r>
        <w:rPr>
          <w:rFonts w:hint="eastAsia" w:ascii="宋体" w:hAnsi="宋体" w:cs="宋体"/>
          <w:kern w:val="0"/>
          <w:szCs w:val="21"/>
          <w:lang w:val="zh-CN"/>
        </w:rPr>
        <w:t>2、联合体中有同类资质的各方按照联合体分工承担相同工作的，按照资质等级较低的投标人确定资质等级。</w:t>
      </w:r>
    </w:p>
    <w:p w14:paraId="1A962CC0">
      <w:pPr>
        <w:snapToGrid w:val="0"/>
        <w:spacing w:line="360" w:lineRule="auto"/>
        <w:ind w:hanging="210"/>
        <w:rPr>
          <w:rFonts w:ascii="仿宋_GB2312" w:hAnsi="宋体" w:eastAsia="仿宋_GB2312" w:cs="宋体"/>
          <w:kern w:val="0"/>
          <w:sz w:val="24"/>
          <w:lang w:val="zh-CN"/>
        </w:rPr>
      </w:pPr>
      <w:r>
        <w:rPr>
          <w:rFonts w:hint="eastAsia" w:ascii="宋体" w:hAnsi="宋体" w:cs="宋体"/>
          <w:kern w:val="0"/>
          <w:szCs w:val="21"/>
          <w:lang w:val="zh-CN"/>
        </w:rPr>
        <w:t>3、本协议提交采购人、采购代理机构后，联合体各方不得以任何形式对上述内容进行修改或撤销。</w:t>
      </w:r>
    </w:p>
    <w:p w14:paraId="30482CEB">
      <w:pPr>
        <w:snapToGrid w:val="0"/>
        <w:spacing w:line="360" w:lineRule="auto"/>
        <w:rPr>
          <w:rFonts w:ascii="宋体" w:hAnsi="宋体" w:cs="宋体"/>
          <w:kern w:val="0"/>
          <w:szCs w:val="21"/>
          <w:lang w:val="zh-CN"/>
        </w:rPr>
      </w:pPr>
      <w:r>
        <w:rPr>
          <w:rFonts w:hint="eastAsia" w:ascii="宋体" w:hAnsi="宋体" w:cs="宋体"/>
          <w:kern w:val="0"/>
          <w:szCs w:val="21"/>
          <w:lang w:val="zh-CN"/>
        </w:rPr>
        <w:t>联合体成员名称(签章)：</w:t>
      </w:r>
    </w:p>
    <w:p w14:paraId="4A10E871">
      <w:pPr>
        <w:snapToGrid w:val="0"/>
        <w:spacing w:line="360" w:lineRule="auto"/>
        <w:rPr>
          <w:rFonts w:ascii="宋体" w:hAnsi="宋体" w:cs="宋体"/>
          <w:kern w:val="0"/>
          <w:szCs w:val="21"/>
          <w:lang w:val="zh-CN"/>
        </w:rPr>
      </w:pPr>
    </w:p>
    <w:p w14:paraId="7AC68857">
      <w:pPr>
        <w:snapToGrid w:val="0"/>
        <w:spacing w:line="360" w:lineRule="auto"/>
        <w:rPr>
          <w:rFonts w:ascii="宋体" w:hAnsi="宋体" w:cs="宋体"/>
          <w:kern w:val="0"/>
          <w:szCs w:val="21"/>
          <w:lang w:val="zh-CN"/>
        </w:rPr>
      </w:pPr>
      <w:r>
        <w:rPr>
          <w:rFonts w:hint="eastAsia" w:ascii="宋体" w:hAnsi="宋体" w:cs="宋体"/>
          <w:kern w:val="0"/>
          <w:szCs w:val="21"/>
          <w:lang w:val="zh-CN"/>
        </w:rPr>
        <w:t>联合体成员名称(签章)：</w:t>
      </w:r>
    </w:p>
    <w:p w14:paraId="68CC0979">
      <w:pPr>
        <w:snapToGrid w:val="0"/>
        <w:spacing w:line="360" w:lineRule="auto"/>
        <w:ind w:right="960"/>
        <w:rPr>
          <w:rFonts w:ascii="宋体" w:hAnsi="宋体" w:cs="宋体"/>
          <w:kern w:val="0"/>
          <w:szCs w:val="21"/>
          <w:lang w:val="zh-CN"/>
        </w:rPr>
      </w:pPr>
    </w:p>
    <w:p w14:paraId="0197273E">
      <w:pPr>
        <w:snapToGrid w:val="0"/>
        <w:spacing w:line="360" w:lineRule="auto"/>
        <w:ind w:right="960"/>
        <w:rPr>
          <w:rFonts w:ascii="宋体" w:hAnsi="宋体" w:cs="宋体"/>
          <w:kern w:val="0"/>
          <w:szCs w:val="21"/>
          <w:lang w:val="zh-CN"/>
        </w:rPr>
      </w:pPr>
      <w:r>
        <w:rPr>
          <w:rFonts w:hint="eastAsia" w:ascii="宋体" w:hAnsi="宋体" w:cs="宋体"/>
          <w:kern w:val="0"/>
          <w:szCs w:val="21"/>
          <w:lang w:val="zh-CN"/>
        </w:rPr>
        <w:t>……</w:t>
      </w:r>
    </w:p>
    <w:p w14:paraId="1AF744F0">
      <w:pPr>
        <w:snapToGrid w:val="0"/>
        <w:spacing w:line="360" w:lineRule="auto"/>
        <w:rPr>
          <w:rFonts w:ascii="宋体" w:hAnsi="宋体" w:cs="宋体"/>
          <w:kern w:val="0"/>
          <w:szCs w:val="21"/>
          <w:lang w:val="zh-CN"/>
        </w:rPr>
      </w:pPr>
    </w:p>
    <w:p w14:paraId="025A7502">
      <w:pPr>
        <w:snapToGrid w:val="0"/>
        <w:spacing w:line="360" w:lineRule="auto"/>
        <w:rPr>
          <w:rFonts w:ascii="宋体" w:hAnsi="宋体" w:cs="宋体"/>
          <w:kern w:val="0"/>
          <w:szCs w:val="21"/>
          <w:lang w:val="zh-CN"/>
        </w:rPr>
      </w:pPr>
      <w:r>
        <w:rPr>
          <w:rFonts w:hint="eastAsia" w:ascii="宋体" w:hAnsi="宋体" w:cs="宋体"/>
          <w:kern w:val="0"/>
          <w:szCs w:val="21"/>
          <w:lang w:val="zh-CN"/>
        </w:rPr>
        <w:t>日期：  年  月   日</w:t>
      </w:r>
    </w:p>
    <w:p w14:paraId="6894C8F1">
      <w:pPr>
        <w:snapToGrid w:val="0"/>
        <w:spacing w:line="360" w:lineRule="auto"/>
        <w:ind w:left="661" w:hanging="241"/>
        <w:outlineLvl w:val="1"/>
        <w:rPr>
          <w:rFonts w:ascii="黑体" w:hAnsi="黑体" w:eastAsia="黑体" w:cs="黑体"/>
          <w:b/>
          <w:sz w:val="24"/>
        </w:rPr>
      </w:pPr>
      <w:r>
        <w:rPr>
          <w:rFonts w:hint="eastAsia" w:ascii="黑体" w:hAnsi="黑体" w:eastAsia="黑体" w:cs="黑体"/>
          <w:b/>
          <w:sz w:val="24"/>
        </w:rPr>
        <w:t>4.</w:t>
      </w:r>
      <w:r>
        <w:rPr>
          <w:rFonts w:hint="eastAsia" w:ascii="黑体" w:hAnsi="黑体" w:eastAsia="黑体" w:cs="黑体"/>
          <w:b/>
          <w:bCs/>
          <w:sz w:val="24"/>
        </w:rPr>
        <w:t xml:space="preserve"> 商务技术文件目录</w:t>
      </w:r>
    </w:p>
    <w:p w14:paraId="2157ED0C">
      <w:pPr>
        <w:snapToGrid w:val="0"/>
        <w:spacing w:line="360" w:lineRule="auto"/>
        <w:ind w:left="701" w:hanging="281"/>
        <w:jc w:val="center"/>
        <w:rPr>
          <w:rFonts w:ascii="宋体" w:hAnsi="宋体" w:cs="宋体"/>
          <w:b/>
          <w:sz w:val="28"/>
          <w:szCs w:val="28"/>
        </w:rPr>
      </w:pPr>
      <w:r>
        <w:rPr>
          <w:rFonts w:hint="eastAsia" w:ascii="宋体" w:hAnsi="宋体"/>
          <w:b/>
          <w:sz w:val="28"/>
          <w:szCs w:val="28"/>
        </w:rPr>
        <w:t>目  录</w:t>
      </w:r>
    </w:p>
    <w:p w14:paraId="3F09F3B2">
      <w:pPr>
        <w:pStyle w:val="23"/>
        <w:ind w:left="420" w:firstLine="525" w:firstLineChars="250"/>
        <w:rPr>
          <w:rFonts w:ascii="宋体" w:hAnsi="宋体" w:cs="宋体"/>
          <w:bCs/>
          <w:color w:val="000000"/>
          <w:sz w:val="21"/>
          <w:szCs w:val="21"/>
          <w:lang w:bidi="ar"/>
        </w:rPr>
      </w:pPr>
    </w:p>
    <w:p w14:paraId="0695A330">
      <w:pPr>
        <w:tabs>
          <w:tab w:val="left" w:pos="720"/>
          <w:tab w:val="left" w:pos="5355"/>
        </w:tabs>
        <w:spacing w:line="360" w:lineRule="auto"/>
        <w:ind w:left="420" w:firstLine="420" w:firstLineChars="200"/>
        <w:rPr>
          <w:rFonts w:ascii="宋体" w:hAnsi="宋体" w:cs="宋体"/>
          <w:szCs w:val="21"/>
        </w:rPr>
      </w:pPr>
      <w:r>
        <w:rPr>
          <w:rFonts w:hint="eastAsia" w:ascii="宋体" w:hAnsi="宋体" w:cs="宋体"/>
          <w:szCs w:val="21"/>
        </w:rPr>
        <w:t>1、评分对应表；（格式详见附件4）</w:t>
      </w:r>
    </w:p>
    <w:p w14:paraId="3D5EC692">
      <w:pPr>
        <w:tabs>
          <w:tab w:val="left" w:pos="720"/>
          <w:tab w:val="left" w:pos="5355"/>
        </w:tabs>
        <w:spacing w:line="360" w:lineRule="auto"/>
        <w:ind w:left="420" w:firstLine="420" w:firstLineChars="200"/>
        <w:rPr>
          <w:rFonts w:ascii="宋体" w:hAnsi="宋体" w:cs="宋体"/>
          <w:szCs w:val="21"/>
        </w:rPr>
      </w:pPr>
      <w:r>
        <w:rPr>
          <w:rFonts w:hint="eastAsia" w:ascii="宋体" w:hAnsi="宋体" w:cs="宋体"/>
          <w:szCs w:val="21"/>
        </w:rPr>
        <w:t>2、投标声明函；（格式详见附件5）</w:t>
      </w:r>
    </w:p>
    <w:p w14:paraId="3BFAEE01">
      <w:pPr>
        <w:tabs>
          <w:tab w:val="left" w:pos="720"/>
          <w:tab w:val="left" w:pos="5355"/>
        </w:tabs>
        <w:spacing w:line="360" w:lineRule="auto"/>
        <w:ind w:left="420" w:firstLine="420" w:firstLineChars="200"/>
        <w:rPr>
          <w:rFonts w:ascii="宋体" w:hAnsi="宋体" w:cs="宋体"/>
          <w:szCs w:val="21"/>
        </w:rPr>
      </w:pPr>
      <w:r>
        <w:rPr>
          <w:rFonts w:hint="eastAsia" w:ascii="宋体" w:hAnsi="宋体" w:cs="宋体"/>
          <w:szCs w:val="21"/>
        </w:rPr>
        <w:t>3、授权委托书或法定代表人（单位负责人、自然人本人）身份证明；（格式详见附件6）</w:t>
      </w:r>
    </w:p>
    <w:p w14:paraId="0664F775">
      <w:pPr>
        <w:tabs>
          <w:tab w:val="left" w:pos="720"/>
          <w:tab w:val="left" w:pos="5355"/>
        </w:tabs>
        <w:spacing w:line="360" w:lineRule="auto"/>
        <w:ind w:left="420" w:firstLine="420" w:firstLineChars="200"/>
        <w:rPr>
          <w:rFonts w:ascii="宋体" w:hAnsi="宋体" w:cs="宋体"/>
          <w:color w:val="000000"/>
          <w:szCs w:val="21"/>
        </w:rPr>
      </w:pPr>
      <w:r>
        <w:rPr>
          <w:rFonts w:hint="eastAsia" w:ascii="宋体" w:hAnsi="宋体" w:cs="宋体"/>
          <w:szCs w:val="21"/>
        </w:rPr>
        <w:t>4、</w:t>
      </w:r>
      <w:r>
        <w:rPr>
          <w:rFonts w:hint="eastAsia" w:ascii="宋体" w:hAnsi="宋体" w:cs="宋体"/>
          <w:kern w:val="0"/>
        </w:rPr>
        <w:t>分包意向协议；</w:t>
      </w:r>
      <w:r>
        <w:rPr>
          <w:rFonts w:hint="eastAsia" w:ascii="宋体" w:hAnsi="宋体" w:cs="宋体"/>
          <w:szCs w:val="21"/>
        </w:rPr>
        <w:t>（如有）（格式详见7）</w:t>
      </w:r>
    </w:p>
    <w:p w14:paraId="00BECCEA">
      <w:pPr>
        <w:tabs>
          <w:tab w:val="left" w:pos="720"/>
          <w:tab w:val="left" w:pos="5355"/>
        </w:tabs>
        <w:spacing w:line="360" w:lineRule="auto"/>
        <w:ind w:left="420" w:firstLine="420" w:firstLineChars="200"/>
        <w:rPr>
          <w:rFonts w:ascii="宋体" w:hAnsi="宋体" w:cs="宋体"/>
          <w:szCs w:val="21"/>
        </w:rPr>
      </w:pPr>
      <w:r>
        <w:rPr>
          <w:rFonts w:hint="eastAsia" w:ascii="宋体" w:hAnsi="宋体" w:cs="宋体"/>
          <w:szCs w:val="21"/>
        </w:rPr>
        <w:t>5、</w:t>
      </w:r>
      <w:r>
        <w:rPr>
          <w:rFonts w:hint="eastAsia" w:ascii="宋体" w:hAnsi="宋体" w:cs="宋体"/>
          <w:bCs/>
          <w:szCs w:val="21"/>
        </w:rPr>
        <w:t>拟投入的项目班子</w:t>
      </w:r>
      <w:r>
        <w:rPr>
          <w:rFonts w:hint="eastAsia" w:ascii="宋体" w:hAnsi="宋体" w:cs="宋体"/>
          <w:szCs w:val="21"/>
        </w:rPr>
        <w:t>一览表；</w:t>
      </w:r>
      <w:r>
        <w:rPr>
          <w:rFonts w:ascii="宋体" w:hAnsi="宋体"/>
          <w:szCs w:val="21"/>
        </w:rPr>
        <w:t>（</w:t>
      </w:r>
      <w:r>
        <w:rPr>
          <w:rFonts w:hint="eastAsia" w:ascii="宋体" w:hAnsi="宋体"/>
          <w:szCs w:val="21"/>
        </w:rPr>
        <w:t>格式详见附件8</w:t>
      </w:r>
      <w:r>
        <w:rPr>
          <w:rFonts w:ascii="宋体" w:hAnsi="宋体"/>
          <w:szCs w:val="21"/>
        </w:rPr>
        <w:t>）</w:t>
      </w:r>
    </w:p>
    <w:p w14:paraId="4C149DB1">
      <w:pPr>
        <w:tabs>
          <w:tab w:val="left" w:pos="3870"/>
          <w:tab w:val="left" w:pos="4085"/>
        </w:tabs>
        <w:snapToGrid w:val="0"/>
        <w:spacing w:line="360" w:lineRule="auto"/>
        <w:ind w:left="420" w:firstLine="420" w:firstLineChars="200"/>
        <w:jc w:val="left"/>
        <w:rPr>
          <w:rFonts w:ascii="宋体" w:hAnsi="宋体" w:cs="宋体"/>
          <w:szCs w:val="21"/>
        </w:rPr>
      </w:pPr>
      <w:r>
        <w:rPr>
          <w:rFonts w:hint="eastAsia" w:ascii="宋体" w:hAnsi="宋体" w:cs="宋体"/>
          <w:szCs w:val="21"/>
        </w:rPr>
        <w:t>6、业绩一览表；（如有）</w:t>
      </w:r>
      <w:r>
        <w:rPr>
          <w:rFonts w:ascii="宋体" w:hAnsi="宋体"/>
          <w:szCs w:val="21"/>
        </w:rPr>
        <w:t>（</w:t>
      </w:r>
      <w:r>
        <w:rPr>
          <w:rFonts w:hint="eastAsia" w:ascii="宋体" w:hAnsi="宋体"/>
          <w:szCs w:val="21"/>
        </w:rPr>
        <w:t>格式详见附件9</w:t>
      </w:r>
      <w:r>
        <w:rPr>
          <w:rFonts w:ascii="宋体" w:hAnsi="宋体"/>
          <w:szCs w:val="21"/>
        </w:rPr>
        <w:t>）</w:t>
      </w:r>
    </w:p>
    <w:p w14:paraId="1A746EE6">
      <w:pPr>
        <w:spacing w:line="360" w:lineRule="auto"/>
        <w:ind w:left="420" w:firstLine="420" w:firstLineChars="200"/>
        <w:contextualSpacing/>
        <w:rPr>
          <w:rFonts w:ascii="宋体" w:hAnsi="宋体" w:cs="宋体"/>
          <w:szCs w:val="21"/>
        </w:rPr>
      </w:pPr>
      <w:r>
        <w:rPr>
          <w:rFonts w:hint="eastAsia" w:ascii="宋体" w:hAnsi="宋体" w:cs="宋体"/>
          <w:szCs w:val="21"/>
          <w:lang w:bidi="ar"/>
        </w:rPr>
        <w:t>7、投标项目明细清单（含货物、服务等）；</w:t>
      </w:r>
      <w:r>
        <w:rPr>
          <w:rFonts w:ascii="宋体" w:hAnsi="宋体"/>
          <w:szCs w:val="21"/>
        </w:rPr>
        <w:t>（</w:t>
      </w:r>
      <w:r>
        <w:rPr>
          <w:rFonts w:hint="eastAsia" w:ascii="宋体" w:hAnsi="宋体"/>
          <w:szCs w:val="21"/>
        </w:rPr>
        <w:t>格式详见附件10</w:t>
      </w:r>
      <w:r>
        <w:rPr>
          <w:rFonts w:ascii="宋体" w:hAnsi="宋体"/>
          <w:szCs w:val="21"/>
        </w:rPr>
        <w:t>）</w:t>
      </w:r>
    </w:p>
    <w:p w14:paraId="3C5538BD">
      <w:pPr>
        <w:tabs>
          <w:tab w:val="left" w:pos="720"/>
          <w:tab w:val="left" w:pos="5355"/>
        </w:tabs>
        <w:spacing w:line="360" w:lineRule="auto"/>
        <w:ind w:left="420" w:firstLine="420" w:firstLineChars="200"/>
        <w:rPr>
          <w:rFonts w:ascii="宋体" w:hAnsi="宋体" w:cs="宋体"/>
          <w:szCs w:val="21"/>
        </w:rPr>
      </w:pPr>
      <w:r>
        <w:rPr>
          <w:rFonts w:hint="eastAsia" w:ascii="宋体" w:hAnsi="宋体" w:cs="宋体"/>
          <w:szCs w:val="21"/>
        </w:rPr>
        <w:t>8、</w:t>
      </w:r>
      <w:r>
        <w:rPr>
          <w:rFonts w:hint="eastAsia"/>
          <w:kern w:val="0"/>
          <w:szCs w:val="21"/>
        </w:rPr>
        <w:t>商务技术</w:t>
      </w:r>
      <w:r>
        <w:rPr>
          <w:kern w:val="0"/>
          <w:szCs w:val="21"/>
        </w:rPr>
        <w:t>响应表</w:t>
      </w:r>
      <w:r>
        <w:rPr>
          <w:rFonts w:hint="eastAsia" w:ascii="宋体" w:hAnsi="宋体" w:cs="宋体"/>
          <w:szCs w:val="21"/>
        </w:rPr>
        <w:t>；</w:t>
      </w:r>
      <w:r>
        <w:rPr>
          <w:rFonts w:ascii="宋体" w:hAnsi="宋体"/>
          <w:szCs w:val="21"/>
        </w:rPr>
        <w:t>（</w:t>
      </w:r>
      <w:r>
        <w:rPr>
          <w:rFonts w:hint="eastAsia" w:ascii="宋体" w:hAnsi="宋体"/>
          <w:szCs w:val="21"/>
        </w:rPr>
        <w:t>格式详见附件11</w:t>
      </w:r>
      <w:r>
        <w:rPr>
          <w:rFonts w:ascii="宋体" w:hAnsi="宋体"/>
          <w:szCs w:val="21"/>
        </w:rPr>
        <w:t>）</w:t>
      </w:r>
    </w:p>
    <w:p w14:paraId="2D3CB0A4">
      <w:pPr>
        <w:spacing w:line="360" w:lineRule="auto"/>
        <w:ind w:left="420" w:firstLine="420" w:firstLineChars="200"/>
        <w:contextualSpacing/>
        <w:rPr>
          <w:rFonts w:ascii="宋体" w:hAnsi="宋体" w:cs="宋体"/>
          <w:szCs w:val="21"/>
        </w:rPr>
      </w:pPr>
      <w:r>
        <w:rPr>
          <w:rFonts w:hint="eastAsia" w:ascii="宋体" w:hAnsi="宋体" w:cs="宋体"/>
          <w:szCs w:val="21"/>
        </w:rPr>
        <w:t>9、评标标准相应的商务技术资料；</w:t>
      </w:r>
      <w:r>
        <w:rPr>
          <w:rFonts w:hint="eastAsia" w:ascii="宋体" w:hAnsi="宋体" w:cs="宋体"/>
          <w:bCs/>
          <w:szCs w:val="21"/>
        </w:rPr>
        <w:t>（按第四章评标办法中商务技术评审要求提供资料）</w:t>
      </w:r>
    </w:p>
    <w:p w14:paraId="0DE4E6AC">
      <w:pPr>
        <w:tabs>
          <w:tab w:val="left" w:pos="3870"/>
          <w:tab w:val="left" w:pos="4085"/>
        </w:tabs>
        <w:snapToGrid w:val="0"/>
        <w:spacing w:line="360" w:lineRule="auto"/>
        <w:ind w:left="420" w:firstLine="420" w:firstLineChars="200"/>
        <w:jc w:val="left"/>
        <w:rPr>
          <w:rFonts w:ascii="宋体" w:hAnsi="宋体" w:cs="宋体"/>
          <w:szCs w:val="21"/>
        </w:rPr>
      </w:pPr>
      <w:r>
        <w:rPr>
          <w:rFonts w:hint="eastAsia" w:ascii="宋体" w:hAnsi="宋体" w:cs="宋体"/>
          <w:szCs w:val="21"/>
        </w:rPr>
        <w:t>10、政府采购投标人廉洁自律承诺书。</w:t>
      </w:r>
      <w:r>
        <w:rPr>
          <w:rFonts w:ascii="宋体" w:hAnsi="宋体"/>
          <w:szCs w:val="21"/>
        </w:rPr>
        <w:t>（</w:t>
      </w:r>
      <w:r>
        <w:rPr>
          <w:rFonts w:hint="eastAsia" w:ascii="宋体" w:hAnsi="宋体"/>
          <w:szCs w:val="21"/>
        </w:rPr>
        <w:t>格式详见附件12</w:t>
      </w:r>
      <w:r>
        <w:rPr>
          <w:rFonts w:ascii="宋体" w:hAnsi="宋体"/>
          <w:szCs w:val="21"/>
        </w:rPr>
        <w:t>）</w:t>
      </w:r>
    </w:p>
    <w:p w14:paraId="5E745668">
      <w:pPr>
        <w:tabs>
          <w:tab w:val="left" w:pos="3870"/>
          <w:tab w:val="left" w:pos="4085"/>
        </w:tabs>
        <w:snapToGrid w:val="0"/>
        <w:spacing w:line="360" w:lineRule="auto"/>
        <w:ind w:left="420" w:firstLine="420" w:firstLineChars="200"/>
        <w:jc w:val="left"/>
        <w:rPr>
          <w:rFonts w:ascii="宋体" w:hAnsi="宋体" w:cs="宋体"/>
          <w:szCs w:val="21"/>
        </w:rPr>
      </w:pPr>
      <w:r>
        <w:rPr>
          <w:rFonts w:hint="eastAsia" w:ascii="宋体" w:hAnsi="宋体" w:cs="宋体"/>
          <w:szCs w:val="21"/>
        </w:rPr>
        <w:t>11、与评审、评分有关的其他商务技术资料；</w:t>
      </w:r>
    </w:p>
    <w:p w14:paraId="68889BCA">
      <w:pPr>
        <w:snapToGrid w:val="0"/>
        <w:spacing w:line="360" w:lineRule="auto"/>
        <w:jc w:val="left"/>
        <w:rPr>
          <w:rFonts w:ascii="宋体" w:hAnsi="宋体"/>
          <w:szCs w:val="21"/>
        </w:rPr>
      </w:pPr>
    </w:p>
    <w:p w14:paraId="5C8F2BA1">
      <w:pPr>
        <w:snapToGrid w:val="0"/>
        <w:spacing w:line="360" w:lineRule="auto"/>
        <w:jc w:val="left"/>
        <w:rPr>
          <w:rFonts w:ascii="宋体" w:hAnsi="宋体"/>
          <w:szCs w:val="21"/>
        </w:rPr>
      </w:pPr>
    </w:p>
    <w:p w14:paraId="4C2CA5F5">
      <w:pPr>
        <w:snapToGrid w:val="0"/>
        <w:spacing w:line="360" w:lineRule="auto"/>
        <w:jc w:val="left"/>
        <w:rPr>
          <w:rFonts w:ascii="宋体" w:hAnsi="宋体"/>
          <w:szCs w:val="21"/>
        </w:rPr>
      </w:pPr>
    </w:p>
    <w:p w14:paraId="3C32D69D">
      <w:pPr>
        <w:snapToGrid w:val="0"/>
        <w:spacing w:line="360" w:lineRule="auto"/>
        <w:jc w:val="left"/>
        <w:rPr>
          <w:rFonts w:ascii="宋体" w:hAnsi="宋体"/>
          <w:szCs w:val="21"/>
        </w:rPr>
      </w:pPr>
    </w:p>
    <w:p w14:paraId="470B35D6">
      <w:pPr>
        <w:snapToGrid w:val="0"/>
        <w:spacing w:line="360" w:lineRule="auto"/>
        <w:jc w:val="left"/>
        <w:rPr>
          <w:rFonts w:ascii="宋体" w:hAnsi="宋体"/>
          <w:szCs w:val="21"/>
        </w:rPr>
      </w:pPr>
    </w:p>
    <w:p w14:paraId="46F2053C">
      <w:pPr>
        <w:snapToGrid w:val="0"/>
        <w:spacing w:line="360" w:lineRule="auto"/>
        <w:jc w:val="left"/>
        <w:rPr>
          <w:rFonts w:ascii="宋体" w:hAnsi="宋体"/>
          <w:szCs w:val="21"/>
        </w:rPr>
      </w:pPr>
    </w:p>
    <w:p w14:paraId="12CCE333">
      <w:pPr>
        <w:pStyle w:val="23"/>
        <w:ind w:left="700" w:hanging="280"/>
      </w:pPr>
    </w:p>
    <w:p w14:paraId="3748BC1F">
      <w:pPr>
        <w:pStyle w:val="59"/>
        <w:ind w:left="420" w:firstLine="210"/>
      </w:pPr>
    </w:p>
    <w:p w14:paraId="239A8810">
      <w:pPr>
        <w:pStyle w:val="46"/>
      </w:pPr>
    </w:p>
    <w:p w14:paraId="6BFD79F6"/>
    <w:p w14:paraId="6E33ED9F">
      <w:pPr>
        <w:pStyle w:val="28"/>
        <w:ind w:left="660" w:hanging="240"/>
      </w:pPr>
    </w:p>
    <w:p w14:paraId="7D9FB6DE">
      <w:pPr>
        <w:pStyle w:val="28"/>
        <w:ind w:left="660" w:hanging="240"/>
      </w:pPr>
    </w:p>
    <w:p w14:paraId="5089A0B1">
      <w:pPr>
        <w:pStyle w:val="28"/>
        <w:ind w:left="660" w:hanging="240"/>
      </w:pPr>
    </w:p>
    <w:p w14:paraId="78EDF20D">
      <w:pPr>
        <w:pStyle w:val="28"/>
        <w:ind w:left="660" w:hanging="240"/>
      </w:pPr>
    </w:p>
    <w:p w14:paraId="2998F3A1">
      <w:pPr>
        <w:pStyle w:val="28"/>
        <w:ind w:left="660" w:hanging="240"/>
      </w:pPr>
    </w:p>
    <w:p w14:paraId="18D8EE2A">
      <w:pPr>
        <w:pStyle w:val="28"/>
        <w:ind w:left="660" w:hanging="240"/>
      </w:pPr>
    </w:p>
    <w:p w14:paraId="716A8008">
      <w:pPr>
        <w:pStyle w:val="28"/>
        <w:ind w:left="660" w:hanging="240"/>
      </w:pPr>
    </w:p>
    <w:p w14:paraId="3F65739A">
      <w:pPr>
        <w:pStyle w:val="59"/>
        <w:ind w:left="420" w:firstLine="0" w:firstLineChars="0"/>
      </w:pPr>
    </w:p>
    <w:p w14:paraId="4FD72295">
      <w:pPr>
        <w:snapToGrid w:val="0"/>
        <w:spacing w:line="360" w:lineRule="auto"/>
        <w:jc w:val="left"/>
        <w:rPr>
          <w:rFonts w:ascii="宋体" w:hAnsi="宋体"/>
          <w:szCs w:val="21"/>
        </w:rPr>
      </w:pPr>
    </w:p>
    <w:p w14:paraId="38E9AC37">
      <w:pPr>
        <w:snapToGrid w:val="0"/>
        <w:spacing w:line="360" w:lineRule="auto"/>
        <w:jc w:val="left"/>
        <w:rPr>
          <w:rFonts w:ascii="宋体" w:hAnsi="宋体"/>
          <w:szCs w:val="21"/>
        </w:rPr>
      </w:pPr>
    </w:p>
    <w:p w14:paraId="1992D321">
      <w:pPr>
        <w:pStyle w:val="59"/>
        <w:rPr>
          <w:rFonts w:ascii="宋体" w:hAnsi="宋体"/>
          <w:szCs w:val="21"/>
        </w:rPr>
      </w:pPr>
    </w:p>
    <w:p w14:paraId="2C4B6FA5"/>
    <w:p w14:paraId="04DAB12E">
      <w:pPr>
        <w:snapToGrid w:val="0"/>
        <w:spacing w:line="360" w:lineRule="auto"/>
        <w:jc w:val="left"/>
        <w:rPr>
          <w:rFonts w:ascii="宋体" w:hAnsi="宋体"/>
          <w:szCs w:val="21"/>
        </w:rPr>
      </w:pPr>
    </w:p>
    <w:p w14:paraId="405F5314">
      <w:pPr>
        <w:snapToGrid w:val="0"/>
        <w:spacing w:line="360" w:lineRule="auto"/>
        <w:jc w:val="left"/>
        <w:rPr>
          <w:rFonts w:ascii="宋体" w:hAnsi="宋体"/>
          <w:szCs w:val="21"/>
        </w:rPr>
      </w:pPr>
    </w:p>
    <w:p w14:paraId="2392E1FB">
      <w:pPr>
        <w:snapToGrid w:val="0"/>
        <w:spacing w:line="360" w:lineRule="auto"/>
        <w:jc w:val="left"/>
        <w:outlineLvl w:val="2"/>
        <w:rPr>
          <w:rFonts w:ascii="黑体" w:hAnsi="黑体" w:eastAsia="黑体" w:cs="黑体"/>
          <w:b/>
          <w:sz w:val="24"/>
          <w:szCs w:val="20"/>
        </w:rPr>
      </w:pPr>
      <w:r>
        <w:rPr>
          <w:rFonts w:hint="eastAsia" w:ascii="黑体" w:hAnsi="黑体" w:eastAsia="黑体" w:cs="黑体"/>
          <w:szCs w:val="21"/>
        </w:rPr>
        <w:t>附件4</w:t>
      </w:r>
    </w:p>
    <w:p w14:paraId="62C9DBA1">
      <w:pPr>
        <w:pStyle w:val="23"/>
        <w:ind w:left="701" w:hanging="281"/>
        <w:jc w:val="center"/>
        <w:rPr>
          <w:rFonts w:ascii="黑体" w:hAnsi="黑体" w:eastAsia="黑体" w:cs="黑体"/>
          <w:szCs w:val="28"/>
          <w:lang w:val="zh-CN"/>
        </w:rPr>
      </w:pPr>
      <w:r>
        <w:rPr>
          <w:rFonts w:hint="eastAsia" w:ascii="黑体" w:hAnsi="黑体" w:eastAsia="黑体" w:cs="黑体"/>
          <w:b/>
          <w:bCs/>
          <w:color w:val="000000"/>
          <w:szCs w:val="28"/>
          <w:lang w:bidi="ar"/>
        </w:rPr>
        <w:t>评分对应表</w:t>
      </w:r>
    </w:p>
    <w:tbl>
      <w:tblPr>
        <w:tblStyle w:val="60"/>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1"/>
        <w:gridCol w:w="3645"/>
        <w:gridCol w:w="1947"/>
      </w:tblGrid>
      <w:tr w14:paraId="754D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2681" w:type="dxa"/>
            <w:tcBorders>
              <w:top w:val="single" w:color="auto" w:sz="4" w:space="0"/>
              <w:left w:val="single" w:color="auto" w:sz="4" w:space="0"/>
              <w:bottom w:val="single" w:color="auto" w:sz="4" w:space="0"/>
              <w:right w:val="single" w:color="auto" w:sz="4" w:space="0"/>
            </w:tcBorders>
            <w:vAlign w:val="center"/>
          </w:tcPr>
          <w:p w14:paraId="187DE626">
            <w:pPr>
              <w:snapToGrid w:val="0"/>
              <w:spacing w:before="120" w:beforeLines="50"/>
              <w:ind w:left="661" w:hanging="241"/>
              <w:jc w:val="center"/>
              <w:rPr>
                <w:rFonts w:ascii="黑体" w:hAnsi="黑体" w:eastAsia="黑体" w:cs="黑体"/>
                <w:b/>
                <w:bCs/>
                <w:sz w:val="24"/>
              </w:rPr>
            </w:pPr>
            <w:r>
              <w:rPr>
                <w:rFonts w:hint="eastAsia" w:ascii="黑体" w:hAnsi="黑体" w:eastAsia="黑体" w:cs="黑体"/>
                <w:b/>
                <w:bCs/>
                <w:sz w:val="24"/>
                <w:lang w:bidi="ar"/>
              </w:rPr>
              <w:t>评分项目</w:t>
            </w:r>
          </w:p>
        </w:tc>
        <w:tc>
          <w:tcPr>
            <w:tcW w:w="3645" w:type="dxa"/>
            <w:tcBorders>
              <w:top w:val="single" w:color="auto" w:sz="4" w:space="0"/>
              <w:left w:val="single" w:color="auto" w:sz="4" w:space="0"/>
              <w:bottom w:val="single" w:color="auto" w:sz="4" w:space="0"/>
              <w:right w:val="single" w:color="auto" w:sz="4" w:space="0"/>
            </w:tcBorders>
            <w:vAlign w:val="center"/>
          </w:tcPr>
          <w:p w14:paraId="51E1B69A">
            <w:pPr>
              <w:snapToGrid w:val="0"/>
              <w:spacing w:before="120" w:beforeLines="50"/>
              <w:ind w:left="661" w:hanging="241"/>
              <w:jc w:val="center"/>
              <w:rPr>
                <w:rFonts w:ascii="黑体" w:hAnsi="黑体" w:eastAsia="黑体" w:cs="黑体"/>
                <w:b/>
                <w:bCs/>
                <w:sz w:val="24"/>
              </w:rPr>
            </w:pPr>
            <w:r>
              <w:rPr>
                <w:rFonts w:hint="eastAsia" w:ascii="黑体" w:hAnsi="黑体" w:eastAsia="黑体" w:cs="黑体"/>
                <w:b/>
                <w:bCs/>
                <w:sz w:val="24"/>
                <w:lang w:bidi="ar"/>
              </w:rPr>
              <w:t>投标文件对应资料</w:t>
            </w:r>
          </w:p>
        </w:tc>
        <w:tc>
          <w:tcPr>
            <w:tcW w:w="1947" w:type="dxa"/>
            <w:tcBorders>
              <w:top w:val="single" w:color="auto" w:sz="4" w:space="0"/>
              <w:left w:val="single" w:color="auto" w:sz="4" w:space="0"/>
              <w:bottom w:val="single" w:color="auto" w:sz="4" w:space="0"/>
              <w:right w:val="single" w:color="auto" w:sz="4" w:space="0"/>
            </w:tcBorders>
            <w:vAlign w:val="center"/>
          </w:tcPr>
          <w:p w14:paraId="1C58A856">
            <w:pPr>
              <w:snapToGrid w:val="0"/>
              <w:spacing w:before="120" w:beforeLines="50"/>
              <w:ind w:left="661" w:hanging="241"/>
              <w:jc w:val="center"/>
              <w:rPr>
                <w:rFonts w:ascii="黑体" w:hAnsi="黑体" w:eastAsia="黑体" w:cs="黑体"/>
                <w:b/>
                <w:bCs/>
                <w:sz w:val="24"/>
              </w:rPr>
            </w:pPr>
            <w:r>
              <w:rPr>
                <w:rFonts w:hint="eastAsia" w:ascii="黑体" w:hAnsi="黑体" w:eastAsia="黑体" w:cs="黑体"/>
                <w:b/>
                <w:bCs/>
                <w:sz w:val="24"/>
                <w:lang w:bidi="ar"/>
              </w:rPr>
              <w:t>投标文件页码</w:t>
            </w:r>
          </w:p>
        </w:tc>
      </w:tr>
      <w:tr w14:paraId="40304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2681" w:type="dxa"/>
            <w:tcBorders>
              <w:top w:val="single" w:color="auto" w:sz="4" w:space="0"/>
              <w:left w:val="single" w:color="auto" w:sz="4" w:space="0"/>
              <w:bottom w:val="single" w:color="auto" w:sz="4" w:space="0"/>
              <w:right w:val="single" w:color="auto" w:sz="4" w:space="0"/>
            </w:tcBorders>
          </w:tcPr>
          <w:p w14:paraId="4B99D1AD">
            <w:pPr>
              <w:snapToGrid w:val="0"/>
              <w:rPr>
                <w:rFonts w:ascii="宋体" w:hAnsi="宋体" w:cs="宋体"/>
                <w:szCs w:val="21"/>
              </w:rPr>
            </w:pPr>
            <w:r>
              <w:rPr>
                <w:rFonts w:hint="eastAsia" w:ascii="宋体" w:hAnsi="宋体" w:cs="宋体"/>
                <w:szCs w:val="21"/>
                <w:lang w:bidi="ar"/>
              </w:rPr>
              <w:t>对应第四章评分办法及标准（报价除外）</w:t>
            </w:r>
          </w:p>
        </w:tc>
        <w:tc>
          <w:tcPr>
            <w:tcW w:w="3645" w:type="dxa"/>
            <w:tcBorders>
              <w:top w:val="single" w:color="auto" w:sz="4" w:space="0"/>
              <w:left w:val="single" w:color="auto" w:sz="4" w:space="0"/>
              <w:bottom w:val="single" w:color="auto" w:sz="4" w:space="0"/>
              <w:right w:val="single" w:color="auto" w:sz="4" w:space="0"/>
            </w:tcBorders>
            <w:vAlign w:val="center"/>
          </w:tcPr>
          <w:p w14:paraId="491E6C4D">
            <w:pPr>
              <w:pStyle w:val="550"/>
              <w:snapToGrid w:val="0"/>
              <w:spacing w:line="280" w:lineRule="exact"/>
              <w:ind w:left="700" w:hanging="280"/>
              <w:rPr>
                <w:rFonts w:cs="宋体"/>
              </w:rPr>
            </w:pPr>
          </w:p>
        </w:tc>
        <w:tc>
          <w:tcPr>
            <w:tcW w:w="1947" w:type="dxa"/>
            <w:tcBorders>
              <w:top w:val="single" w:color="auto" w:sz="4" w:space="0"/>
              <w:left w:val="single" w:color="auto" w:sz="4" w:space="0"/>
              <w:bottom w:val="single" w:color="auto" w:sz="4" w:space="0"/>
              <w:right w:val="single" w:color="auto" w:sz="4" w:space="0"/>
            </w:tcBorders>
            <w:vAlign w:val="center"/>
          </w:tcPr>
          <w:p w14:paraId="6DA6029C">
            <w:pPr>
              <w:pStyle w:val="550"/>
              <w:snapToGrid w:val="0"/>
              <w:spacing w:line="280" w:lineRule="exact"/>
              <w:ind w:left="700" w:hanging="280"/>
              <w:rPr>
                <w:rFonts w:cs="宋体"/>
                <w:highlight w:val="yellow"/>
              </w:rPr>
            </w:pPr>
          </w:p>
        </w:tc>
      </w:tr>
      <w:tr w14:paraId="7E1C3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681" w:type="dxa"/>
            <w:tcBorders>
              <w:top w:val="single" w:color="auto" w:sz="4" w:space="0"/>
              <w:left w:val="single" w:color="auto" w:sz="4" w:space="0"/>
              <w:right w:val="single" w:color="auto" w:sz="4" w:space="0"/>
            </w:tcBorders>
          </w:tcPr>
          <w:p w14:paraId="4F6DAF65">
            <w:pPr>
              <w:snapToGrid w:val="0"/>
              <w:rPr>
                <w:rFonts w:ascii="宋体" w:hAnsi="宋体" w:cs="宋体"/>
                <w:sz w:val="13"/>
                <w:szCs w:val="13"/>
              </w:rPr>
            </w:pPr>
            <w:r>
              <w:rPr>
                <w:rFonts w:hint="eastAsia" w:ascii="宋体" w:hAnsi="宋体" w:cs="宋体"/>
                <w:szCs w:val="21"/>
                <w:lang w:bidi="ar"/>
              </w:rPr>
              <w:t>……</w:t>
            </w:r>
          </w:p>
        </w:tc>
        <w:tc>
          <w:tcPr>
            <w:tcW w:w="3645" w:type="dxa"/>
            <w:tcBorders>
              <w:top w:val="single" w:color="auto" w:sz="4" w:space="0"/>
              <w:left w:val="single" w:color="auto" w:sz="4" w:space="0"/>
              <w:bottom w:val="single" w:color="auto" w:sz="4" w:space="0"/>
              <w:right w:val="single" w:color="auto" w:sz="4" w:space="0"/>
            </w:tcBorders>
            <w:vAlign w:val="center"/>
          </w:tcPr>
          <w:p w14:paraId="2F4E0E78">
            <w:pPr>
              <w:pStyle w:val="550"/>
              <w:snapToGrid w:val="0"/>
              <w:spacing w:line="280" w:lineRule="exact"/>
              <w:ind w:left="708" w:hanging="288"/>
              <w:rPr>
                <w:rFonts w:cs="宋体"/>
                <w:spacing w:val="4"/>
              </w:rPr>
            </w:pPr>
          </w:p>
        </w:tc>
        <w:tc>
          <w:tcPr>
            <w:tcW w:w="1947" w:type="dxa"/>
            <w:tcBorders>
              <w:top w:val="single" w:color="auto" w:sz="4" w:space="0"/>
              <w:left w:val="single" w:color="auto" w:sz="4" w:space="0"/>
              <w:bottom w:val="single" w:color="auto" w:sz="4" w:space="0"/>
              <w:right w:val="single" w:color="auto" w:sz="4" w:space="0"/>
            </w:tcBorders>
            <w:vAlign w:val="center"/>
          </w:tcPr>
          <w:p w14:paraId="76576C8E">
            <w:pPr>
              <w:pStyle w:val="550"/>
              <w:snapToGrid w:val="0"/>
              <w:spacing w:line="280" w:lineRule="exact"/>
              <w:ind w:left="700" w:hanging="280"/>
              <w:rPr>
                <w:rFonts w:cs="宋体"/>
                <w:iCs/>
              </w:rPr>
            </w:pPr>
          </w:p>
        </w:tc>
      </w:tr>
      <w:tr w14:paraId="0F3E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2681" w:type="dxa"/>
            <w:tcBorders>
              <w:top w:val="single" w:color="auto" w:sz="4" w:space="0"/>
              <w:left w:val="single" w:color="auto" w:sz="4" w:space="0"/>
              <w:bottom w:val="single" w:color="auto" w:sz="4" w:space="0"/>
              <w:right w:val="single" w:color="auto" w:sz="4" w:space="0"/>
            </w:tcBorders>
            <w:vAlign w:val="center"/>
          </w:tcPr>
          <w:p w14:paraId="361DA716">
            <w:pPr>
              <w:widowControl/>
              <w:jc w:val="left"/>
              <w:rPr>
                <w:rFonts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vAlign w:val="center"/>
          </w:tcPr>
          <w:p w14:paraId="2D589E6B">
            <w:pPr>
              <w:pStyle w:val="550"/>
              <w:snapToGrid w:val="0"/>
              <w:spacing w:line="280" w:lineRule="exact"/>
              <w:ind w:left="708" w:hanging="288"/>
              <w:rPr>
                <w:rFonts w:cs="宋体"/>
                <w:spacing w:val="4"/>
              </w:rPr>
            </w:pPr>
          </w:p>
        </w:tc>
        <w:tc>
          <w:tcPr>
            <w:tcW w:w="1947" w:type="dxa"/>
            <w:tcBorders>
              <w:top w:val="single" w:color="auto" w:sz="4" w:space="0"/>
              <w:left w:val="single" w:color="auto" w:sz="4" w:space="0"/>
              <w:bottom w:val="single" w:color="auto" w:sz="4" w:space="0"/>
              <w:right w:val="single" w:color="auto" w:sz="4" w:space="0"/>
            </w:tcBorders>
            <w:vAlign w:val="center"/>
          </w:tcPr>
          <w:p w14:paraId="233F0C28">
            <w:pPr>
              <w:pStyle w:val="550"/>
              <w:snapToGrid w:val="0"/>
              <w:spacing w:line="280" w:lineRule="exact"/>
              <w:ind w:left="700" w:hanging="280"/>
              <w:rPr>
                <w:rFonts w:cs="宋体"/>
                <w:iCs/>
              </w:rPr>
            </w:pPr>
          </w:p>
        </w:tc>
      </w:tr>
      <w:tr w14:paraId="57D1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2681" w:type="dxa"/>
            <w:tcBorders>
              <w:top w:val="single" w:color="auto" w:sz="4" w:space="0"/>
              <w:left w:val="single" w:color="auto" w:sz="4" w:space="0"/>
              <w:bottom w:val="single" w:color="auto" w:sz="4" w:space="0"/>
              <w:right w:val="single" w:color="auto" w:sz="4" w:space="0"/>
            </w:tcBorders>
            <w:vAlign w:val="center"/>
          </w:tcPr>
          <w:p w14:paraId="52A69B2F">
            <w:pPr>
              <w:tabs>
                <w:tab w:val="left" w:pos="0"/>
              </w:tabs>
              <w:adjustRightInd w:val="0"/>
              <w:snapToGrid w:val="0"/>
              <w:spacing w:line="280" w:lineRule="exact"/>
              <w:jc w:val="center"/>
              <w:rPr>
                <w:rFonts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vAlign w:val="center"/>
          </w:tcPr>
          <w:p w14:paraId="68DD4719">
            <w:pPr>
              <w:widowControl/>
              <w:spacing w:line="280" w:lineRule="exact"/>
              <w:ind w:left="638" w:hanging="218"/>
              <w:rPr>
                <w:rFonts w:ascii="宋体" w:hAnsi="宋体" w:cs="宋体"/>
                <w:spacing w:val="4"/>
                <w:szCs w:val="21"/>
              </w:rPr>
            </w:pPr>
          </w:p>
        </w:tc>
        <w:tc>
          <w:tcPr>
            <w:tcW w:w="1947" w:type="dxa"/>
            <w:tcBorders>
              <w:top w:val="single" w:color="auto" w:sz="4" w:space="0"/>
              <w:left w:val="single" w:color="auto" w:sz="4" w:space="0"/>
              <w:bottom w:val="single" w:color="auto" w:sz="4" w:space="0"/>
              <w:right w:val="single" w:color="auto" w:sz="4" w:space="0"/>
            </w:tcBorders>
            <w:vAlign w:val="center"/>
          </w:tcPr>
          <w:p w14:paraId="7707943A">
            <w:pPr>
              <w:widowControl/>
              <w:spacing w:line="280" w:lineRule="exact"/>
              <w:rPr>
                <w:rFonts w:ascii="宋体" w:hAnsi="宋体" w:cs="宋体"/>
                <w:szCs w:val="21"/>
              </w:rPr>
            </w:pPr>
          </w:p>
        </w:tc>
      </w:tr>
      <w:tr w14:paraId="32FC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681" w:type="dxa"/>
            <w:tcBorders>
              <w:top w:val="single" w:color="auto" w:sz="4" w:space="0"/>
              <w:left w:val="single" w:color="auto" w:sz="4" w:space="0"/>
              <w:bottom w:val="single" w:color="auto" w:sz="4" w:space="0"/>
              <w:right w:val="single" w:color="auto" w:sz="4" w:space="0"/>
            </w:tcBorders>
            <w:vAlign w:val="center"/>
          </w:tcPr>
          <w:p w14:paraId="75F8462C">
            <w:pPr>
              <w:tabs>
                <w:tab w:val="left" w:pos="0"/>
              </w:tabs>
              <w:adjustRightInd w:val="0"/>
              <w:snapToGrid w:val="0"/>
              <w:spacing w:line="280" w:lineRule="exact"/>
              <w:jc w:val="center"/>
              <w:rPr>
                <w:rFonts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vAlign w:val="center"/>
          </w:tcPr>
          <w:p w14:paraId="20A27DAD">
            <w:pPr>
              <w:pStyle w:val="550"/>
              <w:snapToGrid w:val="0"/>
              <w:spacing w:line="280" w:lineRule="exact"/>
              <w:ind w:left="420" w:firstLine="576" w:firstLineChars="200"/>
              <w:rPr>
                <w:rFonts w:cs="宋体"/>
                <w:spacing w:val="4"/>
              </w:rPr>
            </w:pPr>
          </w:p>
        </w:tc>
        <w:tc>
          <w:tcPr>
            <w:tcW w:w="1947" w:type="dxa"/>
            <w:tcBorders>
              <w:top w:val="single" w:color="auto" w:sz="4" w:space="0"/>
              <w:left w:val="single" w:color="auto" w:sz="4" w:space="0"/>
              <w:bottom w:val="single" w:color="auto" w:sz="4" w:space="0"/>
              <w:right w:val="single" w:color="auto" w:sz="4" w:space="0"/>
            </w:tcBorders>
            <w:vAlign w:val="center"/>
          </w:tcPr>
          <w:p w14:paraId="00CD3B58">
            <w:pPr>
              <w:pStyle w:val="550"/>
              <w:snapToGrid w:val="0"/>
              <w:spacing w:line="280" w:lineRule="exact"/>
              <w:ind w:left="420" w:firstLine="560" w:firstLineChars="200"/>
              <w:rPr>
                <w:rFonts w:cs="宋体"/>
              </w:rPr>
            </w:pPr>
          </w:p>
        </w:tc>
      </w:tr>
      <w:tr w14:paraId="3AC3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2681" w:type="dxa"/>
            <w:tcBorders>
              <w:top w:val="single" w:color="auto" w:sz="4" w:space="0"/>
              <w:left w:val="single" w:color="auto" w:sz="4" w:space="0"/>
              <w:bottom w:val="single" w:color="auto" w:sz="4" w:space="0"/>
              <w:right w:val="single" w:color="auto" w:sz="4" w:space="0"/>
            </w:tcBorders>
            <w:vAlign w:val="center"/>
          </w:tcPr>
          <w:p w14:paraId="15430B0F">
            <w:pPr>
              <w:tabs>
                <w:tab w:val="left" w:pos="0"/>
              </w:tabs>
              <w:adjustRightInd w:val="0"/>
              <w:snapToGrid w:val="0"/>
              <w:spacing w:line="280" w:lineRule="exact"/>
              <w:jc w:val="center"/>
              <w:rPr>
                <w:rFonts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vAlign w:val="center"/>
          </w:tcPr>
          <w:p w14:paraId="64D3910C">
            <w:pPr>
              <w:pStyle w:val="550"/>
              <w:snapToGrid w:val="0"/>
              <w:spacing w:line="280" w:lineRule="exact"/>
              <w:ind w:left="420" w:firstLine="576" w:firstLineChars="200"/>
              <w:rPr>
                <w:rFonts w:cs="宋体"/>
                <w:spacing w:val="4"/>
              </w:rPr>
            </w:pPr>
          </w:p>
        </w:tc>
        <w:tc>
          <w:tcPr>
            <w:tcW w:w="1947" w:type="dxa"/>
            <w:tcBorders>
              <w:top w:val="single" w:color="auto" w:sz="4" w:space="0"/>
              <w:left w:val="single" w:color="auto" w:sz="4" w:space="0"/>
              <w:bottom w:val="single" w:color="auto" w:sz="4" w:space="0"/>
              <w:right w:val="single" w:color="auto" w:sz="4" w:space="0"/>
            </w:tcBorders>
            <w:vAlign w:val="center"/>
          </w:tcPr>
          <w:p w14:paraId="110A64B5">
            <w:pPr>
              <w:pStyle w:val="550"/>
              <w:snapToGrid w:val="0"/>
              <w:spacing w:line="280" w:lineRule="exact"/>
              <w:ind w:left="420" w:firstLine="560" w:firstLineChars="200"/>
              <w:rPr>
                <w:rFonts w:cs="宋体"/>
              </w:rPr>
            </w:pPr>
          </w:p>
        </w:tc>
      </w:tr>
      <w:tr w14:paraId="66130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681" w:type="dxa"/>
            <w:tcBorders>
              <w:left w:val="single" w:color="auto" w:sz="4" w:space="0"/>
              <w:right w:val="single" w:color="auto" w:sz="4" w:space="0"/>
            </w:tcBorders>
            <w:vAlign w:val="center"/>
          </w:tcPr>
          <w:p w14:paraId="0AF94192">
            <w:pPr>
              <w:tabs>
                <w:tab w:val="left" w:pos="0"/>
              </w:tabs>
              <w:adjustRightInd w:val="0"/>
              <w:snapToGrid w:val="0"/>
              <w:spacing w:line="280" w:lineRule="exact"/>
              <w:jc w:val="center"/>
              <w:rPr>
                <w:rFonts w:ascii="宋体" w:hAnsi="宋体" w:cs="宋体"/>
                <w:szCs w:val="21"/>
              </w:rPr>
            </w:pPr>
          </w:p>
        </w:tc>
        <w:tc>
          <w:tcPr>
            <w:tcW w:w="3645" w:type="dxa"/>
            <w:tcBorders>
              <w:top w:val="single" w:color="auto" w:sz="4" w:space="0"/>
              <w:left w:val="single" w:color="auto" w:sz="4" w:space="0"/>
              <w:bottom w:val="single" w:color="auto" w:sz="4" w:space="0"/>
              <w:right w:val="single" w:color="auto" w:sz="4" w:space="0"/>
            </w:tcBorders>
            <w:vAlign w:val="center"/>
          </w:tcPr>
          <w:p w14:paraId="18D7D454">
            <w:pPr>
              <w:pStyle w:val="23"/>
              <w:rPr>
                <w:rFonts w:ascii="宋体" w:hAnsi="宋体" w:cs="宋体"/>
                <w:sz w:val="21"/>
                <w:szCs w:val="21"/>
              </w:rPr>
            </w:pPr>
          </w:p>
        </w:tc>
        <w:tc>
          <w:tcPr>
            <w:tcW w:w="1947" w:type="dxa"/>
            <w:tcBorders>
              <w:top w:val="single" w:color="auto" w:sz="4" w:space="0"/>
              <w:left w:val="single" w:color="auto" w:sz="4" w:space="0"/>
              <w:bottom w:val="single" w:color="auto" w:sz="4" w:space="0"/>
              <w:right w:val="single" w:color="auto" w:sz="4" w:space="0"/>
            </w:tcBorders>
            <w:vAlign w:val="center"/>
          </w:tcPr>
          <w:p w14:paraId="3A664FF0">
            <w:pPr>
              <w:pStyle w:val="23"/>
              <w:rPr>
                <w:rFonts w:ascii="宋体" w:hAnsi="宋体" w:cs="宋体"/>
                <w:sz w:val="21"/>
                <w:szCs w:val="21"/>
              </w:rPr>
            </w:pPr>
          </w:p>
        </w:tc>
      </w:tr>
    </w:tbl>
    <w:p w14:paraId="1F6B5BDB">
      <w:pPr>
        <w:pStyle w:val="23"/>
        <w:ind w:left="660" w:hanging="240"/>
        <w:rPr>
          <w:rFonts w:ascii="宋体" w:hAnsi="宋体" w:cs="仿宋_GB2312"/>
          <w:sz w:val="24"/>
          <w:lang w:val="zh-CN"/>
        </w:rPr>
      </w:pPr>
    </w:p>
    <w:p w14:paraId="6B2AA1CE">
      <w:pPr>
        <w:pStyle w:val="59"/>
        <w:ind w:left="420" w:firstLineChars="200"/>
        <w:rPr>
          <w:rFonts w:ascii="宋体" w:hAnsi="宋体" w:cs="仿宋_GB2312"/>
          <w:szCs w:val="21"/>
          <w:lang w:val="zh-CN"/>
        </w:rPr>
      </w:pPr>
      <w:r>
        <w:rPr>
          <w:rFonts w:hint="eastAsia" w:ascii="宋体" w:hAnsi="宋体" w:cs="仿宋_GB2312"/>
          <w:szCs w:val="21"/>
          <w:lang w:val="zh-CN"/>
        </w:rPr>
        <w:t>1、投标人根据商务技术评分标准自行填报。</w:t>
      </w:r>
    </w:p>
    <w:p w14:paraId="60DA5740">
      <w:pPr>
        <w:pStyle w:val="46"/>
        <w:ind w:left="210" w:leftChars="0"/>
        <w:rPr>
          <w:lang w:val="zh-CN"/>
        </w:rPr>
      </w:pPr>
      <w:r>
        <w:rPr>
          <w:rFonts w:hint="eastAsia"/>
          <w:lang w:val="zh-CN"/>
        </w:rPr>
        <w:t xml:space="preserve">     </w:t>
      </w:r>
    </w:p>
    <w:p w14:paraId="736249F8">
      <w:pPr>
        <w:snapToGrid w:val="0"/>
        <w:spacing w:line="360" w:lineRule="auto"/>
        <w:ind w:left="721" w:hanging="301"/>
        <w:jc w:val="center"/>
        <w:rPr>
          <w:rFonts w:ascii="宋体" w:hAnsi="宋体" w:cs="宋体"/>
          <w:b/>
          <w:sz w:val="30"/>
        </w:rPr>
      </w:pPr>
    </w:p>
    <w:p w14:paraId="59130131">
      <w:pPr>
        <w:snapToGrid w:val="0"/>
        <w:spacing w:line="360" w:lineRule="auto"/>
        <w:ind w:left="721" w:hanging="301"/>
        <w:jc w:val="center"/>
        <w:rPr>
          <w:rFonts w:ascii="宋体" w:hAnsi="宋体" w:cs="宋体"/>
          <w:b/>
          <w:sz w:val="30"/>
        </w:rPr>
      </w:pPr>
    </w:p>
    <w:p w14:paraId="63E99483">
      <w:pPr>
        <w:snapToGrid w:val="0"/>
        <w:spacing w:line="360" w:lineRule="auto"/>
        <w:ind w:left="721" w:hanging="301"/>
        <w:jc w:val="center"/>
        <w:rPr>
          <w:rFonts w:ascii="宋体" w:hAnsi="宋体" w:cs="宋体"/>
          <w:b/>
          <w:sz w:val="30"/>
        </w:rPr>
      </w:pPr>
    </w:p>
    <w:p w14:paraId="47CFB8D4">
      <w:pPr>
        <w:pStyle w:val="23"/>
        <w:ind w:left="721" w:hanging="301"/>
        <w:rPr>
          <w:rFonts w:ascii="宋体" w:hAnsi="宋体" w:cs="宋体"/>
          <w:b/>
          <w:sz w:val="30"/>
        </w:rPr>
      </w:pPr>
    </w:p>
    <w:p w14:paraId="6C3BF952">
      <w:pPr>
        <w:pStyle w:val="59"/>
        <w:ind w:left="420" w:firstLine="301"/>
        <w:rPr>
          <w:rFonts w:ascii="宋体" w:hAnsi="宋体" w:cs="宋体"/>
          <w:b/>
          <w:sz w:val="30"/>
        </w:rPr>
      </w:pPr>
    </w:p>
    <w:p w14:paraId="3E9BD297">
      <w:pPr>
        <w:pStyle w:val="46"/>
        <w:ind w:left="2401" w:hanging="301"/>
        <w:rPr>
          <w:rFonts w:ascii="宋体" w:hAnsi="宋体" w:cs="宋体"/>
          <w:b/>
          <w:sz w:val="30"/>
        </w:rPr>
      </w:pPr>
    </w:p>
    <w:p w14:paraId="24D2F209">
      <w:pPr>
        <w:ind w:left="721" w:hanging="301"/>
        <w:rPr>
          <w:rFonts w:ascii="宋体" w:hAnsi="宋体" w:cs="宋体"/>
          <w:b/>
          <w:sz w:val="30"/>
        </w:rPr>
      </w:pPr>
    </w:p>
    <w:p w14:paraId="086DA5A5">
      <w:pPr>
        <w:pStyle w:val="23"/>
        <w:ind w:left="700" w:hanging="280"/>
      </w:pPr>
    </w:p>
    <w:p w14:paraId="62F39204"/>
    <w:p w14:paraId="17A43821">
      <w:pPr>
        <w:pStyle w:val="59"/>
      </w:pPr>
    </w:p>
    <w:p w14:paraId="4191D392">
      <w:pPr>
        <w:pStyle w:val="46"/>
        <w:ind w:left="2401" w:hanging="301"/>
        <w:rPr>
          <w:rFonts w:ascii="宋体" w:hAnsi="宋体" w:cs="宋体"/>
          <w:b/>
          <w:sz w:val="30"/>
        </w:rPr>
      </w:pPr>
    </w:p>
    <w:p w14:paraId="252DD042">
      <w:pPr>
        <w:snapToGrid w:val="0"/>
        <w:spacing w:line="360" w:lineRule="auto"/>
        <w:outlineLvl w:val="2"/>
        <w:rPr>
          <w:rFonts w:ascii="黑体" w:hAnsi="黑体" w:eastAsia="黑体" w:cs="黑体"/>
          <w:sz w:val="32"/>
          <w:szCs w:val="32"/>
        </w:rPr>
      </w:pPr>
      <w:r>
        <w:rPr>
          <w:rFonts w:hint="eastAsia" w:ascii="黑体" w:hAnsi="黑体" w:eastAsia="黑体" w:cs="黑体"/>
          <w:szCs w:val="21"/>
        </w:rPr>
        <w:t>附件5</w:t>
      </w:r>
    </w:p>
    <w:p w14:paraId="6E278204">
      <w:pPr>
        <w:snapToGrid w:val="0"/>
        <w:spacing w:line="360" w:lineRule="auto"/>
        <w:ind w:left="741" w:hanging="321"/>
        <w:jc w:val="center"/>
        <w:rPr>
          <w:rFonts w:ascii="宋体" w:hAnsi="宋体" w:cs="宋体"/>
          <w:b/>
          <w:sz w:val="32"/>
          <w:szCs w:val="32"/>
        </w:rPr>
      </w:pPr>
    </w:p>
    <w:p w14:paraId="5F662926">
      <w:pPr>
        <w:snapToGrid w:val="0"/>
        <w:spacing w:line="360" w:lineRule="auto"/>
        <w:ind w:left="701" w:hanging="281"/>
        <w:jc w:val="center"/>
        <w:rPr>
          <w:rFonts w:ascii="黑体" w:hAnsi="黑体" w:eastAsia="黑体" w:cs="黑体"/>
          <w:b/>
          <w:sz w:val="28"/>
          <w:szCs w:val="28"/>
        </w:rPr>
      </w:pPr>
      <w:r>
        <w:rPr>
          <w:rFonts w:hint="eastAsia" w:ascii="黑体" w:hAnsi="黑体" w:eastAsia="黑体" w:cs="黑体"/>
          <w:b/>
          <w:sz w:val="28"/>
          <w:szCs w:val="28"/>
        </w:rPr>
        <w:t>投标声明函</w:t>
      </w:r>
    </w:p>
    <w:p w14:paraId="61ABDAD6">
      <w:pPr>
        <w:snapToGrid w:val="0"/>
        <w:spacing w:line="360" w:lineRule="auto"/>
        <w:rPr>
          <w:rFonts w:ascii="宋体" w:hAnsi="宋体" w:cs="宋体"/>
          <w:szCs w:val="21"/>
        </w:rPr>
      </w:pPr>
    </w:p>
    <w:p w14:paraId="63CCCE4D">
      <w:pPr>
        <w:snapToGrid w:val="0"/>
        <w:spacing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w:t>
      </w:r>
    </w:p>
    <w:p w14:paraId="241A5318">
      <w:pPr>
        <w:snapToGrid w:val="0"/>
        <w:spacing w:line="360" w:lineRule="auto"/>
        <w:ind w:left="420" w:firstLine="420" w:firstLineChars="200"/>
        <w:rPr>
          <w:rFonts w:ascii="宋体" w:hAnsi="宋体" w:cs="宋体"/>
          <w:szCs w:val="21"/>
        </w:rPr>
      </w:pPr>
      <w:r>
        <w:rPr>
          <w:rFonts w:hint="eastAsia" w:ascii="宋体" w:hAnsi="宋体" w:cs="宋体"/>
          <w:szCs w:val="21"/>
          <w:u w:val="single"/>
        </w:rPr>
        <w:t>（投标人名称）</w:t>
      </w:r>
      <w:r>
        <w:rPr>
          <w:rFonts w:hint="eastAsia" w:ascii="宋体" w:hAnsi="宋体" w:cs="宋体"/>
          <w:szCs w:val="21"/>
        </w:rPr>
        <w:t>系中华人民共和国合法企业，经营地址</w:t>
      </w:r>
      <w:r>
        <w:rPr>
          <w:rFonts w:hint="eastAsia" w:ascii="宋体" w:hAnsi="宋体" w:cs="宋体"/>
          <w:szCs w:val="21"/>
          <w:u w:val="single"/>
        </w:rPr>
        <w:t xml:space="preserve">                          </w:t>
      </w:r>
      <w:r>
        <w:rPr>
          <w:rFonts w:hint="eastAsia" w:ascii="宋体" w:hAnsi="宋体" w:cs="宋体"/>
          <w:szCs w:val="21"/>
        </w:rPr>
        <w:t>。</w:t>
      </w:r>
    </w:p>
    <w:p w14:paraId="5ABFA0F0">
      <w:pPr>
        <w:snapToGrid w:val="0"/>
        <w:spacing w:line="360" w:lineRule="auto"/>
        <w:ind w:left="420" w:firstLine="420" w:firstLineChars="200"/>
        <w:rPr>
          <w:rFonts w:ascii="宋体" w:hAnsi="宋体" w:cs="宋体"/>
          <w:szCs w:val="21"/>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（投标人名称）的法定代表人，我方愿意参加贵方组织的</w:t>
      </w:r>
      <w:r>
        <w:rPr>
          <w:rFonts w:hint="eastAsia" w:ascii="宋体" w:hAnsi="宋体" w:cs="宋体"/>
          <w:szCs w:val="21"/>
          <w:u w:val="single"/>
        </w:rPr>
        <w:t xml:space="preserve">                 </w:t>
      </w:r>
      <w:r>
        <w:rPr>
          <w:rFonts w:hint="eastAsia" w:ascii="宋体" w:hAnsi="宋体" w:cs="宋体"/>
          <w:szCs w:val="21"/>
        </w:rPr>
        <w:t>项目的投标，为便于贵方公正、择优地确定中标人及其投标产品和服务，我方就参加本次投标有关事项郑重声明如下：</w:t>
      </w:r>
    </w:p>
    <w:p w14:paraId="55216FA6">
      <w:pPr>
        <w:snapToGrid w:val="0"/>
        <w:spacing w:line="360" w:lineRule="auto"/>
        <w:ind w:left="420" w:firstLine="420" w:firstLineChars="200"/>
        <w:rPr>
          <w:rFonts w:ascii="宋体" w:hAnsi="宋体" w:cs="宋体"/>
          <w:szCs w:val="21"/>
        </w:rPr>
      </w:pPr>
      <w:r>
        <w:rPr>
          <w:rFonts w:hint="eastAsia" w:ascii="宋体" w:hAnsi="宋体" w:cs="宋体"/>
          <w:szCs w:val="21"/>
        </w:rPr>
        <w:t>1.本投标有效期自开标日起 90日。</w:t>
      </w:r>
    </w:p>
    <w:p w14:paraId="76D8A804">
      <w:pPr>
        <w:snapToGrid w:val="0"/>
        <w:spacing w:line="360" w:lineRule="auto"/>
        <w:ind w:left="420" w:firstLine="420" w:firstLineChars="200"/>
        <w:rPr>
          <w:rFonts w:ascii="宋体" w:hAnsi="宋体" w:cs="宋体"/>
          <w:szCs w:val="21"/>
        </w:rPr>
      </w:pPr>
      <w:r>
        <w:rPr>
          <w:rFonts w:hint="eastAsia" w:ascii="宋体" w:hAnsi="宋体" w:cs="宋体"/>
          <w:szCs w:val="21"/>
        </w:rPr>
        <w:t>2.我方向贵方提交的所有投标文件、资料都是准确的和真实的。</w:t>
      </w:r>
    </w:p>
    <w:p w14:paraId="644EFB13">
      <w:pPr>
        <w:snapToGrid w:val="0"/>
        <w:spacing w:line="360" w:lineRule="auto"/>
        <w:ind w:left="420" w:firstLine="420" w:firstLineChars="200"/>
        <w:rPr>
          <w:rFonts w:ascii="宋体" w:hAnsi="宋体" w:cs="宋体"/>
          <w:szCs w:val="21"/>
        </w:rPr>
      </w:pPr>
      <w:r>
        <w:rPr>
          <w:rFonts w:hint="eastAsia" w:ascii="宋体" w:hAnsi="宋体" w:cs="宋体"/>
          <w:szCs w:val="21"/>
        </w:rPr>
        <w:t>3. 我方未参加本采购项目的整体设计、规范编制或者项目管理、监理、检测等服务。</w:t>
      </w:r>
    </w:p>
    <w:p w14:paraId="4B545B84">
      <w:pPr>
        <w:snapToGrid w:val="0"/>
        <w:spacing w:line="360" w:lineRule="auto"/>
        <w:ind w:left="420" w:firstLine="420" w:firstLineChars="200"/>
        <w:rPr>
          <w:rFonts w:ascii="宋体" w:hAnsi="宋体" w:cs="宋体"/>
          <w:szCs w:val="21"/>
        </w:rPr>
      </w:pPr>
      <w:r>
        <w:rPr>
          <w:rFonts w:hint="eastAsia" w:ascii="宋体" w:hAnsi="宋体" w:cs="宋体"/>
          <w:kern w:val="0"/>
          <w:szCs w:val="21"/>
        </w:rPr>
        <w:t>4</w:t>
      </w:r>
      <w:r>
        <w:rPr>
          <w:rFonts w:hint="eastAsia" w:ascii="宋体" w:hAnsi="宋体" w:cs="宋体"/>
          <w:szCs w:val="21"/>
        </w:rPr>
        <w:t>.</w:t>
      </w:r>
      <w:r>
        <w:rPr>
          <w:rFonts w:hint="eastAsia" w:ascii="宋体" w:hAnsi="宋体" w:cs="宋体"/>
          <w:kern w:val="0"/>
          <w:szCs w:val="21"/>
        </w:rPr>
        <w:t>我方直接控股的单位、由我方管理的单位，没有同时参加本</w:t>
      </w:r>
      <w:r>
        <w:rPr>
          <w:rFonts w:hint="eastAsia" w:ascii="宋体" w:hAnsi="宋体" w:cs="宋体"/>
          <w:szCs w:val="21"/>
        </w:rPr>
        <w:t>合同项下</w:t>
      </w:r>
      <w:r>
        <w:rPr>
          <w:rFonts w:hint="eastAsia" w:ascii="宋体" w:hAnsi="宋体" w:cs="宋体"/>
          <w:kern w:val="0"/>
          <w:szCs w:val="21"/>
        </w:rPr>
        <w:t>的投标。</w:t>
      </w:r>
    </w:p>
    <w:p w14:paraId="3B377937">
      <w:pPr>
        <w:snapToGrid w:val="0"/>
        <w:spacing w:line="360" w:lineRule="auto"/>
        <w:ind w:left="420" w:firstLine="420" w:firstLineChars="200"/>
        <w:rPr>
          <w:rFonts w:ascii="宋体" w:hAnsi="宋体" w:cs="宋体"/>
          <w:szCs w:val="21"/>
        </w:rPr>
      </w:pPr>
      <w:r>
        <w:rPr>
          <w:rFonts w:hint="eastAsia" w:ascii="宋体" w:hAnsi="宋体" w:cs="宋体"/>
          <w:szCs w:val="21"/>
        </w:rPr>
        <w:t>5.我方委托授权人</w:t>
      </w:r>
      <w:r>
        <w:rPr>
          <w:rFonts w:hint="eastAsia" w:ascii="宋体" w:hAnsi="宋体" w:cs="宋体"/>
          <w:szCs w:val="21"/>
          <w:u w:val="single"/>
        </w:rPr>
        <w:t xml:space="preserve">      </w:t>
      </w:r>
      <w:r>
        <w:rPr>
          <w:rFonts w:hint="eastAsia" w:ascii="宋体" w:hAnsi="宋体" w:cs="宋体"/>
          <w:szCs w:val="21"/>
        </w:rPr>
        <w:t>（姓名）为我单位的正式在职职工，以我方的名义参加</w:t>
      </w:r>
      <w:r>
        <w:rPr>
          <w:rFonts w:hint="eastAsia" w:ascii="宋体" w:hAnsi="宋体" w:cs="宋体"/>
          <w:szCs w:val="21"/>
          <w:u w:val="single"/>
        </w:rPr>
        <w:t xml:space="preserve">                          </w:t>
      </w:r>
      <w:r>
        <w:rPr>
          <w:rFonts w:hint="eastAsia" w:ascii="宋体" w:hAnsi="宋体" w:cs="宋体"/>
          <w:szCs w:val="21"/>
        </w:rPr>
        <w:t>本项目的投标活动，</w:t>
      </w:r>
    </w:p>
    <w:p w14:paraId="6156B1C6">
      <w:pPr>
        <w:snapToGrid w:val="0"/>
        <w:spacing w:line="360" w:lineRule="auto"/>
        <w:ind w:left="420" w:firstLine="420" w:firstLineChars="200"/>
        <w:rPr>
          <w:rFonts w:ascii="宋体" w:hAnsi="宋体" w:cs="宋体"/>
          <w:szCs w:val="21"/>
        </w:rPr>
      </w:pPr>
    </w:p>
    <w:p w14:paraId="36D5C4A8">
      <w:pPr>
        <w:snapToGrid w:val="0"/>
        <w:spacing w:line="360" w:lineRule="auto"/>
        <w:ind w:left="420" w:firstLine="420" w:firstLineChars="200"/>
        <w:rPr>
          <w:rFonts w:ascii="宋体" w:hAnsi="宋体" w:cs="宋体"/>
          <w:szCs w:val="21"/>
        </w:rPr>
      </w:pPr>
      <w:r>
        <w:rPr>
          <w:rFonts w:hint="eastAsia" w:ascii="宋体" w:hAnsi="宋体" w:cs="宋体"/>
          <w:kern w:val="0"/>
          <w:szCs w:val="21"/>
        </w:rPr>
        <w:t>本单位对上述承诺内容的真实性负责。如有虚假，将依法承担相应责任。</w:t>
      </w:r>
    </w:p>
    <w:p w14:paraId="4D1CD239">
      <w:pPr>
        <w:snapToGrid w:val="0"/>
        <w:spacing w:line="360" w:lineRule="auto"/>
        <w:ind w:hanging="210"/>
        <w:rPr>
          <w:rFonts w:ascii="宋体" w:hAnsi="宋体" w:cs="宋体"/>
          <w:szCs w:val="21"/>
        </w:rPr>
      </w:pPr>
    </w:p>
    <w:p w14:paraId="2DB977FB">
      <w:pPr>
        <w:snapToGrid w:val="0"/>
        <w:spacing w:line="360" w:lineRule="auto"/>
        <w:ind w:left="420" w:firstLine="210" w:firstLineChars="100"/>
        <w:rPr>
          <w:rFonts w:ascii="宋体" w:hAnsi="宋体" w:cs="宋体"/>
          <w:szCs w:val="21"/>
        </w:rPr>
      </w:pPr>
    </w:p>
    <w:p w14:paraId="5CC94CCD">
      <w:pPr>
        <w:snapToGrid w:val="0"/>
        <w:spacing w:line="360" w:lineRule="auto"/>
        <w:ind w:left="420" w:firstLine="210" w:firstLineChars="100"/>
        <w:rPr>
          <w:rFonts w:ascii="宋体" w:hAnsi="宋体" w:cs="宋体"/>
          <w:szCs w:val="21"/>
        </w:rPr>
      </w:pPr>
    </w:p>
    <w:p w14:paraId="2CB341C4">
      <w:pPr>
        <w:snapToGrid w:val="0"/>
        <w:spacing w:line="360" w:lineRule="auto"/>
        <w:ind w:left="420" w:firstLine="210" w:firstLineChars="100"/>
        <w:rPr>
          <w:rFonts w:ascii="宋体" w:hAnsi="宋体" w:cs="宋体"/>
          <w:szCs w:val="21"/>
        </w:rPr>
      </w:pPr>
    </w:p>
    <w:p w14:paraId="73B1108C">
      <w:pPr>
        <w:spacing w:line="540" w:lineRule="exact"/>
        <w:ind w:left="420" w:firstLine="3360" w:firstLineChars="1600"/>
        <w:contextualSpacing/>
        <w:rPr>
          <w:rFonts w:ascii="宋体" w:hAnsi="宋体" w:cs="宋体"/>
          <w:szCs w:val="21"/>
        </w:rPr>
      </w:pPr>
      <w:r>
        <w:rPr>
          <w:rFonts w:hint="eastAsia" w:ascii="宋体" w:hAnsi="宋体" w:cs="宋体"/>
          <w:szCs w:val="21"/>
        </w:rPr>
        <w:t xml:space="preserve">投标人名称（签章）：         </w:t>
      </w:r>
    </w:p>
    <w:p w14:paraId="1493AC03">
      <w:pPr>
        <w:spacing w:line="540" w:lineRule="exact"/>
        <w:contextualSpacing/>
        <w:rPr>
          <w:rFonts w:ascii="宋体" w:hAnsi="宋体" w:cs="宋体"/>
          <w:szCs w:val="21"/>
        </w:rPr>
      </w:pPr>
      <w:r>
        <w:rPr>
          <w:rFonts w:hint="eastAsia" w:ascii="宋体" w:hAnsi="宋体" w:cs="宋体"/>
          <w:szCs w:val="21"/>
        </w:rPr>
        <w:t xml:space="preserve">                                 日期：  年   月   日</w:t>
      </w:r>
    </w:p>
    <w:p w14:paraId="272720BA">
      <w:pPr>
        <w:snapToGrid w:val="0"/>
        <w:spacing w:line="360" w:lineRule="auto"/>
        <w:outlineLvl w:val="2"/>
        <w:rPr>
          <w:rFonts w:ascii="黑体" w:hAnsi="黑体" w:eastAsia="黑体" w:cs="黑体"/>
          <w:sz w:val="30"/>
          <w:szCs w:val="20"/>
        </w:rPr>
      </w:pPr>
      <w:r>
        <w:rPr>
          <w:rFonts w:hint="eastAsia" w:ascii="宋体" w:hAnsi="宋体" w:cs="宋体"/>
          <w:szCs w:val="21"/>
        </w:rPr>
        <w:br w:type="page"/>
      </w:r>
      <w:r>
        <w:rPr>
          <w:rFonts w:hint="eastAsia" w:ascii="黑体" w:hAnsi="黑体" w:eastAsia="黑体" w:cs="黑体"/>
          <w:szCs w:val="21"/>
        </w:rPr>
        <w:t>附件6</w:t>
      </w:r>
    </w:p>
    <w:p w14:paraId="0D9E90AD">
      <w:pPr>
        <w:spacing w:line="540" w:lineRule="exact"/>
        <w:ind w:left="701" w:hanging="281"/>
        <w:contextualSpacing/>
        <w:jc w:val="center"/>
        <w:rPr>
          <w:rFonts w:ascii="黑体" w:hAnsi="黑体" w:eastAsia="黑体" w:cs="黑体"/>
          <w:b/>
          <w:szCs w:val="21"/>
        </w:rPr>
      </w:pPr>
      <w:r>
        <w:rPr>
          <w:rFonts w:hint="eastAsia" w:ascii="黑体" w:hAnsi="黑体" w:eastAsia="黑体" w:cs="黑体"/>
          <w:b/>
          <w:sz w:val="28"/>
          <w:szCs w:val="28"/>
        </w:rPr>
        <w:t>（一）授权委托书（适用于非联合体投标）</w:t>
      </w:r>
    </w:p>
    <w:p w14:paraId="366EF7E9">
      <w:pPr>
        <w:spacing w:line="540" w:lineRule="exact"/>
        <w:contextualSpacing/>
        <w:rPr>
          <w:rFonts w:ascii="宋体" w:hAnsi="宋体" w:cs="宋体"/>
          <w:szCs w:val="21"/>
        </w:rPr>
      </w:pPr>
    </w:p>
    <w:p w14:paraId="65BD1EE3">
      <w:pPr>
        <w:spacing w:line="540" w:lineRule="exact"/>
        <w:contextualSpacing/>
        <w:rPr>
          <w:rFonts w:ascii="宋体" w:hAnsi="宋体" w:cs="宋体"/>
          <w:szCs w:val="21"/>
        </w:rPr>
      </w:pPr>
      <w:r>
        <w:rPr>
          <w:rFonts w:hint="eastAsia" w:ascii="宋体" w:hAnsi="宋体" w:cs="宋体"/>
          <w:szCs w:val="21"/>
        </w:rPr>
        <w:t>（采购人）、（采购代理机构）：</w:t>
      </w:r>
    </w:p>
    <w:p w14:paraId="5D41F9AD">
      <w:pPr>
        <w:spacing w:line="540" w:lineRule="exact"/>
        <w:ind w:left="420" w:firstLine="420" w:firstLineChars="200"/>
        <w:contextualSpacing/>
        <w:rPr>
          <w:rFonts w:ascii="宋体" w:hAnsi="宋体" w:cs="宋体"/>
          <w:szCs w:val="21"/>
        </w:rPr>
      </w:pPr>
      <w:r>
        <w:rPr>
          <w:rFonts w:hint="eastAsia" w:ascii="宋体" w:hAnsi="宋体" w:cs="宋体"/>
          <w:szCs w:val="21"/>
        </w:rPr>
        <w:t>现委托（姓名）为我方代理人（身份证号码：，手机：），以我方名义处理</w:t>
      </w:r>
      <w:r>
        <w:rPr>
          <w:rFonts w:hint="eastAsia" w:ascii="宋体" w:hAnsi="宋体" w:cs="宋体"/>
          <w:szCs w:val="21"/>
          <w:u w:val="single"/>
        </w:rPr>
        <w:t>（项目名称）</w:t>
      </w:r>
      <w:r>
        <w:rPr>
          <w:rFonts w:hint="eastAsia" w:ascii="宋体" w:hAnsi="宋体" w:cs="宋体"/>
          <w:szCs w:val="21"/>
        </w:rPr>
        <w:t>【招标编号：</w:t>
      </w:r>
      <w:r>
        <w:rPr>
          <w:rFonts w:hint="eastAsia" w:ascii="宋体" w:hAnsi="宋体" w:cs="宋体"/>
          <w:szCs w:val="21"/>
          <w:u w:val="single"/>
        </w:rPr>
        <w:t>（项目编号）</w:t>
      </w:r>
      <w:r>
        <w:rPr>
          <w:rFonts w:hint="eastAsia" w:ascii="宋体" w:hAnsi="宋体" w:cs="宋体"/>
          <w:szCs w:val="21"/>
        </w:rPr>
        <w:t>】政府采购投标的一切事项，其法律后果由我方承担。</w:t>
      </w:r>
    </w:p>
    <w:p w14:paraId="63901F68">
      <w:pPr>
        <w:spacing w:line="540" w:lineRule="exact"/>
        <w:contextualSpacing/>
        <w:rPr>
          <w:rFonts w:ascii="宋体" w:hAnsi="宋体" w:cs="宋体"/>
          <w:szCs w:val="21"/>
        </w:rPr>
      </w:pPr>
      <w:r>
        <w:rPr>
          <w:rFonts w:hint="eastAsia" w:ascii="宋体" w:hAnsi="宋体" w:cs="宋体"/>
          <w:szCs w:val="21"/>
        </w:rPr>
        <w:t xml:space="preserve">    委托期限：自   年   月  日起至   年   月  日止。</w:t>
      </w:r>
    </w:p>
    <w:p w14:paraId="00F8A8B7">
      <w:pPr>
        <w:spacing w:line="540" w:lineRule="exact"/>
        <w:ind w:hanging="210"/>
        <w:contextualSpacing/>
        <w:rPr>
          <w:rFonts w:ascii="宋体" w:hAnsi="宋体" w:cs="宋体"/>
          <w:szCs w:val="21"/>
        </w:rPr>
      </w:pPr>
      <w:r>
        <w:rPr>
          <w:rFonts w:hint="eastAsia" w:ascii="宋体" w:hAnsi="宋体" w:cs="宋体"/>
          <w:szCs w:val="21"/>
        </w:rPr>
        <w:t>特此告知。</w:t>
      </w:r>
    </w:p>
    <w:p w14:paraId="42B81333">
      <w:pPr>
        <w:spacing w:line="540" w:lineRule="exact"/>
        <w:ind w:hanging="210"/>
        <w:contextualSpacing/>
        <w:rPr>
          <w:rFonts w:ascii="宋体" w:hAnsi="宋体" w:cs="宋体"/>
          <w:szCs w:val="21"/>
        </w:rPr>
      </w:pPr>
    </w:p>
    <w:p w14:paraId="5B35975B">
      <w:pPr>
        <w:spacing w:line="540" w:lineRule="exact"/>
        <w:ind w:left="631" w:hanging="211"/>
        <w:contextualSpacing/>
        <w:rPr>
          <w:rFonts w:ascii="黑体" w:hAnsi="黑体" w:eastAsia="黑体" w:cs="黑体"/>
          <w:b/>
          <w:bCs/>
          <w:szCs w:val="21"/>
        </w:rPr>
      </w:pPr>
      <w:r>
        <w:rPr>
          <w:rFonts w:hint="eastAsia" w:ascii="黑体" w:hAnsi="黑体" w:eastAsia="黑体" w:cs="黑体"/>
          <w:b/>
          <w:bCs/>
          <w:szCs w:val="21"/>
        </w:rPr>
        <w:t>附代理人身份证正反面复印件</w:t>
      </w:r>
    </w:p>
    <w:p w14:paraId="66D5999B">
      <w:pPr>
        <w:spacing w:line="540" w:lineRule="exact"/>
        <w:contextualSpacing/>
        <w:rPr>
          <w:rFonts w:ascii="宋体" w:hAnsi="宋体" w:cs="宋体"/>
          <w:szCs w:val="21"/>
        </w:rPr>
      </w:pPr>
      <w:r>
        <w:rPr>
          <w:rFonts w:hint="eastAsia" w:ascii="宋体" w:hAnsi="宋体" w:cs="宋体"/>
          <w:szCs w:val="21"/>
        </w:rPr>
        <w:t xml:space="preserve">                                     投标人名称(签章)：</w:t>
      </w:r>
    </w:p>
    <w:p w14:paraId="063BD140">
      <w:pPr>
        <w:spacing w:line="540" w:lineRule="exact"/>
        <w:contextualSpacing/>
        <w:rPr>
          <w:rFonts w:ascii="宋体" w:hAnsi="宋体" w:cs="宋体"/>
          <w:szCs w:val="21"/>
        </w:rPr>
      </w:pPr>
      <w:r>
        <w:rPr>
          <w:rFonts w:hint="eastAsia" w:ascii="宋体" w:hAnsi="宋体" w:cs="宋体"/>
          <w:szCs w:val="21"/>
        </w:rPr>
        <w:t xml:space="preserve">                                     签发日期：  年  月   日</w:t>
      </w:r>
    </w:p>
    <w:p w14:paraId="0C2CC2A2">
      <w:pPr>
        <w:spacing w:line="540" w:lineRule="exact"/>
        <w:ind w:left="631" w:hanging="211"/>
        <w:contextualSpacing/>
        <w:jc w:val="center"/>
        <w:rPr>
          <w:rFonts w:ascii="宋体" w:hAnsi="宋体" w:cs="宋体"/>
          <w:b/>
          <w:szCs w:val="21"/>
        </w:rPr>
      </w:pPr>
    </w:p>
    <w:p w14:paraId="5E8B3B64">
      <w:pPr>
        <w:pStyle w:val="23"/>
        <w:ind w:left="700" w:hanging="280"/>
        <w:rPr>
          <w:rFonts w:ascii="仿宋_GB2312" w:eastAsia="仿宋_GB2312"/>
        </w:rPr>
      </w:pPr>
    </w:p>
    <w:p w14:paraId="5B002661">
      <w:pPr>
        <w:spacing w:line="540" w:lineRule="exact"/>
        <w:ind w:left="701" w:hanging="281"/>
        <w:contextualSpacing/>
        <w:jc w:val="center"/>
        <w:rPr>
          <w:rFonts w:ascii="黑体" w:hAnsi="黑体" w:eastAsia="黑体" w:cs="黑体"/>
          <w:b/>
          <w:sz w:val="28"/>
          <w:szCs w:val="28"/>
        </w:rPr>
      </w:pPr>
      <w:r>
        <w:rPr>
          <w:rFonts w:hint="eastAsia" w:ascii="黑体" w:hAnsi="黑体" w:eastAsia="黑体" w:cs="黑体"/>
          <w:b/>
          <w:sz w:val="28"/>
          <w:szCs w:val="28"/>
        </w:rPr>
        <w:t>（二）授权委托书（适用于联合体投标）</w:t>
      </w:r>
    </w:p>
    <w:p w14:paraId="68957B71">
      <w:pPr>
        <w:spacing w:line="540" w:lineRule="exact"/>
        <w:contextualSpacing/>
        <w:rPr>
          <w:rFonts w:ascii="宋体" w:hAnsi="宋体" w:cs="宋体"/>
          <w:szCs w:val="21"/>
        </w:rPr>
      </w:pPr>
      <w:r>
        <w:rPr>
          <w:rFonts w:hint="eastAsia" w:ascii="宋体" w:hAnsi="宋体" w:cs="宋体"/>
          <w:szCs w:val="21"/>
        </w:rPr>
        <w:t>（采购人）、（采购代理机构）：</w:t>
      </w:r>
    </w:p>
    <w:p w14:paraId="7BD2EB2F">
      <w:pPr>
        <w:spacing w:line="540" w:lineRule="exact"/>
        <w:ind w:left="420" w:firstLine="420" w:firstLineChars="200"/>
        <w:contextualSpacing/>
        <w:rPr>
          <w:rFonts w:ascii="宋体" w:hAnsi="宋体" w:cs="宋体"/>
          <w:szCs w:val="21"/>
        </w:rPr>
      </w:pPr>
      <w:r>
        <w:rPr>
          <w:rFonts w:hint="eastAsia" w:ascii="宋体" w:hAnsi="宋体" w:cs="宋体"/>
          <w:szCs w:val="21"/>
        </w:rPr>
        <w:t>现委托（姓名）为我方代理人（身份证号码：，手机：），以我方名义处理</w:t>
      </w:r>
      <w:r>
        <w:rPr>
          <w:rFonts w:hint="eastAsia" w:ascii="宋体" w:hAnsi="宋体" w:cs="宋体"/>
          <w:szCs w:val="21"/>
          <w:u w:val="single"/>
        </w:rPr>
        <w:t>（项目名称）</w:t>
      </w:r>
      <w:r>
        <w:rPr>
          <w:rFonts w:hint="eastAsia" w:ascii="宋体" w:hAnsi="宋体" w:cs="宋体"/>
          <w:szCs w:val="21"/>
        </w:rPr>
        <w:t>【招标编号：</w:t>
      </w:r>
      <w:r>
        <w:rPr>
          <w:rFonts w:hint="eastAsia" w:ascii="宋体" w:hAnsi="宋体" w:cs="宋体"/>
          <w:szCs w:val="21"/>
          <w:u w:val="single"/>
        </w:rPr>
        <w:t>（项目编号）</w:t>
      </w:r>
      <w:r>
        <w:rPr>
          <w:rFonts w:hint="eastAsia" w:ascii="宋体" w:hAnsi="宋体" w:cs="宋体"/>
          <w:szCs w:val="21"/>
        </w:rPr>
        <w:t>】政府采购投标的一切事项，其法律后果由我方承担。</w:t>
      </w:r>
    </w:p>
    <w:p w14:paraId="452267FE">
      <w:pPr>
        <w:spacing w:line="540" w:lineRule="exact"/>
        <w:contextualSpacing/>
        <w:rPr>
          <w:rFonts w:ascii="宋体" w:hAnsi="宋体" w:cs="宋体"/>
          <w:szCs w:val="21"/>
        </w:rPr>
      </w:pPr>
      <w:r>
        <w:rPr>
          <w:rFonts w:hint="eastAsia" w:ascii="宋体" w:hAnsi="宋体" w:cs="宋体"/>
          <w:szCs w:val="21"/>
        </w:rPr>
        <w:t xml:space="preserve">    委托期限：自   年   月  日起至   年   月  日止。</w:t>
      </w:r>
    </w:p>
    <w:p w14:paraId="3F503F97">
      <w:pPr>
        <w:spacing w:line="540" w:lineRule="exact"/>
        <w:ind w:hanging="210"/>
        <w:contextualSpacing/>
        <w:rPr>
          <w:rFonts w:ascii="宋体" w:hAnsi="宋体" w:cs="宋体"/>
          <w:szCs w:val="21"/>
        </w:rPr>
      </w:pPr>
      <w:r>
        <w:rPr>
          <w:rFonts w:hint="eastAsia" w:ascii="宋体" w:hAnsi="宋体" w:cs="宋体"/>
          <w:szCs w:val="21"/>
        </w:rPr>
        <w:t>特此告知。</w:t>
      </w:r>
    </w:p>
    <w:p w14:paraId="2C4DF59D">
      <w:pPr>
        <w:spacing w:line="540" w:lineRule="exact"/>
        <w:ind w:left="631" w:hanging="211"/>
        <w:contextualSpacing/>
        <w:rPr>
          <w:rFonts w:ascii="宋体" w:hAnsi="宋体" w:cs="宋体"/>
          <w:b/>
          <w:bCs/>
          <w:szCs w:val="21"/>
        </w:rPr>
      </w:pPr>
    </w:p>
    <w:p w14:paraId="0AA7D477">
      <w:pPr>
        <w:spacing w:line="540" w:lineRule="exact"/>
        <w:ind w:left="631" w:hanging="211"/>
        <w:contextualSpacing/>
        <w:rPr>
          <w:rFonts w:ascii="黑体" w:hAnsi="黑体" w:eastAsia="黑体" w:cs="黑体"/>
          <w:szCs w:val="21"/>
        </w:rPr>
      </w:pPr>
      <w:r>
        <w:rPr>
          <w:rFonts w:hint="eastAsia" w:ascii="黑体" w:hAnsi="黑体" w:eastAsia="黑体" w:cs="黑体"/>
          <w:b/>
          <w:bCs/>
          <w:szCs w:val="21"/>
        </w:rPr>
        <w:t>附代理人身份证正反面复印件</w:t>
      </w:r>
    </w:p>
    <w:p w14:paraId="73B2EFB1">
      <w:pPr>
        <w:spacing w:line="540" w:lineRule="exact"/>
        <w:contextualSpacing/>
        <w:rPr>
          <w:rFonts w:ascii="宋体" w:hAnsi="宋体" w:cs="宋体"/>
          <w:szCs w:val="21"/>
        </w:rPr>
      </w:pPr>
      <w:r>
        <w:rPr>
          <w:rFonts w:hint="eastAsia" w:ascii="宋体" w:hAnsi="宋体" w:cs="宋体"/>
          <w:szCs w:val="21"/>
        </w:rPr>
        <w:t xml:space="preserve">                                     联合体成员名称(签章)：</w:t>
      </w:r>
    </w:p>
    <w:p w14:paraId="107A36E9">
      <w:pPr>
        <w:spacing w:line="540" w:lineRule="exact"/>
        <w:ind w:left="420" w:firstLine="3885" w:firstLineChars="1850"/>
        <w:contextualSpacing/>
        <w:rPr>
          <w:rFonts w:ascii="宋体" w:hAnsi="宋体" w:cs="宋体"/>
          <w:szCs w:val="21"/>
        </w:rPr>
      </w:pPr>
      <w:r>
        <w:rPr>
          <w:rFonts w:hint="eastAsia" w:ascii="宋体" w:hAnsi="宋体" w:cs="宋体"/>
          <w:szCs w:val="21"/>
        </w:rPr>
        <w:t>联合体成员名称(签章)：</w:t>
      </w:r>
    </w:p>
    <w:p w14:paraId="43C1031D">
      <w:pPr>
        <w:spacing w:line="540" w:lineRule="exact"/>
        <w:ind w:left="420" w:firstLine="3885" w:firstLineChars="1850"/>
        <w:contextualSpacing/>
        <w:rPr>
          <w:rFonts w:ascii="宋体" w:hAnsi="宋体" w:cs="宋体"/>
          <w:szCs w:val="21"/>
        </w:rPr>
      </w:pPr>
      <w:r>
        <w:rPr>
          <w:rFonts w:hint="eastAsia" w:ascii="宋体" w:hAnsi="宋体" w:cs="宋体"/>
          <w:szCs w:val="21"/>
        </w:rPr>
        <w:t>……</w:t>
      </w:r>
    </w:p>
    <w:p w14:paraId="27DED268">
      <w:pPr>
        <w:spacing w:line="540" w:lineRule="exact"/>
        <w:contextualSpacing/>
        <w:rPr>
          <w:rFonts w:hint="eastAsia" w:ascii="宋体" w:hAnsi="宋体" w:cs="宋体"/>
          <w:szCs w:val="21"/>
        </w:rPr>
      </w:pPr>
      <w:r>
        <w:rPr>
          <w:rFonts w:hint="eastAsia" w:ascii="宋体" w:hAnsi="宋体" w:cs="宋体"/>
          <w:szCs w:val="21"/>
        </w:rPr>
        <w:t xml:space="preserve">             </w:t>
      </w:r>
    </w:p>
    <w:p w14:paraId="100DACD1">
      <w:pPr>
        <w:spacing w:line="540" w:lineRule="exact"/>
        <w:contextualSpacing/>
        <w:rPr>
          <w:rFonts w:ascii="仿宋_GB2312" w:eastAsia="仿宋_GB2312"/>
          <w:b/>
          <w:sz w:val="24"/>
        </w:rPr>
      </w:pPr>
      <w:r>
        <w:rPr>
          <w:rFonts w:hint="eastAsia" w:ascii="宋体" w:hAnsi="宋体" w:cs="宋体"/>
          <w:szCs w:val="21"/>
          <w:lang w:eastAsia="zh-CN"/>
        </w:rPr>
        <w:t>、</w:t>
      </w:r>
      <w:r>
        <w:rPr>
          <w:rFonts w:hint="eastAsia" w:ascii="宋体" w:hAnsi="宋体" w:cs="宋体"/>
          <w:szCs w:val="21"/>
        </w:rPr>
        <w:t xml:space="preserve">                        签发日期：  年  月   日</w:t>
      </w:r>
    </w:p>
    <w:p w14:paraId="4A2AC1CA">
      <w:pPr>
        <w:spacing w:line="540" w:lineRule="exact"/>
        <w:ind w:left="701" w:hanging="281"/>
        <w:contextualSpacing/>
        <w:jc w:val="center"/>
        <w:rPr>
          <w:rFonts w:ascii="黑体" w:hAnsi="黑体" w:eastAsia="黑体" w:cs="黑体"/>
          <w:b/>
          <w:sz w:val="28"/>
          <w:szCs w:val="28"/>
        </w:rPr>
      </w:pPr>
      <w:r>
        <w:rPr>
          <w:rFonts w:hint="eastAsia" w:ascii="黑体" w:hAnsi="黑体" w:eastAsia="黑体" w:cs="黑体"/>
          <w:b/>
          <w:sz w:val="28"/>
          <w:szCs w:val="28"/>
        </w:rPr>
        <w:t>（三）法定代表人、单位负责人或自然人本人的身份证明（适用于法定代表人、单位负责人或者自然人本人代表投标人参加投标）</w:t>
      </w:r>
    </w:p>
    <w:tbl>
      <w:tblPr>
        <w:tblStyle w:val="60"/>
        <w:tblpPr w:leftFromText="180" w:rightFromText="180" w:vertAnchor="text" w:horzAnchor="page" w:tblpX="1946" w:tblpY="1149"/>
        <w:tblOverlap w:val="never"/>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14:paraId="3DE4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7" w:hRule="atLeast"/>
        </w:trPr>
        <w:tc>
          <w:tcPr>
            <w:tcW w:w="8400" w:type="dxa"/>
          </w:tcPr>
          <w:p w14:paraId="12320C02">
            <w:pPr>
              <w:spacing w:line="540" w:lineRule="exact"/>
              <w:contextualSpacing/>
              <w:rPr>
                <w:rFonts w:ascii="宋体" w:hAnsi="宋体" w:cs="宋体"/>
                <w:szCs w:val="21"/>
              </w:rPr>
            </w:pPr>
            <w:r>
              <w:rPr>
                <w:rFonts w:hint="eastAsia" w:ascii="宋体" w:hAnsi="宋体" w:cs="宋体"/>
                <w:szCs w:val="21"/>
              </w:rPr>
              <w:t>正面：                                 反面：</w:t>
            </w:r>
          </w:p>
          <w:p w14:paraId="679EFA9A">
            <w:pPr>
              <w:spacing w:line="540" w:lineRule="exact"/>
              <w:contextualSpacing/>
              <w:rPr>
                <w:rFonts w:ascii="宋体" w:hAnsi="宋体" w:cs="宋体"/>
                <w:szCs w:val="21"/>
              </w:rPr>
            </w:pPr>
          </w:p>
        </w:tc>
      </w:tr>
    </w:tbl>
    <w:p w14:paraId="273BF1F3">
      <w:pPr>
        <w:spacing w:line="540" w:lineRule="exact"/>
        <w:contextualSpacing/>
        <w:rPr>
          <w:rFonts w:ascii="宋体" w:hAnsi="宋体" w:cs="宋体"/>
          <w:szCs w:val="21"/>
        </w:rPr>
      </w:pPr>
    </w:p>
    <w:p w14:paraId="620B8087">
      <w:pPr>
        <w:spacing w:line="540" w:lineRule="exact"/>
        <w:contextualSpacing/>
        <w:rPr>
          <w:rFonts w:ascii="宋体" w:hAnsi="宋体" w:cs="宋体"/>
          <w:szCs w:val="21"/>
        </w:rPr>
      </w:pPr>
      <w:r>
        <w:rPr>
          <w:rFonts w:hint="eastAsia" w:ascii="宋体" w:hAnsi="宋体" w:cs="宋体"/>
          <w:szCs w:val="21"/>
        </w:rPr>
        <w:t>身份证件扫描件：</w:t>
      </w:r>
    </w:p>
    <w:p w14:paraId="275E974F">
      <w:pPr>
        <w:spacing w:line="540" w:lineRule="exact"/>
        <w:contextualSpacing/>
        <w:rPr>
          <w:rFonts w:ascii="宋体" w:hAnsi="宋体" w:cs="宋体"/>
          <w:szCs w:val="21"/>
        </w:rPr>
      </w:pPr>
      <w:r>
        <w:rPr>
          <w:rFonts w:hint="eastAsia" w:ascii="宋体" w:hAnsi="宋体" w:cs="宋体"/>
          <w:szCs w:val="21"/>
        </w:rPr>
        <w:t xml:space="preserve">                                   </w:t>
      </w:r>
    </w:p>
    <w:p w14:paraId="001A4BE9">
      <w:pPr>
        <w:spacing w:line="540" w:lineRule="exact"/>
        <w:contextualSpacing/>
        <w:rPr>
          <w:rFonts w:ascii="宋体" w:hAnsi="宋体" w:cs="宋体"/>
          <w:szCs w:val="21"/>
        </w:rPr>
      </w:pPr>
    </w:p>
    <w:p w14:paraId="0948FB94">
      <w:pPr>
        <w:spacing w:line="540" w:lineRule="exact"/>
        <w:contextualSpacing/>
        <w:rPr>
          <w:rFonts w:ascii="宋体" w:hAnsi="宋体" w:cs="宋体"/>
          <w:szCs w:val="21"/>
        </w:rPr>
      </w:pPr>
    </w:p>
    <w:p w14:paraId="04F13885">
      <w:pPr>
        <w:spacing w:line="540" w:lineRule="exact"/>
        <w:ind w:left="420" w:firstLine="3570" w:firstLineChars="1700"/>
        <w:contextualSpacing/>
        <w:rPr>
          <w:rFonts w:hint="eastAsia" w:ascii="宋体" w:hAnsi="宋体" w:cs="宋体"/>
          <w:szCs w:val="21"/>
        </w:rPr>
      </w:pPr>
      <w:r>
        <w:rPr>
          <w:rFonts w:hint="eastAsia" w:ascii="宋体" w:hAnsi="宋体" w:cs="宋体"/>
          <w:szCs w:val="21"/>
        </w:rPr>
        <w:t>投</w:t>
      </w:r>
    </w:p>
    <w:p w14:paraId="4E05E7C5">
      <w:pPr>
        <w:spacing w:line="540" w:lineRule="exact"/>
        <w:ind w:left="420" w:firstLine="3570" w:firstLineChars="1700"/>
        <w:contextualSpacing/>
        <w:rPr>
          <w:rFonts w:hint="eastAsia" w:ascii="宋体" w:hAnsi="宋体" w:cs="宋体"/>
          <w:szCs w:val="21"/>
        </w:rPr>
      </w:pPr>
      <w:r>
        <w:rPr>
          <w:rFonts w:hint="eastAsia" w:ascii="宋体" w:hAnsi="宋体" w:cs="宋体"/>
          <w:szCs w:val="21"/>
        </w:rPr>
        <w:t>标人</w:t>
      </w:r>
    </w:p>
    <w:p w14:paraId="208E2E3D">
      <w:pPr>
        <w:spacing w:line="540" w:lineRule="exact"/>
        <w:ind w:left="420" w:firstLine="3570" w:firstLineChars="1700"/>
        <w:contextualSpacing/>
        <w:rPr>
          <w:rFonts w:ascii="宋体" w:hAnsi="宋体" w:cs="宋体"/>
          <w:szCs w:val="21"/>
        </w:rPr>
      </w:pPr>
      <w:r>
        <w:rPr>
          <w:rFonts w:hint="eastAsia" w:ascii="宋体" w:hAnsi="宋体" w:cs="宋体"/>
          <w:szCs w:val="21"/>
        </w:rPr>
        <w:t xml:space="preserve">                             </w:t>
      </w:r>
    </w:p>
    <w:p w14:paraId="1D1C76DC">
      <w:pPr>
        <w:spacing w:line="540" w:lineRule="exact"/>
        <w:contextualSpacing/>
        <w:rPr>
          <w:rFonts w:ascii="宋体" w:hAnsi="宋体" w:cs="宋体"/>
          <w:szCs w:val="21"/>
        </w:rPr>
      </w:pPr>
      <w:r>
        <w:rPr>
          <w:rFonts w:hint="eastAsia" w:ascii="宋体" w:hAnsi="宋体" w:cs="宋体"/>
          <w:szCs w:val="21"/>
        </w:rPr>
        <w:t xml:space="preserve">                                   </w:t>
      </w:r>
    </w:p>
    <w:p w14:paraId="4D09C414">
      <w:pPr>
        <w:pStyle w:val="43"/>
        <w:jc w:val="both"/>
        <w:rPr>
          <w:rFonts w:ascii="宋体" w:hAnsi="宋体" w:cs="宋体"/>
          <w:sz w:val="21"/>
          <w:szCs w:val="21"/>
        </w:rPr>
      </w:pPr>
    </w:p>
    <w:p w14:paraId="44880029">
      <w:pPr>
        <w:spacing w:line="360" w:lineRule="auto"/>
        <w:jc w:val="left"/>
        <w:rPr>
          <w:rFonts w:ascii="宋体" w:hAnsi="宋体"/>
          <w:szCs w:val="21"/>
        </w:rPr>
      </w:pPr>
    </w:p>
    <w:p w14:paraId="3DD52EE3">
      <w:pPr>
        <w:spacing w:line="360" w:lineRule="auto"/>
        <w:jc w:val="left"/>
        <w:rPr>
          <w:rFonts w:ascii="宋体" w:hAnsi="宋体"/>
          <w:szCs w:val="21"/>
        </w:rPr>
      </w:pPr>
    </w:p>
    <w:p w14:paraId="065405E9">
      <w:pPr>
        <w:spacing w:line="360" w:lineRule="auto"/>
        <w:jc w:val="left"/>
        <w:rPr>
          <w:rFonts w:hint="eastAsia" w:ascii="宋体" w:hAnsi="宋体"/>
          <w:szCs w:val="21"/>
          <w:lang w:val="en-US" w:eastAsia="zh-CN"/>
        </w:rPr>
      </w:pPr>
      <w:r>
        <w:rPr>
          <w:rFonts w:hint="eastAsia" w:ascii="宋体" w:hAnsi="宋体"/>
          <w:szCs w:val="21"/>
          <w:lang w:val="en-US" w:eastAsia="zh-CN"/>
        </w:rPr>
        <w:t xml:space="preserve"> </w:t>
      </w:r>
    </w:p>
    <w:p w14:paraId="72C3C51F">
      <w:pPr>
        <w:spacing w:line="360" w:lineRule="auto"/>
        <w:jc w:val="left"/>
        <w:rPr>
          <w:rFonts w:hint="eastAsia" w:ascii="宋体" w:hAnsi="宋体"/>
          <w:szCs w:val="21"/>
          <w:lang w:val="en-US" w:eastAsia="zh-CN"/>
        </w:rPr>
      </w:pPr>
    </w:p>
    <w:p w14:paraId="72B9AC61">
      <w:pPr>
        <w:spacing w:line="360" w:lineRule="auto"/>
        <w:jc w:val="left"/>
        <w:rPr>
          <w:rFonts w:hint="eastAsia" w:ascii="宋体" w:hAnsi="宋体"/>
          <w:szCs w:val="21"/>
          <w:lang w:val="en-US" w:eastAsia="zh-CN"/>
        </w:rPr>
      </w:pPr>
    </w:p>
    <w:p w14:paraId="5B3B509A">
      <w:pPr>
        <w:spacing w:line="360" w:lineRule="auto"/>
        <w:jc w:val="left"/>
        <w:rPr>
          <w:rFonts w:hint="eastAsia" w:ascii="宋体" w:hAnsi="宋体"/>
          <w:szCs w:val="21"/>
          <w:lang w:val="en-US" w:eastAsia="zh-CN"/>
        </w:rPr>
      </w:pPr>
    </w:p>
    <w:p w14:paraId="1D62BEF0">
      <w:pPr>
        <w:spacing w:line="360" w:lineRule="auto"/>
        <w:jc w:val="left"/>
        <w:rPr>
          <w:rFonts w:hint="eastAsia" w:ascii="宋体" w:hAnsi="宋体"/>
          <w:szCs w:val="21"/>
          <w:lang w:val="en-US" w:eastAsia="zh-CN"/>
        </w:rPr>
      </w:pPr>
    </w:p>
    <w:p w14:paraId="41B9A2D3">
      <w:pPr>
        <w:spacing w:line="360" w:lineRule="auto"/>
        <w:ind w:left="5880" w:hanging="5880" w:hangingChars="2800"/>
        <w:jc w:val="left"/>
        <w:rPr>
          <w:rFonts w:hint="eastAsia" w:ascii="宋体" w:hAnsi="宋体" w:cs="宋体"/>
          <w:szCs w:val="21"/>
        </w:rPr>
      </w:pPr>
      <w:r>
        <w:rPr>
          <w:rFonts w:hint="eastAsia" w:ascii="宋体" w:hAnsi="宋体"/>
          <w:szCs w:val="21"/>
          <w:lang w:val="en-US" w:eastAsia="zh-CN"/>
        </w:rPr>
        <w:t xml:space="preserve">                      </w:t>
      </w:r>
      <w:r>
        <w:rPr>
          <w:rFonts w:hint="eastAsia" w:ascii="宋体" w:hAnsi="宋体" w:cs="宋体"/>
          <w:szCs w:val="21"/>
        </w:rPr>
        <w:t xml:space="preserve">名称(签章)： </w:t>
      </w:r>
    </w:p>
    <w:p w14:paraId="30C44604">
      <w:pPr>
        <w:spacing w:line="540" w:lineRule="exact"/>
        <w:ind w:firstLine="5880" w:firstLineChars="2800"/>
        <w:contextualSpacing/>
        <w:rPr>
          <w:rFonts w:hint="eastAsia" w:ascii="宋体" w:hAnsi="宋体" w:cs="宋体"/>
          <w:szCs w:val="21"/>
        </w:rPr>
      </w:pPr>
      <w:r>
        <w:rPr>
          <w:rFonts w:hint="eastAsia" w:ascii="宋体" w:hAnsi="宋体" w:cs="宋体"/>
          <w:szCs w:val="21"/>
        </w:rPr>
        <w:t>日期：  年  月  日</w:t>
      </w:r>
    </w:p>
    <w:p w14:paraId="081AFF83">
      <w:pPr>
        <w:pStyle w:val="59"/>
        <w:rPr>
          <w:rFonts w:hint="eastAsia" w:ascii="宋体" w:hAnsi="宋体" w:cs="宋体"/>
          <w:szCs w:val="21"/>
        </w:rPr>
      </w:pPr>
    </w:p>
    <w:p w14:paraId="568BF7A6">
      <w:pPr>
        <w:rPr>
          <w:rFonts w:hint="eastAsia" w:ascii="宋体" w:hAnsi="宋体" w:cs="宋体"/>
          <w:szCs w:val="21"/>
        </w:rPr>
      </w:pPr>
    </w:p>
    <w:p w14:paraId="069D8FD0">
      <w:pPr>
        <w:pStyle w:val="59"/>
        <w:rPr>
          <w:rFonts w:hint="eastAsia" w:ascii="宋体" w:hAnsi="宋体" w:cs="宋体"/>
          <w:szCs w:val="21"/>
        </w:rPr>
      </w:pPr>
    </w:p>
    <w:p w14:paraId="490C0C93">
      <w:pPr>
        <w:rPr>
          <w:rFonts w:hint="eastAsia" w:ascii="宋体" w:hAnsi="宋体" w:cs="宋体"/>
          <w:szCs w:val="21"/>
        </w:rPr>
      </w:pPr>
    </w:p>
    <w:p w14:paraId="320EC3C7">
      <w:pPr>
        <w:pStyle w:val="59"/>
        <w:rPr>
          <w:rFonts w:hint="eastAsia" w:ascii="宋体" w:hAnsi="宋体" w:cs="宋体"/>
          <w:szCs w:val="21"/>
        </w:rPr>
      </w:pPr>
    </w:p>
    <w:p w14:paraId="2488E838">
      <w:pPr>
        <w:rPr>
          <w:rFonts w:hint="eastAsia" w:ascii="宋体" w:hAnsi="宋体" w:cs="宋体"/>
          <w:szCs w:val="21"/>
        </w:rPr>
      </w:pPr>
    </w:p>
    <w:p w14:paraId="094D07A2">
      <w:pPr>
        <w:pStyle w:val="59"/>
        <w:rPr>
          <w:rFonts w:hint="eastAsia" w:ascii="宋体" w:hAnsi="宋体" w:cs="宋体"/>
          <w:szCs w:val="21"/>
        </w:rPr>
      </w:pPr>
    </w:p>
    <w:p w14:paraId="4FB31435">
      <w:pPr>
        <w:rPr>
          <w:rFonts w:hint="eastAsia" w:ascii="宋体" w:hAnsi="宋体" w:cs="宋体"/>
          <w:szCs w:val="21"/>
        </w:rPr>
      </w:pPr>
    </w:p>
    <w:p w14:paraId="651D57EB">
      <w:pPr>
        <w:pStyle w:val="59"/>
      </w:pPr>
    </w:p>
    <w:p w14:paraId="0FEF4D66">
      <w:pPr>
        <w:pStyle w:val="59"/>
        <w:rPr>
          <w:rFonts w:hint="default"/>
          <w:lang w:val="en-US" w:eastAsia="zh-CN"/>
        </w:rPr>
      </w:pPr>
    </w:p>
    <w:p w14:paraId="342AE638">
      <w:pPr>
        <w:spacing w:line="360" w:lineRule="auto"/>
        <w:jc w:val="left"/>
        <w:outlineLvl w:val="2"/>
        <w:rPr>
          <w:rFonts w:ascii="黑体" w:hAnsi="黑体" w:eastAsia="黑体" w:cs="黑体"/>
          <w:szCs w:val="21"/>
        </w:rPr>
      </w:pPr>
      <w:r>
        <w:rPr>
          <w:rFonts w:hint="eastAsia" w:ascii="黑体" w:hAnsi="黑体" w:eastAsia="黑体" w:cs="黑体"/>
          <w:szCs w:val="21"/>
        </w:rPr>
        <w:t>附件7</w:t>
      </w:r>
    </w:p>
    <w:p w14:paraId="04933A32">
      <w:pPr>
        <w:ind w:left="701" w:hanging="281"/>
        <w:jc w:val="center"/>
        <w:rPr>
          <w:rFonts w:hAnsi="宋体" w:cs="宋体"/>
          <w:b/>
          <w:sz w:val="28"/>
          <w:szCs w:val="28"/>
          <w:lang w:bidi="ar"/>
        </w:rPr>
      </w:pPr>
    </w:p>
    <w:p w14:paraId="6CA243E8">
      <w:pPr>
        <w:ind w:left="701" w:hanging="281"/>
        <w:jc w:val="center"/>
        <w:rPr>
          <w:rFonts w:ascii="黑体" w:hAnsi="黑体" w:eastAsia="黑体" w:cs="黑体"/>
          <w:b/>
          <w:sz w:val="28"/>
          <w:szCs w:val="28"/>
        </w:rPr>
      </w:pPr>
      <w:r>
        <w:rPr>
          <w:rFonts w:hint="eastAsia" w:ascii="黑体" w:hAnsi="黑体" w:eastAsia="黑体" w:cs="黑体"/>
          <w:b/>
          <w:sz w:val="28"/>
          <w:szCs w:val="28"/>
          <w:lang w:bidi="ar"/>
        </w:rPr>
        <w:t>分包意向协议</w:t>
      </w:r>
    </w:p>
    <w:p w14:paraId="5846CBC5">
      <w:pPr>
        <w:spacing w:line="360" w:lineRule="auto"/>
        <w:ind w:left="631" w:hanging="211"/>
        <w:jc w:val="left"/>
        <w:rPr>
          <w:rFonts w:hAnsi="宋体" w:cs="宋体"/>
          <w:b/>
          <w:szCs w:val="21"/>
          <w:lang w:bidi="ar"/>
        </w:rPr>
      </w:pPr>
    </w:p>
    <w:p w14:paraId="718B430B">
      <w:pPr>
        <w:widowControl/>
        <w:spacing w:line="360" w:lineRule="auto"/>
        <w:ind w:left="420" w:firstLine="315" w:firstLineChars="150"/>
        <w:jc w:val="left"/>
        <w:rPr>
          <w:szCs w:val="21"/>
        </w:rPr>
      </w:pPr>
      <w:r>
        <w:rPr>
          <w:szCs w:val="21"/>
        </w:rPr>
        <w:t>（</w:t>
      </w:r>
      <w:r>
        <w:rPr>
          <w:b/>
          <w:szCs w:val="21"/>
        </w:rPr>
        <w:t>中标后以分包方式履行合同的，提供分包意向协议；采购人不同意分包或者投标人中标后不以分包方式履行合同的，则不需要提供。</w:t>
      </w:r>
      <w:r>
        <w:rPr>
          <w:szCs w:val="21"/>
        </w:rPr>
        <w:t>）</w:t>
      </w:r>
    </w:p>
    <w:p w14:paraId="023FEE5F">
      <w:pPr>
        <w:snapToGrid w:val="0"/>
        <w:spacing w:line="360" w:lineRule="auto"/>
        <w:ind w:hanging="210"/>
        <w:rPr>
          <w:kern w:val="0"/>
          <w:szCs w:val="21"/>
          <w:lang w:val="zh-CN"/>
        </w:rPr>
      </w:pPr>
      <w:r>
        <w:rPr>
          <w:kern w:val="0"/>
          <w:szCs w:val="21"/>
          <w:u w:val="single"/>
        </w:rPr>
        <w:t>（投标人名称）</w:t>
      </w:r>
      <w:r>
        <w:rPr>
          <w:kern w:val="0"/>
          <w:szCs w:val="21"/>
          <w:lang w:val="zh-CN"/>
        </w:rPr>
        <w:t>若成为</w:t>
      </w:r>
      <w:r>
        <w:rPr>
          <w:szCs w:val="21"/>
        </w:rPr>
        <w:t>（项目名称）【招标编号：（采购编号）】</w:t>
      </w:r>
      <w:r>
        <w:rPr>
          <w:kern w:val="0"/>
          <w:szCs w:val="21"/>
          <w:lang w:val="zh-CN"/>
        </w:rPr>
        <w:t>的中标</w:t>
      </w:r>
      <w:r>
        <w:rPr>
          <w:rFonts w:hint="eastAsia"/>
          <w:kern w:val="0"/>
          <w:szCs w:val="21"/>
          <w:lang w:val="zh-CN"/>
        </w:rPr>
        <w:t>投标人</w:t>
      </w:r>
      <w:r>
        <w:rPr>
          <w:kern w:val="0"/>
          <w:szCs w:val="21"/>
          <w:lang w:val="zh-CN"/>
        </w:rPr>
        <w:t>，将依法采取分包方式履行合同。</w:t>
      </w:r>
      <w:r>
        <w:rPr>
          <w:kern w:val="0"/>
          <w:szCs w:val="21"/>
          <w:u w:val="single"/>
        </w:rPr>
        <w:t>（投标人名称）</w:t>
      </w:r>
      <w:r>
        <w:rPr>
          <w:kern w:val="0"/>
          <w:szCs w:val="21"/>
        </w:rPr>
        <w:t>与</w:t>
      </w:r>
      <w:r>
        <w:rPr>
          <w:kern w:val="0"/>
          <w:szCs w:val="21"/>
          <w:u w:val="single"/>
        </w:rPr>
        <w:t>（所有分包</w:t>
      </w:r>
      <w:r>
        <w:rPr>
          <w:rFonts w:hint="eastAsia"/>
          <w:kern w:val="0"/>
          <w:szCs w:val="21"/>
          <w:u w:val="single"/>
        </w:rPr>
        <w:t>投标人</w:t>
      </w:r>
      <w:r>
        <w:rPr>
          <w:kern w:val="0"/>
          <w:szCs w:val="21"/>
          <w:u w:val="single"/>
        </w:rPr>
        <w:t>名称）</w:t>
      </w:r>
      <w:r>
        <w:rPr>
          <w:kern w:val="0"/>
          <w:szCs w:val="21"/>
        </w:rPr>
        <w:t>达成分包意向协议</w:t>
      </w:r>
      <w:r>
        <w:rPr>
          <w:kern w:val="0"/>
          <w:szCs w:val="21"/>
          <w:lang w:val="zh-CN"/>
        </w:rPr>
        <w:t xml:space="preserve">。 </w:t>
      </w:r>
    </w:p>
    <w:p w14:paraId="3DEF9175">
      <w:pPr>
        <w:snapToGrid w:val="0"/>
        <w:spacing w:line="360" w:lineRule="auto"/>
        <w:ind w:hanging="210"/>
        <w:rPr>
          <w:kern w:val="0"/>
          <w:szCs w:val="21"/>
          <w:lang w:val="zh-CN"/>
        </w:rPr>
      </w:pPr>
      <w:r>
        <w:rPr>
          <w:kern w:val="0"/>
          <w:szCs w:val="21"/>
          <w:lang w:val="zh-CN"/>
        </w:rPr>
        <w:t>一、分包标的及数量</w:t>
      </w:r>
    </w:p>
    <w:p w14:paraId="4272E7DC">
      <w:pPr>
        <w:snapToGrid w:val="0"/>
        <w:spacing w:line="360" w:lineRule="auto"/>
        <w:ind w:hanging="210"/>
        <w:rPr>
          <w:kern w:val="0"/>
          <w:szCs w:val="21"/>
          <w:lang w:val="zh-CN"/>
        </w:rPr>
      </w:pPr>
      <w:r>
        <w:rPr>
          <w:kern w:val="0"/>
          <w:szCs w:val="21"/>
          <w:u w:val="single"/>
        </w:rPr>
        <w:t>（投标人名称）</w:t>
      </w:r>
      <w:r>
        <w:rPr>
          <w:kern w:val="0"/>
          <w:szCs w:val="21"/>
          <w:lang w:val="zh-CN"/>
        </w:rPr>
        <w:t>将</w:t>
      </w:r>
      <w:r>
        <w:rPr>
          <w:szCs w:val="21"/>
          <w:u w:val="single"/>
        </w:rPr>
        <w:t xml:space="preserve">   XX工作内容   </w:t>
      </w:r>
      <w:r>
        <w:rPr>
          <w:szCs w:val="21"/>
        </w:rPr>
        <w:t>分包给</w:t>
      </w:r>
      <w:r>
        <w:rPr>
          <w:kern w:val="0"/>
          <w:szCs w:val="21"/>
          <w:u w:val="single"/>
        </w:rPr>
        <w:t>（某分包</w:t>
      </w:r>
      <w:r>
        <w:rPr>
          <w:rFonts w:hint="eastAsia"/>
          <w:kern w:val="0"/>
          <w:szCs w:val="21"/>
          <w:u w:val="single"/>
        </w:rPr>
        <w:t>投标人</w:t>
      </w:r>
      <w:r>
        <w:rPr>
          <w:kern w:val="0"/>
          <w:szCs w:val="21"/>
          <w:u w:val="single"/>
        </w:rPr>
        <w:t>名称）</w:t>
      </w:r>
      <w:r>
        <w:rPr>
          <w:kern w:val="0"/>
          <w:szCs w:val="21"/>
          <w:lang w:val="zh-CN"/>
        </w:rPr>
        <w:t>，</w:t>
      </w:r>
      <w:r>
        <w:rPr>
          <w:kern w:val="0"/>
          <w:szCs w:val="21"/>
          <w:u w:val="single"/>
        </w:rPr>
        <w:t>（某分包</w:t>
      </w:r>
      <w:r>
        <w:rPr>
          <w:rFonts w:hint="eastAsia"/>
          <w:kern w:val="0"/>
          <w:szCs w:val="21"/>
          <w:u w:val="single"/>
        </w:rPr>
        <w:t>投标人</w:t>
      </w:r>
      <w:r>
        <w:rPr>
          <w:kern w:val="0"/>
          <w:szCs w:val="21"/>
          <w:u w:val="single"/>
        </w:rPr>
        <w:t>名称），</w:t>
      </w:r>
      <w:r>
        <w:rPr>
          <w:kern w:val="0"/>
          <w:szCs w:val="21"/>
          <w:lang w:val="zh-CN"/>
        </w:rPr>
        <w:t>具备承</w:t>
      </w:r>
      <w:r>
        <w:rPr>
          <w:kern w:val="0"/>
          <w:szCs w:val="21"/>
        </w:rPr>
        <w:t>担</w:t>
      </w:r>
      <w:r>
        <w:rPr>
          <w:kern w:val="0"/>
          <w:szCs w:val="21"/>
          <w:u w:val="single"/>
          <w:lang w:val="zh-CN"/>
        </w:rPr>
        <w:t>XX工作内容</w:t>
      </w:r>
      <w:r>
        <w:rPr>
          <w:kern w:val="0"/>
          <w:szCs w:val="21"/>
          <w:lang w:val="zh-CN"/>
        </w:rPr>
        <w:t>相应资质条件且不得再次分包；</w:t>
      </w:r>
    </w:p>
    <w:p w14:paraId="534BE510">
      <w:pPr>
        <w:spacing w:line="360" w:lineRule="auto"/>
        <w:ind w:left="631" w:hanging="211"/>
        <w:rPr>
          <w:b/>
          <w:szCs w:val="21"/>
        </w:rPr>
      </w:pPr>
      <w:r>
        <w:rPr>
          <w:b/>
          <w:kern w:val="0"/>
          <w:szCs w:val="21"/>
        </w:rPr>
        <w:t>……</w:t>
      </w:r>
    </w:p>
    <w:p w14:paraId="7A010738">
      <w:pPr>
        <w:snapToGrid w:val="0"/>
        <w:spacing w:line="360" w:lineRule="auto"/>
        <w:ind w:hanging="210"/>
        <w:rPr>
          <w:kern w:val="0"/>
          <w:szCs w:val="21"/>
          <w:lang w:val="zh-CN"/>
        </w:rPr>
      </w:pPr>
      <w:r>
        <w:rPr>
          <w:kern w:val="0"/>
          <w:szCs w:val="21"/>
          <w:lang w:val="zh-CN"/>
        </w:rPr>
        <w:t>二、其他</w:t>
      </w:r>
    </w:p>
    <w:p w14:paraId="334D465D">
      <w:pPr>
        <w:snapToGrid w:val="0"/>
        <w:spacing w:line="360" w:lineRule="auto"/>
        <w:ind w:hanging="210"/>
        <w:rPr>
          <w:b/>
          <w:kern w:val="0"/>
          <w:szCs w:val="21"/>
          <w:lang w:val="zh-CN"/>
        </w:rPr>
      </w:pPr>
      <w:r>
        <w:rPr>
          <w:kern w:val="0"/>
          <w:szCs w:val="21"/>
          <w:u w:val="single"/>
        </w:rPr>
        <w:t>（分包</w:t>
      </w:r>
      <w:r>
        <w:rPr>
          <w:rFonts w:hint="eastAsia"/>
          <w:kern w:val="0"/>
          <w:szCs w:val="21"/>
          <w:u w:val="single"/>
        </w:rPr>
        <w:t>投标人</w:t>
      </w:r>
      <w:r>
        <w:rPr>
          <w:kern w:val="0"/>
          <w:szCs w:val="21"/>
          <w:u w:val="single"/>
        </w:rPr>
        <w:t>名称）提供的服务全部由小微企业承接，</w:t>
      </w:r>
      <w:r>
        <w:rPr>
          <w:kern w:val="0"/>
          <w:szCs w:val="21"/>
        </w:rPr>
        <w:t>其合同份额占到合同总金额</w:t>
      </w:r>
      <w:r>
        <w:rPr>
          <w:kern w:val="0"/>
          <w:szCs w:val="21"/>
          <w:u w:val="single"/>
        </w:rPr>
        <w:t xml:space="preserve">     </w:t>
      </w:r>
      <w:r>
        <w:rPr>
          <w:kern w:val="0"/>
          <w:szCs w:val="21"/>
        </w:rPr>
        <w:t>%以上</w:t>
      </w:r>
      <w:r>
        <w:rPr>
          <w:szCs w:val="21"/>
        </w:rPr>
        <w:t>。</w:t>
      </w:r>
      <w:r>
        <w:rPr>
          <w:b/>
          <w:kern w:val="0"/>
          <w:szCs w:val="21"/>
          <w:lang w:val="zh-CN"/>
        </w:rPr>
        <w:t>（未预留份额专门面向中小企业采购的的采购项目，以及预留份额中的非预留部分采购包，允许分包的，分包</w:t>
      </w:r>
      <w:r>
        <w:rPr>
          <w:rFonts w:hint="eastAsia"/>
          <w:b/>
          <w:kern w:val="0"/>
          <w:szCs w:val="21"/>
          <w:lang w:val="zh-CN"/>
        </w:rPr>
        <w:t>投标人</w:t>
      </w:r>
      <w:r>
        <w:rPr>
          <w:b/>
          <w:kern w:val="0"/>
          <w:szCs w:val="21"/>
          <w:lang w:val="zh-CN"/>
        </w:rPr>
        <w:t>提供的服务全部由小微企业承接，且其合同份额占到合同总金额 30%以上的，对大中型企业的报价给予4%的扣除）</w:t>
      </w:r>
    </w:p>
    <w:p w14:paraId="0E10C081">
      <w:pPr>
        <w:snapToGrid w:val="0"/>
        <w:spacing w:line="360" w:lineRule="auto"/>
        <w:rPr>
          <w:kern w:val="0"/>
          <w:szCs w:val="21"/>
          <w:lang w:val="zh-CN"/>
        </w:rPr>
      </w:pPr>
      <w:r>
        <w:rPr>
          <w:kern w:val="0"/>
          <w:szCs w:val="21"/>
          <w:lang w:val="zh-CN"/>
        </w:rPr>
        <w:t xml:space="preserve">                                               </w:t>
      </w:r>
    </w:p>
    <w:p w14:paraId="74448FC1">
      <w:pPr>
        <w:spacing w:line="360" w:lineRule="auto"/>
        <w:ind w:left="420" w:right="480" w:firstLine="420" w:firstLineChars="200"/>
        <w:jc w:val="center"/>
        <w:rPr>
          <w:rFonts w:ascii="宋体" w:hAnsi="宋体" w:cs="宋体"/>
          <w:kern w:val="0"/>
          <w:szCs w:val="21"/>
          <w:lang w:val="zh-CN"/>
        </w:rPr>
      </w:pPr>
    </w:p>
    <w:p w14:paraId="3DE98F1A">
      <w:pPr>
        <w:spacing w:line="360" w:lineRule="auto"/>
        <w:ind w:left="420" w:right="480" w:firstLine="420" w:firstLineChars="200"/>
        <w:jc w:val="right"/>
        <w:rPr>
          <w:rFonts w:ascii="宋体" w:hAnsi="宋体" w:cs="宋体"/>
          <w:kern w:val="0"/>
          <w:szCs w:val="21"/>
          <w:lang w:val="zh-CN"/>
        </w:rPr>
      </w:pPr>
      <w:r>
        <w:rPr>
          <w:rFonts w:hint="eastAsia" w:ascii="宋体" w:hAnsi="宋体" w:cs="宋体"/>
          <w:kern w:val="0"/>
          <w:szCs w:val="21"/>
        </w:rPr>
        <w:t xml:space="preserve">                             </w:t>
      </w:r>
      <w:r>
        <w:rPr>
          <w:rFonts w:hint="eastAsia" w:ascii="宋体" w:hAnsi="宋体" w:cs="宋体"/>
          <w:kern w:val="0"/>
          <w:szCs w:val="21"/>
          <w:lang w:val="zh-CN"/>
        </w:rPr>
        <w:t>投标人名称（签章）：</w:t>
      </w:r>
    </w:p>
    <w:p w14:paraId="6D877198">
      <w:pPr>
        <w:spacing w:line="360" w:lineRule="auto"/>
        <w:ind w:left="420" w:right="480" w:firstLine="420" w:firstLineChars="200"/>
        <w:jc w:val="right"/>
        <w:rPr>
          <w:rFonts w:ascii="宋体" w:hAnsi="宋体" w:cs="宋体"/>
          <w:kern w:val="0"/>
          <w:szCs w:val="21"/>
          <w:lang w:val="zh-CN"/>
        </w:rPr>
      </w:pPr>
      <w:r>
        <w:rPr>
          <w:rFonts w:hint="eastAsia" w:ascii="宋体" w:hAnsi="宋体" w:cs="宋体"/>
          <w:kern w:val="0"/>
          <w:szCs w:val="21"/>
          <w:lang w:val="zh-CN"/>
        </w:rPr>
        <w:t xml:space="preserve">                             分包投标人名称（签章）：</w:t>
      </w:r>
    </w:p>
    <w:p w14:paraId="17FEA7C1">
      <w:pPr>
        <w:spacing w:line="360" w:lineRule="auto"/>
        <w:ind w:left="420" w:right="480" w:firstLine="3570" w:firstLineChars="1700"/>
        <w:jc w:val="right"/>
        <w:rPr>
          <w:rFonts w:ascii="宋体" w:hAnsi="宋体" w:cs="宋体"/>
          <w:kern w:val="0"/>
          <w:szCs w:val="21"/>
          <w:lang w:val="zh-CN"/>
        </w:rPr>
      </w:pPr>
      <w:r>
        <w:rPr>
          <w:rFonts w:hint="eastAsia" w:ascii="宋体" w:hAnsi="宋体" w:cs="宋体"/>
          <w:kern w:val="0"/>
          <w:szCs w:val="21"/>
          <w:lang w:val="zh-CN"/>
        </w:rPr>
        <w:t>……</w:t>
      </w:r>
    </w:p>
    <w:p w14:paraId="0A1925CE">
      <w:pPr>
        <w:pStyle w:val="73"/>
        <w:jc w:val="right"/>
      </w:pPr>
      <w:r>
        <w:rPr>
          <w:rFonts w:hint="eastAsia"/>
        </w:rPr>
        <w:t>日期：    年   月   日</w:t>
      </w:r>
    </w:p>
    <w:p w14:paraId="170131BB">
      <w:pPr>
        <w:pStyle w:val="73"/>
        <w:rPr>
          <w:rFonts w:ascii="宋体" w:hAnsi="宋体" w:eastAsia="宋体" w:cs="宋体"/>
          <w:sz w:val="21"/>
          <w:szCs w:val="21"/>
          <w:lang w:val="zh-CN"/>
        </w:rPr>
      </w:pPr>
    </w:p>
    <w:p w14:paraId="21496517">
      <w:pPr>
        <w:pStyle w:val="74"/>
        <w:rPr>
          <w:rFonts w:ascii="宋体" w:hAnsi="宋体" w:cs="宋体"/>
          <w:szCs w:val="21"/>
          <w:lang w:val="zh-CN"/>
        </w:rPr>
      </w:pPr>
    </w:p>
    <w:p w14:paraId="2AD6023D">
      <w:pPr>
        <w:rPr>
          <w:rFonts w:ascii="宋体" w:hAnsi="宋体" w:cs="宋体"/>
          <w:kern w:val="0"/>
          <w:szCs w:val="21"/>
          <w:lang w:val="zh-CN"/>
        </w:rPr>
      </w:pPr>
    </w:p>
    <w:p w14:paraId="1EAACFC3">
      <w:pPr>
        <w:pStyle w:val="73"/>
        <w:rPr>
          <w:rFonts w:ascii="宋体" w:hAnsi="宋体" w:eastAsia="宋体" w:cs="宋体"/>
          <w:sz w:val="21"/>
          <w:szCs w:val="21"/>
          <w:lang w:val="zh-CN"/>
        </w:rPr>
      </w:pPr>
    </w:p>
    <w:p w14:paraId="4030BB76">
      <w:pPr>
        <w:pStyle w:val="74"/>
        <w:rPr>
          <w:rFonts w:ascii="宋体" w:hAnsi="宋体" w:cs="宋体"/>
          <w:szCs w:val="21"/>
          <w:lang w:val="zh-CN"/>
        </w:rPr>
      </w:pPr>
    </w:p>
    <w:p w14:paraId="45A96A94">
      <w:pPr>
        <w:rPr>
          <w:rFonts w:ascii="宋体" w:hAnsi="宋体" w:cs="宋体"/>
          <w:kern w:val="0"/>
          <w:szCs w:val="21"/>
          <w:lang w:val="zh-CN"/>
        </w:rPr>
      </w:pPr>
    </w:p>
    <w:p w14:paraId="0B65AEB2">
      <w:pPr>
        <w:pStyle w:val="73"/>
        <w:rPr>
          <w:rFonts w:ascii="宋体" w:hAnsi="宋体" w:eastAsia="宋体" w:cs="宋体"/>
          <w:sz w:val="21"/>
          <w:szCs w:val="21"/>
          <w:lang w:val="zh-CN"/>
        </w:rPr>
      </w:pPr>
    </w:p>
    <w:p w14:paraId="483BDEF9">
      <w:pPr>
        <w:pStyle w:val="74"/>
        <w:rPr>
          <w:rFonts w:ascii="宋体" w:hAnsi="宋体" w:cs="宋体"/>
          <w:szCs w:val="21"/>
          <w:lang w:val="zh-CN"/>
        </w:rPr>
      </w:pPr>
    </w:p>
    <w:p w14:paraId="67C9F774">
      <w:pPr>
        <w:rPr>
          <w:rFonts w:ascii="宋体" w:hAnsi="宋体" w:cs="宋体"/>
          <w:kern w:val="0"/>
          <w:szCs w:val="21"/>
          <w:lang w:val="zh-CN"/>
        </w:rPr>
      </w:pPr>
    </w:p>
    <w:p w14:paraId="649BB430">
      <w:pPr>
        <w:pStyle w:val="73"/>
        <w:rPr>
          <w:rFonts w:ascii="宋体" w:hAnsi="宋体" w:eastAsia="宋体" w:cs="宋体"/>
          <w:sz w:val="21"/>
          <w:szCs w:val="21"/>
          <w:lang w:val="zh-CN"/>
        </w:rPr>
      </w:pPr>
    </w:p>
    <w:p w14:paraId="739C8D28">
      <w:pPr>
        <w:pStyle w:val="74"/>
        <w:rPr>
          <w:rFonts w:ascii="宋体" w:hAnsi="宋体" w:cs="宋体"/>
          <w:szCs w:val="21"/>
          <w:lang w:val="zh-CN"/>
        </w:rPr>
      </w:pPr>
    </w:p>
    <w:p w14:paraId="24272CA0">
      <w:pPr>
        <w:rPr>
          <w:rFonts w:ascii="宋体" w:hAnsi="宋体" w:cs="宋体"/>
          <w:kern w:val="0"/>
          <w:szCs w:val="21"/>
          <w:lang w:val="zh-CN"/>
        </w:rPr>
      </w:pPr>
    </w:p>
    <w:p w14:paraId="23893BEE">
      <w:pPr>
        <w:pStyle w:val="73"/>
        <w:rPr>
          <w:rFonts w:ascii="宋体" w:hAnsi="宋体" w:eastAsia="宋体" w:cs="宋体"/>
          <w:sz w:val="21"/>
          <w:szCs w:val="21"/>
          <w:lang w:val="zh-CN"/>
        </w:rPr>
      </w:pPr>
    </w:p>
    <w:p w14:paraId="42A5BA56">
      <w:pPr>
        <w:pStyle w:val="74"/>
        <w:rPr>
          <w:rFonts w:ascii="宋体" w:hAnsi="宋体" w:cs="宋体"/>
          <w:szCs w:val="21"/>
          <w:lang w:val="zh-CN"/>
        </w:rPr>
      </w:pPr>
    </w:p>
    <w:p w14:paraId="3DE68EA9">
      <w:pPr>
        <w:rPr>
          <w:rFonts w:ascii="宋体" w:hAnsi="宋体" w:cs="宋体"/>
          <w:kern w:val="0"/>
          <w:szCs w:val="21"/>
          <w:lang w:val="zh-CN"/>
        </w:rPr>
      </w:pPr>
    </w:p>
    <w:p w14:paraId="7071D01C">
      <w:pPr>
        <w:pStyle w:val="73"/>
        <w:rPr>
          <w:rFonts w:ascii="宋体" w:hAnsi="宋体" w:eastAsia="宋体" w:cs="宋体"/>
          <w:sz w:val="21"/>
          <w:szCs w:val="21"/>
          <w:lang w:val="zh-CN"/>
        </w:rPr>
      </w:pPr>
    </w:p>
    <w:p w14:paraId="662F68AE">
      <w:pPr>
        <w:pStyle w:val="74"/>
        <w:rPr>
          <w:rFonts w:ascii="宋体" w:hAnsi="宋体" w:eastAsia="宋体" w:cs="宋体"/>
          <w:sz w:val="21"/>
          <w:szCs w:val="21"/>
          <w:lang w:val="zh-CN"/>
        </w:rPr>
      </w:pPr>
    </w:p>
    <w:p w14:paraId="35D9EA25">
      <w:pPr>
        <w:rPr>
          <w:lang w:val="zh-CN"/>
        </w:rPr>
      </w:pPr>
    </w:p>
    <w:p w14:paraId="18CAF417">
      <w:pPr>
        <w:pStyle w:val="74"/>
        <w:rPr>
          <w:rFonts w:ascii="宋体" w:hAnsi="宋体" w:cs="宋体"/>
          <w:szCs w:val="21"/>
          <w:lang w:val="zh-CN"/>
        </w:rPr>
      </w:pPr>
    </w:p>
    <w:p w14:paraId="143B6CBD">
      <w:pPr>
        <w:rPr>
          <w:rFonts w:ascii="宋体" w:hAnsi="宋体" w:cs="宋体"/>
          <w:kern w:val="0"/>
          <w:szCs w:val="21"/>
          <w:lang w:val="zh-CN"/>
        </w:rPr>
      </w:pPr>
    </w:p>
    <w:p w14:paraId="28AECFDC">
      <w:pPr>
        <w:outlineLvl w:val="2"/>
        <w:rPr>
          <w:rFonts w:ascii="黑体" w:hAnsi="黑体" w:eastAsia="黑体" w:cs="黑体"/>
          <w:szCs w:val="21"/>
        </w:rPr>
      </w:pPr>
      <w:r>
        <w:rPr>
          <w:rFonts w:hint="eastAsia" w:ascii="黑体" w:hAnsi="黑体" w:eastAsia="黑体" w:cs="黑体"/>
          <w:szCs w:val="21"/>
        </w:rPr>
        <w:t>附件8</w:t>
      </w:r>
    </w:p>
    <w:p w14:paraId="507642A5">
      <w:pPr>
        <w:spacing w:line="360" w:lineRule="auto"/>
        <w:jc w:val="left"/>
        <w:rPr>
          <w:rFonts w:ascii="宋体" w:hAnsi="宋体"/>
          <w:szCs w:val="21"/>
        </w:rPr>
      </w:pPr>
    </w:p>
    <w:p w14:paraId="15255769">
      <w:pPr>
        <w:spacing w:line="540" w:lineRule="exact"/>
        <w:ind w:left="701" w:hanging="281"/>
        <w:contextualSpacing/>
        <w:jc w:val="center"/>
        <w:rPr>
          <w:rFonts w:ascii="黑体" w:hAnsi="黑体" w:eastAsia="黑体" w:cs="黑体"/>
          <w:b/>
          <w:sz w:val="28"/>
          <w:szCs w:val="28"/>
        </w:rPr>
      </w:pPr>
      <w:r>
        <w:rPr>
          <w:rFonts w:hint="eastAsia" w:ascii="黑体" w:hAnsi="黑体" w:eastAsia="黑体" w:cs="黑体"/>
          <w:b/>
          <w:sz w:val="28"/>
          <w:szCs w:val="28"/>
        </w:rPr>
        <w:t>拟投入的项目班子一览表</w:t>
      </w:r>
    </w:p>
    <w:p w14:paraId="4CDB363B">
      <w:pPr>
        <w:spacing w:line="540" w:lineRule="exact"/>
        <w:contextualSpacing/>
        <w:rPr>
          <w:rFonts w:ascii="宋体" w:hAnsi="宋体" w:cs="宋体"/>
          <w:szCs w:val="21"/>
        </w:rPr>
      </w:pPr>
      <w:r>
        <w:rPr>
          <w:rFonts w:hint="eastAsia" w:ascii="宋体" w:hAnsi="宋体" w:cs="宋体"/>
          <w:szCs w:val="21"/>
        </w:rPr>
        <w:t>（格式仅供参考）</w:t>
      </w:r>
    </w:p>
    <w:p w14:paraId="2865315A">
      <w:pPr>
        <w:spacing w:line="540" w:lineRule="exact"/>
        <w:contextualSpacing/>
        <w:rPr>
          <w:rFonts w:ascii="宋体" w:hAnsi="宋体" w:cs="宋体"/>
          <w:szCs w:val="21"/>
        </w:rPr>
      </w:pPr>
      <w:r>
        <w:rPr>
          <w:rFonts w:hint="eastAsia" w:ascii="宋体" w:hAnsi="宋体" w:cs="宋体"/>
          <w:szCs w:val="21"/>
        </w:rPr>
        <w:t>项目负责人简历表</w:t>
      </w:r>
    </w:p>
    <w:tbl>
      <w:tblPr>
        <w:tblStyle w:val="60"/>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2610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Align w:val="center"/>
          </w:tcPr>
          <w:p w14:paraId="1706BE04">
            <w:pPr>
              <w:spacing w:line="540" w:lineRule="exact"/>
              <w:contextualSpacing/>
              <w:rPr>
                <w:rFonts w:ascii="宋体" w:hAnsi="宋体" w:cs="宋体"/>
                <w:szCs w:val="21"/>
              </w:rPr>
            </w:pPr>
            <w:r>
              <w:rPr>
                <w:rFonts w:hint="eastAsia" w:ascii="宋体" w:hAnsi="宋体" w:cs="宋体"/>
                <w:szCs w:val="21"/>
              </w:rPr>
              <w:t>姓  名</w:t>
            </w:r>
          </w:p>
        </w:tc>
        <w:tc>
          <w:tcPr>
            <w:tcW w:w="1165" w:type="dxa"/>
            <w:gridSpan w:val="2"/>
            <w:vAlign w:val="center"/>
          </w:tcPr>
          <w:p w14:paraId="2CC9F348">
            <w:pPr>
              <w:spacing w:line="540" w:lineRule="exact"/>
              <w:contextualSpacing/>
              <w:rPr>
                <w:rFonts w:ascii="宋体" w:hAnsi="宋体" w:cs="宋体"/>
                <w:szCs w:val="21"/>
              </w:rPr>
            </w:pPr>
          </w:p>
        </w:tc>
        <w:tc>
          <w:tcPr>
            <w:tcW w:w="1155" w:type="dxa"/>
            <w:vAlign w:val="center"/>
          </w:tcPr>
          <w:p w14:paraId="0EE49F66">
            <w:pPr>
              <w:spacing w:line="540" w:lineRule="exact"/>
              <w:contextualSpacing/>
              <w:rPr>
                <w:rFonts w:ascii="宋体" w:hAnsi="宋体" w:cs="宋体"/>
                <w:szCs w:val="21"/>
              </w:rPr>
            </w:pPr>
            <w:r>
              <w:rPr>
                <w:rFonts w:hint="eastAsia" w:ascii="宋体" w:hAnsi="宋体" w:cs="宋体"/>
                <w:szCs w:val="21"/>
              </w:rPr>
              <w:t>年  龄</w:t>
            </w:r>
          </w:p>
        </w:tc>
        <w:tc>
          <w:tcPr>
            <w:tcW w:w="1155" w:type="dxa"/>
            <w:gridSpan w:val="2"/>
            <w:vAlign w:val="center"/>
          </w:tcPr>
          <w:p w14:paraId="42187B68">
            <w:pPr>
              <w:spacing w:line="540" w:lineRule="exact"/>
              <w:contextualSpacing/>
              <w:rPr>
                <w:rFonts w:ascii="宋体" w:hAnsi="宋体" w:cs="宋体"/>
                <w:szCs w:val="21"/>
              </w:rPr>
            </w:pPr>
          </w:p>
        </w:tc>
        <w:tc>
          <w:tcPr>
            <w:tcW w:w="2745" w:type="dxa"/>
            <w:gridSpan w:val="2"/>
            <w:vAlign w:val="center"/>
          </w:tcPr>
          <w:p w14:paraId="0EA8375E">
            <w:pPr>
              <w:spacing w:line="540" w:lineRule="exact"/>
              <w:contextualSpacing/>
              <w:rPr>
                <w:rFonts w:ascii="宋体" w:hAnsi="宋体" w:cs="宋体"/>
                <w:szCs w:val="21"/>
              </w:rPr>
            </w:pPr>
            <w:r>
              <w:rPr>
                <w:rFonts w:hint="eastAsia" w:ascii="宋体" w:hAnsi="宋体" w:cs="宋体"/>
                <w:szCs w:val="21"/>
              </w:rPr>
              <w:t>学历</w:t>
            </w:r>
          </w:p>
        </w:tc>
        <w:tc>
          <w:tcPr>
            <w:tcW w:w="1800" w:type="dxa"/>
            <w:vAlign w:val="center"/>
          </w:tcPr>
          <w:p w14:paraId="76794B99">
            <w:pPr>
              <w:spacing w:line="540" w:lineRule="exact"/>
              <w:contextualSpacing/>
              <w:rPr>
                <w:rFonts w:ascii="宋体" w:hAnsi="宋体" w:cs="宋体"/>
                <w:szCs w:val="21"/>
              </w:rPr>
            </w:pPr>
          </w:p>
        </w:tc>
      </w:tr>
      <w:tr w14:paraId="6A079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Align w:val="center"/>
          </w:tcPr>
          <w:p w14:paraId="4281F095">
            <w:pPr>
              <w:spacing w:line="540" w:lineRule="exact"/>
              <w:contextualSpacing/>
              <w:rPr>
                <w:rFonts w:ascii="宋体" w:hAnsi="宋体" w:cs="宋体"/>
                <w:szCs w:val="21"/>
              </w:rPr>
            </w:pPr>
            <w:r>
              <w:rPr>
                <w:rFonts w:hint="eastAsia" w:ascii="宋体" w:hAnsi="宋体" w:cs="宋体"/>
                <w:szCs w:val="21"/>
              </w:rPr>
              <w:t>职  称</w:t>
            </w:r>
          </w:p>
        </w:tc>
        <w:tc>
          <w:tcPr>
            <w:tcW w:w="1165" w:type="dxa"/>
            <w:gridSpan w:val="2"/>
            <w:vAlign w:val="center"/>
          </w:tcPr>
          <w:p w14:paraId="39083158">
            <w:pPr>
              <w:spacing w:line="540" w:lineRule="exact"/>
              <w:contextualSpacing/>
              <w:rPr>
                <w:rFonts w:ascii="宋体" w:hAnsi="宋体" w:cs="宋体"/>
                <w:szCs w:val="21"/>
              </w:rPr>
            </w:pPr>
          </w:p>
        </w:tc>
        <w:tc>
          <w:tcPr>
            <w:tcW w:w="1155" w:type="dxa"/>
            <w:vAlign w:val="center"/>
          </w:tcPr>
          <w:p w14:paraId="5EA97A34">
            <w:pPr>
              <w:spacing w:line="540" w:lineRule="exact"/>
              <w:contextualSpacing/>
              <w:rPr>
                <w:rFonts w:ascii="宋体" w:hAnsi="宋体" w:cs="宋体"/>
                <w:szCs w:val="21"/>
              </w:rPr>
            </w:pPr>
            <w:r>
              <w:rPr>
                <w:rFonts w:hint="eastAsia" w:ascii="宋体" w:hAnsi="宋体" w:cs="宋体"/>
                <w:szCs w:val="21"/>
              </w:rPr>
              <w:t>职  务</w:t>
            </w:r>
          </w:p>
        </w:tc>
        <w:tc>
          <w:tcPr>
            <w:tcW w:w="1155" w:type="dxa"/>
            <w:gridSpan w:val="2"/>
            <w:vAlign w:val="center"/>
          </w:tcPr>
          <w:p w14:paraId="7DA44053">
            <w:pPr>
              <w:spacing w:line="540" w:lineRule="exact"/>
              <w:contextualSpacing/>
              <w:rPr>
                <w:rFonts w:ascii="宋体" w:hAnsi="宋体" w:cs="宋体"/>
                <w:szCs w:val="21"/>
              </w:rPr>
            </w:pPr>
          </w:p>
        </w:tc>
        <w:tc>
          <w:tcPr>
            <w:tcW w:w="2745" w:type="dxa"/>
            <w:gridSpan w:val="2"/>
            <w:vAlign w:val="center"/>
          </w:tcPr>
          <w:p w14:paraId="2117FD05">
            <w:pPr>
              <w:spacing w:line="540" w:lineRule="exact"/>
              <w:contextualSpacing/>
              <w:rPr>
                <w:rFonts w:ascii="宋体" w:hAnsi="宋体" w:cs="宋体"/>
                <w:szCs w:val="21"/>
              </w:rPr>
            </w:pPr>
            <w:r>
              <w:rPr>
                <w:rFonts w:hint="eastAsia" w:ascii="宋体" w:hAnsi="宋体" w:cs="宋体"/>
                <w:szCs w:val="21"/>
              </w:rPr>
              <w:t>拟在本项目任职</w:t>
            </w:r>
          </w:p>
        </w:tc>
        <w:tc>
          <w:tcPr>
            <w:tcW w:w="1800" w:type="dxa"/>
            <w:vAlign w:val="center"/>
          </w:tcPr>
          <w:p w14:paraId="43098F18">
            <w:pPr>
              <w:spacing w:line="540" w:lineRule="exact"/>
              <w:contextualSpacing/>
              <w:rPr>
                <w:rFonts w:ascii="宋体" w:hAnsi="宋体" w:cs="宋体"/>
                <w:szCs w:val="21"/>
              </w:rPr>
            </w:pPr>
          </w:p>
        </w:tc>
      </w:tr>
      <w:tr w14:paraId="4AE0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Align w:val="center"/>
          </w:tcPr>
          <w:p w14:paraId="065D874B">
            <w:pPr>
              <w:spacing w:line="540" w:lineRule="exact"/>
              <w:contextualSpacing/>
              <w:rPr>
                <w:rFonts w:ascii="宋体" w:hAnsi="宋体" w:cs="宋体"/>
                <w:szCs w:val="21"/>
              </w:rPr>
            </w:pPr>
            <w:r>
              <w:rPr>
                <w:rFonts w:hint="eastAsia" w:ascii="宋体" w:hAnsi="宋体" w:cs="宋体"/>
                <w:szCs w:val="21"/>
              </w:rPr>
              <w:t>毕业院校</w:t>
            </w:r>
          </w:p>
        </w:tc>
        <w:tc>
          <w:tcPr>
            <w:tcW w:w="8020" w:type="dxa"/>
            <w:gridSpan w:val="8"/>
            <w:vAlign w:val="center"/>
          </w:tcPr>
          <w:p w14:paraId="70B977AE">
            <w:pPr>
              <w:spacing w:line="540" w:lineRule="exact"/>
              <w:contextualSpacing/>
              <w:rPr>
                <w:rFonts w:ascii="宋体" w:hAnsi="宋体" w:cs="宋体"/>
                <w:szCs w:val="21"/>
              </w:rPr>
            </w:pPr>
            <w:r>
              <w:rPr>
                <w:rFonts w:hint="eastAsia" w:ascii="宋体" w:hAnsi="宋体" w:cs="宋体"/>
                <w:szCs w:val="21"/>
              </w:rPr>
              <w:t>年毕业于      学校    专业</w:t>
            </w:r>
          </w:p>
        </w:tc>
      </w:tr>
      <w:tr w14:paraId="5EB8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vAlign w:val="center"/>
          </w:tcPr>
          <w:p w14:paraId="43CBE37E">
            <w:pPr>
              <w:spacing w:line="540" w:lineRule="exact"/>
              <w:contextualSpacing/>
              <w:rPr>
                <w:rFonts w:ascii="宋体" w:hAnsi="宋体" w:cs="宋体"/>
                <w:szCs w:val="21"/>
              </w:rPr>
            </w:pPr>
            <w:r>
              <w:rPr>
                <w:rFonts w:hint="eastAsia" w:ascii="宋体" w:hAnsi="宋体" w:cs="宋体"/>
                <w:szCs w:val="21"/>
              </w:rPr>
              <w:t>主要工作履历</w:t>
            </w:r>
          </w:p>
        </w:tc>
      </w:tr>
      <w:tr w14:paraId="1561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vAlign w:val="center"/>
          </w:tcPr>
          <w:p w14:paraId="45171BAE">
            <w:pPr>
              <w:spacing w:line="540" w:lineRule="exact"/>
              <w:contextualSpacing/>
              <w:rPr>
                <w:rFonts w:ascii="宋体" w:hAnsi="宋体" w:cs="宋体"/>
                <w:szCs w:val="21"/>
              </w:rPr>
            </w:pPr>
            <w:r>
              <w:rPr>
                <w:rFonts w:hint="eastAsia" w:ascii="宋体" w:hAnsi="宋体" w:cs="宋体"/>
                <w:szCs w:val="21"/>
              </w:rPr>
              <w:t>时间</w:t>
            </w:r>
          </w:p>
        </w:tc>
        <w:tc>
          <w:tcPr>
            <w:tcW w:w="2297" w:type="dxa"/>
            <w:gridSpan w:val="3"/>
            <w:vAlign w:val="center"/>
          </w:tcPr>
          <w:p w14:paraId="222C8573">
            <w:pPr>
              <w:spacing w:line="540" w:lineRule="exact"/>
              <w:contextualSpacing/>
              <w:rPr>
                <w:rFonts w:ascii="宋体" w:hAnsi="宋体" w:cs="宋体"/>
                <w:szCs w:val="21"/>
              </w:rPr>
            </w:pPr>
            <w:r>
              <w:rPr>
                <w:rFonts w:hint="eastAsia" w:ascii="宋体" w:hAnsi="宋体" w:cs="宋体"/>
                <w:szCs w:val="21"/>
              </w:rPr>
              <w:t>参加过类似项目</w:t>
            </w:r>
          </w:p>
        </w:tc>
        <w:tc>
          <w:tcPr>
            <w:tcW w:w="1701" w:type="dxa"/>
            <w:gridSpan w:val="2"/>
            <w:vAlign w:val="center"/>
          </w:tcPr>
          <w:p w14:paraId="508140C2">
            <w:pPr>
              <w:spacing w:line="540" w:lineRule="exact"/>
              <w:contextualSpacing/>
              <w:rPr>
                <w:rFonts w:ascii="宋体" w:hAnsi="宋体" w:cs="宋体"/>
                <w:szCs w:val="21"/>
              </w:rPr>
            </w:pPr>
            <w:r>
              <w:rPr>
                <w:rFonts w:hint="eastAsia" w:ascii="宋体" w:hAnsi="宋体" w:cs="宋体"/>
                <w:szCs w:val="21"/>
              </w:rPr>
              <w:t>担任职务</w:t>
            </w:r>
          </w:p>
        </w:tc>
        <w:tc>
          <w:tcPr>
            <w:tcW w:w="3313" w:type="dxa"/>
            <w:gridSpan w:val="2"/>
            <w:vAlign w:val="center"/>
          </w:tcPr>
          <w:p w14:paraId="17E722BF">
            <w:pPr>
              <w:spacing w:line="540" w:lineRule="exact"/>
              <w:contextualSpacing/>
              <w:rPr>
                <w:rFonts w:ascii="宋体" w:hAnsi="宋体" w:cs="宋体"/>
                <w:szCs w:val="21"/>
              </w:rPr>
            </w:pPr>
            <w:r>
              <w:rPr>
                <w:rFonts w:hint="eastAsia" w:ascii="宋体" w:hAnsi="宋体" w:cs="宋体"/>
                <w:szCs w:val="21"/>
              </w:rPr>
              <w:t>业主及联系电话</w:t>
            </w:r>
          </w:p>
        </w:tc>
      </w:tr>
      <w:tr w14:paraId="6285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vAlign w:val="center"/>
          </w:tcPr>
          <w:p w14:paraId="4BC22C42">
            <w:pPr>
              <w:spacing w:line="540" w:lineRule="exact"/>
              <w:contextualSpacing/>
              <w:rPr>
                <w:rFonts w:ascii="宋体" w:hAnsi="宋体" w:cs="宋体"/>
                <w:szCs w:val="21"/>
              </w:rPr>
            </w:pPr>
          </w:p>
        </w:tc>
        <w:tc>
          <w:tcPr>
            <w:tcW w:w="2297" w:type="dxa"/>
            <w:gridSpan w:val="3"/>
            <w:vAlign w:val="center"/>
          </w:tcPr>
          <w:p w14:paraId="493157F9">
            <w:pPr>
              <w:spacing w:line="540" w:lineRule="exact"/>
              <w:contextualSpacing/>
              <w:rPr>
                <w:rFonts w:ascii="宋体" w:hAnsi="宋体" w:cs="宋体"/>
                <w:szCs w:val="21"/>
              </w:rPr>
            </w:pPr>
          </w:p>
        </w:tc>
        <w:tc>
          <w:tcPr>
            <w:tcW w:w="1701" w:type="dxa"/>
            <w:gridSpan w:val="2"/>
            <w:vAlign w:val="center"/>
          </w:tcPr>
          <w:p w14:paraId="31B7F23A">
            <w:pPr>
              <w:spacing w:line="540" w:lineRule="exact"/>
              <w:contextualSpacing/>
              <w:rPr>
                <w:rFonts w:ascii="宋体" w:hAnsi="宋体" w:cs="宋体"/>
                <w:szCs w:val="21"/>
              </w:rPr>
            </w:pPr>
          </w:p>
        </w:tc>
        <w:tc>
          <w:tcPr>
            <w:tcW w:w="3313" w:type="dxa"/>
            <w:gridSpan w:val="2"/>
            <w:vAlign w:val="center"/>
          </w:tcPr>
          <w:p w14:paraId="3DBB0525">
            <w:pPr>
              <w:spacing w:line="540" w:lineRule="exact"/>
              <w:contextualSpacing/>
              <w:rPr>
                <w:rFonts w:ascii="宋体" w:hAnsi="宋体" w:cs="宋体"/>
                <w:szCs w:val="21"/>
              </w:rPr>
            </w:pPr>
          </w:p>
        </w:tc>
      </w:tr>
      <w:tr w14:paraId="68B5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vAlign w:val="center"/>
          </w:tcPr>
          <w:p w14:paraId="364A362B">
            <w:pPr>
              <w:spacing w:line="540" w:lineRule="exact"/>
              <w:contextualSpacing/>
              <w:rPr>
                <w:rFonts w:ascii="宋体" w:hAnsi="宋体" w:cs="宋体"/>
                <w:szCs w:val="21"/>
              </w:rPr>
            </w:pPr>
            <w:r>
              <w:rPr>
                <w:rFonts w:hint="eastAsia" w:ascii="宋体" w:hAnsi="宋体" w:cs="宋体"/>
                <w:szCs w:val="21"/>
              </w:rPr>
              <w:t>……</w:t>
            </w:r>
          </w:p>
        </w:tc>
        <w:tc>
          <w:tcPr>
            <w:tcW w:w="2297" w:type="dxa"/>
            <w:gridSpan w:val="3"/>
            <w:vAlign w:val="center"/>
          </w:tcPr>
          <w:p w14:paraId="541EE4AA">
            <w:pPr>
              <w:spacing w:line="540" w:lineRule="exact"/>
              <w:contextualSpacing/>
              <w:rPr>
                <w:rFonts w:ascii="宋体" w:hAnsi="宋体" w:cs="宋体"/>
                <w:szCs w:val="21"/>
              </w:rPr>
            </w:pPr>
          </w:p>
        </w:tc>
        <w:tc>
          <w:tcPr>
            <w:tcW w:w="1701" w:type="dxa"/>
            <w:gridSpan w:val="2"/>
            <w:vAlign w:val="center"/>
          </w:tcPr>
          <w:p w14:paraId="4848711A">
            <w:pPr>
              <w:spacing w:line="540" w:lineRule="exact"/>
              <w:contextualSpacing/>
              <w:rPr>
                <w:rFonts w:ascii="宋体" w:hAnsi="宋体" w:cs="宋体"/>
                <w:szCs w:val="21"/>
              </w:rPr>
            </w:pPr>
          </w:p>
        </w:tc>
        <w:tc>
          <w:tcPr>
            <w:tcW w:w="3313" w:type="dxa"/>
            <w:gridSpan w:val="2"/>
            <w:vAlign w:val="center"/>
          </w:tcPr>
          <w:p w14:paraId="612FDCE9">
            <w:pPr>
              <w:spacing w:line="540" w:lineRule="exact"/>
              <w:contextualSpacing/>
              <w:rPr>
                <w:rFonts w:ascii="宋体" w:hAnsi="宋体" w:cs="宋体"/>
                <w:szCs w:val="21"/>
              </w:rPr>
            </w:pPr>
          </w:p>
        </w:tc>
      </w:tr>
    </w:tbl>
    <w:p w14:paraId="093BA582">
      <w:pPr>
        <w:spacing w:line="540" w:lineRule="exact"/>
        <w:contextualSpacing/>
        <w:rPr>
          <w:rFonts w:ascii="宋体" w:hAnsi="宋体" w:cs="宋体"/>
          <w:szCs w:val="21"/>
        </w:rPr>
      </w:pPr>
      <w:r>
        <w:rPr>
          <w:rFonts w:hint="eastAsia" w:ascii="宋体" w:hAnsi="宋体" w:cs="宋体"/>
          <w:szCs w:val="21"/>
        </w:rPr>
        <w:t>附：执业资格证书、职称证书、学历证书等复印件证明材料</w:t>
      </w:r>
    </w:p>
    <w:p w14:paraId="49D0AE26">
      <w:pPr>
        <w:spacing w:line="540" w:lineRule="exact"/>
        <w:contextualSpacing/>
        <w:rPr>
          <w:rFonts w:ascii="宋体" w:hAnsi="宋体" w:cs="宋体"/>
          <w:szCs w:val="21"/>
        </w:rPr>
      </w:pPr>
    </w:p>
    <w:p w14:paraId="0939166A">
      <w:pPr>
        <w:spacing w:line="540" w:lineRule="exact"/>
        <w:contextualSpacing/>
        <w:rPr>
          <w:rFonts w:ascii="宋体" w:hAnsi="宋体" w:cs="宋体"/>
          <w:szCs w:val="21"/>
        </w:rPr>
      </w:pPr>
      <w:r>
        <w:rPr>
          <w:rFonts w:hint="eastAsia" w:ascii="宋体" w:hAnsi="宋体" w:cs="宋体"/>
          <w:szCs w:val="21"/>
        </w:rPr>
        <w:t>项目班子一览表</w:t>
      </w:r>
    </w:p>
    <w:tbl>
      <w:tblPr>
        <w:tblStyle w:val="60"/>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4D96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14:paraId="4F124865">
            <w:pPr>
              <w:spacing w:line="540" w:lineRule="exact"/>
              <w:contextualSpacing/>
              <w:rPr>
                <w:rFonts w:ascii="宋体" w:hAnsi="宋体" w:cs="宋体"/>
                <w:szCs w:val="21"/>
              </w:rPr>
            </w:pPr>
            <w:r>
              <w:rPr>
                <w:rFonts w:hint="eastAsia" w:ascii="宋体" w:hAnsi="宋体" w:cs="宋体"/>
                <w:szCs w:val="21"/>
              </w:rPr>
              <w:t>姓名</w:t>
            </w:r>
          </w:p>
        </w:tc>
        <w:tc>
          <w:tcPr>
            <w:tcW w:w="1418" w:type="dxa"/>
            <w:vAlign w:val="center"/>
          </w:tcPr>
          <w:p w14:paraId="49F513EC">
            <w:pPr>
              <w:spacing w:line="540" w:lineRule="exact"/>
              <w:contextualSpacing/>
              <w:rPr>
                <w:rFonts w:ascii="宋体" w:hAnsi="宋体" w:cs="宋体"/>
                <w:szCs w:val="21"/>
              </w:rPr>
            </w:pPr>
            <w:r>
              <w:rPr>
                <w:rFonts w:hint="eastAsia" w:ascii="宋体" w:hAnsi="宋体" w:cs="宋体"/>
                <w:szCs w:val="21"/>
              </w:rPr>
              <w:t>职务</w:t>
            </w:r>
          </w:p>
        </w:tc>
        <w:tc>
          <w:tcPr>
            <w:tcW w:w="1984" w:type="dxa"/>
            <w:vAlign w:val="center"/>
          </w:tcPr>
          <w:p w14:paraId="4EDDCD33">
            <w:pPr>
              <w:spacing w:line="540" w:lineRule="exact"/>
              <w:contextualSpacing/>
              <w:rPr>
                <w:rFonts w:ascii="宋体" w:hAnsi="宋体" w:cs="宋体"/>
                <w:szCs w:val="21"/>
              </w:rPr>
            </w:pPr>
            <w:r>
              <w:rPr>
                <w:rFonts w:hint="eastAsia" w:ascii="宋体" w:hAnsi="宋体" w:cs="宋体"/>
                <w:szCs w:val="21"/>
              </w:rPr>
              <w:t>专业技术资格</w:t>
            </w:r>
          </w:p>
        </w:tc>
        <w:tc>
          <w:tcPr>
            <w:tcW w:w="1843" w:type="dxa"/>
            <w:vAlign w:val="center"/>
          </w:tcPr>
          <w:p w14:paraId="5177F411">
            <w:pPr>
              <w:spacing w:line="540" w:lineRule="exact"/>
              <w:contextualSpacing/>
              <w:rPr>
                <w:rFonts w:ascii="宋体" w:hAnsi="宋体" w:cs="宋体"/>
                <w:szCs w:val="21"/>
              </w:rPr>
            </w:pPr>
            <w:r>
              <w:rPr>
                <w:rFonts w:hint="eastAsia" w:ascii="宋体" w:hAnsi="宋体" w:cs="宋体"/>
                <w:szCs w:val="21"/>
              </w:rPr>
              <w:t>证书编号</w:t>
            </w:r>
          </w:p>
        </w:tc>
        <w:tc>
          <w:tcPr>
            <w:tcW w:w="2755" w:type="dxa"/>
            <w:vAlign w:val="center"/>
          </w:tcPr>
          <w:p w14:paraId="68BFA246">
            <w:pPr>
              <w:spacing w:line="540" w:lineRule="exact"/>
              <w:contextualSpacing/>
              <w:rPr>
                <w:rFonts w:ascii="宋体" w:hAnsi="宋体" w:cs="宋体"/>
                <w:szCs w:val="21"/>
              </w:rPr>
            </w:pPr>
            <w:r>
              <w:rPr>
                <w:rFonts w:hint="eastAsia" w:ascii="宋体" w:hAnsi="宋体" w:cs="宋体"/>
                <w:szCs w:val="21"/>
              </w:rPr>
              <w:t>实施经验说明</w:t>
            </w:r>
          </w:p>
        </w:tc>
      </w:tr>
      <w:tr w14:paraId="718A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14:paraId="42FB7F7C">
            <w:pPr>
              <w:spacing w:line="540" w:lineRule="exact"/>
              <w:contextualSpacing/>
              <w:rPr>
                <w:rFonts w:ascii="宋体" w:hAnsi="宋体" w:cs="宋体"/>
                <w:szCs w:val="21"/>
              </w:rPr>
            </w:pPr>
          </w:p>
        </w:tc>
        <w:tc>
          <w:tcPr>
            <w:tcW w:w="1418" w:type="dxa"/>
            <w:vAlign w:val="center"/>
          </w:tcPr>
          <w:p w14:paraId="59B0CB6B">
            <w:pPr>
              <w:spacing w:line="540" w:lineRule="exact"/>
              <w:contextualSpacing/>
              <w:rPr>
                <w:rFonts w:ascii="宋体" w:hAnsi="宋体" w:cs="宋体"/>
                <w:szCs w:val="21"/>
              </w:rPr>
            </w:pPr>
          </w:p>
        </w:tc>
        <w:tc>
          <w:tcPr>
            <w:tcW w:w="1984" w:type="dxa"/>
            <w:vAlign w:val="center"/>
          </w:tcPr>
          <w:p w14:paraId="65F81FF9">
            <w:pPr>
              <w:spacing w:line="540" w:lineRule="exact"/>
              <w:contextualSpacing/>
              <w:rPr>
                <w:rFonts w:ascii="宋体" w:hAnsi="宋体" w:cs="宋体"/>
                <w:szCs w:val="21"/>
              </w:rPr>
            </w:pPr>
          </w:p>
        </w:tc>
        <w:tc>
          <w:tcPr>
            <w:tcW w:w="1843" w:type="dxa"/>
            <w:vAlign w:val="center"/>
          </w:tcPr>
          <w:p w14:paraId="4EF9EE93">
            <w:pPr>
              <w:spacing w:line="540" w:lineRule="exact"/>
              <w:contextualSpacing/>
              <w:rPr>
                <w:rFonts w:ascii="宋体" w:hAnsi="宋体" w:cs="宋体"/>
                <w:szCs w:val="21"/>
              </w:rPr>
            </w:pPr>
          </w:p>
        </w:tc>
        <w:tc>
          <w:tcPr>
            <w:tcW w:w="2755" w:type="dxa"/>
            <w:vAlign w:val="center"/>
          </w:tcPr>
          <w:p w14:paraId="52D7E8D8">
            <w:pPr>
              <w:spacing w:line="540" w:lineRule="exact"/>
              <w:contextualSpacing/>
              <w:rPr>
                <w:rFonts w:ascii="宋体" w:hAnsi="宋体" w:cs="宋体"/>
                <w:szCs w:val="21"/>
              </w:rPr>
            </w:pPr>
          </w:p>
        </w:tc>
      </w:tr>
      <w:tr w14:paraId="00F9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vAlign w:val="center"/>
          </w:tcPr>
          <w:p w14:paraId="440027B5">
            <w:pPr>
              <w:spacing w:line="540" w:lineRule="exact"/>
              <w:contextualSpacing/>
              <w:rPr>
                <w:rFonts w:ascii="宋体" w:hAnsi="宋体" w:cs="宋体"/>
                <w:szCs w:val="21"/>
              </w:rPr>
            </w:pPr>
            <w:r>
              <w:rPr>
                <w:rFonts w:hint="eastAsia" w:ascii="宋体" w:hAnsi="宋体" w:cs="宋体"/>
                <w:szCs w:val="21"/>
              </w:rPr>
              <w:t>……</w:t>
            </w:r>
          </w:p>
        </w:tc>
        <w:tc>
          <w:tcPr>
            <w:tcW w:w="1418" w:type="dxa"/>
            <w:vAlign w:val="center"/>
          </w:tcPr>
          <w:p w14:paraId="4DA2672D">
            <w:pPr>
              <w:spacing w:line="540" w:lineRule="exact"/>
              <w:contextualSpacing/>
              <w:rPr>
                <w:rFonts w:ascii="宋体" w:hAnsi="宋体" w:cs="宋体"/>
                <w:szCs w:val="21"/>
              </w:rPr>
            </w:pPr>
          </w:p>
        </w:tc>
        <w:tc>
          <w:tcPr>
            <w:tcW w:w="1984" w:type="dxa"/>
            <w:vAlign w:val="center"/>
          </w:tcPr>
          <w:p w14:paraId="214A4793">
            <w:pPr>
              <w:spacing w:line="540" w:lineRule="exact"/>
              <w:contextualSpacing/>
              <w:rPr>
                <w:rFonts w:ascii="宋体" w:hAnsi="宋体" w:cs="宋体"/>
                <w:szCs w:val="21"/>
              </w:rPr>
            </w:pPr>
          </w:p>
        </w:tc>
        <w:tc>
          <w:tcPr>
            <w:tcW w:w="1843" w:type="dxa"/>
            <w:vAlign w:val="center"/>
          </w:tcPr>
          <w:p w14:paraId="353332F3">
            <w:pPr>
              <w:spacing w:line="540" w:lineRule="exact"/>
              <w:contextualSpacing/>
              <w:rPr>
                <w:rFonts w:ascii="宋体" w:hAnsi="宋体" w:cs="宋体"/>
                <w:szCs w:val="21"/>
              </w:rPr>
            </w:pPr>
          </w:p>
        </w:tc>
        <w:tc>
          <w:tcPr>
            <w:tcW w:w="2755" w:type="dxa"/>
            <w:vAlign w:val="center"/>
          </w:tcPr>
          <w:p w14:paraId="1E189FDC">
            <w:pPr>
              <w:spacing w:line="540" w:lineRule="exact"/>
              <w:contextualSpacing/>
              <w:rPr>
                <w:rFonts w:ascii="宋体" w:hAnsi="宋体" w:cs="宋体"/>
                <w:szCs w:val="21"/>
              </w:rPr>
            </w:pPr>
          </w:p>
        </w:tc>
      </w:tr>
    </w:tbl>
    <w:p w14:paraId="2B8CF5A7">
      <w:pPr>
        <w:spacing w:line="540" w:lineRule="exact"/>
        <w:contextualSpacing/>
        <w:rPr>
          <w:rFonts w:ascii="宋体" w:hAnsi="宋体" w:cs="宋体"/>
          <w:szCs w:val="21"/>
        </w:rPr>
      </w:pPr>
      <w:r>
        <w:rPr>
          <w:rFonts w:hint="eastAsia" w:ascii="宋体" w:hAnsi="宋体" w:cs="宋体"/>
          <w:szCs w:val="21"/>
        </w:rPr>
        <w:t>附：相关人员的专业技术资格证书复印件证明材料</w:t>
      </w:r>
    </w:p>
    <w:p w14:paraId="4B0C54CC">
      <w:pPr>
        <w:spacing w:line="540" w:lineRule="exact"/>
        <w:contextualSpacing/>
        <w:rPr>
          <w:rFonts w:ascii="宋体" w:hAnsi="宋体" w:cs="宋体"/>
          <w:szCs w:val="21"/>
        </w:rPr>
      </w:pPr>
    </w:p>
    <w:p w14:paraId="718A04F9">
      <w:pPr>
        <w:spacing w:line="540" w:lineRule="exact"/>
        <w:contextualSpacing/>
        <w:rPr>
          <w:rFonts w:ascii="宋体" w:hAnsi="宋体" w:cs="宋体"/>
          <w:szCs w:val="21"/>
        </w:rPr>
      </w:pPr>
    </w:p>
    <w:p w14:paraId="5D708876">
      <w:pPr>
        <w:spacing w:line="540" w:lineRule="exact"/>
        <w:contextualSpacing/>
        <w:rPr>
          <w:rFonts w:ascii="宋体" w:hAnsi="宋体" w:cs="宋体"/>
          <w:szCs w:val="21"/>
        </w:rPr>
      </w:pPr>
    </w:p>
    <w:p w14:paraId="1B2FCECE">
      <w:pPr>
        <w:spacing w:line="360" w:lineRule="auto"/>
        <w:ind w:left="420" w:right="480" w:firstLine="420" w:firstLineChars="200"/>
        <w:jc w:val="right"/>
        <w:rPr>
          <w:rFonts w:ascii="宋体" w:hAnsi="宋体" w:cs="宋体"/>
          <w:kern w:val="0"/>
          <w:szCs w:val="21"/>
          <w:lang w:val="zh-CN"/>
        </w:rPr>
      </w:pPr>
    </w:p>
    <w:p w14:paraId="6BFE2DDE">
      <w:pPr>
        <w:spacing w:line="360" w:lineRule="auto"/>
        <w:ind w:left="420" w:right="480" w:firstLine="420" w:firstLineChars="200"/>
        <w:jc w:val="right"/>
        <w:rPr>
          <w:rFonts w:ascii="宋体" w:hAnsi="宋体" w:cs="宋体"/>
          <w:kern w:val="0"/>
          <w:szCs w:val="21"/>
          <w:lang w:val="zh-CN"/>
        </w:rPr>
      </w:pPr>
      <w:r>
        <w:rPr>
          <w:rFonts w:hint="eastAsia" w:ascii="宋体" w:hAnsi="宋体" w:cs="宋体"/>
          <w:kern w:val="0"/>
          <w:szCs w:val="21"/>
        </w:rPr>
        <w:t>投标人</w:t>
      </w:r>
      <w:r>
        <w:rPr>
          <w:rFonts w:hint="eastAsia" w:ascii="宋体" w:hAnsi="宋体" w:cs="宋体"/>
          <w:kern w:val="0"/>
          <w:szCs w:val="21"/>
          <w:lang w:val="zh-CN"/>
        </w:rPr>
        <w:t xml:space="preserve">名称(签章)：            </w:t>
      </w:r>
    </w:p>
    <w:p w14:paraId="06FD8F6E">
      <w:pPr>
        <w:spacing w:line="360" w:lineRule="auto"/>
        <w:ind w:left="420" w:right="480" w:firstLine="420" w:firstLineChars="200"/>
        <w:jc w:val="right"/>
        <w:rPr>
          <w:rFonts w:ascii="宋体" w:hAnsi="宋体" w:cs="宋体"/>
          <w:kern w:val="0"/>
          <w:szCs w:val="21"/>
          <w:lang w:val="zh-CN"/>
        </w:rPr>
      </w:pPr>
      <w:r>
        <w:rPr>
          <w:rFonts w:hint="eastAsia" w:ascii="宋体" w:hAnsi="宋体" w:cs="宋体"/>
          <w:kern w:val="0"/>
          <w:szCs w:val="21"/>
          <w:lang w:val="zh-CN"/>
        </w:rPr>
        <w:t>日期：  年  月   日</w:t>
      </w:r>
    </w:p>
    <w:p w14:paraId="1E5A3EFD">
      <w:pPr>
        <w:spacing w:line="360" w:lineRule="auto"/>
        <w:ind w:left="420" w:right="480" w:firstLine="420" w:firstLineChars="200"/>
        <w:jc w:val="right"/>
        <w:rPr>
          <w:rFonts w:ascii="宋体" w:hAnsi="宋体" w:cs="宋体"/>
          <w:kern w:val="0"/>
          <w:szCs w:val="21"/>
          <w:lang w:val="zh-CN"/>
        </w:rPr>
      </w:pPr>
    </w:p>
    <w:p w14:paraId="04ACA531">
      <w:pPr>
        <w:spacing w:line="360" w:lineRule="auto"/>
        <w:ind w:left="420" w:right="480" w:firstLine="420" w:firstLineChars="200"/>
        <w:jc w:val="right"/>
        <w:rPr>
          <w:rFonts w:ascii="宋体" w:hAnsi="宋体" w:cs="宋体"/>
          <w:kern w:val="0"/>
          <w:szCs w:val="21"/>
          <w:lang w:val="zh-CN"/>
        </w:rPr>
      </w:pPr>
    </w:p>
    <w:p w14:paraId="7FC0F5CC">
      <w:pPr>
        <w:pStyle w:val="59"/>
        <w:rPr>
          <w:lang w:val="zh-CN"/>
        </w:rPr>
      </w:pPr>
    </w:p>
    <w:p w14:paraId="2DC6FBF0">
      <w:pPr>
        <w:spacing w:line="360" w:lineRule="auto"/>
        <w:ind w:left="420" w:right="480" w:firstLine="420" w:firstLineChars="200"/>
        <w:jc w:val="right"/>
        <w:rPr>
          <w:rFonts w:ascii="宋体" w:hAnsi="宋体" w:cs="宋体"/>
          <w:kern w:val="0"/>
          <w:szCs w:val="21"/>
          <w:lang w:val="zh-CN"/>
        </w:rPr>
      </w:pPr>
    </w:p>
    <w:p w14:paraId="2E635A80">
      <w:pPr>
        <w:spacing w:line="360" w:lineRule="auto"/>
        <w:ind w:left="420" w:right="480" w:firstLine="420" w:firstLineChars="200"/>
        <w:jc w:val="left"/>
        <w:outlineLvl w:val="2"/>
        <w:rPr>
          <w:rFonts w:ascii="黑体" w:hAnsi="黑体" w:eastAsia="黑体" w:cs="黑体"/>
        </w:rPr>
      </w:pPr>
      <w:r>
        <w:rPr>
          <w:rFonts w:hint="eastAsia" w:ascii="黑体" w:hAnsi="黑体" w:eastAsia="黑体" w:cs="黑体"/>
          <w:szCs w:val="21"/>
        </w:rPr>
        <w:t>附件9</w:t>
      </w:r>
    </w:p>
    <w:p w14:paraId="10B50A7E">
      <w:pPr>
        <w:snapToGrid w:val="0"/>
        <w:spacing w:before="120" w:beforeLines="50" w:after="50" w:line="360" w:lineRule="auto"/>
        <w:ind w:left="701" w:hanging="281"/>
        <w:jc w:val="center"/>
        <w:rPr>
          <w:rFonts w:ascii="黑体" w:hAnsi="黑体" w:eastAsia="黑体" w:cs="黑体"/>
          <w:b/>
          <w:sz w:val="28"/>
          <w:szCs w:val="28"/>
        </w:rPr>
      </w:pPr>
      <w:r>
        <w:rPr>
          <w:rFonts w:hint="eastAsia" w:ascii="黑体" w:hAnsi="黑体" w:eastAsia="黑体" w:cs="黑体"/>
          <w:b/>
          <w:sz w:val="28"/>
          <w:szCs w:val="28"/>
        </w:rPr>
        <w:t>业绩一览表</w:t>
      </w:r>
    </w:p>
    <w:p w14:paraId="40D59155">
      <w:pPr>
        <w:snapToGrid w:val="0"/>
        <w:spacing w:before="120" w:beforeLines="50" w:after="50" w:line="360" w:lineRule="auto"/>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 xml:space="preserve">              </w:t>
      </w:r>
    </w:p>
    <w:tbl>
      <w:tblPr>
        <w:tblStyle w:val="60"/>
        <w:tblpPr w:leftFromText="180" w:rightFromText="180" w:vertAnchor="text" w:horzAnchor="page" w:tblpX="1727" w:tblpY="211"/>
        <w:tblOverlap w:val="never"/>
        <w:tblW w:w="8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035"/>
        <w:gridCol w:w="2711"/>
        <w:gridCol w:w="1870"/>
        <w:gridCol w:w="1468"/>
      </w:tblGrid>
      <w:tr w14:paraId="2381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97"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7B27693D">
            <w:pPr>
              <w:widowControl/>
              <w:autoSpaceDE w:val="0"/>
              <w:autoSpaceDN w:val="0"/>
              <w:adjustRightInd w:val="0"/>
              <w:spacing w:line="360" w:lineRule="auto"/>
              <w:jc w:val="center"/>
              <w:rPr>
                <w:rFonts w:ascii="宋体" w:hAnsi="宋体" w:cs="宋体"/>
                <w:szCs w:val="21"/>
              </w:rPr>
            </w:pPr>
            <w:r>
              <w:rPr>
                <w:rFonts w:hint="eastAsia" w:ascii="宋体" w:hAnsi="宋体" w:cs="宋体"/>
                <w:szCs w:val="21"/>
              </w:rPr>
              <w:t>序号</w:t>
            </w:r>
          </w:p>
        </w:tc>
        <w:tc>
          <w:tcPr>
            <w:tcW w:w="2035"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67271BE6">
            <w:pPr>
              <w:widowControl/>
              <w:autoSpaceDE w:val="0"/>
              <w:autoSpaceDN w:val="0"/>
              <w:adjustRightInd w:val="0"/>
              <w:spacing w:line="360" w:lineRule="auto"/>
              <w:jc w:val="center"/>
              <w:rPr>
                <w:rFonts w:ascii="宋体" w:hAnsi="宋体" w:cs="宋体"/>
                <w:szCs w:val="21"/>
              </w:rPr>
            </w:pPr>
            <w:r>
              <w:rPr>
                <w:rFonts w:hint="eastAsia" w:ascii="宋体" w:hAnsi="宋体" w:cs="宋体"/>
                <w:szCs w:val="21"/>
              </w:rPr>
              <w:t>采购单位名称</w:t>
            </w:r>
          </w:p>
        </w:tc>
        <w:tc>
          <w:tcPr>
            <w:tcW w:w="2711"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1250BD4F">
            <w:pPr>
              <w:widowControl/>
              <w:autoSpaceDE w:val="0"/>
              <w:autoSpaceDN w:val="0"/>
              <w:adjustRightInd w:val="0"/>
              <w:spacing w:line="360" w:lineRule="auto"/>
              <w:jc w:val="center"/>
              <w:rPr>
                <w:rFonts w:ascii="宋体" w:hAnsi="宋体" w:cs="宋体"/>
                <w:szCs w:val="21"/>
              </w:rPr>
            </w:pPr>
            <w:r>
              <w:rPr>
                <w:rFonts w:hint="eastAsia" w:ascii="宋体" w:hAnsi="宋体" w:cs="宋体"/>
                <w:szCs w:val="21"/>
              </w:rPr>
              <w:t>项目名称</w:t>
            </w:r>
          </w:p>
        </w:tc>
        <w:tc>
          <w:tcPr>
            <w:tcW w:w="1870"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541A7DFF">
            <w:pPr>
              <w:widowControl/>
              <w:autoSpaceDE w:val="0"/>
              <w:autoSpaceDN w:val="0"/>
              <w:adjustRightInd w:val="0"/>
              <w:spacing w:line="360" w:lineRule="auto"/>
              <w:jc w:val="center"/>
              <w:rPr>
                <w:rFonts w:ascii="宋体" w:hAnsi="宋体" w:cs="宋体"/>
                <w:szCs w:val="21"/>
              </w:rPr>
            </w:pPr>
            <w:r>
              <w:rPr>
                <w:rFonts w:hint="eastAsia" w:ascii="宋体" w:hAnsi="宋体" w:cs="宋体"/>
                <w:szCs w:val="21"/>
              </w:rPr>
              <w:t>合同签订时间</w:t>
            </w:r>
          </w:p>
        </w:tc>
        <w:tc>
          <w:tcPr>
            <w:tcW w:w="1468" w:type="dxa"/>
            <w:tcBorders>
              <w:top w:val="single" w:color="auto" w:sz="4" w:space="0"/>
              <w:left w:val="single" w:color="auto" w:sz="4" w:space="0"/>
              <w:bottom w:val="single" w:color="auto" w:sz="4" w:space="0"/>
              <w:right w:val="single" w:color="auto" w:sz="4" w:space="0"/>
            </w:tcBorders>
            <w:vAlign w:val="center"/>
          </w:tcPr>
          <w:p w14:paraId="5625B584">
            <w:pPr>
              <w:autoSpaceDE w:val="0"/>
              <w:autoSpaceDN w:val="0"/>
              <w:adjustRightInd w:val="0"/>
              <w:spacing w:line="360" w:lineRule="auto"/>
              <w:jc w:val="center"/>
              <w:rPr>
                <w:rFonts w:ascii="宋体" w:hAnsi="宋体" w:cs="宋体"/>
                <w:szCs w:val="21"/>
              </w:rPr>
            </w:pPr>
            <w:r>
              <w:rPr>
                <w:rFonts w:hint="eastAsia" w:ascii="宋体" w:hAnsi="宋体" w:cs="宋体"/>
                <w:szCs w:val="21"/>
              </w:rPr>
              <w:t>备注</w:t>
            </w:r>
          </w:p>
        </w:tc>
      </w:tr>
      <w:tr w14:paraId="25211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5AA002C9">
            <w:pPr>
              <w:widowControl/>
              <w:autoSpaceDE w:val="0"/>
              <w:autoSpaceDN w:val="0"/>
              <w:adjustRightInd w:val="0"/>
              <w:spacing w:line="360" w:lineRule="auto"/>
              <w:jc w:val="center"/>
              <w:rPr>
                <w:rFonts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7DE7EFF4">
            <w:pPr>
              <w:widowControl/>
              <w:autoSpaceDE w:val="0"/>
              <w:autoSpaceDN w:val="0"/>
              <w:adjustRightInd w:val="0"/>
              <w:spacing w:line="360" w:lineRule="auto"/>
              <w:jc w:val="center"/>
              <w:rPr>
                <w:rFonts w:ascii="宋体" w:hAnsi="宋体" w:cs="宋体"/>
                <w:szCs w:val="21"/>
              </w:rPr>
            </w:pPr>
          </w:p>
        </w:tc>
        <w:tc>
          <w:tcPr>
            <w:tcW w:w="2711"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72BF3247">
            <w:pPr>
              <w:widowControl/>
              <w:autoSpaceDE w:val="0"/>
              <w:autoSpaceDN w:val="0"/>
              <w:adjustRightInd w:val="0"/>
              <w:spacing w:line="360" w:lineRule="auto"/>
              <w:jc w:val="center"/>
              <w:rPr>
                <w:rFonts w:ascii="宋体" w:hAnsi="宋体" w:cs="宋体"/>
                <w:szCs w:val="21"/>
              </w:rPr>
            </w:pPr>
          </w:p>
        </w:tc>
        <w:tc>
          <w:tcPr>
            <w:tcW w:w="1870"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1E34D112">
            <w:pPr>
              <w:widowControl/>
              <w:autoSpaceDE w:val="0"/>
              <w:autoSpaceDN w:val="0"/>
              <w:adjustRightInd w:val="0"/>
              <w:spacing w:line="360" w:lineRule="auto"/>
              <w:jc w:val="center"/>
              <w:rPr>
                <w:rFonts w:ascii="宋体" w:hAnsi="宋体" w:cs="宋体"/>
                <w:szCs w:val="21"/>
              </w:rPr>
            </w:pPr>
          </w:p>
        </w:tc>
        <w:tc>
          <w:tcPr>
            <w:tcW w:w="1468"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736358BD">
            <w:pPr>
              <w:widowControl/>
              <w:autoSpaceDE w:val="0"/>
              <w:autoSpaceDN w:val="0"/>
              <w:adjustRightInd w:val="0"/>
              <w:spacing w:line="360" w:lineRule="auto"/>
              <w:jc w:val="center"/>
              <w:rPr>
                <w:rFonts w:ascii="宋体" w:hAnsi="宋体" w:cs="宋体"/>
                <w:szCs w:val="21"/>
              </w:rPr>
            </w:pPr>
          </w:p>
        </w:tc>
      </w:tr>
      <w:tr w14:paraId="1618C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17DCEF1D">
            <w:pPr>
              <w:widowControl/>
              <w:autoSpaceDE w:val="0"/>
              <w:autoSpaceDN w:val="0"/>
              <w:adjustRightInd w:val="0"/>
              <w:spacing w:line="360" w:lineRule="auto"/>
              <w:jc w:val="center"/>
              <w:rPr>
                <w:rFonts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39C6B946">
            <w:pPr>
              <w:widowControl/>
              <w:autoSpaceDE w:val="0"/>
              <w:autoSpaceDN w:val="0"/>
              <w:adjustRightInd w:val="0"/>
              <w:spacing w:line="360" w:lineRule="auto"/>
              <w:jc w:val="center"/>
              <w:rPr>
                <w:rFonts w:ascii="宋体" w:hAnsi="宋体" w:cs="宋体"/>
                <w:szCs w:val="21"/>
              </w:rPr>
            </w:pPr>
          </w:p>
        </w:tc>
        <w:tc>
          <w:tcPr>
            <w:tcW w:w="2711"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013505E3">
            <w:pPr>
              <w:widowControl/>
              <w:autoSpaceDE w:val="0"/>
              <w:autoSpaceDN w:val="0"/>
              <w:adjustRightInd w:val="0"/>
              <w:spacing w:line="360" w:lineRule="auto"/>
              <w:jc w:val="center"/>
              <w:rPr>
                <w:rFonts w:ascii="宋体" w:hAnsi="宋体" w:cs="宋体"/>
                <w:szCs w:val="21"/>
              </w:rPr>
            </w:pPr>
          </w:p>
        </w:tc>
        <w:tc>
          <w:tcPr>
            <w:tcW w:w="1870"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0DDF8F60">
            <w:pPr>
              <w:widowControl/>
              <w:autoSpaceDE w:val="0"/>
              <w:autoSpaceDN w:val="0"/>
              <w:adjustRightInd w:val="0"/>
              <w:spacing w:line="360" w:lineRule="auto"/>
              <w:jc w:val="center"/>
              <w:rPr>
                <w:rFonts w:ascii="宋体" w:hAnsi="宋体" w:cs="宋体"/>
                <w:szCs w:val="21"/>
              </w:rPr>
            </w:pPr>
          </w:p>
        </w:tc>
        <w:tc>
          <w:tcPr>
            <w:tcW w:w="1468"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5EA1EACF">
            <w:pPr>
              <w:widowControl/>
              <w:autoSpaceDE w:val="0"/>
              <w:autoSpaceDN w:val="0"/>
              <w:adjustRightInd w:val="0"/>
              <w:spacing w:line="360" w:lineRule="auto"/>
              <w:jc w:val="center"/>
              <w:rPr>
                <w:rFonts w:ascii="宋体" w:hAnsi="宋体" w:cs="宋体"/>
                <w:szCs w:val="21"/>
              </w:rPr>
            </w:pPr>
          </w:p>
        </w:tc>
      </w:tr>
      <w:tr w14:paraId="338F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4B69AD51">
            <w:pPr>
              <w:widowControl/>
              <w:autoSpaceDE w:val="0"/>
              <w:autoSpaceDN w:val="0"/>
              <w:adjustRightInd w:val="0"/>
              <w:spacing w:line="360" w:lineRule="auto"/>
              <w:jc w:val="center"/>
              <w:rPr>
                <w:rFonts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0A050B44">
            <w:pPr>
              <w:widowControl/>
              <w:autoSpaceDE w:val="0"/>
              <w:autoSpaceDN w:val="0"/>
              <w:adjustRightInd w:val="0"/>
              <w:spacing w:line="360" w:lineRule="auto"/>
              <w:jc w:val="center"/>
              <w:rPr>
                <w:rFonts w:ascii="宋体" w:hAnsi="宋体" w:cs="宋体"/>
                <w:szCs w:val="21"/>
              </w:rPr>
            </w:pPr>
          </w:p>
        </w:tc>
        <w:tc>
          <w:tcPr>
            <w:tcW w:w="2711"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55A99D31">
            <w:pPr>
              <w:widowControl/>
              <w:autoSpaceDE w:val="0"/>
              <w:autoSpaceDN w:val="0"/>
              <w:adjustRightInd w:val="0"/>
              <w:spacing w:line="360" w:lineRule="auto"/>
              <w:jc w:val="center"/>
              <w:rPr>
                <w:rFonts w:ascii="宋体" w:hAnsi="宋体" w:cs="宋体"/>
                <w:szCs w:val="21"/>
              </w:rPr>
            </w:pPr>
          </w:p>
        </w:tc>
        <w:tc>
          <w:tcPr>
            <w:tcW w:w="1870"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0F06EC9C">
            <w:pPr>
              <w:widowControl/>
              <w:autoSpaceDE w:val="0"/>
              <w:autoSpaceDN w:val="0"/>
              <w:adjustRightInd w:val="0"/>
              <w:spacing w:line="360" w:lineRule="auto"/>
              <w:jc w:val="center"/>
              <w:rPr>
                <w:rFonts w:ascii="宋体" w:hAnsi="宋体" w:cs="宋体"/>
                <w:szCs w:val="21"/>
              </w:rPr>
            </w:pPr>
          </w:p>
        </w:tc>
        <w:tc>
          <w:tcPr>
            <w:tcW w:w="1468"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0871AE36">
            <w:pPr>
              <w:widowControl/>
              <w:autoSpaceDE w:val="0"/>
              <w:autoSpaceDN w:val="0"/>
              <w:adjustRightInd w:val="0"/>
              <w:spacing w:line="360" w:lineRule="auto"/>
              <w:jc w:val="center"/>
              <w:rPr>
                <w:rFonts w:ascii="宋体" w:hAnsi="宋体" w:cs="宋体"/>
                <w:szCs w:val="21"/>
              </w:rPr>
            </w:pPr>
          </w:p>
        </w:tc>
      </w:tr>
      <w:tr w14:paraId="4D81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55C46F57">
            <w:pPr>
              <w:widowControl/>
              <w:autoSpaceDE w:val="0"/>
              <w:autoSpaceDN w:val="0"/>
              <w:adjustRightInd w:val="0"/>
              <w:spacing w:line="360" w:lineRule="auto"/>
              <w:jc w:val="center"/>
              <w:rPr>
                <w:rFonts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46C61770">
            <w:pPr>
              <w:widowControl/>
              <w:autoSpaceDE w:val="0"/>
              <w:autoSpaceDN w:val="0"/>
              <w:adjustRightInd w:val="0"/>
              <w:spacing w:line="360" w:lineRule="auto"/>
              <w:jc w:val="center"/>
              <w:rPr>
                <w:rFonts w:ascii="宋体" w:hAnsi="宋体" w:cs="宋体"/>
                <w:szCs w:val="21"/>
              </w:rPr>
            </w:pPr>
          </w:p>
        </w:tc>
        <w:tc>
          <w:tcPr>
            <w:tcW w:w="2711"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411CBE07">
            <w:pPr>
              <w:widowControl/>
              <w:autoSpaceDE w:val="0"/>
              <w:autoSpaceDN w:val="0"/>
              <w:adjustRightInd w:val="0"/>
              <w:spacing w:line="360" w:lineRule="auto"/>
              <w:jc w:val="center"/>
              <w:rPr>
                <w:rFonts w:ascii="宋体" w:hAnsi="宋体" w:cs="宋体"/>
                <w:szCs w:val="21"/>
              </w:rPr>
            </w:pPr>
          </w:p>
        </w:tc>
        <w:tc>
          <w:tcPr>
            <w:tcW w:w="1870"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7E7C4AC7">
            <w:pPr>
              <w:widowControl/>
              <w:autoSpaceDE w:val="0"/>
              <w:autoSpaceDN w:val="0"/>
              <w:adjustRightInd w:val="0"/>
              <w:spacing w:line="360" w:lineRule="auto"/>
              <w:jc w:val="center"/>
              <w:rPr>
                <w:rFonts w:ascii="宋体" w:hAnsi="宋体" w:cs="宋体"/>
                <w:szCs w:val="21"/>
              </w:rPr>
            </w:pPr>
          </w:p>
        </w:tc>
        <w:tc>
          <w:tcPr>
            <w:tcW w:w="1468"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44EFF39F">
            <w:pPr>
              <w:widowControl/>
              <w:autoSpaceDE w:val="0"/>
              <w:autoSpaceDN w:val="0"/>
              <w:adjustRightInd w:val="0"/>
              <w:spacing w:line="360" w:lineRule="auto"/>
              <w:jc w:val="center"/>
              <w:rPr>
                <w:rFonts w:ascii="宋体" w:hAnsi="宋体" w:cs="宋体"/>
                <w:szCs w:val="21"/>
              </w:rPr>
            </w:pPr>
          </w:p>
        </w:tc>
      </w:tr>
      <w:tr w14:paraId="2110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46BDF539">
            <w:pPr>
              <w:widowControl/>
              <w:autoSpaceDE w:val="0"/>
              <w:autoSpaceDN w:val="0"/>
              <w:adjustRightInd w:val="0"/>
              <w:spacing w:line="360" w:lineRule="auto"/>
              <w:jc w:val="center"/>
              <w:rPr>
                <w:rFonts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6800C051">
            <w:pPr>
              <w:widowControl/>
              <w:autoSpaceDE w:val="0"/>
              <w:autoSpaceDN w:val="0"/>
              <w:adjustRightInd w:val="0"/>
              <w:spacing w:line="360" w:lineRule="auto"/>
              <w:jc w:val="center"/>
              <w:rPr>
                <w:rFonts w:ascii="宋体" w:hAnsi="宋体" w:cs="宋体"/>
                <w:szCs w:val="21"/>
              </w:rPr>
            </w:pPr>
          </w:p>
        </w:tc>
        <w:tc>
          <w:tcPr>
            <w:tcW w:w="2711"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239B70E4">
            <w:pPr>
              <w:widowControl/>
              <w:autoSpaceDE w:val="0"/>
              <w:autoSpaceDN w:val="0"/>
              <w:adjustRightInd w:val="0"/>
              <w:spacing w:line="360" w:lineRule="auto"/>
              <w:jc w:val="center"/>
              <w:rPr>
                <w:rFonts w:ascii="宋体" w:hAnsi="宋体" w:cs="宋体"/>
                <w:szCs w:val="21"/>
              </w:rPr>
            </w:pPr>
          </w:p>
        </w:tc>
        <w:tc>
          <w:tcPr>
            <w:tcW w:w="1870"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33A0DABD">
            <w:pPr>
              <w:widowControl/>
              <w:autoSpaceDE w:val="0"/>
              <w:autoSpaceDN w:val="0"/>
              <w:adjustRightInd w:val="0"/>
              <w:spacing w:line="360" w:lineRule="auto"/>
              <w:jc w:val="center"/>
              <w:rPr>
                <w:rFonts w:ascii="宋体" w:hAnsi="宋体" w:cs="宋体"/>
                <w:szCs w:val="21"/>
              </w:rPr>
            </w:pPr>
          </w:p>
        </w:tc>
        <w:tc>
          <w:tcPr>
            <w:tcW w:w="1468"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3D2AE418">
            <w:pPr>
              <w:widowControl/>
              <w:autoSpaceDE w:val="0"/>
              <w:autoSpaceDN w:val="0"/>
              <w:adjustRightInd w:val="0"/>
              <w:spacing w:line="360" w:lineRule="auto"/>
              <w:jc w:val="center"/>
              <w:rPr>
                <w:rFonts w:ascii="宋体" w:hAnsi="宋体" w:cs="宋体"/>
                <w:szCs w:val="21"/>
              </w:rPr>
            </w:pPr>
          </w:p>
        </w:tc>
      </w:tr>
      <w:tr w14:paraId="2E0A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38BDDA20">
            <w:pPr>
              <w:widowControl/>
              <w:autoSpaceDE w:val="0"/>
              <w:autoSpaceDN w:val="0"/>
              <w:adjustRightInd w:val="0"/>
              <w:spacing w:line="360" w:lineRule="auto"/>
              <w:jc w:val="center"/>
              <w:rPr>
                <w:rFonts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2F990675">
            <w:pPr>
              <w:widowControl/>
              <w:autoSpaceDE w:val="0"/>
              <w:autoSpaceDN w:val="0"/>
              <w:adjustRightInd w:val="0"/>
              <w:spacing w:line="360" w:lineRule="auto"/>
              <w:jc w:val="center"/>
              <w:rPr>
                <w:rFonts w:ascii="宋体" w:hAnsi="宋体" w:cs="宋体"/>
                <w:szCs w:val="21"/>
              </w:rPr>
            </w:pPr>
          </w:p>
        </w:tc>
        <w:tc>
          <w:tcPr>
            <w:tcW w:w="2711"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1F248F09">
            <w:pPr>
              <w:widowControl/>
              <w:autoSpaceDE w:val="0"/>
              <w:autoSpaceDN w:val="0"/>
              <w:adjustRightInd w:val="0"/>
              <w:spacing w:line="360" w:lineRule="auto"/>
              <w:jc w:val="center"/>
              <w:rPr>
                <w:rFonts w:ascii="宋体" w:hAnsi="宋体" w:cs="宋体"/>
                <w:szCs w:val="21"/>
              </w:rPr>
            </w:pPr>
          </w:p>
        </w:tc>
        <w:tc>
          <w:tcPr>
            <w:tcW w:w="1870"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24477BF4">
            <w:pPr>
              <w:widowControl/>
              <w:autoSpaceDE w:val="0"/>
              <w:autoSpaceDN w:val="0"/>
              <w:adjustRightInd w:val="0"/>
              <w:spacing w:line="360" w:lineRule="auto"/>
              <w:jc w:val="center"/>
              <w:rPr>
                <w:rFonts w:ascii="宋体" w:hAnsi="宋体" w:cs="宋体"/>
                <w:szCs w:val="21"/>
              </w:rPr>
            </w:pPr>
          </w:p>
        </w:tc>
        <w:tc>
          <w:tcPr>
            <w:tcW w:w="1468"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097EE2DB">
            <w:pPr>
              <w:widowControl/>
              <w:autoSpaceDE w:val="0"/>
              <w:autoSpaceDN w:val="0"/>
              <w:adjustRightInd w:val="0"/>
              <w:spacing w:line="360" w:lineRule="auto"/>
              <w:jc w:val="center"/>
              <w:rPr>
                <w:rFonts w:ascii="宋体" w:hAnsi="宋体" w:cs="宋体"/>
                <w:szCs w:val="21"/>
              </w:rPr>
            </w:pPr>
          </w:p>
        </w:tc>
      </w:tr>
      <w:tr w14:paraId="71EA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7F85F473">
            <w:pPr>
              <w:widowControl/>
              <w:autoSpaceDE w:val="0"/>
              <w:autoSpaceDN w:val="0"/>
              <w:adjustRightInd w:val="0"/>
              <w:spacing w:line="360" w:lineRule="auto"/>
              <w:jc w:val="center"/>
              <w:rPr>
                <w:rFonts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2ED6C9DC">
            <w:pPr>
              <w:widowControl/>
              <w:autoSpaceDE w:val="0"/>
              <w:autoSpaceDN w:val="0"/>
              <w:adjustRightInd w:val="0"/>
              <w:spacing w:line="360" w:lineRule="auto"/>
              <w:jc w:val="center"/>
              <w:rPr>
                <w:rFonts w:ascii="宋体" w:hAnsi="宋体" w:cs="宋体"/>
                <w:szCs w:val="21"/>
              </w:rPr>
            </w:pPr>
          </w:p>
        </w:tc>
        <w:tc>
          <w:tcPr>
            <w:tcW w:w="2711"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15EBF3A3">
            <w:pPr>
              <w:widowControl/>
              <w:autoSpaceDE w:val="0"/>
              <w:autoSpaceDN w:val="0"/>
              <w:adjustRightInd w:val="0"/>
              <w:spacing w:line="360" w:lineRule="auto"/>
              <w:jc w:val="center"/>
              <w:rPr>
                <w:rFonts w:ascii="宋体" w:hAnsi="宋体" w:cs="宋体"/>
                <w:szCs w:val="21"/>
              </w:rPr>
            </w:pPr>
          </w:p>
        </w:tc>
        <w:tc>
          <w:tcPr>
            <w:tcW w:w="1870"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0BFBB7D6">
            <w:pPr>
              <w:widowControl/>
              <w:autoSpaceDE w:val="0"/>
              <w:autoSpaceDN w:val="0"/>
              <w:adjustRightInd w:val="0"/>
              <w:spacing w:line="360" w:lineRule="auto"/>
              <w:jc w:val="center"/>
              <w:rPr>
                <w:rFonts w:ascii="宋体" w:hAnsi="宋体" w:cs="宋体"/>
                <w:szCs w:val="21"/>
              </w:rPr>
            </w:pPr>
          </w:p>
        </w:tc>
        <w:tc>
          <w:tcPr>
            <w:tcW w:w="1468"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481683A6">
            <w:pPr>
              <w:widowControl/>
              <w:autoSpaceDE w:val="0"/>
              <w:autoSpaceDN w:val="0"/>
              <w:adjustRightInd w:val="0"/>
              <w:spacing w:line="360" w:lineRule="auto"/>
              <w:jc w:val="center"/>
              <w:rPr>
                <w:rFonts w:ascii="宋体" w:hAnsi="宋体" w:cs="宋体"/>
                <w:szCs w:val="21"/>
              </w:rPr>
            </w:pPr>
          </w:p>
        </w:tc>
      </w:tr>
      <w:tr w14:paraId="3563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3BCA60A1">
            <w:pPr>
              <w:widowControl/>
              <w:autoSpaceDE w:val="0"/>
              <w:autoSpaceDN w:val="0"/>
              <w:adjustRightInd w:val="0"/>
              <w:spacing w:line="360" w:lineRule="auto"/>
              <w:jc w:val="center"/>
              <w:rPr>
                <w:rFonts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06473CB3">
            <w:pPr>
              <w:widowControl/>
              <w:autoSpaceDE w:val="0"/>
              <w:autoSpaceDN w:val="0"/>
              <w:adjustRightInd w:val="0"/>
              <w:spacing w:line="360" w:lineRule="auto"/>
              <w:jc w:val="center"/>
              <w:rPr>
                <w:rFonts w:ascii="宋体" w:hAnsi="宋体" w:cs="宋体"/>
                <w:szCs w:val="21"/>
              </w:rPr>
            </w:pPr>
          </w:p>
        </w:tc>
        <w:tc>
          <w:tcPr>
            <w:tcW w:w="2711"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24A84520">
            <w:pPr>
              <w:widowControl/>
              <w:autoSpaceDE w:val="0"/>
              <w:autoSpaceDN w:val="0"/>
              <w:adjustRightInd w:val="0"/>
              <w:spacing w:line="360" w:lineRule="auto"/>
              <w:jc w:val="center"/>
              <w:rPr>
                <w:rFonts w:ascii="宋体" w:hAnsi="宋体" w:cs="宋体"/>
                <w:szCs w:val="21"/>
              </w:rPr>
            </w:pPr>
          </w:p>
        </w:tc>
        <w:tc>
          <w:tcPr>
            <w:tcW w:w="1870"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51F2ACFD">
            <w:pPr>
              <w:widowControl/>
              <w:autoSpaceDE w:val="0"/>
              <w:autoSpaceDN w:val="0"/>
              <w:adjustRightInd w:val="0"/>
              <w:spacing w:line="360" w:lineRule="auto"/>
              <w:jc w:val="center"/>
              <w:rPr>
                <w:rFonts w:ascii="宋体" w:hAnsi="宋体" w:cs="宋体"/>
                <w:szCs w:val="21"/>
              </w:rPr>
            </w:pPr>
          </w:p>
        </w:tc>
        <w:tc>
          <w:tcPr>
            <w:tcW w:w="1468"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42B05BDD">
            <w:pPr>
              <w:widowControl/>
              <w:autoSpaceDE w:val="0"/>
              <w:autoSpaceDN w:val="0"/>
              <w:adjustRightInd w:val="0"/>
              <w:spacing w:line="360" w:lineRule="auto"/>
              <w:jc w:val="center"/>
              <w:rPr>
                <w:rFonts w:ascii="宋体" w:hAnsi="宋体" w:cs="宋体"/>
                <w:szCs w:val="21"/>
              </w:rPr>
            </w:pPr>
          </w:p>
        </w:tc>
      </w:tr>
      <w:tr w14:paraId="6ABB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69829B02">
            <w:pPr>
              <w:widowControl/>
              <w:autoSpaceDE w:val="0"/>
              <w:autoSpaceDN w:val="0"/>
              <w:adjustRightInd w:val="0"/>
              <w:spacing w:line="360" w:lineRule="auto"/>
              <w:jc w:val="center"/>
              <w:rPr>
                <w:rFonts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522CBD74">
            <w:pPr>
              <w:widowControl/>
              <w:autoSpaceDE w:val="0"/>
              <w:autoSpaceDN w:val="0"/>
              <w:adjustRightInd w:val="0"/>
              <w:spacing w:line="360" w:lineRule="auto"/>
              <w:jc w:val="center"/>
              <w:rPr>
                <w:rFonts w:ascii="宋体" w:hAnsi="宋体" w:cs="宋体"/>
                <w:szCs w:val="21"/>
              </w:rPr>
            </w:pPr>
          </w:p>
        </w:tc>
        <w:tc>
          <w:tcPr>
            <w:tcW w:w="2711"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69478BD7">
            <w:pPr>
              <w:widowControl/>
              <w:autoSpaceDE w:val="0"/>
              <w:autoSpaceDN w:val="0"/>
              <w:adjustRightInd w:val="0"/>
              <w:spacing w:line="360" w:lineRule="auto"/>
              <w:jc w:val="center"/>
              <w:rPr>
                <w:rFonts w:ascii="宋体" w:hAnsi="宋体" w:cs="宋体"/>
                <w:szCs w:val="21"/>
              </w:rPr>
            </w:pPr>
          </w:p>
        </w:tc>
        <w:tc>
          <w:tcPr>
            <w:tcW w:w="1870"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36BC2234">
            <w:pPr>
              <w:widowControl/>
              <w:autoSpaceDE w:val="0"/>
              <w:autoSpaceDN w:val="0"/>
              <w:adjustRightInd w:val="0"/>
              <w:spacing w:line="360" w:lineRule="auto"/>
              <w:jc w:val="center"/>
              <w:rPr>
                <w:rFonts w:ascii="宋体" w:hAnsi="宋体" w:cs="宋体"/>
                <w:szCs w:val="21"/>
              </w:rPr>
            </w:pPr>
          </w:p>
        </w:tc>
        <w:tc>
          <w:tcPr>
            <w:tcW w:w="1468"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6543A617">
            <w:pPr>
              <w:widowControl/>
              <w:autoSpaceDE w:val="0"/>
              <w:autoSpaceDN w:val="0"/>
              <w:adjustRightInd w:val="0"/>
              <w:spacing w:line="360" w:lineRule="auto"/>
              <w:jc w:val="center"/>
              <w:rPr>
                <w:rFonts w:ascii="宋体" w:hAnsi="宋体" w:cs="宋体"/>
                <w:szCs w:val="21"/>
              </w:rPr>
            </w:pPr>
          </w:p>
        </w:tc>
      </w:tr>
      <w:tr w14:paraId="2AA24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7782AA57">
            <w:pPr>
              <w:widowControl/>
              <w:autoSpaceDE w:val="0"/>
              <w:autoSpaceDN w:val="0"/>
              <w:adjustRightInd w:val="0"/>
              <w:spacing w:line="360" w:lineRule="auto"/>
              <w:jc w:val="center"/>
              <w:rPr>
                <w:rFonts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254C8763">
            <w:pPr>
              <w:widowControl/>
              <w:autoSpaceDE w:val="0"/>
              <w:autoSpaceDN w:val="0"/>
              <w:adjustRightInd w:val="0"/>
              <w:spacing w:line="360" w:lineRule="auto"/>
              <w:jc w:val="center"/>
              <w:rPr>
                <w:rFonts w:ascii="宋体" w:hAnsi="宋体" w:cs="宋体"/>
                <w:szCs w:val="21"/>
              </w:rPr>
            </w:pPr>
          </w:p>
        </w:tc>
        <w:tc>
          <w:tcPr>
            <w:tcW w:w="2711"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0EC8A684">
            <w:pPr>
              <w:widowControl/>
              <w:autoSpaceDE w:val="0"/>
              <w:autoSpaceDN w:val="0"/>
              <w:adjustRightInd w:val="0"/>
              <w:spacing w:line="360" w:lineRule="auto"/>
              <w:jc w:val="center"/>
              <w:rPr>
                <w:rFonts w:ascii="宋体" w:hAnsi="宋体" w:cs="宋体"/>
                <w:szCs w:val="21"/>
              </w:rPr>
            </w:pPr>
          </w:p>
        </w:tc>
        <w:tc>
          <w:tcPr>
            <w:tcW w:w="1870"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1D120623">
            <w:pPr>
              <w:widowControl/>
              <w:autoSpaceDE w:val="0"/>
              <w:autoSpaceDN w:val="0"/>
              <w:adjustRightInd w:val="0"/>
              <w:spacing w:line="360" w:lineRule="auto"/>
              <w:jc w:val="center"/>
              <w:rPr>
                <w:rFonts w:ascii="宋体" w:hAnsi="宋体" w:cs="宋体"/>
                <w:szCs w:val="21"/>
              </w:rPr>
            </w:pPr>
          </w:p>
        </w:tc>
        <w:tc>
          <w:tcPr>
            <w:tcW w:w="1468"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31957B4F">
            <w:pPr>
              <w:widowControl/>
              <w:autoSpaceDE w:val="0"/>
              <w:autoSpaceDN w:val="0"/>
              <w:adjustRightInd w:val="0"/>
              <w:spacing w:line="360" w:lineRule="auto"/>
              <w:jc w:val="center"/>
              <w:rPr>
                <w:rFonts w:ascii="宋体" w:hAnsi="宋体" w:cs="宋体"/>
                <w:szCs w:val="21"/>
              </w:rPr>
            </w:pPr>
          </w:p>
        </w:tc>
      </w:tr>
      <w:tr w14:paraId="4DB4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97"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14F0D7E6">
            <w:pPr>
              <w:widowControl/>
              <w:autoSpaceDE w:val="0"/>
              <w:autoSpaceDN w:val="0"/>
              <w:adjustRightInd w:val="0"/>
              <w:spacing w:line="360" w:lineRule="auto"/>
              <w:jc w:val="center"/>
              <w:rPr>
                <w:rFonts w:ascii="宋体" w:hAnsi="宋体" w:cs="宋体"/>
                <w:szCs w:val="21"/>
              </w:rPr>
            </w:pPr>
          </w:p>
        </w:tc>
        <w:tc>
          <w:tcPr>
            <w:tcW w:w="2035"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2A4B7283">
            <w:pPr>
              <w:widowControl/>
              <w:autoSpaceDE w:val="0"/>
              <w:autoSpaceDN w:val="0"/>
              <w:adjustRightInd w:val="0"/>
              <w:spacing w:line="360" w:lineRule="auto"/>
              <w:jc w:val="center"/>
              <w:rPr>
                <w:rFonts w:ascii="宋体" w:hAnsi="宋体" w:cs="宋体"/>
                <w:szCs w:val="21"/>
              </w:rPr>
            </w:pPr>
          </w:p>
        </w:tc>
        <w:tc>
          <w:tcPr>
            <w:tcW w:w="2711"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30CC1965">
            <w:pPr>
              <w:widowControl/>
              <w:autoSpaceDE w:val="0"/>
              <w:autoSpaceDN w:val="0"/>
              <w:adjustRightInd w:val="0"/>
              <w:spacing w:line="360" w:lineRule="auto"/>
              <w:jc w:val="center"/>
              <w:rPr>
                <w:rFonts w:ascii="宋体" w:hAnsi="宋体" w:cs="宋体"/>
                <w:szCs w:val="21"/>
              </w:rPr>
            </w:pPr>
          </w:p>
        </w:tc>
        <w:tc>
          <w:tcPr>
            <w:tcW w:w="1870"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17513D69">
            <w:pPr>
              <w:widowControl/>
              <w:autoSpaceDE w:val="0"/>
              <w:autoSpaceDN w:val="0"/>
              <w:adjustRightInd w:val="0"/>
              <w:spacing w:line="360" w:lineRule="auto"/>
              <w:jc w:val="center"/>
              <w:rPr>
                <w:rFonts w:ascii="宋体" w:hAnsi="宋体" w:cs="宋体"/>
                <w:szCs w:val="21"/>
              </w:rPr>
            </w:pPr>
          </w:p>
        </w:tc>
        <w:tc>
          <w:tcPr>
            <w:tcW w:w="1468" w:type="dxa"/>
            <w:tcBorders>
              <w:top w:val="single" w:color="auto" w:sz="4" w:space="0"/>
              <w:left w:val="single" w:color="auto" w:sz="4" w:space="0"/>
              <w:bottom w:val="single" w:color="auto" w:sz="4" w:space="0"/>
              <w:right w:val="single" w:color="auto" w:sz="4" w:space="0"/>
            </w:tcBorders>
            <w:tcMar>
              <w:top w:w="100" w:type="dxa"/>
              <w:left w:w="108" w:type="dxa"/>
              <w:bottom w:w="0" w:type="dxa"/>
              <w:right w:w="100" w:type="dxa"/>
            </w:tcMar>
            <w:vAlign w:val="center"/>
          </w:tcPr>
          <w:p w14:paraId="5B03731F">
            <w:pPr>
              <w:widowControl/>
              <w:autoSpaceDE w:val="0"/>
              <w:autoSpaceDN w:val="0"/>
              <w:adjustRightInd w:val="0"/>
              <w:spacing w:line="360" w:lineRule="auto"/>
              <w:jc w:val="center"/>
              <w:rPr>
                <w:rFonts w:ascii="宋体" w:hAnsi="宋体" w:cs="宋体"/>
                <w:szCs w:val="21"/>
              </w:rPr>
            </w:pPr>
          </w:p>
        </w:tc>
      </w:tr>
    </w:tbl>
    <w:p w14:paraId="3C7FED1F">
      <w:pPr>
        <w:spacing w:line="360" w:lineRule="auto"/>
        <w:ind w:left="631" w:hanging="211"/>
        <w:rPr>
          <w:rFonts w:ascii="宋体" w:hAnsi="宋体" w:cs="宋体"/>
          <w:b/>
          <w:bCs/>
          <w:szCs w:val="21"/>
        </w:rPr>
      </w:pPr>
      <w:r>
        <w:rPr>
          <w:rFonts w:hint="eastAsia" w:ascii="宋体" w:hAnsi="宋体" w:cs="宋体"/>
          <w:b/>
          <w:bCs/>
          <w:szCs w:val="21"/>
        </w:rPr>
        <w:t>注：</w:t>
      </w:r>
    </w:p>
    <w:p w14:paraId="6288E9A2">
      <w:pPr>
        <w:spacing w:line="360" w:lineRule="auto"/>
        <w:ind w:left="619" w:hanging="199"/>
        <w:rPr>
          <w:rFonts w:ascii="宋体" w:hAnsi="宋体" w:cs="宋体"/>
          <w:b/>
          <w:bCs/>
          <w:spacing w:val="-6"/>
          <w:szCs w:val="21"/>
        </w:rPr>
      </w:pPr>
      <w:r>
        <w:rPr>
          <w:rFonts w:hint="eastAsia" w:ascii="宋体" w:hAnsi="宋体" w:cs="宋体"/>
          <w:b/>
          <w:bCs/>
          <w:spacing w:val="-6"/>
          <w:szCs w:val="21"/>
        </w:rPr>
        <w:t>1.投标人须提供上述业绩合同及招标文件要求提供的资料或省级以上主管部门认定的首台套产品相关证明材料或“制造精品”相关证明材料；</w:t>
      </w:r>
    </w:p>
    <w:p w14:paraId="1EAA852F">
      <w:pPr>
        <w:spacing w:line="360" w:lineRule="auto"/>
        <w:ind w:left="619" w:hanging="199"/>
        <w:rPr>
          <w:rFonts w:ascii="宋体" w:hAnsi="宋体" w:cs="宋体"/>
          <w:b/>
          <w:bCs/>
          <w:spacing w:val="-6"/>
          <w:szCs w:val="21"/>
        </w:rPr>
      </w:pPr>
      <w:r>
        <w:rPr>
          <w:rFonts w:hint="eastAsia" w:ascii="宋体" w:hAnsi="宋体" w:cs="宋体"/>
          <w:b/>
          <w:bCs/>
          <w:spacing w:val="-6"/>
          <w:szCs w:val="21"/>
        </w:rPr>
        <w:t>2.所有合同扫描件应清晰，应能体现合同签订时间、双方签字盖章等内容；</w:t>
      </w:r>
    </w:p>
    <w:p w14:paraId="76791548">
      <w:pPr>
        <w:adjustRightInd w:val="0"/>
        <w:snapToGrid w:val="0"/>
        <w:spacing w:line="360" w:lineRule="auto"/>
        <w:ind w:left="619" w:hanging="199"/>
        <w:rPr>
          <w:rFonts w:ascii="宋体" w:hAnsi="宋体" w:cs="宋体"/>
          <w:b/>
          <w:bCs/>
          <w:szCs w:val="21"/>
        </w:rPr>
      </w:pPr>
      <w:r>
        <w:rPr>
          <w:rFonts w:hint="eastAsia" w:ascii="宋体" w:hAnsi="宋体" w:cs="宋体"/>
          <w:b/>
          <w:bCs/>
          <w:spacing w:val="-6"/>
          <w:szCs w:val="21"/>
        </w:rPr>
        <w:t>3.投标人应在不涉及商业秘密的前提下尽可能提供详细的合同扫描件内容。</w:t>
      </w:r>
    </w:p>
    <w:p w14:paraId="00EC74EB">
      <w:pPr>
        <w:spacing w:line="360" w:lineRule="auto"/>
        <w:ind w:left="420" w:right="480" w:firstLine="420" w:firstLineChars="200"/>
        <w:jc w:val="right"/>
        <w:rPr>
          <w:rFonts w:ascii="宋体" w:hAnsi="宋体" w:cs="宋体"/>
          <w:kern w:val="0"/>
          <w:szCs w:val="21"/>
        </w:rPr>
      </w:pPr>
    </w:p>
    <w:p w14:paraId="5685F417">
      <w:pPr>
        <w:spacing w:line="360" w:lineRule="auto"/>
        <w:ind w:left="420" w:right="480" w:firstLine="420" w:firstLineChars="200"/>
        <w:jc w:val="right"/>
        <w:rPr>
          <w:rFonts w:ascii="宋体" w:hAnsi="宋体" w:cs="宋体"/>
          <w:kern w:val="0"/>
          <w:szCs w:val="21"/>
        </w:rPr>
      </w:pPr>
      <w:r>
        <w:rPr>
          <w:rFonts w:hint="eastAsia" w:ascii="宋体" w:hAnsi="宋体" w:cs="宋体"/>
          <w:kern w:val="0"/>
          <w:szCs w:val="21"/>
        </w:rPr>
        <w:t xml:space="preserve">投标人名称(签章)：    </w:t>
      </w:r>
    </w:p>
    <w:p w14:paraId="322626AE">
      <w:pPr>
        <w:spacing w:line="360" w:lineRule="auto"/>
        <w:jc w:val="center"/>
        <w:rPr>
          <w:rFonts w:hint="eastAsia" w:ascii="宋体" w:hAnsi="宋体" w:cs="宋体"/>
          <w:kern w:val="0"/>
          <w:szCs w:val="21"/>
        </w:rPr>
      </w:pPr>
    </w:p>
    <w:p w14:paraId="0D5494E1">
      <w:pPr>
        <w:spacing w:line="360" w:lineRule="auto"/>
        <w:jc w:val="center"/>
        <w:rPr>
          <w:rFonts w:hint="eastAsia" w:ascii="宋体" w:hAnsi="宋体" w:cs="宋体"/>
          <w:kern w:val="0"/>
          <w:szCs w:val="21"/>
        </w:rPr>
      </w:pPr>
    </w:p>
    <w:p w14:paraId="6D4A439A">
      <w:pPr>
        <w:spacing w:line="360" w:lineRule="auto"/>
        <w:jc w:val="center"/>
        <w:rPr>
          <w:rFonts w:hint="eastAsia" w:ascii="宋体" w:hAnsi="宋体" w:cs="宋体"/>
          <w:kern w:val="0"/>
          <w:szCs w:val="21"/>
        </w:rPr>
      </w:pPr>
    </w:p>
    <w:p w14:paraId="18DC2D8D">
      <w:pPr>
        <w:spacing w:line="360" w:lineRule="auto"/>
        <w:jc w:val="center"/>
        <w:rPr>
          <w:rFonts w:ascii="宋体" w:hAnsi="宋体" w:cs="宋体"/>
          <w:kern w:val="0"/>
          <w:szCs w:val="21"/>
        </w:rPr>
      </w:pPr>
      <w:r>
        <w:rPr>
          <w:rFonts w:hint="eastAsia" w:ascii="宋体" w:hAnsi="宋体" w:cs="宋体"/>
          <w:kern w:val="0"/>
          <w:szCs w:val="21"/>
        </w:rPr>
        <w:t xml:space="preserve">                                               日  期：  年  月   日</w:t>
      </w:r>
    </w:p>
    <w:p w14:paraId="04E2050C">
      <w:pPr>
        <w:spacing w:line="360" w:lineRule="auto"/>
        <w:jc w:val="center"/>
        <w:rPr>
          <w:rFonts w:ascii="宋体" w:hAnsi="宋体" w:cs="宋体"/>
          <w:kern w:val="0"/>
          <w:szCs w:val="21"/>
        </w:rPr>
      </w:pPr>
    </w:p>
    <w:p w14:paraId="57F5DA53">
      <w:pPr>
        <w:spacing w:line="360" w:lineRule="auto"/>
        <w:outlineLvl w:val="2"/>
        <w:rPr>
          <w:rFonts w:ascii="黑体" w:hAnsi="黑体" w:eastAsia="黑体" w:cs="黑体"/>
          <w:b/>
          <w:sz w:val="24"/>
          <w:szCs w:val="20"/>
        </w:rPr>
      </w:pPr>
      <w:r>
        <w:rPr>
          <w:rFonts w:hint="eastAsia" w:ascii="黑体" w:hAnsi="黑体" w:eastAsia="黑体" w:cs="黑体"/>
          <w:szCs w:val="21"/>
        </w:rPr>
        <w:t>附件10</w:t>
      </w:r>
    </w:p>
    <w:p w14:paraId="204B77F6">
      <w:pPr>
        <w:tabs>
          <w:tab w:val="left" w:pos="1418"/>
        </w:tabs>
        <w:snapToGrid w:val="0"/>
        <w:spacing w:line="360" w:lineRule="auto"/>
        <w:ind w:left="701" w:hanging="281"/>
        <w:jc w:val="center"/>
        <w:rPr>
          <w:rFonts w:ascii="宋体" w:hAnsi="宋体" w:cs="宋体"/>
          <w:b/>
          <w:sz w:val="28"/>
          <w:szCs w:val="28"/>
        </w:rPr>
      </w:pPr>
    </w:p>
    <w:p w14:paraId="3A873CBB">
      <w:pPr>
        <w:tabs>
          <w:tab w:val="left" w:pos="1418"/>
        </w:tabs>
        <w:snapToGrid w:val="0"/>
        <w:spacing w:line="360" w:lineRule="auto"/>
        <w:ind w:left="701" w:hanging="281"/>
        <w:jc w:val="center"/>
        <w:rPr>
          <w:rFonts w:ascii="黑体" w:hAnsi="黑体" w:eastAsia="黑体" w:cs="黑体"/>
          <w:b/>
          <w:sz w:val="28"/>
          <w:szCs w:val="28"/>
        </w:rPr>
      </w:pPr>
      <w:r>
        <w:rPr>
          <w:rFonts w:hint="eastAsia" w:ascii="黑体" w:hAnsi="黑体" w:eastAsia="黑体" w:cs="黑体"/>
          <w:b/>
          <w:bCs/>
          <w:sz w:val="28"/>
          <w:szCs w:val="28"/>
          <w:lang w:bidi="ar"/>
        </w:rPr>
        <w:t>投标项目明细清单</w:t>
      </w:r>
      <w:r>
        <w:rPr>
          <w:rFonts w:hint="eastAsia" w:ascii="黑体" w:hAnsi="黑体" w:eastAsia="黑体" w:cs="黑体"/>
          <w:b/>
          <w:bCs/>
          <w:sz w:val="28"/>
          <w:szCs w:val="28"/>
        </w:rPr>
        <w:t>（</w:t>
      </w:r>
      <w:r>
        <w:rPr>
          <w:rFonts w:hint="eastAsia" w:ascii="黑体" w:hAnsi="黑体" w:eastAsia="黑体" w:cs="黑体"/>
          <w:b/>
          <w:sz w:val="28"/>
          <w:szCs w:val="28"/>
        </w:rPr>
        <w:t>如有）</w:t>
      </w:r>
    </w:p>
    <w:p w14:paraId="61115C1E">
      <w:pPr>
        <w:pStyle w:val="55"/>
        <w:widowControl w:val="0"/>
        <w:snapToGrid w:val="0"/>
        <w:spacing w:before="152" w:beforeAutospacing="0" w:after="160" w:afterAutospacing="0"/>
        <w:ind w:left="660" w:hanging="240"/>
        <w:jc w:val="center"/>
        <w:rPr>
          <w:rFonts w:cs="宋体"/>
          <w:sz w:val="21"/>
          <w:szCs w:val="21"/>
        </w:rPr>
      </w:pPr>
      <w:r>
        <w:rPr>
          <w:rFonts w:hint="eastAsia" w:cs="宋体"/>
          <w:kern w:val="2"/>
          <w:lang w:bidi="ar"/>
        </w:rPr>
        <w:t>一、货物类</w:t>
      </w:r>
    </w:p>
    <w:p w14:paraId="33F4ABD3">
      <w:pPr>
        <w:pStyle w:val="55"/>
        <w:widowControl w:val="0"/>
        <w:snapToGrid w:val="0"/>
        <w:spacing w:before="152" w:beforeAutospacing="0" w:after="160" w:afterAutospacing="0"/>
        <w:jc w:val="both"/>
        <w:rPr>
          <w:rFonts w:cs="宋体"/>
          <w:kern w:val="2"/>
          <w:sz w:val="21"/>
          <w:szCs w:val="21"/>
          <w:lang w:bidi="ar"/>
        </w:rPr>
      </w:pPr>
      <w:r>
        <w:rPr>
          <w:rFonts w:hint="eastAsia" w:cs="宋体"/>
          <w:kern w:val="2"/>
          <w:sz w:val="21"/>
          <w:szCs w:val="21"/>
          <w:lang w:bidi="ar"/>
        </w:rPr>
        <w:t xml:space="preserve">             </w:t>
      </w:r>
    </w:p>
    <w:p w14:paraId="066D6820">
      <w:pPr>
        <w:pStyle w:val="55"/>
        <w:widowControl w:val="0"/>
        <w:snapToGrid w:val="0"/>
        <w:spacing w:before="152" w:beforeAutospacing="0" w:after="160" w:afterAutospacing="0"/>
        <w:jc w:val="both"/>
        <w:rPr>
          <w:rFonts w:cs="宋体"/>
          <w:sz w:val="21"/>
          <w:szCs w:val="21"/>
          <w:u w:val="single"/>
        </w:rPr>
      </w:pPr>
      <w:r>
        <w:rPr>
          <w:rFonts w:hint="eastAsia" w:cs="宋体"/>
          <w:kern w:val="2"/>
          <w:sz w:val="21"/>
          <w:szCs w:val="21"/>
          <w:lang w:bidi="ar"/>
        </w:rPr>
        <w:t>项目名称：</w:t>
      </w:r>
    </w:p>
    <w:tbl>
      <w:tblPr>
        <w:tblStyle w:val="60"/>
        <w:tblW w:w="907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53"/>
        <w:gridCol w:w="1680"/>
        <w:gridCol w:w="839"/>
        <w:gridCol w:w="1280"/>
        <w:gridCol w:w="1418"/>
        <w:gridCol w:w="2226"/>
        <w:gridCol w:w="1079"/>
      </w:tblGrid>
      <w:tr w14:paraId="3252FB4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3E8D7A49">
            <w:pPr>
              <w:snapToGrid w:val="0"/>
              <w:spacing w:before="50" w:after="50"/>
              <w:jc w:val="center"/>
              <w:rPr>
                <w:rFonts w:ascii="宋体" w:hAnsi="宋体" w:cs="宋体"/>
                <w:szCs w:val="21"/>
              </w:rPr>
            </w:pPr>
            <w:r>
              <w:rPr>
                <w:rFonts w:hint="eastAsia" w:ascii="宋体" w:hAnsi="宋体" w:cs="宋体"/>
                <w:szCs w:val="21"/>
                <w:lang w:bidi="ar"/>
              </w:rPr>
              <w:t>序号</w:t>
            </w:r>
          </w:p>
        </w:tc>
        <w:tc>
          <w:tcPr>
            <w:tcW w:w="1680" w:type="dxa"/>
            <w:tcBorders>
              <w:top w:val="single" w:color="auto" w:sz="4" w:space="0"/>
              <w:left w:val="single" w:color="auto" w:sz="4" w:space="0"/>
              <w:bottom w:val="single" w:color="auto" w:sz="4" w:space="0"/>
              <w:right w:val="single" w:color="auto" w:sz="4" w:space="0"/>
            </w:tcBorders>
            <w:vAlign w:val="center"/>
          </w:tcPr>
          <w:p w14:paraId="688082A1">
            <w:pPr>
              <w:snapToGrid w:val="0"/>
              <w:spacing w:before="50" w:after="50"/>
              <w:jc w:val="center"/>
              <w:rPr>
                <w:rFonts w:ascii="宋体" w:hAnsi="宋体" w:cs="宋体"/>
                <w:szCs w:val="21"/>
              </w:rPr>
            </w:pPr>
            <w:r>
              <w:rPr>
                <w:rFonts w:hint="eastAsia" w:ascii="宋体" w:hAnsi="宋体" w:cs="宋体"/>
                <w:szCs w:val="21"/>
                <w:lang w:bidi="ar"/>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4C97D72A">
            <w:pPr>
              <w:snapToGrid w:val="0"/>
              <w:spacing w:before="50" w:after="50"/>
              <w:jc w:val="center"/>
              <w:rPr>
                <w:rFonts w:ascii="宋体" w:hAnsi="宋体" w:cs="宋体"/>
                <w:szCs w:val="21"/>
              </w:rPr>
            </w:pPr>
            <w:r>
              <w:rPr>
                <w:rFonts w:hint="eastAsia" w:ascii="宋体" w:hAnsi="宋体" w:cs="宋体"/>
                <w:szCs w:val="21"/>
                <w:lang w:bidi="ar"/>
              </w:rPr>
              <w:t>品牌</w:t>
            </w:r>
          </w:p>
        </w:tc>
        <w:tc>
          <w:tcPr>
            <w:tcW w:w="1280" w:type="dxa"/>
            <w:tcBorders>
              <w:top w:val="single" w:color="auto" w:sz="4" w:space="0"/>
              <w:left w:val="single" w:color="auto" w:sz="4" w:space="0"/>
              <w:bottom w:val="single" w:color="auto" w:sz="4" w:space="0"/>
              <w:right w:val="single" w:color="auto" w:sz="4" w:space="0"/>
            </w:tcBorders>
            <w:vAlign w:val="center"/>
          </w:tcPr>
          <w:p w14:paraId="2B3FCB77">
            <w:pPr>
              <w:snapToGrid w:val="0"/>
              <w:spacing w:before="50" w:after="50"/>
              <w:jc w:val="center"/>
              <w:rPr>
                <w:rFonts w:ascii="宋体" w:hAnsi="宋体" w:cs="宋体"/>
                <w:szCs w:val="21"/>
              </w:rPr>
            </w:pPr>
            <w:r>
              <w:rPr>
                <w:rFonts w:hint="eastAsia" w:ascii="宋体" w:hAnsi="宋体" w:cs="宋体"/>
                <w:szCs w:val="21"/>
                <w:lang w:bidi="ar"/>
              </w:rPr>
              <w:t>规格</w:t>
            </w:r>
          </w:p>
          <w:p w14:paraId="722AF72D">
            <w:pPr>
              <w:snapToGrid w:val="0"/>
              <w:spacing w:before="50" w:after="50"/>
              <w:jc w:val="center"/>
              <w:rPr>
                <w:rFonts w:ascii="宋体" w:hAnsi="宋体" w:cs="宋体"/>
                <w:szCs w:val="21"/>
              </w:rPr>
            </w:pPr>
            <w:r>
              <w:rPr>
                <w:rFonts w:hint="eastAsia" w:ascii="宋体" w:hAnsi="宋体" w:cs="宋体"/>
                <w:szCs w:val="21"/>
                <w:lang w:bidi="ar"/>
              </w:rPr>
              <w:t>型号</w:t>
            </w:r>
          </w:p>
        </w:tc>
        <w:tc>
          <w:tcPr>
            <w:tcW w:w="1418" w:type="dxa"/>
            <w:tcBorders>
              <w:top w:val="single" w:color="auto" w:sz="4" w:space="0"/>
              <w:left w:val="single" w:color="auto" w:sz="4" w:space="0"/>
              <w:bottom w:val="single" w:color="auto" w:sz="4" w:space="0"/>
              <w:right w:val="single" w:color="auto" w:sz="4" w:space="0"/>
            </w:tcBorders>
            <w:vAlign w:val="center"/>
          </w:tcPr>
          <w:p w14:paraId="6672A530">
            <w:pPr>
              <w:snapToGrid w:val="0"/>
              <w:spacing w:before="50" w:after="50"/>
              <w:jc w:val="center"/>
              <w:rPr>
                <w:rFonts w:ascii="宋体" w:hAnsi="宋体" w:cs="宋体"/>
                <w:szCs w:val="21"/>
              </w:rPr>
            </w:pPr>
            <w:r>
              <w:rPr>
                <w:rFonts w:hint="eastAsia" w:ascii="宋体" w:hAnsi="宋体" w:cs="宋体"/>
                <w:szCs w:val="21"/>
                <w:lang w:bidi="ar"/>
              </w:rPr>
              <w:t>单位及</w:t>
            </w:r>
          </w:p>
          <w:p w14:paraId="7B1B40CE">
            <w:pPr>
              <w:snapToGrid w:val="0"/>
              <w:spacing w:before="50" w:after="50"/>
              <w:jc w:val="center"/>
              <w:rPr>
                <w:rFonts w:ascii="宋体" w:hAnsi="宋体" w:cs="宋体"/>
                <w:szCs w:val="21"/>
              </w:rPr>
            </w:pPr>
            <w:r>
              <w:rPr>
                <w:rFonts w:hint="eastAsia" w:ascii="宋体" w:hAnsi="宋体" w:cs="宋体"/>
                <w:szCs w:val="21"/>
                <w:lang w:bidi="ar"/>
              </w:rPr>
              <w:t>数量</w:t>
            </w:r>
          </w:p>
        </w:tc>
        <w:tc>
          <w:tcPr>
            <w:tcW w:w="2226" w:type="dxa"/>
            <w:tcBorders>
              <w:top w:val="single" w:color="auto" w:sz="4" w:space="0"/>
              <w:left w:val="single" w:color="auto" w:sz="4" w:space="0"/>
              <w:bottom w:val="single" w:color="auto" w:sz="4" w:space="0"/>
              <w:right w:val="single" w:color="auto" w:sz="4" w:space="0"/>
            </w:tcBorders>
            <w:vAlign w:val="center"/>
          </w:tcPr>
          <w:p w14:paraId="36EBF3EB">
            <w:pPr>
              <w:snapToGrid w:val="0"/>
              <w:spacing w:before="50" w:after="50"/>
              <w:jc w:val="center"/>
              <w:rPr>
                <w:rFonts w:ascii="宋体" w:hAnsi="宋体" w:cs="宋体"/>
                <w:szCs w:val="21"/>
              </w:rPr>
            </w:pPr>
            <w:r>
              <w:rPr>
                <w:rFonts w:hint="eastAsia" w:ascii="宋体" w:hAnsi="宋体" w:cs="宋体"/>
                <w:szCs w:val="21"/>
                <w:lang w:bidi="ar"/>
              </w:rPr>
              <w:t>性能及指标</w:t>
            </w:r>
          </w:p>
        </w:tc>
        <w:tc>
          <w:tcPr>
            <w:tcW w:w="1079" w:type="dxa"/>
            <w:tcBorders>
              <w:top w:val="single" w:color="auto" w:sz="4" w:space="0"/>
              <w:left w:val="single" w:color="auto" w:sz="4" w:space="0"/>
              <w:bottom w:val="single" w:color="auto" w:sz="4" w:space="0"/>
              <w:right w:val="single" w:color="auto" w:sz="4" w:space="0"/>
            </w:tcBorders>
            <w:vAlign w:val="center"/>
          </w:tcPr>
          <w:p w14:paraId="75D92703">
            <w:pPr>
              <w:snapToGrid w:val="0"/>
              <w:spacing w:before="50" w:after="50"/>
              <w:jc w:val="center"/>
              <w:rPr>
                <w:rFonts w:ascii="宋体" w:hAnsi="宋体" w:cs="宋体"/>
                <w:szCs w:val="21"/>
              </w:rPr>
            </w:pPr>
            <w:r>
              <w:rPr>
                <w:rFonts w:hint="eastAsia" w:ascii="宋体" w:hAnsi="宋体" w:cs="宋体"/>
                <w:szCs w:val="21"/>
                <w:lang w:bidi="ar"/>
              </w:rPr>
              <w:t>产地</w:t>
            </w:r>
          </w:p>
        </w:tc>
      </w:tr>
      <w:tr w14:paraId="46A826C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779E2EF8">
            <w:pPr>
              <w:snapToGrid w:val="0"/>
              <w:spacing w:before="50" w:after="50"/>
              <w:jc w:val="center"/>
              <w:rPr>
                <w:rFonts w:ascii="宋体" w:hAnsi="宋体" w:cs="宋体"/>
                <w:szCs w:val="21"/>
              </w:rPr>
            </w:pPr>
          </w:p>
        </w:tc>
        <w:tc>
          <w:tcPr>
            <w:tcW w:w="1680" w:type="dxa"/>
            <w:tcBorders>
              <w:top w:val="single" w:color="auto" w:sz="4" w:space="0"/>
              <w:left w:val="single" w:color="auto" w:sz="4" w:space="0"/>
              <w:bottom w:val="single" w:color="auto" w:sz="4" w:space="0"/>
              <w:right w:val="single" w:color="auto" w:sz="4" w:space="0"/>
            </w:tcBorders>
            <w:vAlign w:val="center"/>
          </w:tcPr>
          <w:p w14:paraId="2D5E3A60">
            <w:pPr>
              <w:snapToGrid w:val="0"/>
              <w:spacing w:before="50" w:after="50"/>
              <w:jc w:val="center"/>
              <w:rPr>
                <w:rFonts w:ascii="宋体" w:hAnsi="宋体" w:cs="宋体"/>
                <w:szCs w:val="21"/>
              </w:rPr>
            </w:pPr>
          </w:p>
        </w:tc>
        <w:tc>
          <w:tcPr>
            <w:tcW w:w="839" w:type="dxa"/>
            <w:tcBorders>
              <w:top w:val="single" w:color="auto" w:sz="4" w:space="0"/>
              <w:left w:val="single" w:color="auto" w:sz="4" w:space="0"/>
              <w:bottom w:val="single" w:color="auto" w:sz="4" w:space="0"/>
              <w:right w:val="single" w:color="auto" w:sz="4" w:space="0"/>
            </w:tcBorders>
            <w:vAlign w:val="center"/>
          </w:tcPr>
          <w:p w14:paraId="420C0349">
            <w:pPr>
              <w:snapToGrid w:val="0"/>
              <w:spacing w:before="50" w:after="50"/>
              <w:ind w:left="630" w:hanging="210"/>
              <w:jc w:val="center"/>
              <w:rPr>
                <w:rFonts w:ascii="宋体" w:hAnsi="宋体" w:cs="宋体"/>
                <w:szCs w:val="21"/>
              </w:rPr>
            </w:pPr>
          </w:p>
        </w:tc>
        <w:tc>
          <w:tcPr>
            <w:tcW w:w="1280" w:type="dxa"/>
            <w:tcBorders>
              <w:top w:val="single" w:color="auto" w:sz="4" w:space="0"/>
              <w:left w:val="single" w:color="auto" w:sz="4" w:space="0"/>
              <w:bottom w:val="single" w:color="auto" w:sz="4" w:space="0"/>
              <w:right w:val="single" w:color="auto" w:sz="4" w:space="0"/>
            </w:tcBorders>
            <w:vAlign w:val="center"/>
          </w:tcPr>
          <w:p w14:paraId="57C0E259">
            <w:pPr>
              <w:snapToGrid w:val="0"/>
              <w:spacing w:before="50" w:after="50"/>
              <w:jc w:val="center"/>
              <w:rPr>
                <w:rFonts w:ascii="宋体" w:hAnsi="宋体" w:cs="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177F5F21">
            <w:pPr>
              <w:snapToGrid w:val="0"/>
              <w:spacing w:before="50" w:after="50"/>
              <w:jc w:val="center"/>
              <w:rPr>
                <w:rFonts w:ascii="宋体" w:hAnsi="宋体" w:cs="宋体"/>
                <w:szCs w:val="21"/>
              </w:rPr>
            </w:pPr>
          </w:p>
        </w:tc>
        <w:tc>
          <w:tcPr>
            <w:tcW w:w="2226" w:type="dxa"/>
            <w:tcBorders>
              <w:top w:val="single" w:color="auto" w:sz="4" w:space="0"/>
              <w:left w:val="single" w:color="auto" w:sz="4" w:space="0"/>
              <w:bottom w:val="single" w:color="auto" w:sz="4" w:space="0"/>
              <w:right w:val="single" w:color="auto" w:sz="4" w:space="0"/>
            </w:tcBorders>
            <w:vAlign w:val="center"/>
          </w:tcPr>
          <w:p w14:paraId="19C41E7C">
            <w:pPr>
              <w:snapToGrid w:val="0"/>
              <w:spacing w:before="50" w:after="50"/>
              <w:jc w:val="center"/>
              <w:rPr>
                <w:rFonts w:ascii="宋体" w:hAnsi="宋体" w:cs="宋体"/>
                <w:szCs w:val="21"/>
              </w:rPr>
            </w:pPr>
          </w:p>
        </w:tc>
        <w:tc>
          <w:tcPr>
            <w:tcW w:w="1079" w:type="dxa"/>
            <w:tcBorders>
              <w:top w:val="single" w:color="auto" w:sz="4" w:space="0"/>
              <w:left w:val="single" w:color="auto" w:sz="4" w:space="0"/>
              <w:bottom w:val="single" w:color="auto" w:sz="4" w:space="0"/>
              <w:right w:val="single" w:color="auto" w:sz="4" w:space="0"/>
            </w:tcBorders>
            <w:vAlign w:val="center"/>
          </w:tcPr>
          <w:p w14:paraId="6331C183">
            <w:pPr>
              <w:snapToGrid w:val="0"/>
              <w:spacing w:before="50" w:after="50"/>
              <w:jc w:val="center"/>
              <w:rPr>
                <w:rFonts w:ascii="宋体" w:hAnsi="宋体" w:cs="宋体"/>
                <w:szCs w:val="21"/>
              </w:rPr>
            </w:pPr>
          </w:p>
        </w:tc>
      </w:tr>
      <w:tr w14:paraId="06B4A30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52145C7C">
            <w:pPr>
              <w:snapToGrid w:val="0"/>
              <w:spacing w:before="50" w:after="50"/>
              <w:jc w:val="center"/>
              <w:rPr>
                <w:rFonts w:ascii="宋体" w:hAnsi="宋体" w:cs="宋体"/>
                <w:szCs w:val="21"/>
              </w:rPr>
            </w:pPr>
          </w:p>
        </w:tc>
        <w:tc>
          <w:tcPr>
            <w:tcW w:w="1680" w:type="dxa"/>
            <w:tcBorders>
              <w:top w:val="single" w:color="auto" w:sz="4" w:space="0"/>
              <w:left w:val="single" w:color="auto" w:sz="4" w:space="0"/>
              <w:bottom w:val="single" w:color="auto" w:sz="4" w:space="0"/>
              <w:right w:val="single" w:color="auto" w:sz="4" w:space="0"/>
            </w:tcBorders>
            <w:vAlign w:val="center"/>
          </w:tcPr>
          <w:p w14:paraId="440C53BC">
            <w:pPr>
              <w:snapToGrid w:val="0"/>
              <w:spacing w:before="50" w:after="50"/>
              <w:jc w:val="center"/>
              <w:rPr>
                <w:rFonts w:ascii="宋体" w:hAnsi="宋体" w:cs="宋体"/>
                <w:szCs w:val="21"/>
              </w:rPr>
            </w:pPr>
          </w:p>
        </w:tc>
        <w:tc>
          <w:tcPr>
            <w:tcW w:w="839" w:type="dxa"/>
            <w:tcBorders>
              <w:top w:val="single" w:color="auto" w:sz="4" w:space="0"/>
              <w:left w:val="single" w:color="auto" w:sz="4" w:space="0"/>
              <w:bottom w:val="single" w:color="auto" w:sz="4" w:space="0"/>
              <w:right w:val="single" w:color="auto" w:sz="4" w:space="0"/>
            </w:tcBorders>
            <w:vAlign w:val="center"/>
          </w:tcPr>
          <w:p w14:paraId="5A710236">
            <w:pPr>
              <w:snapToGrid w:val="0"/>
              <w:spacing w:before="50" w:after="50"/>
              <w:ind w:left="630" w:hanging="210"/>
              <w:jc w:val="center"/>
              <w:rPr>
                <w:rFonts w:ascii="宋体" w:hAnsi="宋体" w:cs="宋体"/>
                <w:szCs w:val="21"/>
              </w:rPr>
            </w:pPr>
          </w:p>
        </w:tc>
        <w:tc>
          <w:tcPr>
            <w:tcW w:w="1280" w:type="dxa"/>
            <w:tcBorders>
              <w:top w:val="single" w:color="auto" w:sz="4" w:space="0"/>
              <w:left w:val="single" w:color="auto" w:sz="4" w:space="0"/>
              <w:bottom w:val="single" w:color="auto" w:sz="4" w:space="0"/>
              <w:right w:val="single" w:color="auto" w:sz="4" w:space="0"/>
            </w:tcBorders>
            <w:vAlign w:val="center"/>
          </w:tcPr>
          <w:p w14:paraId="2594BDB6">
            <w:pPr>
              <w:snapToGrid w:val="0"/>
              <w:spacing w:before="50" w:after="50"/>
              <w:jc w:val="center"/>
              <w:rPr>
                <w:rFonts w:ascii="宋体" w:hAnsi="宋体" w:cs="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3EDA9D54">
            <w:pPr>
              <w:snapToGrid w:val="0"/>
              <w:spacing w:before="50" w:after="50"/>
              <w:jc w:val="center"/>
              <w:rPr>
                <w:rFonts w:ascii="宋体" w:hAnsi="宋体" w:cs="宋体"/>
                <w:szCs w:val="21"/>
              </w:rPr>
            </w:pPr>
          </w:p>
        </w:tc>
        <w:tc>
          <w:tcPr>
            <w:tcW w:w="2226" w:type="dxa"/>
            <w:tcBorders>
              <w:top w:val="single" w:color="auto" w:sz="4" w:space="0"/>
              <w:left w:val="single" w:color="auto" w:sz="4" w:space="0"/>
              <w:bottom w:val="single" w:color="auto" w:sz="4" w:space="0"/>
              <w:right w:val="single" w:color="auto" w:sz="4" w:space="0"/>
            </w:tcBorders>
            <w:vAlign w:val="center"/>
          </w:tcPr>
          <w:p w14:paraId="77A5B4F2">
            <w:pPr>
              <w:snapToGrid w:val="0"/>
              <w:spacing w:before="50" w:after="50"/>
              <w:jc w:val="center"/>
              <w:rPr>
                <w:rFonts w:ascii="宋体" w:hAnsi="宋体" w:cs="宋体"/>
                <w:szCs w:val="21"/>
              </w:rPr>
            </w:pPr>
          </w:p>
        </w:tc>
        <w:tc>
          <w:tcPr>
            <w:tcW w:w="1079" w:type="dxa"/>
            <w:tcBorders>
              <w:top w:val="single" w:color="auto" w:sz="4" w:space="0"/>
              <w:left w:val="single" w:color="auto" w:sz="4" w:space="0"/>
              <w:bottom w:val="single" w:color="auto" w:sz="4" w:space="0"/>
              <w:right w:val="single" w:color="auto" w:sz="4" w:space="0"/>
            </w:tcBorders>
            <w:vAlign w:val="center"/>
          </w:tcPr>
          <w:p w14:paraId="7144C0F3">
            <w:pPr>
              <w:snapToGrid w:val="0"/>
              <w:spacing w:before="50" w:after="50"/>
              <w:jc w:val="center"/>
              <w:rPr>
                <w:rFonts w:ascii="宋体" w:hAnsi="宋体" w:cs="宋体"/>
                <w:szCs w:val="21"/>
              </w:rPr>
            </w:pPr>
          </w:p>
        </w:tc>
      </w:tr>
    </w:tbl>
    <w:p w14:paraId="4313797B">
      <w:pPr>
        <w:snapToGrid w:val="0"/>
        <w:spacing w:before="120" w:beforeLines="50"/>
        <w:ind w:left="660" w:hanging="240"/>
        <w:jc w:val="center"/>
        <w:rPr>
          <w:rFonts w:ascii="宋体" w:hAnsi="宋体" w:cs="宋体"/>
          <w:sz w:val="24"/>
          <w:lang w:bidi="ar"/>
        </w:rPr>
      </w:pPr>
    </w:p>
    <w:p w14:paraId="77ACF7A8">
      <w:pPr>
        <w:snapToGrid w:val="0"/>
        <w:spacing w:before="120" w:beforeLines="50"/>
        <w:ind w:left="660" w:hanging="240"/>
        <w:jc w:val="center"/>
        <w:rPr>
          <w:rFonts w:ascii="宋体" w:hAnsi="宋体" w:cs="宋体"/>
          <w:sz w:val="24"/>
        </w:rPr>
      </w:pPr>
      <w:r>
        <w:rPr>
          <w:rFonts w:hint="eastAsia" w:ascii="宋体" w:hAnsi="宋体" w:cs="宋体"/>
          <w:sz w:val="24"/>
          <w:lang w:bidi="ar"/>
        </w:rPr>
        <w:t>二、服务类</w:t>
      </w:r>
    </w:p>
    <w:tbl>
      <w:tblPr>
        <w:tblStyle w:val="60"/>
        <w:tblW w:w="904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54"/>
        <w:gridCol w:w="2830"/>
        <w:gridCol w:w="2830"/>
        <w:gridCol w:w="2831"/>
      </w:tblGrid>
      <w:tr w14:paraId="4B9A8F2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EA0665C">
            <w:pPr>
              <w:snapToGrid w:val="0"/>
              <w:spacing w:before="50" w:after="50"/>
              <w:jc w:val="center"/>
              <w:rPr>
                <w:rFonts w:ascii="宋体" w:hAnsi="宋体" w:cs="宋体"/>
                <w:szCs w:val="21"/>
              </w:rPr>
            </w:pPr>
            <w:r>
              <w:rPr>
                <w:rFonts w:hint="eastAsia" w:ascii="宋体" w:hAnsi="宋体" w:cs="宋体"/>
                <w:szCs w:val="21"/>
                <w:lang w:bidi="ar"/>
              </w:rPr>
              <w:t>序号</w:t>
            </w:r>
          </w:p>
        </w:tc>
        <w:tc>
          <w:tcPr>
            <w:tcW w:w="2830" w:type="dxa"/>
            <w:tcBorders>
              <w:top w:val="single" w:color="auto" w:sz="4" w:space="0"/>
              <w:left w:val="single" w:color="auto" w:sz="4" w:space="0"/>
              <w:bottom w:val="single" w:color="auto" w:sz="4" w:space="0"/>
              <w:right w:val="single" w:color="auto" w:sz="4" w:space="0"/>
            </w:tcBorders>
            <w:vAlign w:val="center"/>
          </w:tcPr>
          <w:p w14:paraId="6D1D772A">
            <w:pPr>
              <w:snapToGrid w:val="0"/>
              <w:spacing w:before="50" w:after="50"/>
              <w:jc w:val="center"/>
              <w:rPr>
                <w:rFonts w:ascii="宋体" w:hAnsi="宋体" w:cs="宋体"/>
                <w:szCs w:val="21"/>
              </w:rPr>
            </w:pPr>
            <w:r>
              <w:rPr>
                <w:rFonts w:hint="eastAsia" w:ascii="宋体" w:hAnsi="宋体" w:cs="宋体"/>
                <w:szCs w:val="21"/>
                <w:lang w:bidi="ar"/>
              </w:rPr>
              <w:t>服务内容</w:t>
            </w:r>
          </w:p>
        </w:tc>
        <w:tc>
          <w:tcPr>
            <w:tcW w:w="2830" w:type="dxa"/>
            <w:tcBorders>
              <w:top w:val="single" w:color="auto" w:sz="4" w:space="0"/>
              <w:left w:val="single" w:color="auto" w:sz="4" w:space="0"/>
              <w:bottom w:val="single" w:color="auto" w:sz="4" w:space="0"/>
              <w:right w:val="single" w:color="auto" w:sz="4" w:space="0"/>
            </w:tcBorders>
            <w:vAlign w:val="center"/>
          </w:tcPr>
          <w:p w14:paraId="4534D18A">
            <w:pPr>
              <w:snapToGrid w:val="0"/>
              <w:spacing w:before="50" w:after="50"/>
              <w:jc w:val="center"/>
              <w:rPr>
                <w:rFonts w:ascii="宋体" w:hAnsi="宋体" w:cs="宋体"/>
                <w:szCs w:val="21"/>
              </w:rPr>
            </w:pPr>
            <w:r>
              <w:rPr>
                <w:rFonts w:hint="eastAsia" w:ascii="宋体" w:hAnsi="宋体" w:cs="宋体"/>
                <w:szCs w:val="21"/>
                <w:lang w:bidi="ar"/>
              </w:rPr>
              <w:t>服务人员数量</w:t>
            </w:r>
          </w:p>
        </w:tc>
        <w:tc>
          <w:tcPr>
            <w:tcW w:w="2831" w:type="dxa"/>
            <w:tcBorders>
              <w:top w:val="single" w:color="auto" w:sz="4" w:space="0"/>
              <w:left w:val="single" w:color="auto" w:sz="4" w:space="0"/>
              <w:bottom w:val="single" w:color="auto" w:sz="4" w:space="0"/>
              <w:right w:val="single" w:color="auto" w:sz="4" w:space="0"/>
            </w:tcBorders>
            <w:vAlign w:val="center"/>
          </w:tcPr>
          <w:p w14:paraId="309BF34E">
            <w:pPr>
              <w:snapToGrid w:val="0"/>
              <w:spacing w:before="50" w:after="50"/>
              <w:jc w:val="center"/>
              <w:rPr>
                <w:rFonts w:ascii="宋体" w:hAnsi="宋体" w:cs="宋体"/>
                <w:szCs w:val="21"/>
              </w:rPr>
            </w:pPr>
            <w:r>
              <w:rPr>
                <w:rFonts w:hint="eastAsia" w:ascii="宋体" w:hAnsi="宋体" w:cs="宋体"/>
                <w:szCs w:val="21"/>
                <w:lang w:bidi="ar"/>
              </w:rPr>
              <w:t>工作量</w:t>
            </w:r>
          </w:p>
        </w:tc>
      </w:tr>
      <w:tr w14:paraId="709E044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0ABAFBA">
            <w:pPr>
              <w:snapToGrid w:val="0"/>
              <w:spacing w:before="50" w:after="50"/>
              <w:jc w:val="center"/>
              <w:rPr>
                <w:rFonts w:ascii="宋体" w:hAnsi="宋体" w:cs="宋体"/>
                <w:szCs w:val="21"/>
              </w:rPr>
            </w:pPr>
          </w:p>
        </w:tc>
        <w:tc>
          <w:tcPr>
            <w:tcW w:w="2830" w:type="dxa"/>
            <w:tcBorders>
              <w:top w:val="single" w:color="auto" w:sz="4" w:space="0"/>
              <w:left w:val="single" w:color="auto" w:sz="4" w:space="0"/>
              <w:bottom w:val="single" w:color="auto" w:sz="4" w:space="0"/>
              <w:right w:val="single" w:color="auto" w:sz="4" w:space="0"/>
            </w:tcBorders>
            <w:vAlign w:val="center"/>
          </w:tcPr>
          <w:p w14:paraId="06D08DDD">
            <w:pPr>
              <w:snapToGrid w:val="0"/>
              <w:spacing w:before="50" w:after="50"/>
              <w:jc w:val="center"/>
              <w:rPr>
                <w:rFonts w:ascii="宋体" w:hAnsi="宋体" w:cs="宋体"/>
                <w:szCs w:val="21"/>
              </w:rPr>
            </w:pPr>
          </w:p>
        </w:tc>
        <w:tc>
          <w:tcPr>
            <w:tcW w:w="2830" w:type="dxa"/>
            <w:tcBorders>
              <w:top w:val="single" w:color="auto" w:sz="4" w:space="0"/>
              <w:left w:val="single" w:color="auto" w:sz="4" w:space="0"/>
              <w:bottom w:val="single" w:color="auto" w:sz="4" w:space="0"/>
              <w:right w:val="single" w:color="auto" w:sz="4" w:space="0"/>
            </w:tcBorders>
            <w:vAlign w:val="center"/>
          </w:tcPr>
          <w:p w14:paraId="62C52DA5">
            <w:pPr>
              <w:snapToGrid w:val="0"/>
              <w:spacing w:before="50" w:after="50"/>
              <w:ind w:left="630" w:hanging="210"/>
              <w:jc w:val="center"/>
              <w:rPr>
                <w:rFonts w:ascii="宋体" w:hAnsi="宋体" w:cs="宋体"/>
                <w:szCs w:val="21"/>
              </w:rPr>
            </w:pPr>
          </w:p>
        </w:tc>
        <w:tc>
          <w:tcPr>
            <w:tcW w:w="2831" w:type="dxa"/>
            <w:tcBorders>
              <w:top w:val="single" w:color="auto" w:sz="4" w:space="0"/>
              <w:left w:val="single" w:color="auto" w:sz="4" w:space="0"/>
              <w:bottom w:val="single" w:color="auto" w:sz="4" w:space="0"/>
              <w:right w:val="single" w:color="auto" w:sz="4" w:space="0"/>
            </w:tcBorders>
            <w:vAlign w:val="center"/>
          </w:tcPr>
          <w:p w14:paraId="4132C9A4">
            <w:pPr>
              <w:snapToGrid w:val="0"/>
              <w:spacing w:before="50" w:after="50"/>
              <w:jc w:val="center"/>
              <w:rPr>
                <w:rFonts w:ascii="宋体" w:hAnsi="宋体" w:cs="宋体"/>
                <w:szCs w:val="21"/>
              </w:rPr>
            </w:pPr>
          </w:p>
        </w:tc>
      </w:tr>
      <w:tr w14:paraId="705545F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1A019DC">
            <w:pPr>
              <w:snapToGrid w:val="0"/>
              <w:spacing w:before="50" w:after="50"/>
              <w:jc w:val="center"/>
              <w:rPr>
                <w:rFonts w:ascii="宋体" w:hAnsi="宋体" w:cs="宋体"/>
                <w:szCs w:val="21"/>
              </w:rPr>
            </w:pPr>
          </w:p>
        </w:tc>
        <w:tc>
          <w:tcPr>
            <w:tcW w:w="2830" w:type="dxa"/>
            <w:tcBorders>
              <w:top w:val="single" w:color="auto" w:sz="4" w:space="0"/>
              <w:left w:val="single" w:color="auto" w:sz="4" w:space="0"/>
              <w:bottom w:val="single" w:color="auto" w:sz="4" w:space="0"/>
              <w:right w:val="single" w:color="auto" w:sz="4" w:space="0"/>
            </w:tcBorders>
            <w:vAlign w:val="center"/>
          </w:tcPr>
          <w:p w14:paraId="1EC74378">
            <w:pPr>
              <w:snapToGrid w:val="0"/>
              <w:spacing w:before="50" w:after="50"/>
              <w:jc w:val="center"/>
              <w:rPr>
                <w:rFonts w:ascii="宋体" w:hAnsi="宋体" w:cs="宋体"/>
                <w:szCs w:val="21"/>
              </w:rPr>
            </w:pPr>
          </w:p>
        </w:tc>
        <w:tc>
          <w:tcPr>
            <w:tcW w:w="2830" w:type="dxa"/>
            <w:tcBorders>
              <w:top w:val="single" w:color="auto" w:sz="4" w:space="0"/>
              <w:left w:val="single" w:color="auto" w:sz="4" w:space="0"/>
              <w:bottom w:val="single" w:color="auto" w:sz="4" w:space="0"/>
              <w:right w:val="single" w:color="auto" w:sz="4" w:space="0"/>
            </w:tcBorders>
            <w:vAlign w:val="center"/>
          </w:tcPr>
          <w:p w14:paraId="63158B29">
            <w:pPr>
              <w:snapToGrid w:val="0"/>
              <w:spacing w:before="50" w:after="50"/>
              <w:ind w:left="630" w:hanging="210"/>
              <w:jc w:val="center"/>
              <w:rPr>
                <w:rFonts w:ascii="宋体" w:hAnsi="宋体" w:cs="宋体"/>
                <w:szCs w:val="21"/>
              </w:rPr>
            </w:pPr>
          </w:p>
        </w:tc>
        <w:tc>
          <w:tcPr>
            <w:tcW w:w="2831" w:type="dxa"/>
            <w:tcBorders>
              <w:top w:val="single" w:color="auto" w:sz="4" w:space="0"/>
              <w:left w:val="single" w:color="auto" w:sz="4" w:space="0"/>
              <w:bottom w:val="single" w:color="auto" w:sz="4" w:space="0"/>
              <w:right w:val="single" w:color="auto" w:sz="4" w:space="0"/>
            </w:tcBorders>
            <w:vAlign w:val="center"/>
          </w:tcPr>
          <w:p w14:paraId="2D8D5EC7">
            <w:pPr>
              <w:snapToGrid w:val="0"/>
              <w:spacing w:before="50" w:after="50"/>
              <w:jc w:val="center"/>
              <w:rPr>
                <w:rFonts w:ascii="宋体" w:hAnsi="宋体" w:cs="宋体"/>
                <w:szCs w:val="21"/>
              </w:rPr>
            </w:pPr>
          </w:p>
        </w:tc>
      </w:tr>
    </w:tbl>
    <w:p w14:paraId="0EFAE6D6">
      <w:pPr>
        <w:snapToGrid w:val="0"/>
        <w:spacing w:before="120" w:beforeLines="50"/>
        <w:rPr>
          <w:rFonts w:ascii="宋体" w:hAnsi="宋体" w:cs="宋体"/>
          <w:szCs w:val="21"/>
        </w:rPr>
      </w:pPr>
      <w:r>
        <w:rPr>
          <w:rFonts w:hint="eastAsia" w:ascii="宋体" w:hAnsi="宋体" w:cs="宋体"/>
          <w:szCs w:val="21"/>
          <w:lang w:bidi="ar"/>
        </w:rPr>
        <w:t>注：在填写时，如上表不适合本项目的实际情况，可在确保投标明细内容完整的情况下，根据上表格式自行划表填写。</w:t>
      </w:r>
    </w:p>
    <w:p w14:paraId="07C0A34B">
      <w:pPr>
        <w:snapToGrid w:val="0"/>
        <w:spacing w:before="120" w:beforeLines="50"/>
        <w:rPr>
          <w:rFonts w:ascii="宋体" w:hAnsi="宋体" w:cs="宋体"/>
          <w:szCs w:val="21"/>
        </w:rPr>
      </w:pPr>
    </w:p>
    <w:p w14:paraId="1DB7556C">
      <w:pPr>
        <w:snapToGrid w:val="0"/>
        <w:spacing w:before="120" w:beforeLines="50"/>
        <w:rPr>
          <w:rFonts w:ascii="宋体" w:hAnsi="宋体" w:cs="宋体"/>
          <w:szCs w:val="21"/>
          <w:lang w:bidi="ar"/>
        </w:rPr>
      </w:pPr>
    </w:p>
    <w:p w14:paraId="1E0E2251">
      <w:pPr>
        <w:snapToGrid w:val="0"/>
        <w:spacing w:before="120" w:beforeLines="50"/>
        <w:rPr>
          <w:rFonts w:ascii="宋体" w:hAnsi="宋体" w:cs="宋体"/>
          <w:szCs w:val="21"/>
          <w:lang w:bidi="ar"/>
        </w:rPr>
      </w:pPr>
    </w:p>
    <w:p w14:paraId="7B336206">
      <w:pPr>
        <w:snapToGrid w:val="0"/>
        <w:spacing w:before="120" w:beforeLines="50"/>
        <w:rPr>
          <w:rFonts w:ascii="宋体" w:hAnsi="宋体" w:cs="宋体"/>
          <w:szCs w:val="21"/>
          <w:lang w:bidi="ar"/>
        </w:rPr>
      </w:pPr>
    </w:p>
    <w:p w14:paraId="0E6D8C23">
      <w:pPr>
        <w:snapToGrid w:val="0"/>
        <w:spacing w:before="120" w:beforeLines="50"/>
        <w:rPr>
          <w:rFonts w:ascii="宋体" w:hAnsi="宋体" w:cs="宋体"/>
          <w:szCs w:val="21"/>
          <w:lang w:bidi="ar"/>
        </w:rPr>
      </w:pPr>
      <w:r>
        <w:rPr>
          <w:rFonts w:hint="eastAsia" w:cs="宋体"/>
          <w:szCs w:val="21"/>
          <w:lang w:bidi="ar"/>
        </w:rPr>
        <w:t>投标人名</w:t>
      </w:r>
      <w:r>
        <w:rPr>
          <w:rFonts w:hint="eastAsia" w:ascii="宋体" w:hAnsi="宋体" w:cs="宋体"/>
          <w:szCs w:val="21"/>
          <w:lang w:bidi="ar"/>
        </w:rPr>
        <w:t>称（</w:t>
      </w:r>
      <w:r>
        <w:rPr>
          <w:rFonts w:hint="eastAsia" w:ascii="宋体" w:hAnsi="宋体" w:cs="宋体"/>
          <w:szCs w:val="21"/>
        </w:rPr>
        <w:t>签章</w:t>
      </w:r>
      <w:r>
        <w:rPr>
          <w:rFonts w:hint="eastAsia" w:ascii="宋体" w:hAnsi="宋体" w:cs="宋体"/>
          <w:szCs w:val="21"/>
          <w:lang w:bidi="ar"/>
        </w:rPr>
        <w:t xml:space="preserve">）：                </w:t>
      </w:r>
    </w:p>
    <w:p w14:paraId="1FCA6B75">
      <w:pPr>
        <w:snapToGrid w:val="0"/>
        <w:spacing w:before="120" w:beforeLines="50"/>
        <w:rPr>
          <w:rFonts w:ascii="宋体" w:hAnsi="宋体" w:cs="宋体"/>
          <w:szCs w:val="21"/>
          <w:u w:val="single"/>
        </w:rPr>
      </w:pPr>
      <w:r>
        <w:rPr>
          <w:rFonts w:hint="eastAsia" w:ascii="宋体" w:hAnsi="宋体" w:cs="宋体"/>
          <w:szCs w:val="21"/>
          <w:lang w:bidi="ar"/>
        </w:rPr>
        <w:t>日期：</w:t>
      </w:r>
    </w:p>
    <w:p w14:paraId="5F7018EA">
      <w:pPr>
        <w:snapToGrid w:val="0"/>
        <w:spacing w:before="50" w:after="50"/>
        <w:ind w:left="670" w:hanging="250"/>
        <w:rPr>
          <w:rFonts w:ascii="宋体" w:hAnsi="宋体" w:cs="宋体"/>
          <w:spacing w:val="20"/>
          <w:szCs w:val="21"/>
        </w:rPr>
      </w:pPr>
    </w:p>
    <w:p w14:paraId="472F4ED4">
      <w:pPr>
        <w:snapToGrid w:val="0"/>
        <w:spacing w:line="360" w:lineRule="auto"/>
        <w:ind w:left="760" w:hanging="340"/>
        <w:jc w:val="left"/>
        <w:outlineLvl w:val="2"/>
        <w:rPr>
          <w:rFonts w:ascii="黑体" w:hAnsi="黑体" w:eastAsia="黑体" w:cs="黑体"/>
          <w:b/>
          <w:sz w:val="30"/>
          <w:szCs w:val="30"/>
        </w:rPr>
      </w:pPr>
      <w:r>
        <w:rPr>
          <w:rFonts w:hint="eastAsia" w:ascii="仿宋" w:hAnsi="仿宋" w:eastAsia="仿宋"/>
          <w:spacing w:val="20"/>
          <w:sz w:val="30"/>
          <w:szCs w:val="30"/>
          <w:lang w:bidi="ar"/>
        </w:rPr>
        <w:br w:type="page"/>
      </w:r>
      <w:r>
        <w:rPr>
          <w:rFonts w:hint="eastAsia" w:ascii="黑体" w:hAnsi="黑体" w:eastAsia="黑体" w:cs="黑体"/>
          <w:szCs w:val="21"/>
        </w:rPr>
        <w:t>附件11</w:t>
      </w:r>
    </w:p>
    <w:p w14:paraId="76E4050C">
      <w:pPr>
        <w:snapToGrid w:val="0"/>
        <w:spacing w:line="360" w:lineRule="auto"/>
        <w:ind w:left="660" w:hanging="240"/>
        <w:jc w:val="left"/>
        <w:rPr>
          <w:rFonts w:ascii="宋体" w:hAnsi="宋体" w:cs="宋体"/>
          <w:sz w:val="24"/>
          <w:szCs w:val="20"/>
        </w:rPr>
      </w:pPr>
    </w:p>
    <w:p w14:paraId="4E6A1BD8">
      <w:pPr>
        <w:snapToGrid w:val="0"/>
        <w:spacing w:before="50" w:after="120" w:afterLines="50" w:line="360" w:lineRule="auto"/>
        <w:ind w:left="701" w:hanging="281"/>
        <w:jc w:val="center"/>
        <w:rPr>
          <w:rFonts w:ascii="黑体" w:hAnsi="黑体" w:eastAsia="黑体" w:cs="黑体"/>
          <w:b/>
          <w:sz w:val="28"/>
          <w:szCs w:val="28"/>
        </w:rPr>
      </w:pPr>
      <w:r>
        <w:rPr>
          <w:rFonts w:hint="eastAsia" w:ascii="黑体" w:hAnsi="黑体" w:eastAsia="黑体" w:cs="黑体"/>
          <w:b/>
          <w:sz w:val="28"/>
          <w:szCs w:val="28"/>
        </w:rPr>
        <w:t>商务技术响应表</w:t>
      </w:r>
    </w:p>
    <w:p w14:paraId="41BC376F">
      <w:pPr>
        <w:snapToGrid w:val="0"/>
        <w:spacing w:before="50" w:after="120" w:afterLines="50" w:line="360" w:lineRule="auto"/>
        <w:jc w:val="left"/>
        <w:rPr>
          <w:szCs w:val="21"/>
        </w:rPr>
      </w:pPr>
      <w:r>
        <w:rPr>
          <w:szCs w:val="21"/>
        </w:rPr>
        <w:t>项目编号：</w:t>
      </w:r>
      <w:r>
        <w:rPr>
          <w:szCs w:val="21"/>
          <w:u w:val="single"/>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0"/>
        <w:gridCol w:w="2528"/>
        <w:gridCol w:w="3960"/>
        <w:gridCol w:w="1220"/>
      </w:tblGrid>
      <w:tr w14:paraId="65475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tcPr>
          <w:p w14:paraId="0462B255">
            <w:pPr>
              <w:jc w:val="center"/>
              <w:rPr>
                <w:szCs w:val="21"/>
              </w:rPr>
            </w:pPr>
            <w:r>
              <w:rPr>
                <w:szCs w:val="21"/>
              </w:rPr>
              <w:t>序号</w:t>
            </w:r>
          </w:p>
        </w:tc>
        <w:tc>
          <w:tcPr>
            <w:tcW w:w="2528" w:type="dxa"/>
            <w:tcBorders>
              <w:top w:val="single" w:color="auto" w:sz="4" w:space="0"/>
              <w:left w:val="single" w:color="auto" w:sz="4" w:space="0"/>
              <w:bottom w:val="single" w:color="auto" w:sz="4" w:space="0"/>
              <w:right w:val="single" w:color="auto" w:sz="4" w:space="0"/>
            </w:tcBorders>
          </w:tcPr>
          <w:p w14:paraId="630DF98B">
            <w:pPr>
              <w:jc w:val="center"/>
              <w:rPr>
                <w:szCs w:val="21"/>
              </w:rPr>
            </w:pPr>
            <w:r>
              <w:rPr>
                <w:rFonts w:hint="eastAsia"/>
                <w:szCs w:val="21"/>
              </w:rPr>
              <w:t>招标文件</w:t>
            </w:r>
            <w:r>
              <w:rPr>
                <w:szCs w:val="21"/>
              </w:rPr>
              <w:t>要求</w:t>
            </w:r>
          </w:p>
        </w:tc>
        <w:tc>
          <w:tcPr>
            <w:tcW w:w="3960" w:type="dxa"/>
            <w:tcBorders>
              <w:top w:val="single" w:color="auto" w:sz="4" w:space="0"/>
              <w:left w:val="single" w:color="auto" w:sz="4" w:space="0"/>
              <w:bottom w:val="single" w:color="auto" w:sz="4" w:space="0"/>
              <w:right w:val="single" w:color="auto" w:sz="4" w:space="0"/>
            </w:tcBorders>
          </w:tcPr>
          <w:p w14:paraId="62245D15">
            <w:pPr>
              <w:jc w:val="center"/>
              <w:rPr>
                <w:szCs w:val="21"/>
              </w:rPr>
            </w:pPr>
            <w:r>
              <w:rPr>
                <w:szCs w:val="21"/>
              </w:rPr>
              <w:t>投标文件响应</w:t>
            </w:r>
          </w:p>
        </w:tc>
        <w:tc>
          <w:tcPr>
            <w:tcW w:w="1220" w:type="dxa"/>
            <w:tcBorders>
              <w:top w:val="single" w:color="auto" w:sz="4" w:space="0"/>
              <w:left w:val="single" w:color="auto" w:sz="4" w:space="0"/>
              <w:bottom w:val="single" w:color="auto" w:sz="4" w:space="0"/>
              <w:right w:val="single" w:color="auto" w:sz="4" w:space="0"/>
            </w:tcBorders>
          </w:tcPr>
          <w:p w14:paraId="7E43C93C">
            <w:pPr>
              <w:jc w:val="center"/>
              <w:rPr>
                <w:szCs w:val="21"/>
              </w:rPr>
            </w:pPr>
            <w:r>
              <w:rPr>
                <w:szCs w:val="21"/>
              </w:rPr>
              <w:t>偏离情况</w:t>
            </w:r>
          </w:p>
        </w:tc>
      </w:tr>
      <w:tr w14:paraId="4C0D1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vAlign w:val="center"/>
          </w:tcPr>
          <w:p w14:paraId="14508509">
            <w:pPr>
              <w:rPr>
                <w:szCs w:val="21"/>
              </w:rPr>
            </w:pPr>
          </w:p>
        </w:tc>
        <w:tc>
          <w:tcPr>
            <w:tcW w:w="2528" w:type="dxa"/>
            <w:tcBorders>
              <w:top w:val="single" w:color="auto" w:sz="4" w:space="0"/>
              <w:left w:val="single" w:color="auto" w:sz="4" w:space="0"/>
              <w:bottom w:val="single" w:color="auto" w:sz="4" w:space="0"/>
              <w:right w:val="single" w:color="auto" w:sz="4" w:space="0"/>
            </w:tcBorders>
            <w:vAlign w:val="center"/>
          </w:tcPr>
          <w:p w14:paraId="0C7EDBEF"/>
        </w:tc>
        <w:tc>
          <w:tcPr>
            <w:tcW w:w="3960" w:type="dxa"/>
            <w:tcBorders>
              <w:top w:val="single" w:color="auto" w:sz="4" w:space="0"/>
              <w:left w:val="single" w:color="auto" w:sz="4" w:space="0"/>
              <w:bottom w:val="single" w:color="auto" w:sz="4" w:space="0"/>
              <w:right w:val="single" w:color="auto" w:sz="4" w:space="0"/>
            </w:tcBorders>
          </w:tcPr>
          <w:p w14:paraId="1BE9D818">
            <w:pPr>
              <w:rPr>
                <w:szCs w:val="21"/>
              </w:rPr>
            </w:pPr>
          </w:p>
        </w:tc>
        <w:tc>
          <w:tcPr>
            <w:tcW w:w="1220" w:type="dxa"/>
            <w:tcBorders>
              <w:top w:val="single" w:color="auto" w:sz="4" w:space="0"/>
              <w:left w:val="single" w:color="auto" w:sz="4" w:space="0"/>
              <w:bottom w:val="single" w:color="auto" w:sz="4" w:space="0"/>
              <w:right w:val="single" w:color="auto" w:sz="4" w:space="0"/>
            </w:tcBorders>
          </w:tcPr>
          <w:p w14:paraId="1619BF93">
            <w:pPr>
              <w:rPr>
                <w:szCs w:val="21"/>
              </w:rPr>
            </w:pPr>
          </w:p>
        </w:tc>
      </w:tr>
      <w:tr w14:paraId="2933C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vAlign w:val="center"/>
          </w:tcPr>
          <w:p w14:paraId="5CBB16A0">
            <w:pPr>
              <w:rPr>
                <w:szCs w:val="21"/>
              </w:rPr>
            </w:pPr>
          </w:p>
        </w:tc>
        <w:tc>
          <w:tcPr>
            <w:tcW w:w="2528" w:type="dxa"/>
            <w:tcBorders>
              <w:top w:val="single" w:color="auto" w:sz="4" w:space="0"/>
              <w:left w:val="single" w:color="auto" w:sz="4" w:space="0"/>
              <w:bottom w:val="single" w:color="auto" w:sz="4" w:space="0"/>
              <w:right w:val="single" w:color="auto" w:sz="4" w:space="0"/>
            </w:tcBorders>
            <w:vAlign w:val="center"/>
          </w:tcPr>
          <w:p w14:paraId="03B4D99B">
            <w:pPr>
              <w:rPr>
                <w:szCs w:val="21"/>
              </w:rPr>
            </w:pPr>
          </w:p>
        </w:tc>
        <w:tc>
          <w:tcPr>
            <w:tcW w:w="3960" w:type="dxa"/>
            <w:tcBorders>
              <w:top w:val="single" w:color="auto" w:sz="4" w:space="0"/>
              <w:left w:val="single" w:color="auto" w:sz="4" w:space="0"/>
              <w:bottom w:val="single" w:color="auto" w:sz="4" w:space="0"/>
              <w:right w:val="single" w:color="auto" w:sz="4" w:space="0"/>
            </w:tcBorders>
          </w:tcPr>
          <w:p w14:paraId="57EBD6E7">
            <w:pPr>
              <w:rPr>
                <w:szCs w:val="21"/>
              </w:rPr>
            </w:pPr>
          </w:p>
        </w:tc>
        <w:tc>
          <w:tcPr>
            <w:tcW w:w="1220" w:type="dxa"/>
            <w:tcBorders>
              <w:top w:val="single" w:color="auto" w:sz="4" w:space="0"/>
              <w:left w:val="single" w:color="auto" w:sz="4" w:space="0"/>
              <w:bottom w:val="single" w:color="auto" w:sz="4" w:space="0"/>
              <w:right w:val="single" w:color="auto" w:sz="4" w:space="0"/>
            </w:tcBorders>
          </w:tcPr>
          <w:p w14:paraId="0965FEBA">
            <w:pPr>
              <w:rPr>
                <w:szCs w:val="21"/>
              </w:rPr>
            </w:pPr>
          </w:p>
        </w:tc>
      </w:tr>
      <w:tr w14:paraId="4740B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tcPr>
          <w:p w14:paraId="4BB0E82A">
            <w:pPr>
              <w:rPr>
                <w:szCs w:val="21"/>
              </w:rPr>
            </w:pPr>
          </w:p>
        </w:tc>
        <w:tc>
          <w:tcPr>
            <w:tcW w:w="2528" w:type="dxa"/>
            <w:tcBorders>
              <w:top w:val="single" w:color="auto" w:sz="4" w:space="0"/>
              <w:left w:val="single" w:color="auto" w:sz="4" w:space="0"/>
              <w:bottom w:val="single" w:color="auto" w:sz="4" w:space="0"/>
              <w:right w:val="single" w:color="auto" w:sz="4" w:space="0"/>
            </w:tcBorders>
          </w:tcPr>
          <w:p w14:paraId="35CD5FE7">
            <w:pPr>
              <w:rPr>
                <w:szCs w:val="21"/>
              </w:rPr>
            </w:pPr>
          </w:p>
        </w:tc>
        <w:tc>
          <w:tcPr>
            <w:tcW w:w="3960" w:type="dxa"/>
            <w:tcBorders>
              <w:top w:val="single" w:color="auto" w:sz="4" w:space="0"/>
              <w:left w:val="single" w:color="auto" w:sz="4" w:space="0"/>
              <w:bottom w:val="single" w:color="auto" w:sz="4" w:space="0"/>
              <w:right w:val="single" w:color="auto" w:sz="4" w:space="0"/>
            </w:tcBorders>
          </w:tcPr>
          <w:p w14:paraId="7A2FD27A">
            <w:pPr>
              <w:rPr>
                <w:szCs w:val="21"/>
              </w:rPr>
            </w:pPr>
          </w:p>
        </w:tc>
        <w:tc>
          <w:tcPr>
            <w:tcW w:w="1220" w:type="dxa"/>
            <w:tcBorders>
              <w:top w:val="single" w:color="auto" w:sz="4" w:space="0"/>
              <w:left w:val="single" w:color="auto" w:sz="4" w:space="0"/>
              <w:bottom w:val="single" w:color="auto" w:sz="4" w:space="0"/>
              <w:right w:val="single" w:color="auto" w:sz="4" w:space="0"/>
            </w:tcBorders>
          </w:tcPr>
          <w:p w14:paraId="6389399C">
            <w:pPr>
              <w:rPr>
                <w:szCs w:val="21"/>
              </w:rPr>
            </w:pPr>
          </w:p>
        </w:tc>
      </w:tr>
      <w:tr w14:paraId="2CE9C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tcPr>
          <w:p w14:paraId="4CF15DFD">
            <w:pPr>
              <w:rPr>
                <w:szCs w:val="21"/>
              </w:rPr>
            </w:pPr>
          </w:p>
        </w:tc>
        <w:tc>
          <w:tcPr>
            <w:tcW w:w="2528" w:type="dxa"/>
            <w:tcBorders>
              <w:top w:val="single" w:color="auto" w:sz="4" w:space="0"/>
              <w:left w:val="single" w:color="auto" w:sz="4" w:space="0"/>
              <w:bottom w:val="single" w:color="auto" w:sz="4" w:space="0"/>
              <w:right w:val="single" w:color="auto" w:sz="4" w:space="0"/>
            </w:tcBorders>
          </w:tcPr>
          <w:p w14:paraId="49D611BE">
            <w:pPr>
              <w:rPr>
                <w:szCs w:val="21"/>
              </w:rPr>
            </w:pPr>
          </w:p>
        </w:tc>
        <w:tc>
          <w:tcPr>
            <w:tcW w:w="3960" w:type="dxa"/>
            <w:tcBorders>
              <w:top w:val="single" w:color="auto" w:sz="4" w:space="0"/>
              <w:left w:val="single" w:color="auto" w:sz="4" w:space="0"/>
              <w:bottom w:val="single" w:color="auto" w:sz="4" w:space="0"/>
              <w:right w:val="single" w:color="auto" w:sz="4" w:space="0"/>
            </w:tcBorders>
          </w:tcPr>
          <w:p w14:paraId="48C5B086">
            <w:pPr>
              <w:rPr>
                <w:szCs w:val="21"/>
              </w:rPr>
            </w:pPr>
          </w:p>
        </w:tc>
        <w:tc>
          <w:tcPr>
            <w:tcW w:w="1220" w:type="dxa"/>
            <w:tcBorders>
              <w:top w:val="single" w:color="auto" w:sz="4" w:space="0"/>
              <w:left w:val="single" w:color="auto" w:sz="4" w:space="0"/>
              <w:bottom w:val="single" w:color="auto" w:sz="4" w:space="0"/>
              <w:right w:val="single" w:color="auto" w:sz="4" w:space="0"/>
            </w:tcBorders>
          </w:tcPr>
          <w:p w14:paraId="1778B885">
            <w:pPr>
              <w:rPr>
                <w:szCs w:val="21"/>
              </w:rPr>
            </w:pPr>
          </w:p>
        </w:tc>
      </w:tr>
      <w:tr w14:paraId="3DE07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tcPr>
          <w:p w14:paraId="12F2166F">
            <w:pPr>
              <w:rPr>
                <w:szCs w:val="21"/>
              </w:rPr>
            </w:pPr>
          </w:p>
        </w:tc>
        <w:tc>
          <w:tcPr>
            <w:tcW w:w="2528" w:type="dxa"/>
            <w:tcBorders>
              <w:top w:val="single" w:color="auto" w:sz="4" w:space="0"/>
              <w:left w:val="single" w:color="auto" w:sz="4" w:space="0"/>
              <w:bottom w:val="single" w:color="auto" w:sz="4" w:space="0"/>
              <w:right w:val="single" w:color="auto" w:sz="4" w:space="0"/>
            </w:tcBorders>
          </w:tcPr>
          <w:p w14:paraId="5D1D6CA9">
            <w:pPr>
              <w:rPr>
                <w:szCs w:val="21"/>
              </w:rPr>
            </w:pPr>
          </w:p>
        </w:tc>
        <w:tc>
          <w:tcPr>
            <w:tcW w:w="3960" w:type="dxa"/>
            <w:tcBorders>
              <w:top w:val="single" w:color="auto" w:sz="4" w:space="0"/>
              <w:left w:val="single" w:color="auto" w:sz="4" w:space="0"/>
              <w:bottom w:val="single" w:color="auto" w:sz="4" w:space="0"/>
              <w:right w:val="single" w:color="auto" w:sz="4" w:space="0"/>
            </w:tcBorders>
          </w:tcPr>
          <w:p w14:paraId="520E5998">
            <w:pPr>
              <w:rPr>
                <w:szCs w:val="21"/>
              </w:rPr>
            </w:pPr>
          </w:p>
        </w:tc>
        <w:tc>
          <w:tcPr>
            <w:tcW w:w="1220" w:type="dxa"/>
            <w:tcBorders>
              <w:top w:val="single" w:color="auto" w:sz="4" w:space="0"/>
              <w:left w:val="single" w:color="auto" w:sz="4" w:space="0"/>
              <w:bottom w:val="single" w:color="auto" w:sz="4" w:space="0"/>
              <w:right w:val="single" w:color="auto" w:sz="4" w:space="0"/>
            </w:tcBorders>
          </w:tcPr>
          <w:p w14:paraId="1E96E398">
            <w:pPr>
              <w:rPr>
                <w:szCs w:val="21"/>
              </w:rPr>
            </w:pPr>
          </w:p>
        </w:tc>
      </w:tr>
      <w:tr w14:paraId="46FDDA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tcPr>
          <w:p w14:paraId="796EE626">
            <w:pPr>
              <w:rPr>
                <w:szCs w:val="21"/>
              </w:rPr>
            </w:pPr>
          </w:p>
        </w:tc>
        <w:tc>
          <w:tcPr>
            <w:tcW w:w="2528" w:type="dxa"/>
            <w:tcBorders>
              <w:top w:val="single" w:color="auto" w:sz="4" w:space="0"/>
              <w:left w:val="single" w:color="auto" w:sz="4" w:space="0"/>
              <w:bottom w:val="single" w:color="auto" w:sz="4" w:space="0"/>
              <w:right w:val="single" w:color="auto" w:sz="4" w:space="0"/>
            </w:tcBorders>
          </w:tcPr>
          <w:p w14:paraId="5BF383C2">
            <w:pPr>
              <w:rPr>
                <w:szCs w:val="21"/>
              </w:rPr>
            </w:pPr>
          </w:p>
        </w:tc>
        <w:tc>
          <w:tcPr>
            <w:tcW w:w="3960" w:type="dxa"/>
            <w:tcBorders>
              <w:top w:val="single" w:color="auto" w:sz="4" w:space="0"/>
              <w:left w:val="single" w:color="auto" w:sz="4" w:space="0"/>
              <w:bottom w:val="single" w:color="auto" w:sz="4" w:space="0"/>
              <w:right w:val="single" w:color="auto" w:sz="4" w:space="0"/>
            </w:tcBorders>
          </w:tcPr>
          <w:p w14:paraId="24D9202F">
            <w:pPr>
              <w:rPr>
                <w:szCs w:val="21"/>
              </w:rPr>
            </w:pPr>
          </w:p>
        </w:tc>
        <w:tc>
          <w:tcPr>
            <w:tcW w:w="1220" w:type="dxa"/>
            <w:tcBorders>
              <w:top w:val="single" w:color="auto" w:sz="4" w:space="0"/>
              <w:left w:val="single" w:color="auto" w:sz="4" w:space="0"/>
              <w:bottom w:val="single" w:color="auto" w:sz="4" w:space="0"/>
              <w:right w:val="single" w:color="auto" w:sz="4" w:space="0"/>
            </w:tcBorders>
          </w:tcPr>
          <w:p w14:paraId="551A6F78">
            <w:pPr>
              <w:rPr>
                <w:szCs w:val="21"/>
              </w:rPr>
            </w:pPr>
          </w:p>
        </w:tc>
      </w:tr>
      <w:tr w14:paraId="00CD2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tcPr>
          <w:p w14:paraId="2CAE8A57">
            <w:pPr>
              <w:rPr>
                <w:szCs w:val="21"/>
              </w:rPr>
            </w:pPr>
          </w:p>
        </w:tc>
        <w:tc>
          <w:tcPr>
            <w:tcW w:w="2528" w:type="dxa"/>
            <w:tcBorders>
              <w:top w:val="single" w:color="auto" w:sz="4" w:space="0"/>
              <w:left w:val="single" w:color="auto" w:sz="4" w:space="0"/>
              <w:bottom w:val="single" w:color="auto" w:sz="4" w:space="0"/>
              <w:right w:val="single" w:color="auto" w:sz="4" w:space="0"/>
            </w:tcBorders>
          </w:tcPr>
          <w:p w14:paraId="6D7B7B8B">
            <w:pPr>
              <w:rPr>
                <w:szCs w:val="21"/>
              </w:rPr>
            </w:pPr>
          </w:p>
        </w:tc>
        <w:tc>
          <w:tcPr>
            <w:tcW w:w="3960" w:type="dxa"/>
            <w:tcBorders>
              <w:top w:val="single" w:color="auto" w:sz="4" w:space="0"/>
              <w:left w:val="single" w:color="auto" w:sz="4" w:space="0"/>
              <w:bottom w:val="single" w:color="auto" w:sz="4" w:space="0"/>
              <w:right w:val="single" w:color="auto" w:sz="4" w:space="0"/>
            </w:tcBorders>
          </w:tcPr>
          <w:p w14:paraId="59B5777B">
            <w:pPr>
              <w:rPr>
                <w:szCs w:val="21"/>
              </w:rPr>
            </w:pPr>
          </w:p>
        </w:tc>
        <w:tc>
          <w:tcPr>
            <w:tcW w:w="1220" w:type="dxa"/>
            <w:tcBorders>
              <w:top w:val="single" w:color="auto" w:sz="4" w:space="0"/>
              <w:left w:val="single" w:color="auto" w:sz="4" w:space="0"/>
              <w:bottom w:val="single" w:color="auto" w:sz="4" w:space="0"/>
              <w:right w:val="single" w:color="auto" w:sz="4" w:space="0"/>
            </w:tcBorders>
          </w:tcPr>
          <w:p w14:paraId="02E080AC">
            <w:pPr>
              <w:rPr>
                <w:szCs w:val="21"/>
              </w:rPr>
            </w:pPr>
          </w:p>
        </w:tc>
      </w:tr>
      <w:tr w14:paraId="40022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tcPr>
          <w:p w14:paraId="3077A6AD">
            <w:pPr>
              <w:rPr>
                <w:szCs w:val="21"/>
              </w:rPr>
            </w:pPr>
          </w:p>
        </w:tc>
        <w:tc>
          <w:tcPr>
            <w:tcW w:w="2528" w:type="dxa"/>
            <w:tcBorders>
              <w:top w:val="single" w:color="auto" w:sz="4" w:space="0"/>
              <w:left w:val="single" w:color="auto" w:sz="4" w:space="0"/>
              <w:bottom w:val="single" w:color="auto" w:sz="4" w:space="0"/>
              <w:right w:val="single" w:color="auto" w:sz="4" w:space="0"/>
            </w:tcBorders>
          </w:tcPr>
          <w:p w14:paraId="5008EFE7">
            <w:pPr>
              <w:rPr>
                <w:szCs w:val="21"/>
              </w:rPr>
            </w:pPr>
          </w:p>
        </w:tc>
        <w:tc>
          <w:tcPr>
            <w:tcW w:w="3960" w:type="dxa"/>
            <w:tcBorders>
              <w:top w:val="single" w:color="auto" w:sz="4" w:space="0"/>
              <w:left w:val="single" w:color="auto" w:sz="4" w:space="0"/>
              <w:bottom w:val="single" w:color="auto" w:sz="4" w:space="0"/>
              <w:right w:val="single" w:color="auto" w:sz="4" w:space="0"/>
            </w:tcBorders>
          </w:tcPr>
          <w:p w14:paraId="49E9DC95">
            <w:pPr>
              <w:rPr>
                <w:szCs w:val="21"/>
              </w:rPr>
            </w:pPr>
          </w:p>
        </w:tc>
        <w:tc>
          <w:tcPr>
            <w:tcW w:w="1220" w:type="dxa"/>
            <w:tcBorders>
              <w:top w:val="single" w:color="auto" w:sz="4" w:space="0"/>
              <w:left w:val="single" w:color="auto" w:sz="4" w:space="0"/>
              <w:bottom w:val="single" w:color="auto" w:sz="4" w:space="0"/>
              <w:right w:val="single" w:color="auto" w:sz="4" w:space="0"/>
            </w:tcBorders>
          </w:tcPr>
          <w:p w14:paraId="1B9C5CEB">
            <w:pPr>
              <w:rPr>
                <w:szCs w:val="21"/>
              </w:rPr>
            </w:pPr>
          </w:p>
        </w:tc>
      </w:tr>
      <w:tr w14:paraId="44FA9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tcPr>
          <w:p w14:paraId="0EC366B9">
            <w:pPr>
              <w:rPr>
                <w:szCs w:val="21"/>
              </w:rPr>
            </w:pPr>
          </w:p>
        </w:tc>
        <w:tc>
          <w:tcPr>
            <w:tcW w:w="2528" w:type="dxa"/>
            <w:tcBorders>
              <w:top w:val="single" w:color="auto" w:sz="4" w:space="0"/>
              <w:left w:val="single" w:color="auto" w:sz="4" w:space="0"/>
              <w:bottom w:val="single" w:color="auto" w:sz="4" w:space="0"/>
              <w:right w:val="single" w:color="auto" w:sz="4" w:space="0"/>
            </w:tcBorders>
          </w:tcPr>
          <w:p w14:paraId="2D446E38">
            <w:pPr>
              <w:rPr>
                <w:szCs w:val="21"/>
              </w:rPr>
            </w:pPr>
          </w:p>
        </w:tc>
        <w:tc>
          <w:tcPr>
            <w:tcW w:w="3960" w:type="dxa"/>
            <w:tcBorders>
              <w:top w:val="single" w:color="auto" w:sz="4" w:space="0"/>
              <w:left w:val="single" w:color="auto" w:sz="4" w:space="0"/>
              <w:bottom w:val="single" w:color="auto" w:sz="4" w:space="0"/>
              <w:right w:val="single" w:color="auto" w:sz="4" w:space="0"/>
            </w:tcBorders>
          </w:tcPr>
          <w:p w14:paraId="18352027">
            <w:pPr>
              <w:rPr>
                <w:szCs w:val="21"/>
              </w:rPr>
            </w:pPr>
          </w:p>
        </w:tc>
        <w:tc>
          <w:tcPr>
            <w:tcW w:w="1220" w:type="dxa"/>
            <w:tcBorders>
              <w:top w:val="single" w:color="auto" w:sz="4" w:space="0"/>
              <w:left w:val="single" w:color="auto" w:sz="4" w:space="0"/>
              <w:bottom w:val="single" w:color="auto" w:sz="4" w:space="0"/>
              <w:right w:val="single" w:color="auto" w:sz="4" w:space="0"/>
            </w:tcBorders>
          </w:tcPr>
          <w:p w14:paraId="64F63F99">
            <w:pPr>
              <w:rPr>
                <w:szCs w:val="21"/>
              </w:rPr>
            </w:pPr>
          </w:p>
        </w:tc>
      </w:tr>
      <w:tr w14:paraId="24FCE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tcPr>
          <w:p w14:paraId="22619E54">
            <w:pPr>
              <w:rPr>
                <w:szCs w:val="21"/>
              </w:rPr>
            </w:pPr>
          </w:p>
        </w:tc>
        <w:tc>
          <w:tcPr>
            <w:tcW w:w="2528" w:type="dxa"/>
            <w:tcBorders>
              <w:top w:val="single" w:color="auto" w:sz="4" w:space="0"/>
              <w:left w:val="single" w:color="auto" w:sz="4" w:space="0"/>
              <w:bottom w:val="single" w:color="auto" w:sz="4" w:space="0"/>
              <w:right w:val="single" w:color="auto" w:sz="4" w:space="0"/>
            </w:tcBorders>
          </w:tcPr>
          <w:p w14:paraId="433FCC0F">
            <w:pPr>
              <w:rPr>
                <w:szCs w:val="21"/>
              </w:rPr>
            </w:pPr>
          </w:p>
        </w:tc>
        <w:tc>
          <w:tcPr>
            <w:tcW w:w="3960" w:type="dxa"/>
            <w:tcBorders>
              <w:top w:val="single" w:color="auto" w:sz="4" w:space="0"/>
              <w:left w:val="single" w:color="auto" w:sz="4" w:space="0"/>
              <w:bottom w:val="single" w:color="auto" w:sz="4" w:space="0"/>
              <w:right w:val="single" w:color="auto" w:sz="4" w:space="0"/>
            </w:tcBorders>
          </w:tcPr>
          <w:p w14:paraId="4B56FD9A">
            <w:pPr>
              <w:rPr>
                <w:szCs w:val="21"/>
              </w:rPr>
            </w:pPr>
          </w:p>
        </w:tc>
        <w:tc>
          <w:tcPr>
            <w:tcW w:w="1220" w:type="dxa"/>
            <w:tcBorders>
              <w:top w:val="single" w:color="auto" w:sz="4" w:space="0"/>
              <w:left w:val="single" w:color="auto" w:sz="4" w:space="0"/>
              <w:bottom w:val="single" w:color="auto" w:sz="4" w:space="0"/>
              <w:right w:val="single" w:color="auto" w:sz="4" w:space="0"/>
            </w:tcBorders>
          </w:tcPr>
          <w:p w14:paraId="3B2BF2E1">
            <w:pPr>
              <w:rPr>
                <w:szCs w:val="21"/>
              </w:rPr>
            </w:pPr>
          </w:p>
        </w:tc>
      </w:tr>
      <w:tr w14:paraId="2523E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tcPr>
          <w:p w14:paraId="6735DA76">
            <w:pPr>
              <w:rPr>
                <w:szCs w:val="21"/>
              </w:rPr>
            </w:pPr>
          </w:p>
        </w:tc>
        <w:tc>
          <w:tcPr>
            <w:tcW w:w="2528" w:type="dxa"/>
            <w:tcBorders>
              <w:top w:val="single" w:color="auto" w:sz="4" w:space="0"/>
              <w:left w:val="single" w:color="auto" w:sz="4" w:space="0"/>
              <w:bottom w:val="single" w:color="auto" w:sz="4" w:space="0"/>
              <w:right w:val="single" w:color="auto" w:sz="4" w:space="0"/>
            </w:tcBorders>
          </w:tcPr>
          <w:p w14:paraId="40E6617B">
            <w:pPr>
              <w:rPr>
                <w:szCs w:val="21"/>
              </w:rPr>
            </w:pPr>
          </w:p>
        </w:tc>
        <w:tc>
          <w:tcPr>
            <w:tcW w:w="3960" w:type="dxa"/>
            <w:tcBorders>
              <w:top w:val="single" w:color="auto" w:sz="4" w:space="0"/>
              <w:left w:val="single" w:color="auto" w:sz="4" w:space="0"/>
              <w:bottom w:val="single" w:color="auto" w:sz="4" w:space="0"/>
              <w:right w:val="single" w:color="auto" w:sz="4" w:space="0"/>
            </w:tcBorders>
          </w:tcPr>
          <w:p w14:paraId="08D24A3D">
            <w:pPr>
              <w:rPr>
                <w:szCs w:val="21"/>
              </w:rPr>
            </w:pPr>
          </w:p>
        </w:tc>
        <w:tc>
          <w:tcPr>
            <w:tcW w:w="1220" w:type="dxa"/>
            <w:tcBorders>
              <w:top w:val="single" w:color="auto" w:sz="4" w:space="0"/>
              <w:left w:val="single" w:color="auto" w:sz="4" w:space="0"/>
              <w:bottom w:val="single" w:color="auto" w:sz="4" w:space="0"/>
              <w:right w:val="single" w:color="auto" w:sz="4" w:space="0"/>
            </w:tcBorders>
          </w:tcPr>
          <w:p w14:paraId="75B2BCD8">
            <w:pPr>
              <w:rPr>
                <w:szCs w:val="21"/>
              </w:rPr>
            </w:pPr>
          </w:p>
        </w:tc>
      </w:tr>
      <w:tr w14:paraId="0403F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820" w:type="dxa"/>
            <w:tcBorders>
              <w:top w:val="single" w:color="auto" w:sz="4" w:space="0"/>
              <w:left w:val="single" w:color="auto" w:sz="4" w:space="0"/>
              <w:bottom w:val="single" w:color="auto" w:sz="4" w:space="0"/>
              <w:right w:val="single" w:color="auto" w:sz="4" w:space="0"/>
            </w:tcBorders>
          </w:tcPr>
          <w:p w14:paraId="3B3789CE">
            <w:pPr>
              <w:snapToGrid w:val="0"/>
              <w:spacing w:before="295" w:after="295"/>
              <w:rPr>
                <w:szCs w:val="21"/>
              </w:rPr>
            </w:pPr>
          </w:p>
        </w:tc>
        <w:tc>
          <w:tcPr>
            <w:tcW w:w="2528" w:type="dxa"/>
            <w:tcBorders>
              <w:top w:val="single" w:color="auto" w:sz="4" w:space="0"/>
              <w:left w:val="single" w:color="auto" w:sz="4" w:space="0"/>
              <w:bottom w:val="single" w:color="auto" w:sz="4" w:space="0"/>
              <w:right w:val="single" w:color="auto" w:sz="4" w:space="0"/>
            </w:tcBorders>
          </w:tcPr>
          <w:p w14:paraId="030DB7DC">
            <w:pPr>
              <w:snapToGrid w:val="0"/>
              <w:spacing w:before="295" w:after="295"/>
              <w:rPr>
                <w:szCs w:val="21"/>
              </w:rPr>
            </w:pPr>
            <w:r>
              <w:rPr>
                <w:szCs w:val="21"/>
              </w:rPr>
              <w:t>...</w:t>
            </w:r>
          </w:p>
        </w:tc>
        <w:tc>
          <w:tcPr>
            <w:tcW w:w="3960" w:type="dxa"/>
            <w:tcBorders>
              <w:top w:val="single" w:color="auto" w:sz="4" w:space="0"/>
              <w:left w:val="single" w:color="auto" w:sz="4" w:space="0"/>
              <w:bottom w:val="single" w:color="auto" w:sz="4" w:space="0"/>
              <w:right w:val="single" w:color="auto" w:sz="4" w:space="0"/>
            </w:tcBorders>
          </w:tcPr>
          <w:p w14:paraId="2AC9FD8B">
            <w:pPr>
              <w:snapToGrid w:val="0"/>
              <w:spacing w:before="295" w:after="295"/>
              <w:rPr>
                <w:szCs w:val="21"/>
              </w:rPr>
            </w:pPr>
          </w:p>
        </w:tc>
        <w:tc>
          <w:tcPr>
            <w:tcW w:w="1220" w:type="dxa"/>
            <w:tcBorders>
              <w:top w:val="single" w:color="auto" w:sz="4" w:space="0"/>
              <w:left w:val="single" w:color="auto" w:sz="4" w:space="0"/>
              <w:bottom w:val="single" w:color="auto" w:sz="4" w:space="0"/>
              <w:right w:val="single" w:color="auto" w:sz="4" w:space="0"/>
            </w:tcBorders>
          </w:tcPr>
          <w:p w14:paraId="4B607B6D">
            <w:pPr>
              <w:snapToGrid w:val="0"/>
              <w:spacing w:before="295" w:after="295"/>
              <w:rPr>
                <w:szCs w:val="21"/>
              </w:rPr>
            </w:pPr>
          </w:p>
        </w:tc>
      </w:tr>
    </w:tbl>
    <w:p w14:paraId="5C1D2A2C">
      <w:pPr>
        <w:snapToGrid w:val="0"/>
        <w:spacing w:line="360" w:lineRule="auto"/>
        <w:ind w:left="631" w:hanging="211"/>
        <w:rPr>
          <w:rFonts w:ascii="宋体" w:hAnsi="宋体" w:cs="宋体"/>
          <w:b/>
          <w:bCs/>
          <w:szCs w:val="21"/>
          <w:lang w:bidi="ar"/>
        </w:rPr>
      </w:pPr>
      <w:r>
        <w:rPr>
          <w:rFonts w:hint="eastAsia" w:ascii="宋体" w:hAnsi="宋体" w:cs="宋体"/>
          <w:b/>
          <w:bCs/>
          <w:szCs w:val="21"/>
          <w:lang w:bidi="ar"/>
        </w:rPr>
        <w:t>说明：</w:t>
      </w:r>
    </w:p>
    <w:p w14:paraId="2C512A85">
      <w:pPr>
        <w:numPr>
          <w:ilvl w:val="0"/>
          <w:numId w:val="15"/>
        </w:numPr>
        <w:snapToGrid w:val="0"/>
        <w:spacing w:line="360" w:lineRule="auto"/>
        <w:ind w:left="420" w:firstLine="422" w:firstLineChars="200"/>
        <w:rPr>
          <w:rFonts w:ascii="宋体" w:hAnsi="宋体" w:cs="宋体"/>
          <w:b/>
          <w:bCs/>
          <w:szCs w:val="21"/>
          <w:lang w:bidi="ar"/>
        </w:rPr>
      </w:pPr>
      <w:r>
        <w:rPr>
          <w:rFonts w:hint="eastAsia" w:ascii="宋体" w:hAnsi="宋体" w:cs="宋体"/>
          <w:b/>
          <w:bCs/>
          <w:szCs w:val="21"/>
          <w:lang w:bidi="ar"/>
        </w:rPr>
        <w:t>投标人应根据投标设备的性能指标、对照招标文件要求在“偏离情况”栏注明“正偏离”、“负偏离”或“无偏离”。</w:t>
      </w:r>
    </w:p>
    <w:p w14:paraId="52ECF0E3">
      <w:pPr>
        <w:snapToGrid w:val="0"/>
        <w:spacing w:before="50" w:after="50" w:line="360" w:lineRule="auto"/>
        <w:ind w:left="420" w:firstLine="422" w:firstLineChars="200"/>
        <w:rPr>
          <w:b/>
          <w:bCs/>
          <w:szCs w:val="21"/>
        </w:rPr>
      </w:pPr>
      <w:r>
        <w:rPr>
          <w:rFonts w:hint="eastAsia" w:ascii="宋体" w:hAnsi="宋体" w:cs="宋体"/>
          <w:b/>
          <w:bCs/>
          <w:szCs w:val="21"/>
        </w:rPr>
        <w:t>2、</w:t>
      </w:r>
      <w:r>
        <w:rPr>
          <w:b/>
          <w:bCs/>
          <w:szCs w:val="21"/>
        </w:rPr>
        <w:t>若投标人未提供或未填写本表，均视作完全响应招标文件要求。</w:t>
      </w:r>
    </w:p>
    <w:p w14:paraId="7A445A0D">
      <w:pPr>
        <w:pStyle w:val="107"/>
        <w:spacing w:line="480" w:lineRule="auto"/>
        <w:ind w:hanging="210"/>
      </w:pPr>
    </w:p>
    <w:p w14:paraId="239CD65C">
      <w:pPr>
        <w:snapToGrid w:val="0"/>
        <w:spacing w:line="480" w:lineRule="auto"/>
        <w:ind w:left="670" w:hanging="250"/>
        <w:rPr>
          <w:rFonts w:ascii="宋体" w:hAnsi="宋体" w:cs="宋体"/>
          <w:spacing w:val="20"/>
          <w:szCs w:val="21"/>
        </w:rPr>
      </w:pPr>
    </w:p>
    <w:p w14:paraId="1E0A485D">
      <w:pPr>
        <w:spacing w:line="480" w:lineRule="auto"/>
        <w:ind w:left="420" w:firstLine="3990" w:firstLineChars="1900"/>
        <w:contextualSpacing/>
        <w:rPr>
          <w:rFonts w:ascii="宋体" w:hAnsi="宋体" w:cs="宋体"/>
          <w:szCs w:val="21"/>
        </w:rPr>
      </w:pPr>
      <w:r>
        <w:rPr>
          <w:rFonts w:hint="eastAsia" w:ascii="宋体" w:hAnsi="宋体" w:cs="宋体"/>
          <w:szCs w:val="21"/>
        </w:rPr>
        <w:t xml:space="preserve">投标人名称（签章）：                                                                                                                                                                                                               </w:t>
      </w:r>
    </w:p>
    <w:p w14:paraId="649D3976">
      <w:pPr>
        <w:pStyle w:val="37"/>
        <w:spacing w:line="480" w:lineRule="auto"/>
        <w:ind w:left="420" w:firstLine="3990" w:firstLineChars="1900"/>
        <w:rPr>
          <w:rFonts w:ascii="宋体" w:hAnsi="宋体" w:cs="宋体"/>
          <w:sz w:val="21"/>
          <w:szCs w:val="21"/>
        </w:rPr>
      </w:pPr>
      <w:r>
        <w:rPr>
          <w:rFonts w:hint="eastAsia" w:ascii="宋体" w:hAnsi="宋体" w:cs="宋体"/>
          <w:sz w:val="21"/>
          <w:szCs w:val="21"/>
        </w:rPr>
        <w:t>日期：   年   月   日</w:t>
      </w:r>
    </w:p>
    <w:p w14:paraId="5E4B2BEB">
      <w:pPr>
        <w:spacing w:line="540" w:lineRule="exact"/>
        <w:contextualSpacing/>
        <w:rPr>
          <w:rFonts w:ascii="宋体" w:hAnsi="宋体" w:cs="宋体"/>
          <w:szCs w:val="21"/>
        </w:rPr>
      </w:pPr>
    </w:p>
    <w:p w14:paraId="13195D2D">
      <w:pPr>
        <w:spacing w:line="540" w:lineRule="exact"/>
        <w:contextualSpacing/>
        <w:rPr>
          <w:rFonts w:ascii="宋体" w:hAnsi="宋体"/>
          <w:szCs w:val="21"/>
        </w:rPr>
      </w:pPr>
    </w:p>
    <w:p w14:paraId="5AB114BA">
      <w:pPr>
        <w:spacing w:line="540" w:lineRule="exact"/>
        <w:contextualSpacing/>
        <w:rPr>
          <w:rFonts w:ascii="宋体" w:hAnsi="宋体"/>
          <w:szCs w:val="21"/>
        </w:rPr>
      </w:pPr>
    </w:p>
    <w:p w14:paraId="1FA4E674">
      <w:pPr>
        <w:spacing w:line="540" w:lineRule="exact"/>
        <w:contextualSpacing/>
        <w:rPr>
          <w:rFonts w:ascii="宋体" w:hAnsi="宋体"/>
          <w:szCs w:val="21"/>
        </w:rPr>
      </w:pPr>
    </w:p>
    <w:p w14:paraId="19B3839D">
      <w:pPr>
        <w:pStyle w:val="59"/>
        <w:rPr>
          <w:rFonts w:ascii="宋体" w:hAnsi="宋体"/>
          <w:szCs w:val="21"/>
        </w:rPr>
      </w:pPr>
    </w:p>
    <w:p w14:paraId="06084043"/>
    <w:p w14:paraId="2DE1B497">
      <w:pPr>
        <w:spacing w:line="540" w:lineRule="exact"/>
        <w:contextualSpacing/>
        <w:outlineLvl w:val="2"/>
        <w:rPr>
          <w:rFonts w:ascii="黑体" w:hAnsi="黑体" w:eastAsia="黑体" w:cs="黑体"/>
          <w:szCs w:val="21"/>
        </w:rPr>
      </w:pPr>
      <w:r>
        <w:rPr>
          <w:rFonts w:hint="eastAsia" w:ascii="黑体" w:hAnsi="黑体" w:eastAsia="黑体" w:cs="黑体"/>
          <w:szCs w:val="21"/>
        </w:rPr>
        <w:t>附件12</w:t>
      </w:r>
    </w:p>
    <w:p w14:paraId="42469AE3">
      <w:pPr>
        <w:spacing w:line="540" w:lineRule="exact"/>
        <w:ind w:left="701" w:hanging="281"/>
        <w:contextualSpacing/>
        <w:jc w:val="center"/>
        <w:rPr>
          <w:rFonts w:ascii="黑体" w:hAnsi="黑体" w:eastAsia="黑体" w:cs="黑体"/>
          <w:b/>
          <w:sz w:val="28"/>
          <w:szCs w:val="28"/>
        </w:rPr>
      </w:pPr>
      <w:r>
        <w:rPr>
          <w:rFonts w:hint="eastAsia" w:ascii="黑体" w:hAnsi="黑体" w:eastAsia="黑体" w:cs="黑体"/>
          <w:b/>
          <w:sz w:val="28"/>
          <w:szCs w:val="28"/>
        </w:rPr>
        <w:t>政府采购投标人廉洁自律承诺书</w:t>
      </w:r>
    </w:p>
    <w:p w14:paraId="6AC6A748">
      <w:pPr>
        <w:spacing w:line="540" w:lineRule="exact"/>
        <w:ind w:left="660" w:hanging="240"/>
        <w:contextualSpacing/>
        <w:rPr>
          <w:rFonts w:ascii="黑体" w:hAnsi="黑体" w:eastAsia="黑体" w:cs="黑体"/>
          <w:sz w:val="24"/>
        </w:rPr>
      </w:pPr>
    </w:p>
    <w:p w14:paraId="72139FCE">
      <w:pPr>
        <w:spacing w:line="500" w:lineRule="exact"/>
        <w:contextualSpacing/>
        <w:rPr>
          <w:rFonts w:ascii="宋体" w:hAnsi="宋体" w:cs="宋体"/>
          <w:szCs w:val="21"/>
        </w:rPr>
      </w:pPr>
      <w:r>
        <w:rPr>
          <w:rFonts w:hint="eastAsia" w:ascii="宋体" w:hAnsi="宋体" w:cs="宋体"/>
          <w:szCs w:val="21"/>
        </w:rPr>
        <w:t>（采购人）、（采购代理机构）：</w:t>
      </w:r>
    </w:p>
    <w:p w14:paraId="0F800005">
      <w:pPr>
        <w:spacing w:line="500" w:lineRule="exact"/>
        <w:ind w:left="420" w:firstLine="420" w:firstLineChars="200"/>
        <w:contextualSpacing/>
        <w:rPr>
          <w:rFonts w:ascii="宋体" w:hAnsi="宋体" w:cs="宋体"/>
          <w:szCs w:val="21"/>
        </w:rPr>
      </w:pPr>
      <w:r>
        <w:rPr>
          <w:rFonts w:hint="eastAsia" w:ascii="宋体" w:hAnsi="宋体" w:cs="宋体"/>
          <w:szCs w:val="21"/>
        </w:rPr>
        <w:t>我单位响应你单位项目招标要求参加投标。在这次投标过程中和中标后，我们将严格遵守国家法律法规要求，并郑重承诺：</w:t>
      </w:r>
    </w:p>
    <w:p w14:paraId="39111028">
      <w:pPr>
        <w:spacing w:line="500" w:lineRule="exact"/>
        <w:ind w:left="420" w:firstLine="420" w:firstLineChars="200"/>
        <w:contextualSpacing/>
        <w:rPr>
          <w:rFonts w:ascii="宋体" w:hAnsi="宋体" w:cs="宋体"/>
          <w:szCs w:val="21"/>
        </w:rPr>
      </w:pPr>
      <w:r>
        <w:rPr>
          <w:rFonts w:hint="eastAsia" w:ascii="宋体" w:hAnsi="宋体" w:cs="宋体"/>
          <w:szCs w:val="21"/>
        </w:rPr>
        <w:t xml:space="preserve">一、不向项目有关人员及部门赠送礼金礼物、有价证券、回扣以及中介费、介绍费、咨询费等好处费； </w:t>
      </w:r>
    </w:p>
    <w:p w14:paraId="3F80B526">
      <w:pPr>
        <w:spacing w:line="500" w:lineRule="exact"/>
        <w:ind w:left="420" w:firstLine="420" w:firstLineChars="200"/>
        <w:contextualSpacing/>
        <w:rPr>
          <w:rFonts w:ascii="宋体" w:hAnsi="宋体" w:cs="宋体"/>
          <w:szCs w:val="21"/>
        </w:rPr>
      </w:pPr>
      <w:r>
        <w:rPr>
          <w:rFonts w:hint="eastAsia" w:ascii="宋体" w:hAnsi="宋体" w:cs="宋体"/>
          <w:szCs w:val="21"/>
        </w:rPr>
        <w:t xml:space="preserve">二、不为项目有关人员及部门报销应由你方单位或个人支付的费用； </w:t>
      </w:r>
    </w:p>
    <w:p w14:paraId="021D1E9F">
      <w:pPr>
        <w:spacing w:line="500" w:lineRule="exact"/>
        <w:ind w:left="420" w:firstLine="420" w:firstLineChars="200"/>
        <w:contextualSpacing/>
        <w:rPr>
          <w:rFonts w:ascii="宋体" w:hAnsi="宋体" w:cs="宋体"/>
          <w:szCs w:val="21"/>
        </w:rPr>
      </w:pPr>
      <w:r>
        <w:rPr>
          <w:rFonts w:hint="eastAsia" w:ascii="宋体" w:hAnsi="宋体" w:cs="宋体"/>
          <w:szCs w:val="21"/>
        </w:rPr>
        <w:t xml:space="preserve">三、不向项目有关人员及部门提供有可能影响公正的宴请和健身娱乐等活动； </w:t>
      </w:r>
    </w:p>
    <w:p w14:paraId="386923B0">
      <w:pPr>
        <w:spacing w:line="500" w:lineRule="exact"/>
        <w:ind w:left="420" w:firstLine="420" w:firstLineChars="200"/>
        <w:contextualSpacing/>
        <w:rPr>
          <w:rFonts w:ascii="宋体" w:hAnsi="宋体" w:cs="宋体"/>
          <w:szCs w:val="21"/>
        </w:rPr>
      </w:pPr>
      <w:r>
        <w:rPr>
          <w:rFonts w:hint="eastAsia" w:ascii="宋体" w:hAnsi="宋体" w:cs="宋体"/>
          <w:szCs w:val="21"/>
        </w:rPr>
        <w:t>四、不为项目有关人员及部门出国（境）、旅游等提供方便；</w:t>
      </w:r>
    </w:p>
    <w:p w14:paraId="01BB706F">
      <w:pPr>
        <w:spacing w:line="500" w:lineRule="exact"/>
        <w:ind w:left="420" w:firstLine="420" w:firstLineChars="200"/>
        <w:contextualSpacing/>
        <w:rPr>
          <w:rFonts w:ascii="宋体" w:hAnsi="宋体" w:cs="宋体"/>
          <w:szCs w:val="21"/>
        </w:rPr>
      </w:pPr>
      <w:r>
        <w:rPr>
          <w:rFonts w:hint="eastAsia" w:ascii="宋体" w:hAnsi="宋体" w:cs="宋体"/>
          <w:szCs w:val="21"/>
        </w:rPr>
        <w:t>五、不为项目有关人员个人装修住房、婚丧嫁娶、配偶子女工作安排等提供好处；</w:t>
      </w:r>
    </w:p>
    <w:p w14:paraId="23812BD8">
      <w:pPr>
        <w:spacing w:line="500" w:lineRule="exact"/>
        <w:ind w:left="420" w:firstLine="420" w:firstLineChars="200"/>
        <w:contextualSpacing/>
        <w:rPr>
          <w:rFonts w:ascii="宋体" w:hAnsi="宋体" w:cs="宋体"/>
          <w:szCs w:val="21"/>
        </w:rPr>
      </w:pPr>
      <w:r>
        <w:rPr>
          <w:rFonts w:hint="eastAsia" w:ascii="宋体" w:hAnsi="宋体" w:cs="宋体"/>
          <w:szCs w:val="21"/>
        </w:rPr>
        <w:t xml:space="preserve">六、严格遵守《中华人民共和国政府采购法》《中华人民共和国招标投标法》《中华人民共和国民法典》等法律法规，诚实守信，合法经营，坚决抵制各种违法违纪行为。 </w:t>
      </w:r>
    </w:p>
    <w:p w14:paraId="141334D6">
      <w:pPr>
        <w:spacing w:line="500" w:lineRule="exact"/>
        <w:ind w:left="420" w:firstLine="420" w:firstLineChars="200"/>
        <w:contextualSpacing/>
        <w:rPr>
          <w:rFonts w:ascii="宋体" w:hAnsi="宋体" w:cs="宋体"/>
          <w:szCs w:val="21"/>
        </w:rPr>
      </w:pPr>
      <w:r>
        <w:rPr>
          <w:rFonts w:hint="eastAsia" w:ascii="宋体" w:hAnsi="宋体" w:cs="宋体"/>
          <w:szCs w:val="21"/>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3F4CB9B">
      <w:pPr>
        <w:spacing w:line="500" w:lineRule="exact"/>
        <w:contextualSpacing/>
        <w:rPr>
          <w:rFonts w:ascii="宋体" w:hAnsi="宋体" w:cs="宋体"/>
          <w:szCs w:val="21"/>
        </w:rPr>
      </w:pPr>
    </w:p>
    <w:p w14:paraId="76E68073">
      <w:pPr>
        <w:pStyle w:val="23"/>
        <w:rPr>
          <w:rFonts w:ascii="宋体" w:hAnsi="宋体" w:cs="宋体"/>
          <w:sz w:val="21"/>
          <w:szCs w:val="21"/>
        </w:rPr>
      </w:pPr>
    </w:p>
    <w:p w14:paraId="0D6B37BF">
      <w:pPr>
        <w:spacing w:line="500" w:lineRule="exact"/>
        <w:ind w:left="420" w:firstLine="3990" w:firstLineChars="1900"/>
        <w:contextualSpacing/>
        <w:rPr>
          <w:rFonts w:ascii="宋体" w:hAnsi="宋体" w:cs="宋体"/>
          <w:szCs w:val="21"/>
        </w:rPr>
      </w:pPr>
      <w:r>
        <w:rPr>
          <w:rFonts w:hint="eastAsia" w:ascii="宋体" w:hAnsi="宋体" w:cs="宋体"/>
          <w:szCs w:val="21"/>
        </w:rPr>
        <w:t xml:space="preserve">投标人名称（签章）：                                                                                                                                                                                                               </w:t>
      </w:r>
    </w:p>
    <w:p w14:paraId="09EAC98C">
      <w:pPr>
        <w:spacing w:line="500" w:lineRule="exact"/>
        <w:ind w:left="420" w:firstLine="4095" w:firstLineChars="1950"/>
        <w:contextualSpacing/>
        <w:rPr>
          <w:rFonts w:ascii="宋体" w:hAnsi="宋体" w:cs="宋体"/>
          <w:szCs w:val="21"/>
        </w:rPr>
      </w:pPr>
      <w:r>
        <w:rPr>
          <w:rFonts w:hint="eastAsia" w:ascii="宋体" w:hAnsi="宋体" w:cs="宋体"/>
          <w:szCs w:val="21"/>
        </w:rPr>
        <w:t>日期：   年   月   日</w:t>
      </w:r>
    </w:p>
    <w:p w14:paraId="13E1DC20">
      <w:pPr>
        <w:spacing w:line="540" w:lineRule="exact"/>
        <w:contextualSpacing/>
        <w:rPr>
          <w:rFonts w:ascii="宋体" w:hAnsi="宋体" w:cs="宋体"/>
          <w:szCs w:val="21"/>
        </w:rPr>
      </w:pPr>
    </w:p>
    <w:p w14:paraId="7681D431">
      <w:pPr>
        <w:snapToGrid w:val="0"/>
        <w:spacing w:line="360" w:lineRule="auto"/>
        <w:ind w:left="631" w:hanging="211"/>
        <w:jc w:val="left"/>
        <w:rPr>
          <w:rFonts w:ascii="宋体" w:hAnsi="宋体" w:cs="宋体"/>
          <w:b/>
          <w:szCs w:val="21"/>
        </w:rPr>
      </w:pPr>
    </w:p>
    <w:p w14:paraId="551B9FF2">
      <w:pPr>
        <w:snapToGrid w:val="0"/>
        <w:spacing w:line="360" w:lineRule="auto"/>
        <w:ind w:left="631" w:hanging="211"/>
        <w:jc w:val="left"/>
        <w:rPr>
          <w:rFonts w:ascii="宋体" w:hAnsi="宋体" w:cs="宋体"/>
          <w:b/>
          <w:szCs w:val="21"/>
        </w:rPr>
      </w:pPr>
    </w:p>
    <w:p w14:paraId="6E33921D">
      <w:pPr>
        <w:snapToGrid w:val="0"/>
        <w:spacing w:line="360" w:lineRule="auto"/>
        <w:ind w:left="631" w:hanging="211"/>
        <w:jc w:val="left"/>
        <w:rPr>
          <w:rFonts w:ascii="宋体" w:hAnsi="宋体" w:cs="宋体"/>
          <w:b/>
          <w:szCs w:val="21"/>
        </w:rPr>
      </w:pPr>
    </w:p>
    <w:p w14:paraId="3FAC0BBA">
      <w:pPr>
        <w:snapToGrid w:val="0"/>
        <w:spacing w:line="360" w:lineRule="auto"/>
        <w:ind w:left="631" w:hanging="211"/>
        <w:jc w:val="left"/>
        <w:rPr>
          <w:rFonts w:ascii="宋体" w:hAnsi="宋体" w:cs="宋体"/>
          <w:b/>
          <w:szCs w:val="21"/>
        </w:rPr>
      </w:pPr>
    </w:p>
    <w:p w14:paraId="2606C822">
      <w:pPr>
        <w:snapToGrid w:val="0"/>
        <w:spacing w:line="360" w:lineRule="auto"/>
        <w:ind w:left="631" w:hanging="211"/>
        <w:jc w:val="left"/>
        <w:rPr>
          <w:rFonts w:ascii="宋体" w:hAnsi="宋体" w:cs="宋体"/>
          <w:b/>
          <w:szCs w:val="21"/>
        </w:rPr>
      </w:pPr>
    </w:p>
    <w:p w14:paraId="48739551">
      <w:pPr>
        <w:snapToGrid w:val="0"/>
        <w:spacing w:line="360" w:lineRule="auto"/>
        <w:ind w:left="631" w:hanging="211"/>
        <w:jc w:val="left"/>
        <w:rPr>
          <w:rFonts w:ascii="宋体" w:hAnsi="宋体" w:cs="宋体"/>
          <w:b/>
          <w:szCs w:val="21"/>
        </w:rPr>
      </w:pPr>
    </w:p>
    <w:p w14:paraId="762922CC">
      <w:pPr>
        <w:snapToGrid w:val="0"/>
        <w:spacing w:line="360" w:lineRule="auto"/>
        <w:ind w:left="631" w:hanging="211"/>
        <w:jc w:val="left"/>
        <w:rPr>
          <w:rFonts w:ascii="宋体" w:hAnsi="宋体" w:cs="宋体"/>
          <w:b/>
          <w:szCs w:val="21"/>
        </w:rPr>
      </w:pPr>
    </w:p>
    <w:p w14:paraId="1486C9AA">
      <w:pPr>
        <w:pStyle w:val="59"/>
      </w:pPr>
    </w:p>
    <w:p w14:paraId="0D30EFE4">
      <w:pPr>
        <w:snapToGrid w:val="0"/>
        <w:spacing w:line="360" w:lineRule="auto"/>
        <w:ind w:left="661" w:hanging="241"/>
        <w:jc w:val="center"/>
        <w:outlineLvl w:val="1"/>
        <w:rPr>
          <w:rFonts w:ascii="黑体" w:hAnsi="黑体" w:eastAsia="黑体" w:cs="黑体"/>
          <w:b/>
          <w:bCs/>
          <w:sz w:val="24"/>
        </w:rPr>
      </w:pPr>
      <w:r>
        <w:rPr>
          <w:rFonts w:hint="eastAsia" w:ascii="黑体" w:hAnsi="黑体" w:eastAsia="黑体" w:cs="黑体"/>
          <w:b/>
          <w:bCs/>
          <w:sz w:val="24"/>
        </w:rPr>
        <w:t>5.报价文件目录</w:t>
      </w:r>
    </w:p>
    <w:p w14:paraId="3FB63592">
      <w:pPr>
        <w:snapToGrid w:val="0"/>
        <w:spacing w:line="480" w:lineRule="auto"/>
        <w:ind w:left="701" w:hanging="281"/>
        <w:jc w:val="center"/>
        <w:rPr>
          <w:rFonts w:ascii="黑体" w:hAnsi="黑体" w:eastAsia="黑体" w:cs="黑体"/>
          <w:b/>
          <w:sz w:val="28"/>
          <w:szCs w:val="28"/>
        </w:rPr>
      </w:pPr>
      <w:r>
        <w:rPr>
          <w:rFonts w:hint="eastAsia" w:ascii="黑体" w:hAnsi="黑体" w:eastAsia="黑体" w:cs="黑体"/>
          <w:b/>
          <w:sz w:val="28"/>
          <w:szCs w:val="28"/>
        </w:rPr>
        <w:t>目  录</w:t>
      </w:r>
    </w:p>
    <w:p w14:paraId="661C436B">
      <w:pPr>
        <w:snapToGrid w:val="0"/>
        <w:spacing w:line="360" w:lineRule="auto"/>
        <w:ind w:left="661" w:hanging="241"/>
        <w:rPr>
          <w:rFonts w:ascii="宋体" w:hAnsi="宋体" w:cs="宋体"/>
          <w:b/>
          <w:sz w:val="24"/>
          <w:szCs w:val="20"/>
        </w:rPr>
      </w:pPr>
    </w:p>
    <w:p w14:paraId="31074DD8">
      <w:pPr>
        <w:tabs>
          <w:tab w:val="left" w:pos="720"/>
          <w:tab w:val="left" w:pos="5355"/>
        </w:tabs>
        <w:spacing w:line="480" w:lineRule="auto"/>
        <w:ind w:left="420" w:firstLine="420" w:firstLineChars="200"/>
        <w:rPr>
          <w:rFonts w:ascii="宋体" w:hAnsi="宋体" w:cs="宋体"/>
          <w:szCs w:val="21"/>
        </w:rPr>
      </w:pPr>
      <w:r>
        <w:rPr>
          <w:rFonts w:hint="eastAsia" w:ascii="宋体" w:hAnsi="宋体" w:cs="宋体"/>
          <w:szCs w:val="21"/>
        </w:rPr>
        <w:t>1、投标函；（格式详见附件13）</w:t>
      </w:r>
    </w:p>
    <w:p w14:paraId="08E7405E">
      <w:pPr>
        <w:tabs>
          <w:tab w:val="left" w:pos="720"/>
          <w:tab w:val="left" w:pos="5355"/>
        </w:tabs>
        <w:spacing w:line="480" w:lineRule="auto"/>
        <w:ind w:left="420" w:firstLine="420" w:firstLineChars="200"/>
        <w:rPr>
          <w:rFonts w:ascii="宋体" w:hAnsi="宋体" w:cs="宋体"/>
          <w:szCs w:val="21"/>
        </w:rPr>
      </w:pPr>
      <w:r>
        <w:rPr>
          <w:rFonts w:hint="eastAsia" w:ascii="宋体" w:hAnsi="宋体" w:cs="宋体"/>
          <w:szCs w:val="21"/>
        </w:rPr>
        <w:t>2、开标一览表；（格式详见附件14）</w:t>
      </w:r>
    </w:p>
    <w:p w14:paraId="629F437E">
      <w:pPr>
        <w:tabs>
          <w:tab w:val="left" w:pos="720"/>
          <w:tab w:val="left" w:pos="5355"/>
        </w:tabs>
        <w:spacing w:line="480" w:lineRule="auto"/>
        <w:ind w:left="420" w:firstLine="420" w:firstLineChars="200"/>
        <w:rPr>
          <w:rFonts w:ascii="宋体" w:hAnsi="宋体" w:cs="宋体"/>
          <w:szCs w:val="21"/>
        </w:rPr>
      </w:pPr>
      <w:r>
        <w:rPr>
          <w:rFonts w:hint="eastAsia" w:ascii="宋体" w:hAnsi="宋体" w:cs="宋体"/>
          <w:szCs w:val="21"/>
        </w:rPr>
        <w:t>3、投标报价明细表（如有）；（格式详见附件15）</w:t>
      </w:r>
    </w:p>
    <w:p w14:paraId="6A838A60">
      <w:pPr>
        <w:tabs>
          <w:tab w:val="left" w:pos="720"/>
          <w:tab w:val="left" w:pos="5355"/>
        </w:tabs>
        <w:spacing w:line="480" w:lineRule="auto"/>
        <w:ind w:left="420" w:firstLine="420" w:firstLineChars="200"/>
        <w:rPr>
          <w:rFonts w:ascii="宋体" w:hAnsi="宋体" w:cs="宋体"/>
          <w:szCs w:val="21"/>
        </w:rPr>
      </w:pPr>
      <w:r>
        <w:rPr>
          <w:rFonts w:hint="eastAsia" w:ascii="宋体" w:hAnsi="宋体" w:cs="宋体"/>
          <w:szCs w:val="21"/>
        </w:rPr>
        <w:t>4、中小企业声明函</w:t>
      </w:r>
      <w:r>
        <w:rPr>
          <w:rFonts w:hint="eastAsia" w:ascii="宋体" w:hAnsi="宋体"/>
        </w:rPr>
        <w:t>或</w:t>
      </w:r>
      <w:r>
        <w:rPr>
          <w:rFonts w:hint="eastAsia" w:ascii="宋体" w:hAnsi="宋体" w:cs="宋体"/>
          <w:bCs/>
        </w:rPr>
        <w:t>监狱企业、残疾人福利性单位</w:t>
      </w:r>
      <w:r>
        <w:rPr>
          <w:rFonts w:hint="eastAsia" w:ascii="宋体" w:hAnsi="宋体"/>
        </w:rPr>
        <w:t>声</w:t>
      </w:r>
      <w:r>
        <w:rPr>
          <w:rFonts w:hint="eastAsia" w:ascii="宋体" w:hAnsi="宋体" w:cs="宋体"/>
          <w:bCs/>
        </w:rPr>
        <w:t>明函</w:t>
      </w:r>
      <w:r>
        <w:rPr>
          <w:rFonts w:hint="eastAsia" w:ascii="宋体" w:hAnsi="宋体" w:cs="宋体"/>
          <w:szCs w:val="21"/>
        </w:rPr>
        <w:t>（如有。针对不专门面向中小企业项目，可享受政策优惠的企业需提供）（格式详见附件3）</w:t>
      </w:r>
    </w:p>
    <w:p w14:paraId="35E290AF">
      <w:pPr>
        <w:snapToGrid w:val="0"/>
        <w:spacing w:line="480" w:lineRule="auto"/>
        <w:ind w:left="420" w:firstLine="411" w:firstLineChars="196"/>
        <w:jc w:val="left"/>
        <w:rPr>
          <w:rFonts w:ascii="宋体" w:hAnsi="宋体" w:cs="宋体"/>
          <w:szCs w:val="21"/>
        </w:rPr>
      </w:pPr>
      <w:r>
        <w:rPr>
          <w:rFonts w:hint="eastAsia" w:ascii="宋体" w:hAnsi="宋体" w:cs="宋体"/>
          <w:szCs w:val="21"/>
        </w:rPr>
        <w:t>5、投标人针对报价需要说明的其他文件和说明；</w:t>
      </w:r>
    </w:p>
    <w:p w14:paraId="329A1126">
      <w:pPr>
        <w:rPr>
          <w:rFonts w:ascii="宋体" w:hAnsi="宋体" w:cs="宋体"/>
          <w:szCs w:val="21"/>
          <w:highlight w:val="yellow"/>
        </w:rPr>
      </w:pPr>
    </w:p>
    <w:p w14:paraId="2D9FEB4E">
      <w:pPr>
        <w:pStyle w:val="23"/>
        <w:rPr>
          <w:rFonts w:ascii="宋体" w:hAnsi="宋体" w:cs="宋体"/>
          <w:sz w:val="21"/>
          <w:szCs w:val="21"/>
          <w:highlight w:val="yellow"/>
        </w:rPr>
      </w:pPr>
    </w:p>
    <w:p w14:paraId="7AFABCAE">
      <w:pPr>
        <w:rPr>
          <w:rFonts w:ascii="宋体" w:hAnsi="宋体" w:cs="宋体"/>
          <w:szCs w:val="21"/>
          <w:highlight w:val="yellow"/>
        </w:rPr>
      </w:pPr>
    </w:p>
    <w:p w14:paraId="0BAB1F76">
      <w:pPr>
        <w:pStyle w:val="23"/>
        <w:ind w:left="700" w:hanging="280"/>
      </w:pPr>
    </w:p>
    <w:p w14:paraId="2AB7766A">
      <w:pPr>
        <w:pStyle w:val="59"/>
        <w:ind w:left="420" w:firstLine="210"/>
      </w:pPr>
    </w:p>
    <w:p w14:paraId="4CF8FB3F">
      <w:pPr>
        <w:pStyle w:val="46"/>
      </w:pPr>
    </w:p>
    <w:p w14:paraId="54A13FD7"/>
    <w:p w14:paraId="51E15E60">
      <w:pPr>
        <w:pStyle w:val="23"/>
        <w:ind w:left="700" w:hanging="280"/>
      </w:pPr>
    </w:p>
    <w:p w14:paraId="13D5D855">
      <w:pPr>
        <w:pStyle w:val="59"/>
        <w:ind w:left="420" w:firstLine="210"/>
      </w:pPr>
    </w:p>
    <w:p w14:paraId="4DEE3B2B">
      <w:pPr>
        <w:pStyle w:val="46"/>
      </w:pPr>
    </w:p>
    <w:p w14:paraId="0EA456B3"/>
    <w:p w14:paraId="013B1018">
      <w:pPr>
        <w:pStyle w:val="23"/>
        <w:ind w:left="700" w:hanging="280"/>
      </w:pPr>
    </w:p>
    <w:p w14:paraId="08301E66">
      <w:pPr>
        <w:pStyle w:val="59"/>
        <w:ind w:left="420" w:firstLine="210"/>
      </w:pPr>
    </w:p>
    <w:p w14:paraId="1B91150D">
      <w:pPr>
        <w:pStyle w:val="46"/>
      </w:pPr>
    </w:p>
    <w:p w14:paraId="614294A8"/>
    <w:p w14:paraId="00C3E6C7">
      <w:pPr>
        <w:pStyle w:val="23"/>
        <w:ind w:left="700" w:hanging="280"/>
      </w:pPr>
    </w:p>
    <w:p w14:paraId="1BBC8A73">
      <w:pPr>
        <w:pStyle w:val="59"/>
        <w:ind w:left="420" w:firstLine="210"/>
      </w:pPr>
    </w:p>
    <w:p w14:paraId="1EF2743E">
      <w:pPr>
        <w:pStyle w:val="46"/>
      </w:pPr>
    </w:p>
    <w:p w14:paraId="65F3BD91"/>
    <w:p w14:paraId="24A735D6">
      <w:pPr>
        <w:pStyle w:val="73"/>
      </w:pPr>
    </w:p>
    <w:p w14:paraId="1C456F4B">
      <w:pPr>
        <w:pStyle w:val="74"/>
      </w:pPr>
    </w:p>
    <w:p w14:paraId="4947DF29"/>
    <w:p w14:paraId="7C9B91BB">
      <w:pPr>
        <w:pStyle w:val="23"/>
        <w:ind w:left="700" w:hanging="280"/>
      </w:pPr>
    </w:p>
    <w:p w14:paraId="77ACC255">
      <w:pPr>
        <w:snapToGrid w:val="0"/>
        <w:spacing w:line="360" w:lineRule="auto"/>
        <w:rPr>
          <w:rFonts w:ascii="宋体" w:hAnsi="宋体"/>
          <w:szCs w:val="21"/>
        </w:rPr>
      </w:pPr>
    </w:p>
    <w:p w14:paraId="68A0B78A">
      <w:pPr>
        <w:snapToGrid w:val="0"/>
        <w:spacing w:line="360" w:lineRule="auto"/>
        <w:rPr>
          <w:rFonts w:ascii="宋体" w:hAnsi="宋体"/>
          <w:szCs w:val="21"/>
        </w:rPr>
      </w:pPr>
    </w:p>
    <w:p w14:paraId="54DFE7D6">
      <w:pPr>
        <w:snapToGrid w:val="0"/>
        <w:spacing w:line="360" w:lineRule="auto"/>
        <w:rPr>
          <w:rFonts w:ascii="宋体" w:hAnsi="宋体"/>
          <w:szCs w:val="21"/>
        </w:rPr>
      </w:pPr>
    </w:p>
    <w:p w14:paraId="0D033462">
      <w:pPr>
        <w:snapToGrid w:val="0"/>
        <w:spacing w:line="360" w:lineRule="auto"/>
        <w:rPr>
          <w:rFonts w:ascii="宋体" w:hAnsi="宋体"/>
          <w:szCs w:val="21"/>
        </w:rPr>
      </w:pPr>
    </w:p>
    <w:p w14:paraId="27DD6819">
      <w:pPr>
        <w:pStyle w:val="59"/>
      </w:pPr>
    </w:p>
    <w:p w14:paraId="233CECBE">
      <w:pPr>
        <w:snapToGrid w:val="0"/>
        <w:spacing w:line="360" w:lineRule="auto"/>
        <w:outlineLvl w:val="2"/>
        <w:rPr>
          <w:rFonts w:ascii="黑体" w:hAnsi="黑体" w:eastAsia="黑体" w:cs="黑体"/>
          <w:szCs w:val="21"/>
        </w:rPr>
      </w:pPr>
      <w:r>
        <w:rPr>
          <w:rFonts w:hint="eastAsia" w:ascii="黑体" w:hAnsi="黑体" w:eastAsia="黑体" w:cs="黑体"/>
          <w:szCs w:val="21"/>
        </w:rPr>
        <w:t>附件13</w:t>
      </w:r>
    </w:p>
    <w:p w14:paraId="3631DF41">
      <w:pPr>
        <w:snapToGrid w:val="0"/>
        <w:spacing w:line="360" w:lineRule="auto"/>
        <w:ind w:left="701" w:hanging="281"/>
        <w:jc w:val="center"/>
        <w:rPr>
          <w:rFonts w:ascii="黑体" w:hAnsi="黑体" w:eastAsia="黑体" w:cs="黑体"/>
          <w:sz w:val="24"/>
        </w:rPr>
      </w:pPr>
      <w:r>
        <w:rPr>
          <w:rFonts w:hint="eastAsia" w:ascii="黑体" w:hAnsi="黑体" w:eastAsia="黑体" w:cs="黑体"/>
          <w:b/>
          <w:sz w:val="28"/>
          <w:szCs w:val="28"/>
        </w:rPr>
        <w:t>投 标 函</w:t>
      </w:r>
    </w:p>
    <w:p w14:paraId="7C7A53F6">
      <w:pPr>
        <w:snapToGrid w:val="0"/>
        <w:spacing w:line="48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w:t>
      </w:r>
    </w:p>
    <w:p w14:paraId="64AF4AA7">
      <w:pPr>
        <w:snapToGrid w:val="0"/>
        <w:spacing w:line="480" w:lineRule="auto"/>
        <w:ind w:hanging="210"/>
        <w:rPr>
          <w:rFonts w:ascii="宋体" w:hAnsi="宋体" w:cs="宋体"/>
          <w:szCs w:val="21"/>
        </w:rPr>
      </w:pPr>
      <w:r>
        <w:rPr>
          <w:rFonts w:hint="eastAsia" w:ascii="宋体" w:hAnsi="宋体" w:cs="宋体"/>
          <w:szCs w:val="21"/>
        </w:rPr>
        <w:t>根据贵方为</w:t>
      </w:r>
      <w:r>
        <w:rPr>
          <w:rFonts w:hint="eastAsia" w:ascii="宋体" w:hAnsi="宋体" w:cs="宋体"/>
          <w:szCs w:val="21"/>
          <w:u w:val="single"/>
        </w:rPr>
        <w:t xml:space="preserve">                             </w:t>
      </w:r>
      <w:r>
        <w:rPr>
          <w:rFonts w:hint="eastAsia" w:ascii="宋体" w:hAnsi="宋体" w:cs="宋体"/>
          <w:szCs w:val="21"/>
        </w:rPr>
        <w:t>项目的采购公告/投标邀请书</w:t>
      </w:r>
    </w:p>
    <w:p w14:paraId="647553BB">
      <w:pPr>
        <w:snapToGrid w:val="0"/>
        <w:spacing w:line="480" w:lineRule="auto"/>
        <w:rPr>
          <w:rFonts w:ascii="宋体" w:hAnsi="宋体" w:cs="宋体"/>
          <w:szCs w:val="21"/>
        </w:rPr>
      </w:pP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（投标人名称）  </w:t>
      </w:r>
      <w:r>
        <w:rPr>
          <w:rFonts w:hint="eastAsia" w:ascii="宋体" w:hAnsi="宋体" w:cs="宋体"/>
          <w:szCs w:val="21"/>
        </w:rPr>
        <w:t>在线提交资格证明文件、商务技术文件、报价文件各一份。投标总价为</w:t>
      </w:r>
      <w:r>
        <w:rPr>
          <w:rFonts w:hint="eastAsia" w:ascii="宋体" w:hAnsi="宋体" w:cs="宋体"/>
          <w:szCs w:val="21"/>
          <w:u w:val="single"/>
        </w:rPr>
        <w:t xml:space="preserve">                     </w:t>
      </w:r>
      <w:r>
        <w:rPr>
          <w:rFonts w:hint="eastAsia" w:ascii="宋体" w:hAnsi="宋体" w:cs="宋体"/>
          <w:szCs w:val="21"/>
        </w:rPr>
        <w:t>。</w:t>
      </w:r>
    </w:p>
    <w:p w14:paraId="12D72A16">
      <w:pPr>
        <w:snapToGrid w:val="0"/>
        <w:spacing w:line="480" w:lineRule="auto"/>
        <w:ind w:left="420" w:firstLine="420" w:firstLineChars="200"/>
        <w:rPr>
          <w:rFonts w:ascii="宋体" w:hAnsi="宋体" w:cs="宋体"/>
          <w:szCs w:val="21"/>
        </w:rPr>
      </w:pPr>
      <w:r>
        <w:rPr>
          <w:rFonts w:hint="eastAsia" w:ascii="宋体" w:hAnsi="宋体" w:cs="宋体"/>
          <w:szCs w:val="21"/>
        </w:rPr>
        <w:t>据此函，签字代表宣布同意如下：</w:t>
      </w:r>
    </w:p>
    <w:p w14:paraId="0385FA3B">
      <w:pPr>
        <w:snapToGrid w:val="0"/>
        <w:spacing w:line="480" w:lineRule="auto"/>
        <w:ind w:left="420" w:firstLine="420" w:firstLineChars="200"/>
        <w:rPr>
          <w:rFonts w:ascii="宋体" w:hAnsi="宋体" w:cs="宋体"/>
          <w:szCs w:val="21"/>
        </w:rPr>
      </w:pPr>
      <w:r>
        <w:rPr>
          <w:rFonts w:hint="eastAsia" w:ascii="宋体" w:hAnsi="宋体" w:cs="宋体"/>
          <w:szCs w:val="21"/>
        </w:rPr>
        <w:t>1.投标人已详细审查全部“招标文件”，包括修改、澄清文件（如有）以及全部参考资料和有关附件，已经了解我方对于招标文件、采购过程、采购结果有依法进行询问、质疑、投诉的权利及相关渠道和要求。</w:t>
      </w:r>
    </w:p>
    <w:p w14:paraId="289B32EE">
      <w:pPr>
        <w:snapToGrid w:val="0"/>
        <w:spacing w:line="480" w:lineRule="auto"/>
        <w:ind w:left="420" w:firstLine="420" w:firstLineChars="200"/>
        <w:rPr>
          <w:rFonts w:ascii="宋体" w:hAnsi="宋体" w:cs="宋体"/>
          <w:szCs w:val="21"/>
        </w:rPr>
      </w:pPr>
      <w:r>
        <w:rPr>
          <w:rFonts w:hint="eastAsia" w:ascii="宋体" w:hAnsi="宋体" w:cs="宋体"/>
          <w:szCs w:val="21"/>
        </w:rPr>
        <w:t>2.投标人在投标之前已经与贵方进行了充分的沟通，完全理解并接受招标文件的各项规定和要求，对招标文件的合理性、合法性不再有异议。</w:t>
      </w:r>
    </w:p>
    <w:p w14:paraId="07145B4B">
      <w:pPr>
        <w:snapToGrid w:val="0"/>
        <w:spacing w:line="480" w:lineRule="auto"/>
        <w:ind w:left="420" w:firstLine="420" w:firstLineChars="200"/>
        <w:rPr>
          <w:rFonts w:ascii="宋体" w:hAnsi="宋体" w:cs="宋体"/>
          <w:szCs w:val="21"/>
        </w:rPr>
      </w:pPr>
      <w:r>
        <w:rPr>
          <w:rFonts w:hint="eastAsia" w:ascii="宋体" w:hAnsi="宋体" w:cs="宋体"/>
          <w:szCs w:val="21"/>
        </w:rPr>
        <w:t>3.投标有效期自开标日起 90日。</w:t>
      </w:r>
    </w:p>
    <w:p w14:paraId="2BC0CF58">
      <w:pPr>
        <w:snapToGrid w:val="0"/>
        <w:spacing w:line="480" w:lineRule="auto"/>
        <w:ind w:left="420" w:firstLine="420" w:firstLineChars="200"/>
        <w:rPr>
          <w:rFonts w:ascii="宋体" w:hAnsi="宋体" w:cs="宋体"/>
          <w:szCs w:val="21"/>
        </w:rPr>
      </w:pPr>
      <w:r>
        <w:rPr>
          <w:rFonts w:hint="eastAsia" w:ascii="宋体" w:hAnsi="宋体" w:cs="宋体"/>
          <w:szCs w:val="21"/>
        </w:rPr>
        <w:t>4.如中标，本投标文件至本项目合同履行完毕止均保持有效，本投标人将按“招标文件”及政府采购法律、法规的规定履行合同责任和义务。</w:t>
      </w:r>
    </w:p>
    <w:p w14:paraId="60C2DAB2">
      <w:pPr>
        <w:snapToGrid w:val="0"/>
        <w:spacing w:line="480" w:lineRule="auto"/>
        <w:ind w:left="420" w:firstLine="420" w:firstLineChars="200"/>
        <w:rPr>
          <w:rFonts w:ascii="宋体" w:hAnsi="宋体" w:cs="宋体"/>
          <w:szCs w:val="21"/>
        </w:rPr>
      </w:pPr>
      <w:r>
        <w:rPr>
          <w:rFonts w:hint="eastAsia" w:ascii="宋体" w:hAnsi="宋体" w:cs="宋体"/>
          <w:szCs w:val="21"/>
        </w:rPr>
        <w:t>5.如中标，我公司承诺将自中标公告发布之日起5个工作日内按招标文件规定的标准（金额：        ）一次性向采购代理机构支付代理服务费。</w:t>
      </w:r>
    </w:p>
    <w:p w14:paraId="72FFF17B">
      <w:pPr>
        <w:snapToGrid w:val="0"/>
        <w:spacing w:line="480" w:lineRule="auto"/>
        <w:ind w:left="420" w:firstLine="420" w:firstLineChars="200"/>
        <w:rPr>
          <w:rFonts w:ascii="宋体" w:hAnsi="宋体" w:cs="宋体"/>
          <w:szCs w:val="21"/>
        </w:rPr>
      </w:pPr>
      <w:r>
        <w:rPr>
          <w:rFonts w:hint="eastAsia" w:ascii="宋体" w:hAnsi="宋体" w:cs="宋体"/>
          <w:szCs w:val="21"/>
        </w:rPr>
        <w:t>6.投标人同意按照贵方要求提供与投标有关的一切数据或资料。</w:t>
      </w:r>
    </w:p>
    <w:p w14:paraId="1C75A3BF">
      <w:pPr>
        <w:snapToGrid w:val="0"/>
        <w:spacing w:line="480" w:lineRule="auto"/>
        <w:ind w:left="420" w:firstLine="420" w:firstLineChars="200"/>
        <w:rPr>
          <w:rFonts w:ascii="宋体" w:hAnsi="宋体" w:cs="宋体"/>
          <w:szCs w:val="21"/>
        </w:rPr>
      </w:pPr>
      <w:r>
        <w:rPr>
          <w:rFonts w:hint="eastAsia" w:ascii="宋体" w:hAnsi="宋体" w:cs="宋体"/>
          <w:szCs w:val="21"/>
        </w:rPr>
        <w:t>7.与本投标有关的一切正式往来信函请寄：</w:t>
      </w:r>
    </w:p>
    <w:p w14:paraId="5BC75BFA">
      <w:pPr>
        <w:pStyle w:val="23"/>
        <w:rPr>
          <w:rFonts w:ascii="宋体" w:hAnsi="宋体" w:cs="宋体"/>
          <w:sz w:val="21"/>
          <w:szCs w:val="21"/>
        </w:rPr>
      </w:pPr>
    </w:p>
    <w:p w14:paraId="17F85570">
      <w:pPr>
        <w:pStyle w:val="59"/>
        <w:ind w:left="420" w:firstLine="210"/>
      </w:pPr>
    </w:p>
    <w:p w14:paraId="2C83DBFD">
      <w:pPr>
        <w:snapToGrid w:val="0"/>
        <w:spacing w:line="480" w:lineRule="auto"/>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 xml:space="preserve">       邮编： </w:t>
      </w:r>
      <w:r>
        <w:rPr>
          <w:rFonts w:hint="eastAsia" w:ascii="宋体" w:hAnsi="宋体" w:cs="宋体"/>
          <w:szCs w:val="21"/>
          <w:u w:val="single"/>
        </w:rPr>
        <w:t xml:space="preserve">             </w:t>
      </w:r>
    </w:p>
    <w:p w14:paraId="6CC0E81C">
      <w:pPr>
        <w:snapToGrid w:val="0"/>
        <w:spacing w:line="480" w:lineRule="auto"/>
        <w:rPr>
          <w:rFonts w:ascii="宋体" w:hAnsi="宋体" w:cs="宋体"/>
          <w:szCs w:val="21"/>
        </w:rPr>
      </w:pPr>
      <w:r>
        <w:rPr>
          <w:rFonts w:hint="eastAsia" w:ascii="宋体" w:hAnsi="宋体" w:cs="宋体"/>
          <w:szCs w:val="21"/>
        </w:rPr>
        <w:t xml:space="preserve">电话： </w:t>
      </w:r>
      <w:r>
        <w:rPr>
          <w:rFonts w:hint="eastAsia" w:ascii="宋体" w:hAnsi="宋体" w:cs="宋体"/>
          <w:szCs w:val="21"/>
          <w:u w:val="single"/>
        </w:rPr>
        <w:t xml:space="preserve">                      </w:t>
      </w:r>
      <w:r>
        <w:rPr>
          <w:rFonts w:hint="eastAsia" w:ascii="宋体" w:hAnsi="宋体" w:cs="宋体"/>
          <w:szCs w:val="21"/>
        </w:rPr>
        <w:t xml:space="preserve">       传真：______________</w:t>
      </w:r>
    </w:p>
    <w:p w14:paraId="369DADB4">
      <w:pPr>
        <w:snapToGrid w:val="0"/>
        <w:spacing w:line="480" w:lineRule="auto"/>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（签章）</w:t>
      </w:r>
    </w:p>
    <w:p w14:paraId="2CD63D9A">
      <w:pPr>
        <w:snapToGrid w:val="0"/>
        <w:spacing w:line="480" w:lineRule="auto"/>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银行帐号：</w:t>
      </w:r>
      <w:r>
        <w:rPr>
          <w:rFonts w:hint="eastAsia" w:ascii="宋体" w:hAnsi="宋体" w:cs="宋体"/>
          <w:szCs w:val="21"/>
          <w:u w:val="single"/>
        </w:rPr>
        <w:t xml:space="preserve">                    </w:t>
      </w:r>
      <w:r>
        <w:rPr>
          <w:rFonts w:hint="eastAsia" w:ascii="宋体" w:hAnsi="宋体" w:cs="宋体"/>
          <w:szCs w:val="21"/>
        </w:rPr>
        <w:t xml:space="preserve"> </w:t>
      </w:r>
    </w:p>
    <w:p w14:paraId="5BAB12F6">
      <w:pPr>
        <w:snapToGrid w:val="0"/>
        <w:spacing w:line="480" w:lineRule="auto"/>
        <w:rPr>
          <w:rFonts w:ascii="宋体" w:hAnsi="宋体" w:cs="宋体"/>
          <w:szCs w:val="21"/>
        </w:rPr>
      </w:pPr>
      <w:r>
        <w:rPr>
          <w:rFonts w:hint="eastAsia" w:ascii="宋体" w:hAnsi="宋体" w:cs="宋体"/>
          <w:szCs w:val="21"/>
        </w:rPr>
        <w:t>日期:_____年___月___日</w:t>
      </w:r>
    </w:p>
    <w:p w14:paraId="0D5B4ABC">
      <w:pPr>
        <w:pStyle w:val="32"/>
        <w:snapToGrid w:val="0"/>
        <w:spacing w:before="0" w:beforeLines="0" w:after="0" w:afterLines="0" w:line="360" w:lineRule="auto"/>
        <w:rPr>
          <w:rFonts w:hAnsi="宋体" w:cs="宋体"/>
          <w:sz w:val="21"/>
          <w:szCs w:val="21"/>
        </w:rPr>
      </w:pPr>
    </w:p>
    <w:p w14:paraId="5DA8E235">
      <w:pPr>
        <w:pStyle w:val="32"/>
        <w:snapToGrid w:val="0"/>
        <w:spacing w:before="0" w:beforeLines="0" w:after="0" w:afterLines="0" w:line="360" w:lineRule="auto"/>
        <w:rPr>
          <w:rFonts w:hAnsi="宋体" w:cs="宋体"/>
          <w:sz w:val="21"/>
          <w:szCs w:val="21"/>
        </w:rPr>
        <w:sectPr>
          <w:headerReference r:id="rId15" w:type="default"/>
          <w:footerReference r:id="rId16" w:type="default"/>
          <w:pgSz w:w="11906" w:h="16838"/>
          <w:pgMar w:top="1134" w:right="1134" w:bottom="1134" w:left="1134" w:header="851" w:footer="851" w:gutter="0"/>
          <w:cols w:space="720" w:num="1"/>
          <w:docGrid w:linePitch="312" w:charSpace="0"/>
        </w:sectPr>
      </w:pPr>
    </w:p>
    <w:p w14:paraId="5D97813D">
      <w:pPr>
        <w:snapToGrid w:val="0"/>
        <w:spacing w:line="360" w:lineRule="auto"/>
        <w:outlineLvl w:val="2"/>
        <w:rPr>
          <w:rFonts w:ascii="黑体" w:hAnsi="黑体" w:eastAsia="黑体" w:cs="黑体"/>
          <w:szCs w:val="21"/>
        </w:rPr>
      </w:pPr>
      <w:r>
        <w:rPr>
          <w:rFonts w:hint="eastAsia" w:ascii="黑体" w:hAnsi="黑体" w:eastAsia="黑体" w:cs="黑体"/>
          <w:szCs w:val="21"/>
        </w:rPr>
        <w:t>附件14</w:t>
      </w:r>
    </w:p>
    <w:p w14:paraId="4A6C9996">
      <w:pPr>
        <w:pStyle w:val="32"/>
        <w:snapToGrid w:val="0"/>
        <w:spacing w:before="0" w:beforeLines="0" w:after="0" w:afterLines="0" w:line="360" w:lineRule="auto"/>
        <w:ind w:left="701" w:hanging="281"/>
        <w:jc w:val="center"/>
        <w:rPr>
          <w:rFonts w:ascii="黑体" w:hAnsi="黑体" w:eastAsia="黑体" w:cs="黑体"/>
          <w:b/>
          <w:sz w:val="28"/>
          <w:szCs w:val="28"/>
        </w:rPr>
      </w:pPr>
      <w:r>
        <w:rPr>
          <w:rFonts w:hint="eastAsia" w:ascii="黑体" w:hAnsi="黑体" w:eastAsia="黑体" w:cs="黑体"/>
          <w:b/>
          <w:sz w:val="28"/>
          <w:szCs w:val="28"/>
        </w:rPr>
        <w:t>开标一览表</w:t>
      </w:r>
    </w:p>
    <w:p w14:paraId="326DD829">
      <w:pPr>
        <w:spacing w:line="360" w:lineRule="auto"/>
        <w:contextualSpacing/>
        <w:rPr>
          <w:rFonts w:ascii="宋体" w:hAnsi="宋体" w:cs="宋体"/>
          <w:szCs w:val="21"/>
        </w:rPr>
      </w:pPr>
      <w:r>
        <w:rPr>
          <w:rFonts w:hint="eastAsia" w:ascii="宋体" w:hAnsi="宋体" w:cs="宋体"/>
          <w:szCs w:val="21"/>
        </w:rPr>
        <w:t>（采购人）、（采购代理机构）：</w:t>
      </w:r>
    </w:p>
    <w:p w14:paraId="5781D034">
      <w:pPr>
        <w:spacing w:line="360" w:lineRule="auto"/>
        <w:ind w:left="420" w:firstLine="420" w:firstLineChars="200"/>
        <w:contextualSpacing/>
        <w:rPr>
          <w:rFonts w:ascii="宋体" w:hAnsi="宋体" w:cs="宋体"/>
          <w:szCs w:val="21"/>
        </w:rPr>
      </w:pPr>
      <w:r>
        <w:rPr>
          <w:rFonts w:hint="eastAsia" w:ascii="宋体" w:hAnsi="宋体" w:cs="宋体"/>
          <w:szCs w:val="21"/>
        </w:rPr>
        <w:t>按你方招标文件要求，我们，本投标文件签字方，谨此向你方发出要约如下：如你方接受本投标，我方承诺按照如下开标一览表的价格完成</w:t>
      </w:r>
      <w:r>
        <w:rPr>
          <w:rFonts w:hint="eastAsia" w:ascii="宋体" w:hAnsi="宋体" w:cs="宋体"/>
          <w:szCs w:val="21"/>
          <w:u w:val="single"/>
        </w:rPr>
        <w:t xml:space="preserve">     （项目名称）    </w:t>
      </w:r>
      <w:r>
        <w:rPr>
          <w:rFonts w:hint="eastAsia" w:ascii="宋体" w:hAnsi="宋体" w:cs="宋体"/>
          <w:szCs w:val="21"/>
        </w:rPr>
        <w:t>【招标编号：</w:t>
      </w:r>
      <w:r>
        <w:rPr>
          <w:rFonts w:hint="eastAsia" w:ascii="宋体" w:hAnsi="宋体" w:cs="宋体"/>
          <w:szCs w:val="21"/>
          <w:u w:val="single"/>
        </w:rPr>
        <w:t xml:space="preserve">      </w:t>
      </w:r>
      <w:r>
        <w:rPr>
          <w:rFonts w:hint="eastAsia" w:ascii="宋体" w:hAnsi="宋体" w:cs="宋体"/>
          <w:szCs w:val="21"/>
        </w:rPr>
        <w:t>（项目编号）】的实施。</w:t>
      </w:r>
    </w:p>
    <w:p w14:paraId="4F10F566">
      <w:pPr>
        <w:spacing w:line="540" w:lineRule="exact"/>
        <w:contextualSpacing/>
        <w:jc w:val="center"/>
        <w:rPr>
          <w:rFonts w:hAnsi="宋体" w:cs="宋体"/>
          <w:szCs w:val="21"/>
        </w:rPr>
      </w:pPr>
      <w:r>
        <w:rPr>
          <w:rFonts w:hint="eastAsia" w:hAnsi="宋体" w:cs="宋体"/>
          <w:szCs w:val="21"/>
        </w:rPr>
        <w:t xml:space="preserve">                         </w:t>
      </w:r>
      <w:r>
        <w:rPr>
          <w:rFonts w:hint="eastAsia" w:ascii="宋体" w:hAnsi="宋体" w:cs="宋体"/>
          <w:szCs w:val="21"/>
        </w:rPr>
        <w:t xml:space="preserve">     开标一览表                  (单位：人民币元)</w:t>
      </w:r>
    </w:p>
    <w:tbl>
      <w:tblPr>
        <w:tblStyle w:val="60"/>
        <w:tblW w:w="87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7"/>
        <w:gridCol w:w="1700"/>
        <w:gridCol w:w="1675"/>
        <w:gridCol w:w="1658"/>
        <w:gridCol w:w="1096"/>
      </w:tblGrid>
      <w:tr w14:paraId="3108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587" w:type="dxa"/>
            <w:vAlign w:val="center"/>
          </w:tcPr>
          <w:p w14:paraId="00C27897">
            <w:pPr>
              <w:pStyle w:val="32"/>
              <w:spacing w:line="240" w:lineRule="auto"/>
              <w:jc w:val="center"/>
              <w:rPr>
                <w:rFonts w:hAnsi="宋体" w:cs="宋体"/>
                <w:kern w:val="2"/>
                <w:sz w:val="21"/>
                <w:szCs w:val="21"/>
              </w:rPr>
            </w:pPr>
            <w:r>
              <w:rPr>
                <w:rFonts w:hAnsi="宋体" w:cs="宋体"/>
                <w:kern w:val="2"/>
                <w:sz w:val="21"/>
                <w:szCs w:val="21"/>
              </w:rPr>
              <w:t>项目名称</w:t>
            </w:r>
          </w:p>
        </w:tc>
        <w:tc>
          <w:tcPr>
            <w:tcW w:w="1700" w:type="dxa"/>
            <w:vAlign w:val="center"/>
          </w:tcPr>
          <w:p w14:paraId="08B50B6F">
            <w:pPr>
              <w:pStyle w:val="32"/>
              <w:spacing w:line="240" w:lineRule="auto"/>
              <w:jc w:val="center"/>
              <w:rPr>
                <w:rFonts w:hAnsi="宋体" w:cs="宋体"/>
                <w:kern w:val="2"/>
                <w:sz w:val="21"/>
                <w:szCs w:val="21"/>
              </w:rPr>
            </w:pPr>
            <w:r>
              <w:rPr>
                <w:rFonts w:hint="eastAsia" w:hAnsi="宋体" w:cs="宋体"/>
                <w:kern w:val="2"/>
                <w:sz w:val="21"/>
                <w:szCs w:val="21"/>
              </w:rPr>
              <w:t>合同履约</w:t>
            </w:r>
          </w:p>
          <w:p w14:paraId="2B8751BF">
            <w:pPr>
              <w:pStyle w:val="32"/>
              <w:spacing w:line="240" w:lineRule="auto"/>
              <w:jc w:val="center"/>
              <w:rPr>
                <w:rFonts w:hAnsi="宋体" w:cs="宋体"/>
                <w:kern w:val="2"/>
                <w:sz w:val="21"/>
                <w:szCs w:val="21"/>
              </w:rPr>
            </w:pPr>
            <w:r>
              <w:rPr>
                <w:rFonts w:hint="eastAsia" w:hAnsi="宋体" w:cs="宋体"/>
                <w:kern w:val="2"/>
                <w:sz w:val="21"/>
                <w:szCs w:val="21"/>
              </w:rPr>
              <w:t>期限</w:t>
            </w:r>
          </w:p>
        </w:tc>
        <w:tc>
          <w:tcPr>
            <w:tcW w:w="1675" w:type="dxa"/>
            <w:vAlign w:val="center"/>
          </w:tcPr>
          <w:p w14:paraId="64AC412B">
            <w:pPr>
              <w:pStyle w:val="32"/>
              <w:spacing w:line="240" w:lineRule="auto"/>
              <w:ind w:firstLine="420" w:firstLineChars="200"/>
              <w:jc w:val="both"/>
              <w:rPr>
                <w:rFonts w:hint="eastAsia" w:hAnsi="宋体" w:cs="宋体"/>
                <w:kern w:val="2"/>
                <w:sz w:val="21"/>
                <w:szCs w:val="21"/>
                <w:lang w:val="en-US" w:eastAsia="zh-CN"/>
              </w:rPr>
            </w:pPr>
            <w:r>
              <w:rPr>
                <w:rFonts w:hint="eastAsia" w:hAnsi="宋体" w:cs="宋体"/>
                <w:kern w:val="2"/>
                <w:sz w:val="21"/>
                <w:szCs w:val="21"/>
                <w:lang w:val="en-US" w:eastAsia="zh-CN"/>
              </w:rPr>
              <w:t>年费用</w:t>
            </w:r>
          </w:p>
          <w:p w14:paraId="0B0E9298">
            <w:pPr>
              <w:pStyle w:val="32"/>
              <w:spacing w:line="240" w:lineRule="auto"/>
              <w:jc w:val="center"/>
              <w:rPr>
                <w:rFonts w:hint="eastAsia" w:hAnsi="宋体" w:cs="宋体"/>
                <w:kern w:val="2"/>
                <w:sz w:val="21"/>
                <w:szCs w:val="21"/>
              </w:rPr>
            </w:pPr>
            <w:r>
              <w:rPr>
                <w:rFonts w:hint="eastAsia" w:hAnsi="宋体" w:cs="宋体"/>
                <w:kern w:val="2"/>
                <w:sz w:val="21"/>
                <w:szCs w:val="21"/>
                <w:lang w:val="en-US" w:eastAsia="zh-CN"/>
              </w:rPr>
              <w:t>（元）</w:t>
            </w:r>
          </w:p>
        </w:tc>
        <w:tc>
          <w:tcPr>
            <w:tcW w:w="1658" w:type="dxa"/>
            <w:vAlign w:val="center"/>
          </w:tcPr>
          <w:p w14:paraId="7F812698">
            <w:pPr>
              <w:pStyle w:val="32"/>
              <w:spacing w:line="240" w:lineRule="auto"/>
              <w:jc w:val="center"/>
              <w:rPr>
                <w:rFonts w:hint="eastAsia" w:hAnsi="宋体" w:cs="宋体"/>
                <w:kern w:val="2"/>
                <w:sz w:val="21"/>
                <w:szCs w:val="21"/>
              </w:rPr>
            </w:pPr>
            <w:r>
              <w:rPr>
                <w:rFonts w:hint="eastAsia" w:hAnsi="宋体" w:cs="宋体"/>
                <w:kern w:val="2"/>
                <w:sz w:val="21"/>
                <w:szCs w:val="21"/>
              </w:rPr>
              <w:t>总费用</w:t>
            </w:r>
          </w:p>
          <w:p w14:paraId="2BA0F5EA">
            <w:pPr>
              <w:pStyle w:val="32"/>
              <w:spacing w:line="240" w:lineRule="auto"/>
              <w:jc w:val="center"/>
              <w:rPr>
                <w:rFonts w:hint="default" w:hAnsi="宋体" w:cs="宋体"/>
                <w:kern w:val="2"/>
                <w:sz w:val="21"/>
                <w:szCs w:val="21"/>
                <w:lang w:val="en-US" w:eastAsia="zh-CN"/>
              </w:rPr>
            </w:pPr>
            <w:r>
              <w:rPr>
                <w:rFonts w:hint="eastAsia" w:hAnsi="宋体" w:cs="宋体"/>
                <w:kern w:val="2"/>
                <w:sz w:val="21"/>
                <w:szCs w:val="21"/>
              </w:rPr>
              <w:t>（元）</w:t>
            </w:r>
          </w:p>
        </w:tc>
        <w:tc>
          <w:tcPr>
            <w:tcW w:w="1096" w:type="dxa"/>
            <w:vAlign w:val="center"/>
          </w:tcPr>
          <w:p w14:paraId="08F591AF">
            <w:pPr>
              <w:pStyle w:val="32"/>
              <w:spacing w:line="240" w:lineRule="auto"/>
              <w:jc w:val="center"/>
              <w:rPr>
                <w:rFonts w:hint="eastAsia" w:hAnsi="宋体" w:cs="宋体"/>
                <w:kern w:val="2"/>
                <w:sz w:val="21"/>
                <w:szCs w:val="21"/>
              </w:rPr>
            </w:pPr>
            <w:r>
              <w:rPr>
                <w:rFonts w:hint="eastAsia" w:hAnsi="宋体" w:cs="宋体"/>
                <w:kern w:val="2"/>
                <w:sz w:val="21"/>
                <w:szCs w:val="21"/>
              </w:rPr>
              <w:t>备注</w:t>
            </w:r>
          </w:p>
        </w:tc>
      </w:tr>
      <w:tr w14:paraId="5F48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587" w:type="dxa"/>
            <w:vAlign w:val="center"/>
          </w:tcPr>
          <w:p w14:paraId="477F6B2A">
            <w:pPr>
              <w:pStyle w:val="32"/>
              <w:ind w:left="640" w:hanging="220"/>
              <w:rPr>
                <w:rFonts w:ascii="Arial" w:hAnsi="Arial" w:cs="Arial"/>
                <w:sz w:val="22"/>
                <w:szCs w:val="22"/>
              </w:rPr>
            </w:pPr>
          </w:p>
        </w:tc>
        <w:tc>
          <w:tcPr>
            <w:tcW w:w="1700" w:type="dxa"/>
            <w:vAlign w:val="center"/>
          </w:tcPr>
          <w:p w14:paraId="2800A7B0">
            <w:pPr>
              <w:pStyle w:val="32"/>
              <w:ind w:left="640" w:hanging="220"/>
              <w:rPr>
                <w:rFonts w:ascii="Arial" w:hAnsi="Arial" w:cs="Arial"/>
                <w:sz w:val="22"/>
                <w:szCs w:val="22"/>
              </w:rPr>
            </w:pPr>
            <w:r>
              <w:rPr>
                <w:rFonts w:hint="eastAsia" w:ascii="Arial" w:hAnsi="Arial" w:cs="Arial"/>
                <w:sz w:val="22"/>
                <w:szCs w:val="22"/>
              </w:rPr>
              <w:t xml:space="preserve">  10年</w:t>
            </w:r>
          </w:p>
        </w:tc>
        <w:tc>
          <w:tcPr>
            <w:tcW w:w="1675" w:type="dxa"/>
            <w:vAlign w:val="center"/>
          </w:tcPr>
          <w:p w14:paraId="471B8FE4">
            <w:pPr>
              <w:pStyle w:val="32"/>
              <w:ind w:left="640" w:hanging="220"/>
              <w:jc w:val="center"/>
              <w:rPr>
                <w:rFonts w:ascii="Arial" w:hAnsi="Arial" w:cs="Arial"/>
                <w:sz w:val="22"/>
                <w:szCs w:val="22"/>
              </w:rPr>
            </w:pPr>
            <w:r>
              <w:rPr>
                <w:rFonts w:ascii="Arial" w:hAnsi="Arial" w:cs="Arial"/>
                <w:sz w:val="22"/>
                <w:szCs w:val="22"/>
              </w:rPr>
              <w:t xml:space="preserve"> </w:t>
            </w:r>
          </w:p>
        </w:tc>
        <w:tc>
          <w:tcPr>
            <w:tcW w:w="1658" w:type="dxa"/>
            <w:vAlign w:val="center"/>
          </w:tcPr>
          <w:p w14:paraId="32469E1A">
            <w:pPr>
              <w:pStyle w:val="32"/>
              <w:ind w:left="640" w:hanging="220"/>
              <w:jc w:val="center"/>
              <w:rPr>
                <w:rFonts w:ascii="Arial" w:hAnsi="Arial" w:cs="Arial"/>
                <w:sz w:val="22"/>
                <w:szCs w:val="22"/>
              </w:rPr>
            </w:pPr>
          </w:p>
        </w:tc>
        <w:tc>
          <w:tcPr>
            <w:tcW w:w="1096" w:type="dxa"/>
            <w:vAlign w:val="center"/>
          </w:tcPr>
          <w:p w14:paraId="29133F4C">
            <w:pPr>
              <w:pStyle w:val="32"/>
              <w:ind w:left="640" w:hanging="220"/>
              <w:jc w:val="center"/>
              <w:rPr>
                <w:rFonts w:ascii="Arial" w:hAnsi="Arial" w:cs="Arial"/>
                <w:sz w:val="22"/>
                <w:szCs w:val="22"/>
              </w:rPr>
            </w:pPr>
          </w:p>
        </w:tc>
      </w:tr>
      <w:tr w14:paraId="710E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587" w:type="dxa"/>
            <w:vAlign w:val="center"/>
          </w:tcPr>
          <w:p w14:paraId="02BC96B4">
            <w:pPr>
              <w:pStyle w:val="32"/>
              <w:jc w:val="center"/>
              <w:rPr>
                <w:rFonts w:hAnsi="宋体" w:cs="宋体"/>
                <w:kern w:val="2"/>
                <w:sz w:val="21"/>
                <w:szCs w:val="21"/>
              </w:rPr>
            </w:pPr>
            <w:r>
              <w:rPr>
                <w:rFonts w:hAnsi="宋体" w:cs="宋体"/>
                <w:kern w:val="2"/>
                <w:sz w:val="21"/>
                <w:szCs w:val="21"/>
              </w:rPr>
              <w:t>投标总价</w:t>
            </w:r>
            <w:r>
              <w:rPr>
                <w:rFonts w:hint="eastAsia" w:hAnsi="宋体" w:cs="宋体"/>
                <w:kern w:val="2"/>
                <w:sz w:val="21"/>
                <w:szCs w:val="21"/>
              </w:rPr>
              <w:t>（元）</w:t>
            </w:r>
          </w:p>
        </w:tc>
        <w:tc>
          <w:tcPr>
            <w:tcW w:w="6129" w:type="dxa"/>
            <w:gridSpan w:val="4"/>
            <w:vAlign w:val="center"/>
          </w:tcPr>
          <w:p w14:paraId="574C6A0B">
            <w:pPr>
              <w:pStyle w:val="32"/>
              <w:rPr>
                <w:rFonts w:hAnsi="宋体" w:cs="宋体"/>
                <w:kern w:val="2"/>
                <w:sz w:val="21"/>
                <w:szCs w:val="21"/>
              </w:rPr>
            </w:pPr>
            <w:r>
              <w:rPr>
                <w:rFonts w:hAnsi="宋体" w:cs="宋体"/>
                <w:kern w:val="2"/>
                <w:sz w:val="21"/>
                <w:szCs w:val="21"/>
              </w:rPr>
              <w:t>大写：</w:t>
            </w:r>
          </w:p>
        </w:tc>
      </w:tr>
    </w:tbl>
    <w:p w14:paraId="077FE81B">
      <w:pPr>
        <w:spacing w:line="540" w:lineRule="exact"/>
        <w:ind w:left="631" w:hanging="211"/>
        <w:contextualSpacing/>
        <w:rPr>
          <w:rFonts w:ascii="宋体" w:hAnsi="宋体" w:cs="宋体"/>
          <w:b/>
          <w:szCs w:val="21"/>
        </w:rPr>
      </w:pPr>
      <w:r>
        <w:rPr>
          <w:rFonts w:hint="eastAsia" w:ascii="宋体" w:hAnsi="宋体" w:cs="宋体"/>
          <w:b/>
          <w:szCs w:val="21"/>
        </w:rPr>
        <w:t>注：</w:t>
      </w:r>
    </w:p>
    <w:p w14:paraId="7FD45E29">
      <w:pPr>
        <w:spacing w:line="360" w:lineRule="auto"/>
        <w:ind w:left="420" w:firstLine="413" w:firstLineChars="196"/>
        <w:contextualSpacing/>
        <w:rPr>
          <w:rFonts w:ascii="宋体" w:hAnsi="宋体" w:cs="宋体"/>
          <w:b/>
          <w:szCs w:val="21"/>
        </w:rPr>
      </w:pPr>
      <w:r>
        <w:rPr>
          <w:rFonts w:hint="eastAsia" w:ascii="宋体" w:hAnsi="宋体" w:cs="宋体"/>
          <w:b/>
          <w:szCs w:val="21"/>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59F479F0">
      <w:pPr>
        <w:spacing w:line="360" w:lineRule="auto"/>
        <w:ind w:left="420" w:firstLine="411" w:firstLineChars="196"/>
        <w:contextualSpacing/>
        <w:rPr>
          <w:rFonts w:ascii="宋体" w:hAnsi="宋体" w:cs="宋体"/>
          <w:szCs w:val="21"/>
        </w:rPr>
      </w:pPr>
      <w:r>
        <w:rPr>
          <w:rFonts w:hint="eastAsia" w:ascii="宋体" w:hAnsi="宋体" w:cs="宋体"/>
          <w:szCs w:val="21"/>
        </w:rPr>
        <w:t>2.特别提示：采购代理机构将对项目名称和项目编号，中标人名称、地址和中标金额，主要中标标的的名称、规格型号、数量、单价、服务要求等予以公示。</w:t>
      </w:r>
    </w:p>
    <w:p w14:paraId="3AA202C2">
      <w:pPr>
        <w:spacing w:line="360" w:lineRule="auto"/>
        <w:ind w:left="420" w:firstLine="411" w:firstLineChars="196"/>
        <w:contextualSpacing/>
        <w:rPr>
          <w:rFonts w:ascii="宋体" w:hAnsi="宋体" w:cs="宋体"/>
          <w:szCs w:val="21"/>
        </w:rPr>
      </w:pPr>
      <w:r>
        <w:rPr>
          <w:rFonts w:hint="eastAsia" w:ascii="宋体" w:hAnsi="宋体" w:cs="宋体"/>
          <w:szCs w:val="21"/>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727E160">
      <w:pPr>
        <w:spacing w:line="360" w:lineRule="auto"/>
        <w:ind w:left="420" w:firstLine="411" w:firstLineChars="196"/>
        <w:contextualSpacing/>
        <w:rPr>
          <w:rFonts w:ascii="宋体" w:hAnsi="宋体" w:cs="宋体"/>
          <w:szCs w:val="21"/>
        </w:rPr>
      </w:pPr>
      <w:r>
        <w:rPr>
          <w:rFonts w:hint="eastAsia" w:ascii="宋体" w:hAnsi="宋体" w:cs="宋体"/>
          <w:szCs w:val="21"/>
        </w:rPr>
        <w:t>4.投标报价一经涂改，应在涂改处加盖单位公章或投标人代表签字（或盖章），否则其投标作无效标处理。</w:t>
      </w:r>
    </w:p>
    <w:p w14:paraId="0DC920B8">
      <w:pPr>
        <w:spacing w:line="360" w:lineRule="auto"/>
        <w:ind w:left="420" w:firstLine="413" w:firstLineChars="196"/>
        <w:contextualSpacing/>
        <w:rPr>
          <w:rFonts w:ascii="宋体" w:hAnsi="宋体" w:cs="宋体"/>
          <w:szCs w:val="21"/>
        </w:rPr>
      </w:pPr>
      <w:r>
        <w:rPr>
          <w:rFonts w:hint="eastAsia" w:ascii="宋体" w:hAnsi="宋体" w:cs="宋体"/>
          <w:b/>
          <w:bCs/>
          <w:szCs w:val="21"/>
        </w:rPr>
        <w:t>5.特别说明：▲投标人投标报价低于项目预算50%的，应当在报价文件中详细阐述不影响产品质量或者诚信履约的具体原因。</w:t>
      </w:r>
    </w:p>
    <w:p w14:paraId="504FF41B">
      <w:pPr>
        <w:spacing w:line="540" w:lineRule="exact"/>
        <w:ind w:left="420" w:right="480" w:firstLine="4095" w:firstLineChars="1950"/>
        <w:contextualSpacing/>
        <w:rPr>
          <w:rFonts w:ascii="宋体" w:hAnsi="宋体" w:cs="宋体"/>
          <w:szCs w:val="21"/>
        </w:rPr>
      </w:pPr>
      <w:r>
        <w:rPr>
          <w:rFonts w:hint="eastAsia" w:ascii="宋体" w:hAnsi="宋体" w:cs="宋体"/>
          <w:szCs w:val="21"/>
        </w:rPr>
        <w:t>投标人名称(签章)：</w:t>
      </w:r>
    </w:p>
    <w:p w14:paraId="02D1A418">
      <w:pPr>
        <w:spacing w:line="500" w:lineRule="exact"/>
        <w:ind w:left="420" w:firstLine="4095" w:firstLineChars="1950"/>
        <w:contextualSpacing/>
        <w:rPr>
          <w:rFonts w:ascii="宋体" w:hAnsi="宋体" w:cs="宋体"/>
          <w:szCs w:val="21"/>
        </w:rPr>
      </w:pPr>
      <w:r>
        <w:rPr>
          <w:rFonts w:hint="eastAsia" w:ascii="宋体" w:hAnsi="宋体" w:cs="宋体"/>
          <w:szCs w:val="21"/>
        </w:rPr>
        <w:t>日期：   年   月   日</w:t>
      </w:r>
    </w:p>
    <w:p w14:paraId="72906A96">
      <w:pPr>
        <w:rPr>
          <w:rFonts w:ascii="仿宋_GB2312" w:eastAsia="仿宋_GB2312"/>
        </w:rPr>
      </w:pPr>
    </w:p>
    <w:p w14:paraId="1C554659">
      <w:pPr>
        <w:rPr>
          <w:rFonts w:ascii="仿宋_GB2312" w:eastAsia="仿宋_GB2312"/>
        </w:rPr>
      </w:pPr>
    </w:p>
    <w:p w14:paraId="1F1E74B4">
      <w:pPr>
        <w:snapToGrid w:val="0"/>
        <w:spacing w:line="360" w:lineRule="auto"/>
        <w:outlineLvl w:val="2"/>
        <w:rPr>
          <w:rFonts w:ascii="黑体" w:hAnsi="黑体" w:eastAsia="黑体" w:cs="黑体"/>
          <w:szCs w:val="21"/>
        </w:rPr>
      </w:pPr>
      <w:r>
        <w:rPr>
          <w:rFonts w:hint="eastAsia" w:ascii="黑体" w:hAnsi="黑体" w:eastAsia="黑体" w:cs="黑体"/>
          <w:szCs w:val="21"/>
        </w:rPr>
        <w:t>附件15</w:t>
      </w:r>
    </w:p>
    <w:p w14:paraId="3DE41998">
      <w:pPr>
        <w:pStyle w:val="32"/>
        <w:snapToGrid w:val="0"/>
        <w:spacing w:before="0" w:beforeLines="0" w:after="0" w:afterLines="0" w:line="360" w:lineRule="auto"/>
        <w:ind w:left="660" w:hanging="240"/>
        <w:rPr>
          <w:rFonts w:hAnsi="宋体" w:cs="宋体"/>
        </w:rPr>
      </w:pPr>
      <w:r>
        <w:rPr>
          <w:rFonts w:hint="eastAsia" w:hAnsi="宋体" w:cs="宋体"/>
        </w:rPr>
        <w:t xml:space="preserve">      </w:t>
      </w:r>
    </w:p>
    <w:p w14:paraId="3A18CD5B">
      <w:pPr>
        <w:pStyle w:val="32"/>
        <w:snapToGrid w:val="0"/>
        <w:spacing w:beforeLines="0" w:afterLines="0" w:line="240" w:lineRule="auto"/>
        <w:ind w:left="701" w:hanging="281"/>
        <w:jc w:val="center"/>
        <w:rPr>
          <w:rFonts w:hint="eastAsia" w:ascii="黑体" w:hAnsi="黑体" w:eastAsia="黑体" w:cs="黑体"/>
          <w:b/>
          <w:sz w:val="28"/>
          <w:szCs w:val="28"/>
        </w:rPr>
      </w:pPr>
      <w:r>
        <w:rPr>
          <w:rFonts w:hint="eastAsia" w:ascii="黑体" w:hAnsi="黑体" w:eastAsia="黑体" w:cs="黑体"/>
          <w:b/>
          <w:sz w:val="28"/>
          <w:szCs w:val="28"/>
        </w:rPr>
        <w:t>投标报价明细表</w:t>
      </w:r>
    </w:p>
    <w:p w14:paraId="5330253A">
      <w:pPr>
        <w:pStyle w:val="32"/>
        <w:snapToGrid w:val="0"/>
        <w:spacing w:beforeLines="0" w:afterLines="0" w:line="240" w:lineRule="auto"/>
        <w:ind w:left="701" w:hanging="281"/>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（不单独提供明细表格式，如投标单位认为需要，可格式自拟）</w:t>
      </w:r>
    </w:p>
    <w:p w14:paraId="725F9991">
      <w:pPr>
        <w:snapToGrid w:val="0"/>
        <w:spacing w:before="156" w:beforeLines="50" w:after="50" w:line="360" w:lineRule="auto"/>
        <w:ind w:left="631" w:hanging="211"/>
        <w:jc w:val="center"/>
        <w:rPr>
          <w:rFonts w:ascii="黑体" w:hAnsi="黑体" w:eastAsia="黑体" w:cs="黑体"/>
          <w:b/>
          <w:szCs w:val="21"/>
        </w:rPr>
      </w:pPr>
    </w:p>
    <w:p w14:paraId="5AC1E1FC">
      <w:pPr>
        <w:tabs>
          <w:tab w:val="left" w:pos="606"/>
        </w:tabs>
        <w:rPr>
          <w:rFonts w:ascii="宋体" w:hAnsi="宋体"/>
          <w:bCs/>
          <w:szCs w:val="21"/>
        </w:rPr>
      </w:pPr>
    </w:p>
    <w:p w14:paraId="2DBE6491">
      <w:pPr>
        <w:pStyle w:val="59"/>
        <w:rPr>
          <w:rFonts w:ascii="宋体" w:hAnsi="宋体"/>
          <w:bCs/>
          <w:szCs w:val="21"/>
        </w:rPr>
      </w:pPr>
    </w:p>
    <w:p w14:paraId="748FD5B7">
      <w:pPr>
        <w:rPr>
          <w:rFonts w:ascii="宋体" w:hAnsi="宋体"/>
          <w:bCs/>
          <w:szCs w:val="21"/>
        </w:rPr>
      </w:pPr>
    </w:p>
    <w:p w14:paraId="387EF5F4">
      <w:pPr>
        <w:pStyle w:val="59"/>
        <w:rPr>
          <w:rFonts w:ascii="宋体" w:hAnsi="宋体"/>
          <w:bCs/>
          <w:szCs w:val="21"/>
        </w:rPr>
      </w:pPr>
    </w:p>
    <w:p w14:paraId="122C0E25">
      <w:pPr>
        <w:rPr>
          <w:rFonts w:ascii="宋体" w:hAnsi="宋体"/>
          <w:bCs/>
          <w:szCs w:val="21"/>
        </w:rPr>
      </w:pPr>
    </w:p>
    <w:p w14:paraId="1A654692">
      <w:pPr>
        <w:pStyle w:val="59"/>
        <w:rPr>
          <w:rFonts w:ascii="宋体" w:hAnsi="宋体"/>
          <w:bCs/>
          <w:szCs w:val="21"/>
        </w:rPr>
      </w:pPr>
    </w:p>
    <w:p w14:paraId="6544C00F">
      <w:pPr>
        <w:rPr>
          <w:rFonts w:ascii="宋体" w:hAnsi="宋体"/>
          <w:bCs/>
          <w:szCs w:val="21"/>
        </w:rPr>
      </w:pPr>
    </w:p>
    <w:p w14:paraId="33F235DF">
      <w:pPr>
        <w:pStyle w:val="59"/>
        <w:rPr>
          <w:rFonts w:ascii="宋体" w:hAnsi="宋体"/>
          <w:bCs/>
          <w:szCs w:val="21"/>
        </w:rPr>
      </w:pPr>
    </w:p>
    <w:p w14:paraId="438B7233">
      <w:pPr>
        <w:rPr>
          <w:rFonts w:ascii="宋体" w:hAnsi="宋体"/>
          <w:bCs/>
          <w:szCs w:val="21"/>
        </w:rPr>
      </w:pPr>
    </w:p>
    <w:p w14:paraId="33B6C794">
      <w:pPr>
        <w:pStyle w:val="59"/>
        <w:rPr>
          <w:rFonts w:ascii="宋体" w:hAnsi="宋体"/>
          <w:bCs/>
          <w:szCs w:val="21"/>
        </w:rPr>
      </w:pPr>
    </w:p>
    <w:p w14:paraId="224F2012">
      <w:pPr>
        <w:rPr>
          <w:rFonts w:ascii="宋体" w:hAnsi="宋体"/>
          <w:bCs/>
          <w:szCs w:val="21"/>
        </w:rPr>
      </w:pPr>
    </w:p>
    <w:p w14:paraId="4C4937E3">
      <w:pPr>
        <w:pStyle w:val="59"/>
        <w:rPr>
          <w:rFonts w:ascii="宋体" w:hAnsi="宋体"/>
          <w:bCs/>
          <w:szCs w:val="21"/>
        </w:rPr>
      </w:pPr>
    </w:p>
    <w:p w14:paraId="6B6E64AA">
      <w:pPr>
        <w:rPr>
          <w:rFonts w:ascii="宋体" w:hAnsi="宋体"/>
          <w:bCs/>
          <w:szCs w:val="21"/>
        </w:rPr>
      </w:pPr>
    </w:p>
    <w:p w14:paraId="0D5EF8E2">
      <w:pPr>
        <w:pStyle w:val="59"/>
        <w:rPr>
          <w:rFonts w:ascii="宋体" w:hAnsi="宋体"/>
          <w:bCs/>
          <w:szCs w:val="21"/>
        </w:rPr>
      </w:pPr>
    </w:p>
    <w:p w14:paraId="2357B2FB">
      <w:pPr>
        <w:rPr>
          <w:rFonts w:ascii="宋体" w:hAnsi="宋体"/>
          <w:bCs/>
          <w:szCs w:val="21"/>
        </w:rPr>
      </w:pPr>
    </w:p>
    <w:p w14:paraId="0CF633B6">
      <w:pPr>
        <w:pStyle w:val="59"/>
        <w:rPr>
          <w:rFonts w:ascii="宋体" w:hAnsi="宋体"/>
          <w:bCs/>
          <w:szCs w:val="21"/>
        </w:rPr>
      </w:pPr>
    </w:p>
    <w:p w14:paraId="22C22329">
      <w:pPr>
        <w:rPr>
          <w:rFonts w:ascii="宋体" w:hAnsi="宋体"/>
          <w:bCs/>
          <w:szCs w:val="21"/>
        </w:rPr>
      </w:pPr>
    </w:p>
    <w:p w14:paraId="6B593D55">
      <w:pPr>
        <w:pStyle w:val="59"/>
        <w:rPr>
          <w:rFonts w:ascii="宋体" w:hAnsi="宋体"/>
          <w:bCs/>
          <w:szCs w:val="21"/>
        </w:rPr>
      </w:pPr>
    </w:p>
    <w:p w14:paraId="2485BEFA">
      <w:pPr>
        <w:rPr>
          <w:rFonts w:ascii="宋体" w:hAnsi="宋体"/>
          <w:bCs/>
          <w:szCs w:val="21"/>
        </w:rPr>
      </w:pPr>
    </w:p>
    <w:p w14:paraId="0E01243D">
      <w:pPr>
        <w:pStyle w:val="59"/>
        <w:rPr>
          <w:rFonts w:ascii="宋体" w:hAnsi="宋体"/>
          <w:bCs/>
          <w:szCs w:val="21"/>
        </w:rPr>
      </w:pPr>
    </w:p>
    <w:p w14:paraId="55677E96">
      <w:pPr>
        <w:rPr>
          <w:rFonts w:ascii="宋体" w:hAnsi="宋体"/>
          <w:bCs/>
          <w:szCs w:val="21"/>
        </w:rPr>
      </w:pPr>
    </w:p>
    <w:p w14:paraId="56B29072">
      <w:pPr>
        <w:pStyle w:val="59"/>
        <w:rPr>
          <w:rFonts w:ascii="宋体" w:hAnsi="宋体"/>
          <w:bCs/>
          <w:szCs w:val="21"/>
        </w:rPr>
      </w:pPr>
    </w:p>
    <w:p w14:paraId="4437CCFC">
      <w:pPr>
        <w:rPr>
          <w:rFonts w:ascii="宋体" w:hAnsi="宋体"/>
          <w:bCs/>
          <w:szCs w:val="21"/>
        </w:rPr>
      </w:pPr>
    </w:p>
    <w:p w14:paraId="0F227E13">
      <w:pPr>
        <w:pStyle w:val="59"/>
        <w:rPr>
          <w:rFonts w:ascii="宋体" w:hAnsi="宋体"/>
          <w:bCs/>
          <w:szCs w:val="21"/>
        </w:rPr>
      </w:pPr>
    </w:p>
    <w:p w14:paraId="60406E2E">
      <w:pPr>
        <w:rPr>
          <w:rFonts w:ascii="宋体" w:hAnsi="宋体"/>
          <w:bCs/>
          <w:szCs w:val="21"/>
        </w:rPr>
      </w:pPr>
    </w:p>
    <w:p w14:paraId="100A3E97">
      <w:pPr>
        <w:pStyle w:val="59"/>
        <w:rPr>
          <w:rFonts w:ascii="宋体" w:hAnsi="宋体"/>
          <w:bCs/>
          <w:szCs w:val="21"/>
        </w:rPr>
      </w:pPr>
    </w:p>
    <w:p w14:paraId="1EC6A45B">
      <w:pPr>
        <w:rPr>
          <w:rFonts w:ascii="宋体" w:hAnsi="宋体"/>
          <w:bCs/>
          <w:szCs w:val="21"/>
        </w:rPr>
      </w:pPr>
    </w:p>
    <w:p w14:paraId="01DCD1BF">
      <w:pPr>
        <w:pStyle w:val="59"/>
        <w:rPr>
          <w:rFonts w:ascii="宋体" w:hAnsi="宋体"/>
          <w:bCs/>
          <w:szCs w:val="21"/>
        </w:rPr>
      </w:pPr>
    </w:p>
    <w:p w14:paraId="16D50E1A">
      <w:pPr>
        <w:rPr>
          <w:rFonts w:ascii="宋体" w:hAnsi="宋体"/>
          <w:bCs/>
          <w:szCs w:val="21"/>
        </w:rPr>
      </w:pPr>
    </w:p>
    <w:p w14:paraId="59B13EA9">
      <w:pPr>
        <w:pStyle w:val="59"/>
      </w:pPr>
    </w:p>
    <w:p w14:paraId="739E51D3">
      <w:pPr>
        <w:ind w:left="631" w:hanging="211"/>
        <w:rPr>
          <w:rFonts w:ascii="宋体" w:hAnsi="宋体" w:cs="仿宋_GB2312"/>
          <w:b/>
          <w:szCs w:val="21"/>
        </w:rPr>
      </w:pPr>
    </w:p>
    <w:p w14:paraId="1F254BFE">
      <w:pPr>
        <w:pStyle w:val="15"/>
        <w:ind w:left="631" w:hanging="211"/>
        <w:rPr>
          <w:rFonts w:ascii="宋体" w:hAnsi="宋体" w:cs="仿宋_GB2312"/>
          <w:b/>
          <w:sz w:val="21"/>
          <w:szCs w:val="21"/>
        </w:rPr>
      </w:pPr>
    </w:p>
    <w:p w14:paraId="31769486">
      <w:pPr>
        <w:ind w:left="741" w:hanging="321"/>
        <w:jc w:val="center"/>
        <w:outlineLvl w:val="0"/>
        <w:rPr>
          <w:rFonts w:ascii="黑体" w:hAnsi="黑体" w:eastAsia="黑体" w:cs="黑体"/>
          <w:b/>
          <w:bCs/>
          <w:sz w:val="32"/>
          <w:szCs w:val="32"/>
        </w:rPr>
      </w:pPr>
      <w:bookmarkStart w:id="82" w:name="_Toc477869974"/>
      <w:bookmarkStart w:id="83" w:name="_Toc1405074704"/>
      <w:bookmarkStart w:id="84" w:name="_Toc1489588996"/>
      <w:bookmarkStart w:id="85" w:name="_Toc1151276230"/>
      <w:bookmarkStart w:id="86" w:name="_Toc8351"/>
      <w:bookmarkStart w:id="87" w:name="_Toc2180"/>
      <w:bookmarkStart w:id="88" w:name="_Toc9565"/>
      <w:bookmarkStart w:id="89" w:name="_Toc29348"/>
      <w:bookmarkStart w:id="90" w:name="_Toc1792759694"/>
      <w:bookmarkStart w:id="91" w:name="_Toc234770909"/>
      <w:bookmarkStart w:id="92" w:name="_Toc16252"/>
      <w:bookmarkStart w:id="93" w:name="_Toc5702"/>
      <w:bookmarkStart w:id="94" w:name="_Toc456759686"/>
      <w:r>
        <w:rPr>
          <w:rFonts w:hint="eastAsia" w:ascii="黑体" w:hAnsi="黑体" w:eastAsia="黑体" w:cs="黑体"/>
          <w:b/>
          <w:bCs/>
          <w:sz w:val="32"/>
          <w:szCs w:val="32"/>
        </w:rPr>
        <w:t>第七章   其它</w:t>
      </w:r>
      <w:bookmarkEnd w:id="82"/>
      <w:bookmarkEnd w:id="83"/>
      <w:bookmarkEnd w:id="84"/>
      <w:bookmarkEnd w:id="85"/>
      <w:bookmarkEnd w:id="86"/>
      <w:bookmarkEnd w:id="87"/>
      <w:bookmarkEnd w:id="88"/>
      <w:bookmarkEnd w:id="89"/>
      <w:bookmarkEnd w:id="90"/>
      <w:bookmarkEnd w:id="91"/>
      <w:bookmarkEnd w:id="92"/>
      <w:bookmarkEnd w:id="93"/>
      <w:bookmarkEnd w:id="94"/>
    </w:p>
    <w:p w14:paraId="242ABB54">
      <w:pPr>
        <w:tabs>
          <w:tab w:val="left" w:pos="0"/>
        </w:tabs>
        <w:autoSpaceDE w:val="0"/>
        <w:autoSpaceDN w:val="0"/>
        <w:spacing w:line="360" w:lineRule="auto"/>
        <w:ind w:left="701" w:hanging="281"/>
        <w:jc w:val="center"/>
        <w:outlineLvl w:val="1"/>
        <w:rPr>
          <w:rFonts w:ascii="黑体" w:hAnsi="黑体" w:eastAsia="黑体" w:cs="黑体"/>
          <w:b/>
          <w:bCs/>
          <w:sz w:val="28"/>
          <w:szCs w:val="28"/>
        </w:rPr>
      </w:pPr>
      <w:r>
        <w:rPr>
          <w:rFonts w:hint="eastAsia" w:ascii="黑体" w:hAnsi="黑体" w:eastAsia="黑体" w:cs="黑体"/>
          <w:b/>
          <w:bCs/>
          <w:sz w:val="28"/>
          <w:szCs w:val="28"/>
        </w:rPr>
        <w:t>一、质疑函范本</w:t>
      </w:r>
    </w:p>
    <w:p w14:paraId="42D9C4E2">
      <w:pPr>
        <w:adjustRightInd w:val="0"/>
        <w:snapToGrid w:val="0"/>
        <w:spacing w:before="312" w:beforeLines="100" w:line="360" w:lineRule="auto"/>
        <w:rPr>
          <w:rFonts w:ascii="宋体" w:hAnsi="宋体" w:cs="宋体"/>
          <w:bCs/>
          <w:szCs w:val="21"/>
        </w:rPr>
      </w:pPr>
      <w:r>
        <w:rPr>
          <w:rFonts w:hint="eastAsia" w:ascii="宋体" w:hAnsi="宋体" w:cs="宋体"/>
          <w:bCs/>
          <w:szCs w:val="21"/>
        </w:rPr>
        <w:t>一、质疑投标人基本信息</w:t>
      </w:r>
    </w:p>
    <w:p w14:paraId="3814956E">
      <w:pPr>
        <w:adjustRightInd w:val="0"/>
        <w:snapToGrid w:val="0"/>
        <w:spacing w:line="360" w:lineRule="auto"/>
        <w:rPr>
          <w:rFonts w:ascii="宋体" w:hAnsi="宋体" w:cs="宋体"/>
          <w:szCs w:val="21"/>
          <w:u w:val="dotted"/>
        </w:rPr>
      </w:pPr>
      <w:r>
        <w:rPr>
          <w:rFonts w:hint="eastAsia" w:ascii="宋体" w:hAnsi="宋体" w:cs="宋体"/>
          <w:szCs w:val="21"/>
        </w:rPr>
        <w:t>质疑投标人：</w:t>
      </w:r>
      <w:r>
        <w:rPr>
          <w:rFonts w:hint="eastAsia" w:ascii="宋体" w:hAnsi="宋体" w:cs="宋体"/>
          <w:szCs w:val="21"/>
          <w:u w:val="dotted"/>
        </w:rPr>
        <w:t xml:space="preserve">                                        </w:t>
      </w:r>
    </w:p>
    <w:p w14:paraId="0E168F8D">
      <w:pPr>
        <w:adjustRightInd w:val="0"/>
        <w:snapToGrid w:val="0"/>
        <w:spacing w:line="360" w:lineRule="auto"/>
        <w:rPr>
          <w:rFonts w:ascii="宋体" w:hAnsi="宋体" w:cs="宋体"/>
          <w:szCs w:val="21"/>
          <w:u w:val="dotted"/>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6FD09064">
      <w:pPr>
        <w:adjustRightInd w:val="0"/>
        <w:snapToGrid w:val="0"/>
        <w:spacing w:line="360" w:lineRule="auto"/>
        <w:rPr>
          <w:rFonts w:ascii="宋体" w:hAnsi="宋体" w:cs="宋体"/>
          <w:szCs w:val="21"/>
          <w:u w:val="dotted"/>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17DBA208">
      <w:pPr>
        <w:adjustRightInd w:val="0"/>
        <w:snapToGrid w:val="0"/>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14:paraId="5F153BA0">
      <w:pPr>
        <w:adjustRightInd w:val="0"/>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14:paraId="28F6615D">
      <w:pPr>
        <w:adjustRightInd w:val="0"/>
        <w:snapToGrid w:val="0"/>
        <w:spacing w:line="360" w:lineRule="auto"/>
        <w:rPr>
          <w:rFonts w:ascii="宋体" w:hAnsi="宋体" w:cs="宋体"/>
          <w:szCs w:val="21"/>
          <w:u w:val="dotted"/>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015ED44F">
      <w:pPr>
        <w:adjustRightInd w:val="0"/>
        <w:snapToGrid w:val="0"/>
        <w:spacing w:line="360" w:lineRule="auto"/>
        <w:rPr>
          <w:rFonts w:ascii="宋体" w:hAnsi="宋体" w:cs="宋体"/>
          <w:bCs/>
          <w:szCs w:val="21"/>
        </w:rPr>
      </w:pPr>
      <w:r>
        <w:rPr>
          <w:rFonts w:hint="eastAsia" w:ascii="宋体" w:hAnsi="宋体" w:cs="宋体"/>
          <w:bCs/>
          <w:szCs w:val="21"/>
        </w:rPr>
        <w:t>二、质疑项目基本情况</w:t>
      </w:r>
    </w:p>
    <w:p w14:paraId="7492A3A0">
      <w:pPr>
        <w:adjustRightInd w:val="0"/>
        <w:snapToGrid w:val="0"/>
        <w:spacing w:line="360" w:lineRule="auto"/>
        <w:rPr>
          <w:rFonts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14:paraId="41AC6E82">
      <w:pPr>
        <w:adjustRightInd w:val="0"/>
        <w:snapToGrid w:val="0"/>
        <w:spacing w:line="360" w:lineRule="auto"/>
        <w:rPr>
          <w:rFonts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504262AA">
      <w:pPr>
        <w:adjustRightInd w:val="0"/>
        <w:snapToGrid w:val="0"/>
        <w:spacing w:line="360" w:lineRule="auto"/>
        <w:rPr>
          <w:rFonts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14:paraId="15B13719">
      <w:pPr>
        <w:adjustRightInd w:val="0"/>
        <w:snapToGrid w:val="0"/>
        <w:spacing w:line="360" w:lineRule="auto"/>
        <w:rPr>
          <w:rFonts w:ascii="宋体" w:hAnsi="宋体" w:cs="宋体"/>
          <w:szCs w:val="21"/>
          <w:u w:val="dotted"/>
        </w:rPr>
      </w:pPr>
      <w:r>
        <w:rPr>
          <w:rFonts w:hint="eastAsia" w:ascii="宋体" w:hAnsi="宋体" w:cs="宋体"/>
          <w:szCs w:val="21"/>
        </w:rPr>
        <w:t>招标文件获取日期：</w:t>
      </w:r>
      <w:r>
        <w:rPr>
          <w:rFonts w:hint="eastAsia" w:ascii="宋体" w:hAnsi="宋体" w:cs="宋体"/>
          <w:szCs w:val="21"/>
          <w:u w:val="dotted"/>
        </w:rPr>
        <w:t xml:space="preserve">                                    </w:t>
      </w:r>
    </w:p>
    <w:p w14:paraId="3C0E91E0">
      <w:pPr>
        <w:adjustRightInd w:val="0"/>
        <w:snapToGrid w:val="0"/>
        <w:spacing w:line="360" w:lineRule="auto"/>
        <w:rPr>
          <w:rFonts w:ascii="宋体" w:hAnsi="宋体" w:cs="宋体"/>
          <w:bCs/>
          <w:szCs w:val="21"/>
        </w:rPr>
      </w:pPr>
      <w:r>
        <w:rPr>
          <w:rFonts w:hint="eastAsia" w:ascii="宋体" w:hAnsi="宋体" w:cs="宋体"/>
          <w:bCs/>
          <w:szCs w:val="21"/>
        </w:rPr>
        <w:t>三、质疑事项具体内容</w:t>
      </w:r>
    </w:p>
    <w:p w14:paraId="20D13E2C">
      <w:pPr>
        <w:adjustRightInd w:val="0"/>
        <w:snapToGrid w:val="0"/>
        <w:spacing w:line="360" w:lineRule="auto"/>
        <w:rPr>
          <w:rFonts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14:paraId="3F83A12B">
      <w:pPr>
        <w:adjustRightInd w:val="0"/>
        <w:snapToGrid w:val="0"/>
        <w:spacing w:line="360" w:lineRule="auto"/>
        <w:rPr>
          <w:rFonts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14:paraId="58C28D89">
      <w:pPr>
        <w:adjustRightInd w:val="0"/>
        <w:snapToGrid w:val="0"/>
        <w:spacing w:line="360" w:lineRule="auto"/>
        <w:rPr>
          <w:rFonts w:ascii="宋体" w:hAnsi="宋体" w:cs="宋体"/>
          <w:szCs w:val="21"/>
        </w:rPr>
      </w:pPr>
      <w:r>
        <w:rPr>
          <w:rFonts w:hint="eastAsia" w:ascii="宋体" w:hAnsi="宋体" w:cs="宋体"/>
          <w:szCs w:val="21"/>
          <w:u w:val="dotted"/>
        </w:rPr>
        <w:t xml:space="preserve">                                                       </w:t>
      </w:r>
    </w:p>
    <w:p w14:paraId="0A2770B8">
      <w:pPr>
        <w:adjustRightInd w:val="0"/>
        <w:snapToGrid w:val="0"/>
        <w:spacing w:line="360" w:lineRule="auto"/>
        <w:rPr>
          <w:rFonts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14:paraId="0DD9A112">
      <w:pPr>
        <w:adjustRightInd w:val="0"/>
        <w:snapToGrid w:val="0"/>
        <w:spacing w:line="360" w:lineRule="auto"/>
        <w:rPr>
          <w:rFonts w:ascii="宋体" w:hAnsi="宋体" w:cs="宋体"/>
          <w:szCs w:val="21"/>
          <w:u w:val="dotted"/>
        </w:rPr>
      </w:pPr>
      <w:r>
        <w:rPr>
          <w:rFonts w:hint="eastAsia" w:ascii="宋体" w:hAnsi="宋体" w:cs="宋体"/>
          <w:szCs w:val="21"/>
          <w:u w:val="dotted"/>
        </w:rPr>
        <w:t xml:space="preserve">                                                     </w:t>
      </w:r>
    </w:p>
    <w:p w14:paraId="3D866823">
      <w:pPr>
        <w:adjustRightInd w:val="0"/>
        <w:snapToGrid w:val="0"/>
        <w:spacing w:line="360" w:lineRule="auto"/>
        <w:rPr>
          <w:rFonts w:ascii="宋体" w:hAnsi="宋体" w:cs="宋体"/>
          <w:szCs w:val="21"/>
          <w:u w:val="dotted"/>
        </w:rPr>
      </w:pPr>
      <w:r>
        <w:rPr>
          <w:rFonts w:hint="eastAsia" w:ascii="宋体" w:hAnsi="宋体" w:cs="宋体"/>
          <w:szCs w:val="21"/>
        </w:rPr>
        <w:t>质疑事项2</w:t>
      </w:r>
    </w:p>
    <w:p w14:paraId="17801695">
      <w:pPr>
        <w:adjustRightInd w:val="0"/>
        <w:snapToGrid w:val="0"/>
        <w:spacing w:line="360" w:lineRule="auto"/>
        <w:rPr>
          <w:rFonts w:ascii="宋体" w:hAnsi="宋体" w:cs="宋体"/>
          <w:szCs w:val="21"/>
        </w:rPr>
      </w:pPr>
      <w:r>
        <w:rPr>
          <w:rFonts w:hint="eastAsia" w:ascii="宋体" w:hAnsi="宋体" w:cs="宋体"/>
          <w:szCs w:val="21"/>
        </w:rPr>
        <w:t>……</w:t>
      </w:r>
    </w:p>
    <w:p w14:paraId="03A0546C">
      <w:pPr>
        <w:adjustRightInd w:val="0"/>
        <w:snapToGrid w:val="0"/>
        <w:spacing w:line="360" w:lineRule="auto"/>
        <w:rPr>
          <w:rFonts w:ascii="宋体" w:hAnsi="宋体" w:cs="宋体"/>
          <w:bCs/>
          <w:szCs w:val="21"/>
        </w:rPr>
      </w:pPr>
      <w:r>
        <w:rPr>
          <w:rFonts w:hint="eastAsia" w:ascii="宋体" w:hAnsi="宋体" w:cs="宋体"/>
          <w:bCs/>
          <w:szCs w:val="21"/>
        </w:rPr>
        <w:t>四、与质疑事项相关的质疑请求</w:t>
      </w:r>
    </w:p>
    <w:p w14:paraId="5529689D">
      <w:pPr>
        <w:spacing w:line="360" w:lineRule="auto"/>
        <w:rPr>
          <w:rFonts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14:paraId="61406392">
      <w:pPr>
        <w:spacing w:line="360" w:lineRule="auto"/>
        <w:rPr>
          <w:rFonts w:ascii="宋体" w:hAnsi="宋体" w:cs="宋体"/>
          <w:szCs w:val="21"/>
        </w:rPr>
      </w:pPr>
    </w:p>
    <w:p w14:paraId="07778DF9">
      <w:pPr>
        <w:spacing w:line="360" w:lineRule="auto"/>
        <w:rPr>
          <w:rFonts w:ascii="宋体" w:hAnsi="宋体" w:cs="宋体"/>
          <w:szCs w:val="21"/>
        </w:rPr>
      </w:pPr>
      <w:r>
        <w:rPr>
          <w:rFonts w:hint="eastAsia" w:ascii="宋体" w:hAnsi="宋体" w:cs="宋体"/>
          <w:szCs w:val="21"/>
        </w:rPr>
        <w:t xml:space="preserve">签字(签章)：                   公章：                      </w:t>
      </w:r>
    </w:p>
    <w:p w14:paraId="7C6D3D50">
      <w:pPr>
        <w:spacing w:line="360" w:lineRule="auto"/>
        <w:rPr>
          <w:rFonts w:ascii="宋体" w:hAnsi="宋体" w:cs="宋体"/>
          <w:szCs w:val="21"/>
        </w:rPr>
      </w:pPr>
    </w:p>
    <w:p w14:paraId="52874C11">
      <w:pPr>
        <w:spacing w:line="360" w:lineRule="auto"/>
        <w:rPr>
          <w:rFonts w:ascii="宋体" w:hAnsi="宋体" w:cs="宋体"/>
          <w:szCs w:val="21"/>
        </w:rPr>
      </w:pPr>
      <w:r>
        <w:rPr>
          <w:rFonts w:hint="eastAsia" w:ascii="宋体" w:hAnsi="宋体" w:cs="宋体"/>
          <w:szCs w:val="21"/>
        </w:rPr>
        <w:t xml:space="preserve">日期：    </w:t>
      </w:r>
    </w:p>
    <w:p w14:paraId="3D12F897">
      <w:pPr>
        <w:adjustRightInd w:val="0"/>
        <w:snapToGrid w:val="0"/>
        <w:spacing w:line="360" w:lineRule="auto"/>
        <w:ind w:left="660" w:hanging="240"/>
        <w:rPr>
          <w:rFonts w:ascii="仿宋" w:hAnsi="仿宋" w:eastAsia="仿宋" w:cs="仿宋"/>
          <w:sz w:val="24"/>
        </w:rPr>
      </w:pPr>
    </w:p>
    <w:p w14:paraId="211BD600">
      <w:pPr>
        <w:spacing w:line="360" w:lineRule="auto"/>
        <w:ind w:left="661" w:hanging="241"/>
        <w:rPr>
          <w:rFonts w:ascii="黑体" w:hAnsi="黑体" w:eastAsia="黑体"/>
          <w:b/>
          <w:sz w:val="24"/>
        </w:rPr>
      </w:pPr>
      <w:r>
        <w:rPr>
          <w:rFonts w:hint="eastAsia" w:ascii="黑体" w:hAnsi="黑体" w:eastAsia="黑体"/>
          <w:b/>
          <w:sz w:val="24"/>
        </w:rPr>
        <w:br w:type="page"/>
      </w:r>
      <w:r>
        <w:rPr>
          <w:rFonts w:hint="eastAsia" w:ascii="黑体" w:hAnsi="黑体" w:eastAsia="黑体"/>
          <w:b/>
          <w:sz w:val="24"/>
        </w:rPr>
        <w:t>质疑函制作说明：</w:t>
      </w:r>
    </w:p>
    <w:p w14:paraId="1E7ADA2C">
      <w:pPr>
        <w:pStyle w:val="24"/>
        <w:ind w:left="592" w:hanging="172"/>
      </w:pPr>
    </w:p>
    <w:p w14:paraId="1FDED424">
      <w:pPr>
        <w:widowControl/>
        <w:spacing w:line="360" w:lineRule="auto"/>
        <w:ind w:left="420" w:firstLine="420" w:firstLineChars="200"/>
        <w:jc w:val="left"/>
        <w:rPr>
          <w:rFonts w:ascii="宋体" w:hAnsi="宋体" w:cs="宋体"/>
          <w:szCs w:val="21"/>
        </w:rPr>
      </w:pPr>
      <w:r>
        <w:rPr>
          <w:rFonts w:hint="eastAsia" w:ascii="宋体" w:hAnsi="宋体" w:cs="宋体"/>
          <w:szCs w:val="21"/>
        </w:rPr>
        <w:t>1.投标人提出质疑时，应提交质疑函和必要的证明材料。</w:t>
      </w:r>
    </w:p>
    <w:p w14:paraId="556DCA63">
      <w:pPr>
        <w:widowControl/>
        <w:spacing w:line="360" w:lineRule="auto"/>
        <w:ind w:left="420" w:firstLine="420" w:firstLineChars="200"/>
        <w:jc w:val="left"/>
        <w:rPr>
          <w:rFonts w:ascii="宋体" w:hAnsi="宋体" w:cs="宋体"/>
          <w:szCs w:val="21"/>
        </w:rPr>
      </w:pPr>
      <w:r>
        <w:rPr>
          <w:rFonts w:hint="eastAsia" w:ascii="宋体" w:hAnsi="宋体" w:cs="宋体"/>
          <w:szCs w:val="21"/>
        </w:rPr>
        <w:t>2.质疑投标人若委托代理人进行质疑的，质疑函应按要求列明“授权代表”的有关内容，并在附件中提交由质疑</w:t>
      </w:r>
      <w:r>
        <w:rPr>
          <w:rFonts w:hint="eastAsia" w:ascii="宋体" w:hAnsi="宋体" w:cs="宋体"/>
          <w:kern w:val="0"/>
          <w:szCs w:val="21"/>
        </w:rPr>
        <w:t>投标人签署的授权委托书。授权委托书应载明代理人的姓名或者名称、代理事项、具体权限、期限和相关事项。</w:t>
      </w:r>
    </w:p>
    <w:p w14:paraId="211CE7B8">
      <w:pPr>
        <w:widowControl/>
        <w:spacing w:line="360" w:lineRule="auto"/>
        <w:ind w:left="420" w:firstLine="420" w:firstLineChars="200"/>
        <w:jc w:val="left"/>
        <w:rPr>
          <w:rFonts w:ascii="宋体" w:hAnsi="宋体" w:cs="宋体"/>
          <w:szCs w:val="21"/>
        </w:rPr>
      </w:pPr>
      <w:r>
        <w:rPr>
          <w:rFonts w:hint="eastAsia" w:ascii="宋体" w:hAnsi="宋体" w:cs="宋体"/>
          <w:szCs w:val="21"/>
        </w:rPr>
        <w:t>3.质疑投标人若对项目的某一分包进行质疑，质疑函中应列明具体分包号。</w:t>
      </w:r>
    </w:p>
    <w:p w14:paraId="43D127B2">
      <w:pPr>
        <w:widowControl/>
        <w:spacing w:line="360" w:lineRule="auto"/>
        <w:ind w:left="420" w:firstLine="420" w:firstLineChars="200"/>
        <w:jc w:val="left"/>
        <w:rPr>
          <w:rFonts w:ascii="宋体" w:hAnsi="宋体" w:cs="宋体"/>
          <w:szCs w:val="21"/>
        </w:rPr>
      </w:pPr>
      <w:r>
        <w:rPr>
          <w:rFonts w:hint="eastAsia" w:ascii="宋体" w:hAnsi="宋体" w:cs="宋体"/>
          <w:szCs w:val="21"/>
        </w:rPr>
        <w:t>4.质疑函的质疑事项应具体、明确，并有必要的事实依据和法律依据。</w:t>
      </w:r>
    </w:p>
    <w:p w14:paraId="0462373D">
      <w:pPr>
        <w:widowControl/>
        <w:spacing w:line="360" w:lineRule="auto"/>
        <w:ind w:left="420" w:firstLine="420" w:firstLineChars="200"/>
        <w:jc w:val="left"/>
        <w:rPr>
          <w:rFonts w:ascii="宋体" w:hAnsi="宋体" w:cs="宋体"/>
          <w:szCs w:val="21"/>
        </w:rPr>
      </w:pPr>
      <w:r>
        <w:rPr>
          <w:rFonts w:hint="eastAsia" w:ascii="宋体" w:hAnsi="宋体" w:cs="宋体"/>
          <w:szCs w:val="21"/>
        </w:rPr>
        <w:t>5.质疑函的质疑请求应与质疑事项相关。</w:t>
      </w:r>
    </w:p>
    <w:p w14:paraId="178AA8A7">
      <w:pPr>
        <w:widowControl/>
        <w:spacing w:line="360" w:lineRule="auto"/>
        <w:ind w:left="420" w:firstLine="420" w:firstLineChars="200"/>
        <w:jc w:val="left"/>
        <w:rPr>
          <w:rFonts w:ascii="宋体" w:hAnsi="宋体" w:cs="宋体"/>
          <w:szCs w:val="21"/>
        </w:rPr>
      </w:pPr>
      <w:r>
        <w:rPr>
          <w:rFonts w:hint="eastAsia" w:ascii="宋体" w:hAnsi="宋体" w:cs="宋体"/>
          <w:szCs w:val="21"/>
        </w:rPr>
        <w:t>6.质疑投标人为自然人的，质疑函应由本人签字；质疑投标人为法人或者其他组织的，质疑函应由法定代表人、主要负责人，或者其授权代表签字或者盖章，并加盖公章。</w:t>
      </w:r>
    </w:p>
    <w:p w14:paraId="40F04152">
      <w:pPr>
        <w:widowControl/>
        <w:ind w:left="420" w:firstLine="480" w:firstLineChars="200"/>
        <w:jc w:val="left"/>
        <w:rPr>
          <w:rFonts w:ascii="仿宋_GB2312" w:eastAsia="仿宋_GB2312"/>
          <w:sz w:val="24"/>
        </w:rPr>
      </w:pPr>
    </w:p>
    <w:p w14:paraId="53553525"/>
    <w:p w14:paraId="025D3853">
      <w:pPr>
        <w:spacing w:line="360" w:lineRule="auto"/>
        <w:ind w:left="660" w:hanging="240"/>
        <w:rPr>
          <w:rFonts w:ascii="宋体" w:hAnsi="宋体" w:cs="仿宋_GB2312"/>
          <w:kern w:val="0"/>
          <w:sz w:val="24"/>
          <w:shd w:val="clear" w:color="auto" w:fill="FFFFFF"/>
          <w:lang w:bidi="ar"/>
        </w:rPr>
      </w:pPr>
    </w:p>
    <w:p w14:paraId="6B18E1C3">
      <w:pPr>
        <w:spacing w:line="360" w:lineRule="auto"/>
        <w:ind w:left="660" w:hanging="240"/>
        <w:rPr>
          <w:rFonts w:ascii="宋体" w:hAnsi="宋体" w:cs="仿宋_GB2312"/>
          <w:kern w:val="0"/>
          <w:sz w:val="24"/>
          <w:shd w:val="clear" w:color="auto" w:fill="FFFFFF"/>
          <w:lang w:bidi="ar"/>
        </w:rPr>
      </w:pPr>
    </w:p>
    <w:p w14:paraId="579ED384">
      <w:pPr>
        <w:spacing w:line="360" w:lineRule="auto"/>
        <w:ind w:left="660" w:hanging="240"/>
        <w:rPr>
          <w:rFonts w:ascii="宋体" w:hAnsi="宋体" w:cs="仿宋_GB2312"/>
          <w:kern w:val="0"/>
          <w:sz w:val="24"/>
          <w:shd w:val="clear" w:color="auto" w:fill="FFFFFF"/>
          <w:lang w:bidi="ar"/>
        </w:rPr>
      </w:pPr>
    </w:p>
    <w:p w14:paraId="70F00FFB">
      <w:pPr>
        <w:spacing w:line="360" w:lineRule="auto"/>
        <w:ind w:left="660" w:hanging="240"/>
        <w:rPr>
          <w:rFonts w:ascii="宋体" w:hAnsi="宋体" w:cs="仿宋_GB2312"/>
          <w:kern w:val="0"/>
          <w:sz w:val="24"/>
          <w:shd w:val="clear" w:color="auto" w:fill="FFFFFF"/>
          <w:lang w:bidi="ar"/>
        </w:rPr>
      </w:pPr>
    </w:p>
    <w:p w14:paraId="547C1B2D">
      <w:pPr>
        <w:spacing w:line="360" w:lineRule="auto"/>
        <w:ind w:left="660" w:hanging="240"/>
        <w:rPr>
          <w:rFonts w:ascii="宋体" w:hAnsi="宋体" w:cs="仿宋_GB2312"/>
          <w:kern w:val="0"/>
          <w:sz w:val="24"/>
          <w:shd w:val="clear" w:color="auto" w:fill="FFFFFF"/>
          <w:lang w:bidi="ar"/>
        </w:rPr>
      </w:pPr>
    </w:p>
    <w:p w14:paraId="62D264FF">
      <w:pPr>
        <w:spacing w:line="360" w:lineRule="auto"/>
        <w:ind w:left="660" w:hanging="240"/>
        <w:rPr>
          <w:rFonts w:ascii="宋体" w:hAnsi="宋体" w:cs="仿宋_GB2312"/>
          <w:kern w:val="0"/>
          <w:sz w:val="24"/>
          <w:shd w:val="clear" w:color="auto" w:fill="FFFFFF"/>
          <w:lang w:bidi="ar"/>
        </w:rPr>
      </w:pPr>
    </w:p>
    <w:p w14:paraId="174BAC74">
      <w:pPr>
        <w:spacing w:line="360" w:lineRule="auto"/>
        <w:ind w:left="660" w:hanging="240"/>
        <w:rPr>
          <w:rFonts w:ascii="宋体" w:hAnsi="宋体" w:cs="仿宋_GB2312"/>
          <w:kern w:val="0"/>
          <w:sz w:val="24"/>
          <w:shd w:val="clear" w:color="auto" w:fill="FFFFFF"/>
          <w:lang w:bidi="ar"/>
        </w:rPr>
      </w:pPr>
    </w:p>
    <w:p w14:paraId="15754BEB">
      <w:pPr>
        <w:spacing w:line="360" w:lineRule="auto"/>
        <w:ind w:left="660" w:hanging="240"/>
        <w:rPr>
          <w:rFonts w:ascii="宋体" w:hAnsi="宋体" w:cs="仿宋_GB2312"/>
          <w:kern w:val="0"/>
          <w:sz w:val="24"/>
          <w:shd w:val="clear" w:color="auto" w:fill="FFFFFF"/>
          <w:lang w:bidi="ar"/>
        </w:rPr>
      </w:pPr>
    </w:p>
    <w:p w14:paraId="7FD77BCE">
      <w:pPr>
        <w:spacing w:line="360" w:lineRule="auto"/>
        <w:ind w:left="660" w:hanging="240"/>
        <w:rPr>
          <w:rFonts w:ascii="宋体" w:hAnsi="宋体" w:cs="仿宋_GB2312"/>
          <w:kern w:val="0"/>
          <w:sz w:val="24"/>
          <w:shd w:val="clear" w:color="auto" w:fill="FFFFFF"/>
          <w:lang w:bidi="ar"/>
        </w:rPr>
      </w:pPr>
    </w:p>
    <w:p w14:paraId="6AA18D54">
      <w:pPr>
        <w:spacing w:line="360" w:lineRule="auto"/>
        <w:ind w:left="660" w:hanging="240"/>
        <w:rPr>
          <w:rFonts w:ascii="宋体" w:hAnsi="宋体" w:cs="仿宋_GB2312"/>
          <w:kern w:val="0"/>
          <w:sz w:val="24"/>
          <w:shd w:val="clear" w:color="auto" w:fill="FFFFFF"/>
          <w:lang w:bidi="ar"/>
        </w:rPr>
      </w:pPr>
    </w:p>
    <w:p w14:paraId="21BD15C8">
      <w:pPr>
        <w:spacing w:line="360" w:lineRule="auto"/>
        <w:ind w:left="660" w:hanging="240"/>
        <w:rPr>
          <w:rFonts w:ascii="宋体" w:hAnsi="宋体" w:cs="仿宋_GB2312"/>
          <w:kern w:val="0"/>
          <w:sz w:val="24"/>
          <w:shd w:val="clear" w:color="auto" w:fill="FFFFFF"/>
          <w:lang w:bidi="ar"/>
        </w:rPr>
      </w:pPr>
    </w:p>
    <w:p w14:paraId="64AB921D">
      <w:pPr>
        <w:spacing w:line="360" w:lineRule="auto"/>
        <w:ind w:left="660" w:hanging="240"/>
        <w:rPr>
          <w:rFonts w:ascii="宋体" w:hAnsi="宋体" w:cs="仿宋_GB2312"/>
          <w:kern w:val="0"/>
          <w:sz w:val="24"/>
          <w:shd w:val="clear" w:color="auto" w:fill="FFFFFF"/>
          <w:lang w:bidi="ar"/>
        </w:rPr>
      </w:pPr>
    </w:p>
    <w:p w14:paraId="64C044FB">
      <w:pPr>
        <w:spacing w:line="360" w:lineRule="auto"/>
        <w:ind w:left="660" w:hanging="240"/>
        <w:rPr>
          <w:rFonts w:ascii="宋体" w:hAnsi="宋体" w:cs="仿宋_GB2312"/>
          <w:kern w:val="0"/>
          <w:sz w:val="24"/>
          <w:shd w:val="clear" w:color="auto" w:fill="FFFFFF"/>
          <w:lang w:bidi="ar"/>
        </w:rPr>
      </w:pPr>
    </w:p>
    <w:p w14:paraId="3ABC9865">
      <w:pPr>
        <w:spacing w:line="360" w:lineRule="auto"/>
        <w:ind w:left="660" w:hanging="240"/>
        <w:rPr>
          <w:rFonts w:ascii="宋体" w:hAnsi="宋体" w:cs="仿宋_GB2312"/>
          <w:kern w:val="0"/>
          <w:sz w:val="24"/>
          <w:shd w:val="clear" w:color="auto" w:fill="FFFFFF"/>
          <w:lang w:bidi="ar"/>
        </w:rPr>
      </w:pPr>
    </w:p>
    <w:p w14:paraId="554FE34D">
      <w:pPr>
        <w:spacing w:line="360" w:lineRule="auto"/>
        <w:ind w:left="660" w:hanging="240"/>
        <w:rPr>
          <w:rFonts w:ascii="宋体" w:hAnsi="宋体" w:cs="仿宋_GB2312"/>
          <w:kern w:val="0"/>
          <w:sz w:val="24"/>
          <w:shd w:val="clear" w:color="auto" w:fill="FFFFFF"/>
          <w:lang w:bidi="ar"/>
        </w:rPr>
      </w:pPr>
    </w:p>
    <w:p w14:paraId="436D9016">
      <w:pPr>
        <w:spacing w:line="360" w:lineRule="auto"/>
        <w:ind w:left="660" w:hanging="240"/>
        <w:rPr>
          <w:rFonts w:ascii="宋体" w:hAnsi="宋体" w:cs="仿宋_GB2312"/>
          <w:kern w:val="0"/>
          <w:sz w:val="24"/>
          <w:shd w:val="clear" w:color="auto" w:fill="FFFFFF"/>
          <w:lang w:bidi="ar"/>
        </w:rPr>
      </w:pPr>
    </w:p>
    <w:p w14:paraId="42AC128C">
      <w:pPr>
        <w:spacing w:line="360" w:lineRule="auto"/>
        <w:ind w:left="660" w:hanging="240"/>
        <w:rPr>
          <w:rFonts w:ascii="宋体" w:hAnsi="宋体" w:cs="仿宋_GB2312"/>
          <w:kern w:val="0"/>
          <w:sz w:val="24"/>
          <w:shd w:val="clear" w:color="auto" w:fill="FFFFFF"/>
          <w:lang w:bidi="ar"/>
        </w:rPr>
      </w:pPr>
    </w:p>
    <w:p w14:paraId="4E11F6EA">
      <w:pPr>
        <w:spacing w:line="360" w:lineRule="auto"/>
        <w:ind w:left="660" w:hanging="240"/>
        <w:rPr>
          <w:rFonts w:ascii="宋体" w:hAnsi="宋体" w:cs="仿宋_GB2312"/>
          <w:kern w:val="0"/>
          <w:sz w:val="24"/>
          <w:shd w:val="clear" w:color="auto" w:fill="FFFFFF"/>
          <w:lang w:bidi="ar"/>
        </w:rPr>
      </w:pPr>
    </w:p>
    <w:p w14:paraId="2BB1279D">
      <w:pPr>
        <w:spacing w:line="360" w:lineRule="auto"/>
      </w:pPr>
    </w:p>
    <w:p w14:paraId="5224F628">
      <w:pPr>
        <w:spacing w:line="360" w:lineRule="auto"/>
        <w:ind w:left="701" w:hanging="281"/>
        <w:jc w:val="center"/>
        <w:outlineLvl w:val="1"/>
        <w:rPr>
          <w:rFonts w:ascii="黑体" w:hAnsi="黑体" w:eastAsia="黑体" w:cs="黑体"/>
          <w:b/>
          <w:sz w:val="28"/>
          <w:szCs w:val="28"/>
        </w:rPr>
      </w:pPr>
      <w:r>
        <w:rPr>
          <w:rFonts w:hint="eastAsia" w:ascii="黑体" w:hAnsi="黑体" w:eastAsia="黑体" w:cs="黑体"/>
          <w:b/>
          <w:sz w:val="28"/>
          <w:szCs w:val="28"/>
        </w:rPr>
        <w:t>二、中小企业划型标准规定</w:t>
      </w:r>
    </w:p>
    <w:p w14:paraId="701B1543">
      <w:pPr>
        <w:spacing w:line="360" w:lineRule="auto"/>
        <w:ind w:left="420" w:firstLine="420" w:firstLineChars="200"/>
      </w:pPr>
      <w:r>
        <w:t>一、根据《中华人民共和国中小企业促进法》和《国务院关于进一步促进中小企业发展的若干意见》(国发〔2009〕36 号)，制定本规定。</w:t>
      </w:r>
    </w:p>
    <w:p w14:paraId="757076C2">
      <w:pPr>
        <w:spacing w:line="360" w:lineRule="auto"/>
        <w:ind w:left="420" w:firstLine="420" w:firstLineChars="200"/>
      </w:pPr>
      <w:r>
        <w:t>二、中小企业划分为中型、小型、微型三种类型，具体标准根据企业从业人员、营业收入、资产总额等指标，结合行业特点制定。</w:t>
      </w:r>
    </w:p>
    <w:p w14:paraId="16642995">
      <w:pPr>
        <w:spacing w:line="360" w:lineRule="auto"/>
        <w:ind w:left="420" w:firstLine="420" w:firstLineChars="200"/>
      </w:pPr>
      <w: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w:t>
      </w:r>
    </w:p>
    <w:p w14:paraId="386C80A4">
      <w:pPr>
        <w:spacing w:line="360" w:lineRule="auto"/>
      </w:pPr>
      <w:r>
        <w:t>和娱乐业等）。</w:t>
      </w:r>
    </w:p>
    <w:p w14:paraId="7E5D4434">
      <w:pPr>
        <w:spacing w:line="360" w:lineRule="auto"/>
        <w:ind w:left="420" w:firstLine="420" w:firstLineChars="200"/>
      </w:pPr>
      <w:r>
        <w:t>四、各行业划型标准为：</w:t>
      </w:r>
    </w:p>
    <w:p w14:paraId="5423C56D">
      <w:pPr>
        <w:spacing w:line="360" w:lineRule="auto"/>
        <w:ind w:left="420" w:firstLine="420" w:firstLineChars="200"/>
      </w:pPr>
      <w:r>
        <w:t>（一）农、林、牧、渔业。营业收入20000 万元以下的为中小微型企业。其中，营业收入500 万元及以上的为中型企业，营业收入50 万元及以上的为小型企业，营业收入50 万元以下的为微型企业。</w:t>
      </w:r>
    </w:p>
    <w:p w14:paraId="49C3C274">
      <w:pPr>
        <w:spacing w:line="360" w:lineRule="auto"/>
        <w:ind w:left="420" w:firstLine="420" w:firstLineChars="200"/>
      </w:pPr>
      <w:r>
        <w:t>（二）工业。从业人员1000 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w:t>
      </w:r>
    </w:p>
    <w:p w14:paraId="3B6337A4">
      <w:pPr>
        <w:spacing w:line="360" w:lineRule="auto"/>
        <w:ind w:left="420" w:firstLine="420" w:firstLineChars="200"/>
      </w:pPr>
      <w:r>
        <w:t>（三）建筑业。营业收入80000 万元以下或资产总额80000 万元以下的为中小微型企业。其中，营业收入6000 万元及以上，且资产总额5000 万元及以上的为中型企业；营业收入300 万元及以上，且资产总额300 万元及以上的为小型企业；营业收入300 万元以下或资产总额300 万元以下的为微型企业。</w:t>
      </w:r>
    </w:p>
    <w:p w14:paraId="2CFB635C">
      <w:pPr>
        <w:spacing w:line="360" w:lineRule="auto"/>
        <w:ind w:left="420" w:firstLine="420" w:firstLineChars="200"/>
      </w:pPr>
      <w:r>
        <w:t>（四）批发业。从业人员200 人以下或营业收入40000 万元以下的为中小微型企业。其中，从业人员20 人及以上，且营业收入5000 万元及以上的为中型企业；从业人员5 人及以上，且营业收入1000 万元及以上的为小型企业；从业人员5 人以下或营业收入1000 万元以下的为微型企业。</w:t>
      </w:r>
    </w:p>
    <w:p w14:paraId="66FD6D9C">
      <w:pPr>
        <w:spacing w:line="360" w:lineRule="auto"/>
        <w:ind w:left="420" w:firstLine="420" w:firstLineChars="200"/>
      </w:pPr>
      <w:r>
        <w:t>（五）零售业。从业人员300 人以下或营业收入20000 万元以下的为中小微型企业。其中，从业人员50 人及以上，且营业收入500 万元及以上的为中型企业；从业人员10 人及以上，且营业收入100 万元及以上的为小型企业；从业人员10 人以下或营业收入100 万元以下的为微型企业。</w:t>
      </w:r>
    </w:p>
    <w:p w14:paraId="31D8788B">
      <w:pPr>
        <w:spacing w:line="360" w:lineRule="auto"/>
        <w:ind w:left="420" w:firstLine="420" w:firstLineChars="200"/>
      </w:pPr>
      <w:r>
        <w:t>（六）交通运输业。从业人员1000 人以下或营业收入30000 万元以下的为中小微型企业。其中，从业人员300 人及以上，且营业收入3000 万元及以上的为中型企业；从业人员20 人及以上，且营业收入200 万元及以上的为小型企业；从业人员20 人以下或营业收入200 万元以下的为微型企业。</w:t>
      </w:r>
    </w:p>
    <w:p w14:paraId="33BDE071">
      <w:pPr>
        <w:spacing w:line="360" w:lineRule="auto"/>
        <w:ind w:left="420" w:firstLine="420" w:firstLineChars="200"/>
      </w:pPr>
      <w:r>
        <w:t>（七）仓储业。从业人员200 人以下或营业收入30000 万元以下的为中小微型企业。其中，从业人员100 人及以上，且营业收入1000 万元及以上的为中型企业；从业人员20 人及以上，且营业收入100 万元及以上的为小型企业；从业人员20 人以下或营业收入100 万元以下的为微型企业。</w:t>
      </w:r>
    </w:p>
    <w:p w14:paraId="52949B79">
      <w:pPr>
        <w:spacing w:line="360" w:lineRule="auto"/>
        <w:ind w:left="420" w:firstLine="420" w:firstLineChars="200"/>
      </w:pPr>
      <w:r>
        <w:t>（八）邮政业。从业人员1000 人以下或营业收入30000 万元以下的为中小微型企业。其中，从业人员300 人及以上，且营业收入2000 万元及以上的为中型企业；从业人员20 人及以上，且营业收入100 万元及以上的为小型企业；从业人员20 人以下或营业收入100 万元以下的为微型企业。</w:t>
      </w:r>
    </w:p>
    <w:p w14:paraId="3926A4F4">
      <w:pPr>
        <w:spacing w:line="360" w:lineRule="auto"/>
        <w:ind w:left="420" w:firstLine="420" w:firstLineChars="200"/>
      </w:pPr>
      <w:r>
        <w:t>（九）住宿业。从业人员300 人以下或营业收入10000 万元以下的为中小微型企业。其中，从业人员100 人及以上，且营业收入2000 万元及以上的为中型企业；从业人员10 人及以上，且营业收入100 万元及以上的为小型企业；从业人员10 人以下或营业收入100 万元以下的为微型企业。</w:t>
      </w:r>
    </w:p>
    <w:p w14:paraId="0189E6CE">
      <w:pPr>
        <w:spacing w:line="360" w:lineRule="auto"/>
        <w:ind w:left="420" w:firstLine="420" w:firstLineChars="200"/>
      </w:pPr>
      <w:r>
        <w:t>（十）餐饮业。从业人员300 人以下或营业收入10000 万元以下的为中小微型企业。其中，从业人员100 人及以上，且营业收入2000 万元及以上的为中型企业；从业人员10 人及以上，且营业收入100 万元及以上的为小型企业；从业人员10 人以下或营业收入100 万元以下的为微型企业。</w:t>
      </w:r>
    </w:p>
    <w:p w14:paraId="14B9AB1A">
      <w:pPr>
        <w:spacing w:line="360" w:lineRule="auto"/>
        <w:ind w:left="420" w:firstLine="420" w:firstLineChars="200"/>
      </w:pPr>
      <w:r>
        <w:t>（十一）信息传输业。从业人员2000 人以下或营业收入100000 万元以下的为中小微型企业。其中，从业人员100 人及以上，且营业收入1000 万元及以上的为中型企业；从业人员10 人及以上，且营业收入100 万元及以上的为小型企业；从业人员10 人以下或营业收入100 万元以下的为微型企业。</w:t>
      </w:r>
    </w:p>
    <w:p w14:paraId="2BB052E9">
      <w:pPr>
        <w:spacing w:line="360" w:lineRule="auto"/>
        <w:ind w:left="420" w:firstLine="420" w:firstLineChars="200"/>
      </w:pPr>
      <w:r>
        <w:t>（十二）软件和信息技术服务业。从业人员300 人以下或营业收入10000万元以下的为中小微型企业。其中，从业人员100 人及以上，且营业收入1000万元及以上的为中型企业；从业人员10 人及以上，且营业收入50 万元及以上的为小型企业；从业人员10 人以下或营业收入50 万元以下的为微型企业。</w:t>
      </w:r>
    </w:p>
    <w:p w14:paraId="336C4AB5">
      <w:pPr>
        <w:spacing w:line="360" w:lineRule="auto"/>
        <w:ind w:left="420" w:firstLine="420" w:firstLineChars="200"/>
      </w:pPr>
      <w:r>
        <w:t>（十三）房地产开发经营。营业收入200000 万元以下或资产总额10000 万元以下的为中小微型企业。其中，营业收入1000 万元及以上，且资产总额5000万元及以上的为中型企业；营业收入100 万元及以上，且资产总额2000 万元及以上的为小型企业；营业收入100 万元以下或资产总额2000 万元以下的为微型企业。</w:t>
      </w:r>
    </w:p>
    <w:p w14:paraId="2313E916">
      <w:pPr>
        <w:spacing w:line="360" w:lineRule="auto"/>
        <w:ind w:left="420" w:firstLine="420" w:firstLineChars="200"/>
      </w:pPr>
      <w:r>
        <w:t>（十四）物业管理。从业人员1000 人以下或营业收入5000 万元以下的为中小微型企业。其中，从业人员300 人及以上，且营业收入1000 万元及以上的为中型企业；从业人员100 人及以上，且营业收入500 万元及以上的为小型企业；从业人员100 人以下或营业收入500 万元以下的为微型企业。</w:t>
      </w:r>
    </w:p>
    <w:p w14:paraId="0847EC98">
      <w:pPr>
        <w:spacing w:line="360" w:lineRule="auto"/>
        <w:ind w:left="420" w:firstLine="420" w:firstLineChars="200"/>
      </w:pPr>
      <w:r>
        <w:t>（十五）租赁和商务服务业。从业人员300 人以下或资产总额120000 万元以下的为中小微型企业。其中，从业人员100 人及以上，且资产总额8000 万元及以上的为中型企业；从业人员10 人及以上，且资产总额100 万元及以上的为小型企业；从业人员10 人以下或资产总额100 万元以下的为微型企业。</w:t>
      </w:r>
    </w:p>
    <w:p w14:paraId="62A65066">
      <w:pPr>
        <w:spacing w:line="360" w:lineRule="auto"/>
        <w:ind w:left="420" w:firstLine="420" w:firstLineChars="200"/>
      </w:pPr>
      <w:r>
        <w:t>（十六）其他未列明行业。从业人员300 人以下的为中小微型企业。其中，从业人员100 人及以上的为中型企业；从业人员10 人及以上的为小型企业；从业人员10 人以下的为微型企业。</w:t>
      </w:r>
    </w:p>
    <w:p w14:paraId="2385E47A">
      <w:pPr>
        <w:spacing w:line="360" w:lineRule="auto"/>
        <w:ind w:left="420" w:firstLine="420" w:firstLineChars="200"/>
      </w:pPr>
      <w:r>
        <w:t>五、企业类型的划分以统计部门的统计数据为依据。</w:t>
      </w:r>
    </w:p>
    <w:p w14:paraId="674256CA">
      <w:pPr>
        <w:spacing w:line="360" w:lineRule="auto"/>
        <w:ind w:left="420" w:firstLine="420" w:firstLineChars="200"/>
      </w:pPr>
      <w:r>
        <w:t>六、本规定适用于在中华人民共和国境内依法设立的各类所有制和各种组织形式的企业。个体工商户和本规定以外的行业，参照本规定进行划型。</w:t>
      </w:r>
    </w:p>
    <w:p w14:paraId="5453B3A9">
      <w:pPr>
        <w:spacing w:line="360" w:lineRule="auto"/>
        <w:ind w:left="420" w:firstLine="420" w:firstLineChars="200"/>
      </w:pPr>
      <w:r>
        <w:t>七、本规定的中型企业标准上限即为大型企业标准的下限，国家统计部门据此制定大中小微型企业的统计分类。国务院有关部门据此进行相关数据分析，不得制定与本规定不一致的企业划型标准。</w:t>
      </w:r>
    </w:p>
    <w:p w14:paraId="290BAFFF">
      <w:pPr>
        <w:spacing w:line="360" w:lineRule="auto"/>
        <w:ind w:left="420" w:firstLine="420" w:firstLineChars="200"/>
      </w:pPr>
      <w:r>
        <w:t>八、本规定由工业和信息化部、国家统计局会同有关部门根据《国民经济行业分类》修订情况和企业发展变化情况适时修订。</w:t>
      </w:r>
    </w:p>
    <w:p w14:paraId="1382C124">
      <w:pPr>
        <w:spacing w:line="360" w:lineRule="auto"/>
        <w:ind w:left="420" w:firstLine="420" w:firstLineChars="200"/>
      </w:pPr>
      <w:r>
        <w:t>九、本规定由工业和信息化部、国家统计局会同有关部门负责解释。</w:t>
      </w:r>
    </w:p>
    <w:p w14:paraId="732C001B">
      <w:pPr>
        <w:spacing w:line="360" w:lineRule="auto"/>
        <w:ind w:left="420" w:firstLine="420" w:firstLineChars="200"/>
      </w:pPr>
      <w:r>
        <w:t>十、本规定自发布之日起执行，原国家经贸委、原国家计委、财政部和国家统计局2003 年颁布的《中小企业标准暂行规定》同时废止。</w:t>
      </w:r>
    </w:p>
    <w:p w14:paraId="39BB64FE">
      <w:pPr>
        <w:spacing w:line="360" w:lineRule="auto"/>
        <w:ind w:left="420" w:firstLine="420" w:firstLineChars="200"/>
      </w:pPr>
    </w:p>
    <w:p w14:paraId="1725B586">
      <w:r>
        <w:t>======================================================================</w:t>
      </w:r>
    </w:p>
    <w:p w14:paraId="2B9F8611"/>
    <w:p w14:paraId="6B103DA2"/>
    <w:p w14:paraId="5288CF22">
      <w:pPr>
        <w:pStyle w:val="23"/>
        <w:ind w:left="700" w:hanging="280"/>
      </w:pPr>
    </w:p>
    <w:p w14:paraId="20566EBE">
      <w:pPr>
        <w:spacing w:line="540" w:lineRule="exact"/>
        <w:ind w:left="701" w:hanging="281"/>
        <w:contextualSpacing/>
        <w:jc w:val="center"/>
        <w:outlineLvl w:val="1"/>
        <w:rPr>
          <w:rFonts w:ascii="黑体" w:hAnsi="黑体" w:eastAsia="黑体" w:cs="黑体"/>
          <w:b/>
          <w:sz w:val="28"/>
          <w:szCs w:val="28"/>
        </w:rPr>
      </w:pPr>
      <w:r>
        <w:rPr>
          <w:rFonts w:hint="eastAsia" w:ascii="黑体" w:hAnsi="黑体" w:eastAsia="黑体" w:cs="黑体"/>
          <w:b/>
          <w:sz w:val="28"/>
          <w:szCs w:val="28"/>
        </w:rPr>
        <w:t>三、政 采 贷</w:t>
      </w:r>
    </w:p>
    <w:p w14:paraId="6A037FDE">
      <w:pPr>
        <w:spacing w:line="540" w:lineRule="exact"/>
        <w:ind w:left="420" w:firstLine="420" w:firstLineChars="200"/>
        <w:contextualSpacing/>
        <w:rPr>
          <w:rFonts w:ascii="宋体" w:hAnsi="宋体" w:cs="宋体"/>
          <w:szCs w:val="21"/>
        </w:rPr>
      </w:pPr>
      <w:r>
        <w:rPr>
          <w:rFonts w:hint="eastAsia" w:ascii="宋体" w:hAnsi="宋体" w:cs="宋体"/>
          <w:szCs w:val="21"/>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60"/>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6DB4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58234D87">
            <w:pPr>
              <w:spacing w:line="400" w:lineRule="exact"/>
              <w:contextualSpacing/>
              <w:rPr>
                <w:rFonts w:ascii="宋体" w:hAnsi="宋体" w:cs="宋体"/>
                <w:szCs w:val="21"/>
              </w:rPr>
            </w:pPr>
            <w:r>
              <w:rPr>
                <w:rFonts w:hint="eastAsia" w:ascii="宋体" w:hAnsi="宋体" w:cs="宋体"/>
                <w:szCs w:val="21"/>
              </w:rPr>
              <w:t>舟山市政府采购信用融资合作银行</w:t>
            </w:r>
          </w:p>
        </w:tc>
      </w:tr>
      <w:tr w14:paraId="2944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14:paraId="1230A5F0">
            <w:pPr>
              <w:spacing w:line="400" w:lineRule="exact"/>
              <w:contextualSpacing/>
              <w:jc w:val="center"/>
              <w:rPr>
                <w:rFonts w:ascii="宋体" w:hAnsi="宋体" w:cs="宋体"/>
                <w:szCs w:val="21"/>
              </w:rPr>
            </w:pPr>
            <w:r>
              <w:rPr>
                <w:rFonts w:hint="eastAsia" w:ascii="宋体" w:hAnsi="宋体" w:cs="宋体"/>
                <w:szCs w:val="21"/>
              </w:rPr>
              <w:t>银行名称</w:t>
            </w:r>
          </w:p>
        </w:tc>
        <w:tc>
          <w:tcPr>
            <w:tcW w:w="3975" w:type="dxa"/>
            <w:vAlign w:val="center"/>
          </w:tcPr>
          <w:p w14:paraId="41A3D5DD">
            <w:pPr>
              <w:spacing w:line="400" w:lineRule="exact"/>
              <w:contextualSpacing/>
              <w:jc w:val="center"/>
              <w:rPr>
                <w:rFonts w:ascii="宋体" w:hAnsi="宋体" w:cs="宋体"/>
                <w:szCs w:val="21"/>
              </w:rPr>
            </w:pPr>
            <w:r>
              <w:rPr>
                <w:rFonts w:hint="eastAsia" w:ascii="宋体" w:hAnsi="宋体" w:cs="宋体"/>
                <w:szCs w:val="21"/>
              </w:rPr>
              <w:t>各银行介绍的产品特点</w:t>
            </w:r>
          </w:p>
        </w:tc>
        <w:tc>
          <w:tcPr>
            <w:tcW w:w="2220" w:type="dxa"/>
            <w:vAlign w:val="center"/>
          </w:tcPr>
          <w:p w14:paraId="2DF4BC88">
            <w:pPr>
              <w:spacing w:line="400" w:lineRule="exact"/>
              <w:contextualSpacing/>
              <w:jc w:val="center"/>
              <w:rPr>
                <w:rFonts w:ascii="宋体" w:hAnsi="宋体" w:cs="宋体"/>
                <w:szCs w:val="21"/>
              </w:rPr>
            </w:pPr>
            <w:r>
              <w:rPr>
                <w:rFonts w:hint="eastAsia" w:ascii="宋体" w:hAnsi="宋体" w:cs="宋体"/>
                <w:szCs w:val="21"/>
              </w:rPr>
              <w:t>经办人</w:t>
            </w:r>
          </w:p>
        </w:tc>
        <w:tc>
          <w:tcPr>
            <w:tcW w:w="1908" w:type="dxa"/>
            <w:vAlign w:val="center"/>
          </w:tcPr>
          <w:p w14:paraId="0851A759">
            <w:pPr>
              <w:spacing w:line="400" w:lineRule="exact"/>
              <w:contextualSpacing/>
              <w:jc w:val="center"/>
              <w:rPr>
                <w:rFonts w:ascii="宋体" w:hAnsi="宋体" w:cs="宋体"/>
                <w:szCs w:val="21"/>
              </w:rPr>
            </w:pPr>
            <w:r>
              <w:rPr>
                <w:rFonts w:hint="eastAsia" w:ascii="宋体" w:hAnsi="宋体" w:cs="宋体"/>
                <w:szCs w:val="21"/>
              </w:rPr>
              <w:t>联系方式</w:t>
            </w:r>
          </w:p>
        </w:tc>
      </w:tr>
      <w:tr w14:paraId="6B86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2A95CC1">
            <w:pPr>
              <w:spacing w:line="400" w:lineRule="exact"/>
              <w:contextualSpacing/>
              <w:rPr>
                <w:rFonts w:ascii="宋体" w:hAnsi="宋体" w:cs="宋体"/>
                <w:szCs w:val="21"/>
              </w:rPr>
            </w:pPr>
            <w:r>
              <w:rPr>
                <w:rFonts w:hint="eastAsia" w:ascii="宋体" w:hAnsi="宋体" w:cs="宋体"/>
                <w:szCs w:val="21"/>
              </w:rPr>
              <w:t>中国工商银行股份有限公司舟山分行</w:t>
            </w:r>
          </w:p>
        </w:tc>
        <w:tc>
          <w:tcPr>
            <w:tcW w:w="3975" w:type="dxa"/>
          </w:tcPr>
          <w:p w14:paraId="63B7F503">
            <w:pPr>
              <w:numPr>
                <w:ilvl w:val="0"/>
                <w:numId w:val="16"/>
              </w:numPr>
              <w:spacing w:line="400" w:lineRule="exact"/>
              <w:contextualSpacing/>
              <w:rPr>
                <w:rFonts w:ascii="宋体" w:hAnsi="宋体" w:cs="宋体"/>
                <w:szCs w:val="21"/>
              </w:rPr>
            </w:pPr>
            <w:r>
              <w:rPr>
                <w:rFonts w:hint="eastAsia" w:ascii="宋体" w:hAnsi="宋体" w:cs="宋体"/>
                <w:szCs w:val="21"/>
              </w:rPr>
              <w:t>融资额度高，融资金额最高可至订单金额70%，线上申请，随借随还。2.融资利率低，最低可至当期LPR利率。</w:t>
            </w:r>
          </w:p>
          <w:p w14:paraId="7C318525">
            <w:pPr>
              <w:spacing w:line="400" w:lineRule="exact"/>
              <w:contextualSpacing/>
              <w:rPr>
                <w:rFonts w:ascii="宋体" w:hAnsi="宋体" w:cs="宋体"/>
                <w:szCs w:val="21"/>
              </w:rPr>
            </w:pPr>
            <w:r>
              <w:rPr>
                <w:rFonts w:hint="eastAsia" w:ascii="宋体" w:hAnsi="宋体" w:cs="宋体"/>
                <w:szCs w:val="21"/>
              </w:rPr>
              <w:t>3.担保方式灵活，以政府采购合同进行融资，无需另外抵押。</w:t>
            </w:r>
          </w:p>
        </w:tc>
        <w:tc>
          <w:tcPr>
            <w:tcW w:w="2220" w:type="dxa"/>
            <w:vAlign w:val="center"/>
          </w:tcPr>
          <w:p w14:paraId="3E398A77">
            <w:pPr>
              <w:spacing w:line="400" w:lineRule="exact"/>
              <w:contextualSpacing/>
              <w:jc w:val="center"/>
              <w:rPr>
                <w:rFonts w:ascii="宋体" w:hAnsi="宋体" w:cs="宋体"/>
                <w:szCs w:val="21"/>
              </w:rPr>
            </w:pPr>
            <w:r>
              <w:rPr>
                <w:rFonts w:hint="eastAsia" w:ascii="宋体" w:hAnsi="宋体" w:cs="宋体"/>
                <w:szCs w:val="21"/>
              </w:rPr>
              <w:t>柳超颖</w:t>
            </w:r>
          </w:p>
        </w:tc>
        <w:tc>
          <w:tcPr>
            <w:tcW w:w="1908" w:type="dxa"/>
            <w:vAlign w:val="center"/>
          </w:tcPr>
          <w:p w14:paraId="17FCB90C">
            <w:pPr>
              <w:spacing w:line="400" w:lineRule="exact"/>
              <w:contextualSpacing/>
              <w:rPr>
                <w:rFonts w:ascii="宋体" w:hAnsi="宋体" w:cs="宋体"/>
                <w:szCs w:val="21"/>
              </w:rPr>
            </w:pPr>
            <w:r>
              <w:rPr>
                <w:rFonts w:hint="eastAsia" w:ascii="宋体" w:hAnsi="宋体" w:cs="宋体"/>
                <w:szCs w:val="21"/>
              </w:rPr>
              <w:t>0580-2166242, 15858076468</w:t>
            </w:r>
          </w:p>
        </w:tc>
      </w:tr>
      <w:tr w14:paraId="6951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21ABD62E">
            <w:pPr>
              <w:spacing w:line="400" w:lineRule="exact"/>
              <w:contextualSpacing/>
              <w:rPr>
                <w:rFonts w:ascii="宋体" w:hAnsi="宋体" w:cs="宋体"/>
                <w:szCs w:val="21"/>
              </w:rPr>
            </w:pPr>
            <w:r>
              <w:rPr>
                <w:rFonts w:hint="eastAsia" w:ascii="宋体" w:hAnsi="宋体" w:cs="宋体"/>
                <w:szCs w:val="21"/>
              </w:rPr>
              <w:t>中国建设银行股份有限公司舟山分行</w:t>
            </w:r>
          </w:p>
        </w:tc>
        <w:tc>
          <w:tcPr>
            <w:tcW w:w="3975" w:type="dxa"/>
          </w:tcPr>
          <w:p w14:paraId="57052193">
            <w:pPr>
              <w:numPr>
                <w:ilvl w:val="0"/>
                <w:numId w:val="17"/>
              </w:numPr>
              <w:spacing w:line="400" w:lineRule="exact"/>
              <w:contextualSpacing/>
              <w:rPr>
                <w:rFonts w:ascii="宋体" w:hAnsi="宋体" w:cs="宋体"/>
                <w:szCs w:val="21"/>
              </w:rPr>
            </w:pPr>
            <w:r>
              <w:rPr>
                <w:rFonts w:hint="eastAsia" w:ascii="宋体" w:hAnsi="宋体" w:cs="宋体"/>
                <w:szCs w:val="21"/>
              </w:rPr>
              <w:t>快速便捷：全流程线上操作，通过浙江省政府采购网数据审核信用额度，建行供应链平台快速放款。</w:t>
            </w:r>
          </w:p>
          <w:p w14:paraId="123D3F73">
            <w:pPr>
              <w:numPr>
                <w:ilvl w:val="0"/>
                <w:numId w:val="17"/>
              </w:numPr>
              <w:spacing w:line="400" w:lineRule="exact"/>
              <w:contextualSpacing/>
              <w:rPr>
                <w:rFonts w:ascii="宋体" w:hAnsi="宋体" w:cs="宋体"/>
                <w:szCs w:val="21"/>
              </w:rPr>
            </w:pPr>
            <w:r>
              <w:rPr>
                <w:rFonts w:hint="eastAsia" w:ascii="宋体" w:hAnsi="宋体" w:cs="宋体"/>
                <w:szCs w:val="21"/>
              </w:rPr>
              <w:t>申请额度高：单笔融资额度最高可达政府采购合同金额的90%，单户额度最高可达3000万。</w:t>
            </w:r>
          </w:p>
          <w:p w14:paraId="00FD2E20">
            <w:pPr>
              <w:numPr>
                <w:ilvl w:val="0"/>
                <w:numId w:val="17"/>
              </w:numPr>
              <w:spacing w:line="400" w:lineRule="exact"/>
              <w:contextualSpacing/>
              <w:rPr>
                <w:rFonts w:ascii="宋体" w:hAnsi="宋体" w:cs="宋体"/>
                <w:szCs w:val="21"/>
              </w:rPr>
            </w:pPr>
            <w:r>
              <w:rPr>
                <w:rFonts w:hint="eastAsia" w:ascii="宋体" w:hAnsi="宋体" w:cs="宋体"/>
                <w:szCs w:val="21"/>
              </w:rPr>
              <w:t>无需额外抵押：以浙江省政府采购网备案公示的政府采购合同进行融资，无需额外抵押担保。</w:t>
            </w:r>
          </w:p>
          <w:p w14:paraId="65813816">
            <w:pPr>
              <w:numPr>
                <w:ilvl w:val="0"/>
                <w:numId w:val="17"/>
              </w:numPr>
              <w:spacing w:line="400" w:lineRule="exact"/>
              <w:contextualSpacing/>
              <w:rPr>
                <w:rFonts w:ascii="宋体" w:hAnsi="宋体" w:cs="宋体"/>
                <w:szCs w:val="21"/>
              </w:rPr>
            </w:pPr>
            <w:r>
              <w:rPr>
                <w:rFonts w:hint="eastAsia" w:ascii="宋体" w:hAnsi="宋体" w:cs="宋体"/>
                <w:szCs w:val="21"/>
              </w:rPr>
              <w:t>利率优惠：给予流动资金贷款最优惠利率。</w:t>
            </w:r>
          </w:p>
        </w:tc>
        <w:tc>
          <w:tcPr>
            <w:tcW w:w="2220" w:type="dxa"/>
            <w:vAlign w:val="center"/>
          </w:tcPr>
          <w:p w14:paraId="2C2F136D">
            <w:pPr>
              <w:spacing w:line="400" w:lineRule="exact"/>
              <w:contextualSpacing/>
              <w:jc w:val="center"/>
              <w:rPr>
                <w:rFonts w:ascii="宋体" w:hAnsi="宋体" w:cs="宋体"/>
                <w:szCs w:val="21"/>
              </w:rPr>
            </w:pPr>
            <w:r>
              <w:rPr>
                <w:rFonts w:hint="eastAsia" w:ascii="宋体" w:hAnsi="宋体" w:cs="宋体"/>
                <w:szCs w:val="21"/>
              </w:rPr>
              <w:t>普陀片区：蔡妮妮</w:t>
            </w:r>
          </w:p>
          <w:p w14:paraId="2BB16D54">
            <w:pPr>
              <w:spacing w:line="400" w:lineRule="exact"/>
              <w:contextualSpacing/>
              <w:jc w:val="center"/>
              <w:rPr>
                <w:rFonts w:ascii="宋体" w:hAnsi="宋体" w:cs="宋体"/>
                <w:szCs w:val="21"/>
              </w:rPr>
            </w:pPr>
            <w:r>
              <w:rPr>
                <w:rFonts w:hint="eastAsia" w:ascii="宋体" w:hAnsi="宋体" w:cs="宋体"/>
                <w:szCs w:val="21"/>
              </w:rPr>
              <w:t>定海片区：杨莹</w:t>
            </w:r>
          </w:p>
          <w:p w14:paraId="39B3B6AB">
            <w:pPr>
              <w:spacing w:line="400" w:lineRule="exact"/>
              <w:contextualSpacing/>
              <w:jc w:val="center"/>
              <w:rPr>
                <w:rFonts w:ascii="宋体" w:hAnsi="宋体" w:cs="宋体"/>
                <w:szCs w:val="21"/>
              </w:rPr>
            </w:pPr>
            <w:r>
              <w:rPr>
                <w:rFonts w:hint="eastAsia" w:ascii="宋体" w:hAnsi="宋体" w:cs="宋体"/>
                <w:szCs w:val="21"/>
              </w:rPr>
              <w:t>自贸区片区：方晓</w:t>
            </w:r>
          </w:p>
        </w:tc>
        <w:tc>
          <w:tcPr>
            <w:tcW w:w="1908" w:type="dxa"/>
            <w:vAlign w:val="center"/>
          </w:tcPr>
          <w:p w14:paraId="53AF6314">
            <w:pPr>
              <w:spacing w:line="400" w:lineRule="exact"/>
              <w:contextualSpacing/>
              <w:rPr>
                <w:rFonts w:ascii="宋体" w:hAnsi="宋体" w:cs="宋体"/>
                <w:szCs w:val="21"/>
              </w:rPr>
            </w:pPr>
            <w:r>
              <w:rPr>
                <w:rFonts w:hint="eastAsia" w:ascii="宋体" w:hAnsi="宋体" w:cs="宋体"/>
                <w:szCs w:val="21"/>
              </w:rPr>
              <w:t>普陀片区：13957201791</w:t>
            </w:r>
          </w:p>
          <w:p w14:paraId="479F430A">
            <w:pPr>
              <w:spacing w:line="400" w:lineRule="exact"/>
              <w:contextualSpacing/>
              <w:rPr>
                <w:rFonts w:ascii="宋体" w:hAnsi="宋体" w:cs="宋体"/>
                <w:szCs w:val="21"/>
              </w:rPr>
            </w:pPr>
            <w:r>
              <w:rPr>
                <w:rFonts w:hint="eastAsia" w:ascii="宋体" w:hAnsi="宋体" w:cs="宋体"/>
                <w:szCs w:val="21"/>
              </w:rPr>
              <w:t>定海片区：13655803997</w:t>
            </w:r>
          </w:p>
          <w:p w14:paraId="733F9A23">
            <w:pPr>
              <w:spacing w:line="400" w:lineRule="exact"/>
              <w:contextualSpacing/>
              <w:rPr>
                <w:rFonts w:ascii="宋体" w:hAnsi="宋体" w:cs="宋体"/>
                <w:szCs w:val="21"/>
              </w:rPr>
            </w:pPr>
            <w:r>
              <w:rPr>
                <w:rFonts w:hint="eastAsia" w:ascii="宋体" w:hAnsi="宋体" w:cs="宋体"/>
                <w:szCs w:val="21"/>
              </w:rPr>
              <w:t>自贸区片区：13587086324</w:t>
            </w:r>
          </w:p>
        </w:tc>
      </w:tr>
      <w:tr w14:paraId="269A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8EA22EB">
            <w:pPr>
              <w:spacing w:line="400" w:lineRule="exact"/>
              <w:contextualSpacing/>
              <w:rPr>
                <w:rFonts w:ascii="宋体" w:hAnsi="宋体" w:cs="宋体"/>
                <w:szCs w:val="21"/>
              </w:rPr>
            </w:pPr>
            <w:r>
              <w:rPr>
                <w:rFonts w:hint="eastAsia" w:ascii="宋体" w:hAnsi="宋体" w:cs="宋体"/>
                <w:szCs w:val="21"/>
              </w:rPr>
              <w:t>杭州银行股份有限公司舟山市分行</w:t>
            </w:r>
          </w:p>
        </w:tc>
        <w:tc>
          <w:tcPr>
            <w:tcW w:w="3975" w:type="dxa"/>
          </w:tcPr>
          <w:p w14:paraId="62166063">
            <w:pPr>
              <w:spacing w:line="400" w:lineRule="exact"/>
              <w:contextualSpacing/>
              <w:rPr>
                <w:rFonts w:ascii="宋体" w:hAnsi="宋体" w:cs="宋体"/>
                <w:szCs w:val="21"/>
              </w:rPr>
            </w:pPr>
            <w:r>
              <w:rPr>
                <w:rFonts w:hint="eastAsia" w:ascii="宋体" w:hAnsi="宋体" w:cs="宋体"/>
                <w:szCs w:val="21"/>
              </w:rPr>
              <w:t>“云采贷”是杭州银行为政府采购投标人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583D927B">
            <w:pPr>
              <w:spacing w:line="400" w:lineRule="exact"/>
              <w:contextualSpacing/>
              <w:jc w:val="center"/>
              <w:rPr>
                <w:rFonts w:ascii="宋体" w:hAnsi="宋体" w:cs="宋体"/>
                <w:szCs w:val="21"/>
              </w:rPr>
            </w:pPr>
            <w:r>
              <w:rPr>
                <w:rFonts w:hint="eastAsia" w:ascii="宋体" w:hAnsi="宋体" w:cs="宋体"/>
                <w:szCs w:val="21"/>
              </w:rPr>
              <w:t>方经理</w:t>
            </w:r>
          </w:p>
        </w:tc>
        <w:tc>
          <w:tcPr>
            <w:tcW w:w="1908" w:type="dxa"/>
            <w:vAlign w:val="center"/>
          </w:tcPr>
          <w:p w14:paraId="0BA81BB8">
            <w:pPr>
              <w:spacing w:line="400" w:lineRule="exact"/>
              <w:contextualSpacing/>
              <w:rPr>
                <w:rFonts w:ascii="宋体" w:hAnsi="宋体" w:cs="宋体"/>
                <w:szCs w:val="21"/>
              </w:rPr>
            </w:pPr>
            <w:r>
              <w:rPr>
                <w:rFonts w:hint="eastAsia" w:ascii="宋体" w:hAnsi="宋体" w:cs="宋体"/>
                <w:szCs w:val="21"/>
              </w:rPr>
              <w:t>0580-2185201，18205800451</w:t>
            </w:r>
          </w:p>
        </w:tc>
      </w:tr>
      <w:tr w14:paraId="0FE6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264FC64">
            <w:pPr>
              <w:spacing w:line="400" w:lineRule="exact"/>
              <w:contextualSpacing/>
              <w:rPr>
                <w:rFonts w:ascii="宋体" w:hAnsi="宋体" w:cs="宋体"/>
                <w:szCs w:val="21"/>
              </w:rPr>
            </w:pPr>
            <w:r>
              <w:rPr>
                <w:rFonts w:hint="eastAsia" w:ascii="宋体" w:hAnsi="宋体" w:cs="宋体"/>
                <w:szCs w:val="21"/>
              </w:rPr>
              <w:t>招商银行股份有限公司浙江自贸试验区舟山分行</w:t>
            </w:r>
          </w:p>
        </w:tc>
        <w:tc>
          <w:tcPr>
            <w:tcW w:w="3975" w:type="dxa"/>
          </w:tcPr>
          <w:p w14:paraId="4CEE982D">
            <w:pPr>
              <w:spacing w:line="400" w:lineRule="exact"/>
              <w:rPr>
                <w:rFonts w:ascii="宋体" w:hAnsi="宋体" w:cs="宋体"/>
                <w:szCs w:val="21"/>
              </w:rPr>
            </w:pPr>
            <w:r>
              <w:rPr>
                <w:rFonts w:hint="eastAsia" w:ascii="宋体" w:hAnsi="宋体" w:cs="宋体"/>
                <w:szCs w:val="21"/>
              </w:rPr>
              <w:t>小企业政采贷是招商银行为政府采购成交投标人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3CEEFE33">
            <w:pPr>
              <w:spacing w:line="400" w:lineRule="exact"/>
              <w:contextualSpacing/>
              <w:jc w:val="center"/>
              <w:rPr>
                <w:rFonts w:ascii="宋体" w:hAnsi="宋体" w:cs="宋体"/>
                <w:szCs w:val="21"/>
              </w:rPr>
            </w:pPr>
            <w:r>
              <w:rPr>
                <w:rFonts w:hint="eastAsia" w:ascii="宋体" w:hAnsi="宋体" w:cs="宋体"/>
                <w:szCs w:val="21"/>
              </w:rPr>
              <w:t>李玲</w:t>
            </w:r>
          </w:p>
        </w:tc>
        <w:tc>
          <w:tcPr>
            <w:tcW w:w="1908" w:type="dxa"/>
            <w:vAlign w:val="center"/>
          </w:tcPr>
          <w:p w14:paraId="02D8D85E">
            <w:pPr>
              <w:spacing w:line="400" w:lineRule="exact"/>
              <w:contextualSpacing/>
              <w:rPr>
                <w:rFonts w:ascii="宋体" w:hAnsi="宋体" w:cs="宋体"/>
                <w:szCs w:val="21"/>
              </w:rPr>
            </w:pPr>
            <w:r>
              <w:rPr>
                <w:rFonts w:hint="eastAsia" w:ascii="宋体" w:hAnsi="宋体" w:cs="宋体"/>
                <w:szCs w:val="21"/>
              </w:rPr>
              <w:t>0580-2061710，13957227971</w:t>
            </w:r>
          </w:p>
        </w:tc>
      </w:tr>
      <w:tr w14:paraId="57E4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02DD04B4">
            <w:pPr>
              <w:spacing w:line="400" w:lineRule="exact"/>
              <w:contextualSpacing/>
              <w:rPr>
                <w:rFonts w:ascii="宋体" w:hAnsi="宋体" w:cs="宋体"/>
                <w:szCs w:val="21"/>
              </w:rPr>
            </w:pPr>
            <w:r>
              <w:rPr>
                <w:rFonts w:hint="eastAsia" w:ascii="宋体" w:hAnsi="宋体" w:cs="宋体"/>
                <w:szCs w:val="21"/>
              </w:rPr>
              <w:t>温州银行股份有限公司舟山市分行</w:t>
            </w:r>
          </w:p>
        </w:tc>
        <w:tc>
          <w:tcPr>
            <w:tcW w:w="3975" w:type="dxa"/>
          </w:tcPr>
          <w:p w14:paraId="333A6468">
            <w:pPr>
              <w:numPr>
                <w:ilvl w:val="0"/>
                <w:numId w:val="18"/>
              </w:numPr>
              <w:spacing w:line="400" w:lineRule="exact"/>
              <w:contextualSpacing/>
              <w:rPr>
                <w:rFonts w:ascii="宋体" w:hAnsi="宋体" w:cs="宋体"/>
                <w:szCs w:val="21"/>
              </w:rPr>
            </w:pPr>
            <w:r>
              <w:rPr>
                <w:rFonts w:hint="eastAsia" w:ascii="宋体" w:hAnsi="宋体" w:cs="宋体"/>
                <w:szCs w:val="21"/>
              </w:rPr>
              <w:t>单户授信敞口最高不超过1000万元，且最高额度核定一般不超过借款人（含实际控制人控制的其他经营实体）最近13个月合计有效中标合同金额的70%。</w:t>
            </w:r>
          </w:p>
          <w:p w14:paraId="016095FE">
            <w:pPr>
              <w:numPr>
                <w:ilvl w:val="0"/>
                <w:numId w:val="18"/>
              </w:numPr>
              <w:spacing w:line="400" w:lineRule="exact"/>
              <w:contextualSpacing/>
              <w:rPr>
                <w:rFonts w:ascii="宋体" w:hAnsi="宋体" w:cs="宋体"/>
                <w:szCs w:val="21"/>
              </w:rPr>
            </w:pPr>
            <w:r>
              <w:rPr>
                <w:rFonts w:hint="eastAsia" w:ascii="宋体" w:hAnsi="宋体" w:cs="宋体"/>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58E094C9">
            <w:pPr>
              <w:numPr>
                <w:ilvl w:val="0"/>
                <w:numId w:val="18"/>
              </w:numPr>
              <w:spacing w:line="400" w:lineRule="exact"/>
              <w:contextualSpacing/>
              <w:rPr>
                <w:rFonts w:ascii="宋体" w:hAnsi="宋体" w:cs="宋体"/>
                <w:szCs w:val="21"/>
              </w:rPr>
            </w:pPr>
            <w:r>
              <w:rPr>
                <w:rFonts w:hint="eastAsia" w:ascii="宋体" w:hAnsi="宋体" w:cs="宋体"/>
                <w:szCs w:val="21"/>
              </w:rPr>
              <w:t>借款人中标采购人自行采购项目并向我行发起授信申请的，单笔业务授信敞口不超500万元，且不超过借款人中标通知书承载的中标金额或本次申请授信提供的采购合同的80%。</w:t>
            </w:r>
          </w:p>
          <w:p w14:paraId="21DECA28">
            <w:pPr>
              <w:numPr>
                <w:ilvl w:val="0"/>
                <w:numId w:val="18"/>
              </w:numPr>
              <w:spacing w:line="400" w:lineRule="exact"/>
              <w:contextualSpacing/>
              <w:rPr>
                <w:rFonts w:ascii="宋体" w:hAnsi="宋体" w:cs="宋体"/>
                <w:szCs w:val="21"/>
              </w:rPr>
            </w:pPr>
            <w:r>
              <w:rPr>
                <w:rFonts w:hint="eastAsia" w:ascii="宋体" w:hAnsi="宋体" w:cs="宋体"/>
                <w:szCs w:val="21"/>
              </w:rPr>
              <w:t>符合我行采购人资质的，且负债率不超75%，配合应收账款质押登记确认的，并可出具确认函，单笔借款额度可按不超过采购合同的90%办理。</w:t>
            </w:r>
          </w:p>
        </w:tc>
        <w:tc>
          <w:tcPr>
            <w:tcW w:w="2220" w:type="dxa"/>
            <w:vAlign w:val="center"/>
          </w:tcPr>
          <w:p w14:paraId="586045E7">
            <w:pPr>
              <w:spacing w:line="400" w:lineRule="exact"/>
              <w:contextualSpacing/>
              <w:jc w:val="center"/>
              <w:rPr>
                <w:rFonts w:ascii="宋体" w:hAnsi="宋体" w:cs="宋体"/>
                <w:szCs w:val="21"/>
              </w:rPr>
            </w:pPr>
            <w:r>
              <w:rPr>
                <w:rFonts w:hint="eastAsia" w:ascii="宋体" w:hAnsi="宋体" w:cs="宋体"/>
                <w:szCs w:val="21"/>
              </w:rPr>
              <w:t>郑贤栋</w:t>
            </w:r>
          </w:p>
        </w:tc>
        <w:tc>
          <w:tcPr>
            <w:tcW w:w="1908" w:type="dxa"/>
            <w:vAlign w:val="center"/>
          </w:tcPr>
          <w:p w14:paraId="5FDE0289">
            <w:pPr>
              <w:spacing w:line="400" w:lineRule="exact"/>
              <w:contextualSpacing/>
              <w:rPr>
                <w:rFonts w:ascii="宋体" w:hAnsi="宋体" w:cs="宋体"/>
                <w:szCs w:val="21"/>
              </w:rPr>
            </w:pPr>
            <w:r>
              <w:rPr>
                <w:rFonts w:hint="eastAsia" w:ascii="宋体" w:hAnsi="宋体" w:cs="宋体"/>
                <w:szCs w:val="21"/>
              </w:rPr>
              <w:t>0580—8866086</w:t>
            </w:r>
          </w:p>
        </w:tc>
      </w:tr>
      <w:tr w14:paraId="35CE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4BBC59D">
            <w:pPr>
              <w:spacing w:line="400" w:lineRule="exact"/>
              <w:contextualSpacing/>
              <w:rPr>
                <w:rFonts w:ascii="宋体" w:hAnsi="宋体" w:cs="宋体"/>
                <w:szCs w:val="21"/>
              </w:rPr>
            </w:pPr>
            <w:r>
              <w:rPr>
                <w:rFonts w:hint="eastAsia" w:ascii="宋体" w:hAnsi="宋体" w:cs="宋体"/>
                <w:szCs w:val="21"/>
              </w:rPr>
              <w:t>交通银行股份有限公司舟山分行</w:t>
            </w:r>
          </w:p>
        </w:tc>
        <w:tc>
          <w:tcPr>
            <w:tcW w:w="3975" w:type="dxa"/>
          </w:tcPr>
          <w:p w14:paraId="1E6A4FC4">
            <w:pPr>
              <w:spacing w:line="400" w:lineRule="exact"/>
              <w:contextualSpacing/>
              <w:rPr>
                <w:rFonts w:ascii="宋体" w:hAnsi="宋体" w:cs="宋体"/>
                <w:szCs w:val="21"/>
              </w:rPr>
            </w:pPr>
            <w:r>
              <w:rPr>
                <w:rFonts w:hint="eastAsia" w:ascii="宋体" w:hAnsi="宋体" w:cs="宋体"/>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2220" w:type="dxa"/>
            <w:vAlign w:val="center"/>
          </w:tcPr>
          <w:p w14:paraId="5A696825">
            <w:pPr>
              <w:spacing w:line="400" w:lineRule="exact"/>
              <w:contextualSpacing/>
              <w:jc w:val="center"/>
              <w:rPr>
                <w:rFonts w:ascii="宋体" w:hAnsi="宋体" w:cs="宋体"/>
                <w:szCs w:val="21"/>
              </w:rPr>
            </w:pPr>
            <w:r>
              <w:rPr>
                <w:rFonts w:hint="eastAsia" w:ascii="宋体" w:hAnsi="宋体" w:cs="宋体"/>
                <w:szCs w:val="21"/>
              </w:rPr>
              <w:t>赵争艳</w:t>
            </w:r>
          </w:p>
        </w:tc>
        <w:tc>
          <w:tcPr>
            <w:tcW w:w="1908" w:type="dxa"/>
            <w:vAlign w:val="center"/>
          </w:tcPr>
          <w:p w14:paraId="1570CBBD">
            <w:pPr>
              <w:spacing w:line="400" w:lineRule="exact"/>
              <w:contextualSpacing/>
              <w:rPr>
                <w:rFonts w:ascii="宋体" w:hAnsi="宋体" w:cs="宋体"/>
                <w:szCs w:val="21"/>
              </w:rPr>
            </w:pPr>
            <w:r>
              <w:rPr>
                <w:rFonts w:hint="eastAsia" w:ascii="宋体" w:hAnsi="宋体" w:cs="宋体"/>
                <w:szCs w:val="21"/>
              </w:rPr>
              <w:t>0580-2260728</w:t>
            </w:r>
          </w:p>
          <w:p w14:paraId="7D99A75B">
            <w:pPr>
              <w:spacing w:line="400" w:lineRule="exact"/>
              <w:contextualSpacing/>
              <w:rPr>
                <w:rFonts w:ascii="宋体" w:hAnsi="宋体" w:cs="宋体"/>
                <w:szCs w:val="21"/>
              </w:rPr>
            </w:pPr>
            <w:r>
              <w:rPr>
                <w:rFonts w:hint="eastAsia" w:ascii="宋体" w:hAnsi="宋体" w:cs="宋体"/>
                <w:szCs w:val="21"/>
              </w:rPr>
              <w:t>13758007280</w:t>
            </w:r>
          </w:p>
        </w:tc>
      </w:tr>
      <w:tr w14:paraId="1DF5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39A17260">
            <w:pPr>
              <w:spacing w:line="400" w:lineRule="exact"/>
              <w:contextualSpacing/>
              <w:rPr>
                <w:rFonts w:ascii="宋体" w:hAnsi="宋体" w:cs="宋体"/>
                <w:szCs w:val="21"/>
              </w:rPr>
            </w:pPr>
            <w:r>
              <w:rPr>
                <w:rFonts w:hint="eastAsia" w:ascii="宋体" w:hAnsi="宋体" w:cs="宋体"/>
                <w:szCs w:val="21"/>
              </w:rPr>
              <w:t>中信银行股份有限公司舟山分行</w:t>
            </w:r>
          </w:p>
        </w:tc>
        <w:tc>
          <w:tcPr>
            <w:tcW w:w="3975" w:type="dxa"/>
          </w:tcPr>
          <w:p w14:paraId="52417233">
            <w:pPr>
              <w:spacing w:line="400" w:lineRule="exact"/>
              <w:contextualSpacing/>
              <w:rPr>
                <w:rFonts w:ascii="宋体" w:hAnsi="宋体" w:cs="宋体"/>
                <w:szCs w:val="21"/>
              </w:rPr>
            </w:pPr>
            <w:r>
              <w:rPr>
                <w:rFonts w:hint="eastAsia" w:ascii="宋体" w:hAnsi="宋体" w:cs="宋体"/>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72B2E659">
            <w:pPr>
              <w:spacing w:line="400" w:lineRule="exact"/>
              <w:contextualSpacing/>
              <w:jc w:val="center"/>
              <w:rPr>
                <w:rFonts w:ascii="宋体" w:hAnsi="宋体" w:cs="宋体"/>
                <w:szCs w:val="21"/>
              </w:rPr>
            </w:pPr>
            <w:r>
              <w:rPr>
                <w:rFonts w:hint="eastAsia" w:ascii="宋体" w:hAnsi="宋体" w:cs="宋体"/>
                <w:szCs w:val="21"/>
              </w:rPr>
              <w:t>黄丽</w:t>
            </w:r>
          </w:p>
        </w:tc>
        <w:tc>
          <w:tcPr>
            <w:tcW w:w="1908" w:type="dxa"/>
            <w:vAlign w:val="center"/>
          </w:tcPr>
          <w:p w14:paraId="0482A3AB">
            <w:pPr>
              <w:spacing w:line="400" w:lineRule="exact"/>
              <w:contextualSpacing/>
              <w:rPr>
                <w:rFonts w:ascii="宋体" w:hAnsi="宋体" w:cs="宋体"/>
                <w:szCs w:val="21"/>
              </w:rPr>
            </w:pPr>
            <w:r>
              <w:rPr>
                <w:rFonts w:hint="eastAsia" w:ascii="宋体" w:hAnsi="宋体" w:cs="宋体"/>
                <w:szCs w:val="21"/>
              </w:rPr>
              <w:t>13905808032</w:t>
            </w:r>
          </w:p>
        </w:tc>
      </w:tr>
      <w:tr w14:paraId="094D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53CA2B1F">
            <w:pPr>
              <w:spacing w:line="400" w:lineRule="exact"/>
              <w:contextualSpacing/>
              <w:rPr>
                <w:rFonts w:ascii="宋体" w:hAnsi="宋体" w:cs="宋体"/>
                <w:szCs w:val="21"/>
              </w:rPr>
            </w:pPr>
            <w:r>
              <w:rPr>
                <w:rFonts w:hint="eastAsia" w:ascii="宋体" w:hAnsi="宋体" w:cs="宋体"/>
                <w:szCs w:val="21"/>
              </w:rPr>
              <w:t>泰隆银行舟山市分行</w:t>
            </w:r>
          </w:p>
        </w:tc>
        <w:tc>
          <w:tcPr>
            <w:tcW w:w="3975" w:type="dxa"/>
          </w:tcPr>
          <w:p w14:paraId="62B9F525">
            <w:pPr>
              <w:spacing w:line="400" w:lineRule="exact"/>
              <w:contextualSpacing/>
              <w:rPr>
                <w:rFonts w:ascii="宋体" w:hAnsi="宋体" w:cs="宋体"/>
                <w:szCs w:val="21"/>
              </w:rPr>
            </w:pPr>
            <w:r>
              <w:rPr>
                <w:rFonts w:hint="eastAsia" w:ascii="宋体" w:hAnsi="宋体" w:cs="宋体"/>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0D5BBCAF">
            <w:pPr>
              <w:spacing w:line="400" w:lineRule="exact"/>
              <w:contextualSpacing/>
              <w:jc w:val="center"/>
              <w:rPr>
                <w:rFonts w:ascii="宋体" w:hAnsi="宋体" w:cs="宋体"/>
                <w:szCs w:val="21"/>
              </w:rPr>
            </w:pPr>
            <w:r>
              <w:rPr>
                <w:rFonts w:hint="eastAsia" w:ascii="宋体" w:hAnsi="宋体" w:cs="宋体"/>
                <w:szCs w:val="21"/>
              </w:rPr>
              <w:t>胡亢宇</w:t>
            </w:r>
          </w:p>
        </w:tc>
        <w:tc>
          <w:tcPr>
            <w:tcW w:w="1908" w:type="dxa"/>
            <w:vAlign w:val="center"/>
          </w:tcPr>
          <w:p w14:paraId="2BFF9B71">
            <w:pPr>
              <w:spacing w:line="400" w:lineRule="exact"/>
              <w:contextualSpacing/>
              <w:rPr>
                <w:rFonts w:ascii="宋体" w:hAnsi="宋体" w:cs="宋体"/>
                <w:szCs w:val="21"/>
              </w:rPr>
            </w:pPr>
            <w:r>
              <w:rPr>
                <w:rFonts w:hint="eastAsia" w:ascii="宋体" w:hAnsi="宋体" w:cs="宋体"/>
                <w:szCs w:val="21"/>
              </w:rPr>
              <w:t>17605868703</w:t>
            </w:r>
          </w:p>
        </w:tc>
      </w:tr>
      <w:tr w14:paraId="13A7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18FF33C">
            <w:pPr>
              <w:spacing w:line="400" w:lineRule="exact"/>
              <w:contextualSpacing/>
              <w:rPr>
                <w:rFonts w:ascii="宋体" w:hAnsi="宋体" w:cs="宋体"/>
                <w:szCs w:val="21"/>
              </w:rPr>
            </w:pPr>
            <w:r>
              <w:rPr>
                <w:rFonts w:hint="eastAsia" w:ascii="宋体" w:hAnsi="宋体" w:cs="宋体"/>
                <w:szCs w:val="21"/>
              </w:rPr>
              <w:t>中国农业银行股份有限公司舟山分行</w:t>
            </w:r>
          </w:p>
        </w:tc>
        <w:tc>
          <w:tcPr>
            <w:tcW w:w="3975" w:type="dxa"/>
          </w:tcPr>
          <w:p w14:paraId="22327673">
            <w:pPr>
              <w:spacing w:line="400" w:lineRule="exact"/>
              <w:contextualSpacing/>
              <w:rPr>
                <w:rFonts w:ascii="宋体" w:hAnsi="宋体" w:cs="宋体"/>
                <w:szCs w:val="21"/>
              </w:rPr>
            </w:pPr>
            <w:r>
              <w:rPr>
                <w:rFonts w:hint="eastAsia" w:ascii="宋体" w:hAnsi="宋体" w:cs="宋体"/>
                <w:szCs w:val="21"/>
              </w:rPr>
              <w:t>“政采贷”业务原则上不超过政府采购合同实有金额的80%，单户借款额度不超过500万元。借款到期日不晚于合同约定付款日后90天，原则上不超过1年，最长可放宽至2年。应收账款形成前，可采用信用方式用信并追加投标人法定代表人或实际控制人连带责任保证担保；应收账款形成后，信用方式用信需变更为应收账款质押担保。</w:t>
            </w:r>
          </w:p>
        </w:tc>
        <w:tc>
          <w:tcPr>
            <w:tcW w:w="2220" w:type="dxa"/>
            <w:vAlign w:val="center"/>
          </w:tcPr>
          <w:p w14:paraId="07D26E5E">
            <w:pPr>
              <w:spacing w:line="400" w:lineRule="exact"/>
              <w:contextualSpacing/>
              <w:jc w:val="center"/>
              <w:rPr>
                <w:rFonts w:ascii="宋体" w:hAnsi="宋体" w:cs="宋体"/>
                <w:szCs w:val="21"/>
              </w:rPr>
            </w:pPr>
            <w:r>
              <w:rPr>
                <w:rFonts w:hint="eastAsia" w:ascii="宋体" w:hAnsi="宋体" w:cs="宋体"/>
                <w:szCs w:val="21"/>
              </w:rPr>
              <w:t>苏华瞻</w:t>
            </w:r>
          </w:p>
        </w:tc>
        <w:tc>
          <w:tcPr>
            <w:tcW w:w="1908" w:type="dxa"/>
            <w:vAlign w:val="center"/>
          </w:tcPr>
          <w:p w14:paraId="6487CC13">
            <w:pPr>
              <w:spacing w:line="400" w:lineRule="exact"/>
              <w:contextualSpacing/>
              <w:jc w:val="center"/>
              <w:rPr>
                <w:rFonts w:ascii="宋体" w:hAnsi="宋体" w:cs="宋体"/>
                <w:szCs w:val="21"/>
              </w:rPr>
            </w:pPr>
            <w:r>
              <w:rPr>
                <w:rFonts w:hint="eastAsia" w:ascii="宋体" w:hAnsi="宋体" w:cs="宋体"/>
                <w:szCs w:val="21"/>
              </w:rPr>
              <w:t>13967228926</w:t>
            </w:r>
          </w:p>
        </w:tc>
      </w:tr>
      <w:tr w14:paraId="0823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195FA418">
            <w:pPr>
              <w:spacing w:line="400" w:lineRule="exact"/>
              <w:contextualSpacing/>
              <w:rPr>
                <w:rFonts w:ascii="宋体" w:hAnsi="宋体" w:cs="宋体"/>
                <w:szCs w:val="21"/>
              </w:rPr>
            </w:pPr>
            <w:r>
              <w:rPr>
                <w:rFonts w:hint="eastAsia" w:ascii="宋体" w:hAnsi="宋体" w:cs="宋体"/>
                <w:szCs w:val="21"/>
              </w:rPr>
              <w:t>中国邮政储蓄银行股份有限公司舟山市分行</w:t>
            </w:r>
          </w:p>
        </w:tc>
        <w:tc>
          <w:tcPr>
            <w:tcW w:w="3975" w:type="dxa"/>
          </w:tcPr>
          <w:p w14:paraId="06CB7CC3">
            <w:pPr>
              <w:tabs>
                <w:tab w:val="left" w:pos="0"/>
              </w:tabs>
              <w:spacing w:line="400" w:lineRule="exact"/>
              <w:rPr>
                <w:rFonts w:ascii="宋体" w:hAnsi="宋体" w:cs="宋体"/>
                <w:szCs w:val="21"/>
              </w:rPr>
            </w:pPr>
            <w:r>
              <w:rPr>
                <w:rFonts w:hint="eastAsia" w:ascii="宋体" w:hAnsi="宋体" w:cs="宋体"/>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0FC5F2F2">
            <w:pPr>
              <w:spacing w:line="400" w:lineRule="exact"/>
              <w:contextualSpacing/>
              <w:jc w:val="center"/>
              <w:rPr>
                <w:rFonts w:ascii="宋体" w:hAnsi="宋体" w:cs="宋体"/>
                <w:szCs w:val="21"/>
              </w:rPr>
            </w:pPr>
            <w:r>
              <w:rPr>
                <w:rFonts w:hint="eastAsia" w:ascii="宋体" w:hAnsi="宋体" w:cs="宋体"/>
                <w:szCs w:val="21"/>
              </w:rPr>
              <w:t>蒋志燕</w:t>
            </w:r>
          </w:p>
        </w:tc>
        <w:tc>
          <w:tcPr>
            <w:tcW w:w="1908" w:type="dxa"/>
            <w:vAlign w:val="center"/>
          </w:tcPr>
          <w:p w14:paraId="0FAD795A">
            <w:pPr>
              <w:spacing w:line="400" w:lineRule="exact"/>
              <w:contextualSpacing/>
              <w:rPr>
                <w:rFonts w:ascii="宋体" w:hAnsi="宋体" w:cs="宋体"/>
                <w:szCs w:val="21"/>
              </w:rPr>
            </w:pPr>
            <w:r>
              <w:rPr>
                <w:rFonts w:hint="eastAsia" w:ascii="宋体" w:hAnsi="宋体" w:cs="宋体"/>
                <w:szCs w:val="21"/>
              </w:rPr>
              <w:t>13732527321</w:t>
            </w:r>
          </w:p>
        </w:tc>
      </w:tr>
    </w:tbl>
    <w:p w14:paraId="1B591E8D">
      <w:pPr>
        <w:spacing w:line="360" w:lineRule="auto"/>
        <w:contextualSpacing/>
        <w:rPr>
          <w:rFonts w:ascii="宋体" w:hAnsi="宋体" w:cs="宋体"/>
          <w:szCs w:val="21"/>
        </w:rPr>
      </w:pPr>
      <w:r>
        <w:rPr>
          <w:rFonts w:hint="eastAsia" w:ascii="宋体" w:hAnsi="宋体" w:cs="宋体"/>
          <w:szCs w:val="21"/>
        </w:rPr>
        <w:t>1. 一般步骤</w:t>
      </w:r>
    </w:p>
    <w:p w14:paraId="1C30B097">
      <w:pPr>
        <w:spacing w:line="360" w:lineRule="auto"/>
        <w:contextualSpacing/>
        <w:rPr>
          <w:rFonts w:ascii="宋体" w:hAnsi="宋体" w:cs="宋体"/>
          <w:szCs w:val="21"/>
        </w:rPr>
      </w:pPr>
      <w:r>
        <w:rPr>
          <w:rFonts w:hint="eastAsia" w:ascii="宋体" w:hAnsi="宋体" w:cs="宋体"/>
          <w:szCs w:val="21"/>
        </w:rPr>
        <w:t>（1）投标人先与银行对接，办理融资前期手续；</w:t>
      </w:r>
    </w:p>
    <w:p w14:paraId="5EBC2929">
      <w:pPr>
        <w:spacing w:line="360" w:lineRule="auto"/>
        <w:contextualSpacing/>
        <w:rPr>
          <w:rFonts w:ascii="宋体" w:hAnsi="宋体" w:cs="宋体"/>
          <w:szCs w:val="21"/>
        </w:rPr>
      </w:pPr>
      <w:r>
        <w:rPr>
          <w:rFonts w:hint="eastAsia" w:ascii="宋体" w:hAnsi="宋体" w:cs="宋体"/>
          <w:szCs w:val="21"/>
        </w:rPr>
        <w:t>（2）投标人成交后，凭成交通知书等材料，向相关合作银行发出融资申请；</w:t>
      </w:r>
    </w:p>
    <w:p w14:paraId="4AC18921">
      <w:pPr>
        <w:spacing w:line="360" w:lineRule="auto"/>
        <w:contextualSpacing/>
        <w:rPr>
          <w:rFonts w:ascii="宋体" w:hAnsi="宋体" w:cs="宋体"/>
          <w:szCs w:val="21"/>
        </w:rPr>
      </w:pPr>
      <w:r>
        <w:rPr>
          <w:rFonts w:hint="eastAsia" w:ascii="宋体" w:hAnsi="宋体" w:cs="宋体"/>
          <w:szCs w:val="21"/>
        </w:rPr>
        <w:t>（3）银行、投标人线上办理审批、放贷事宜。</w:t>
      </w:r>
    </w:p>
    <w:p w14:paraId="01A7A43A">
      <w:pPr>
        <w:spacing w:line="360" w:lineRule="auto"/>
        <w:contextualSpacing/>
        <w:rPr>
          <w:rFonts w:ascii="宋体" w:hAnsi="宋体" w:cs="宋体"/>
          <w:szCs w:val="21"/>
        </w:rPr>
      </w:pPr>
      <w:r>
        <w:rPr>
          <w:rFonts w:hint="eastAsia" w:ascii="宋体" w:hAnsi="宋体" w:cs="宋体"/>
          <w:szCs w:val="21"/>
        </w:rPr>
        <w:t>2. 注意事项</w:t>
      </w:r>
    </w:p>
    <w:p w14:paraId="45EB202D">
      <w:pPr>
        <w:spacing w:line="360" w:lineRule="auto"/>
        <w:contextualSpacing/>
        <w:rPr>
          <w:rFonts w:ascii="宋体" w:hAnsi="宋体" w:cs="宋体"/>
          <w:szCs w:val="21"/>
        </w:rPr>
      </w:pPr>
      <w:r>
        <w:rPr>
          <w:rFonts w:hint="eastAsia" w:ascii="宋体" w:hAnsi="宋体" w:cs="宋体"/>
          <w:szCs w:val="21"/>
        </w:rPr>
        <w:t>（1）成交投标人需确保政府采购合同的收款账户与融资银行开户账户一致。</w:t>
      </w:r>
    </w:p>
    <w:p w14:paraId="547C822C">
      <w:pPr>
        <w:spacing w:line="360" w:lineRule="auto"/>
        <w:contextualSpacing/>
        <w:rPr>
          <w:rFonts w:ascii="宋体" w:hAnsi="宋体" w:cs="宋体"/>
          <w:szCs w:val="21"/>
        </w:rPr>
      </w:pPr>
      <w:r>
        <w:rPr>
          <w:rFonts w:hint="eastAsia" w:ascii="宋体" w:hAnsi="宋体" w:cs="宋体"/>
          <w:szCs w:val="21"/>
        </w:rPr>
        <w:t>（2）用于政府采购信用融资的政府采购合同，应当包含如下条款：“第   条：</w:t>
      </w:r>
    </w:p>
    <w:p w14:paraId="44E5DD0A">
      <w:pPr>
        <w:spacing w:line="360" w:lineRule="auto"/>
        <w:contextualSpacing/>
        <w:rPr>
          <w:rFonts w:ascii="宋体" w:hAnsi="宋体" w:cs="宋体"/>
          <w:szCs w:val="21"/>
        </w:rPr>
      </w:pPr>
      <w:r>
        <w:rPr>
          <w:rFonts w:hint="eastAsia" w:ascii="宋体" w:hAnsi="宋体" w:cs="宋体"/>
          <w:szCs w:val="21"/>
        </w:rPr>
        <w:t>政府采购合同贷款  本合同同时用于乙方向      银行（金融机构）申请政府采购信用贷款。本合同一经签订，原则上不得更改乙方收款账户信息。确须更改的，乙方应取得原合同收款账户开户银行书面同意，否则修改后的合同不予备案，采购资金不予支付。”</w:t>
      </w:r>
    </w:p>
    <w:p w14:paraId="75C59AB5">
      <w:pPr>
        <w:spacing w:line="540" w:lineRule="exact"/>
        <w:contextualSpacing/>
        <w:rPr>
          <w:rFonts w:ascii="宋体" w:hAnsi="宋体" w:cs="宋体"/>
          <w:szCs w:val="21"/>
        </w:rPr>
      </w:pPr>
    </w:p>
    <w:p w14:paraId="1FF58238">
      <w:pPr>
        <w:rPr>
          <w:rFonts w:ascii="宋体" w:hAnsi="宋体" w:cs="宋体"/>
          <w:szCs w:val="21"/>
        </w:rPr>
      </w:pPr>
    </w:p>
    <w:p w14:paraId="2768486F">
      <w:pPr>
        <w:rPr>
          <w:rFonts w:ascii="宋体" w:hAnsi="宋体" w:cs="宋体"/>
          <w:szCs w:val="21"/>
        </w:rPr>
      </w:pPr>
    </w:p>
    <w:p w14:paraId="7560C9E9">
      <w:pPr>
        <w:rPr>
          <w:rFonts w:ascii="仿宋_GB2312" w:eastAsia="仿宋_GB2312"/>
        </w:rPr>
      </w:pPr>
    </w:p>
    <w:p w14:paraId="1A2A9FBF">
      <w:pPr>
        <w:rPr>
          <w:rFonts w:ascii="仿宋_GB2312" w:eastAsia="仿宋_GB2312"/>
        </w:rPr>
      </w:pPr>
    </w:p>
    <w:p w14:paraId="4EB23840">
      <w:pPr>
        <w:rPr>
          <w:rFonts w:ascii="仿宋_GB2312" w:eastAsia="仿宋_GB2312"/>
        </w:rPr>
      </w:pPr>
    </w:p>
    <w:p w14:paraId="73CBD5C5">
      <w:pPr>
        <w:rPr>
          <w:rFonts w:ascii="仿宋_GB2312" w:eastAsia="仿宋_GB2312"/>
        </w:rPr>
      </w:pPr>
    </w:p>
    <w:p w14:paraId="1CB38BF3">
      <w:pPr>
        <w:pStyle w:val="23"/>
        <w:ind w:left="700" w:hanging="280"/>
      </w:pPr>
    </w:p>
    <w:sectPr>
      <w:footerReference r:id="rId17" w:type="even"/>
      <w:pgSz w:w="11906" w:h="16838"/>
      <w:pgMar w:top="1091"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ì.">
    <w:altName w:val="微软雅黑"/>
    <w:panose1 w:val="00000000000000000000"/>
    <w:charset w:val="00"/>
    <w:family w:val="roma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ヒラギノ角ゴ Pro W3">
    <w:altName w:val="微软雅黑"/>
    <w:panose1 w:val="00000000000000000000"/>
    <w:charset w:val="00"/>
    <w:family w:val="roman"/>
    <w:pitch w:val="default"/>
    <w:sig w:usb0="00000000" w:usb1="00000000" w:usb2="00000000" w:usb3="00000000" w:csb0="00040001"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0" w:usb3="00000000" w:csb0="00000093" w:csb1="00000000"/>
  </w:font>
  <w:font w:name="Cambria Bold">
    <w:altName w:val="Cambria"/>
    <w:panose1 w:val="02040803050406030204"/>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93" w:csb1="00000000"/>
  </w:font>
  <w:font w:name="长城仿宋">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alibri Bold">
    <w:altName w:val="Calibri"/>
    <w:panose1 w:val="020F0702030404030204"/>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34E1E">
    <w:pPr>
      <w:pStyle w:val="38"/>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0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E729CF">
                          <w:pPr>
                            <w:pStyle w:val="38"/>
                            <w:rPr>
                              <w:rFonts w:ascii="黑体" w:hAnsi="黑体" w:cs="黑体"/>
                            </w:rPr>
                          </w:pPr>
                        </w:p>
                      </w:txbxContent>
                    </wps:txbx>
                    <wps:bodyPr vert="horz" wrap="none" lIns="0" tIns="0" rIns="0" bIns="0" anchor="t" anchorCtr="0">
                      <a:spAutoFit/>
                    </wps:bodyPr>
                  </wps:wsp>
                </a:graphicData>
              </a:graphic>
            </wp:anchor>
          </w:drawing>
        </mc:Choice>
        <mc:Fallback>
          <w:pict>
            <v:shape id="文本框 307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0nMBkdkBAAC1AwAADgAAAAAAAAABACAA&#10;AAAeAQAAZHJzL2Uyb0RvYy54bWxQSwUGAAAAAAYABgBZAQAAaQUAAAAA&#10;">
              <v:fill on="f" focussize="0,0"/>
              <v:stroke on="f"/>
              <v:imagedata o:title=""/>
              <o:lock v:ext="edit" aspectratio="f"/>
              <v:textbox inset="0mm,0mm,0mm,0mm" style="mso-fit-shape-to-text:t;">
                <w:txbxContent>
                  <w:p w14:paraId="24E729CF">
                    <w:pPr>
                      <w:pStyle w:val="38"/>
                      <w:rPr>
                        <w:rFonts w:ascii="黑体" w:hAnsi="黑体" w:cs="黑体"/>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EA076">
    <w:pPr>
      <w:pStyle w:val="38"/>
      <w:framePr w:wrap="around" w:vAnchor="text" w:hAnchor="margin" w:xAlign="outside" w:y="1"/>
      <w:ind w:left="600" w:hanging="180"/>
      <w:rPr>
        <w:rStyle w:val="65"/>
      </w:rPr>
    </w:pPr>
    <w:r>
      <w:fldChar w:fldCharType="begin"/>
    </w:r>
    <w:r>
      <w:rPr>
        <w:rStyle w:val="65"/>
      </w:rPr>
      <w:instrText xml:space="preserve">PAGE  </w:instrText>
    </w:r>
    <w:r>
      <w:fldChar w:fldCharType="separate"/>
    </w:r>
    <w:r>
      <w:rPr>
        <w:rStyle w:val="65"/>
      </w:rPr>
      <w:t>55</w:t>
    </w:r>
    <w:r>
      <w:fldChar w:fldCharType="end"/>
    </w:r>
  </w:p>
  <w:p w14:paraId="4A458789">
    <w:pPr>
      <w:pStyle w:val="38"/>
      <w:ind w:left="600" w:right="360" w:hanging="180"/>
    </w:pPr>
  </w:p>
  <w:p w14:paraId="1F4C21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F3089">
    <w:pPr>
      <w:pStyle w:val="38"/>
      <w:framePr w:wrap="around" w:vAnchor="text" w:hAnchor="margin" w:xAlign="outside" w:y="1"/>
      <w:rPr>
        <w:rStyle w:val="65"/>
      </w:rPr>
    </w:pPr>
    <w:r>
      <w:fldChar w:fldCharType="begin"/>
    </w:r>
    <w:r>
      <w:rPr>
        <w:rStyle w:val="65"/>
      </w:rPr>
      <w:instrText xml:space="preserve">PAGE  </w:instrText>
    </w:r>
    <w:r>
      <w:fldChar w:fldCharType="end"/>
    </w:r>
  </w:p>
  <w:p w14:paraId="487F3AD1">
    <w:pPr>
      <w:pStyle w:val="3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D14D7">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AB7A4">
    <w:pPr>
      <w:pStyle w:val="3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0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53C1650">
                          <w:pPr>
                            <w:pStyle w:val="38"/>
                          </w:pPr>
                          <w:r>
                            <w:fldChar w:fldCharType="begin"/>
                          </w:r>
                          <w:r>
                            <w:instrText xml:space="preserve"> PAGE  \* MERGEFORMAT </w:instrText>
                          </w:r>
                          <w:r>
                            <w:fldChar w:fldCharType="separate"/>
                          </w:r>
                          <w:r>
                            <w:t>0</w:t>
                          </w:r>
                          <w:r>
                            <w:fldChar w:fldCharType="end"/>
                          </w:r>
                        </w:p>
                      </w:txbxContent>
                    </wps:txbx>
                    <wps:bodyPr vert="horz" wrap="none" lIns="0" tIns="0" rIns="0" bIns="0" anchor="t" anchorCtr="0">
                      <a:spAutoFit/>
                    </wps:bodyPr>
                  </wps:wsp>
                </a:graphicData>
              </a:graphic>
            </wp:anchor>
          </w:drawing>
        </mc:Choice>
        <mc:Fallback>
          <w:pict>
            <v:shape id="文本框 309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LD2GsDjAQAAvgMAAA4A&#10;AAAAAAAAAQAgAAAAHgEAAGRycy9lMm9Eb2MueG1sUEsFBgAAAAAGAAYAWQEAAHMFAAAAAA==&#10;">
              <v:fill on="f" focussize="0,0"/>
              <v:stroke on="f"/>
              <v:imagedata o:title=""/>
              <o:lock v:ext="edit" aspectratio="f"/>
              <v:textbox inset="0mm,0mm,0mm,0mm" style="mso-fit-shape-to-text:t;">
                <w:txbxContent>
                  <w:p w14:paraId="353C1650">
                    <w:pPr>
                      <w:pStyle w:val="38"/>
                    </w:pPr>
                    <w:r>
                      <w:fldChar w:fldCharType="begin"/>
                    </w:r>
                    <w:r>
                      <w:instrText xml:space="preserve"> PAGE  \* MERGEFORMAT </w:instrText>
                    </w:r>
                    <w:r>
                      <w:fldChar w:fldCharType="separate"/>
                    </w:r>
                    <w:r>
                      <w:t>0</w:t>
                    </w:r>
                    <w:r>
                      <w:fldChar w:fldCharType="end"/>
                    </w:r>
                  </w:p>
                </w:txbxContent>
              </v:textbox>
            </v:shape>
          </w:pict>
        </mc:Fallback>
      </mc:AlternateContent>
    </w:r>
  </w:p>
  <w:p w14:paraId="4C1B2D31">
    <w:pPr>
      <w:pStyle w:val="3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CD4AD">
    <w:r>
      <w:fldChar w:fldCharType="begin"/>
    </w:r>
    <w:r>
      <w:instrText xml:space="preserve">PAGE  </w:instrText>
    </w:r>
    <w:r>
      <w:fldChar w:fldCharType="end"/>
    </w:r>
  </w:p>
  <w:p w14:paraId="6ED576C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BD8F1">
    <w:pPr>
      <w:pStyle w:val="38"/>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0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EBB15C2">
                          <w:pPr>
                            <w:pStyle w:val="38"/>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309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883P/eIBAAC+AwAADgAA&#10;AAAAAAABACAAAAAeAQAAZHJzL2Uyb0RvYy54bWxQSwUGAAAAAAYABgBZAQAAcgUAAAAA&#10;">
              <v:fill on="f" focussize="0,0"/>
              <v:stroke on="f"/>
              <v:imagedata o:title=""/>
              <o:lock v:ext="edit" aspectratio="f"/>
              <v:textbox inset="0mm,0mm,0mm,0mm" style="mso-fit-shape-to-text:t;">
                <w:txbxContent>
                  <w:p w14:paraId="6EBB15C2">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BC686">
    <w:pPr>
      <w:pStyle w:val="38"/>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0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6130A78">
                          <w:pPr>
                            <w:pStyle w:val="38"/>
                          </w:pPr>
                          <w:r>
                            <w:fldChar w:fldCharType="begin"/>
                          </w:r>
                          <w:r>
                            <w:instrText xml:space="preserve"> PAGE  \* MERGEFORMAT </w:instrText>
                          </w:r>
                          <w:r>
                            <w:fldChar w:fldCharType="separate"/>
                          </w:r>
                          <w:r>
                            <w:t>56</w:t>
                          </w:r>
                          <w:r>
                            <w:fldChar w:fldCharType="end"/>
                          </w:r>
                        </w:p>
                      </w:txbxContent>
                    </wps:txbx>
                    <wps:bodyPr vert="horz" wrap="none" lIns="0" tIns="0" rIns="0" bIns="0" anchor="t" anchorCtr="0">
                      <a:spAutoFit/>
                    </wps:bodyPr>
                  </wps:wsp>
                </a:graphicData>
              </a:graphic>
            </wp:anchor>
          </w:drawing>
        </mc:Choice>
        <mc:Fallback>
          <w:pict>
            <v:shape id="文本框 309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F49SnfjAQAAvgMAAA4A&#10;AAAAAAAAAQAgAAAAHgEAAGRycy9lMm9Eb2MueG1sUEsFBgAAAAAGAAYAWQEAAHMFAAAAAA==&#10;">
              <v:fill on="f" focussize="0,0"/>
              <v:stroke on="f"/>
              <v:imagedata o:title=""/>
              <o:lock v:ext="edit" aspectratio="f"/>
              <v:textbox inset="0mm,0mm,0mm,0mm" style="mso-fit-shape-to-text:t;">
                <w:txbxContent>
                  <w:p w14:paraId="06130A78">
                    <w:pPr>
                      <w:pStyle w:val="38"/>
                    </w:pPr>
                    <w:r>
                      <w:fldChar w:fldCharType="begin"/>
                    </w:r>
                    <w:r>
                      <w:instrText xml:space="preserve"> PAGE  \* MERGEFORMAT </w:instrText>
                    </w:r>
                    <w:r>
                      <w:fldChar w:fldCharType="separate"/>
                    </w:r>
                    <w:r>
                      <w:t>56</w:t>
                    </w:r>
                    <w:r>
                      <w:fldChar w:fldCharType="end"/>
                    </w:r>
                  </w:p>
                </w:txbxContent>
              </v:textbox>
            </v:shape>
          </w:pict>
        </mc:Fallback>
      </mc:AlternateContent>
    </w:r>
  </w:p>
  <w:p w14:paraId="0743563E">
    <w:pPr>
      <w:pStyle w:val="3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0EA84">
    <w:pPr>
      <w:pStyle w:val="3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0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8A3DB9">
                          <w:pPr>
                            <w:pStyle w:val="38"/>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308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9Y/wd8QBAACQAwAADgAAAAAAAAABACAAAAAeAQAAZHJzL2Uyb0RvYy54bWxQ&#10;SwUGAAAAAAYABgBZAQAAVAUAAAAA&#10;">
              <v:fill on="f" focussize="0,0"/>
              <v:stroke on="f"/>
              <v:imagedata o:title=""/>
              <o:lock v:ext="edit" aspectratio="f"/>
              <v:textbox inset="0mm,0mm,0mm,0mm" style="mso-fit-shape-to-text:t;">
                <w:txbxContent>
                  <w:p w14:paraId="068A3DB9">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1DCC5">
    <w:pPr>
      <w:pStyle w:val="38"/>
      <w:ind w:right="360" w:firstLine="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0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DAF4127">
                          <w:pPr>
                            <w:pStyle w:val="38"/>
                          </w:pPr>
                          <w:r>
                            <w:fldChar w:fldCharType="begin"/>
                          </w:r>
                          <w:r>
                            <w:instrText xml:space="preserve"> PAGE  \* MERGEFORMAT </w:instrText>
                          </w:r>
                          <w:r>
                            <w:fldChar w:fldCharType="separate"/>
                          </w:r>
                          <w:r>
                            <w:t>65</w:t>
                          </w:r>
                          <w:r>
                            <w:fldChar w:fldCharType="end"/>
                          </w:r>
                        </w:p>
                      </w:txbxContent>
                    </wps:txbx>
                    <wps:bodyPr vert="horz" wrap="none" lIns="0" tIns="0" rIns="0" bIns="0" anchor="t" anchorCtr="0">
                      <a:spAutoFit/>
                    </wps:bodyPr>
                  </wps:wsp>
                </a:graphicData>
              </a:graphic>
            </wp:anchor>
          </w:drawing>
        </mc:Choice>
        <mc:Fallback>
          <w:pict>
            <v:shape id="文本框 309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B1u2WG5AEAAL4DAAAO&#10;AAAAAAAAAAEAIAAAAB4BAABkcnMvZTJvRG9jLnhtbFBLBQYAAAAABgAGAFkBAAB0BQAAAAA=&#10;">
              <v:fill on="f" focussize="0,0"/>
              <v:stroke on="f"/>
              <v:imagedata o:title=""/>
              <o:lock v:ext="edit" aspectratio="f"/>
              <v:textbox inset="0mm,0mm,0mm,0mm" style="mso-fit-shape-to-text:t;">
                <w:txbxContent>
                  <w:p w14:paraId="1DAF4127">
                    <w:pPr>
                      <w:pStyle w:val="38"/>
                    </w:pPr>
                    <w:r>
                      <w:fldChar w:fldCharType="begin"/>
                    </w:r>
                    <w:r>
                      <w:instrText xml:space="preserve"> PAGE  \* MERGEFORMAT </w:instrText>
                    </w:r>
                    <w:r>
                      <w:fldChar w:fldCharType="separate"/>
                    </w:r>
                    <w:r>
                      <w:t>65</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-114935</wp:posOffset>
              </wp:positionV>
              <wp:extent cx="5235575" cy="6985"/>
              <wp:effectExtent l="0" t="0" r="0" b="0"/>
              <wp:wrapNone/>
              <wp:docPr id="2" name="直线 3081"/>
              <wp:cNvGraphicFramePr/>
              <a:graphic xmlns:a="http://schemas.openxmlformats.org/drawingml/2006/main">
                <a:graphicData uri="http://schemas.microsoft.com/office/word/2010/wordprocessingShape">
                  <wps:wsp>
                    <wps:cNvCnPr/>
                    <wps:spPr>
                      <a:xfrm flipV="1">
                        <a:off x="0" y="0"/>
                        <a:ext cx="5235575" cy="69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081" o:spid="_x0000_s1026" o:spt="20" style="position:absolute;left:0pt;flip:y;margin-left:1.15pt;margin-top:-9.05pt;height:0.55pt;width:412.25pt;z-index:251660288;mso-width-relative:page;mso-height-relative:page;" filled="f" stroked="t" coordsize="21600,21600" o:gfxdata="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gLK&#10;adYAAAAJAQAADwAAAAAAAAABACAAAAAiAAAAZHJzL2Rvd25yZXYueG1sUEsBAhQAFAAAAAgAh07i&#10;QJITiETrAQAA3wMAAA4AAAAAAAAAAQAgAAAAJQEAAGRycy9lMm9Eb2MueG1sUEsFBgAAAAAGAAYA&#10;WQEAAIIFAAAAAA==&#10;">
              <v:fill on="f" focussize="0,0"/>
              <v:stroke color="#000000" joinstyle="round"/>
              <v:imagedata o:title=""/>
              <o:lock v:ext="edit" aspectratio="f"/>
            </v:line>
          </w:pict>
        </mc:Fallback>
      </mc:AlternateContent>
    </w:r>
    <w:r>
      <w:rPr>
        <w:rFonts w:hint="eastAsia"/>
      </w:rPr>
      <w:t xml:space="preserve">                                     </w:t>
    </w:r>
    <w:r>
      <w:rPr>
        <w:rFonts w:hint="eastAsia" w:ascii="黑体" w:hAnsi="黑体" w:cs="黑体"/>
      </w:rPr>
      <w:t xml:space="preserve">          </w: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31057BB">
      <w:pPr>
        <w:pStyle w:val="45"/>
        <w:rPr>
          <w:u w:val="singl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9E0AE">
    <w:pPr>
      <w:pStyle w:val="39"/>
      <w:rPr>
        <w:rFonts w:ascii="黑体" w:hAnsi="黑体" w:eastAsia="黑体" w:cs="黑体"/>
        <w:sz w:val="24"/>
        <w:szCs w:val="24"/>
      </w:rPr>
    </w:pPr>
    <w:r>
      <w:rPr>
        <w:rFonts w:hint="eastAsia" w:ascii="黑体" w:hAnsi="黑体" w:eastAsia="黑体" w:cs="黑体"/>
        <w:sz w:val="24"/>
        <w:szCs w:val="24"/>
      </w:rPr>
      <w:t xml:space="preserve">                                     舟山市定海区公路照明能源托管项目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6F110">
    <w:pPr>
      <w:pStyle w:val="39"/>
      <w:rPr>
        <w:rFonts w:ascii="黑体" w:hAnsi="黑体" w:eastAsia="黑体" w:cs="黑体"/>
        <w:sz w:val="24"/>
        <w:szCs w:val="24"/>
      </w:rPr>
    </w:pPr>
    <w:r>
      <w:rPr>
        <w:rFonts w:hint="eastAsia" w:ascii="黑体" w:hAnsi="黑体" w:eastAsia="黑体" w:cs="黑体"/>
        <w:sz w:val="24"/>
        <w:szCs w:val="24"/>
      </w:rPr>
      <w:t xml:space="preserve">                                                舟山市定海区公路照明能源托管项目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D5543">
    <w:pPr>
      <w:pStyle w:val="39"/>
      <w:rPr>
        <w:rFonts w:hint="eastAsia" w:ascii="黑体" w:hAnsi="黑体" w:eastAsia="黑体" w:cs="黑体"/>
        <w:sz w:val="24"/>
        <w:szCs w:val="24"/>
      </w:rPr>
    </w:pPr>
    <w:r>
      <w:t></w:t>
    </w:r>
    <w:r>
      <w:rPr>
        <w:rFonts w:hint="eastAsia" w:ascii="黑体" w:hAnsi="黑体" w:eastAsia="黑体" w:cs="黑体"/>
        <w:sz w:val="24"/>
        <w:szCs w:val="24"/>
      </w:rPr>
      <w:t>舟山市定海区公路照明能源托管项目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1A7AF">
    <w:pPr>
      <w:pStyle w:val="39"/>
      <w:jc w:val="both"/>
    </w:pPr>
    <w:r>
      <w:rPr>
        <w:rFonts w:hint="eastAsia" w:ascii="宋体" w:hAnsi="宋体" w:cs="宋体"/>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704EB"/>
    <w:multiLevelType w:val="singleLevel"/>
    <w:tmpl w:val="849704EB"/>
    <w:lvl w:ilvl="0" w:tentative="0">
      <w:start w:val="1"/>
      <w:numFmt w:val="decimal"/>
      <w:suff w:val="nothing"/>
      <w:lvlText w:val="%1、"/>
      <w:lvlJc w:val="left"/>
    </w:lvl>
  </w:abstractNum>
  <w:abstractNum w:abstractNumId="1">
    <w:nsid w:val="99847EE8"/>
    <w:multiLevelType w:val="singleLevel"/>
    <w:tmpl w:val="99847EE8"/>
    <w:lvl w:ilvl="0" w:tentative="0">
      <w:start w:val="1"/>
      <w:numFmt w:val="decimal"/>
      <w:suff w:val="nothing"/>
      <w:lvlText w:val="%1、"/>
      <w:lvlJc w:val="left"/>
    </w:lvl>
  </w:abstractNum>
  <w:abstractNum w:abstractNumId="2">
    <w:nsid w:val="9F539A1D"/>
    <w:multiLevelType w:val="singleLevel"/>
    <w:tmpl w:val="9F539A1D"/>
    <w:lvl w:ilvl="0" w:tentative="0">
      <w:start w:val="1"/>
      <w:numFmt w:val="decimal"/>
      <w:suff w:val="nothing"/>
      <w:lvlText w:val="%1、"/>
      <w:lvlJc w:val="left"/>
    </w:lvl>
  </w:abstractNum>
  <w:abstractNum w:abstractNumId="3">
    <w:nsid w:val="AF224195"/>
    <w:multiLevelType w:val="singleLevel"/>
    <w:tmpl w:val="AF224195"/>
    <w:lvl w:ilvl="0" w:tentative="0">
      <w:start w:val="1"/>
      <w:numFmt w:val="decimal"/>
      <w:suff w:val="nothing"/>
      <w:lvlText w:val="（%1）"/>
      <w:lvlJc w:val="left"/>
    </w:lvl>
  </w:abstractNum>
  <w:abstractNum w:abstractNumId="4">
    <w:nsid w:val="D28AA3EA"/>
    <w:multiLevelType w:val="singleLevel"/>
    <w:tmpl w:val="D28AA3EA"/>
    <w:lvl w:ilvl="0" w:tentative="0">
      <w:start w:val="1"/>
      <w:numFmt w:val="decimal"/>
      <w:suff w:val="nothing"/>
      <w:lvlText w:val="%1、"/>
      <w:lvlJc w:val="left"/>
    </w:lvl>
  </w:abstractNum>
  <w:abstractNum w:abstractNumId="5">
    <w:nsid w:val="FFFFFF7E"/>
    <w:multiLevelType w:val="singleLevel"/>
    <w:tmpl w:val="FFFFFF7E"/>
    <w:lvl w:ilvl="0" w:tentative="0">
      <w:start w:val="1"/>
      <w:numFmt w:val="decimal"/>
      <w:pStyle w:val="635"/>
      <w:lvlText w:val="%1."/>
      <w:lvlJc w:val="left"/>
      <w:pPr>
        <w:tabs>
          <w:tab w:val="left" w:pos="1200"/>
        </w:tabs>
        <w:ind w:left="1200" w:hanging="360"/>
      </w:pPr>
    </w:lvl>
  </w:abstractNum>
  <w:abstractNum w:abstractNumId="6">
    <w:nsid w:val="09594361"/>
    <w:multiLevelType w:val="multilevel"/>
    <w:tmpl w:val="09594361"/>
    <w:lvl w:ilvl="0" w:tentative="0">
      <w:start w:val="1"/>
      <w:numFmt w:val="chineseCountingThousand"/>
      <w:pStyle w:val="666"/>
      <w:lvlText w:val="第%1章"/>
      <w:lvlJc w:val="left"/>
      <w:pPr>
        <w:ind w:left="0" w:firstLine="0"/>
      </w:pPr>
      <w:rPr>
        <w:rFonts w:hint="eastAsia" w:eastAsia="宋体"/>
        <w:b/>
        <w:sz w:val="36"/>
      </w:rPr>
    </w:lvl>
    <w:lvl w:ilvl="1" w:tentative="0">
      <w:start w:val="1"/>
      <w:numFmt w:val="decimal"/>
      <w:isLgl/>
      <w:lvlText w:val="%1.%2"/>
      <w:lvlJc w:val="left"/>
      <w:pPr>
        <w:ind w:left="142" w:firstLine="0"/>
      </w:pPr>
      <w:rPr>
        <w:rFonts w:hint="eastAsia" w:eastAsia="宋体"/>
        <w:b/>
        <w:sz w:val="32"/>
      </w:rPr>
    </w:lvl>
    <w:lvl w:ilvl="2" w:tentative="0">
      <w:start w:val="1"/>
      <w:numFmt w:val="decimal"/>
      <w:isLgl/>
      <w:lvlText w:val="%1.%2.%3"/>
      <w:lvlJc w:val="left"/>
      <w:pPr>
        <w:ind w:left="284" w:firstLine="0"/>
      </w:pPr>
      <w:rPr>
        <w:rFonts w:hint="eastAsia" w:eastAsia="宋体"/>
        <w:b/>
        <w:sz w:val="30"/>
      </w:rPr>
    </w:lvl>
    <w:lvl w:ilvl="3" w:tentative="0">
      <w:start w:val="1"/>
      <w:numFmt w:val="decimal"/>
      <w:isLgl/>
      <w:lvlText w:val="%1.%2.%3.%4"/>
      <w:lvlJc w:val="left"/>
      <w:pPr>
        <w:ind w:left="426" w:firstLine="0"/>
      </w:pPr>
      <w:rPr>
        <w:rFonts w:hint="eastAsia" w:eastAsia="宋体"/>
        <w:b/>
        <w:sz w:val="28"/>
      </w:rPr>
    </w:lvl>
    <w:lvl w:ilvl="4" w:tentative="0">
      <w:start w:val="1"/>
      <w:numFmt w:val="decimal"/>
      <w:isLgl/>
      <w:lvlText w:val="%1.%2.%3.%4.%5"/>
      <w:lvlJc w:val="left"/>
      <w:pPr>
        <w:ind w:left="568" w:firstLine="0"/>
      </w:pPr>
      <w:rPr>
        <w:rFonts w:hint="eastAsia" w:eastAsia="宋体"/>
        <w:b/>
        <w:sz w:val="24"/>
      </w:rPr>
    </w:lvl>
    <w:lvl w:ilvl="5" w:tentative="0">
      <w:start w:val="1"/>
      <w:numFmt w:val="decimal"/>
      <w:isLgl/>
      <w:lvlText w:val="%1.%2.%3.%4.%5.%6"/>
      <w:lvlJc w:val="left"/>
      <w:pPr>
        <w:ind w:left="710" w:firstLine="0"/>
      </w:pPr>
      <w:rPr>
        <w:rFonts w:hint="eastAsia" w:eastAsia="宋体"/>
        <w:b/>
        <w:sz w:val="24"/>
      </w:rPr>
    </w:lvl>
    <w:lvl w:ilvl="6" w:tentative="0">
      <w:start w:val="1"/>
      <w:numFmt w:val="decimal"/>
      <w:isLgl/>
      <w:lvlText w:val="%1.%2.%3.%4.%5.%6.%7"/>
      <w:lvlJc w:val="left"/>
      <w:pPr>
        <w:ind w:left="852" w:firstLine="0"/>
      </w:pPr>
      <w:rPr>
        <w:rFonts w:hint="eastAsia" w:eastAsia="宋体"/>
        <w:b/>
        <w:sz w:val="24"/>
      </w:rPr>
    </w:lvl>
    <w:lvl w:ilvl="7" w:tentative="0">
      <w:start w:val="1"/>
      <w:numFmt w:val="decimal"/>
      <w:pStyle w:val="567"/>
      <w:isLgl/>
      <w:lvlText w:val="%1.%2.%3.%4.%5.%6.%7.%8"/>
      <w:lvlJc w:val="left"/>
      <w:pPr>
        <w:ind w:left="994" w:firstLine="0"/>
      </w:pPr>
      <w:rPr>
        <w:rFonts w:hint="eastAsia" w:eastAsia="宋体"/>
        <w:b/>
        <w:sz w:val="24"/>
      </w:rPr>
    </w:lvl>
    <w:lvl w:ilvl="8" w:tentative="0">
      <w:start w:val="1"/>
      <w:numFmt w:val="decimal"/>
      <w:isLgl/>
      <w:lvlText w:val="%1.%2.%3.%4.%5.%6.%7.%8.%9"/>
      <w:lvlJc w:val="left"/>
      <w:pPr>
        <w:ind w:left="1136" w:firstLine="0"/>
      </w:pPr>
      <w:rPr>
        <w:rFonts w:hint="eastAsia" w:eastAsia="宋体"/>
        <w:b/>
        <w:sz w:val="24"/>
      </w:rPr>
    </w:lvl>
  </w:abstractNum>
  <w:abstractNum w:abstractNumId="7">
    <w:nsid w:val="09890BCC"/>
    <w:multiLevelType w:val="multilevel"/>
    <w:tmpl w:val="09890BCC"/>
    <w:lvl w:ilvl="0" w:tentative="0">
      <w:start w:val="1"/>
      <w:numFmt w:val="decimal"/>
      <w:pStyle w:val="526"/>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8">
    <w:nsid w:val="0A7C4C36"/>
    <w:multiLevelType w:val="singleLevel"/>
    <w:tmpl w:val="0A7C4C36"/>
    <w:lvl w:ilvl="0" w:tentative="0">
      <w:start w:val="1"/>
      <w:numFmt w:val="upperLetter"/>
      <w:suff w:val="nothing"/>
      <w:lvlText w:val="%1、"/>
      <w:lvlJc w:val="left"/>
    </w:lvl>
  </w:abstractNum>
  <w:abstractNum w:abstractNumId="9">
    <w:nsid w:val="0C34DE15"/>
    <w:multiLevelType w:val="singleLevel"/>
    <w:tmpl w:val="0C34DE15"/>
    <w:lvl w:ilvl="0" w:tentative="0">
      <w:start w:val="1"/>
      <w:numFmt w:val="decimal"/>
      <w:lvlText w:val="%1."/>
      <w:lvlJc w:val="left"/>
      <w:pPr>
        <w:tabs>
          <w:tab w:val="left" w:pos="312"/>
        </w:tabs>
      </w:pPr>
    </w:lvl>
  </w:abstractNum>
  <w:abstractNum w:abstractNumId="10">
    <w:nsid w:val="225A8346"/>
    <w:multiLevelType w:val="singleLevel"/>
    <w:tmpl w:val="225A8346"/>
    <w:lvl w:ilvl="0" w:tentative="0">
      <w:start w:val="1"/>
      <w:numFmt w:val="decimal"/>
      <w:lvlText w:val="%1."/>
      <w:lvlJc w:val="left"/>
      <w:pPr>
        <w:tabs>
          <w:tab w:val="left" w:pos="312"/>
        </w:tabs>
      </w:pPr>
    </w:lvl>
  </w:abstractNum>
  <w:abstractNum w:abstractNumId="11">
    <w:nsid w:val="4AB7E042"/>
    <w:multiLevelType w:val="singleLevel"/>
    <w:tmpl w:val="4AB7E042"/>
    <w:lvl w:ilvl="0" w:tentative="0">
      <w:start w:val="1"/>
      <w:numFmt w:val="decimal"/>
      <w:suff w:val="nothing"/>
      <w:lvlText w:val="%1、"/>
      <w:lvlJc w:val="left"/>
    </w:lvl>
  </w:abstractNum>
  <w:abstractNum w:abstractNumId="12">
    <w:nsid w:val="4DD4552D"/>
    <w:multiLevelType w:val="singleLevel"/>
    <w:tmpl w:val="4DD4552D"/>
    <w:lvl w:ilvl="0" w:tentative="0">
      <w:start w:val="1"/>
      <w:numFmt w:val="decimal"/>
      <w:lvlText w:val="%1."/>
      <w:lvlJc w:val="left"/>
      <w:pPr>
        <w:tabs>
          <w:tab w:val="left" w:pos="312"/>
        </w:tabs>
      </w:pPr>
    </w:lvl>
  </w:abstractNum>
  <w:abstractNum w:abstractNumId="13">
    <w:nsid w:val="5F7AD02A"/>
    <w:multiLevelType w:val="multilevel"/>
    <w:tmpl w:val="5F7AD02A"/>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4">
    <w:nsid w:val="6FD3E70C"/>
    <w:multiLevelType w:val="singleLevel"/>
    <w:tmpl w:val="6FD3E70C"/>
    <w:lvl w:ilvl="0" w:tentative="0">
      <w:start w:val="1"/>
      <w:numFmt w:val="decimal"/>
      <w:suff w:val="nothing"/>
      <w:lvlText w:val="%1、"/>
      <w:lvlJc w:val="left"/>
    </w:lvl>
  </w:abstractNum>
  <w:abstractNum w:abstractNumId="15">
    <w:nsid w:val="710F0F7D"/>
    <w:multiLevelType w:val="multilevel"/>
    <w:tmpl w:val="710F0F7D"/>
    <w:lvl w:ilvl="0" w:tentative="0">
      <w:start w:val="1"/>
      <w:numFmt w:val="decimal"/>
      <w:pStyle w:val="749"/>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1D8CFBA"/>
    <w:multiLevelType w:val="singleLevel"/>
    <w:tmpl w:val="71D8CFBA"/>
    <w:lvl w:ilvl="0" w:tentative="0">
      <w:start w:val="1"/>
      <w:numFmt w:val="chineseCounting"/>
      <w:suff w:val="space"/>
      <w:lvlText w:val="第%1节"/>
      <w:lvlJc w:val="left"/>
      <w:rPr>
        <w:rFonts w:hint="eastAsia"/>
      </w:rPr>
    </w:lvl>
  </w:abstractNum>
  <w:abstractNum w:abstractNumId="17">
    <w:nsid w:val="763060DB"/>
    <w:multiLevelType w:val="multilevel"/>
    <w:tmpl w:val="763060DB"/>
    <w:lvl w:ilvl="0" w:tentative="0">
      <w:start w:val="1"/>
      <w:numFmt w:val="japaneseCounting"/>
      <w:pStyle w:val="713"/>
      <w:lvlText w:val="第%1章"/>
      <w:lvlJc w:val="left"/>
      <w:pPr>
        <w:tabs>
          <w:tab w:val="left" w:pos="1440"/>
        </w:tabs>
        <w:ind w:left="1440" w:hanging="1275"/>
      </w:pPr>
      <w:rPr>
        <w:rFonts w:hint="eastAsia"/>
      </w:rPr>
    </w:lvl>
    <w:lvl w:ilvl="1" w:tentative="0">
      <w:start w:val="1"/>
      <w:numFmt w:val="japaneseCounting"/>
      <w:pStyle w:val="573"/>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7"/>
  </w:num>
  <w:num w:numId="2">
    <w:abstractNumId w:val="6"/>
  </w:num>
  <w:num w:numId="3">
    <w:abstractNumId w:val="17"/>
  </w:num>
  <w:num w:numId="4">
    <w:abstractNumId w:val="5"/>
  </w:num>
  <w:num w:numId="5">
    <w:abstractNumId w:val="15"/>
  </w:num>
  <w:num w:numId="6">
    <w:abstractNumId w:val="14"/>
  </w:num>
  <w:num w:numId="7">
    <w:abstractNumId w:val="0"/>
  </w:num>
  <w:num w:numId="8">
    <w:abstractNumId w:val="1"/>
  </w:num>
  <w:num w:numId="9">
    <w:abstractNumId w:val="3"/>
  </w:num>
  <w:num w:numId="10">
    <w:abstractNumId w:val="16"/>
  </w:num>
  <w:num w:numId="11">
    <w:abstractNumId w:val="13"/>
  </w:num>
  <w:num w:numId="12">
    <w:abstractNumId w:val="8"/>
  </w:num>
  <w:num w:numId="13">
    <w:abstractNumId w:val="4"/>
  </w:num>
  <w:num w:numId="14">
    <w:abstractNumId w:val="2"/>
  </w:num>
  <w:num w:numId="15">
    <w:abstractNumId w:val="11"/>
  </w:num>
  <w:num w:numId="16">
    <w:abstractNumId w:val="10"/>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NmM2YTliOTgxM2YyMjUyOTJkNjg0MWU4ZDA3ODAifQ=="/>
  </w:docVars>
  <w:rsids>
    <w:rsidRoot w:val="007869C4"/>
    <w:rsid w:val="00002463"/>
    <w:rsid w:val="00002E13"/>
    <w:rsid w:val="000052F1"/>
    <w:rsid w:val="00005DF3"/>
    <w:rsid w:val="0000629C"/>
    <w:rsid w:val="00006B3B"/>
    <w:rsid w:val="00006CFE"/>
    <w:rsid w:val="00007B8A"/>
    <w:rsid w:val="00010B77"/>
    <w:rsid w:val="000122C0"/>
    <w:rsid w:val="00015FA1"/>
    <w:rsid w:val="00016253"/>
    <w:rsid w:val="00016596"/>
    <w:rsid w:val="0002117F"/>
    <w:rsid w:val="0002144F"/>
    <w:rsid w:val="0002231F"/>
    <w:rsid w:val="00022CFB"/>
    <w:rsid w:val="00023ADD"/>
    <w:rsid w:val="00026AF1"/>
    <w:rsid w:val="00027A40"/>
    <w:rsid w:val="00027D2E"/>
    <w:rsid w:val="00036327"/>
    <w:rsid w:val="00037A8E"/>
    <w:rsid w:val="00041526"/>
    <w:rsid w:val="00041CDE"/>
    <w:rsid w:val="000458B2"/>
    <w:rsid w:val="00047116"/>
    <w:rsid w:val="0005105D"/>
    <w:rsid w:val="00053F3D"/>
    <w:rsid w:val="00055100"/>
    <w:rsid w:val="00055BE7"/>
    <w:rsid w:val="00062B9A"/>
    <w:rsid w:val="000640D3"/>
    <w:rsid w:val="000672FC"/>
    <w:rsid w:val="0007111C"/>
    <w:rsid w:val="000711AB"/>
    <w:rsid w:val="0008122F"/>
    <w:rsid w:val="000815DA"/>
    <w:rsid w:val="00081EA6"/>
    <w:rsid w:val="000831DD"/>
    <w:rsid w:val="0008413F"/>
    <w:rsid w:val="000879E7"/>
    <w:rsid w:val="00090720"/>
    <w:rsid w:val="00091E35"/>
    <w:rsid w:val="00092B17"/>
    <w:rsid w:val="000936FA"/>
    <w:rsid w:val="00095E55"/>
    <w:rsid w:val="0009688D"/>
    <w:rsid w:val="000A0191"/>
    <w:rsid w:val="000A3EA0"/>
    <w:rsid w:val="000A4040"/>
    <w:rsid w:val="000A449F"/>
    <w:rsid w:val="000A4BB6"/>
    <w:rsid w:val="000A7C26"/>
    <w:rsid w:val="000B015F"/>
    <w:rsid w:val="000B0379"/>
    <w:rsid w:val="000B613D"/>
    <w:rsid w:val="000B672A"/>
    <w:rsid w:val="000B7674"/>
    <w:rsid w:val="000B771B"/>
    <w:rsid w:val="000C0D78"/>
    <w:rsid w:val="000C15F4"/>
    <w:rsid w:val="000C1BCC"/>
    <w:rsid w:val="000C6205"/>
    <w:rsid w:val="000D3C2B"/>
    <w:rsid w:val="000D531A"/>
    <w:rsid w:val="000D59E2"/>
    <w:rsid w:val="000D72F1"/>
    <w:rsid w:val="000E00B8"/>
    <w:rsid w:val="000E0873"/>
    <w:rsid w:val="000E1188"/>
    <w:rsid w:val="000E26E1"/>
    <w:rsid w:val="000E2F8A"/>
    <w:rsid w:val="000E3386"/>
    <w:rsid w:val="000E4F7E"/>
    <w:rsid w:val="000E58AA"/>
    <w:rsid w:val="000F5F80"/>
    <w:rsid w:val="001026FC"/>
    <w:rsid w:val="00102E4E"/>
    <w:rsid w:val="001037E0"/>
    <w:rsid w:val="00103F53"/>
    <w:rsid w:val="00104210"/>
    <w:rsid w:val="00104566"/>
    <w:rsid w:val="0012237F"/>
    <w:rsid w:val="00123893"/>
    <w:rsid w:val="00126339"/>
    <w:rsid w:val="0012694E"/>
    <w:rsid w:val="00127469"/>
    <w:rsid w:val="001321E9"/>
    <w:rsid w:val="00135399"/>
    <w:rsid w:val="00135CA6"/>
    <w:rsid w:val="00136364"/>
    <w:rsid w:val="0014056B"/>
    <w:rsid w:val="001420F8"/>
    <w:rsid w:val="00144EB7"/>
    <w:rsid w:val="00146D00"/>
    <w:rsid w:val="00150BE3"/>
    <w:rsid w:val="00150DD9"/>
    <w:rsid w:val="00150F69"/>
    <w:rsid w:val="001514AC"/>
    <w:rsid w:val="001516D9"/>
    <w:rsid w:val="001531FD"/>
    <w:rsid w:val="001550AE"/>
    <w:rsid w:val="00156DD4"/>
    <w:rsid w:val="0015764D"/>
    <w:rsid w:val="0016026D"/>
    <w:rsid w:val="00163185"/>
    <w:rsid w:val="00164CB0"/>
    <w:rsid w:val="00165F80"/>
    <w:rsid w:val="00170085"/>
    <w:rsid w:val="00174DC8"/>
    <w:rsid w:val="0018204B"/>
    <w:rsid w:val="001826A6"/>
    <w:rsid w:val="00183415"/>
    <w:rsid w:val="0018416C"/>
    <w:rsid w:val="00184563"/>
    <w:rsid w:val="00190713"/>
    <w:rsid w:val="00190B73"/>
    <w:rsid w:val="00190FBF"/>
    <w:rsid w:val="00192F17"/>
    <w:rsid w:val="001930F3"/>
    <w:rsid w:val="00193F4F"/>
    <w:rsid w:val="00196431"/>
    <w:rsid w:val="001A3A25"/>
    <w:rsid w:val="001A453C"/>
    <w:rsid w:val="001A4E1D"/>
    <w:rsid w:val="001A562A"/>
    <w:rsid w:val="001A680B"/>
    <w:rsid w:val="001B0009"/>
    <w:rsid w:val="001B0E0B"/>
    <w:rsid w:val="001B23EE"/>
    <w:rsid w:val="001B336D"/>
    <w:rsid w:val="001B5A41"/>
    <w:rsid w:val="001B7257"/>
    <w:rsid w:val="001B74F4"/>
    <w:rsid w:val="001B7E48"/>
    <w:rsid w:val="001C1C05"/>
    <w:rsid w:val="001C2537"/>
    <w:rsid w:val="001C3456"/>
    <w:rsid w:val="001C4CD5"/>
    <w:rsid w:val="001C4E67"/>
    <w:rsid w:val="001C6BFF"/>
    <w:rsid w:val="001C79D4"/>
    <w:rsid w:val="001C7FB4"/>
    <w:rsid w:val="001D23C2"/>
    <w:rsid w:val="001D25AB"/>
    <w:rsid w:val="001D4051"/>
    <w:rsid w:val="001D4261"/>
    <w:rsid w:val="001D5F5A"/>
    <w:rsid w:val="001D6BA4"/>
    <w:rsid w:val="001D7560"/>
    <w:rsid w:val="001E0483"/>
    <w:rsid w:val="001E254B"/>
    <w:rsid w:val="001E5104"/>
    <w:rsid w:val="001E61C1"/>
    <w:rsid w:val="001E67E1"/>
    <w:rsid w:val="001E7AAA"/>
    <w:rsid w:val="001F09E0"/>
    <w:rsid w:val="001F1DBD"/>
    <w:rsid w:val="001F4939"/>
    <w:rsid w:val="001F6053"/>
    <w:rsid w:val="002006E7"/>
    <w:rsid w:val="002019FF"/>
    <w:rsid w:val="002026AA"/>
    <w:rsid w:val="00203F13"/>
    <w:rsid w:val="0020534F"/>
    <w:rsid w:val="00205B10"/>
    <w:rsid w:val="00205CFD"/>
    <w:rsid w:val="002064AF"/>
    <w:rsid w:val="002110B3"/>
    <w:rsid w:val="00212555"/>
    <w:rsid w:val="00213B90"/>
    <w:rsid w:val="00214A9A"/>
    <w:rsid w:val="002239A1"/>
    <w:rsid w:val="00224ADC"/>
    <w:rsid w:val="00227201"/>
    <w:rsid w:val="002304AB"/>
    <w:rsid w:val="0023260E"/>
    <w:rsid w:val="00232D84"/>
    <w:rsid w:val="002336E0"/>
    <w:rsid w:val="00234CA0"/>
    <w:rsid w:val="00235BFF"/>
    <w:rsid w:val="00236F8A"/>
    <w:rsid w:val="0023767D"/>
    <w:rsid w:val="002413D6"/>
    <w:rsid w:val="0024378A"/>
    <w:rsid w:val="0024425D"/>
    <w:rsid w:val="00244A96"/>
    <w:rsid w:val="00246362"/>
    <w:rsid w:val="002471FF"/>
    <w:rsid w:val="00250620"/>
    <w:rsid w:val="002542B4"/>
    <w:rsid w:val="002548CC"/>
    <w:rsid w:val="00254F87"/>
    <w:rsid w:val="00256236"/>
    <w:rsid w:val="002629CC"/>
    <w:rsid w:val="00262AE2"/>
    <w:rsid w:val="0026506E"/>
    <w:rsid w:val="00265D81"/>
    <w:rsid w:val="00266E01"/>
    <w:rsid w:val="00270A20"/>
    <w:rsid w:val="00271DE4"/>
    <w:rsid w:val="0027443A"/>
    <w:rsid w:val="002809B6"/>
    <w:rsid w:val="00281A7D"/>
    <w:rsid w:val="00281B40"/>
    <w:rsid w:val="00282E32"/>
    <w:rsid w:val="002860A5"/>
    <w:rsid w:val="002865D9"/>
    <w:rsid w:val="002866C9"/>
    <w:rsid w:val="00287E26"/>
    <w:rsid w:val="00295643"/>
    <w:rsid w:val="00295C6D"/>
    <w:rsid w:val="00297F1A"/>
    <w:rsid w:val="002A115F"/>
    <w:rsid w:val="002A3FF0"/>
    <w:rsid w:val="002A4848"/>
    <w:rsid w:val="002A5B7C"/>
    <w:rsid w:val="002B020E"/>
    <w:rsid w:val="002B1540"/>
    <w:rsid w:val="002B4132"/>
    <w:rsid w:val="002B43F6"/>
    <w:rsid w:val="002B4A7A"/>
    <w:rsid w:val="002B66D2"/>
    <w:rsid w:val="002B6BC9"/>
    <w:rsid w:val="002C07EB"/>
    <w:rsid w:val="002C3279"/>
    <w:rsid w:val="002C41AD"/>
    <w:rsid w:val="002C4AA7"/>
    <w:rsid w:val="002C6297"/>
    <w:rsid w:val="002C6AA5"/>
    <w:rsid w:val="002D4834"/>
    <w:rsid w:val="002D4B8C"/>
    <w:rsid w:val="002E06F0"/>
    <w:rsid w:val="002E0AB0"/>
    <w:rsid w:val="002E125C"/>
    <w:rsid w:val="002E1B49"/>
    <w:rsid w:val="002E309B"/>
    <w:rsid w:val="002E3F85"/>
    <w:rsid w:val="002E4523"/>
    <w:rsid w:val="002E4C2E"/>
    <w:rsid w:val="002E6019"/>
    <w:rsid w:val="002E66BE"/>
    <w:rsid w:val="002E6AE7"/>
    <w:rsid w:val="002F0EF7"/>
    <w:rsid w:val="002F14B1"/>
    <w:rsid w:val="002F1B6F"/>
    <w:rsid w:val="002F3A7C"/>
    <w:rsid w:val="002F63F4"/>
    <w:rsid w:val="003006F7"/>
    <w:rsid w:val="003020CF"/>
    <w:rsid w:val="00302F75"/>
    <w:rsid w:val="003051BC"/>
    <w:rsid w:val="00306591"/>
    <w:rsid w:val="003067F7"/>
    <w:rsid w:val="00306A55"/>
    <w:rsid w:val="00306D07"/>
    <w:rsid w:val="00307A95"/>
    <w:rsid w:val="0031397C"/>
    <w:rsid w:val="003159CE"/>
    <w:rsid w:val="003162F7"/>
    <w:rsid w:val="00320174"/>
    <w:rsid w:val="003202E2"/>
    <w:rsid w:val="00321AC4"/>
    <w:rsid w:val="0032347A"/>
    <w:rsid w:val="0032463F"/>
    <w:rsid w:val="00327E7A"/>
    <w:rsid w:val="003320D8"/>
    <w:rsid w:val="003349A1"/>
    <w:rsid w:val="00337799"/>
    <w:rsid w:val="00341119"/>
    <w:rsid w:val="00341BC6"/>
    <w:rsid w:val="00342003"/>
    <w:rsid w:val="00342C6D"/>
    <w:rsid w:val="00342CE4"/>
    <w:rsid w:val="00346F1B"/>
    <w:rsid w:val="00347354"/>
    <w:rsid w:val="0035418C"/>
    <w:rsid w:val="003560C4"/>
    <w:rsid w:val="003604A5"/>
    <w:rsid w:val="00361254"/>
    <w:rsid w:val="00362014"/>
    <w:rsid w:val="00364626"/>
    <w:rsid w:val="003672C7"/>
    <w:rsid w:val="0037056C"/>
    <w:rsid w:val="003708EE"/>
    <w:rsid w:val="003737C6"/>
    <w:rsid w:val="0037514D"/>
    <w:rsid w:val="00375525"/>
    <w:rsid w:val="003757E4"/>
    <w:rsid w:val="00375C75"/>
    <w:rsid w:val="00376EED"/>
    <w:rsid w:val="00380626"/>
    <w:rsid w:val="00380B7B"/>
    <w:rsid w:val="00381C78"/>
    <w:rsid w:val="00384A29"/>
    <w:rsid w:val="00391872"/>
    <w:rsid w:val="00392E68"/>
    <w:rsid w:val="00394306"/>
    <w:rsid w:val="003A196E"/>
    <w:rsid w:val="003A2371"/>
    <w:rsid w:val="003A5E49"/>
    <w:rsid w:val="003A7F81"/>
    <w:rsid w:val="003B032A"/>
    <w:rsid w:val="003B082F"/>
    <w:rsid w:val="003B4189"/>
    <w:rsid w:val="003B58B0"/>
    <w:rsid w:val="003B6481"/>
    <w:rsid w:val="003B6A47"/>
    <w:rsid w:val="003B7D76"/>
    <w:rsid w:val="003C2784"/>
    <w:rsid w:val="003C2823"/>
    <w:rsid w:val="003C60D1"/>
    <w:rsid w:val="003C6F76"/>
    <w:rsid w:val="003D1275"/>
    <w:rsid w:val="003D3872"/>
    <w:rsid w:val="003D38AE"/>
    <w:rsid w:val="003D3C0C"/>
    <w:rsid w:val="003D5482"/>
    <w:rsid w:val="003D7315"/>
    <w:rsid w:val="003E069B"/>
    <w:rsid w:val="003E07E7"/>
    <w:rsid w:val="003E0FB0"/>
    <w:rsid w:val="003E1D3B"/>
    <w:rsid w:val="003E46CA"/>
    <w:rsid w:val="003E5087"/>
    <w:rsid w:val="003E530C"/>
    <w:rsid w:val="003E6E88"/>
    <w:rsid w:val="003F49DA"/>
    <w:rsid w:val="003F6127"/>
    <w:rsid w:val="003F691C"/>
    <w:rsid w:val="003F6A97"/>
    <w:rsid w:val="003F7E24"/>
    <w:rsid w:val="0040021B"/>
    <w:rsid w:val="00400F7A"/>
    <w:rsid w:val="004038BE"/>
    <w:rsid w:val="00404B79"/>
    <w:rsid w:val="004051E0"/>
    <w:rsid w:val="00405BB0"/>
    <w:rsid w:val="00406260"/>
    <w:rsid w:val="00406695"/>
    <w:rsid w:val="00406869"/>
    <w:rsid w:val="00413FD4"/>
    <w:rsid w:val="00414442"/>
    <w:rsid w:val="0041502D"/>
    <w:rsid w:val="004154BA"/>
    <w:rsid w:val="004169F7"/>
    <w:rsid w:val="0041726D"/>
    <w:rsid w:val="004209A2"/>
    <w:rsid w:val="00423E05"/>
    <w:rsid w:val="0042651A"/>
    <w:rsid w:val="004279E5"/>
    <w:rsid w:val="00431135"/>
    <w:rsid w:val="00435B7F"/>
    <w:rsid w:val="00436B8D"/>
    <w:rsid w:val="0044306A"/>
    <w:rsid w:val="0044409F"/>
    <w:rsid w:val="00444300"/>
    <w:rsid w:val="00445FB4"/>
    <w:rsid w:val="00446244"/>
    <w:rsid w:val="004500F8"/>
    <w:rsid w:val="004509AF"/>
    <w:rsid w:val="00451DE8"/>
    <w:rsid w:val="00454A8C"/>
    <w:rsid w:val="0045593D"/>
    <w:rsid w:val="0045661F"/>
    <w:rsid w:val="004577C3"/>
    <w:rsid w:val="00462353"/>
    <w:rsid w:val="004626D5"/>
    <w:rsid w:val="00462F08"/>
    <w:rsid w:val="004632A8"/>
    <w:rsid w:val="00466C97"/>
    <w:rsid w:val="004677C9"/>
    <w:rsid w:val="004740A9"/>
    <w:rsid w:val="00474B91"/>
    <w:rsid w:val="00475C65"/>
    <w:rsid w:val="00477616"/>
    <w:rsid w:val="0048350E"/>
    <w:rsid w:val="00483612"/>
    <w:rsid w:val="00483F5E"/>
    <w:rsid w:val="00485307"/>
    <w:rsid w:val="0049114A"/>
    <w:rsid w:val="00492279"/>
    <w:rsid w:val="004928E2"/>
    <w:rsid w:val="00493686"/>
    <w:rsid w:val="004942B4"/>
    <w:rsid w:val="004966FF"/>
    <w:rsid w:val="004A0B8D"/>
    <w:rsid w:val="004A1ED2"/>
    <w:rsid w:val="004A727B"/>
    <w:rsid w:val="004A7D2B"/>
    <w:rsid w:val="004A7D7A"/>
    <w:rsid w:val="004B2C6E"/>
    <w:rsid w:val="004B4D52"/>
    <w:rsid w:val="004B54C0"/>
    <w:rsid w:val="004B5DDC"/>
    <w:rsid w:val="004B6CED"/>
    <w:rsid w:val="004B7988"/>
    <w:rsid w:val="004C0815"/>
    <w:rsid w:val="004C1C8F"/>
    <w:rsid w:val="004C3FFE"/>
    <w:rsid w:val="004C69E2"/>
    <w:rsid w:val="004C7FAD"/>
    <w:rsid w:val="004D010E"/>
    <w:rsid w:val="004D2672"/>
    <w:rsid w:val="004D33BF"/>
    <w:rsid w:val="004D38C5"/>
    <w:rsid w:val="004D76AF"/>
    <w:rsid w:val="004D7C45"/>
    <w:rsid w:val="004E1B8E"/>
    <w:rsid w:val="004E1EB4"/>
    <w:rsid w:val="004E4887"/>
    <w:rsid w:val="004E6F73"/>
    <w:rsid w:val="004F08C5"/>
    <w:rsid w:val="004F08CA"/>
    <w:rsid w:val="004F158B"/>
    <w:rsid w:val="004F348C"/>
    <w:rsid w:val="004F4126"/>
    <w:rsid w:val="0050063C"/>
    <w:rsid w:val="0050148C"/>
    <w:rsid w:val="005029C8"/>
    <w:rsid w:val="00504912"/>
    <w:rsid w:val="005064FE"/>
    <w:rsid w:val="00506AFB"/>
    <w:rsid w:val="00510107"/>
    <w:rsid w:val="005109FF"/>
    <w:rsid w:val="00510D12"/>
    <w:rsid w:val="00513A1B"/>
    <w:rsid w:val="00514E89"/>
    <w:rsid w:val="005200E6"/>
    <w:rsid w:val="005208FF"/>
    <w:rsid w:val="0052384A"/>
    <w:rsid w:val="005243D3"/>
    <w:rsid w:val="00526637"/>
    <w:rsid w:val="00526FE2"/>
    <w:rsid w:val="00530EBF"/>
    <w:rsid w:val="005325F3"/>
    <w:rsid w:val="0053338D"/>
    <w:rsid w:val="005337D5"/>
    <w:rsid w:val="00534967"/>
    <w:rsid w:val="00540ECC"/>
    <w:rsid w:val="005453BF"/>
    <w:rsid w:val="005521F8"/>
    <w:rsid w:val="0055240D"/>
    <w:rsid w:val="005533DA"/>
    <w:rsid w:val="005537D1"/>
    <w:rsid w:val="00556ADF"/>
    <w:rsid w:val="00556FB2"/>
    <w:rsid w:val="00557286"/>
    <w:rsid w:val="005577F2"/>
    <w:rsid w:val="00562F06"/>
    <w:rsid w:val="005632F8"/>
    <w:rsid w:val="0056602B"/>
    <w:rsid w:val="00573AD1"/>
    <w:rsid w:val="00574251"/>
    <w:rsid w:val="00575541"/>
    <w:rsid w:val="005755CD"/>
    <w:rsid w:val="005760F5"/>
    <w:rsid w:val="0057748C"/>
    <w:rsid w:val="00581749"/>
    <w:rsid w:val="00581F19"/>
    <w:rsid w:val="0058248A"/>
    <w:rsid w:val="00583C4B"/>
    <w:rsid w:val="00585968"/>
    <w:rsid w:val="00587D20"/>
    <w:rsid w:val="005903C1"/>
    <w:rsid w:val="005910C8"/>
    <w:rsid w:val="00591525"/>
    <w:rsid w:val="00591FF5"/>
    <w:rsid w:val="00592A5F"/>
    <w:rsid w:val="005955F4"/>
    <w:rsid w:val="00596A0E"/>
    <w:rsid w:val="00596FFE"/>
    <w:rsid w:val="005970FC"/>
    <w:rsid w:val="005A164C"/>
    <w:rsid w:val="005A1A86"/>
    <w:rsid w:val="005A40AF"/>
    <w:rsid w:val="005A53AA"/>
    <w:rsid w:val="005B0947"/>
    <w:rsid w:val="005B2256"/>
    <w:rsid w:val="005B404F"/>
    <w:rsid w:val="005B40A6"/>
    <w:rsid w:val="005B4321"/>
    <w:rsid w:val="005B56C3"/>
    <w:rsid w:val="005B6BDF"/>
    <w:rsid w:val="005C3171"/>
    <w:rsid w:val="005C3B95"/>
    <w:rsid w:val="005C43C6"/>
    <w:rsid w:val="005C777A"/>
    <w:rsid w:val="005D01FF"/>
    <w:rsid w:val="005D109C"/>
    <w:rsid w:val="005D2886"/>
    <w:rsid w:val="005D45F3"/>
    <w:rsid w:val="005D63E4"/>
    <w:rsid w:val="005D6FEB"/>
    <w:rsid w:val="005D7C33"/>
    <w:rsid w:val="005E0537"/>
    <w:rsid w:val="005E0B18"/>
    <w:rsid w:val="005E1249"/>
    <w:rsid w:val="005E244C"/>
    <w:rsid w:val="005E2749"/>
    <w:rsid w:val="005E381A"/>
    <w:rsid w:val="005E3D03"/>
    <w:rsid w:val="005E4E27"/>
    <w:rsid w:val="005E713E"/>
    <w:rsid w:val="005E7C3A"/>
    <w:rsid w:val="005F01CE"/>
    <w:rsid w:val="005F2BFC"/>
    <w:rsid w:val="005F3359"/>
    <w:rsid w:val="005F40E3"/>
    <w:rsid w:val="005F6918"/>
    <w:rsid w:val="00600EBD"/>
    <w:rsid w:val="00601A0C"/>
    <w:rsid w:val="00602568"/>
    <w:rsid w:val="006057A3"/>
    <w:rsid w:val="00607597"/>
    <w:rsid w:val="00607FF8"/>
    <w:rsid w:val="006106D6"/>
    <w:rsid w:val="006108E0"/>
    <w:rsid w:val="006113C2"/>
    <w:rsid w:val="00612FF6"/>
    <w:rsid w:val="006138B3"/>
    <w:rsid w:val="00616544"/>
    <w:rsid w:val="00617907"/>
    <w:rsid w:val="00620A17"/>
    <w:rsid w:val="00621102"/>
    <w:rsid w:val="006218FF"/>
    <w:rsid w:val="00622CCE"/>
    <w:rsid w:val="00622EC8"/>
    <w:rsid w:val="00623FD6"/>
    <w:rsid w:val="00625A83"/>
    <w:rsid w:val="00625BBE"/>
    <w:rsid w:val="00627417"/>
    <w:rsid w:val="006336A7"/>
    <w:rsid w:val="0063793A"/>
    <w:rsid w:val="006424F1"/>
    <w:rsid w:val="00643150"/>
    <w:rsid w:val="0065094F"/>
    <w:rsid w:val="00651D42"/>
    <w:rsid w:val="00654297"/>
    <w:rsid w:val="006561C9"/>
    <w:rsid w:val="0065763C"/>
    <w:rsid w:val="00660860"/>
    <w:rsid w:val="006616D5"/>
    <w:rsid w:val="00662F6D"/>
    <w:rsid w:val="00663231"/>
    <w:rsid w:val="00663F58"/>
    <w:rsid w:val="00666A6E"/>
    <w:rsid w:val="00670113"/>
    <w:rsid w:val="0067015F"/>
    <w:rsid w:val="006716D5"/>
    <w:rsid w:val="00672AFD"/>
    <w:rsid w:val="00673FE6"/>
    <w:rsid w:val="00674C91"/>
    <w:rsid w:val="0067739A"/>
    <w:rsid w:val="00677EC1"/>
    <w:rsid w:val="00681FC7"/>
    <w:rsid w:val="00681FE9"/>
    <w:rsid w:val="006822AB"/>
    <w:rsid w:val="00690718"/>
    <w:rsid w:val="00690EB7"/>
    <w:rsid w:val="006929DC"/>
    <w:rsid w:val="006962BB"/>
    <w:rsid w:val="006963F2"/>
    <w:rsid w:val="006A01E9"/>
    <w:rsid w:val="006A1156"/>
    <w:rsid w:val="006A130E"/>
    <w:rsid w:val="006A1BC8"/>
    <w:rsid w:val="006A208C"/>
    <w:rsid w:val="006A38EB"/>
    <w:rsid w:val="006A3C2A"/>
    <w:rsid w:val="006A4518"/>
    <w:rsid w:val="006A49B8"/>
    <w:rsid w:val="006A7BEA"/>
    <w:rsid w:val="006A7DE7"/>
    <w:rsid w:val="006B19B1"/>
    <w:rsid w:val="006B2C44"/>
    <w:rsid w:val="006B5A53"/>
    <w:rsid w:val="006C00F0"/>
    <w:rsid w:val="006C0A08"/>
    <w:rsid w:val="006C0D5A"/>
    <w:rsid w:val="006C5403"/>
    <w:rsid w:val="006C745D"/>
    <w:rsid w:val="006D00E0"/>
    <w:rsid w:val="006D275B"/>
    <w:rsid w:val="006D3E25"/>
    <w:rsid w:val="006D4D9C"/>
    <w:rsid w:val="006E0C51"/>
    <w:rsid w:val="006E3836"/>
    <w:rsid w:val="006E642D"/>
    <w:rsid w:val="006E6E4D"/>
    <w:rsid w:val="006E7CA7"/>
    <w:rsid w:val="006F26C4"/>
    <w:rsid w:val="006F292F"/>
    <w:rsid w:val="006F3143"/>
    <w:rsid w:val="006F7EAE"/>
    <w:rsid w:val="00700440"/>
    <w:rsid w:val="00704017"/>
    <w:rsid w:val="00704CEB"/>
    <w:rsid w:val="007052A7"/>
    <w:rsid w:val="007054F5"/>
    <w:rsid w:val="007072A2"/>
    <w:rsid w:val="007079F1"/>
    <w:rsid w:val="0071348F"/>
    <w:rsid w:val="00714963"/>
    <w:rsid w:val="00715693"/>
    <w:rsid w:val="007161ED"/>
    <w:rsid w:val="00720B6A"/>
    <w:rsid w:val="00721DC9"/>
    <w:rsid w:val="00722C39"/>
    <w:rsid w:val="00723238"/>
    <w:rsid w:val="00724D7D"/>
    <w:rsid w:val="00725CC1"/>
    <w:rsid w:val="00727C45"/>
    <w:rsid w:val="0073247B"/>
    <w:rsid w:val="00733765"/>
    <w:rsid w:val="00733893"/>
    <w:rsid w:val="00733D40"/>
    <w:rsid w:val="00734710"/>
    <w:rsid w:val="00735249"/>
    <w:rsid w:val="00736197"/>
    <w:rsid w:val="0074221E"/>
    <w:rsid w:val="00742298"/>
    <w:rsid w:val="00744142"/>
    <w:rsid w:val="00745129"/>
    <w:rsid w:val="00746921"/>
    <w:rsid w:val="00746A89"/>
    <w:rsid w:val="00751569"/>
    <w:rsid w:val="00752522"/>
    <w:rsid w:val="00756C41"/>
    <w:rsid w:val="00761449"/>
    <w:rsid w:val="007629B9"/>
    <w:rsid w:val="0076324F"/>
    <w:rsid w:val="00765D65"/>
    <w:rsid w:val="00765F54"/>
    <w:rsid w:val="007669DE"/>
    <w:rsid w:val="007671D1"/>
    <w:rsid w:val="00770BDC"/>
    <w:rsid w:val="00770DFB"/>
    <w:rsid w:val="007711A7"/>
    <w:rsid w:val="00771D70"/>
    <w:rsid w:val="00774628"/>
    <w:rsid w:val="00774C92"/>
    <w:rsid w:val="007759CA"/>
    <w:rsid w:val="00776D34"/>
    <w:rsid w:val="00780504"/>
    <w:rsid w:val="00780858"/>
    <w:rsid w:val="00781A22"/>
    <w:rsid w:val="00783EA1"/>
    <w:rsid w:val="007847B6"/>
    <w:rsid w:val="00784B7C"/>
    <w:rsid w:val="00785CCD"/>
    <w:rsid w:val="00785F0F"/>
    <w:rsid w:val="007860D0"/>
    <w:rsid w:val="007868B9"/>
    <w:rsid w:val="007869C4"/>
    <w:rsid w:val="00786DE7"/>
    <w:rsid w:val="00790789"/>
    <w:rsid w:val="00791FCC"/>
    <w:rsid w:val="00793D35"/>
    <w:rsid w:val="007975DB"/>
    <w:rsid w:val="007A0356"/>
    <w:rsid w:val="007A0A40"/>
    <w:rsid w:val="007A4841"/>
    <w:rsid w:val="007A4A53"/>
    <w:rsid w:val="007B02EC"/>
    <w:rsid w:val="007B051D"/>
    <w:rsid w:val="007B0C79"/>
    <w:rsid w:val="007B1B47"/>
    <w:rsid w:val="007B39C9"/>
    <w:rsid w:val="007B3F7B"/>
    <w:rsid w:val="007B47EE"/>
    <w:rsid w:val="007B4D8E"/>
    <w:rsid w:val="007C2A39"/>
    <w:rsid w:val="007D13C2"/>
    <w:rsid w:val="007D1559"/>
    <w:rsid w:val="007D3CBD"/>
    <w:rsid w:val="007D76DD"/>
    <w:rsid w:val="007E50B8"/>
    <w:rsid w:val="007E61B3"/>
    <w:rsid w:val="007E673B"/>
    <w:rsid w:val="007F11E4"/>
    <w:rsid w:val="007F14B0"/>
    <w:rsid w:val="007F45DD"/>
    <w:rsid w:val="007F5562"/>
    <w:rsid w:val="007F55D7"/>
    <w:rsid w:val="007F6A30"/>
    <w:rsid w:val="00801299"/>
    <w:rsid w:val="00801562"/>
    <w:rsid w:val="00803DEA"/>
    <w:rsid w:val="008062F7"/>
    <w:rsid w:val="00806AB1"/>
    <w:rsid w:val="00812F1D"/>
    <w:rsid w:val="00816DF3"/>
    <w:rsid w:val="00817F26"/>
    <w:rsid w:val="00823902"/>
    <w:rsid w:val="00837B9A"/>
    <w:rsid w:val="00841354"/>
    <w:rsid w:val="008422C9"/>
    <w:rsid w:val="008506DC"/>
    <w:rsid w:val="008521E9"/>
    <w:rsid w:val="00854481"/>
    <w:rsid w:val="008550FB"/>
    <w:rsid w:val="00855206"/>
    <w:rsid w:val="008557E9"/>
    <w:rsid w:val="00860633"/>
    <w:rsid w:val="00872A71"/>
    <w:rsid w:val="00872FAE"/>
    <w:rsid w:val="00873CB3"/>
    <w:rsid w:val="00874686"/>
    <w:rsid w:val="008764B4"/>
    <w:rsid w:val="00880F1E"/>
    <w:rsid w:val="00883B48"/>
    <w:rsid w:val="00890858"/>
    <w:rsid w:val="008922AC"/>
    <w:rsid w:val="008924CD"/>
    <w:rsid w:val="0089251E"/>
    <w:rsid w:val="00892BC0"/>
    <w:rsid w:val="008A05B2"/>
    <w:rsid w:val="008A4CF3"/>
    <w:rsid w:val="008A4D19"/>
    <w:rsid w:val="008A59D8"/>
    <w:rsid w:val="008A5ADD"/>
    <w:rsid w:val="008A6C12"/>
    <w:rsid w:val="008B2C56"/>
    <w:rsid w:val="008B5A2A"/>
    <w:rsid w:val="008C3C42"/>
    <w:rsid w:val="008C4E8D"/>
    <w:rsid w:val="008C5FEF"/>
    <w:rsid w:val="008C5FFB"/>
    <w:rsid w:val="008C79F1"/>
    <w:rsid w:val="008D18FE"/>
    <w:rsid w:val="008D1B79"/>
    <w:rsid w:val="008D3FF8"/>
    <w:rsid w:val="008D543F"/>
    <w:rsid w:val="008D5B99"/>
    <w:rsid w:val="008D5EF4"/>
    <w:rsid w:val="008E1490"/>
    <w:rsid w:val="008E2A0E"/>
    <w:rsid w:val="008E5C33"/>
    <w:rsid w:val="008E7912"/>
    <w:rsid w:val="008F196A"/>
    <w:rsid w:val="008F3C2E"/>
    <w:rsid w:val="008F5BE4"/>
    <w:rsid w:val="00900737"/>
    <w:rsid w:val="00900FCC"/>
    <w:rsid w:val="00903033"/>
    <w:rsid w:val="00905D9C"/>
    <w:rsid w:val="009104C8"/>
    <w:rsid w:val="0091054C"/>
    <w:rsid w:val="00910BA4"/>
    <w:rsid w:val="00910C9B"/>
    <w:rsid w:val="00912B10"/>
    <w:rsid w:val="009153EE"/>
    <w:rsid w:val="00917549"/>
    <w:rsid w:val="00924962"/>
    <w:rsid w:val="00924B4E"/>
    <w:rsid w:val="009250BC"/>
    <w:rsid w:val="00925EDF"/>
    <w:rsid w:val="009268A5"/>
    <w:rsid w:val="00930937"/>
    <w:rsid w:val="00932726"/>
    <w:rsid w:val="00933032"/>
    <w:rsid w:val="0093319A"/>
    <w:rsid w:val="0093393C"/>
    <w:rsid w:val="00933FC6"/>
    <w:rsid w:val="00935368"/>
    <w:rsid w:val="00936586"/>
    <w:rsid w:val="0094046C"/>
    <w:rsid w:val="00941357"/>
    <w:rsid w:val="00943094"/>
    <w:rsid w:val="00943D72"/>
    <w:rsid w:val="00943EBF"/>
    <w:rsid w:val="00945D92"/>
    <w:rsid w:val="009503B4"/>
    <w:rsid w:val="009514A7"/>
    <w:rsid w:val="0096120C"/>
    <w:rsid w:val="00961294"/>
    <w:rsid w:val="00962F3C"/>
    <w:rsid w:val="00963917"/>
    <w:rsid w:val="009655B2"/>
    <w:rsid w:val="00966F86"/>
    <w:rsid w:val="00973188"/>
    <w:rsid w:val="009737F8"/>
    <w:rsid w:val="009742F8"/>
    <w:rsid w:val="00982996"/>
    <w:rsid w:val="00982DB4"/>
    <w:rsid w:val="0098378E"/>
    <w:rsid w:val="00983F46"/>
    <w:rsid w:val="00990209"/>
    <w:rsid w:val="0099106B"/>
    <w:rsid w:val="00993670"/>
    <w:rsid w:val="00994268"/>
    <w:rsid w:val="00996274"/>
    <w:rsid w:val="00997A8B"/>
    <w:rsid w:val="00997D0E"/>
    <w:rsid w:val="009A0C41"/>
    <w:rsid w:val="009A49A3"/>
    <w:rsid w:val="009A554E"/>
    <w:rsid w:val="009A7CA5"/>
    <w:rsid w:val="009B4100"/>
    <w:rsid w:val="009B4C34"/>
    <w:rsid w:val="009B63BF"/>
    <w:rsid w:val="009B6AF3"/>
    <w:rsid w:val="009C68E3"/>
    <w:rsid w:val="009C77A1"/>
    <w:rsid w:val="009C783F"/>
    <w:rsid w:val="009D096E"/>
    <w:rsid w:val="009D1DE9"/>
    <w:rsid w:val="009D5C4A"/>
    <w:rsid w:val="009D61CD"/>
    <w:rsid w:val="009D639C"/>
    <w:rsid w:val="009D6D14"/>
    <w:rsid w:val="009D7EDE"/>
    <w:rsid w:val="009E15F1"/>
    <w:rsid w:val="009E3A79"/>
    <w:rsid w:val="009E45DB"/>
    <w:rsid w:val="009E587D"/>
    <w:rsid w:val="009E7235"/>
    <w:rsid w:val="009F1BFD"/>
    <w:rsid w:val="009F383F"/>
    <w:rsid w:val="009F464C"/>
    <w:rsid w:val="009F6319"/>
    <w:rsid w:val="009F6441"/>
    <w:rsid w:val="009F6BE7"/>
    <w:rsid w:val="00A03FEF"/>
    <w:rsid w:val="00A04E33"/>
    <w:rsid w:val="00A074DA"/>
    <w:rsid w:val="00A07B28"/>
    <w:rsid w:val="00A13EB8"/>
    <w:rsid w:val="00A152F9"/>
    <w:rsid w:val="00A1622D"/>
    <w:rsid w:val="00A167BD"/>
    <w:rsid w:val="00A17FAD"/>
    <w:rsid w:val="00A20504"/>
    <w:rsid w:val="00A250D1"/>
    <w:rsid w:val="00A25523"/>
    <w:rsid w:val="00A2565E"/>
    <w:rsid w:val="00A25727"/>
    <w:rsid w:val="00A363D2"/>
    <w:rsid w:val="00A37209"/>
    <w:rsid w:val="00A403A6"/>
    <w:rsid w:val="00A44472"/>
    <w:rsid w:val="00A4665F"/>
    <w:rsid w:val="00A4689A"/>
    <w:rsid w:val="00A46D01"/>
    <w:rsid w:val="00A4708E"/>
    <w:rsid w:val="00A50CC3"/>
    <w:rsid w:val="00A50CCF"/>
    <w:rsid w:val="00A53CE1"/>
    <w:rsid w:val="00A5473D"/>
    <w:rsid w:val="00A55058"/>
    <w:rsid w:val="00A552EA"/>
    <w:rsid w:val="00A55CA7"/>
    <w:rsid w:val="00A56769"/>
    <w:rsid w:val="00A62474"/>
    <w:rsid w:val="00A62FA8"/>
    <w:rsid w:val="00A62FC2"/>
    <w:rsid w:val="00A70FD0"/>
    <w:rsid w:val="00A726D6"/>
    <w:rsid w:val="00A728EE"/>
    <w:rsid w:val="00A76880"/>
    <w:rsid w:val="00A77809"/>
    <w:rsid w:val="00A80E88"/>
    <w:rsid w:val="00A82019"/>
    <w:rsid w:val="00A82FE7"/>
    <w:rsid w:val="00A85112"/>
    <w:rsid w:val="00A86222"/>
    <w:rsid w:val="00A918FF"/>
    <w:rsid w:val="00A93DC1"/>
    <w:rsid w:val="00A975BE"/>
    <w:rsid w:val="00AA5356"/>
    <w:rsid w:val="00AA6156"/>
    <w:rsid w:val="00AA6EBA"/>
    <w:rsid w:val="00AB0A51"/>
    <w:rsid w:val="00AB0ABB"/>
    <w:rsid w:val="00AB1841"/>
    <w:rsid w:val="00AB2C31"/>
    <w:rsid w:val="00AC2E38"/>
    <w:rsid w:val="00AC3423"/>
    <w:rsid w:val="00AC4F7B"/>
    <w:rsid w:val="00AC72D1"/>
    <w:rsid w:val="00AC7BE3"/>
    <w:rsid w:val="00AD1130"/>
    <w:rsid w:val="00AD1377"/>
    <w:rsid w:val="00AD261E"/>
    <w:rsid w:val="00AD40D6"/>
    <w:rsid w:val="00AD47F8"/>
    <w:rsid w:val="00AD540E"/>
    <w:rsid w:val="00AD5441"/>
    <w:rsid w:val="00AD62A7"/>
    <w:rsid w:val="00AD6BA6"/>
    <w:rsid w:val="00AD7220"/>
    <w:rsid w:val="00AD7719"/>
    <w:rsid w:val="00AE1B04"/>
    <w:rsid w:val="00AE528E"/>
    <w:rsid w:val="00AF1279"/>
    <w:rsid w:val="00AF473D"/>
    <w:rsid w:val="00AF56B5"/>
    <w:rsid w:val="00B017E9"/>
    <w:rsid w:val="00B02D6A"/>
    <w:rsid w:val="00B0603D"/>
    <w:rsid w:val="00B10852"/>
    <w:rsid w:val="00B11097"/>
    <w:rsid w:val="00B11944"/>
    <w:rsid w:val="00B127FB"/>
    <w:rsid w:val="00B15753"/>
    <w:rsid w:val="00B15EA7"/>
    <w:rsid w:val="00B16153"/>
    <w:rsid w:val="00B25BC9"/>
    <w:rsid w:val="00B326F7"/>
    <w:rsid w:val="00B34FC6"/>
    <w:rsid w:val="00B36E1E"/>
    <w:rsid w:val="00B405C0"/>
    <w:rsid w:val="00B40FA8"/>
    <w:rsid w:val="00B4108E"/>
    <w:rsid w:val="00B41683"/>
    <w:rsid w:val="00B42E4B"/>
    <w:rsid w:val="00B43BE8"/>
    <w:rsid w:val="00B43DA2"/>
    <w:rsid w:val="00B472E6"/>
    <w:rsid w:val="00B5510E"/>
    <w:rsid w:val="00B55FF0"/>
    <w:rsid w:val="00B566E5"/>
    <w:rsid w:val="00B5724A"/>
    <w:rsid w:val="00B62109"/>
    <w:rsid w:val="00B63BDB"/>
    <w:rsid w:val="00B63FCF"/>
    <w:rsid w:val="00B65A4E"/>
    <w:rsid w:val="00B66470"/>
    <w:rsid w:val="00B67970"/>
    <w:rsid w:val="00B7039B"/>
    <w:rsid w:val="00B76838"/>
    <w:rsid w:val="00B8043D"/>
    <w:rsid w:val="00B81206"/>
    <w:rsid w:val="00B81BFE"/>
    <w:rsid w:val="00B820CD"/>
    <w:rsid w:val="00B830D7"/>
    <w:rsid w:val="00B83748"/>
    <w:rsid w:val="00B83A72"/>
    <w:rsid w:val="00B840E6"/>
    <w:rsid w:val="00B84B4C"/>
    <w:rsid w:val="00B8765A"/>
    <w:rsid w:val="00B87ADF"/>
    <w:rsid w:val="00B90FC3"/>
    <w:rsid w:val="00B92023"/>
    <w:rsid w:val="00B92800"/>
    <w:rsid w:val="00B93062"/>
    <w:rsid w:val="00B95C6C"/>
    <w:rsid w:val="00B969F6"/>
    <w:rsid w:val="00BA0AD0"/>
    <w:rsid w:val="00BA1E32"/>
    <w:rsid w:val="00BA3D5E"/>
    <w:rsid w:val="00BA40C1"/>
    <w:rsid w:val="00BA42BF"/>
    <w:rsid w:val="00BA68BB"/>
    <w:rsid w:val="00BB1BF1"/>
    <w:rsid w:val="00BB2F4D"/>
    <w:rsid w:val="00BB4D63"/>
    <w:rsid w:val="00BB6338"/>
    <w:rsid w:val="00BB6C8F"/>
    <w:rsid w:val="00BB7FE8"/>
    <w:rsid w:val="00BC1B47"/>
    <w:rsid w:val="00BC2238"/>
    <w:rsid w:val="00BC4E74"/>
    <w:rsid w:val="00BC5A6E"/>
    <w:rsid w:val="00BC714A"/>
    <w:rsid w:val="00BD180D"/>
    <w:rsid w:val="00BD2352"/>
    <w:rsid w:val="00BE03A7"/>
    <w:rsid w:val="00BE1082"/>
    <w:rsid w:val="00BE11BF"/>
    <w:rsid w:val="00BE2F5A"/>
    <w:rsid w:val="00BE3816"/>
    <w:rsid w:val="00BE3BBF"/>
    <w:rsid w:val="00BE5E0C"/>
    <w:rsid w:val="00BE6048"/>
    <w:rsid w:val="00BF0AFD"/>
    <w:rsid w:val="00BF16FA"/>
    <w:rsid w:val="00BF6370"/>
    <w:rsid w:val="00C013A5"/>
    <w:rsid w:val="00C01879"/>
    <w:rsid w:val="00C03253"/>
    <w:rsid w:val="00C05395"/>
    <w:rsid w:val="00C0642A"/>
    <w:rsid w:val="00C175C6"/>
    <w:rsid w:val="00C210A5"/>
    <w:rsid w:val="00C256E8"/>
    <w:rsid w:val="00C25AE9"/>
    <w:rsid w:val="00C27239"/>
    <w:rsid w:val="00C2728E"/>
    <w:rsid w:val="00C302AA"/>
    <w:rsid w:val="00C30E78"/>
    <w:rsid w:val="00C33B6F"/>
    <w:rsid w:val="00C36078"/>
    <w:rsid w:val="00C3768F"/>
    <w:rsid w:val="00C42E7C"/>
    <w:rsid w:val="00C44194"/>
    <w:rsid w:val="00C51C30"/>
    <w:rsid w:val="00C52D0D"/>
    <w:rsid w:val="00C537A4"/>
    <w:rsid w:val="00C5732E"/>
    <w:rsid w:val="00C6029A"/>
    <w:rsid w:val="00C625A9"/>
    <w:rsid w:val="00C64FC3"/>
    <w:rsid w:val="00C66EFD"/>
    <w:rsid w:val="00C7181C"/>
    <w:rsid w:val="00C71ABD"/>
    <w:rsid w:val="00C72AA2"/>
    <w:rsid w:val="00C74EC9"/>
    <w:rsid w:val="00C77858"/>
    <w:rsid w:val="00C820FD"/>
    <w:rsid w:val="00C821C5"/>
    <w:rsid w:val="00C82617"/>
    <w:rsid w:val="00C8278C"/>
    <w:rsid w:val="00C8795B"/>
    <w:rsid w:val="00C87B15"/>
    <w:rsid w:val="00C91C34"/>
    <w:rsid w:val="00C93D9C"/>
    <w:rsid w:val="00C94470"/>
    <w:rsid w:val="00C948BF"/>
    <w:rsid w:val="00C97CA9"/>
    <w:rsid w:val="00CA1DC6"/>
    <w:rsid w:val="00CA240C"/>
    <w:rsid w:val="00CA2D04"/>
    <w:rsid w:val="00CA361E"/>
    <w:rsid w:val="00CA3710"/>
    <w:rsid w:val="00CA39C3"/>
    <w:rsid w:val="00CA3D96"/>
    <w:rsid w:val="00CA4715"/>
    <w:rsid w:val="00CA613B"/>
    <w:rsid w:val="00CB0727"/>
    <w:rsid w:val="00CB1B33"/>
    <w:rsid w:val="00CC11B8"/>
    <w:rsid w:val="00CC1479"/>
    <w:rsid w:val="00CC2041"/>
    <w:rsid w:val="00CC2ACE"/>
    <w:rsid w:val="00CC363C"/>
    <w:rsid w:val="00CC52E2"/>
    <w:rsid w:val="00CC5AF4"/>
    <w:rsid w:val="00CC5DA2"/>
    <w:rsid w:val="00CD0BBE"/>
    <w:rsid w:val="00CD41C8"/>
    <w:rsid w:val="00CD7DB3"/>
    <w:rsid w:val="00CE578F"/>
    <w:rsid w:val="00CE6143"/>
    <w:rsid w:val="00CE7585"/>
    <w:rsid w:val="00CF1171"/>
    <w:rsid w:val="00CF1E94"/>
    <w:rsid w:val="00CF2069"/>
    <w:rsid w:val="00CF2B1D"/>
    <w:rsid w:val="00CF4A9F"/>
    <w:rsid w:val="00CF63C3"/>
    <w:rsid w:val="00CF651C"/>
    <w:rsid w:val="00CF780C"/>
    <w:rsid w:val="00D00A0D"/>
    <w:rsid w:val="00D0493A"/>
    <w:rsid w:val="00D11171"/>
    <w:rsid w:val="00D1166F"/>
    <w:rsid w:val="00D11C92"/>
    <w:rsid w:val="00D15239"/>
    <w:rsid w:val="00D15DF6"/>
    <w:rsid w:val="00D204DD"/>
    <w:rsid w:val="00D21BFE"/>
    <w:rsid w:val="00D22A17"/>
    <w:rsid w:val="00D23ECA"/>
    <w:rsid w:val="00D27779"/>
    <w:rsid w:val="00D31088"/>
    <w:rsid w:val="00D3333A"/>
    <w:rsid w:val="00D33C29"/>
    <w:rsid w:val="00D356D4"/>
    <w:rsid w:val="00D3621E"/>
    <w:rsid w:val="00D36C1C"/>
    <w:rsid w:val="00D421DB"/>
    <w:rsid w:val="00D43DE2"/>
    <w:rsid w:val="00D43F76"/>
    <w:rsid w:val="00D47F61"/>
    <w:rsid w:val="00D569F6"/>
    <w:rsid w:val="00D60483"/>
    <w:rsid w:val="00D6053C"/>
    <w:rsid w:val="00D61517"/>
    <w:rsid w:val="00D63F63"/>
    <w:rsid w:val="00D6658A"/>
    <w:rsid w:val="00D66ACB"/>
    <w:rsid w:val="00D72A60"/>
    <w:rsid w:val="00D746C6"/>
    <w:rsid w:val="00D758CC"/>
    <w:rsid w:val="00D7629B"/>
    <w:rsid w:val="00D76C3F"/>
    <w:rsid w:val="00D7799C"/>
    <w:rsid w:val="00D824DC"/>
    <w:rsid w:val="00D82595"/>
    <w:rsid w:val="00D8262E"/>
    <w:rsid w:val="00D83898"/>
    <w:rsid w:val="00D85443"/>
    <w:rsid w:val="00D85C47"/>
    <w:rsid w:val="00D86343"/>
    <w:rsid w:val="00D86580"/>
    <w:rsid w:val="00D92DDB"/>
    <w:rsid w:val="00D9470C"/>
    <w:rsid w:val="00DA21ED"/>
    <w:rsid w:val="00DA2F01"/>
    <w:rsid w:val="00DA4986"/>
    <w:rsid w:val="00DA7005"/>
    <w:rsid w:val="00DB1BE1"/>
    <w:rsid w:val="00DB24DF"/>
    <w:rsid w:val="00DB283E"/>
    <w:rsid w:val="00DB754D"/>
    <w:rsid w:val="00DC0279"/>
    <w:rsid w:val="00DC1E3B"/>
    <w:rsid w:val="00DC4687"/>
    <w:rsid w:val="00DC7F70"/>
    <w:rsid w:val="00DD0089"/>
    <w:rsid w:val="00DD0311"/>
    <w:rsid w:val="00DD0F00"/>
    <w:rsid w:val="00DD1A18"/>
    <w:rsid w:val="00DD42B6"/>
    <w:rsid w:val="00DD530A"/>
    <w:rsid w:val="00DD6A07"/>
    <w:rsid w:val="00DD738F"/>
    <w:rsid w:val="00DE325E"/>
    <w:rsid w:val="00DE5A93"/>
    <w:rsid w:val="00DE5E02"/>
    <w:rsid w:val="00DF1FCF"/>
    <w:rsid w:val="00DF2E27"/>
    <w:rsid w:val="00DF5A53"/>
    <w:rsid w:val="00E000D6"/>
    <w:rsid w:val="00E02372"/>
    <w:rsid w:val="00E03020"/>
    <w:rsid w:val="00E037FB"/>
    <w:rsid w:val="00E056E5"/>
    <w:rsid w:val="00E059B8"/>
    <w:rsid w:val="00E06428"/>
    <w:rsid w:val="00E07D82"/>
    <w:rsid w:val="00E102A6"/>
    <w:rsid w:val="00E14539"/>
    <w:rsid w:val="00E1477F"/>
    <w:rsid w:val="00E2036A"/>
    <w:rsid w:val="00E20EF8"/>
    <w:rsid w:val="00E21D16"/>
    <w:rsid w:val="00E242B4"/>
    <w:rsid w:val="00E242ED"/>
    <w:rsid w:val="00E2462C"/>
    <w:rsid w:val="00E27AC0"/>
    <w:rsid w:val="00E30819"/>
    <w:rsid w:val="00E309FA"/>
    <w:rsid w:val="00E32D5A"/>
    <w:rsid w:val="00E36BF0"/>
    <w:rsid w:val="00E4036E"/>
    <w:rsid w:val="00E41F48"/>
    <w:rsid w:val="00E437A1"/>
    <w:rsid w:val="00E449C1"/>
    <w:rsid w:val="00E4559F"/>
    <w:rsid w:val="00E47269"/>
    <w:rsid w:val="00E5735B"/>
    <w:rsid w:val="00E61789"/>
    <w:rsid w:val="00E62ECD"/>
    <w:rsid w:val="00E63775"/>
    <w:rsid w:val="00E63B14"/>
    <w:rsid w:val="00E6407B"/>
    <w:rsid w:val="00E6612B"/>
    <w:rsid w:val="00E71CCD"/>
    <w:rsid w:val="00E74A4F"/>
    <w:rsid w:val="00E77E8A"/>
    <w:rsid w:val="00E8018A"/>
    <w:rsid w:val="00E813DB"/>
    <w:rsid w:val="00E84364"/>
    <w:rsid w:val="00E84415"/>
    <w:rsid w:val="00E863F8"/>
    <w:rsid w:val="00E8745F"/>
    <w:rsid w:val="00E879FB"/>
    <w:rsid w:val="00E91770"/>
    <w:rsid w:val="00E91D0B"/>
    <w:rsid w:val="00E92A08"/>
    <w:rsid w:val="00E92FEC"/>
    <w:rsid w:val="00EA0A48"/>
    <w:rsid w:val="00EA0A64"/>
    <w:rsid w:val="00EA3B76"/>
    <w:rsid w:val="00EA61C1"/>
    <w:rsid w:val="00EA7954"/>
    <w:rsid w:val="00EB02F7"/>
    <w:rsid w:val="00EB0668"/>
    <w:rsid w:val="00EB09A9"/>
    <w:rsid w:val="00EB1654"/>
    <w:rsid w:val="00EB5D8D"/>
    <w:rsid w:val="00EB67BF"/>
    <w:rsid w:val="00EB7916"/>
    <w:rsid w:val="00EC12FC"/>
    <w:rsid w:val="00EC25C1"/>
    <w:rsid w:val="00EC28D0"/>
    <w:rsid w:val="00EC3BA6"/>
    <w:rsid w:val="00EC3BB0"/>
    <w:rsid w:val="00EC4E7C"/>
    <w:rsid w:val="00ED1ED2"/>
    <w:rsid w:val="00ED2D42"/>
    <w:rsid w:val="00EE019B"/>
    <w:rsid w:val="00EE0C4C"/>
    <w:rsid w:val="00EE3A03"/>
    <w:rsid w:val="00EE61AC"/>
    <w:rsid w:val="00EF0A3B"/>
    <w:rsid w:val="00EF0DF4"/>
    <w:rsid w:val="00EF4267"/>
    <w:rsid w:val="00F00085"/>
    <w:rsid w:val="00F0271F"/>
    <w:rsid w:val="00F03233"/>
    <w:rsid w:val="00F038C8"/>
    <w:rsid w:val="00F058DC"/>
    <w:rsid w:val="00F05C32"/>
    <w:rsid w:val="00F065D6"/>
    <w:rsid w:val="00F070B8"/>
    <w:rsid w:val="00F070EC"/>
    <w:rsid w:val="00F12F4A"/>
    <w:rsid w:val="00F13EE4"/>
    <w:rsid w:val="00F13F64"/>
    <w:rsid w:val="00F14BF6"/>
    <w:rsid w:val="00F14D9A"/>
    <w:rsid w:val="00F15F80"/>
    <w:rsid w:val="00F16BE2"/>
    <w:rsid w:val="00F17158"/>
    <w:rsid w:val="00F20922"/>
    <w:rsid w:val="00F22A83"/>
    <w:rsid w:val="00F25465"/>
    <w:rsid w:val="00F26A6B"/>
    <w:rsid w:val="00F302C1"/>
    <w:rsid w:val="00F30DF5"/>
    <w:rsid w:val="00F332FB"/>
    <w:rsid w:val="00F3639C"/>
    <w:rsid w:val="00F373F5"/>
    <w:rsid w:val="00F37C70"/>
    <w:rsid w:val="00F37D41"/>
    <w:rsid w:val="00F4269A"/>
    <w:rsid w:val="00F42A8D"/>
    <w:rsid w:val="00F437B0"/>
    <w:rsid w:val="00F4467F"/>
    <w:rsid w:val="00F4547D"/>
    <w:rsid w:val="00F47708"/>
    <w:rsid w:val="00F5017E"/>
    <w:rsid w:val="00F502FE"/>
    <w:rsid w:val="00F51515"/>
    <w:rsid w:val="00F52716"/>
    <w:rsid w:val="00F52F30"/>
    <w:rsid w:val="00F5361B"/>
    <w:rsid w:val="00F5596A"/>
    <w:rsid w:val="00F56037"/>
    <w:rsid w:val="00F574D3"/>
    <w:rsid w:val="00F65723"/>
    <w:rsid w:val="00F66A92"/>
    <w:rsid w:val="00F66CC7"/>
    <w:rsid w:val="00F71D5F"/>
    <w:rsid w:val="00F7568F"/>
    <w:rsid w:val="00F7638E"/>
    <w:rsid w:val="00F83625"/>
    <w:rsid w:val="00F83B6E"/>
    <w:rsid w:val="00F859C1"/>
    <w:rsid w:val="00F859EF"/>
    <w:rsid w:val="00F90F12"/>
    <w:rsid w:val="00F92913"/>
    <w:rsid w:val="00F92E7F"/>
    <w:rsid w:val="00F932F2"/>
    <w:rsid w:val="00F935EC"/>
    <w:rsid w:val="00F938F8"/>
    <w:rsid w:val="00F93A60"/>
    <w:rsid w:val="00F940CF"/>
    <w:rsid w:val="00F94738"/>
    <w:rsid w:val="00F9734C"/>
    <w:rsid w:val="00FA0478"/>
    <w:rsid w:val="00FA093F"/>
    <w:rsid w:val="00FA333A"/>
    <w:rsid w:val="00FA475B"/>
    <w:rsid w:val="00FA4C22"/>
    <w:rsid w:val="00FA5CDF"/>
    <w:rsid w:val="00FA6EF7"/>
    <w:rsid w:val="00FA75B8"/>
    <w:rsid w:val="00FB0146"/>
    <w:rsid w:val="00FB2C40"/>
    <w:rsid w:val="00FB6316"/>
    <w:rsid w:val="00FB6A6D"/>
    <w:rsid w:val="00FB7AC8"/>
    <w:rsid w:val="00FB7CBF"/>
    <w:rsid w:val="00FC15F4"/>
    <w:rsid w:val="00FC3F06"/>
    <w:rsid w:val="00FC466B"/>
    <w:rsid w:val="00FC5E48"/>
    <w:rsid w:val="00FC63E6"/>
    <w:rsid w:val="00FD00C5"/>
    <w:rsid w:val="00FD1B23"/>
    <w:rsid w:val="00FD23BC"/>
    <w:rsid w:val="00FD26C8"/>
    <w:rsid w:val="00FD57AF"/>
    <w:rsid w:val="00FD68D0"/>
    <w:rsid w:val="00FD7235"/>
    <w:rsid w:val="00FD7DE4"/>
    <w:rsid w:val="00FE09F4"/>
    <w:rsid w:val="00FE0BCB"/>
    <w:rsid w:val="00FE0E63"/>
    <w:rsid w:val="00FE1AC0"/>
    <w:rsid w:val="00FE2FEC"/>
    <w:rsid w:val="00FE581D"/>
    <w:rsid w:val="00FE63FC"/>
    <w:rsid w:val="00FF0F33"/>
    <w:rsid w:val="00FF144C"/>
    <w:rsid w:val="00FF160F"/>
    <w:rsid w:val="00FF229B"/>
    <w:rsid w:val="00FF2FF7"/>
    <w:rsid w:val="00FF537E"/>
    <w:rsid w:val="00FF6162"/>
    <w:rsid w:val="01295339"/>
    <w:rsid w:val="013144F3"/>
    <w:rsid w:val="013425B0"/>
    <w:rsid w:val="019D4397"/>
    <w:rsid w:val="01AD2AC2"/>
    <w:rsid w:val="01B001EB"/>
    <w:rsid w:val="02153B6C"/>
    <w:rsid w:val="023C0564"/>
    <w:rsid w:val="028440C8"/>
    <w:rsid w:val="02B04EBD"/>
    <w:rsid w:val="02FA438B"/>
    <w:rsid w:val="03092181"/>
    <w:rsid w:val="03174F2C"/>
    <w:rsid w:val="03366B54"/>
    <w:rsid w:val="033F7749"/>
    <w:rsid w:val="035E581E"/>
    <w:rsid w:val="036C34DA"/>
    <w:rsid w:val="03BE6311"/>
    <w:rsid w:val="03D04449"/>
    <w:rsid w:val="03E76FAA"/>
    <w:rsid w:val="04242692"/>
    <w:rsid w:val="04294F27"/>
    <w:rsid w:val="045301F6"/>
    <w:rsid w:val="04580256"/>
    <w:rsid w:val="04854128"/>
    <w:rsid w:val="04967ABA"/>
    <w:rsid w:val="04B17FCB"/>
    <w:rsid w:val="04BD1B14"/>
    <w:rsid w:val="04E94780"/>
    <w:rsid w:val="04EB6681"/>
    <w:rsid w:val="04FB3D22"/>
    <w:rsid w:val="05203FE9"/>
    <w:rsid w:val="055740AA"/>
    <w:rsid w:val="05905FE0"/>
    <w:rsid w:val="05E03166"/>
    <w:rsid w:val="05F560BB"/>
    <w:rsid w:val="0600615C"/>
    <w:rsid w:val="06095474"/>
    <w:rsid w:val="06111655"/>
    <w:rsid w:val="06261EDA"/>
    <w:rsid w:val="06320973"/>
    <w:rsid w:val="065C26CE"/>
    <w:rsid w:val="066C0F90"/>
    <w:rsid w:val="067C1BC2"/>
    <w:rsid w:val="06F04422"/>
    <w:rsid w:val="071B3477"/>
    <w:rsid w:val="0723158C"/>
    <w:rsid w:val="076D3380"/>
    <w:rsid w:val="078A2B69"/>
    <w:rsid w:val="07AD1E3E"/>
    <w:rsid w:val="07F5179D"/>
    <w:rsid w:val="081450A2"/>
    <w:rsid w:val="0814552C"/>
    <w:rsid w:val="081D1B68"/>
    <w:rsid w:val="08374130"/>
    <w:rsid w:val="0872178A"/>
    <w:rsid w:val="089C0A55"/>
    <w:rsid w:val="090E45D5"/>
    <w:rsid w:val="093E7C2F"/>
    <w:rsid w:val="097C6F40"/>
    <w:rsid w:val="098B21E0"/>
    <w:rsid w:val="098F5593"/>
    <w:rsid w:val="09BC3F89"/>
    <w:rsid w:val="09CA4B46"/>
    <w:rsid w:val="0A595E3B"/>
    <w:rsid w:val="0A717E38"/>
    <w:rsid w:val="0B877B27"/>
    <w:rsid w:val="0B974A8D"/>
    <w:rsid w:val="0BEB4294"/>
    <w:rsid w:val="0C211D10"/>
    <w:rsid w:val="0C5314D7"/>
    <w:rsid w:val="0C5E6314"/>
    <w:rsid w:val="0C774C9E"/>
    <w:rsid w:val="0C8566FF"/>
    <w:rsid w:val="0C9F0AB1"/>
    <w:rsid w:val="0CC62AA3"/>
    <w:rsid w:val="0CD3708C"/>
    <w:rsid w:val="0D42776C"/>
    <w:rsid w:val="0D5220A3"/>
    <w:rsid w:val="0D98311E"/>
    <w:rsid w:val="0DB25F8E"/>
    <w:rsid w:val="0E1311C0"/>
    <w:rsid w:val="0E1C5AFD"/>
    <w:rsid w:val="0E2624D8"/>
    <w:rsid w:val="0E341099"/>
    <w:rsid w:val="0E745D41"/>
    <w:rsid w:val="0E8A515C"/>
    <w:rsid w:val="0E9347BF"/>
    <w:rsid w:val="0EA86D7E"/>
    <w:rsid w:val="0EAD681F"/>
    <w:rsid w:val="0ECD43B1"/>
    <w:rsid w:val="0EF74891"/>
    <w:rsid w:val="0EFD7EAB"/>
    <w:rsid w:val="0F152C78"/>
    <w:rsid w:val="0F580DB7"/>
    <w:rsid w:val="0F5B2655"/>
    <w:rsid w:val="0F5E78CD"/>
    <w:rsid w:val="0F6459AD"/>
    <w:rsid w:val="0F6D7325"/>
    <w:rsid w:val="0FF6270E"/>
    <w:rsid w:val="101B3AD5"/>
    <w:rsid w:val="103812C2"/>
    <w:rsid w:val="10540408"/>
    <w:rsid w:val="1055163A"/>
    <w:rsid w:val="10631297"/>
    <w:rsid w:val="10710712"/>
    <w:rsid w:val="1090208D"/>
    <w:rsid w:val="10B63C0C"/>
    <w:rsid w:val="10C54C2A"/>
    <w:rsid w:val="10CE2A7F"/>
    <w:rsid w:val="10D02C5B"/>
    <w:rsid w:val="11072A94"/>
    <w:rsid w:val="11215F92"/>
    <w:rsid w:val="1131366D"/>
    <w:rsid w:val="11592BBE"/>
    <w:rsid w:val="116E48C1"/>
    <w:rsid w:val="117143B2"/>
    <w:rsid w:val="11EE77B0"/>
    <w:rsid w:val="122D4EEB"/>
    <w:rsid w:val="126C3D9B"/>
    <w:rsid w:val="12D93FBD"/>
    <w:rsid w:val="13224DC9"/>
    <w:rsid w:val="13290955"/>
    <w:rsid w:val="13AD567F"/>
    <w:rsid w:val="13BF7590"/>
    <w:rsid w:val="13C93A45"/>
    <w:rsid w:val="13E66C29"/>
    <w:rsid w:val="13ED1FBE"/>
    <w:rsid w:val="14285937"/>
    <w:rsid w:val="143264D6"/>
    <w:rsid w:val="146D0DFF"/>
    <w:rsid w:val="149908B2"/>
    <w:rsid w:val="15076514"/>
    <w:rsid w:val="15163D38"/>
    <w:rsid w:val="156F0C08"/>
    <w:rsid w:val="156F5F8B"/>
    <w:rsid w:val="16337E88"/>
    <w:rsid w:val="1646031A"/>
    <w:rsid w:val="165C2D09"/>
    <w:rsid w:val="166444E5"/>
    <w:rsid w:val="16674575"/>
    <w:rsid w:val="169B31D3"/>
    <w:rsid w:val="169E17A5"/>
    <w:rsid w:val="16C31E17"/>
    <w:rsid w:val="16EB2510"/>
    <w:rsid w:val="172E5F1A"/>
    <w:rsid w:val="179E3A27"/>
    <w:rsid w:val="18041ADC"/>
    <w:rsid w:val="18411680"/>
    <w:rsid w:val="188350F6"/>
    <w:rsid w:val="18BD71B0"/>
    <w:rsid w:val="18C26934"/>
    <w:rsid w:val="18F3029B"/>
    <w:rsid w:val="18FB236F"/>
    <w:rsid w:val="195A6707"/>
    <w:rsid w:val="1977452F"/>
    <w:rsid w:val="199F52DB"/>
    <w:rsid w:val="19A370D2"/>
    <w:rsid w:val="19AA220F"/>
    <w:rsid w:val="19E31BB1"/>
    <w:rsid w:val="1A217678"/>
    <w:rsid w:val="1A622AE9"/>
    <w:rsid w:val="1A9A7B62"/>
    <w:rsid w:val="1AB1466E"/>
    <w:rsid w:val="1ADF3BD1"/>
    <w:rsid w:val="1B185594"/>
    <w:rsid w:val="1B53694D"/>
    <w:rsid w:val="1B740D26"/>
    <w:rsid w:val="1B803B6F"/>
    <w:rsid w:val="1BBE74DB"/>
    <w:rsid w:val="1BEA548C"/>
    <w:rsid w:val="1C0D38F2"/>
    <w:rsid w:val="1C12510C"/>
    <w:rsid w:val="1C17209C"/>
    <w:rsid w:val="1C901C34"/>
    <w:rsid w:val="1C965009"/>
    <w:rsid w:val="1CAD0994"/>
    <w:rsid w:val="1CFB4C71"/>
    <w:rsid w:val="1D3A2C59"/>
    <w:rsid w:val="1D464944"/>
    <w:rsid w:val="1D6F3E9B"/>
    <w:rsid w:val="1D7B6EDC"/>
    <w:rsid w:val="1E011800"/>
    <w:rsid w:val="1E2C3B3A"/>
    <w:rsid w:val="1E49713E"/>
    <w:rsid w:val="1E5134FD"/>
    <w:rsid w:val="1E5866DD"/>
    <w:rsid w:val="1EB2284C"/>
    <w:rsid w:val="1EC83848"/>
    <w:rsid w:val="1ECE2FB1"/>
    <w:rsid w:val="1EF96098"/>
    <w:rsid w:val="1EFE1C9E"/>
    <w:rsid w:val="1F2508DD"/>
    <w:rsid w:val="1F38206B"/>
    <w:rsid w:val="1F4105B0"/>
    <w:rsid w:val="1FFC4967"/>
    <w:rsid w:val="20176124"/>
    <w:rsid w:val="20457EAB"/>
    <w:rsid w:val="20580208"/>
    <w:rsid w:val="20857532"/>
    <w:rsid w:val="208C7A15"/>
    <w:rsid w:val="20B84D50"/>
    <w:rsid w:val="20D04DDA"/>
    <w:rsid w:val="20DF370C"/>
    <w:rsid w:val="214A4347"/>
    <w:rsid w:val="21952B1C"/>
    <w:rsid w:val="21983295"/>
    <w:rsid w:val="221C0EBC"/>
    <w:rsid w:val="22462525"/>
    <w:rsid w:val="226D3C33"/>
    <w:rsid w:val="227F182A"/>
    <w:rsid w:val="22837AAE"/>
    <w:rsid w:val="22981A9B"/>
    <w:rsid w:val="22E33572"/>
    <w:rsid w:val="22EF61A0"/>
    <w:rsid w:val="2318468D"/>
    <w:rsid w:val="2389558B"/>
    <w:rsid w:val="23D26F32"/>
    <w:rsid w:val="23D7500A"/>
    <w:rsid w:val="23ED3375"/>
    <w:rsid w:val="24015121"/>
    <w:rsid w:val="240510B5"/>
    <w:rsid w:val="241F3036"/>
    <w:rsid w:val="243C3E04"/>
    <w:rsid w:val="24822706"/>
    <w:rsid w:val="24AC221B"/>
    <w:rsid w:val="24BE1FBA"/>
    <w:rsid w:val="2519649B"/>
    <w:rsid w:val="257F645E"/>
    <w:rsid w:val="261212A3"/>
    <w:rsid w:val="261E5545"/>
    <w:rsid w:val="263317DE"/>
    <w:rsid w:val="26A45544"/>
    <w:rsid w:val="26CD57A0"/>
    <w:rsid w:val="2713110A"/>
    <w:rsid w:val="27267901"/>
    <w:rsid w:val="27396E23"/>
    <w:rsid w:val="273D46C2"/>
    <w:rsid w:val="274E61F0"/>
    <w:rsid w:val="27545EB0"/>
    <w:rsid w:val="278E314B"/>
    <w:rsid w:val="279462AC"/>
    <w:rsid w:val="27BC3431"/>
    <w:rsid w:val="27C50B9D"/>
    <w:rsid w:val="27D73B2C"/>
    <w:rsid w:val="27F7751F"/>
    <w:rsid w:val="27FD5E70"/>
    <w:rsid w:val="28115C9D"/>
    <w:rsid w:val="28285372"/>
    <w:rsid w:val="28EE4639"/>
    <w:rsid w:val="2973518B"/>
    <w:rsid w:val="29D0182A"/>
    <w:rsid w:val="2A0E6B51"/>
    <w:rsid w:val="2A102D04"/>
    <w:rsid w:val="2A121930"/>
    <w:rsid w:val="2A124664"/>
    <w:rsid w:val="2A165DFF"/>
    <w:rsid w:val="2A7A6A52"/>
    <w:rsid w:val="2B2529A4"/>
    <w:rsid w:val="2B595DAC"/>
    <w:rsid w:val="2B7575DF"/>
    <w:rsid w:val="2C070255"/>
    <w:rsid w:val="2C0B2FE1"/>
    <w:rsid w:val="2C4B7881"/>
    <w:rsid w:val="2C5F3D95"/>
    <w:rsid w:val="2CAA39BD"/>
    <w:rsid w:val="2CBB01A8"/>
    <w:rsid w:val="2CFC43DD"/>
    <w:rsid w:val="2D464230"/>
    <w:rsid w:val="2D4C62B4"/>
    <w:rsid w:val="2D564DCB"/>
    <w:rsid w:val="2D630BFB"/>
    <w:rsid w:val="2D7C3A6A"/>
    <w:rsid w:val="2DC0604D"/>
    <w:rsid w:val="2E301A53"/>
    <w:rsid w:val="2E370AD8"/>
    <w:rsid w:val="2E881486"/>
    <w:rsid w:val="2E8A6D0D"/>
    <w:rsid w:val="2EB37960"/>
    <w:rsid w:val="2EB77773"/>
    <w:rsid w:val="2F454A5C"/>
    <w:rsid w:val="2F551796"/>
    <w:rsid w:val="2FDF55E4"/>
    <w:rsid w:val="301F34FF"/>
    <w:rsid w:val="302630BD"/>
    <w:rsid w:val="305F7D9F"/>
    <w:rsid w:val="30705B08"/>
    <w:rsid w:val="30730E37"/>
    <w:rsid w:val="30846C60"/>
    <w:rsid w:val="311D278E"/>
    <w:rsid w:val="315410DA"/>
    <w:rsid w:val="316068B2"/>
    <w:rsid w:val="316B44F6"/>
    <w:rsid w:val="31B77AF2"/>
    <w:rsid w:val="31BE3FBA"/>
    <w:rsid w:val="320E7F24"/>
    <w:rsid w:val="323B0398"/>
    <w:rsid w:val="328057CA"/>
    <w:rsid w:val="33013D47"/>
    <w:rsid w:val="33305A23"/>
    <w:rsid w:val="33570F93"/>
    <w:rsid w:val="335F5BD4"/>
    <w:rsid w:val="33BB75CE"/>
    <w:rsid w:val="33C94137"/>
    <w:rsid w:val="33D62126"/>
    <w:rsid w:val="343974B3"/>
    <w:rsid w:val="345D4471"/>
    <w:rsid w:val="34CF276C"/>
    <w:rsid w:val="34E74CAB"/>
    <w:rsid w:val="34FA2DF0"/>
    <w:rsid w:val="353964BC"/>
    <w:rsid w:val="357D26EB"/>
    <w:rsid w:val="35843E04"/>
    <w:rsid w:val="35AA4BE7"/>
    <w:rsid w:val="368C79E1"/>
    <w:rsid w:val="36D668E1"/>
    <w:rsid w:val="36DA1020"/>
    <w:rsid w:val="37157031"/>
    <w:rsid w:val="37621F23"/>
    <w:rsid w:val="379D78BD"/>
    <w:rsid w:val="37FC7F66"/>
    <w:rsid w:val="380D55DD"/>
    <w:rsid w:val="380F5F76"/>
    <w:rsid w:val="38194CD8"/>
    <w:rsid w:val="381F0B25"/>
    <w:rsid w:val="384838AA"/>
    <w:rsid w:val="389425B0"/>
    <w:rsid w:val="38967055"/>
    <w:rsid w:val="38A722E3"/>
    <w:rsid w:val="38AA448B"/>
    <w:rsid w:val="38DA59ED"/>
    <w:rsid w:val="38E72C65"/>
    <w:rsid w:val="38EA21D0"/>
    <w:rsid w:val="38FF3ECD"/>
    <w:rsid w:val="3995038E"/>
    <w:rsid w:val="39BA1BA2"/>
    <w:rsid w:val="39C12F66"/>
    <w:rsid w:val="3A127C30"/>
    <w:rsid w:val="3A2A0F58"/>
    <w:rsid w:val="3A483652"/>
    <w:rsid w:val="3A555D6F"/>
    <w:rsid w:val="3A5C26FA"/>
    <w:rsid w:val="3AA84319"/>
    <w:rsid w:val="3AF41B7D"/>
    <w:rsid w:val="3B292980"/>
    <w:rsid w:val="3BB9317F"/>
    <w:rsid w:val="3BF3157A"/>
    <w:rsid w:val="3C01629A"/>
    <w:rsid w:val="3CCC29E2"/>
    <w:rsid w:val="3CF47F89"/>
    <w:rsid w:val="3D004B86"/>
    <w:rsid w:val="3D0B3C21"/>
    <w:rsid w:val="3D110000"/>
    <w:rsid w:val="3D172468"/>
    <w:rsid w:val="3D2A5E7B"/>
    <w:rsid w:val="3D3249A3"/>
    <w:rsid w:val="3D351B7B"/>
    <w:rsid w:val="3D9A384D"/>
    <w:rsid w:val="3DA53149"/>
    <w:rsid w:val="3DA57483"/>
    <w:rsid w:val="3DBA2651"/>
    <w:rsid w:val="3E155F41"/>
    <w:rsid w:val="3E6D7B2B"/>
    <w:rsid w:val="3E756270"/>
    <w:rsid w:val="3E776821"/>
    <w:rsid w:val="3ECA2888"/>
    <w:rsid w:val="3ED26685"/>
    <w:rsid w:val="3F1A3856"/>
    <w:rsid w:val="3F1B0D1A"/>
    <w:rsid w:val="3F606B5A"/>
    <w:rsid w:val="3F8B2E44"/>
    <w:rsid w:val="3FE502FF"/>
    <w:rsid w:val="4001677D"/>
    <w:rsid w:val="40185875"/>
    <w:rsid w:val="403879A2"/>
    <w:rsid w:val="409A0980"/>
    <w:rsid w:val="414C4F68"/>
    <w:rsid w:val="415B010F"/>
    <w:rsid w:val="41876A8E"/>
    <w:rsid w:val="41BD4926"/>
    <w:rsid w:val="41E579E5"/>
    <w:rsid w:val="41E74970"/>
    <w:rsid w:val="42291FBB"/>
    <w:rsid w:val="42350960"/>
    <w:rsid w:val="42A259CF"/>
    <w:rsid w:val="42C41CE4"/>
    <w:rsid w:val="430252CC"/>
    <w:rsid w:val="435E121E"/>
    <w:rsid w:val="438031A3"/>
    <w:rsid w:val="43D664DB"/>
    <w:rsid w:val="43ED1BEE"/>
    <w:rsid w:val="44064449"/>
    <w:rsid w:val="442147DA"/>
    <w:rsid w:val="44451914"/>
    <w:rsid w:val="444529BD"/>
    <w:rsid w:val="449B10EB"/>
    <w:rsid w:val="44C85A38"/>
    <w:rsid w:val="44CD20C7"/>
    <w:rsid w:val="44CF4EF8"/>
    <w:rsid w:val="44DF115C"/>
    <w:rsid w:val="44E87B47"/>
    <w:rsid w:val="45191325"/>
    <w:rsid w:val="451B32B0"/>
    <w:rsid w:val="45290085"/>
    <w:rsid w:val="45525385"/>
    <w:rsid w:val="45D66C24"/>
    <w:rsid w:val="45E36925"/>
    <w:rsid w:val="45E731F2"/>
    <w:rsid w:val="46320EA4"/>
    <w:rsid w:val="46581603"/>
    <w:rsid w:val="46761A6A"/>
    <w:rsid w:val="46A936CA"/>
    <w:rsid w:val="46C6663B"/>
    <w:rsid w:val="46D92177"/>
    <w:rsid w:val="46F03E84"/>
    <w:rsid w:val="47035BA2"/>
    <w:rsid w:val="474D1B48"/>
    <w:rsid w:val="4753213C"/>
    <w:rsid w:val="4767227A"/>
    <w:rsid w:val="477F61D9"/>
    <w:rsid w:val="47F600A6"/>
    <w:rsid w:val="48240CDC"/>
    <w:rsid w:val="48547666"/>
    <w:rsid w:val="48551120"/>
    <w:rsid w:val="48820FB4"/>
    <w:rsid w:val="493A08E0"/>
    <w:rsid w:val="495927B8"/>
    <w:rsid w:val="496F338D"/>
    <w:rsid w:val="49AF42DE"/>
    <w:rsid w:val="49B80E8F"/>
    <w:rsid w:val="49D662A6"/>
    <w:rsid w:val="4A365830"/>
    <w:rsid w:val="4A443E36"/>
    <w:rsid w:val="4A5622A0"/>
    <w:rsid w:val="4A7C1328"/>
    <w:rsid w:val="4AB80380"/>
    <w:rsid w:val="4AB86636"/>
    <w:rsid w:val="4B142040"/>
    <w:rsid w:val="4B1D0A84"/>
    <w:rsid w:val="4C432C43"/>
    <w:rsid w:val="4C503CB3"/>
    <w:rsid w:val="4C586F25"/>
    <w:rsid w:val="4C5C6D8D"/>
    <w:rsid w:val="4C8C272C"/>
    <w:rsid w:val="4D0E664D"/>
    <w:rsid w:val="4D516FEB"/>
    <w:rsid w:val="4D671BE9"/>
    <w:rsid w:val="4DAE4F50"/>
    <w:rsid w:val="4DB8293A"/>
    <w:rsid w:val="4DED616B"/>
    <w:rsid w:val="4E0159C5"/>
    <w:rsid w:val="4E084AD3"/>
    <w:rsid w:val="4E497FAE"/>
    <w:rsid w:val="4E7A03FC"/>
    <w:rsid w:val="4E7E75C7"/>
    <w:rsid w:val="4EA6511D"/>
    <w:rsid w:val="4ED02EB1"/>
    <w:rsid w:val="4EDC0C29"/>
    <w:rsid w:val="4EF61195"/>
    <w:rsid w:val="4EF81544"/>
    <w:rsid w:val="4F4F46F4"/>
    <w:rsid w:val="4F7B372A"/>
    <w:rsid w:val="4F934F18"/>
    <w:rsid w:val="4F9C11AB"/>
    <w:rsid w:val="4FA931B8"/>
    <w:rsid w:val="4FE35F8C"/>
    <w:rsid w:val="4FE45338"/>
    <w:rsid w:val="5061346F"/>
    <w:rsid w:val="5085442F"/>
    <w:rsid w:val="50897743"/>
    <w:rsid w:val="509238FB"/>
    <w:rsid w:val="50B34BE8"/>
    <w:rsid w:val="50DB7A39"/>
    <w:rsid w:val="50E278DA"/>
    <w:rsid w:val="50EE063D"/>
    <w:rsid w:val="51255FE7"/>
    <w:rsid w:val="51363B6B"/>
    <w:rsid w:val="518B33A8"/>
    <w:rsid w:val="51B57E04"/>
    <w:rsid w:val="51E67581"/>
    <w:rsid w:val="52157E66"/>
    <w:rsid w:val="522847D7"/>
    <w:rsid w:val="52343801"/>
    <w:rsid w:val="52886BDE"/>
    <w:rsid w:val="52A702D3"/>
    <w:rsid w:val="52B2278D"/>
    <w:rsid w:val="52E209AD"/>
    <w:rsid w:val="5354620A"/>
    <w:rsid w:val="53B75002"/>
    <w:rsid w:val="540A7F97"/>
    <w:rsid w:val="541B25B6"/>
    <w:rsid w:val="54650952"/>
    <w:rsid w:val="548F1474"/>
    <w:rsid w:val="549A0AF6"/>
    <w:rsid w:val="54CD33A2"/>
    <w:rsid w:val="54F33964"/>
    <w:rsid w:val="551F2960"/>
    <w:rsid w:val="55340931"/>
    <w:rsid w:val="55517502"/>
    <w:rsid w:val="55B33C1E"/>
    <w:rsid w:val="56BA6096"/>
    <w:rsid w:val="56D01908"/>
    <w:rsid w:val="56E85B49"/>
    <w:rsid w:val="56FE5FD5"/>
    <w:rsid w:val="57266671"/>
    <w:rsid w:val="575A29FE"/>
    <w:rsid w:val="575D263A"/>
    <w:rsid w:val="578A4E52"/>
    <w:rsid w:val="57F566F5"/>
    <w:rsid w:val="58147297"/>
    <w:rsid w:val="58225C60"/>
    <w:rsid w:val="585B41D8"/>
    <w:rsid w:val="58627AA0"/>
    <w:rsid w:val="587D7C31"/>
    <w:rsid w:val="589F492D"/>
    <w:rsid w:val="59366E73"/>
    <w:rsid w:val="59815367"/>
    <w:rsid w:val="59B9382B"/>
    <w:rsid w:val="59C12BB1"/>
    <w:rsid w:val="59CA6DFB"/>
    <w:rsid w:val="5A054FDD"/>
    <w:rsid w:val="5A13112F"/>
    <w:rsid w:val="5A18311A"/>
    <w:rsid w:val="5A20479B"/>
    <w:rsid w:val="5A470DD9"/>
    <w:rsid w:val="5A5B0FCB"/>
    <w:rsid w:val="5A6F6621"/>
    <w:rsid w:val="5A980B76"/>
    <w:rsid w:val="5AAF1707"/>
    <w:rsid w:val="5AE26499"/>
    <w:rsid w:val="5B0F614B"/>
    <w:rsid w:val="5B395223"/>
    <w:rsid w:val="5B4D3245"/>
    <w:rsid w:val="5B51760D"/>
    <w:rsid w:val="5B684352"/>
    <w:rsid w:val="5BFC1AC3"/>
    <w:rsid w:val="5C0C6506"/>
    <w:rsid w:val="5C1C655D"/>
    <w:rsid w:val="5C2E60D1"/>
    <w:rsid w:val="5C3B3014"/>
    <w:rsid w:val="5C5B500F"/>
    <w:rsid w:val="5C6B60A9"/>
    <w:rsid w:val="5CEC7F6C"/>
    <w:rsid w:val="5CF41781"/>
    <w:rsid w:val="5CFD10FF"/>
    <w:rsid w:val="5D105D2B"/>
    <w:rsid w:val="5D823E2B"/>
    <w:rsid w:val="5DA02187"/>
    <w:rsid w:val="5DB524FD"/>
    <w:rsid w:val="5DE057CC"/>
    <w:rsid w:val="5E02397D"/>
    <w:rsid w:val="5E27175F"/>
    <w:rsid w:val="5E6C5B8E"/>
    <w:rsid w:val="5EB449A2"/>
    <w:rsid w:val="5EBD3D5F"/>
    <w:rsid w:val="5F293ADC"/>
    <w:rsid w:val="5FB63E27"/>
    <w:rsid w:val="5FBA3DFB"/>
    <w:rsid w:val="5FD81224"/>
    <w:rsid w:val="60194FC5"/>
    <w:rsid w:val="601D1118"/>
    <w:rsid w:val="603C7806"/>
    <w:rsid w:val="6041678B"/>
    <w:rsid w:val="609A4358"/>
    <w:rsid w:val="60D26671"/>
    <w:rsid w:val="60DE6B1A"/>
    <w:rsid w:val="615A7650"/>
    <w:rsid w:val="61A62889"/>
    <w:rsid w:val="61E63856"/>
    <w:rsid w:val="620F4793"/>
    <w:rsid w:val="6240324E"/>
    <w:rsid w:val="62DA1DC8"/>
    <w:rsid w:val="62EE5586"/>
    <w:rsid w:val="63396E2F"/>
    <w:rsid w:val="63B079EF"/>
    <w:rsid w:val="63B22676"/>
    <w:rsid w:val="64201758"/>
    <w:rsid w:val="64391C9D"/>
    <w:rsid w:val="6455154C"/>
    <w:rsid w:val="64560BA8"/>
    <w:rsid w:val="646244DE"/>
    <w:rsid w:val="64760067"/>
    <w:rsid w:val="64A1070E"/>
    <w:rsid w:val="64B91ABD"/>
    <w:rsid w:val="64BC427D"/>
    <w:rsid w:val="64D41B49"/>
    <w:rsid w:val="65AB3C67"/>
    <w:rsid w:val="65D100E1"/>
    <w:rsid w:val="65D914CF"/>
    <w:rsid w:val="65F056C5"/>
    <w:rsid w:val="66035468"/>
    <w:rsid w:val="660B1854"/>
    <w:rsid w:val="662F3F03"/>
    <w:rsid w:val="666E1FEF"/>
    <w:rsid w:val="66E53E53"/>
    <w:rsid w:val="66ED6448"/>
    <w:rsid w:val="673F5A05"/>
    <w:rsid w:val="67585B6F"/>
    <w:rsid w:val="67752361"/>
    <w:rsid w:val="678B49FB"/>
    <w:rsid w:val="67D36E4C"/>
    <w:rsid w:val="6850232F"/>
    <w:rsid w:val="6854781B"/>
    <w:rsid w:val="687B609A"/>
    <w:rsid w:val="688A500A"/>
    <w:rsid w:val="6917406C"/>
    <w:rsid w:val="695A3DD8"/>
    <w:rsid w:val="69AB1C04"/>
    <w:rsid w:val="69CF3158"/>
    <w:rsid w:val="6A2904FB"/>
    <w:rsid w:val="6A3F33D4"/>
    <w:rsid w:val="6A627569"/>
    <w:rsid w:val="6A9E5CC9"/>
    <w:rsid w:val="6AA73D9C"/>
    <w:rsid w:val="6ACE3549"/>
    <w:rsid w:val="6AF24883"/>
    <w:rsid w:val="6B2C79E4"/>
    <w:rsid w:val="6B310FCC"/>
    <w:rsid w:val="6B3675C8"/>
    <w:rsid w:val="6B4A08A0"/>
    <w:rsid w:val="6B4C0980"/>
    <w:rsid w:val="6B76151E"/>
    <w:rsid w:val="6BCF7F45"/>
    <w:rsid w:val="6BE75F78"/>
    <w:rsid w:val="6BEF307E"/>
    <w:rsid w:val="6BF31BB3"/>
    <w:rsid w:val="6BFE3968"/>
    <w:rsid w:val="6BFF7698"/>
    <w:rsid w:val="6C711CE5"/>
    <w:rsid w:val="6C7268EC"/>
    <w:rsid w:val="6C985796"/>
    <w:rsid w:val="6CDA2A62"/>
    <w:rsid w:val="6CF1412E"/>
    <w:rsid w:val="6CF34041"/>
    <w:rsid w:val="6D203E37"/>
    <w:rsid w:val="6D4E378A"/>
    <w:rsid w:val="6DD30EA9"/>
    <w:rsid w:val="6DD60354"/>
    <w:rsid w:val="6DE720B2"/>
    <w:rsid w:val="6DE909A7"/>
    <w:rsid w:val="6E7B51C7"/>
    <w:rsid w:val="6F3D4278"/>
    <w:rsid w:val="6F5337AF"/>
    <w:rsid w:val="6F6E4169"/>
    <w:rsid w:val="6FA67EF8"/>
    <w:rsid w:val="6FAC739B"/>
    <w:rsid w:val="6FBF1210"/>
    <w:rsid w:val="6FCC3E02"/>
    <w:rsid w:val="6FDE7692"/>
    <w:rsid w:val="6FE211DA"/>
    <w:rsid w:val="6FE54354"/>
    <w:rsid w:val="703E5095"/>
    <w:rsid w:val="704716DB"/>
    <w:rsid w:val="70571C21"/>
    <w:rsid w:val="709E2BEB"/>
    <w:rsid w:val="70AA13DC"/>
    <w:rsid w:val="70B905D4"/>
    <w:rsid w:val="713220DF"/>
    <w:rsid w:val="71344E30"/>
    <w:rsid w:val="714E4437"/>
    <w:rsid w:val="71783E51"/>
    <w:rsid w:val="71F86954"/>
    <w:rsid w:val="721C4D7E"/>
    <w:rsid w:val="722708E7"/>
    <w:rsid w:val="722C1299"/>
    <w:rsid w:val="722E0C9C"/>
    <w:rsid w:val="72447612"/>
    <w:rsid w:val="725400DF"/>
    <w:rsid w:val="72621730"/>
    <w:rsid w:val="72BA62F1"/>
    <w:rsid w:val="72D07765"/>
    <w:rsid w:val="72F80E64"/>
    <w:rsid w:val="73532145"/>
    <w:rsid w:val="735905C9"/>
    <w:rsid w:val="73DB4384"/>
    <w:rsid w:val="73F76F74"/>
    <w:rsid w:val="74022690"/>
    <w:rsid w:val="741E4551"/>
    <w:rsid w:val="74450753"/>
    <w:rsid w:val="745A13AB"/>
    <w:rsid w:val="74754A9F"/>
    <w:rsid w:val="750528B0"/>
    <w:rsid w:val="754834C6"/>
    <w:rsid w:val="75552212"/>
    <w:rsid w:val="757C5983"/>
    <w:rsid w:val="75BF7F65"/>
    <w:rsid w:val="760F2255"/>
    <w:rsid w:val="76653089"/>
    <w:rsid w:val="768F512C"/>
    <w:rsid w:val="76A01E43"/>
    <w:rsid w:val="77466255"/>
    <w:rsid w:val="777350E4"/>
    <w:rsid w:val="77A56041"/>
    <w:rsid w:val="77C02A1F"/>
    <w:rsid w:val="77D7AAD3"/>
    <w:rsid w:val="782D7408"/>
    <w:rsid w:val="78325054"/>
    <w:rsid w:val="785B21C7"/>
    <w:rsid w:val="78C8308E"/>
    <w:rsid w:val="791B69B5"/>
    <w:rsid w:val="7999500C"/>
    <w:rsid w:val="79A17D19"/>
    <w:rsid w:val="79CF21D7"/>
    <w:rsid w:val="79FB14CF"/>
    <w:rsid w:val="79FC135A"/>
    <w:rsid w:val="7A027590"/>
    <w:rsid w:val="7A1B3944"/>
    <w:rsid w:val="7AD46261"/>
    <w:rsid w:val="7B63693E"/>
    <w:rsid w:val="7BC41E31"/>
    <w:rsid w:val="7C6D071B"/>
    <w:rsid w:val="7C721DC0"/>
    <w:rsid w:val="7C8C1BB5"/>
    <w:rsid w:val="7C8C31D2"/>
    <w:rsid w:val="7CDE287E"/>
    <w:rsid w:val="7D456697"/>
    <w:rsid w:val="7D555188"/>
    <w:rsid w:val="7D7F31A7"/>
    <w:rsid w:val="7D9E2D44"/>
    <w:rsid w:val="7DB87BC4"/>
    <w:rsid w:val="7DBC3708"/>
    <w:rsid w:val="7DE36D17"/>
    <w:rsid w:val="7E2E7F2B"/>
    <w:rsid w:val="7E6B0C8A"/>
    <w:rsid w:val="7E7A2FA4"/>
    <w:rsid w:val="7EB236D4"/>
    <w:rsid w:val="7ED520B4"/>
    <w:rsid w:val="7F1F1C7D"/>
    <w:rsid w:val="7F315A30"/>
    <w:rsid w:val="7F3C33B8"/>
    <w:rsid w:val="7F413799"/>
    <w:rsid w:val="7F576683"/>
    <w:rsid w:val="7F7B4EFD"/>
    <w:rsid w:val="7F800765"/>
    <w:rsid w:val="7F82628B"/>
    <w:rsid w:val="7FA12631"/>
    <w:rsid w:val="7FB36261"/>
    <w:rsid w:val="7FCB1DF5"/>
    <w:rsid w:val="7FDC03AB"/>
    <w:rsid w:val="7FE42AA2"/>
    <w:rsid w:val="7FF93AEA"/>
    <w:rsid w:val="E7C80805"/>
    <w:rsid w:val="FD3A9B41"/>
    <w:rsid w:val="FFBE7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99" w:semiHidden="0"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1"/>
    <w:autoRedefine/>
    <w:qFormat/>
    <w:uiPriority w:val="0"/>
    <w:pPr>
      <w:keepNext/>
      <w:jc w:val="center"/>
      <w:outlineLvl w:val="0"/>
    </w:pPr>
    <w:rPr>
      <w:b/>
      <w:bCs/>
      <w:kern w:val="0"/>
      <w:sz w:val="24"/>
    </w:rPr>
  </w:style>
  <w:style w:type="paragraph" w:styleId="3">
    <w:name w:val="heading 2"/>
    <w:basedOn w:val="1"/>
    <w:next w:val="1"/>
    <w:link w:val="76"/>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5"/>
    <w:link w:val="1014"/>
    <w:autoRedefine/>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78"/>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79"/>
    <w:autoRedefine/>
    <w:qFormat/>
    <w:uiPriority w:val="0"/>
    <w:pPr>
      <w:keepNext/>
      <w:keepLines/>
      <w:spacing w:before="280" w:after="290" w:line="376" w:lineRule="auto"/>
      <w:outlineLvl w:val="4"/>
    </w:pPr>
    <w:rPr>
      <w:b/>
      <w:bCs/>
      <w:kern w:val="0"/>
      <w:sz w:val="28"/>
      <w:szCs w:val="28"/>
    </w:rPr>
  </w:style>
  <w:style w:type="paragraph" w:styleId="8">
    <w:name w:val="heading 6"/>
    <w:basedOn w:val="1"/>
    <w:next w:val="1"/>
    <w:link w:val="80"/>
    <w:autoRedefine/>
    <w:qFormat/>
    <w:uiPriority w:val="0"/>
    <w:pPr>
      <w:keepNext/>
      <w:keepLines/>
      <w:spacing w:before="240" w:after="64" w:line="320" w:lineRule="auto"/>
      <w:outlineLvl w:val="5"/>
    </w:pPr>
    <w:rPr>
      <w:rFonts w:ascii="Calibri Light" w:hAnsi="Calibri Light"/>
      <w:b/>
      <w:bCs/>
      <w:sz w:val="24"/>
    </w:rPr>
  </w:style>
  <w:style w:type="paragraph" w:styleId="9">
    <w:name w:val="heading 7"/>
    <w:basedOn w:val="1"/>
    <w:next w:val="1"/>
    <w:link w:val="81"/>
    <w:autoRedefine/>
    <w:qFormat/>
    <w:uiPriority w:val="0"/>
    <w:pPr>
      <w:keepNext/>
      <w:keepLines/>
      <w:spacing w:before="240" w:after="64" w:line="320" w:lineRule="auto"/>
      <w:outlineLvl w:val="6"/>
    </w:pPr>
    <w:rPr>
      <w:b/>
      <w:bCs/>
      <w:sz w:val="24"/>
    </w:rPr>
  </w:style>
  <w:style w:type="paragraph" w:styleId="10">
    <w:name w:val="heading 8"/>
    <w:basedOn w:val="1"/>
    <w:next w:val="1"/>
    <w:link w:val="82"/>
    <w:autoRedefine/>
    <w:qFormat/>
    <w:uiPriority w:val="0"/>
    <w:pPr>
      <w:keepNext/>
      <w:keepLines/>
      <w:spacing w:before="240" w:after="64" w:line="320" w:lineRule="auto"/>
      <w:outlineLvl w:val="7"/>
    </w:pPr>
    <w:rPr>
      <w:rFonts w:ascii="等线 Light" w:hAnsi="等线 Light" w:eastAsia="等线 Light"/>
      <w:kern w:val="0"/>
      <w:sz w:val="24"/>
    </w:rPr>
  </w:style>
  <w:style w:type="paragraph" w:styleId="11">
    <w:name w:val="heading 9"/>
    <w:basedOn w:val="1"/>
    <w:next w:val="1"/>
    <w:link w:val="83"/>
    <w:autoRedefine/>
    <w:qFormat/>
    <w:uiPriority w:val="0"/>
    <w:pPr>
      <w:keepNext/>
      <w:keepLines/>
      <w:spacing w:before="240" w:after="64" w:line="317" w:lineRule="auto"/>
      <w:outlineLvl w:val="8"/>
    </w:pPr>
    <w:rPr>
      <w:rFonts w:ascii="Arial" w:hAnsi="Arial" w:eastAsia="黑体"/>
      <w:kern w:val="0"/>
      <w:sz w:val="20"/>
      <w:szCs w:val="20"/>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customStyle="1" w:styleId="5">
    <w:name w:val="正文-dtai"/>
    <w:basedOn w:val="1"/>
    <w:autoRedefine/>
    <w:qFormat/>
    <w:uiPriority w:val="0"/>
    <w:pPr>
      <w:spacing w:line="360" w:lineRule="auto"/>
      <w:ind w:firstLine="357"/>
    </w:pPr>
  </w:style>
  <w:style w:type="paragraph" w:styleId="12">
    <w:name w:val="toc 7"/>
    <w:basedOn w:val="1"/>
    <w:next w:val="1"/>
    <w:autoRedefine/>
    <w:qFormat/>
    <w:uiPriority w:val="0"/>
    <w:pPr>
      <w:ind w:left="2520" w:leftChars="1200"/>
    </w:pPr>
    <w:rPr>
      <w:rFonts w:ascii="Calibri" w:hAnsi="Calibri"/>
      <w:szCs w:val="22"/>
    </w:rPr>
  </w:style>
  <w:style w:type="paragraph" w:styleId="13">
    <w:name w:val="table of authorities"/>
    <w:basedOn w:val="1"/>
    <w:next w:val="1"/>
    <w:autoRedefine/>
    <w:unhideWhenUsed/>
    <w:qFormat/>
    <w:uiPriority w:val="99"/>
    <w:pPr>
      <w:ind w:left="420" w:leftChars="200"/>
    </w:pPr>
  </w:style>
  <w:style w:type="paragraph" w:styleId="14">
    <w:name w:val="List Number"/>
    <w:basedOn w:val="1"/>
    <w:autoRedefine/>
    <w:qFormat/>
    <w:uiPriority w:val="0"/>
    <w:pPr>
      <w:widowControl/>
      <w:tabs>
        <w:tab w:val="left" w:pos="454"/>
        <w:tab w:val="left" w:pos="720"/>
      </w:tabs>
      <w:spacing w:after="50" w:afterLines="50"/>
      <w:ind w:left="454" w:hanging="284"/>
      <w:jc w:val="left"/>
    </w:pPr>
    <w:rPr>
      <w:kern w:val="0"/>
      <w:sz w:val="24"/>
      <w:szCs w:val="20"/>
    </w:rPr>
  </w:style>
  <w:style w:type="paragraph" w:styleId="15">
    <w:name w:val="Normal Indent"/>
    <w:basedOn w:val="1"/>
    <w:link w:val="84"/>
    <w:autoRedefine/>
    <w:qFormat/>
    <w:uiPriority w:val="0"/>
    <w:pPr>
      <w:ind w:firstLine="420"/>
    </w:pPr>
    <w:rPr>
      <w:kern w:val="0"/>
      <w:sz w:val="20"/>
      <w:szCs w:val="20"/>
    </w:rPr>
  </w:style>
  <w:style w:type="paragraph" w:styleId="16">
    <w:name w:val="caption"/>
    <w:basedOn w:val="1"/>
    <w:next w:val="1"/>
    <w:autoRedefine/>
    <w:qFormat/>
    <w:uiPriority w:val="0"/>
    <w:pPr>
      <w:spacing w:before="152" w:after="160"/>
    </w:pPr>
    <w:rPr>
      <w:rFonts w:ascii="Arial" w:hAnsi="Arial" w:eastAsia="黑体" w:cs="Arial"/>
      <w:sz w:val="20"/>
      <w:szCs w:val="20"/>
    </w:rPr>
  </w:style>
  <w:style w:type="paragraph" w:styleId="17">
    <w:name w:val="index 5"/>
    <w:basedOn w:val="1"/>
    <w:next w:val="1"/>
    <w:autoRedefine/>
    <w:qFormat/>
    <w:uiPriority w:val="0"/>
    <w:pPr>
      <w:widowControl/>
      <w:spacing w:before="60" w:after="60"/>
      <w:ind w:left="1440"/>
    </w:pPr>
    <w:rPr>
      <w:rFonts w:ascii="Arial" w:hAnsi="Arial" w:cs="Arial"/>
      <w:kern w:val="0"/>
      <w:sz w:val="20"/>
      <w:szCs w:val="20"/>
      <w:lang w:val="en-GB" w:eastAsia="fr-FR"/>
    </w:rPr>
  </w:style>
  <w:style w:type="paragraph" w:styleId="18">
    <w:name w:val="Document Map"/>
    <w:basedOn w:val="1"/>
    <w:link w:val="85"/>
    <w:autoRedefine/>
    <w:qFormat/>
    <w:uiPriority w:val="0"/>
    <w:pPr>
      <w:shd w:val="clear" w:color="auto" w:fill="000080"/>
    </w:pPr>
    <w:rPr>
      <w:rFonts w:ascii="Calibri" w:hAnsi="Calibri"/>
    </w:rPr>
  </w:style>
  <w:style w:type="paragraph" w:styleId="19">
    <w:name w:val="toa heading"/>
    <w:basedOn w:val="1"/>
    <w:next w:val="1"/>
    <w:autoRedefine/>
    <w:qFormat/>
    <w:uiPriority w:val="0"/>
    <w:pPr>
      <w:spacing w:before="120"/>
    </w:pPr>
    <w:rPr>
      <w:rFonts w:ascii="Arial" w:hAnsi="Arial" w:cs="Arial"/>
      <w:sz w:val="24"/>
    </w:rPr>
  </w:style>
  <w:style w:type="paragraph" w:styleId="20">
    <w:name w:val="annotation text"/>
    <w:basedOn w:val="1"/>
    <w:link w:val="86"/>
    <w:autoRedefine/>
    <w:qFormat/>
    <w:uiPriority w:val="0"/>
    <w:pPr>
      <w:jc w:val="left"/>
    </w:pPr>
    <w:rPr>
      <w:kern w:val="0"/>
      <w:sz w:val="20"/>
    </w:rPr>
  </w:style>
  <w:style w:type="paragraph" w:styleId="21">
    <w:name w:val="Salutation"/>
    <w:basedOn w:val="1"/>
    <w:next w:val="1"/>
    <w:link w:val="87"/>
    <w:autoRedefine/>
    <w:qFormat/>
    <w:uiPriority w:val="0"/>
    <w:rPr>
      <w:sz w:val="24"/>
    </w:rPr>
  </w:style>
  <w:style w:type="paragraph" w:styleId="22">
    <w:name w:val="Body Text 3"/>
    <w:basedOn w:val="1"/>
    <w:link w:val="88"/>
    <w:autoRedefine/>
    <w:qFormat/>
    <w:uiPriority w:val="0"/>
    <w:pPr>
      <w:snapToGrid w:val="0"/>
      <w:spacing w:before="50" w:after="50"/>
    </w:pPr>
    <w:rPr>
      <w:rFonts w:hAnsi="宋体" w:eastAsia="仿宋_GB2312"/>
      <w:b/>
      <w:bCs/>
      <w:kern w:val="0"/>
      <w:sz w:val="24"/>
      <w:szCs w:val="20"/>
    </w:rPr>
  </w:style>
  <w:style w:type="paragraph" w:styleId="23">
    <w:name w:val="Body Text"/>
    <w:basedOn w:val="1"/>
    <w:next w:val="1"/>
    <w:link w:val="89"/>
    <w:autoRedefine/>
    <w:qFormat/>
    <w:uiPriority w:val="0"/>
    <w:pPr>
      <w:spacing w:after="120"/>
    </w:pPr>
    <w:rPr>
      <w:kern w:val="0"/>
      <w:sz w:val="28"/>
    </w:rPr>
  </w:style>
  <w:style w:type="paragraph" w:styleId="24">
    <w:name w:val="Body Text Indent"/>
    <w:basedOn w:val="1"/>
    <w:next w:val="25"/>
    <w:link w:val="91"/>
    <w:autoRedefine/>
    <w:qFormat/>
    <w:uiPriority w:val="0"/>
    <w:pPr>
      <w:spacing w:line="200" w:lineRule="exact"/>
      <w:ind w:firstLine="301"/>
    </w:pPr>
    <w:rPr>
      <w:rFonts w:ascii="宋体" w:hAnsi="Courier New"/>
      <w:spacing w:val="-4"/>
      <w:kern w:val="0"/>
      <w:sz w:val="18"/>
      <w:szCs w:val="20"/>
    </w:rPr>
  </w:style>
  <w:style w:type="paragraph" w:styleId="25">
    <w:name w:val="envelope return"/>
    <w:basedOn w:val="1"/>
    <w:autoRedefine/>
    <w:qFormat/>
    <w:uiPriority w:val="0"/>
    <w:pPr>
      <w:snapToGrid w:val="0"/>
    </w:pPr>
    <w:rPr>
      <w:rFonts w:ascii="Arial" w:hAnsi="Arial"/>
    </w:rPr>
  </w:style>
  <w:style w:type="paragraph" w:styleId="26">
    <w:name w:val="List Number 3"/>
    <w:basedOn w:val="1"/>
    <w:autoRedefine/>
    <w:qFormat/>
    <w:uiPriority w:val="0"/>
    <w:pPr>
      <w:tabs>
        <w:tab w:val="left" w:pos="1200"/>
      </w:tabs>
      <w:ind w:left="1200" w:hanging="360"/>
    </w:pPr>
  </w:style>
  <w:style w:type="paragraph" w:styleId="27">
    <w:name w:val="List 2"/>
    <w:basedOn w:val="1"/>
    <w:autoRedefine/>
    <w:qFormat/>
    <w:uiPriority w:val="0"/>
    <w:pPr>
      <w:ind w:left="100" w:leftChars="200" w:hanging="200" w:hangingChars="200"/>
    </w:pPr>
    <w:rPr>
      <w:sz w:val="28"/>
    </w:rPr>
  </w:style>
  <w:style w:type="paragraph" w:styleId="28">
    <w:name w:val="Block Text"/>
    <w:basedOn w:val="1"/>
    <w:autoRedefine/>
    <w:qFormat/>
    <w:uiPriority w:val="0"/>
    <w:pPr>
      <w:adjustRightInd w:val="0"/>
      <w:ind w:left="420" w:right="33"/>
      <w:jc w:val="left"/>
      <w:textAlignment w:val="baseline"/>
    </w:pPr>
    <w:rPr>
      <w:rFonts w:ascii="Calibri" w:hAnsi="Calibri"/>
      <w:kern w:val="0"/>
      <w:sz w:val="24"/>
      <w:szCs w:val="20"/>
    </w:rPr>
  </w:style>
  <w:style w:type="paragraph" w:styleId="29">
    <w:name w:val="index 4"/>
    <w:basedOn w:val="1"/>
    <w:next w:val="1"/>
    <w:autoRedefine/>
    <w:qFormat/>
    <w:uiPriority w:val="0"/>
    <w:pPr>
      <w:ind w:left="600" w:leftChars="600"/>
    </w:pPr>
    <w:rPr>
      <w:rFonts w:ascii="Calibri" w:hAnsi="Calibri"/>
    </w:rPr>
  </w:style>
  <w:style w:type="paragraph" w:styleId="30">
    <w:name w:val="toc 5"/>
    <w:basedOn w:val="1"/>
    <w:next w:val="1"/>
    <w:autoRedefine/>
    <w:qFormat/>
    <w:uiPriority w:val="0"/>
    <w:pPr>
      <w:ind w:left="1680" w:leftChars="800"/>
    </w:pPr>
    <w:rPr>
      <w:rFonts w:ascii="Calibri" w:hAnsi="Calibri"/>
      <w:szCs w:val="22"/>
    </w:rPr>
  </w:style>
  <w:style w:type="paragraph" w:styleId="31">
    <w:name w:val="toc 3"/>
    <w:basedOn w:val="1"/>
    <w:next w:val="1"/>
    <w:autoRedefine/>
    <w:qFormat/>
    <w:uiPriority w:val="0"/>
    <w:pPr>
      <w:ind w:left="840" w:leftChars="400"/>
    </w:pPr>
    <w:rPr>
      <w:rFonts w:ascii="Calibri" w:hAnsi="Calibri"/>
      <w:szCs w:val="22"/>
    </w:rPr>
  </w:style>
  <w:style w:type="paragraph" w:styleId="32">
    <w:name w:val="Plain Text"/>
    <w:basedOn w:val="1"/>
    <w:link w:val="92"/>
    <w:autoRedefine/>
    <w:qFormat/>
    <w:uiPriority w:val="0"/>
    <w:pPr>
      <w:spacing w:before="156" w:beforeLines="50" w:after="156" w:afterLines="50" w:line="400" w:lineRule="exact"/>
    </w:pPr>
    <w:rPr>
      <w:rFonts w:ascii="宋体" w:hAnsi="Courier New"/>
      <w:kern w:val="0"/>
      <w:sz w:val="24"/>
    </w:rPr>
  </w:style>
  <w:style w:type="paragraph" w:styleId="33">
    <w:name w:val="toc 8"/>
    <w:basedOn w:val="1"/>
    <w:next w:val="1"/>
    <w:autoRedefine/>
    <w:qFormat/>
    <w:uiPriority w:val="0"/>
    <w:pPr>
      <w:ind w:left="2940" w:leftChars="1400"/>
    </w:pPr>
    <w:rPr>
      <w:rFonts w:ascii="Calibri" w:hAnsi="Calibri"/>
      <w:szCs w:val="22"/>
    </w:rPr>
  </w:style>
  <w:style w:type="paragraph" w:styleId="34">
    <w:name w:val="Date"/>
    <w:basedOn w:val="1"/>
    <w:next w:val="1"/>
    <w:link w:val="93"/>
    <w:autoRedefine/>
    <w:qFormat/>
    <w:uiPriority w:val="0"/>
    <w:pPr>
      <w:ind w:left="2500" w:leftChars="2500"/>
    </w:pPr>
    <w:rPr>
      <w:rFonts w:eastAsia="楷体_GB2312"/>
      <w:kern w:val="0"/>
      <w:sz w:val="32"/>
      <w:szCs w:val="20"/>
    </w:rPr>
  </w:style>
  <w:style w:type="paragraph" w:styleId="35">
    <w:name w:val="Body Text Indent 2"/>
    <w:basedOn w:val="1"/>
    <w:link w:val="94"/>
    <w:autoRedefine/>
    <w:qFormat/>
    <w:uiPriority w:val="0"/>
    <w:pPr>
      <w:snapToGrid w:val="0"/>
      <w:ind w:firstLine="542" w:firstLineChars="225"/>
    </w:pPr>
    <w:rPr>
      <w:rFonts w:ascii="仿宋_GB2312" w:hAnsi="宋体"/>
      <w:b/>
      <w:bCs/>
      <w:color w:val="000000"/>
      <w:kern w:val="0"/>
      <w:sz w:val="24"/>
    </w:rPr>
  </w:style>
  <w:style w:type="paragraph" w:styleId="36">
    <w:name w:val="endnote text"/>
    <w:basedOn w:val="1"/>
    <w:link w:val="95"/>
    <w:autoRedefine/>
    <w:qFormat/>
    <w:uiPriority w:val="0"/>
    <w:pPr>
      <w:snapToGrid w:val="0"/>
      <w:jc w:val="left"/>
    </w:pPr>
    <w:rPr>
      <w:rFonts w:ascii="Calibri" w:hAnsi="Calibri"/>
      <w:szCs w:val="20"/>
    </w:rPr>
  </w:style>
  <w:style w:type="paragraph" w:styleId="37">
    <w:name w:val="Balloon Text"/>
    <w:basedOn w:val="1"/>
    <w:link w:val="96"/>
    <w:autoRedefine/>
    <w:qFormat/>
    <w:uiPriority w:val="0"/>
    <w:rPr>
      <w:kern w:val="0"/>
      <w:sz w:val="18"/>
      <w:szCs w:val="18"/>
    </w:rPr>
  </w:style>
  <w:style w:type="paragraph" w:styleId="38">
    <w:name w:val="footer"/>
    <w:basedOn w:val="1"/>
    <w:link w:val="97"/>
    <w:autoRedefine/>
    <w:qFormat/>
    <w:uiPriority w:val="0"/>
    <w:pPr>
      <w:tabs>
        <w:tab w:val="center" w:pos="4153"/>
        <w:tab w:val="right" w:pos="8306"/>
      </w:tabs>
      <w:snapToGrid w:val="0"/>
      <w:jc w:val="left"/>
    </w:pPr>
    <w:rPr>
      <w:rFonts w:eastAsia="黑体"/>
      <w:snapToGrid w:val="0"/>
      <w:kern w:val="0"/>
      <w:sz w:val="18"/>
      <w:szCs w:val="18"/>
    </w:rPr>
  </w:style>
  <w:style w:type="paragraph" w:styleId="39">
    <w:name w:val="header"/>
    <w:basedOn w:val="1"/>
    <w:link w:val="98"/>
    <w:autoRedefine/>
    <w:qFormat/>
    <w:uiPriority w:val="0"/>
    <w:pPr>
      <w:pBdr>
        <w:bottom w:val="single" w:color="auto" w:sz="6" w:space="1"/>
      </w:pBdr>
      <w:tabs>
        <w:tab w:val="center" w:pos="4153"/>
        <w:tab w:val="right" w:pos="8306"/>
      </w:tabs>
      <w:snapToGrid w:val="0"/>
      <w:jc w:val="center"/>
    </w:pPr>
    <w:rPr>
      <w:rFonts w:eastAsia="仿宋_GB2312"/>
      <w:kern w:val="0"/>
      <w:sz w:val="18"/>
      <w:szCs w:val="20"/>
    </w:rPr>
  </w:style>
  <w:style w:type="paragraph" w:styleId="40">
    <w:name w:val="Signature"/>
    <w:basedOn w:val="1"/>
    <w:link w:val="99"/>
    <w:autoRedefine/>
    <w:qFormat/>
    <w:uiPriority w:val="0"/>
    <w:pPr>
      <w:widowControl/>
      <w:ind w:left="4252"/>
      <w:jc w:val="left"/>
    </w:pPr>
    <w:rPr>
      <w:rFonts w:ascii="Calibri" w:hAnsi="Calibri"/>
      <w:kern w:val="0"/>
      <w:sz w:val="24"/>
      <w:szCs w:val="20"/>
      <w:lang w:val="en-GB" w:eastAsia="en-US"/>
    </w:rPr>
  </w:style>
  <w:style w:type="paragraph" w:styleId="41">
    <w:name w:val="toc 1"/>
    <w:basedOn w:val="1"/>
    <w:next w:val="1"/>
    <w:autoRedefine/>
    <w:qFormat/>
    <w:uiPriority w:val="39"/>
  </w:style>
  <w:style w:type="paragraph" w:styleId="42">
    <w:name w:val="toc 4"/>
    <w:basedOn w:val="1"/>
    <w:next w:val="1"/>
    <w:autoRedefine/>
    <w:qFormat/>
    <w:uiPriority w:val="0"/>
    <w:pPr>
      <w:ind w:left="1260" w:leftChars="600"/>
    </w:pPr>
    <w:rPr>
      <w:rFonts w:ascii="Calibri" w:hAnsi="Calibri"/>
      <w:szCs w:val="22"/>
    </w:rPr>
  </w:style>
  <w:style w:type="paragraph" w:styleId="43">
    <w:name w:val="Subtitle"/>
    <w:basedOn w:val="1"/>
    <w:next w:val="1"/>
    <w:link w:val="90"/>
    <w:autoRedefine/>
    <w:qFormat/>
    <w:uiPriority w:val="0"/>
    <w:pPr>
      <w:widowControl/>
      <w:jc w:val="left"/>
    </w:pPr>
    <w:rPr>
      <w:rFonts w:ascii="Arial" w:hAnsi="Arial"/>
      <w:kern w:val="0"/>
      <w:sz w:val="28"/>
      <w:szCs w:val="22"/>
      <w:lang w:eastAsia="en-US"/>
    </w:rPr>
  </w:style>
  <w:style w:type="paragraph" w:styleId="44">
    <w:name w:val="List"/>
    <w:basedOn w:val="1"/>
    <w:autoRedefine/>
    <w:qFormat/>
    <w:uiPriority w:val="0"/>
    <w:pPr>
      <w:ind w:left="200" w:hanging="200" w:hangingChars="200"/>
    </w:pPr>
    <w:rPr>
      <w:sz w:val="28"/>
    </w:rPr>
  </w:style>
  <w:style w:type="paragraph" w:styleId="45">
    <w:name w:val="footnote text"/>
    <w:basedOn w:val="1"/>
    <w:link w:val="100"/>
    <w:autoRedefine/>
    <w:qFormat/>
    <w:uiPriority w:val="0"/>
    <w:pPr>
      <w:snapToGrid w:val="0"/>
      <w:jc w:val="left"/>
    </w:pPr>
    <w:rPr>
      <w:sz w:val="18"/>
      <w:szCs w:val="18"/>
    </w:rPr>
  </w:style>
  <w:style w:type="paragraph" w:styleId="46">
    <w:name w:val="toc 6"/>
    <w:basedOn w:val="1"/>
    <w:next w:val="1"/>
    <w:autoRedefine/>
    <w:qFormat/>
    <w:uiPriority w:val="0"/>
    <w:pPr>
      <w:ind w:left="2100" w:leftChars="1000"/>
    </w:pPr>
    <w:rPr>
      <w:rFonts w:ascii="Calibri" w:hAnsi="Calibri"/>
      <w:szCs w:val="22"/>
    </w:rPr>
  </w:style>
  <w:style w:type="paragraph" w:styleId="47">
    <w:name w:val="List 5"/>
    <w:basedOn w:val="1"/>
    <w:autoRedefine/>
    <w:qFormat/>
    <w:uiPriority w:val="0"/>
    <w:pPr>
      <w:ind w:left="2100" w:hanging="420"/>
    </w:pPr>
    <w:rPr>
      <w:rFonts w:ascii="Calibri" w:hAnsi="Calibri" w:eastAsia="楷体_GB2312"/>
      <w:sz w:val="32"/>
      <w:szCs w:val="22"/>
    </w:rPr>
  </w:style>
  <w:style w:type="paragraph" w:styleId="48">
    <w:name w:val="Body Text Indent 3"/>
    <w:basedOn w:val="1"/>
    <w:link w:val="101"/>
    <w:autoRedefine/>
    <w:qFormat/>
    <w:uiPriority w:val="0"/>
    <w:pPr>
      <w:snapToGrid w:val="0"/>
      <w:ind w:firstLine="480" w:firstLineChars="200"/>
      <w:jc w:val="left"/>
    </w:pPr>
    <w:rPr>
      <w:rFonts w:ascii="仿宋_GB2312" w:hAnsi="宋体" w:eastAsia="仿宋_GB2312"/>
      <w:color w:val="000000"/>
      <w:kern w:val="0"/>
      <w:sz w:val="24"/>
    </w:rPr>
  </w:style>
  <w:style w:type="paragraph" w:styleId="49">
    <w:name w:val="table of figures"/>
    <w:basedOn w:val="1"/>
    <w:next w:val="1"/>
    <w:autoRedefine/>
    <w:qFormat/>
    <w:uiPriority w:val="0"/>
    <w:pPr>
      <w:ind w:left="200" w:leftChars="200" w:hanging="200" w:hangingChars="200"/>
    </w:pPr>
    <w:rPr>
      <w:rFonts w:ascii="Calibri" w:hAnsi="Calibri"/>
    </w:rPr>
  </w:style>
  <w:style w:type="paragraph" w:styleId="50">
    <w:name w:val="toc 2"/>
    <w:basedOn w:val="1"/>
    <w:next w:val="1"/>
    <w:autoRedefine/>
    <w:qFormat/>
    <w:uiPriority w:val="0"/>
    <w:pPr>
      <w:ind w:left="420" w:leftChars="200"/>
    </w:pPr>
    <w:rPr>
      <w:rFonts w:ascii="Calibri" w:hAnsi="Calibri"/>
      <w:szCs w:val="22"/>
    </w:rPr>
  </w:style>
  <w:style w:type="paragraph" w:styleId="51">
    <w:name w:val="toc 9"/>
    <w:basedOn w:val="1"/>
    <w:next w:val="1"/>
    <w:autoRedefine/>
    <w:qFormat/>
    <w:uiPriority w:val="0"/>
    <w:pPr>
      <w:ind w:left="3360" w:leftChars="1600"/>
    </w:pPr>
    <w:rPr>
      <w:rFonts w:ascii="Calibri" w:hAnsi="Calibri"/>
      <w:szCs w:val="22"/>
    </w:rPr>
  </w:style>
  <w:style w:type="paragraph" w:styleId="52">
    <w:name w:val="Body Text 2"/>
    <w:basedOn w:val="1"/>
    <w:link w:val="102"/>
    <w:autoRedefine/>
    <w:qFormat/>
    <w:uiPriority w:val="0"/>
    <w:pPr>
      <w:widowControl/>
      <w:snapToGrid w:val="0"/>
      <w:spacing w:before="50" w:after="156" w:afterLines="50" w:line="400" w:lineRule="exact"/>
      <w:jc w:val="left"/>
    </w:pPr>
    <w:rPr>
      <w:rFonts w:ascii="宋体" w:hAnsi="宋体"/>
      <w:color w:val="000000"/>
      <w:kern w:val="0"/>
      <w:sz w:val="24"/>
    </w:rPr>
  </w:style>
  <w:style w:type="paragraph" w:styleId="53">
    <w:name w:val="List 4"/>
    <w:basedOn w:val="1"/>
    <w:autoRedefine/>
    <w:qFormat/>
    <w:uiPriority w:val="0"/>
    <w:pPr>
      <w:ind w:left="1680" w:hanging="420"/>
    </w:pPr>
    <w:rPr>
      <w:rFonts w:ascii="Calibri" w:hAnsi="Calibri" w:eastAsia="楷体_GB2312"/>
      <w:sz w:val="32"/>
      <w:szCs w:val="22"/>
    </w:rPr>
  </w:style>
  <w:style w:type="paragraph" w:styleId="54">
    <w:name w:val="HTML Preformatted"/>
    <w:basedOn w:val="1"/>
    <w:link w:val="1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5">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56">
    <w:name w:val="index 1"/>
    <w:basedOn w:val="1"/>
    <w:next w:val="1"/>
    <w:autoRedefine/>
    <w:qFormat/>
    <w:uiPriority w:val="0"/>
    <w:pPr>
      <w:spacing w:line="220" w:lineRule="exact"/>
      <w:jc w:val="center"/>
    </w:pPr>
    <w:rPr>
      <w:rFonts w:ascii="仿宋_GB2312" w:hAnsi="Calibri" w:eastAsia="仿宋_GB2312"/>
      <w:szCs w:val="21"/>
    </w:rPr>
  </w:style>
  <w:style w:type="paragraph" w:styleId="57">
    <w:name w:val="Title"/>
    <w:basedOn w:val="1"/>
    <w:next w:val="1"/>
    <w:link w:val="104"/>
    <w:autoRedefine/>
    <w:qFormat/>
    <w:uiPriority w:val="0"/>
    <w:pPr>
      <w:spacing w:line="520" w:lineRule="exact"/>
      <w:jc w:val="center"/>
      <w:outlineLvl w:val="3"/>
    </w:pPr>
    <w:rPr>
      <w:rFonts w:ascii="Cambria" w:hAnsi="Cambria"/>
      <w:b/>
      <w:bCs/>
      <w:kern w:val="0"/>
      <w:sz w:val="28"/>
      <w:szCs w:val="32"/>
    </w:rPr>
  </w:style>
  <w:style w:type="paragraph" w:styleId="58">
    <w:name w:val="annotation subject"/>
    <w:basedOn w:val="20"/>
    <w:next w:val="20"/>
    <w:link w:val="105"/>
    <w:autoRedefine/>
    <w:qFormat/>
    <w:uiPriority w:val="0"/>
    <w:rPr>
      <w:b/>
      <w:bCs/>
      <w:szCs w:val="20"/>
    </w:rPr>
  </w:style>
  <w:style w:type="paragraph" w:styleId="59">
    <w:name w:val="Body Text First Indent"/>
    <w:basedOn w:val="23"/>
    <w:next w:val="1"/>
    <w:link w:val="106"/>
    <w:autoRedefine/>
    <w:unhideWhenUsed/>
    <w:qFormat/>
    <w:uiPriority w:val="0"/>
    <w:pPr>
      <w:ind w:firstLine="420" w:firstLineChars="100"/>
    </w:pPr>
    <w:rPr>
      <w:kern w:val="2"/>
      <w:sz w:val="21"/>
    </w:rPr>
  </w:style>
  <w:style w:type="table" w:styleId="61">
    <w:name w:val="Table Grid"/>
    <w:basedOn w:val="6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0"/>
    <w:rPr>
      <w:rFonts w:eastAsia="宋体"/>
      <w:b/>
      <w:bCs/>
      <w:kern w:val="2"/>
      <w:sz w:val="24"/>
      <w:szCs w:val="24"/>
      <w:lang w:val="en-US" w:eastAsia="zh-CN" w:bidi="ar-SA"/>
    </w:rPr>
  </w:style>
  <w:style w:type="character" w:styleId="64">
    <w:name w:val="endnote reference"/>
    <w:autoRedefine/>
    <w:qFormat/>
    <w:uiPriority w:val="0"/>
    <w:rPr>
      <w:rFonts w:ascii="Calibri" w:hAnsi="Calibri" w:eastAsia="宋体" w:cs="Times New Roman"/>
      <w:vertAlign w:val="superscript"/>
      <w:lang w:val="en-US" w:eastAsia="zh-CN" w:bidi="ar-SA"/>
    </w:rPr>
  </w:style>
  <w:style w:type="character" w:styleId="65">
    <w:name w:val="page number"/>
    <w:autoRedefine/>
    <w:qFormat/>
    <w:uiPriority w:val="0"/>
  </w:style>
  <w:style w:type="character" w:styleId="66">
    <w:name w:val="FollowedHyperlink"/>
    <w:autoRedefine/>
    <w:qFormat/>
    <w:uiPriority w:val="99"/>
    <w:rPr>
      <w:rFonts w:eastAsia="宋体"/>
      <w:color w:val="800080"/>
      <w:kern w:val="2"/>
      <w:sz w:val="24"/>
      <w:szCs w:val="24"/>
      <w:u w:val="single"/>
      <w:lang w:val="en-US" w:eastAsia="zh-CN" w:bidi="ar-SA"/>
    </w:rPr>
  </w:style>
  <w:style w:type="character" w:styleId="67">
    <w:name w:val="Emphasis"/>
    <w:autoRedefine/>
    <w:qFormat/>
    <w:uiPriority w:val="0"/>
    <w:rPr>
      <w:rFonts w:ascii="Calibri" w:hAnsi="Calibri" w:eastAsia="宋体" w:cs="Times New Roman"/>
      <w:i/>
      <w:iCs/>
      <w:lang w:val="en-US" w:eastAsia="zh-CN" w:bidi="ar-SA"/>
    </w:rPr>
  </w:style>
  <w:style w:type="character" w:styleId="68">
    <w:name w:val="Hyperlink"/>
    <w:autoRedefine/>
    <w:qFormat/>
    <w:uiPriority w:val="99"/>
    <w:rPr>
      <w:color w:val="0000FF"/>
      <w:u w:val="single"/>
    </w:rPr>
  </w:style>
  <w:style w:type="character" w:styleId="69">
    <w:name w:val="annotation reference"/>
    <w:autoRedefine/>
    <w:qFormat/>
    <w:uiPriority w:val="99"/>
    <w:rPr>
      <w:rFonts w:eastAsia="宋体"/>
      <w:kern w:val="2"/>
      <w:sz w:val="21"/>
      <w:szCs w:val="21"/>
      <w:lang w:val="en-US" w:eastAsia="zh-CN" w:bidi="ar-SA"/>
    </w:rPr>
  </w:style>
  <w:style w:type="character" w:styleId="70">
    <w:name w:val="footnote reference"/>
    <w:autoRedefine/>
    <w:qFormat/>
    <w:uiPriority w:val="99"/>
    <w:rPr>
      <w:rFonts w:cs="Times New Roman"/>
      <w:vertAlign w:val="superscript"/>
    </w:rPr>
  </w:style>
  <w:style w:type="character" w:customStyle="1" w:styleId="71">
    <w:name w:val="标题 1 Char"/>
    <w:link w:val="2"/>
    <w:autoRedefine/>
    <w:qFormat/>
    <w:uiPriority w:val="0"/>
    <w:rPr>
      <w:rFonts w:ascii="Times New Roman" w:hAnsi="Times New Roman" w:eastAsia="宋体" w:cs="Times New Roman"/>
      <w:b/>
      <w:bCs/>
      <w:sz w:val="24"/>
      <w:szCs w:val="24"/>
    </w:rPr>
  </w:style>
  <w:style w:type="paragraph" w:customStyle="1" w:styleId="72">
    <w:name w:val="正文文本首行缩进 21"/>
    <w:basedOn w:val="24"/>
    <w:autoRedefine/>
    <w:qFormat/>
    <w:uiPriority w:val="0"/>
    <w:pPr>
      <w:ind w:firstLine="420"/>
    </w:pPr>
  </w:style>
  <w:style w:type="paragraph" w:customStyle="1" w:styleId="73">
    <w:name w:val="Default"/>
    <w:next w:val="74"/>
    <w:link w:val="75"/>
    <w:autoRedefine/>
    <w:qFormat/>
    <w:uiPriority w:val="99"/>
    <w:pPr>
      <w:widowControl w:val="0"/>
      <w:autoSpaceDE w:val="0"/>
      <w:autoSpaceDN w:val="0"/>
      <w:adjustRightInd w:val="0"/>
    </w:pPr>
    <w:rPr>
      <w:rFonts w:ascii="..ì." w:hAnsi="Times New Roman" w:eastAsia="..ì." w:cs="Times New Roman"/>
      <w:color w:val="000000"/>
      <w:sz w:val="24"/>
      <w:szCs w:val="24"/>
      <w:lang w:val="en-US" w:eastAsia="zh-CN" w:bidi="ar-SA"/>
    </w:rPr>
  </w:style>
  <w:style w:type="paragraph" w:customStyle="1" w:styleId="74">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5">
    <w:name w:val="Default Char Char"/>
    <w:link w:val="73"/>
    <w:autoRedefine/>
    <w:qFormat/>
    <w:uiPriority w:val="99"/>
    <w:rPr>
      <w:rFonts w:ascii="..ì." w:eastAsia="..ì."/>
      <w:color w:val="000000"/>
      <w:sz w:val="24"/>
      <w:szCs w:val="24"/>
      <w:lang w:val="en-US" w:eastAsia="zh-CN" w:bidi="ar-SA"/>
    </w:rPr>
  </w:style>
  <w:style w:type="character" w:customStyle="1" w:styleId="76">
    <w:name w:val="标题 2 Char2"/>
    <w:link w:val="3"/>
    <w:autoRedefine/>
    <w:qFormat/>
    <w:uiPriority w:val="0"/>
    <w:rPr>
      <w:rFonts w:ascii="Arial" w:hAnsi="Arial" w:eastAsia="黑体" w:cs="Times New Roman"/>
      <w:b/>
      <w:bCs/>
      <w:sz w:val="32"/>
      <w:szCs w:val="32"/>
    </w:rPr>
  </w:style>
  <w:style w:type="character" w:customStyle="1" w:styleId="77">
    <w:name w:val="标题 3 Char2"/>
    <w:basedOn w:val="62"/>
    <w:autoRedefine/>
    <w:qFormat/>
    <w:uiPriority w:val="9"/>
    <w:rPr>
      <w:rFonts w:ascii="Times New Roman" w:hAnsi="Times New Roman" w:eastAsia="宋体" w:cs="Times New Roman"/>
      <w:b/>
      <w:bCs/>
      <w:sz w:val="32"/>
      <w:szCs w:val="32"/>
      <w:lang w:val="en-US" w:eastAsia="zh-CN" w:bidi="ar-SA"/>
    </w:rPr>
  </w:style>
  <w:style w:type="character" w:customStyle="1" w:styleId="78">
    <w:name w:val="标题 4 Char"/>
    <w:link w:val="6"/>
    <w:autoRedefine/>
    <w:qFormat/>
    <w:uiPriority w:val="0"/>
    <w:rPr>
      <w:rFonts w:ascii="Arial" w:hAnsi="Arial" w:eastAsia="黑体" w:cs="Times New Roman"/>
      <w:b/>
      <w:bCs/>
      <w:sz w:val="28"/>
      <w:szCs w:val="28"/>
    </w:rPr>
  </w:style>
  <w:style w:type="character" w:customStyle="1" w:styleId="79">
    <w:name w:val="标题 5 Char"/>
    <w:link w:val="7"/>
    <w:autoRedefine/>
    <w:qFormat/>
    <w:uiPriority w:val="0"/>
    <w:rPr>
      <w:rFonts w:ascii="Times New Roman" w:hAnsi="Times New Roman" w:eastAsia="宋体" w:cs="Times New Roman"/>
      <w:b/>
      <w:bCs/>
      <w:sz w:val="28"/>
      <w:szCs w:val="28"/>
    </w:rPr>
  </w:style>
  <w:style w:type="character" w:customStyle="1" w:styleId="80">
    <w:name w:val="标题 6 Char"/>
    <w:link w:val="8"/>
    <w:autoRedefine/>
    <w:qFormat/>
    <w:uiPriority w:val="0"/>
    <w:rPr>
      <w:rFonts w:ascii="Calibri Light" w:hAnsi="Calibri Light"/>
      <w:b/>
      <w:bCs/>
      <w:kern w:val="2"/>
      <w:sz w:val="24"/>
      <w:szCs w:val="24"/>
    </w:rPr>
  </w:style>
  <w:style w:type="character" w:customStyle="1" w:styleId="81">
    <w:name w:val="标题 7 Char"/>
    <w:link w:val="9"/>
    <w:autoRedefine/>
    <w:qFormat/>
    <w:uiPriority w:val="0"/>
    <w:rPr>
      <w:b/>
      <w:bCs/>
      <w:kern w:val="2"/>
      <w:sz w:val="24"/>
      <w:szCs w:val="24"/>
    </w:rPr>
  </w:style>
  <w:style w:type="character" w:customStyle="1" w:styleId="82">
    <w:name w:val="标题 8 Char"/>
    <w:link w:val="10"/>
    <w:autoRedefine/>
    <w:qFormat/>
    <w:uiPriority w:val="0"/>
    <w:rPr>
      <w:rFonts w:ascii="等线 Light" w:hAnsi="等线 Light" w:eastAsia="等线 Light" w:cs="Times New Roman"/>
      <w:sz w:val="24"/>
      <w:szCs w:val="24"/>
    </w:rPr>
  </w:style>
  <w:style w:type="character" w:customStyle="1" w:styleId="83">
    <w:name w:val="标题 9 Char"/>
    <w:link w:val="11"/>
    <w:autoRedefine/>
    <w:qFormat/>
    <w:uiPriority w:val="0"/>
    <w:rPr>
      <w:rFonts w:ascii="Arial" w:hAnsi="Arial" w:eastAsia="黑体" w:cs="Times New Roman"/>
    </w:rPr>
  </w:style>
  <w:style w:type="character" w:customStyle="1" w:styleId="84">
    <w:name w:val="正文缩进 Char1"/>
    <w:link w:val="15"/>
    <w:autoRedefine/>
    <w:qFormat/>
    <w:uiPriority w:val="0"/>
    <w:rPr>
      <w:rFonts w:ascii="Times New Roman" w:hAnsi="Times New Roman" w:eastAsia="宋体" w:cs="Times New Roman"/>
      <w:szCs w:val="20"/>
    </w:rPr>
  </w:style>
  <w:style w:type="character" w:customStyle="1" w:styleId="85">
    <w:name w:val="文档结构图 Char2"/>
    <w:link w:val="18"/>
    <w:autoRedefine/>
    <w:qFormat/>
    <w:uiPriority w:val="0"/>
    <w:rPr>
      <w:rFonts w:ascii="Calibri" w:hAnsi="Calibri"/>
      <w:kern w:val="2"/>
      <w:sz w:val="21"/>
      <w:szCs w:val="24"/>
      <w:shd w:val="clear" w:color="auto" w:fill="000080"/>
    </w:rPr>
  </w:style>
  <w:style w:type="character" w:customStyle="1" w:styleId="86">
    <w:name w:val="批注文字 Char3"/>
    <w:link w:val="20"/>
    <w:autoRedefine/>
    <w:qFormat/>
    <w:uiPriority w:val="0"/>
    <w:rPr>
      <w:rFonts w:ascii="Times New Roman" w:hAnsi="Times New Roman" w:eastAsia="宋体" w:cs="Times New Roman"/>
      <w:szCs w:val="24"/>
    </w:rPr>
  </w:style>
  <w:style w:type="character" w:customStyle="1" w:styleId="87">
    <w:name w:val="称呼 Char2"/>
    <w:link w:val="21"/>
    <w:autoRedefine/>
    <w:qFormat/>
    <w:uiPriority w:val="0"/>
    <w:rPr>
      <w:kern w:val="2"/>
      <w:sz w:val="24"/>
      <w:szCs w:val="24"/>
    </w:rPr>
  </w:style>
  <w:style w:type="character" w:customStyle="1" w:styleId="88">
    <w:name w:val="正文文本 3 Char"/>
    <w:link w:val="22"/>
    <w:autoRedefine/>
    <w:qFormat/>
    <w:uiPriority w:val="0"/>
    <w:rPr>
      <w:rFonts w:ascii="Times New Roman" w:hAnsi="宋体" w:eastAsia="仿宋_GB2312" w:cs="Times New Roman"/>
      <w:b/>
      <w:bCs/>
      <w:sz w:val="24"/>
      <w:szCs w:val="20"/>
    </w:rPr>
  </w:style>
  <w:style w:type="character" w:customStyle="1" w:styleId="89">
    <w:name w:val="正文文本 Char3"/>
    <w:link w:val="23"/>
    <w:autoRedefine/>
    <w:qFormat/>
    <w:uiPriority w:val="0"/>
    <w:rPr>
      <w:rFonts w:ascii="Times New Roman" w:hAnsi="Times New Roman" w:eastAsia="宋体" w:cs="Times New Roman"/>
      <w:sz w:val="28"/>
      <w:szCs w:val="24"/>
    </w:rPr>
  </w:style>
  <w:style w:type="character" w:customStyle="1" w:styleId="90">
    <w:name w:val="副标题 Char"/>
    <w:link w:val="43"/>
    <w:autoRedefine/>
    <w:qFormat/>
    <w:uiPriority w:val="0"/>
    <w:rPr>
      <w:rFonts w:ascii="Arial" w:hAnsi="Arial" w:cs="Arial"/>
      <w:sz w:val="28"/>
      <w:szCs w:val="22"/>
      <w:lang w:eastAsia="en-US"/>
    </w:rPr>
  </w:style>
  <w:style w:type="character" w:customStyle="1" w:styleId="91">
    <w:name w:val="正文文本缩进 Char"/>
    <w:link w:val="24"/>
    <w:autoRedefine/>
    <w:qFormat/>
    <w:uiPriority w:val="0"/>
    <w:rPr>
      <w:rFonts w:ascii="宋体" w:hAnsi="Courier New" w:eastAsia="宋体" w:cs="Times New Roman"/>
      <w:spacing w:val="-4"/>
      <w:sz w:val="18"/>
      <w:szCs w:val="20"/>
    </w:rPr>
  </w:style>
  <w:style w:type="character" w:customStyle="1" w:styleId="92">
    <w:name w:val="纯文本 Char1"/>
    <w:link w:val="32"/>
    <w:autoRedefine/>
    <w:qFormat/>
    <w:uiPriority w:val="0"/>
    <w:rPr>
      <w:rFonts w:ascii="宋体" w:hAnsi="Courier New" w:eastAsia="宋体" w:cs="Times New Roman"/>
      <w:sz w:val="24"/>
      <w:szCs w:val="24"/>
    </w:rPr>
  </w:style>
  <w:style w:type="character" w:customStyle="1" w:styleId="93">
    <w:name w:val="日期 Char"/>
    <w:link w:val="34"/>
    <w:autoRedefine/>
    <w:qFormat/>
    <w:uiPriority w:val="0"/>
    <w:rPr>
      <w:rFonts w:ascii="Times New Roman" w:hAnsi="Times New Roman" w:eastAsia="楷体_GB2312" w:cs="Times New Roman"/>
      <w:sz w:val="32"/>
      <w:szCs w:val="20"/>
    </w:rPr>
  </w:style>
  <w:style w:type="character" w:customStyle="1" w:styleId="94">
    <w:name w:val="正文文本缩进 2 Char3"/>
    <w:link w:val="35"/>
    <w:autoRedefine/>
    <w:qFormat/>
    <w:uiPriority w:val="0"/>
    <w:rPr>
      <w:rFonts w:ascii="仿宋_GB2312" w:hAnsi="宋体" w:eastAsia="宋体" w:cs="Arial"/>
      <w:b/>
      <w:bCs/>
      <w:color w:val="000000"/>
      <w:sz w:val="24"/>
      <w:szCs w:val="24"/>
    </w:rPr>
  </w:style>
  <w:style w:type="character" w:customStyle="1" w:styleId="95">
    <w:name w:val="尾注文本 Char"/>
    <w:link w:val="36"/>
    <w:autoRedefine/>
    <w:qFormat/>
    <w:uiPriority w:val="0"/>
    <w:rPr>
      <w:rFonts w:ascii="Calibri" w:hAnsi="Calibri"/>
      <w:kern w:val="2"/>
      <w:sz w:val="21"/>
    </w:rPr>
  </w:style>
  <w:style w:type="character" w:customStyle="1" w:styleId="96">
    <w:name w:val="批注框文本 Char"/>
    <w:link w:val="37"/>
    <w:autoRedefine/>
    <w:qFormat/>
    <w:uiPriority w:val="0"/>
    <w:rPr>
      <w:rFonts w:ascii="Times New Roman" w:hAnsi="Times New Roman" w:eastAsia="宋体" w:cs="Times New Roman"/>
      <w:sz w:val="18"/>
      <w:szCs w:val="18"/>
    </w:rPr>
  </w:style>
  <w:style w:type="character" w:customStyle="1" w:styleId="97">
    <w:name w:val="页脚 Char2"/>
    <w:link w:val="38"/>
    <w:autoRedefine/>
    <w:qFormat/>
    <w:uiPriority w:val="0"/>
    <w:rPr>
      <w:rFonts w:ascii="Times New Roman" w:hAnsi="Times New Roman" w:eastAsia="黑体" w:cs="Times New Roman"/>
      <w:snapToGrid w:val="0"/>
      <w:kern w:val="0"/>
      <w:sz w:val="18"/>
      <w:szCs w:val="18"/>
    </w:rPr>
  </w:style>
  <w:style w:type="character" w:customStyle="1" w:styleId="98">
    <w:name w:val="页眉 Char"/>
    <w:link w:val="39"/>
    <w:autoRedefine/>
    <w:qFormat/>
    <w:uiPriority w:val="0"/>
    <w:rPr>
      <w:rFonts w:ascii="Times New Roman" w:hAnsi="Times New Roman" w:eastAsia="仿宋_GB2312" w:cs="Times New Roman"/>
      <w:sz w:val="18"/>
      <w:szCs w:val="20"/>
    </w:rPr>
  </w:style>
  <w:style w:type="character" w:customStyle="1" w:styleId="99">
    <w:name w:val="签名 Char"/>
    <w:link w:val="40"/>
    <w:autoRedefine/>
    <w:qFormat/>
    <w:uiPriority w:val="0"/>
    <w:rPr>
      <w:rFonts w:ascii="Calibri" w:hAnsi="Calibri"/>
      <w:sz w:val="24"/>
      <w:lang w:val="en-GB" w:eastAsia="en-US"/>
    </w:rPr>
  </w:style>
  <w:style w:type="character" w:customStyle="1" w:styleId="100">
    <w:name w:val="脚注文本 Char"/>
    <w:link w:val="45"/>
    <w:autoRedefine/>
    <w:qFormat/>
    <w:uiPriority w:val="0"/>
    <w:rPr>
      <w:rFonts w:ascii="Times New Roman" w:hAnsi="Times New Roman"/>
      <w:kern w:val="2"/>
      <w:sz w:val="18"/>
      <w:szCs w:val="18"/>
    </w:rPr>
  </w:style>
  <w:style w:type="character" w:customStyle="1" w:styleId="101">
    <w:name w:val="正文文本缩进 3 Char"/>
    <w:link w:val="48"/>
    <w:autoRedefine/>
    <w:qFormat/>
    <w:uiPriority w:val="0"/>
    <w:rPr>
      <w:rFonts w:ascii="仿宋_GB2312" w:hAnsi="宋体" w:eastAsia="仿宋_GB2312" w:cs="Times New Roman"/>
      <w:color w:val="000000"/>
      <w:sz w:val="24"/>
      <w:szCs w:val="24"/>
    </w:rPr>
  </w:style>
  <w:style w:type="character" w:customStyle="1" w:styleId="102">
    <w:name w:val="正文文本 2 Char"/>
    <w:link w:val="52"/>
    <w:autoRedefine/>
    <w:qFormat/>
    <w:uiPriority w:val="0"/>
    <w:rPr>
      <w:rFonts w:ascii="宋体" w:hAnsi="宋体" w:eastAsia="宋体" w:cs="Times New Roman"/>
      <w:color w:val="000000"/>
      <w:sz w:val="24"/>
      <w:szCs w:val="24"/>
    </w:rPr>
  </w:style>
  <w:style w:type="character" w:customStyle="1" w:styleId="103">
    <w:name w:val="HTML 预设格式 Char"/>
    <w:link w:val="54"/>
    <w:autoRedefine/>
    <w:qFormat/>
    <w:uiPriority w:val="0"/>
    <w:rPr>
      <w:rFonts w:ascii="宋体" w:hAnsi="宋体" w:eastAsia="宋体" w:cs="宋体"/>
      <w:kern w:val="0"/>
      <w:sz w:val="24"/>
      <w:szCs w:val="24"/>
    </w:rPr>
  </w:style>
  <w:style w:type="character" w:customStyle="1" w:styleId="104">
    <w:name w:val="标题 Char"/>
    <w:link w:val="57"/>
    <w:autoRedefine/>
    <w:qFormat/>
    <w:uiPriority w:val="0"/>
    <w:rPr>
      <w:rFonts w:ascii="Cambria" w:hAnsi="Cambria" w:eastAsia="宋体" w:cs="Times New Roman"/>
      <w:b/>
      <w:bCs/>
      <w:sz w:val="28"/>
      <w:szCs w:val="32"/>
    </w:rPr>
  </w:style>
  <w:style w:type="character" w:customStyle="1" w:styleId="105">
    <w:name w:val="批注主题 Char"/>
    <w:link w:val="58"/>
    <w:autoRedefine/>
    <w:qFormat/>
    <w:uiPriority w:val="0"/>
    <w:rPr>
      <w:rFonts w:ascii="Times New Roman" w:hAnsi="Times New Roman" w:eastAsia="宋体" w:cs="Times New Roman"/>
      <w:b/>
      <w:bCs/>
      <w:szCs w:val="20"/>
    </w:rPr>
  </w:style>
  <w:style w:type="character" w:customStyle="1" w:styleId="106">
    <w:name w:val="正文首行缩进 Char"/>
    <w:link w:val="59"/>
    <w:autoRedefine/>
    <w:qFormat/>
    <w:uiPriority w:val="0"/>
    <w:rPr>
      <w:rFonts w:ascii="Times New Roman" w:hAnsi="Times New Roman" w:eastAsia="宋体" w:cs="Times New Roman"/>
      <w:kern w:val="2"/>
      <w:sz w:val="21"/>
      <w:szCs w:val="24"/>
    </w:rPr>
  </w:style>
  <w:style w:type="paragraph" w:customStyle="1" w:styleId="107">
    <w:name w:val="Normal Indent1"/>
    <w:basedOn w:val="1"/>
    <w:autoRedefine/>
    <w:qFormat/>
    <w:uiPriority w:val="99"/>
    <w:pPr>
      <w:ind w:firstLine="420"/>
    </w:pPr>
    <w:rPr>
      <w:szCs w:val="20"/>
    </w:rPr>
  </w:style>
  <w:style w:type="paragraph" w:customStyle="1" w:styleId="108">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09">
    <w:name w:val="手改 Char Char1"/>
    <w:autoRedefine/>
    <w:qFormat/>
    <w:uiPriority w:val="0"/>
    <w:rPr>
      <w:rFonts w:ascii="Calibri" w:hAnsi="Calibri" w:eastAsia="宋体" w:cs="Times New Roman"/>
      <w:kern w:val="2"/>
      <w:sz w:val="21"/>
      <w:szCs w:val="24"/>
      <w:lang w:val="en-US" w:eastAsia="zh-CN" w:bidi="ar-SA"/>
    </w:rPr>
  </w:style>
  <w:style w:type="character" w:customStyle="1" w:styleId="110">
    <w:name w:val="标题 9 Char1"/>
    <w:autoRedefine/>
    <w:qFormat/>
    <w:uiPriority w:val="0"/>
    <w:rPr>
      <w:rFonts w:ascii="Arial" w:hAnsi="Arial" w:eastAsia="黑体" w:cs="Times New Roman"/>
      <w:lang w:val="en-US" w:eastAsia="zh-CN" w:bidi="ar-SA"/>
    </w:rPr>
  </w:style>
  <w:style w:type="character" w:customStyle="1" w:styleId="111">
    <w:name w:val="CPara--- Char Char"/>
    <w:autoRedefine/>
    <w:qFormat/>
    <w:uiPriority w:val="0"/>
    <w:rPr>
      <w:rFonts w:ascii="Arial" w:hAnsi="Arial" w:eastAsia="宋体" w:cs="Times New Roman"/>
      <w:lang w:val="en-US" w:eastAsia="en-US" w:bidi="ar-SA"/>
    </w:rPr>
  </w:style>
  <w:style w:type="character" w:customStyle="1" w:styleId="112">
    <w:name w:val="标题 Char3"/>
    <w:autoRedefine/>
    <w:qFormat/>
    <w:uiPriority w:val="0"/>
    <w:rPr>
      <w:rFonts w:ascii="Cambria" w:hAnsi="Cambria" w:eastAsia="宋体" w:cs="Times New Roman"/>
      <w:b/>
      <w:bCs/>
      <w:sz w:val="32"/>
      <w:szCs w:val="32"/>
      <w:lang w:val="en-US" w:eastAsia="zh-CN" w:bidi="ar-SA"/>
    </w:rPr>
  </w:style>
  <w:style w:type="character" w:customStyle="1" w:styleId="113">
    <w:name w:val="ca-201"/>
    <w:autoRedefine/>
    <w:qFormat/>
    <w:uiPriority w:val="0"/>
    <w:rPr>
      <w:rFonts w:hint="default" w:ascii="??" w:hAnsi="??" w:eastAsia="宋体" w:cs="Times New Roman"/>
      <w:color w:val="000000"/>
      <w:sz w:val="18"/>
      <w:szCs w:val="18"/>
      <w:lang w:val="en-US" w:eastAsia="zh-CN" w:bidi="ar-SA"/>
    </w:rPr>
  </w:style>
  <w:style w:type="character" w:customStyle="1" w:styleId="114">
    <w:name w:val="ca-241"/>
    <w:autoRedefine/>
    <w:qFormat/>
    <w:uiPriority w:val="0"/>
    <w:rPr>
      <w:rFonts w:hint="eastAsia" w:ascii="宋体" w:hAnsi="宋体" w:eastAsia="宋体" w:cs="Times New Roman"/>
      <w:sz w:val="24"/>
      <w:szCs w:val="24"/>
      <w:lang w:val="en-US" w:eastAsia="zh-CN" w:bidi="ar-SA"/>
    </w:rPr>
  </w:style>
  <w:style w:type="character" w:customStyle="1" w:styleId="115">
    <w:name w:val="批注文字 Char1"/>
    <w:autoRedefine/>
    <w:qFormat/>
    <w:uiPriority w:val="0"/>
    <w:rPr>
      <w:rFonts w:ascii="Times New Roman" w:hAnsi="Times New Roman" w:eastAsia="宋体" w:cs="Times New Roman"/>
      <w:szCs w:val="24"/>
      <w:lang w:val="en-US" w:eastAsia="zh-CN" w:bidi="ar-SA"/>
    </w:rPr>
  </w:style>
  <w:style w:type="character" w:customStyle="1" w:styleId="116">
    <w:name w:val="Intense Quote Char_d431e354-49c5-41a0-9f03-897488948e9d"/>
    <w:link w:val="117"/>
    <w:autoRedefine/>
    <w:qFormat/>
    <w:uiPriority w:val="0"/>
    <w:rPr>
      <w:rFonts w:ascii="Calibri" w:hAnsi="Calibri"/>
      <w:b/>
      <w:i/>
      <w:color w:val="4F81BD"/>
      <w:kern w:val="2"/>
      <w:sz w:val="22"/>
    </w:rPr>
  </w:style>
  <w:style w:type="paragraph" w:customStyle="1" w:styleId="117">
    <w:name w:val="明显引用1"/>
    <w:basedOn w:val="1"/>
    <w:next w:val="1"/>
    <w:link w:val="116"/>
    <w:autoRedefine/>
    <w:qFormat/>
    <w:uiPriority w:val="0"/>
    <w:pPr>
      <w:pBdr>
        <w:bottom w:val="single" w:color="4F81BD" w:sz="4" w:space="4"/>
      </w:pBdr>
      <w:spacing w:before="200" w:after="280"/>
      <w:ind w:left="936" w:right="936"/>
    </w:pPr>
    <w:rPr>
      <w:rFonts w:ascii="Calibri" w:hAnsi="Calibri"/>
      <w:b/>
      <w:i/>
      <w:color w:val="4F81BD"/>
      <w:sz w:val="22"/>
      <w:szCs w:val="20"/>
    </w:rPr>
  </w:style>
  <w:style w:type="character" w:customStyle="1" w:styleId="118">
    <w:name w:val="Char Char25"/>
    <w:link w:val="119"/>
    <w:autoRedefine/>
    <w:qFormat/>
    <w:uiPriority w:val="0"/>
    <w:rPr>
      <w:rFonts w:ascii="Tahoma" w:hAnsi="Tahoma"/>
      <w:sz w:val="24"/>
    </w:rPr>
  </w:style>
  <w:style w:type="paragraph" w:customStyle="1" w:styleId="119">
    <w:name w:val="Char3"/>
    <w:basedOn w:val="1"/>
    <w:link w:val="118"/>
    <w:autoRedefine/>
    <w:qFormat/>
    <w:uiPriority w:val="0"/>
    <w:rPr>
      <w:rFonts w:ascii="Tahoma" w:hAnsi="Tahoma"/>
      <w:kern w:val="0"/>
      <w:sz w:val="24"/>
      <w:szCs w:val="20"/>
    </w:rPr>
  </w:style>
  <w:style w:type="character" w:customStyle="1" w:styleId="120">
    <w:name w:val="ca-131"/>
    <w:autoRedefine/>
    <w:qFormat/>
    <w:uiPriority w:val="0"/>
    <w:rPr>
      <w:rFonts w:hint="eastAsia" w:ascii="宋体" w:hAnsi="宋体" w:eastAsia="宋体" w:cs="Times New Roman"/>
      <w:color w:val="000000"/>
      <w:sz w:val="32"/>
      <w:szCs w:val="32"/>
      <w:lang w:val="en-US" w:eastAsia="zh-CN" w:bidi="ar-SA"/>
    </w:rPr>
  </w:style>
  <w:style w:type="character" w:customStyle="1" w:styleId="121">
    <w:name w:val="标题4 Char Char"/>
    <w:link w:val="122"/>
    <w:autoRedefine/>
    <w:qFormat/>
    <w:uiPriority w:val="0"/>
    <w:rPr>
      <w:rFonts w:ascii="Arial" w:hAnsi="Arial"/>
      <w:b/>
      <w:bCs/>
      <w:sz w:val="24"/>
      <w:szCs w:val="32"/>
    </w:rPr>
  </w:style>
  <w:style w:type="paragraph" w:customStyle="1" w:styleId="122">
    <w:name w:val="标题4"/>
    <w:basedOn w:val="3"/>
    <w:next w:val="29"/>
    <w:link w:val="121"/>
    <w:autoRedefine/>
    <w:qFormat/>
    <w:uiPriority w:val="0"/>
    <w:pPr>
      <w:spacing w:line="413" w:lineRule="auto"/>
    </w:pPr>
    <w:rPr>
      <w:rFonts w:eastAsia="宋体"/>
      <w:sz w:val="24"/>
    </w:rPr>
  </w:style>
  <w:style w:type="character" w:customStyle="1" w:styleId="123">
    <w:name w:val="ca-471"/>
    <w:autoRedefine/>
    <w:qFormat/>
    <w:uiPriority w:val="0"/>
    <w:rPr>
      <w:rFonts w:hint="eastAsia" w:ascii="宋体" w:hAnsi="宋体" w:eastAsia="宋体" w:cs="Times New Roman"/>
      <w:b/>
      <w:bCs/>
      <w:color w:val="000000"/>
      <w:spacing w:val="-20"/>
      <w:sz w:val="24"/>
      <w:szCs w:val="24"/>
      <w:lang w:val="en-US" w:eastAsia="zh-CN" w:bidi="ar-SA"/>
    </w:rPr>
  </w:style>
  <w:style w:type="character" w:customStyle="1" w:styleId="124">
    <w:name w:val="ca-81"/>
    <w:autoRedefine/>
    <w:qFormat/>
    <w:uiPriority w:val="0"/>
    <w:rPr>
      <w:rFonts w:hint="eastAsia" w:ascii="宋体" w:hAnsi="宋体" w:eastAsia="宋体" w:cs="Times New Roman"/>
      <w:color w:val="000000"/>
      <w:sz w:val="28"/>
      <w:szCs w:val="28"/>
      <w:lang w:val="en-US" w:eastAsia="zh-CN" w:bidi="ar-SA"/>
    </w:rPr>
  </w:style>
  <w:style w:type="character" w:customStyle="1" w:styleId="125">
    <w:name w:val="ca-61"/>
    <w:autoRedefine/>
    <w:qFormat/>
    <w:uiPriority w:val="0"/>
    <w:rPr>
      <w:rFonts w:hint="eastAsia" w:ascii="宋体" w:hAnsi="宋体" w:eastAsia="宋体" w:cs="Times New Roman"/>
      <w:color w:val="000000"/>
      <w:sz w:val="30"/>
      <w:szCs w:val="30"/>
      <w:lang w:val="en-US" w:eastAsia="zh-CN" w:bidi="ar-SA"/>
    </w:rPr>
  </w:style>
  <w:style w:type="character" w:customStyle="1" w:styleId="126">
    <w:name w:val="ca-341"/>
    <w:autoRedefine/>
    <w:qFormat/>
    <w:uiPriority w:val="0"/>
    <w:rPr>
      <w:rFonts w:hint="eastAsia" w:ascii="宋体" w:hAnsi="宋体" w:eastAsia="宋体" w:cs="Times New Roman"/>
      <w:color w:val="000000"/>
      <w:sz w:val="20"/>
      <w:szCs w:val="20"/>
      <w:lang w:val="en-US" w:eastAsia="zh-CN" w:bidi="ar-SA"/>
    </w:rPr>
  </w:style>
  <w:style w:type="character" w:customStyle="1" w:styleId="127">
    <w:name w:val="文档结构图 Char"/>
    <w:autoRedefine/>
    <w:qFormat/>
    <w:uiPriority w:val="0"/>
    <w:rPr>
      <w:rFonts w:ascii="Calibri" w:hAnsi="Calibri" w:eastAsia="宋体" w:cs="Times New Roman"/>
      <w:szCs w:val="24"/>
      <w:shd w:val="clear" w:color="auto" w:fill="000080"/>
      <w:lang w:val="en-US" w:eastAsia="zh-CN" w:bidi="ar-SA"/>
    </w:rPr>
  </w:style>
  <w:style w:type="character" w:customStyle="1" w:styleId="128">
    <w:name w:val="ca-151"/>
    <w:autoRedefine/>
    <w:qFormat/>
    <w:uiPriority w:val="0"/>
    <w:rPr>
      <w:rFonts w:hint="eastAsia" w:ascii="宋体" w:hAnsi="宋体" w:eastAsia="宋体" w:cs="Times New Roman"/>
      <w:caps/>
      <w:color w:val="000000"/>
      <w:sz w:val="24"/>
      <w:szCs w:val="24"/>
      <w:lang w:val="en-US" w:eastAsia="zh-CN" w:bidi="ar-SA"/>
    </w:rPr>
  </w:style>
  <w:style w:type="character" w:customStyle="1" w:styleId="129">
    <w:name w:val="ca-171"/>
    <w:autoRedefine/>
    <w:qFormat/>
    <w:uiPriority w:val="0"/>
    <w:rPr>
      <w:rFonts w:hint="default" w:ascii="Times New Roman" w:hAnsi="Times New Roman" w:eastAsia="宋体" w:cs="Times New Roman"/>
      <w:b/>
      <w:bCs/>
      <w:spacing w:val="-20"/>
      <w:sz w:val="24"/>
      <w:szCs w:val="24"/>
      <w:lang w:val="en-US" w:eastAsia="zh-CN" w:bidi="ar-SA"/>
    </w:rPr>
  </w:style>
  <w:style w:type="character" w:customStyle="1" w:styleId="130">
    <w:name w:val="正文2 Char Char"/>
    <w:link w:val="131"/>
    <w:autoRedefine/>
    <w:qFormat/>
    <w:uiPriority w:val="0"/>
    <w:rPr>
      <w:rFonts w:ascii="Calibri" w:hAnsi="Calibri"/>
      <w:sz w:val="24"/>
    </w:rPr>
  </w:style>
  <w:style w:type="paragraph" w:customStyle="1" w:styleId="131">
    <w:name w:val="正文2"/>
    <w:basedOn w:val="1"/>
    <w:link w:val="130"/>
    <w:autoRedefine/>
    <w:qFormat/>
    <w:uiPriority w:val="0"/>
    <w:pPr>
      <w:spacing w:before="156" w:line="360" w:lineRule="auto"/>
      <w:ind w:firstLine="510" w:firstLineChars="200"/>
    </w:pPr>
    <w:rPr>
      <w:rFonts w:ascii="Calibri" w:hAnsi="Calibri"/>
      <w:kern w:val="0"/>
      <w:sz w:val="24"/>
      <w:szCs w:val="20"/>
    </w:rPr>
  </w:style>
  <w:style w:type="character" w:customStyle="1" w:styleId="132">
    <w:name w:val="标题 4 字符"/>
    <w:autoRedefine/>
    <w:qFormat/>
    <w:uiPriority w:val="9"/>
    <w:rPr>
      <w:rFonts w:ascii="Arial" w:hAnsi="Arial" w:eastAsia="黑体" w:cs="Times New Roman"/>
      <w:b/>
      <w:bCs/>
      <w:sz w:val="28"/>
      <w:szCs w:val="28"/>
      <w:lang w:val="en-US" w:eastAsia="zh-CN" w:bidi="ar-SA"/>
    </w:rPr>
  </w:style>
  <w:style w:type="character" w:customStyle="1" w:styleId="133">
    <w:name w:val="ca-271"/>
    <w:autoRedefine/>
    <w:qFormat/>
    <w:uiPriority w:val="0"/>
    <w:rPr>
      <w:rFonts w:hint="eastAsia" w:ascii="宋体" w:hAnsi="宋体" w:eastAsia="宋体" w:cs="Times New Roman"/>
      <w:b/>
      <w:bCs/>
      <w:color w:val="002060"/>
      <w:spacing w:val="-20"/>
      <w:sz w:val="21"/>
      <w:szCs w:val="21"/>
      <w:lang w:val="en-US" w:eastAsia="zh-CN" w:bidi="ar-SA"/>
    </w:rPr>
  </w:style>
  <w:style w:type="character" w:customStyle="1" w:styleId="134">
    <w:name w:val="ca-391"/>
    <w:autoRedefine/>
    <w:qFormat/>
    <w:uiPriority w:val="0"/>
    <w:rPr>
      <w:rFonts w:hint="eastAsia" w:ascii="宋体" w:hAnsi="宋体" w:eastAsia="宋体" w:cs="Times New Roman"/>
      <w:b/>
      <w:bCs/>
      <w:color w:val="000000"/>
      <w:spacing w:val="-20"/>
      <w:sz w:val="28"/>
      <w:szCs w:val="28"/>
      <w:lang w:val="en-US" w:eastAsia="zh-CN" w:bidi="ar-SA"/>
    </w:rPr>
  </w:style>
  <w:style w:type="character" w:customStyle="1" w:styleId="135">
    <w:name w:val="textcontents"/>
    <w:autoRedefine/>
    <w:qFormat/>
    <w:uiPriority w:val="0"/>
    <w:rPr>
      <w:rFonts w:ascii="Calibri" w:hAnsi="Calibri" w:eastAsia="宋体" w:cs="Times New Roman"/>
      <w:lang w:val="en-US" w:eastAsia="zh-CN" w:bidi="ar-SA"/>
    </w:rPr>
  </w:style>
  <w:style w:type="character" w:customStyle="1" w:styleId="136">
    <w:name w:val="text"/>
    <w:autoRedefine/>
    <w:qFormat/>
    <w:uiPriority w:val="0"/>
    <w:rPr>
      <w:rFonts w:ascii="Calibri" w:hAnsi="Calibri" w:eastAsia="宋体" w:cs="Times New Roman"/>
      <w:lang w:val="en-US" w:eastAsia="zh-CN" w:bidi="ar-SA"/>
    </w:rPr>
  </w:style>
  <w:style w:type="character" w:customStyle="1" w:styleId="137">
    <w:name w:val="纯文本 Char"/>
    <w:autoRedefine/>
    <w:qFormat/>
    <w:uiPriority w:val="0"/>
    <w:rPr>
      <w:rFonts w:ascii="宋体" w:hAnsi="Courier New" w:eastAsia="宋体" w:cs="Courier New"/>
      <w:szCs w:val="21"/>
    </w:rPr>
  </w:style>
  <w:style w:type="character" w:customStyle="1" w:styleId="138">
    <w:name w:val="正文文字4 Char1_1"/>
    <w:link w:val="139"/>
    <w:autoRedefine/>
    <w:qFormat/>
    <w:uiPriority w:val="0"/>
    <w:rPr>
      <w:rFonts w:ascii="Calibri" w:hAnsi="Calibri"/>
      <w:kern w:val="2"/>
      <w:sz w:val="21"/>
      <w:szCs w:val="22"/>
    </w:rPr>
  </w:style>
  <w:style w:type="paragraph" w:customStyle="1" w:styleId="139">
    <w:name w:val="正文文本缩进_1"/>
    <w:basedOn w:val="140"/>
    <w:link w:val="138"/>
    <w:autoRedefine/>
    <w:qFormat/>
    <w:uiPriority w:val="0"/>
    <w:pPr>
      <w:spacing w:after="120"/>
      <w:ind w:left="420" w:leftChars="200"/>
    </w:pPr>
    <w:rPr>
      <w:rFonts w:ascii="Calibri" w:hAnsi="Calibri"/>
    </w:rPr>
  </w:style>
  <w:style w:type="paragraph" w:customStyle="1" w:styleId="140">
    <w:name w:val="正文_1_1"/>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1">
    <w:name w:val="普通文字 Char Char_0"/>
    <w:link w:val="142"/>
    <w:autoRedefine/>
    <w:qFormat/>
    <w:uiPriority w:val="0"/>
    <w:rPr>
      <w:rFonts w:ascii="Arial Unicode MS" w:hAnsi="Arial Unicode MS" w:eastAsia="ヒラギノ角ゴ Pro W3"/>
      <w:color w:val="000000"/>
      <w:kern w:val="2"/>
      <w:sz w:val="21"/>
      <w:u w:val="none" w:color="000000"/>
      <w:lang w:val="en-US" w:eastAsia="zh-CN" w:bidi="ar-SA"/>
    </w:rPr>
  </w:style>
  <w:style w:type="paragraph" w:customStyle="1" w:styleId="142">
    <w:name w:val="纯文本_0"/>
    <w:link w:val="141"/>
    <w:autoRedefine/>
    <w:qFormat/>
    <w:uiPriority w:val="0"/>
    <w:pPr>
      <w:widowControl w:val="0"/>
      <w:jc w:val="both"/>
    </w:pPr>
    <w:rPr>
      <w:rFonts w:ascii="Arial Unicode MS" w:hAnsi="Arial Unicode MS" w:eastAsia="ヒラギノ角ゴ Pro W3" w:cs="Times New Roman"/>
      <w:color w:val="000000"/>
      <w:kern w:val="2"/>
      <w:sz w:val="21"/>
      <w:u w:color="000000"/>
      <w:lang w:val="en-US" w:eastAsia="zh-CN" w:bidi="ar-SA"/>
    </w:rPr>
  </w:style>
  <w:style w:type="character" w:customStyle="1" w:styleId="143">
    <w:name w:val="标题 3 Char1"/>
    <w:autoRedefine/>
    <w:qFormat/>
    <w:uiPriority w:val="0"/>
    <w:rPr>
      <w:rFonts w:ascii="Times New Roman" w:hAnsi="Times New Roman" w:eastAsia="宋体" w:cs="Times New Roman"/>
      <w:b/>
      <w:bCs/>
      <w:sz w:val="32"/>
      <w:szCs w:val="32"/>
      <w:lang w:val="en-US" w:eastAsia="zh-CN" w:bidi="ar-SA"/>
    </w:rPr>
  </w:style>
  <w:style w:type="character" w:customStyle="1" w:styleId="144">
    <w:name w:val="标题 3 Char"/>
    <w:autoRedefine/>
    <w:qFormat/>
    <w:uiPriority w:val="0"/>
    <w:rPr>
      <w:rFonts w:ascii="Times New Roman" w:hAnsi="Times New Roman" w:eastAsia="宋体" w:cs="Times New Roman"/>
      <w:b/>
      <w:bCs/>
      <w:sz w:val="32"/>
      <w:szCs w:val="32"/>
    </w:rPr>
  </w:style>
  <w:style w:type="character" w:customStyle="1" w:styleId="145">
    <w:name w:val="标题 2 Char"/>
    <w:autoRedefine/>
    <w:qFormat/>
    <w:uiPriority w:val="0"/>
    <w:rPr>
      <w:rFonts w:ascii="Arial" w:hAnsi="Arial" w:eastAsia="黑体" w:cs="Times New Roman"/>
      <w:b/>
      <w:bCs/>
      <w:sz w:val="32"/>
      <w:szCs w:val="32"/>
    </w:rPr>
  </w:style>
  <w:style w:type="character" w:customStyle="1" w:styleId="146">
    <w:name w:val="CPara- Char Char"/>
    <w:autoRedefine/>
    <w:qFormat/>
    <w:uiPriority w:val="0"/>
    <w:rPr>
      <w:rFonts w:ascii="宋体" w:hAnsi="宋体" w:eastAsia="宋体" w:cs="Times New Roman"/>
      <w:lang w:val="en-US" w:eastAsia="en-US" w:bidi="ar-SA"/>
    </w:rPr>
  </w:style>
  <w:style w:type="character" w:customStyle="1" w:styleId="147">
    <w:name w:val="标题 Char Char"/>
    <w:autoRedefine/>
    <w:qFormat/>
    <w:uiPriority w:val="0"/>
    <w:rPr>
      <w:rFonts w:ascii="Arial" w:hAnsi="Arial" w:eastAsia="宋体" w:cs="Times New Roman"/>
      <w:b/>
      <w:kern w:val="2"/>
      <w:sz w:val="44"/>
      <w:lang w:val="en-US" w:eastAsia="zh-CN" w:bidi="ar-SA"/>
    </w:rPr>
  </w:style>
  <w:style w:type="character" w:customStyle="1" w:styleId="148">
    <w:name w:val="Char Char24"/>
    <w:link w:val="149"/>
    <w:autoRedefine/>
    <w:qFormat/>
    <w:uiPriority w:val="0"/>
    <w:rPr>
      <w:rFonts w:ascii="Calibri" w:hAnsi="Calibri"/>
      <w:b/>
      <w:bCs/>
      <w:kern w:val="44"/>
      <w:sz w:val="32"/>
      <w:szCs w:val="44"/>
    </w:rPr>
  </w:style>
  <w:style w:type="paragraph" w:customStyle="1" w:styleId="149">
    <w:name w:val="标题 1_1"/>
    <w:basedOn w:val="150"/>
    <w:next w:val="150"/>
    <w:link w:val="148"/>
    <w:autoRedefine/>
    <w:qFormat/>
    <w:uiPriority w:val="0"/>
    <w:pPr>
      <w:keepNext/>
      <w:keepLines/>
      <w:spacing w:line="360" w:lineRule="auto"/>
      <w:outlineLvl w:val="0"/>
    </w:pPr>
    <w:rPr>
      <w:rFonts w:ascii="Calibri" w:hAnsi="Calibri"/>
      <w:b/>
      <w:bCs/>
      <w:kern w:val="44"/>
      <w:sz w:val="32"/>
      <w:szCs w:val="44"/>
    </w:rPr>
  </w:style>
  <w:style w:type="paragraph" w:customStyle="1" w:styleId="150">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51">
    <w:name w:val="批注文字 Char_0"/>
    <w:link w:val="152"/>
    <w:autoRedefine/>
    <w:qFormat/>
    <w:uiPriority w:val="0"/>
    <w:rPr>
      <w:rFonts w:ascii="Calibri" w:hAnsi="Calibri"/>
      <w:kern w:val="2"/>
      <w:sz w:val="21"/>
      <w:szCs w:val="22"/>
    </w:rPr>
  </w:style>
  <w:style w:type="paragraph" w:customStyle="1" w:styleId="152">
    <w:name w:val="批注文字_0"/>
    <w:basedOn w:val="153"/>
    <w:link w:val="151"/>
    <w:autoRedefine/>
    <w:qFormat/>
    <w:uiPriority w:val="0"/>
    <w:pPr>
      <w:jc w:val="left"/>
    </w:pPr>
    <w:rPr>
      <w:rFonts w:ascii="Calibri" w:hAnsi="Calibri"/>
      <w:szCs w:val="22"/>
    </w:rPr>
  </w:style>
  <w:style w:type="paragraph" w:customStyle="1" w:styleId="153">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country-name"/>
    <w:autoRedefine/>
    <w:qFormat/>
    <w:uiPriority w:val="0"/>
    <w:rPr>
      <w:rFonts w:ascii="Calibri" w:hAnsi="Calibri" w:eastAsia="宋体" w:cs="Times New Roman"/>
      <w:lang w:val="en-US" w:eastAsia="zh-CN" w:bidi="ar-SA"/>
    </w:rPr>
  </w:style>
  <w:style w:type="character" w:customStyle="1" w:styleId="155">
    <w:name w:val="ca-221"/>
    <w:autoRedefine/>
    <w:qFormat/>
    <w:uiPriority w:val="0"/>
    <w:rPr>
      <w:rFonts w:hint="eastAsia" w:ascii="宋体" w:hAnsi="宋体" w:eastAsia="宋体" w:cs="Times New Roman"/>
      <w:sz w:val="21"/>
      <w:szCs w:val="21"/>
      <w:lang w:val="en-US" w:eastAsia="zh-CN" w:bidi="ar-SA"/>
    </w:rPr>
  </w:style>
  <w:style w:type="character" w:customStyle="1" w:styleId="156">
    <w:name w:val="样式 正文文本 Char Char"/>
    <w:link w:val="157"/>
    <w:autoRedefine/>
    <w:qFormat/>
    <w:uiPriority w:val="0"/>
    <w:rPr>
      <w:rFonts w:ascii="Arial" w:hAnsi="Arial" w:cs="宋体"/>
      <w:color w:val="000000"/>
      <w:kern w:val="2"/>
      <w:sz w:val="21"/>
    </w:rPr>
  </w:style>
  <w:style w:type="paragraph" w:customStyle="1" w:styleId="157">
    <w:name w:val="样式 正文文本"/>
    <w:basedOn w:val="1"/>
    <w:link w:val="156"/>
    <w:autoRedefine/>
    <w:qFormat/>
    <w:uiPriority w:val="0"/>
    <w:pPr>
      <w:adjustRightInd w:val="0"/>
      <w:snapToGrid w:val="0"/>
      <w:spacing w:line="400" w:lineRule="exact"/>
      <w:ind w:firstLine="200" w:firstLineChars="200"/>
    </w:pPr>
    <w:rPr>
      <w:rFonts w:ascii="Arial" w:hAnsi="Arial"/>
      <w:color w:val="000000"/>
      <w:szCs w:val="20"/>
    </w:rPr>
  </w:style>
  <w:style w:type="character" w:customStyle="1" w:styleId="158">
    <w:name w:val="正文2 Char"/>
    <w:autoRedefine/>
    <w:qFormat/>
    <w:uiPriority w:val="0"/>
    <w:rPr>
      <w:rFonts w:ascii="Calibri" w:hAnsi="Calibri" w:eastAsia="宋体" w:cs="Times New Roman"/>
      <w:kern w:val="2"/>
      <w:sz w:val="24"/>
      <w:lang w:val="en-US" w:eastAsia="zh-CN" w:bidi="ar-SA"/>
    </w:rPr>
  </w:style>
  <w:style w:type="character" w:customStyle="1" w:styleId="159">
    <w:name w:val="批注主题 Char1"/>
    <w:autoRedefine/>
    <w:qFormat/>
    <w:uiPriority w:val="0"/>
    <w:rPr>
      <w:rFonts w:ascii="Calibri" w:hAnsi="Calibri" w:eastAsia="宋体" w:cs="Times New Roman"/>
      <w:b/>
      <w:bCs/>
      <w:kern w:val="2"/>
      <w:sz w:val="21"/>
      <w:szCs w:val="22"/>
      <w:lang w:val="en-US" w:eastAsia="zh-CN" w:bidi="ar-SA"/>
    </w:rPr>
  </w:style>
  <w:style w:type="character" w:customStyle="1" w:styleId="160">
    <w:name w:val="批注主题 Char2"/>
    <w:autoRedefine/>
    <w:qFormat/>
    <w:uiPriority w:val="0"/>
    <w:rPr>
      <w:rFonts w:ascii="Times New Roman" w:hAnsi="Times New Roman" w:eastAsia="宋体" w:cs="Times New Roman"/>
      <w:b/>
      <w:bCs/>
      <w:szCs w:val="20"/>
      <w:lang w:val="en-US" w:eastAsia="zh-CN" w:bidi="ar-SA"/>
    </w:rPr>
  </w:style>
  <w:style w:type="character" w:customStyle="1" w:styleId="161">
    <w:name w:val="页脚 Char Char"/>
    <w:autoRedefine/>
    <w:qFormat/>
    <w:uiPriority w:val="0"/>
    <w:rPr>
      <w:rFonts w:ascii="Times New Roman" w:hAnsi="Times New Roman" w:eastAsia="宋体" w:cs="Times New Roman"/>
      <w:sz w:val="18"/>
      <w:szCs w:val="18"/>
      <w:lang w:val="en-US" w:eastAsia="zh-CN" w:bidi="ar-SA"/>
    </w:rPr>
  </w:style>
  <w:style w:type="character" w:customStyle="1" w:styleId="162">
    <w:name w:val="批注框文本 Char2"/>
    <w:autoRedefine/>
    <w:qFormat/>
    <w:uiPriority w:val="0"/>
    <w:rPr>
      <w:rFonts w:ascii="Times New Roman" w:hAnsi="Times New Roman" w:eastAsia="宋体" w:cs="Times New Roman"/>
      <w:sz w:val="18"/>
      <w:szCs w:val="18"/>
      <w:lang w:val="en-US" w:eastAsia="zh-CN" w:bidi="ar-SA"/>
    </w:rPr>
  </w:style>
  <w:style w:type="character" w:customStyle="1" w:styleId="163">
    <w:name w:val="Char Char27"/>
    <w:autoRedefine/>
    <w:qFormat/>
    <w:uiPriority w:val="0"/>
    <w:rPr>
      <w:rFonts w:ascii="Calibri" w:hAnsi="Calibri" w:eastAsia="宋体" w:cs="Times New Roman"/>
      <w:b/>
      <w:bCs/>
      <w:kern w:val="2"/>
      <w:sz w:val="24"/>
      <w:szCs w:val="32"/>
      <w:lang w:val="en-US" w:eastAsia="zh-CN" w:bidi="ar-SA"/>
    </w:rPr>
  </w:style>
  <w:style w:type="character" w:customStyle="1" w:styleId="164">
    <w:name w:val="htd01"/>
    <w:autoRedefine/>
    <w:qFormat/>
    <w:uiPriority w:val="0"/>
    <w:rPr>
      <w:rFonts w:ascii="Calibri" w:hAnsi="Calibri" w:eastAsia="宋体" w:cs="Times New Roman"/>
      <w:lang w:val="en-US" w:eastAsia="zh-CN" w:bidi="ar-SA"/>
    </w:rPr>
  </w:style>
  <w:style w:type="character" w:customStyle="1" w:styleId="165">
    <w:name w:val="Char Char21"/>
    <w:autoRedefine/>
    <w:qFormat/>
    <w:uiPriority w:val="0"/>
    <w:rPr>
      <w:rFonts w:ascii="Arial" w:hAnsi="Arial" w:eastAsia="黑体" w:cs="Times New Roman"/>
      <w:b/>
      <w:bCs/>
      <w:kern w:val="2"/>
      <w:sz w:val="28"/>
      <w:szCs w:val="28"/>
      <w:lang w:val="en-US" w:eastAsia="zh-CN" w:bidi="ar-SA"/>
    </w:rPr>
  </w:style>
  <w:style w:type="character" w:customStyle="1" w:styleId="166">
    <w:name w:val="Footer Char_3ff6d8df-1d64-459d-adbc-05f4988f0f17"/>
    <w:autoRedefine/>
    <w:qFormat/>
    <w:uiPriority w:val="0"/>
    <w:rPr>
      <w:rFonts w:ascii="Calibri" w:hAnsi="Calibri" w:eastAsia="宋体" w:cs="Times New Roman"/>
      <w:kern w:val="2"/>
      <w:sz w:val="18"/>
      <w:szCs w:val="18"/>
      <w:lang w:val="en-US" w:eastAsia="zh-CN" w:bidi="ar-SA"/>
    </w:rPr>
  </w:style>
  <w:style w:type="character" w:customStyle="1" w:styleId="167">
    <w:name w:val="页脚 字符"/>
    <w:autoRedefine/>
    <w:qFormat/>
    <w:uiPriority w:val="0"/>
    <w:rPr>
      <w:rFonts w:ascii="Times New Roman" w:hAnsi="Times New Roman" w:eastAsia="黑体" w:cs="Times New Roman"/>
      <w:snapToGrid w:val="0"/>
      <w:kern w:val="0"/>
      <w:sz w:val="18"/>
      <w:szCs w:val="18"/>
    </w:rPr>
  </w:style>
  <w:style w:type="character" w:customStyle="1" w:styleId="168">
    <w:name w:val="ca-161"/>
    <w:autoRedefine/>
    <w:qFormat/>
    <w:uiPriority w:val="0"/>
    <w:rPr>
      <w:rFonts w:hint="eastAsia" w:ascii="宋体" w:hAnsi="宋体" w:eastAsia="宋体" w:cs="Times New Roman"/>
      <w:sz w:val="24"/>
      <w:szCs w:val="24"/>
      <w:lang w:val="en-US" w:eastAsia="zh-CN" w:bidi="ar-SA"/>
    </w:rPr>
  </w:style>
  <w:style w:type="character" w:customStyle="1" w:styleId="169">
    <w:name w:val="标题 5 Char1"/>
    <w:autoRedefine/>
    <w:qFormat/>
    <w:uiPriority w:val="0"/>
    <w:rPr>
      <w:rFonts w:ascii="Times New Roman" w:hAnsi="Times New Roman" w:eastAsia="宋体" w:cs="Times New Roman"/>
      <w:b/>
      <w:bCs/>
      <w:sz w:val="28"/>
      <w:szCs w:val="28"/>
      <w:lang w:val="en-US" w:eastAsia="zh-CN" w:bidi="ar-SA"/>
    </w:rPr>
  </w:style>
  <w:style w:type="character" w:customStyle="1" w:styleId="170">
    <w:name w:val="个人撰写风格"/>
    <w:autoRedefine/>
    <w:qFormat/>
    <w:uiPriority w:val="0"/>
    <w:rPr>
      <w:rFonts w:ascii="Arial" w:hAnsi="Arial" w:eastAsia="宋体" w:cs="Arial"/>
      <w:color w:val="auto"/>
      <w:sz w:val="20"/>
      <w:lang w:val="en-US" w:eastAsia="zh-CN" w:bidi="ar-SA"/>
    </w:rPr>
  </w:style>
  <w:style w:type="character" w:customStyle="1" w:styleId="171">
    <w:name w:val="Para- Char Char"/>
    <w:autoRedefine/>
    <w:qFormat/>
    <w:uiPriority w:val="0"/>
    <w:rPr>
      <w:rFonts w:ascii="Arial" w:hAnsi="Arial" w:eastAsia="宋体" w:cs="Times New Roman"/>
      <w:lang w:val="en-US" w:eastAsia="en-US" w:bidi="ar-SA"/>
    </w:rPr>
  </w:style>
  <w:style w:type="character" w:customStyle="1" w:styleId="172">
    <w:name w:val="页眉 字符"/>
    <w:autoRedefine/>
    <w:qFormat/>
    <w:uiPriority w:val="0"/>
    <w:rPr>
      <w:rFonts w:ascii="Times New Roman" w:hAnsi="Times New Roman" w:eastAsia="仿宋_GB2312" w:cs="Times New Roman"/>
      <w:sz w:val="18"/>
      <w:szCs w:val="20"/>
      <w:lang w:val="en-US" w:eastAsia="zh-CN" w:bidi="ar-SA"/>
    </w:rPr>
  </w:style>
  <w:style w:type="character" w:customStyle="1" w:styleId="173">
    <w:name w:val="副标题 Char1"/>
    <w:autoRedefine/>
    <w:qFormat/>
    <w:uiPriority w:val="0"/>
    <w:rPr>
      <w:rFonts w:ascii="Cambria" w:hAnsi="Cambria" w:eastAsia="宋体" w:cs="Times New Roman"/>
      <w:b/>
      <w:bCs/>
      <w:kern w:val="28"/>
      <w:sz w:val="32"/>
      <w:szCs w:val="32"/>
      <w:lang w:val="en-US" w:eastAsia="zh-CN" w:bidi="ar-SA"/>
    </w:rPr>
  </w:style>
  <w:style w:type="character" w:customStyle="1" w:styleId="174">
    <w:name w:val="标题 6 字符"/>
    <w:autoRedefine/>
    <w:qFormat/>
    <w:uiPriority w:val="0"/>
    <w:rPr>
      <w:rFonts w:ascii="Arial" w:hAnsi="Arial" w:eastAsia="黑体" w:cs="Times New Roman"/>
      <w:b/>
      <w:bCs/>
      <w:kern w:val="2"/>
      <w:sz w:val="24"/>
      <w:szCs w:val="24"/>
      <w:lang w:val="en-US" w:eastAsia="zh-CN" w:bidi="ar-SA"/>
    </w:rPr>
  </w:style>
  <w:style w:type="character" w:customStyle="1" w:styleId="175">
    <w:name w:val="批注文字 字符"/>
    <w:autoRedefine/>
    <w:qFormat/>
    <w:uiPriority w:val="0"/>
    <w:rPr>
      <w:rFonts w:ascii="Times New Roman" w:hAnsi="Times New Roman" w:eastAsia="宋体" w:cs="Times New Roman"/>
      <w:szCs w:val="24"/>
      <w:lang w:val="en-US" w:eastAsia="zh-CN" w:bidi="ar-SA"/>
    </w:rPr>
  </w:style>
  <w:style w:type="character" w:customStyle="1" w:styleId="176">
    <w:name w:val="样式1 Char"/>
    <w:autoRedefine/>
    <w:qFormat/>
    <w:uiPriority w:val="0"/>
    <w:rPr>
      <w:rFonts w:ascii="宋体" w:hAnsi="Calibri" w:eastAsia="宋体" w:cs="Times New Roman"/>
      <w:kern w:val="2"/>
      <w:sz w:val="24"/>
      <w:szCs w:val="24"/>
      <w:lang w:val="en-US" w:eastAsia="zh-CN" w:bidi="ar-SA"/>
    </w:rPr>
  </w:style>
  <w:style w:type="character" w:customStyle="1" w:styleId="177">
    <w:name w:val="表正文 Char1"/>
    <w:autoRedefine/>
    <w:qFormat/>
    <w:uiPriority w:val="0"/>
    <w:rPr>
      <w:rFonts w:ascii="Calibri" w:hAnsi="Calibri" w:eastAsia="宋体" w:cs="Times New Roman"/>
      <w:kern w:val="2"/>
      <w:sz w:val="21"/>
      <w:szCs w:val="24"/>
      <w:lang w:val="en-US" w:eastAsia="zh-CN" w:bidi="ar-SA"/>
    </w:rPr>
  </w:style>
  <w:style w:type="character" w:customStyle="1" w:styleId="178">
    <w:name w:val="Heading 3 - old Char"/>
    <w:autoRedefine/>
    <w:qFormat/>
    <w:uiPriority w:val="0"/>
    <w:rPr>
      <w:rFonts w:ascii="Calibri" w:hAnsi="Calibri" w:eastAsia="宋体" w:cs="Times New Roman"/>
      <w:b/>
      <w:bCs/>
      <w:kern w:val="2"/>
      <w:sz w:val="21"/>
      <w:szCs w:val="32"/>
      <w:lang w:val="en-US" w:eastAsia="zh-CN" w:bidi="ar-SA"/>
    </w:rPr>
  </w:style>
  <w:style w:type="character" w:customStyle="1" w:styleId="179">
    <w:name w:val="标题 字符"/>
    <w:autoRedefine/>
    <w:qFormat/>
    <w:uiPriority w:val="0"/>
    <w:rPr>
      <w:rFonts w:ascii="Cambria" w:hAnsi="Cambria" w:eastAsia="宋体" w:cs="Times New Roman"/>
      <w:b/>
      <w:bCs/>
      <w:sz w:val="28"/>
      <w:szCs w:val="32"/>
      <w:lang w:val="en-US" w:eastAsia="zh-CN" w:bidi="ar-SA"/>
    </w:rPr>
  </w:style>
  <w:style w:type="character" w:customStyle="1" w:styleId="180">
    <w:name w:val="Char Char9"/>
    <w:autoRedefine/>
    <w:qFormat/>
    <w:uiPriority w:val="0"/>
    <w:rPr>
      <w:rFonts w:ascii="Calibri" w:hAnsi="Calibri" w:eastAsia="宋体" w:cs="Times New Roman"/>
      <w:color w:val="000000"/>
      <w:kern w:val="2"/>
      <w:sz w:val="24"/>
      <w:lang w:val="en-US" w:eastAsia="zh-CN" w:bidi="ar-SA"/>
    </w:rPr>
  </w:style>
  <w:style w:type="character" w:customStyle="1" w:styleId="181">
    <w:name w:val="Char Char2_0"/>
    <w:link w:val="182"/>
    <w:autoRedefine/>
    <w:qFormat/>
    <w:uiPriority w:val="0"/>
    <w:rPr>
      <w:rFonts w:ascii="Calibri" w:hAnsi="Calibri"/>
      <w:b/>
      <w:bCs/>
      <w:kern w:val="2"/>
      <w:sz w:val="32"/>
      <w:szCs w:val="32"/>
    </w:rPr>
  </w:style>
  <w:style w:type="paragraph" w:customStyle="1" w:styleId="182">
    <w:name w:val="标题 3_0_0"/>
    <w:basedOn w:val="183"/>
    <w:next w:val="183"/>
    <w:link w:val="181"/>
    <w:autoRedefine/>
    <w:qFormat/>
    <w:uiPriority w:val="0"/>
    <w:pPr>
      <w:keepNext/>
      <w:keepLines/>
      <w:spacing w:before="260" w:after="260" w:line="416" w:lineRule="auto"/>
      <w:outlineLvl w:val="2"/>
    </w:pPr>
    <w:rPr>
      <w:rFonts w:ascii="Calibri" w:hAnsi="Calibri"/>
      <w:b/>
      <w:bCs/>
      <w:sz w:val="32"/>
      <w:szCs w:val="32"/>
    </w:rPr>
  </w:style>
  <w:style w:type="paragraph" w:customStyle="1" w:styleId="183">
    <w:name w:val="正文_14"/>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84">
    <w:name w:val="Char Char121"/>
    <w:autoRedefine/>
    <w:qFormat/>
    <w:uiPriority w:val="0"/>
    <w:rPr>
      <w:rFonts w:ascii="Arial" w:hAnsi="Arial" w:eastAsia="宋体" w:cs="Times New Roman"/>
      <w:b/>
      <w:sz w:val="32"/>
      <w:lang w:val="en-US" w:eastAsia="zh-CN" w:bidi="ar-SA"/>
    </w:rPr>
  </w:style>
  <w:style w:type="character" w:customStyle="1" w:styleId="185">
    <w:name w:val="H4 Char"/>
    <w:autoRedefine/>
    <w:qFormat/>
    <w:uiPriority w:val="0"/>
    <w:rPr>
      <w:rFonts w:ascii="Arial" w:hAnsi="Arial" w:eastAsia="黑体" w:cs="Times New Roman"/>
      <w:b/>
      <w:bCs/>
      <w:kern w:val="2"/>
      <w:sz w:val="28"/>
      <w:szCs w:val="28"/>
      <w:lang w:val="zh-CN" w:eastAsia="zh-CN" w:bidi="ar-SA"/>
    </w:rPr>
  </w:style>
  <w:style w:type="character" w:customStyle="1" w:styleId="186">
    <w:name w:val="Heading 3 - old Char1"/>
    <w:autoRedefine/>
    <w:qFormat/>
    <w:uiPriority w:val="0"/>
    <w:rPr>
      <w:rFonts w:ascii="Calibri" w:hAnsi="Calibri" w:eastAsia="宋体" w:cs="Times New Roman"/>
      <w:b/>
      <w:bCs/>
      <w:kern w:val="2"/>
      <w:sz w:val="21"/>
      <w:szCs w:val="32"/>
      <w:lang w:val="en-US" w:eastAsia="zh-CN" w:bidi="ar-SA"/>
    </w:rPr>
  </w:style>
  <w:style w:type="character" w:customStyle="1" w:styleId="187">
    <w:name w:val="普通文字 Char Char1"/>
    <w:autoRedefine/>
    <w:qFormat/>
    <w:uiPriority w:val="0"/>
    <w:rPr>
      <w:rFonts w:ascii="宋体" w:hAnsi="Courier New"/>
      <w:kern w:val="2"/>
      <w:sz w:val="24"/>
      <w:szCs w:val="24"/>
    </w:rPr>
  </w:style>
  <w:style w:type="character" w:customStyle="1" w:styleId="188">
    <w:name w:val="Footer-Even Char1"/>
    <w:autoRedefine/>
    <w:qFormat/>
    <w:uiPriority w:val="0"/>
    <w:rPr>
      <w:rFonts w:ascii="Calibri" w:hAnsi="Calibri" w:eastAsia="宋体" w:cs="Times New Roman"/>
      <w:kern w:val="2"/>
      <w:sz w:val="18"/>
      <w:szCs w:val="18"/>
      <w:lang w:val="en-US" w:eastAsia="zh-CN" w:bidi="ar-SA"/>
    </w:rPr>
  </w:style>
  <w:style w:type="character" w:customStyle="1" w:styleId="189">
    <w:name w:val="标题 4 Char1"/>
    <w:autoRedefine/>
    <w:qFormat/>
    <w:uiPriority w:val="0"/>
    <w:rPr>
      <w:rFonts w:ascii="Arial" w:hAnsi="Arial" w:eastAsia="黑体" w:cs="Times New Roman"/>
      <w:b/>
      <w:bCs/>
      <w:sz w:val="28"/>
      <w:szCs w:val="28"/>
      <w:lang w:val="en-US" w:eastAsia="zh-CN" w:bidi="ar-SA"/>
    </w:rPr>
  </w:style>
  <w:style w:type="character" w:customStyle="1" w:styleId="190">
    <w:name w:val="zbggtop11 style5"/>
    <w:autoRedefine/>
    <w:qFormat/>
    <w:uiPriority w:val="0"/>
    <w:rPr>
      <w:rFonts w:ascii="Calibri" w:hAnsi="Calibri" w:eastAsia="宋体" w:cs="Times New Roman"/>
      <w:lang w:val="en-US" w:eastAsia="zh-CN" w:bidi="ar-SA"/>
    </w:rPr>
  </w:style>
  <w:style w:type="character" w:customStyle="1" w:styleId="191">
    <w:name w:val="内文 Char"/>
    <w:autoRedefine/>
    <w:qFormat/>
    <w:uiPriority w:val="0"/>
    <w:rPr>
      <w:rFonts w:ascii="Arial" w:hAnsi="Arial" w:eastAsia="宋体" w:cs="Times New Roman"/>
      <w:kern w:val="2"/>
      <w:sz w:val="21"/>
      <w:lang w:val="en-US" w:eastAsia="zh-CN" w:bidi="ar-SA"/>
    </w:rPr>
  </w:style>
  <w:style w:type="character" w:customStyle="1" w:styleId="192">
    <w:name w:val="Comment Subject Char"/>
    <w:autoRedefine/>
    <w:qFormat/>
    <w:uiPriority w:val="0"/>
    <w:rPr>
      <w:rFonts w:ascii="Calibri" w:hAnsi="Calibri" w:eastAsia="宋体" w:cs="Times New Roman"/>
      <w:b/>
      <w:bCs/>
      <w:kern w:val="2"/>
      <w:sz w:val="21"/>
      <w:szCs w:val="24"/>
      <w:lang w:val="en-US" w:eastAsia="zh-CN" w:bidi="ar-SA"/>
    </w:rPr>
  </w:style>
  <w:style w:type="character" w:customStyle="1" w:styleId="193">
    <w:name w:val="标题 7 Char1"/>
    <w:autoRedefine/>
    <w:qFormat/>
    <w:uiPriority w:val="0"/>
    <w:rPr>
      <w:rFonts w:ascii="Calibri" w:hAnsi="Calibri" w:eastAsia="宋体" w:cs="Times New Roman"/>
      <w:b/>
      <w:bCs/>
      <w:sz w:val="24"/>
      <w:szCs w:val="24"/>
      <w:lang w:val="en-US" w:eastAsia="zh-CN" w:bidi="ar-SA"/>
    </w:rPr>
  </w:style>
  <w:style w:type="character" w:customStyle="1" w:styleId="194">
    <w:name w:val="ca-381"/>
    <w:autoRedefine/>
    <w:qFormat/>
    <w:uiPriority w:val="0"/>
    <w:rPr>
      <w:rFonts w:hint="default" w:ascii="Times New Roman" w:hAnsi="Times New Roman" w:eastAsia="宋体" w:cs="Times New Roman"/>
      <w:b/>
      <w:bCs/>
      <w:spacing w:val="-20"/>
      <w:sz w:val="21"/>
      <w:szCs w:val="21"/>
      <w:lang w:val="en-US" w:eastAsia="zh-CN" w:bidi="ar-SA"/>
    </w:rPr>
  </w:style>
  <w:style w:type="character" w:customStyle="1" w:styleId="195">
    <w:name w:val="Blockquote Char"/>
    <w:link w:val="196"/>
    <w:autoRedefine/>
    <w:qFormat/>
    <w:uiPriority w:val="0"/>
    <w:rPr>
      <w:rFonts w:ascii="Calibri" w:hAnsi="Calibri"/>
      <w:sz w:val="24"/>
    </w:rPr>
  </w:style>
  <w:style w:type="paragraph" w:customStyle="1" w:styleId="196">
    <w:name w:val="Blockquote"/>
    <w:basedOn w:val="1"/>
    <w:link w:val="195"/>
    <w:autoRedefine/>
    <w:qFormat/>
    <w:uiPriority w:val="0"/>
    <w:pPr>
      <w:autoSpaceDE w:val="0"/>
      <w:autoSpaceDN w:val="0"/>
      <w:adjustRightInd w:val="0"/>
      <w:spacing w:before="100" w:after="100"/>
      <w:ind w:left="360" w:right="360"/>
      <w:jc w:val="left"/>
    </w:pPr>
    <w:rPr>
      <w:rFonts w:ascii="Calibri" w:hAnsi="Calibri"/>
      <w:kern w:val="0"/>
      <w:sz w:val="24"/>
      <w:szCs w:val="20"/>
    </w:rPr>
  </w:style>
  <w:style w:type="character" w:customStyle="1" w:styleId="197">
    <w:name w:val="署名 Char1"/>
    <w:link w:val="198"/>
    <w:autoRedefine/>
    <w:qFormat/>
    <w:uiPriority w:val="0"/>
    <w:rPr>
      <w:rFonts w:ascii="Calibri" w:hAnsi="Calibri"/>
      <w:kern w:val="2"/>
      <w:sz w:val="21"/>
      <w:szCs w:val="22"/>
    </w:rPr>
  </w:style>
  <w:style w:type="paragraph" w:customStyle="1" w:styleId="198">
    <w:name w:val="正文缩进_0"/>
    <w:basedOn w:val="199"/>
    <w:link w:val="197"/>
    <w:autoRedefine/>
    <w:qFormat/>
    <w:uiPriority w:val="0"/>
    <w:pPr>
      <w:ind w:firstLine="420" w:firstLineChars="200"/>
    </w:pPr>
    <w:rPr>
      <w:rFonts w:ascii="Calibri" w:hAnsi="Calibri"/>
    </w:rPr>
  </w:style>
  <w:style w:type="paragraph" w:customStyle="1" w:styleId="199">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00">
    <w:name w:val="Heading 7 Char_49d0024c-9862-42e0-becb-13ea4b5f8801"/>
    <w:autoRedefine/>
    <w:qFormat/>
    <w:uiPriority w:val="0"/>
    <w:rPr>
      <w:rFonts w:ascii="Calibri" w:hAnsi="Calibri" w:eastAsia="宋体" w:cs="Times New Roman"/>
      <w:b/>
      <w:bCs/>
      <w:sz w:val="24"/>
      <w:szCs w:val="24"/>
      <w:lang w:val="en-US" w:eastAsia="zh-CN" w:bidi="ar-SA"/>
    </w:rPr>
  </w:style>
  <w:style w:type="character" w:customStyle="1" w:styleId="201">
    <w:name w:val="正文首行缩进 Char Char"/>
    <w:autoRedefine/>
    <w:qFormat/>
    <w:uiPriority w:val="0"/>
    <w:rPr>
      <w:rFonts w:ascii="Calibri" w:hAnsi="Calibri" w:eastAsia="宋体" w:cs="Times New Roman"/>
      <w:kern w:val="2"/>
      <w:sz w:val="21"/>
      <w:szCs w:val="24"/>
      <w:lang w:val="en-US" w:eastAsia="zh-CN" w:bidi="ar-SA"/>
    </w:rPr>
  </w:style>
  <w:style w:type="character" w:customStyle="1" w:styleId="202">
    <w:name w:val="Char Char8"/>
    <w:autoRedefine/>
    <w:qFormat/>
    <w:uiPriority w:val="0"/>
    <w:rPr>
      <w:rFonts w:ascii="Arial" w:hAnsi="Arial" w:eastAsia="黑体" w:cs="Times New Roman"/>
      <w:b/>
      <w:bCs/>
      <w:kern w:val="2"/>
      <w:sz w:val="32"/>
      <w:szCs w:val="32"/>
      <w:lang w:val="en-US" w:eastAsia="zh-CN" w:bidi="ar-SA"/>
    </w:rPr>
  </w:style>
  <w:style w:type="character" w:customStyle="1" w:styleId="203">
    <w:name w:val="批注文字 Char Char"/>
    <w:autoRedefine/>
    <w:qFormat/>
    <w:uiPriority w:val="0"/>
    <w:rPr>
      <w:rFonts w:ascii="Times New Roman" w:hAnsi="Times New Roman" w:eastAsia="宋体" w:cs="Times New Roman"/>
      <w:szCs w:val="24"/>
      <w:lang w:val="en-US" w:eastAsia="zh-CN" w:bidi="ar-SA"/>
    </w:rPr>
  </w:style>
  <w:style w:type="character" w:customStyle="1" w:styleId="204">
    <w:name w:val="标题 1 Char Char"/>
    <w:autoRedefine/>
    <w:qFormat/>
    <w:uiPriority w:val="0"/>
    <w:rPr>
      <w:rFonts w:eastAsia="宋体"/>
      <w:b/>
      <w:spacing w:val="-2"/>
      <w:sz w:val="24"/>
      <w:lang w:val="en-US" w:eastAsia="zh-CN" w:bidi="ar-SA"/>
    </w:rPr>
  </w:style>
  <w:style w:type="character" w:customStyle="1" w:styleId="205">
    <w:name w:val="Char Char Char Char Char"/>
    <w:autoRedefine/>
    <w:qFormat/>
    <w:uiPriority w:val="0"/>
    <w:rPr>
      <w:rFonts w:ascii="Arial" w:hAnsi="Arial" w:eastAsia="黑体" w:cs="Times New Roman"/>
      <w:b/>
      <w:bCs/>
      <w:kern w:val="2"/>
      <w:sz w:val="32"/>
      <w:szCs w:val="32"/>
      <w:lang w:val="en-US" w:eastAsia="zh-CN" w:bidi="ar-SA"/>
    </w:rPr>
  </w:style>
  <w:style w:type="character" w:customStyle="1" w:styleId="206">
    <w:name w:val="Char Char22"/>
    <w:autoRedefine/>
    <w:qFormat/>
    <w:uiPriority w:val="0"/>
    <w:rPr>
      <w:rFonts w:ascii="Arial" w:hAnsi="Arial" w:eastAsia="黑体" w:cs="Times New Roman"/>
      <w:b/>
      <w:bCs/>
      <w:kern w:val="2"/>
      <w:sz w:val="24"/>
      <w:szCs w:val="24"/>
      <w:lang w:val="en-US" w:eastAsia="zh-CN" w:bidi="ar-SA"/>
    </w:rPr>
  </w:style>
  <w:style w:type="character" w:customStyle="1" w:styleId="207">
    <w:name w:val="ca-410"/>
    <w:autoRedefine/>
    <w:qFormat/>
    <w:uiPriority w:val="0"/>
    <w:rPr>
      <w:rFonts w:hint="eastAsia" w:ascii="宋体" w:hAnsi="宋体" w:eastAsia="宋体" w:cs="Times New Roman"/>
      <w:b/>
      <w:bCs/>
      <w:color w:val="000000"/>
      <w:spacing w:val="-20"/>
      <w:sz w:val="48"/>
      <w:szCs w:val="48"/>
      <w:lang w:val="en-US" w:eastAsia="zh-CN" w:bidi="ar-SA"/>
    </w:rPr>
  </w:style>
  <w:style w:type="character" w:customStyle="1" w:styleId="208">
    <w:name w:val="Heading 8 Char_5192a82a-e45e-45c8-83ba-ffab234e8137"/>
    <w:autoRedefine/>
    <w:qFormat/>
    <w:uiPriority w:val="0"/>
    <w:rPr>
      <w:rFonts w:ascii="Arial" w:hAnsi="Arial" w:eastAsia="黑体" w:cs="Times New Roman"/>
      <w:sz w:val="24"/>
      <w:szCs w:val="24"/>
      <w:lang w:val="en-US" w:eastAsia="zh-CN" w:bidi="ar-SA"/>
    </w:rPr>
  </w:style>
  <w:style w:type="character" w:customStyle="1" w:styleId="209">
    <w:name w:val="ca-461"/>
    <w:autoRedefine/>
    <w:qFormat/>
    <w:uiPriority w:val="0"/>
    <w:rPr>
      <w:rFonts w:hint="eastAsia" w:ascii="宋体" w:hAnsi="宋体" w:eastAsia="宋体" w:cs="Times New Roman"/>
      <w:color w:val="000000"/>
      <w:spacing w:val="-20"/>
      <w:sz w:val="28"/>
      <w:szCs w:val="28"/>
      <w:lang w:val="en-US" w:eastAsia="zh-CN" w:bidi="ar-SA"/>
    </w:rPr>
  </w:style>
  <w:style w:type="character" w:customStyle="1" w:styleId="210">
    <w:name w:val="Char Char251"/>
    <w:autoRedefine/>
    <w:qFormat/>
    <w:uiPriority w:val="0"/>
    <w:rPr>
      <w:rFonts w:ascii="宋体" w:hAnsi="宋体" w:eastAsia="宋体" w:cs="Times New Roman"/>
      <w:b/>
      <w:sz w:val="24"/>
      <w:lang w:val="en-US" w:eastAsia="zh-CN" w:bidi="ar-SA"/>
    </w:rPr>
  </w:style>
  <w:style w:type="character" w:customStyle="1" w:styleId="211">
    <w:name w:val="标题 Char1"/>
    <w:autoRedefine/>
    <w:qFormat/>
    <w:uiPriority w:val="0"/>
    <w:rPr>
      <w:rFonts w:ascii="Cambria" w:hAnsi="Cambria" w:eastAsia="宋体" w:cs="Times New Roman"/>
      <w:b/>
      <w:bCs/>
      <w:sz w:val="28"/>
      <w:szCs w:val="32"/>
      <w:lang w:val="en-US" w:eastAsia="zh-CN" w:bidi="ar-SA"/>
    </w:rPr>
  </w:style>
  <w:style w:type="character" w:customStyle="1" w:styleId="212">
    <w:name w:val="2nd level Char"/>
    <w:autoRedefine/>
    <w:qFormat/>
    <w:uiPriority w:val="0"/>
    <w:rPr>
      <w:rFonts w:ascii="Arial" w:hAnsi="Arial" w:eastAsia="宋体" w:cs="Times New Roman"/>
      <w:b/>
      <w:bCs/>
      <w:kern w:val="2"/>
      <w:sz w:val="24"/>
      <w:szCs w:val="32"/>
      <w:lang w:val="en-US" w:eastAsia="zh-CN" w:bidi="ar-SA"/>
    </w:rPr>
  </w:style>
  <w:style w:type="character" w:customStyle="1" w:styleId="213">
    <w:name w:val="浅色网格 - 强调文字颜色 3 Char"/>
    <w:link w:val="214"/>
    <w:autoRedefine/>
    <w:qFormat/>
    <w:uiPriority w:val="0"/>
    <w:rPr>
      <w:rFonts w:ascii="Calibri" w:hAnsi="Calibri"/>
      <w:kern w:val="2"/>
      <w:sz w:val="21"/>
      <w:szCs w:val="24"/>
    </w:rPr>
  </w:style>
  <w:style w:type="paragraph" w:customStyle="1" w:styleId="214">
    <w:name w:val="浅色网格 - 强调文字颜色 32"/>
    <w:basedOn w:val="1"/>
    <w:link w:val="213"/>
    <w:autoRedefine/>
    <w:qFormat/>
    <w:uiPriority w:val="0"/>
    <w:pPr>
      <w:ind w:firstLine="420" w:firstLineChars="200"/>
    </w:pPr>
    <w:rPr>
      <w:rFonts w:ascii="Calibri" w:hAnsi="Calibri"/>
    </w:rPr>
  </w:style>
  <w:style w:type="character" w:customStyle="1" w:styleId="215">
    <w:name w:val="正文文字4 Char Char1"/>
    <w:autoRedefine/>
    <w:qFormat/>
    <w:uiPriority w:val="0"/>
    <w:rPr>
      <w:rFonts w:ascii="宋体" w:hAnsi="宋体" w:eastAsia="宋体" w:cs="Times New Roman"/>
      <w:kern w:val="2"/>
      <w:sz w:val="24"/>
      <w:szCs w:val="24"/>
      <w:lang w:val="en-US" w:eastAsia="zh-CN" w:bidi="ar-SA"/>
    </w:rPr>
  </w:style>
  <w:style w:type="character" w:customStyle="1" w:styleId="216">
    <w:name w:val="ca-3"/>
    <w:autoRedefine/>
    <w:qFormat/>
    <w:uiPriority w:val="0"/>
    <w:rPr>
      <w:rFonts w:eastAsia="宋体"/>
      <w:kern w:val="2"/>
      <w:sz w:val="24"/>
      <w:szCs w:val="24"/>
      <w:lang w:val="en-US" w:eastAsia="zh-CN" w:bidi="ar-SA"/>
    </w:rPr>
  </w:style>
  <w:style w:type="character" w:customStyle="1" w:styleId="217">
    <w:name w:val="明显引用 Char1"/>
    <w:link w:val="218"/>
    <w:autoRedefine/>
    <w:qFormat/>
    <w:uiPriority w:val="0"/>
    <w:rPr>
      <w:rFonts w:ascii="Calibri" w:hAnsi="Calibri"/>
      <w:b/>
      <w:bCs/>
      <w:i/>
      <w:iCs/>
      <w:color w:val="4F81BD"/>
      <w:kern w:val="2"/>
      <w:sz w:val="21"/>
      <w:szCs w:val="24"/>
    </w:rPr>
  </w:style>
  <w:style w:type="paragraph" w:customStyle="1" w:styleId="218">
    <w:name w:val="Intense Quote_58fae6b0-7121-4881-a449-f5270821be60"/>
    <w:basedOn w:val="1"/>
    <w:next w:val="1"/>
    <w:link w:val="217"/>
    <w:autoRedefine/>
    <w:qFormat/>
    <w:uiPriority w:val="0"/>
    <w:pPr>
      <w:pBdr>
        <w:bottom w:val="single" w:color="4F81BD" w:sz="4" w:space="4"/>
      </w:pBdr>
      <w:spacing w:before="200" w:after="280"/>
      <w:ind w:left="936" w:right="936"/>
    </w:pPr>
    <w:rPr>
      <w:rFonts w:ascii="Calibri" w:hAnsi="Calibri"/>
      <w:b/>
      <w:bCs/>
      <w:i/>
      <w:iCs/>
      <w:color w:val="4F81BD"/>
    </w:rPr>
  </w:style>
  <w:style w:type="character" w:customStyle="1" w:styleId="219">
    <w:name w:val="font161"/>
    <w:autoRedefine/>
    <w:qFormat/>
    <w:uiPriority w:val="0"/>
    <w:rPr>
      <w:rFonts w:ascii="Calibri" w:hAnsi="Calibri" w:eastAsia="宋体" w:cs="Times New Roman"/>
      <w:b/>
      <w:bCs/>
      <w:sz w:val="32"/>
      <w:szCs w:val="32"/>
      <w:lang w:val="en-US" w:eastAsia="zh-CN" w:bidi="ar-SA"/>
    </w:rPr>
  </w:style>
  <w:style w:type="character" w:customStyle="1" w:styleId="220">
    <w:name w:val="标题 Char2"/>
    <w:autoRedefine/>
    <w:qFormat/>
    <w:uiPriority w:val="0"/>
    <w:rPr>
      <w:rFonts w:ascii="Arial" w:hAnsi="Arial" w:eastAsia="宋体" w:cs="Times New Roman"/>
      <w:b/>
      <w:sz w:val="32"/>
      <w:lang w:val="en-US" w:eastAsia="zh-CN" w:bidi="ar-SA"/>
    </w:rPr>
  </w:style>
  <w:style w:type="character" w:customStyle="1" w:styleId="221">
    <w:name w:val="ca-491"/>
    <w:autoRedefine/>
    <w:qFormat/>
    <w:uiPriority w:val="0"/>
    <w:rPr>
      <w:rFonts w:hint="eastAsia" w:ascii="宋体" w:hAnsi="宋体" w:eastAsia="宋体" w:cs="Times New Roman"/>
      <w:spacing w:val="0"/>
      <w:sz w:val="32"/>
      <w:szCs w:val="32"/>
      <w:lang w:val="en-US" w:eastAsia="zh-CN" w:bidi="ar-SA"/>
    </w:rPr>
  </w:style>
  <w:style w:type="character" w:customStyle="1" w:styleId="222">
    <w:name w:val="ca-181"/>
    <w:autoRedefine/>
    <w:qFormat/>
    <w:uiPriority w:val="0"/>
    <w:rPr>
      <w:rFonts w:hint="eastAsia" w:ascii="宋体" w:hAnsi="宋体" w:eastAsia="宋体" w:cs="Times New Roman"/>
      <w:color w:val="000000"/>
      <w:sz w:val="18"/>
      <w:szCs w:val="18"/>
      <w:lang w:val="en-US" w:eastAsia="zh-CN" w:bidi="ar-SA"/>
    </w:rPr>
  </w:style>
  <w:style w:type="character" w:customStyle="1" w:styleId="223">
    <w:name w:val="Char Char26"/>
    <w:autoRedefine/>
    <w:qFormat/>
    <w:uiPriority w:val="0"/>
    <w:rPr>
      <w:rFonts w:ascii="Arial" w:hAnsi="Arial" w:eastAsia="宋体" w:cs="Times New Roman"/>
      <w:bCs/>
      <w:kern w:val="2"/>
      <w:sz w:val="24"/>
      <w:szCs w:val="28"/>
      <w:lang w:val="en-US" w:eastAsia="zh-CN" w:bidi="ar-SA"/>
    </w:rPr>
  </w:style>
  <w:style w:type="character" w:customStyle="1" w:styleId="224">
    <w:name w:val="明显引用 Char"/>
    <w:link w:val="225"/>
    <w:autoRedefine/>
    <w:qFormat/>
    <w:uiPriority w:val="0"/>
    <w:rPr>
      <w:rFonts w:ascii="Calibri" w:hAnsi="Calibri"/>
      <w:b/>
      <w:bCs/>
      <w:i/>
      <w:iCs/>
      <w:color w:val="4F81BD"/>
      <w:kern w:val="2"/>
      <w:sz w:val="21"/>
      <w:szCs w:val="22"/>
    </w:rPr>
  </w:style>
  <w:style w:type="paragraph" w:styleId="225">
    <w:name w:val="Intense Quote"/>
    <w:basedOn w:val="1"/>
    <w:next w:val="1"/>
    <w:link w:val="224"/>
    <w:autoRedefine/>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226">
    <w:name w:val="标题 3 Char_0"/>
    <w:link w:val="227"/>
    <w:autoRedefine/>
    <w:qFormat/>
    <w:uiPriority w:val="0"/>
    <w:rPr>
      <w:rFonts w:ascii="Calibri" w:hAnsi="Calibri"/>
      <w:b/>
      <w:bCs/>
      <w:kern w:val="2"/>
      <w:sz w:val="32"/>
      <w:szCs w:val="32"/>
    </w:rPr>
  </w:style>
  <w:style w:type="paragraph" w:customStyle="1" w:styleId="227">
    <w:name w:val="标题 3_1"/>
    <w:basedOn w:val="228"/>
    <w:next w:val="228"/>
    <w:link w:val="226"/>
    <w:autoRedefine/>
    <w:qFormat/>
    <w:uiPriority w:val="0"/>
    <w:pPr>
      <w:keepNext/>
      <w:keepLines/>
      <w:spacing w:before="260" w:after="260" w:line="416" w:lineRule="auto"/>
      <w:outlineLvl w:val="2"/>
    </w:pPr>
    <w:rPr>
      <w:rFonts w:ascii="Calibri" w:hAnsi="Calibri"/>
      <w:b/>
      <w:bCs/>
      <w:sz w:val="32"/>
      <w:szCs w:val="32"/>
    </w:rPr>
  </w:style>
  <w:style w:type="paragraph" w:customStyle="1" w:styleId="228">
    <w:name w:val="正文_4"/>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29">
    <w:name w:val="普通文字 Char Char_1"/>
    <w:link w:val="230"/>
    <w:autoRedefine/>
    <w:qFormat/>
    <w:uiPriority w:val="0"/>
    <w:rPr>
      <w:rFonts w:ascii="宋体" w:hAnsi="Courier New"/>
      <w:kern w:val="2"/>
      <w:sz w:val="21"/>
      <w:szCs w:val="21"/>
    </w:rPr>
  </w:style>
  <w:style w:type="paragraph" w:customStyle="1" w:styleId="230">
    <w:name w:val="纯文本_1_0"/>
    <w:basedOn w:val="140"/>
    <w:link w:val="229"/>
    <w:autoRedefine/>
    <w:qFormat/>
    <w:uiPriority w:val="0"/>
    <w:rPr>
      <w:rFonts w:ascii="宋体" w:hAnsi="Courier New"/>
      <w:szCs w:val="21"/>
    </w:rPr>
  </w:style>
  <w:style w:type="character" w:customStyle="1" w:styleId="231">
    <w:name w:val="列出段落 Char"/>
    <w:link w:val="232"/>
    <w:autoRedefine/>
    <w:qFormat/>
    <w:uiPriority w:val="0"/>
    <w:rPr>
      <w:rFonts w:ascii="Calibri" w:hAnsi="Calibri"/>
      <w:sz w:val="22"/>
      <w:szCs w:val="22"/>
      <w:lang w:eastAsia="en-US" w:bidi="en-US"/>
    </w:rPr>
  </w:style>
  <w:style w:type="paragraph" w:styleId="232">
    <w:name w:val="List Paragraph"/>
    <w:basedOn w:val="1"/>
    <w:link w:val="231"/>
    <w:autoRedefine/>
    <w:qFormat/>
    <w:uiPriority w:val="0"/>
    <w:pPr>
      <w:widowControl/>
      <w:ind w:left="720" w:firstLine="360"/>
      <w:contextualSpacing/>
      <w:jc w:val="left"/>
    </w:pPr>
    <w:rPr>
      <w:rFonts w:ascii="Calibri" w:hAnsi="Calibri"/>
      <w:kern w:val="0"/>
      <w:sz w:val="22"/>
      <w:szCs w:val="22"/>
      <w:lang w:eastAsia="en-US" w:bidi="en-US"/>
    </w:rPr>
  </w:style>
  <w:style w:type="character" w:customStyle="1" w:styleId="233">
    <w:name w:val="正文文字4 Char1_0"/>
    <w:link w:val="234"/>
    <w:autoRedefine/>
    <w:qFormat/>
    <w:uiPriority w:val="0"/>
    <w:rPr>
      <w:rFonts w:ascii="Calibri" w:hAnsi="Calibri"/>
      <w:kern w:val="2"/>
      <w:sz w:val="21"/>
      <w:szCs w:val="22"/>
    </w:rPr>
  </w:style>
  <w:style w:type="paragraph" w:customStyle="1" w:styleId="234">
    <w:name w:val="正文文本缩进_0"/>
    <w:basedOn w:val="199"/>
    <w:link w:val="233"/>
    <w:autoRedefine/>
    <w:qFormat/>
    <w:uiPriority w:val="0"/>
    <w:pPr>
      <w:spacing w:after="120"/>
      <w:ind w:left="420" w:leftChars="200"/>
    </w:pPr>
    <w:rPr>
      <w:rFonts w:ascii="Calibri" w:hAnsi="Calibri"/>
    </w:rPr>
  </w:style>
  <w:style w:type="character" w:customStyle="1" w:styleId="235">
    <w:name w:val="文档结构图 Char1"/>
    <w:autoRedefine/>
    <w:qFormat/>
    <w:uiPriority w:val="0"/>
    <w:rPr>
      <w:rFonts w:ascii="宋体" w:hAnsi="Calibri" w:eastAsia="宋体" w:cs="Times New Roman"/>
      <w:kern w:val="2"/>
      <w:sz w:val="18"/>
      <w:szCs w:val="18"/>
      <w:lang w:val="en-US" w:eastAsia="zh-CN" w:bidi="ar-SA"/>
    </w:rPr>
  </w:style>
  <w:style w:type="character" w:customStyle="1" w:styleId="236">
    <w:name w:val="文档结构图 字符"/>
    <w:autoRedefine/>
    <w:qFormat/>
    <w:uiPriority w:val="0"/>
    <w:rPr>
      <w:rFonts w:ascii="Times New Roman" w:hAnsi="Times New Roman" w:eastAsia="宋体" w:cs="Times New Roman"/>
      <w:kern w:val="2"/>
      <w:sz w:val="21"/>
      <w:szCs w:val="24"/>
      <w:shd w:val="clear" w:color="auto" w:fill="000080"/>
      <w:lang w:val="en-US" w:eastAsia="zh-CN" w:bidi="ar-SA"/>
    </w:rPr>
  </w:style>
  <w:style w:type="character" w:customStyle="1" w:styleId="237">
    <w:name w:val="正文文字4 Char"/>
    <w:autoRedefine/>
    <w:qFormat/>
    <w:uiPriority w:val="0"/>
    <w:rPr>
      <w:rFonts w:ascii="Calibri" w:hAnsi="Calibri" w:eastAsia="宋体" w:cs="Times New Roman"/>
      <w:kern w:val="2"/>
      <w:sz w:val="21"/>
      <w:szCs w:val="24"/>
      <w:lang w:val="en-US" w:eastAsia="zh-CN" w:bidi="ar-SA"/>
    </w:rPr>
  </w:style>
  <w:style w:type="character" w:customStyle="1" w:styleId="238">
    <w:name w:val="彩色网格 - 强调文字颜色 1 Char"/>
    <w:link w:val="239"/>
    <w:autoRedefine/>
    <w:qFormat/>
    <w:uiPriority w:val="0"/>
    <w:rPr>
      <w:rFonts w:ascii="Calibri" w:hAnsi="Calibri"/>
      <w:i/>
      <w:iCs/>
      <w:color w:val="000000"/>
      <w:kern w:val="2"/>
      <w:sz w:val="21"/>
      <w:szCs w:val="22"/>
    </w:rPr>
  </w:style>
  <w:style w:type="paragraph" w:customStyle="1" w:styleId="239">
    <w:name w:val="彩色网格 - 强调文字颜色 11"/>
    <w:basedOn w:val="1"/>
    <w:next w:val="1"/>
    <w:link w:val="238"/>
    <w:autoRedefine/>
    <w:qFormat/>
    <w:uiPriority w:val="0"/>
    <w:rPr>
      <w:rFonts w:ascii="Calibri" w:hAnsi="Calibri"/>
      <w:i/>
      <w:iCs/>
      <w:color w:val="000000"/>
      <w:szCs w:val="22"/>
    </w:rPr>
  </w:style>
  <w:style w:type="character" w:customStyle="1" w:styleId="240">
    <w:name w:val="ca-531"/>
    <w:autoRedefine/>
    <w:qFormat/>
    <w:uiPriority w:val="0"/>
    <w:rPr>
      <w:rFonts w:hint="default" w:ascii="Times New Roman" w:hAnsi="Times New Roman" w:eastAsia="宋体" w:cs="Times New Roman"/>
      <w:b/>
      <w:bCs/>
      <w:spacing w:val="-20"/>
      <w:sz w:val="36"/>
      <w:szCs w:val="36"/>
      <w:lang w:val="en-US" w:eastAsia="zh-CN" w:bidi="ar-SA"/>
    </w:rPr>
  </w:style>
  <w:style w:type="character" w:customStyle="1" w:styleId="241">
    <w:name w:val="脚注文本 字符"/>
    <w:autoRedefine/>
    <w:qFormat/>
    <w:uiPriority w:val="0"/>
    <w:rPr>
      <w:rFonts w:ascii="Times New Roman" w:hAnsi="Times New Roman" w:eastAsia="宋体" w:cs="Times New Roman"/>
      <w:kern w:val="2"/>
      <w:sz w:val="18"/>
      <w:lang w:val="en-US" w:eastAsia="zh-CN" w:bidi="ar-SA"/>
    </w:rPr>
  </w:style>
  <w:style w:type="character" w:customStyle="1" w:styleId="242">
    <w:name w:val="ca-511"/>
    <w:autoRedefine/>
    <w:qFormat/>
    <w:uiPriority w:val="0"/>
    <w:rPr>
      <w:rFonts w:hint="default" w:ascii="Times New Roman" w:hAnsi="Times New Roman" w:eastAsia="宋体" w:cs="Times New Roman"/>
      <w:b/>
      <w:bCs/>
      <w:color w:val="000000"/>
      <w:spacing w:val="-20"/>
      <w:sz w:val="32"/>
      <w:szCs w:val="32"/>
      <w:lang w:val="en-US" w:eastAsia="zh-CN" w:bidi="ar-SA"/>
    </w:rPr>
  </w:style>
  <w:style w:type="character" w:customStyle="1" w:styleId="243">
    <w:name w:val="样式 正文缩进正文（首行缩进两字）特点ALT+Z表正文正文非缩进四号段1Normal Indent Char2... Char"/>
    <w:autoRedefine/>
    <w:qFormat/>
    <w:uiPriority w:val="0"/>
    <w:rPr>
      <w:rFonts w:ascii="Arial" w:hAnsi="Arial" w:eastAsia="宋体" w:cs="Times New Roman"/>
      <w:b/>
      <w:kern w:val="2"/>
      <w:sz w:val="24"/>
      <w:szCs w:val="32"/>
      <w:lang w:val="en-US" w:eastAsia="zh-CN" w:bidi="ar-SA"/>
    </w:rPr>
  </w:style>
  <w:style w:type="character" w:customStyle="1" w:styleId="244">
    <w:name w:val="ca-101"/>
    <w:autoRedefine/>
    <w:qFormat/>
    <w:uiPriority w:val="0"/>
    <w:rPr>
      <w:rFonts w:hint="default" w:ascii="Times New Roman" w:hAnsi="Times New Roman" w:eastAsia="宋体" w:cs="Times New Roman"/>
      <w:color w:val="000000"/>
      <w:sz w:val="52"/>
      <w:szCs w:val="52"/>
      <w:lang w:val="en-US" w:eastAsia="zh-CN" w:bidi="ar-SA"/>
    </w:rPr>
  </w:style>
  <w:style w:type="character" w:customStyle="1" w:styleId="245">
    <w:name w:val="批注文字 Char2"/>
    <w:autoRedefine/>
    <w:qFormat/>
    <w:uiPriority w:val="0"/>
    <w:rPr>
      <w:rFonts w:ascii="Calibri" w:hAnsi="Calibri" w:eastAsia="宋体" w:cs="Times New Roman"/>
      <w:kern w:val="2"/>
      <w:sz w:val="21"/>
      <w:szCs w:val="24"/>
      <w:lang w:val="en-US" w:eastAsia="zh-CN" w:bidi="ar-SA"/>
    </w:rPr>
  </w:style>
  <w:style w:type="character" w:customStyle="1" w:styleId="246">
    <w:name w:val="font51"/>
    <w:autoRedefine/>
    <w:qFormat/>
    <w:uiPriority w:val="0"/>
    <w:rPr>
      <w:rFonts w:hint="eastAsia" w:ascii="宋体" w:hAnsi="宋体" w:eastAsia="宋体" w:cs="宋体"/>
      <w:color w:val="000000"/>
      <w:sz w:val="20"/>
      <w:szCs w:val="20"/>
      <w:u w:val="none"/>
      <w:lang w:val="en-US" w:eastAsia="zh-CN" w:bidi="ar-SA"/>
    </w:rPr>
  </w:style>
  <w:style w:type="character" w:customStyle="1" w:styleId="247">
    <w:name w:val="个人答复风格"/>
    <w:autoRedefine/>
    <w:qFormat/>
    <w:uiPriority w:val="0"/>
    <w:rPr>
      <w:rFonts w:ascii="Arial" w:hAnsi="Arial" w:eastAsia="宋体" w:cs="Arial"/>
      <w:color w:val="auto"/>
      <w:sz w:val="20"/>
      <w:lang w:val="en-US" w:eastAsia="zh-CN" w:bidi="ar-SA"/>
    </w:rPr>
  </w:style>
  <w:style w:type="character" w:customStyle="1" w:styleId="248">
    <w:name w:val="纯文本 Char_0"/>
    <w:link w:val="249"/>
    <w:autoRedefine/>
    <w:qFormat/>
    <w:uiPriority w:val="0"/>
    <w:rPr>
      <w:rFonts w:ascii="宋体" w:hAnsi="宋体" w:eastAsia="ヒラギノ角ゴ Pro W3"/>
      <w:color w:val="000000"/>
      <w:kern w:val="2"/>
      <w:sz w:val="21"/>
      <w:u w:val="none" w:color="000000"/>
      <w:lang w:val="en-US" w:eastAsia="zh-CN" w:bidi="ar-SA"/>
    </w:rPr>
  </w:style>
  <w:style w:type="paragraph" w:customStyle="1" w:styleId="249">
    <w:name w:val="纯文本_1"/>
    <w:link w:val="248"/>
    <w:autoRedefine/>
    <w:qFormat/>
    <w:uiPriority w:val="0"/>
    <w:pPr>
      <w:widowControl w:val="0"/>
      <w:jc w:val="both"/>
    </w:pPr>
    <w:rPr>
      <w:rFonts w:ascii="宋体" w:hAnsi="宋体" w:eastAsia="ヒラギノ角ゴ Pro W3" w:cs="Times New Roman"/>
      <w:color w:val="000000"/>
      <w:kern w:val="2"/>
      <w:sz w:val="21"/>
      <w:u w:color="000000"/>
      <w:lang w:val="en-US" w:eastAsia="zh-CN" w:bidi="ar-SA"/>
    </w:rPr>
  </w:style>
  <w:style w:type="character" w:customStyle="1" w:styleId="250">
    <w:name w:val="尾注文本 Char1"/>
    <w:autoRedefine/>
    <w:semiHidden/>
    <w:qFormat/>
    <w:uiPriority w:val="99"/>
    <w:rPr>
      <w:kern w:val="2"/>
      <w:sz w:val="21"/>
      <w:szCs w:val="24"/>
    </w:rPr>
  </w:style>
  <w:style w:type="character" w:customStyle="1" w:styleId="251">
    <w:name w:val="ca-361"/>
    <w:autoRedefine/>
    <w:qFormat/>
    <w:uiPriority w:val="0"/>
    <w:rPr>
      <w:rFonts w:hint="eastAsia" w:ascii="宋体" w:hAnsi="宋体" w:eastAsia="宋体" w:cs="Times New Roman"/>
      <w:b/>
      <w:bCs/>
      <w:spacing w:val="-20"/>
      <w:sz w:val="21"/>
      <w:szCs w:val="21"/>
      <w:lang w:val="en-US" w:eastAsia="zh-CN" w:bidi="ar-SA"/>
    </w:rPr>
  </w:style>
  <w:style w:type="character" w:customStyle="1" w:styleId="252">
    <w:name w:val="Heading 3 - old Char2"/>
    <w:autoRedefine/>
    <w:qFormat/>
    <w:uiPriority w:val="0"/>
    <w:rPr>
      <w:rFonts w:ascii="Calibri" w:hAnsi="Calibri" w:eastAsia="宋体" w:cs="Times New Roman"/>
      <w:b/>
      <w:bCs/>
      <w:kern w:val="2"/>
      <w:sz w:val="21"/>
      <w:szCs w:val="32"/>
      <w:lang w:val="en-US" w:eastAsia="zh-CN" w:bidi="ar-SA"/>
    </w:rPr>
  </w:style>
  <w:style w:type="character" w:customStyle="1" w:styleId="253">
    <w:name w:val="正文文本 2 Char1"/>
    <w:autoRedefine/>
    <w:qFormat/>
    <w:uiPriority w:val="0"/>
    <w:rPr>
      <w:rFonts w:ascii="宋体" w:hAnsi="宋体" w:eastAsia="宋体" w:cs="Times New Roman"/>
      <w:color w:val="000000"/>
      <w:sz w:val="24"/>
      <w:szCs w:val="24"/>
      <w:lang w:val="en-US" w:eastAsia="zh-CN" w:bidi="ar-SA"/>
    </w:rPr>
  </w:style>
  <w:style w:type="character" w:customStyle="1" w:styleId="254">
    <w:name w:val="ca-401"/>
    <w:autoRedefine/>
    <w:qFormat/>
    <w:uiPriority w:val="0"/>
    <w:rPr>
      <w:rFonts w:hint="default" w:ascii="Times New Roman" w:hAnsi="Times New Roman" w:eastAsia="宋体" w:cs="Times New Roman"/>
      <w:sz w:val="20"/>
      <w:szCs w:val="20"/>
      <w:lang w:val="en-US" w:eastAsia="zh-CN" w:bidi="ar-SA"/>
    </w:rPr>
  </w:style>
  <w:style w:type="character" w:customStyle="1" w:styleId="255">
    <w:name w:val="ca-451"/>
    <w:autoRedefine/>
    <w:qFormat/>
    <w:uiPriority w:val="0"/>
    <w:rPr>
      <w:rFonts w:hint="eastAsia" w:ascii="宋体" w:hAnsi="宋体" w:eastAsia="宋体" w:cs="Times New Roman"/>
      <w:color w:val="000000"/>
      <w:sz w:val="72"/>
      <w:szCs w:val="72"/>
      <w:lang w:val="en-US" w:eastAsia="zh-CN" w:bidi="ar-SA"/>
    </w:rPr>
  </w:style>
  <w:style w:type="character" w:customStyle="1" w:styleId="256">
    <w:name w:val="标题 2 Char_0"/>
    <w:link w:val="257"/>
    <w:autoRedefine/>
    <w:qFormat/>
    <w:uiPriority w:val="0"/>
    <w:rPr>
      <w:rFonts w:ascii="Cambria" w:hAnsi="Cambria"/>
      <w:b/>
      <w:bCs/>
      <w:kern w:val="2"/>
      <w:sz w:val="32"/>
      <w:szCs w:val="32"/>
    </w:rPr>
  </w:style>
  <w:style w:type="paragraph" w:customStyle="1" w:styleId="257">
    <w:name w:val="标题 2_0"/>
    <w:basedOn w:val="258"/>
    <w:next w:val="258"/>
    <w:link w:val="256"/>
    <w:autoRedefine/>
    <w:qFormat/>
    <w:uiPriority w:val="0"/>
    <w:pPr>
      <w:keepNext/>
      <w:keepLines/>
      <w:spacing w:before="260" w:after="260" w:line="415" w:lineRule="auto"/>
      <w:outlineLvl w:val="1"/>
    </w:pPr>
    <w:rPr>
      <w:rFonts w:ascii="Cambria" w:hAnsi="Cambria"/>
      <w:b/>
      <w:bCs/>
      <w:sz w:val="32"/>
      <w:szCs w:val="32"/>
    </w:rPr>
  </w:style>
  <w:style w:type="paragraph" w:customStyle="1" w:styleId="258">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9">
    <w:name w:val="标题 2 Char1"/>
    <w:autoRedefine/>
    <w:qFormat/>
    <w:uiPriority w:val="0"/>
    <w:rPr>
      <w:rFonts w:ascii="Arial" w:hAnsi="Arial" w:eastAsia="黑体" w:cs="Times New Roman"/>
      <w:b/>
      <w:bCs/>
      <w:sz w:val="32"/>
      <w:szCs w:val="32"/>
      <w:lang w:val="en-US" w:eastAsia="zh-CN" w:bidi="ar-SA"/>
    </w:rPr>
  </w:style>
  <w:style w:type="character" w:customStyle="1" w:styleId="260">
    <w:name w:val="Char Char1"/>
    <w:autoRedefine/>
    <w:qFormat/>
    <w:uiPriority w:val="0"/>
    <w:rPr>
      <w:rFonts w:ascii="宋体" w:hAnsi="Courier New" w:eastAsia="宋体" w:cs="Courier New"/>
      <w:kern w:val="2"/>
      <w:sz w:val="21"/>
      <w:szCs w:val="21"/>
      <w:lang w:val="en-US" w:eastAsia="zh-CN" w:bidi="ar-SA"/>
    </w:rPr>
  </w:style>
  <w:style w:type="character" w:customStyle="1" w:styleId="261">
    <w:name w:val="明显引用 Char3"/>
    <w:autoRedefine/>
    <w:qFormat/>
    <w:uiPriority w:val="99"/>
    <w:rPr>
      <w:b/>
      <w:bCs/>
      <w:i/>
      <w:iCs/>
      <w:color w:val="4F81BD"/>
      <w:kern w:val="2"/>
      <w:sz w:val="21"/>
      <w:szCs w:val="24"/>
    </w:rPr>
  </w:style>
  <w:style w:type="character" w:customStyle="1" w:styleId="262">
    <w:name w:val="15"/>
    <w:autoRedefine/>
    <w:qFormat/>
    <w:uiPriority w:val="0"/>
    <w:rPr>
      <w:rFonts w:hint="default" w:ascii="Calibri" w:hAnsi="Calibri" w:eastAsia="ヒラギノ角ゴ Pro W3" w:cs="Times New Roman"/>
      <w:color w:val="000000"/>
      <w:sz w:val="20"/>
      <w:szCs w:val="20"/>
      <w:lang w:val="en-US" w:eastAsia="zh-CN" w:bidi="ar-SA"/>
    </w:rPr>
  </w:style>
  <w:style w:type="character" w:customStyle="1" w:styleId="263">
    <w:name w:val="引用 Char2"/>
    <w:autoRedefine/>
    <w:qFormat/>
    <w:uiPriority w:val="0"/>
    <w:rPr>
      <w:rFonts w:ascii="Times New Roman" w:hAnsi="Times New Roman" w:eastAsia="宋体" w:cs="Times New Roman"/>
      <w:i/>
      <w:iCs/>
      <w:color w:val="000000"/>
      <w:szCs w:val="24"/>
      <w:lang w:val="en-US" w:eastAsia="zh-CN" w:bidi="ar-SA"/>
    </w:rPr>
  </w:style>
  <w:style w:type="character" w:customStyle="1" w:styleId="264">
    <w:name w:val="ca-411"/>
    <w:autoRedefine/>
    <w:qFormat/>
    <w:uiPriority w:val="0"/>
    <w:rPr>
      <w:rFonts w:hint="eastAsia" w:ascii="宋体" w:hAnsi="宋体" w:eastAsia="宋体" w:cs="Times New Roman"/>
      <w:b/>
      <w:bCs/>
      <w:color w:val="000000"/>
      <w:spacing w:val="-20"/>
      <w:sz w:val="32"/>
      <w:szCs w:val="32"/>
      <w:lang w:val="en-US" w:eastAsia="zh-CN" w:bidi="ar-SA"/>
    </w:rPr>
  </w:style>
  <w:style w:type="character" w:customStyle="1" w:styleId="265">
    <w:name w:val="_Style 262"/>
    <w:autoRedefine/>
    <w:qFormat/>
    <w:uiPriority w:val="0"/>
    <w:rPr>
      <w:rFonts w:ascii="Calibri" w:hAnsi="Calibri" w:eastAsia="宋体" w:cs="Times New Roman"/>
      <w:smallCaps/>
      <w:color w:val="C0504D"/>
      <w:u w:val="single"/>
      <w:lang w:val="en-US" w:eastAsia="zh-CN" w:bidi="ar-SA"/>
    </w:rPr>
  </w:style>
  <w:style w:type="character" w:customStyle="1" w:styleId="266">
    <w:name w:val="标题5 Char Char"/>
    <w:link w:val="267"/>
    <w:autoRedefine/>
    <w:qFormat/>
    <w:uiPriority w:val="0"/>
    <w:rPr>
      <w:rFonts w:ascii="Arial" w:hAnsi="Arial"/>
      <w:b/>
      <w:bCs/>
      <w:sz w:val="24"/>
      <w:szCs w:val="32"/>
    </w:rPr>
  </w:style>
  <w:style w:type="paragraph" w:customStyle="1" w:styleId="267">
    <w:name w:val="标题5"/>
    <w:basedOn w:val="4"/>
    <w:link w:val="266"/>
    <w:autoRedefine/>
    <w:qFormat/>
    <w:uiPriority w:val="0"/>
    <w:pPr>
      <w:spacing w:line="413" w:lineRule="auto"/>
    </w:pPr>
    <w:rPr>
      <w:rFonts w:ascii="Arial" w:hAnsi="Arial"/>
      <w:sz w:val="24"/>
    </w:rPr>
  </w:style>
  <w:style w:type="character" w:customStyle="1" w:styleId="268">
    <w:name w:val="_Style 265"/>
    <w:autoRedefine/>
    <w:qFormat/>
    <w:uiPriority w:val="0"/>
    <w:rPr>
      <w:rFonts w:ascii="Calibri" w:hAnsi="Calibri" w:eastAsia="宋体" w:cs="Times New Roman"/>
      <w:b/>
      <w:bCs/>
      <w:smallCaps/>
      <w:spacing w:val="5"/>
      <w:lang w:val="en-US" w:eastAsia="zh-CN" w:bidi="ar-SA"/>
    </w:rPr>
  </w:style>
  <w:style w:type="character" w:customStyle="1" w:styleId="269">
    <w:name w:val="Heading 6 Char_db877e95-9b68-4d7d-bffa-71b94bfb0767"/>
    <w:autoRedefine/>
    <w:qFormat/>
    <w:uiPriority w:val="0"/>
    <w:rPr>
      <w:rFonts w:ascii="Arial" w:hAnsi="Arial" w:eastAsia="黑体" w:cs="Times New Roman"/>
      <w:b/>
      <w:bCs/>
      <w:sz w:val="24"/>
      <w:szCs w:val="24"/>
      <w:lang w:val="en-US" w:eastAsia="zh-CN" w:bidi="ar-SA"/>
    </w:rPr>
  </w:style>
  <w:style w:type="character" w:customStyle="1" w:styleId="270">
    <w:name w:val="Char Char2"/>
    <w:autoRedefine/>
    <w:qFormat/>
    <w:uiPriority w:val="0"/>
    <w:rPr>
      <w:rFonts w:ascii="Calibri" w:hAnsi="Calibri" w:eastAsia="宋体" w:cs="Times New Roman"/>
      <w:kern w:val="2"/>
      <w:sz w:val="21"/>
      <w:szCs w:val="24"/>
      <w:lang w:val="en-US" w:eastAsia="zh-CN" w:bidi="ar-SA"/>
    </w:rPr>
  </w:style>
  <w:style w:type="character" w:customStyle="1" w:styleId="271">
    <w:name w:val="Char Char14"/>
    <w:autoRedefine/>
    <w:qFormat/>
    <w:uiPriority w:val="0"/>
    <w:rPr>
      <w:rFonts w:ascii="Calibri" w:hAnsi="Calibri" w:eastAsia="宋体" w:cs="Times New Roman"/>
      <w:kern w:val="2"/>
      <w:sz w:val="18"/>
      <w:szCs w:val="18"/>
      <w:lang w:val="en-US" w:eastAsia="zh-CN" w:bidi="ar-SA"/>
    </w:rPr>
  </w:style>
  <w:style w:type="character" w:customStyle="1" w:styleId="272">
    <w:name w:val="_Style 269"/>
    <w:autoRedefine/>
    <w:qFormat/>
    <w:uiPriority w:val="0"/>
    <w:rPr>
      <w:rFonts w:ascii="Calibri" w:hAnsi="Calibri" w:eastAsia="宋体" w:cs="Times New Roman"/>
      <w:b/>
      <w:bCs/>
      <w:i/>
      <w:iCs/>
      <w:color w:val="4F81BD"/>
      <w:lang w:val="en-US" w:eastAsia="zh-CN" w:bidi="ar-SA"/>
    </w:rPr>
  </w:style>
  <w:style w:type="character" w:customStyle="1" w:styleId="273">
    <w:name w:val="正文文字4 Char1"/>
    <w:autoRedefine/>
    <w:qFormat/>
    <w:uiPriority w:val="0"/>
    <w:rPr>
      <w:rFonts w:ascii="Calibri" w:hAnsi="Calibri" w:eastAsia="宋体" w:cs="Times New Roman"/>
      <w:kern w:val="2"/>
      <w:sz w:val="21"/>
      <w:szCs w:val="24"/>
      <w:lang w:val="en-US" w:eastAsia="zh-CN" w:bidi="ar-SA"/>
    </w:rPr>
  </w:style>
  <w:style w:type="character" w:customStyle="1" w:styleId="274">
    <w:name w:val="ca-331"/>
    <w:autoRedefine/>
    <w:qFormat/>
    <w:uiPriority w:val="0"/>
    <w:rPr>
      <w:rFonts w:hint="eastAsia" w:ascii="宋体" w:hAnsi="宋体" w:eastAsia="宋体" w:cs="Times New Roman"/>
      <w:b/>
      <w:bCs/>
      <w:color w:val="002060"/>
      <w:spacing w:val="-20"/>
      <w:sz w:val="20"/>
      <w:szCs w:val="20"/>
      <w:lang w:val="en-US" w:eastAsia="zh-CN" w:bidi="ar-SA"/>
    </w:rPr>
  </w:style>
  <w:style w:type="character" w:customStyle="1" w:styleId="275">
    <w:name w:val="street-address"/>
    <w:autoRedefine/>
    <w:qFormat/>
    <w:uiPriority w:val="0"/>
    <w:rPr>
      <w:rFonts w:ascii="Calibri" w:hAnsi="Calibri" w:eastAsia="宋体" w:cs="Times New Roman"/>
      <w:lang w:val="en-US" w:eastAsia="zh-CN" w:bidi="ar-SA"/>
    </w:rPr>
  </w:style>
  <w:style w:type="character" w:customStyle="1" w:styleId="276">
    <w:name w:val="Char Char20"/>
    <w:autoRedefine/>
    <w:qFormat/>
    <w:uiPriority w:val="0"/>
    <w:rPr>
      <w:rFonts w:ascii="Arial" w:hAnsi="Arial" w:eastAsia="黑体" w:cs="Times New Roman"/>
      <w:kern w:val="2"/>
      <w:sz w:val="24"/>
      <w:szCs w:val="24"/>
      <w:lang w:val="en-US" w:eastAsia="zh-CN" w:bidi="ar-SA"/>
    </w:rPr>
  </w:style>
  <w:style w:type="character" w:customStyle="1" w:styleId="277">
    <w:name w:val="_Style 274"/>
    <w:autoRedefine/>
    <w:qFormat/>
    <w:uiPriority w:val="0"/>
    <w:rPr>
      <w:rFonts w:ascii="Calibri" w:hAnsi="Calibri" w:eastAsia="宋体" w:cs="Times New Roman"/>
      <w:i/>
      <w:iCs/>
      <w:color w:val="808080"/>
      <w:lang w:val="en-US" w:eastAsia="zh-CN" w:bidi="ar-SA"/>
    </w:rPr>
  </w:style>
  <w:style w:type="character" w:customStyle="1" w:styleId="278">
    <w:name w:val="Char Char Char Char Char Char Char Char Char"/>
    <w:autoRedefine/>
    <w:qFormat/>
    <w:uiPriority w:val="0"/>
    <w:rPr>
      <w:rFonts w:ascii="Calibri" w:hAnsi="Calibri" w:eastAsia="宋体" w:cs="Times New Roman"/>
      <w:kern w:val="2"/>
      <w:sz w:val="21"/>
      <w:szCs w:val="24"/>
      <w:lang w:val="en-US" w:eastAsia="zh-CN" w:bidi="ar-SA"/>
    </w:rPr>
  </w:style>
  <w:style w:type="character" w:customStyle="1" w:styleId="279">
    <w:name w:val="by jerry Char2"/>
    <w:autoRedefine/>
    <w:qFormat/>
    <w:uiPriority w:val="0"/>
    <w:rPr>
      <w:rFonts w:ascii="Calibri" w:hAnsi="Calibri" w:eastAsia="宋体" w:cs="Times New Roman"/>
      <w:b/>
      <w:bCs/>
      <w:kern w:val="44"/>
      <w:sz w:val="44"/>
      <w:szCs w:val="44"/>
      <w:lang w:val="en-US" w:eastAsia="zh-CN" w:bidi="ar-SA"/>
    </w:rPr>
  </w:style>
  <w:style w:type="character" w:customStyle="1" w:styleId="280">
    <w:name w:val="正文文本 Char1"/>
    <w:autoRedefine/>
    <w:qFormat/>
    <w:uiPriority w:val="0"/>
    <w:rPr>
      <w:rFonts w:ascii="Calibri" w:hAnsi="Calibri" w:eastAsia="宋体" w:cs="Times New Roman"/>
      <w:kern w:val="2"/>
      <w:sz w:val="21"/>
      <w:szCs w:val="22"/>
      <w:lang w:val="en-US" w:eastAsia="zh-CN" w:bidi="ar-SA"/>
    </w:rPr>
  </w:style>
  <w:style w:type="character" w:customStyle="1" w:styleId="281">
    <w:name w:val="ca-321"/>
    <w:autoRedefine/>
    <w:qFormat/>
    <w:uiPriority w:val="0"/>
    <w:rPr>
      <w:rFonts w:hint="eastAsia" w:ascii="宋体" w:hAnsi="宋体" w:eastAsia="宋体" w:cs="Times New Roman"/>
      <w:b/>
      <w:bCs/>
      <w:color w:val="C00000"/>
      <w:spacing w:val="-20"/>
      <w:sz w:val="21"/>
      <w:szCs w:val="21"/>
      <w:lang w:val="en-US" w:eastAsia="zh-CN" w:bidi="ar-SA"/>
    </w:rPr>
  </w:style>
  <w:style w:type="character" w:customStyle="1" w:styleId="282">
    <w:name w:val="ca-311"/>
    <w:autoRedefine/>
    <w:qFormat/>
    <w:uiPriority w:val="0"/>
    <w:rPr>
      <w:rFonts w:hint="default" w:ascii="??" w:hAnsi="??" w:eastAsia="宋体" w:cs="Times New Roman"/>
      <w:color w:val="000000"/>
      <w:sz w:val="21"/>
      <w:szCs w:val="21"/>
      <w:lang w:val="en-US" w:eastAsia="zh-CN" w:bidi="ar-SA"/>
    </w:rPr>
  </w:style>
  <w:style w:type="character" w:customStyle="1" w:styleId="283">
    <w:name w:val="标题 6 Char1"/>
    <w:autoRedefine/>
    <w:qFormat/>
    <w:uiPriority w:val="0"/>
    <w:rPr>
      <w:rFonts w:ascii="Arial" w:hAnsi="Arial" w:eastAsia="黑体" w:cs="Times New Roman"/>
      <w:b/>
      <w:bCs/>
      <w:sz w:val="24"/>
      <w:szCs w:val="24"/>
      <w:lang w:val="en-US" w:eastAsia="zh-CN" w:bidi="ar-SA"/>
    </w:rPr>
  </w:style>
  <w:style w:type="character" w:customStyle="1" w:styleId="284">
    <w:name w:val="Header Char_1a1829e6-9c3a-4163-8a02-9b18c7d2bda0"/>
    <w:autoRedefine/>
    <w:qFormat/>
    <w:uiPriority w:val="0"/>
    <w:rPr>
      <w:rFonts w:ascii="Calibri" w:hAnsi="Calibri" w:eastAsia="宋体" w:cs="Times New Roman"/>
      <w:kern w:val="2"/>
      <w:sz w:val="18"/>
      <w:szCs w:val="18"/>
      <w:lang w:val="en-US" w:eastAsia="zh-CN" w:bidi="ar-SA"/>
    </w:rPr>
  </w:style>
  <w:style w:type="character" w:customStyle="1" w:styleId="285">
    <w:name w:val="Title Char_47cfa814-2150-4526-affc-fa14fb5789ad"/>
    <w:autoRedefine/>
    <w:qFormat/>
    <w:uiPriority w:val="0"/>
    <w:rPr>
      <w:rFonts w:ascii="Arial" w:hAnsi="Arial" w:eastAsia="宋体" w:cs="Times New Roman"/>
      <w:b/>
      <w:sz w:val="32"/>
      <w:lang w:val="en-US" w:eastAsia="zh-CN" w:bidi="ar-SA"/>
    </w:rPr>
  </w:style>
  <w:style w:type="character" w:customStyle="1" w:styleId="286">
    <w:name w:val="Char Char23"/>
    <w:autoRedefine/>
    <w:qFormat/>
    <w:uiPriority w:val="0"/>
    <w:rPr>
      <w:rFonts w:ascii="Calibri" w:hAnsi="Calibri" w:eastAsia="宋体" w:cs="Times New Roman"/>
      <w:b/>
      <w:bCs/>
      <w:kern w:val="2"/>
      <w:sz w:val="28"/>
      <w:szCs w:val="28"/>
      <w:lang w:val="en-US" w:eastAsia="zh-CN" w:bidi="ar-SA"/>
    </w:rPr>
  </w:style>
  <w:style w:type="character" w:customStyle="1" w:styleId="287">
    <w:name w:val="class4"/>
    <w:autoRedefine/>
    <w:qFormat/>
    <w:uiPriority w:val="0"/>
  </w:style>
  <w:style w:type="character" w:customStyle="1" w:styleId="288">
    <w:name w:val="class3"/>
    <w:autoRedefine/>
    <w:qFormat/>
    <w:uiPriority w:val="0"/>
  </w:style>
  <w:style w:type="character" w:customStyle="1" w:styleId="289">
    <w:name w:val="style41"/>
    <w:autoRedefine/>
    <w:qFormat/>
    <w:uiPriority w:val="0"/>
    <w:rPr>
      <w:sz w:val="18"/>
      <w:szCs w:val="18"/>
    </w:rPr>
  </w:style>
  <w:style w:type="character" w:customStyle="1" w:styleId="290">
    <w:name w:val="by jerry Char1"/>
    <w:autoRedefine/>
    <w:qFormat/>
    <w:uiPriority w:val="0"/>
    <w:rPr>
      <w:rFonts w:ascii="Calibri" w:hAnsi="Calibri" w:eastAsia="宋体" w:cs="Times New Roman"/>
      <w:b/>
      <w:bCs/>
      <w:kern w:val="44"/>
      <w:sz w:val="32"/>
      <w:szCs w:val="44"/>
      <w:lang w:val="en-US" w:eastAsia="zh-CN" w:bidi="ar-SA"/>
    </w:rPr>
  </w:style>
  <w:style w:type="character" w:customStyle="1" w:styleId="291">
    <w:name w:val="Heading 9 Char_fb7acae8-9d57-4a6c-8170-a95852496e7e"/>
    <w:autoRedefine/>
    <w:qFormat/>
    <w:uiPriority w:val="0"/>
    <w:rPr>
      <w:rFonts w:ascii="Arial" w:hAnsi="Arial" w:eastAsia="黑体" w:cs="Times New Roman"/>
      <w:sz w:val="21"/>
      <w:szCs w:val="21"/>
      <w:lang w:val="en-US" w:eastAsia="zh-CN" w:bidi="ar-SA"/>
    </w:rPr>
  </w:style>
  <w:style w:type="character" w:customStyle="1" w:styleId="292">
    <w:name w:val="正文文本缩进 2 Char Char"/>
    <w:autoRedefine/>
    <w:qFormat/>
    <w:uiPriority w:val="0"/>
    <w:rPr>
      <w:rFonts w:ascii="Times New Roman" w:hAnsi="Times New Roman" w:eastAsia="宋体" w:cs="Times New Roman"/>
      <w:szCs w:val="24"/>
      <w:lang w:val="en-US" w:eastAsia="zh-CN" w:bidi="ar-SA"/>
    </w:rPr>
  </w:style>
  <w:style w:type="character" w:customStyle="1" w:styleId="293">
    <w:name w:val="ca-191"/>
    <w:autoRedefine/>
    <w:qFormat/>
    <w:uiPriority w:val="0"/>
    <w:rPr>
      <w:rFonts w:hint="default" w:ascii="Times New Roman" w:hAnsi="Times New Roman" w:eastAsia="宋体" w:cs="Times New Roman"/>
      <w:sz w:val="18"/>
      <w:szCs w:val="18"/>
      <w:lang w:val="en-US" w:eastAsia="zh-CN" w:bidi="ar-SA"/>
    </w:rPr>
  </w:style>
  <w:style w:type="character" w:customStyle="1" w:styleId="294">
    <w:name w:val="style13"/>
    <w:autoRedefine/>
    <w:qFormat/>
    <w:uiPriority w:val="0"/>
    <w:rPr>
      <w:rFonts w:ascii="Calibri" w:hAnsi="Calibri" w:eastAsia="宋体" w:cs="Times New Roman"/>
      <w:lang w:val="en-US" w:eastAsia="zh-CN" w:bidi="ar-SA"/>
    </w:rPr>
  </w:style>
  <w:style w:type="character" w:customStyle="1" w:styleId="295">
    <w:name w:val="批注主题 Char3"/>
    <w:autoRedefine/>
    <w:qFormat/>
    <w:uiPriority w:val="0"/>
    <w:rPr>
      <w:rFonts w:ascii="Calibri" w:hAnsi="Calibri" w:eastAsia="宋体" w:cs="Times New Roman"/>
      <w:b/>
      <w:bCs/>
      <w:kern w:val="2"/>
      <w:sz w:val="21"/>
      <w:szCs w:val="24"/>
      <w:lang w:val="en-US" w:eastAsia="zh-CN" w:bidi="ar-SA"/>
    </w:rPr>
  </w:style>
  <w:style w:type="character" w:customStyle="1" w:styleId="296">
    <w:name w:val="Para head"/>
    <w:autoRedefine/>
    <w:qFormat/>
    <w:uiPriority w:val="0"/>
    <w:rPr>
      <w:rFonts w:ascii="Arial" w:hAnsi="Arial" w:eastAsia="Times New Roman" w:cs="Times New Roman"/>
      <w:sz w:val="20"/>
      <w:lang w:val="en-US" w:eastAsia="zh-CN" w:bidi="ar-SA"/>
    </w:rPr>
  </w:style>
  <w:style w:type="character" w:customStyle="1" w:styleId="297">
    <w:name w:val="zbggmain style9"/>
    <w:autoRedefine/>
    <w:qFormat/>
    <w:uiPriority w:val="0"/>
    <w:rPr>
      <w:rFonts w:ascii="Calibri" w:hAnsi="Calibri" w:eastAsia="宋体" w:cs="Times New Roman"/>
      <w:lang w:val="en-US" w:eastAsia="zh-CN" w:bidi="ar-SA"/>
    </w:rPr>
  </w:style>
  <w:style w:type="character" w:customStyle="1" w:styleId="298">
    <w:name w:val="手改 Char Char"/>
    <w:autoRedefine/>
    <w:qFormat/>
    <w:uiPriority w:val="0"/>
    <w:rPr>
      <w:rFonts w:ascii="Calibri" w:hAnsi="Calibri" w:eastAsia="宋体" w:cs="Times New Roman"/>
      <w:kern w:val="2"/>
      <w:sz w:val="21"/>
      <w:szCs w:val="24"/>
      <w:lang w:val="en-US" w:eastAsia="zh-CN" w:bidi="ar-SA"/>
    </w:rPr>
  </w:style>
  <w:style w:type="character" w:customStyle="1" w:styleId="299">
    <w:name w:val="Char Char18"/>
    <w:autoRedefine/>
    <w:qFormat/>
    <w:uiPriority w:val="0"/>
    <w:rPr>
      <w:rFonts w:ascii="宋体" w:hAnsi="Courier New" w:eastAsia="宋体" w:cs="Times New Roman"/>
      <w:kern w:val="2"/>
      <w:sz w:val="21"/>
      <w:lang w:val="en-US" w:eastAsia="zh-CN" w:bidi="ar-SA"/>
    </w:rPr>
  </w:style>
  <w:style w:type="character" w:customStyle="1" w:styleId="300">
    <w:name w:val="列表段落 字符"/>
    <w:link w:val="301"/>
    <w:autoRedefine/>
    <w:qFormat/>
    <w:uiPriority w:val="0"/>
    <w:rPr>
      <w:rFonts w:ascii="Calibri" w:hAnsi="Calibri" w:eastAsia="宋体" w:cs="Times New Roman"/>
      <w:sz w:val="22"/>
      <w:szCs w:val="22"/>
      <w:lang w:val="en-US" w:eastAsia="en-US" w:bidi="en-US"/>
    </w:rPr>
  </w:style>
  <w:style w:type="paragraph" w:customStyle="1" w:styleId="301">
    <w:name w:val="_Style 653"/>
    <w:basedOn w:val="1"/>
    <w:next w:val="232"/>
    <w:link w:val="300"/>
    <w:autoRedefine/>
    <w:qFormat/>
    <w:uiPriority w:val="0"/>
    <w:pPr>
      <w:widowControl/>
      <w:ind w:left="720" w:firstLine="360"/>
      <w:contextualSpacing/>
      <w:jc w:val="left"/>
    </w:pPr>
    <w:rPr>
      <w:rFonts w:ascii="Calibri" w:hAnsi="Calibri"/>
      <w:kern w:val="0"/>
      <w:sz w:val="22"/>
      <w:szCs w:val="22"/>
      <w:lang w:eastAsia="en-US" w:bidi="en-US"/>
    </w:rPr>
  </w:style>
  <w:style w:type="character" w:customStyle="1" w:styleId="302">
    <w:name w:val="Footer-Even Char"/>
    <w:autoRedefine/>
    <w:qFormat/>
    <w:uiPriority w:val="0"/>
    <w:rPr>
      <w:rFonts w:ascii="Calibri" w:hAnsi="Calibri" w:eastAsia="宋体" w:cs="Times New Roman"/>
      <w:kern w:val="2"/>
      <w:sz w:val="18"/>
      <w:szCs w:val="18"/>
      <w:lang w:val="en-US" w:eastAsia="zh-CN" w:bidi="ar-SA"/>
    </w:rPr>
  </w:style>
  <w:style w:type="character" w:customStyle="1" w:styleId="303">
    <w:name w:val="样式 正文缩进正文（首行缩进两字）特点ALT+Z表正文正文非缩进四号段1Normal Indent Char2... Char Char"/>
    <w:autoRedefine/>
    <w:qFormat/>
    <w:uiPriority w:val="0"/>
    <w:rPr>
      <w:rFonts w:ascii="Arial" w:hAnsi="Arial" w:eastAsia="宋体" w:cs="Times New Roman"/>
      <w:b/>
      <w:bCs/>
      <w:kern w:val="2"/>
      <w:sz w:val="24"/>
      <w:szCs w:val="32"/>
      <w:lang w:val="en-US" w:eastAsia="zh-CN" w:bidi="ar-SA"/>
    </w:rPr>
  </w:style>
  <w:style w:type="character" w:customStyle="1" w:styleId="304">
    <w:name w:val="ca-91"/>
    <w:autoRedefine/>
    <w:qFormat/>
    <w:uiPriority w:val="0"/>
    <w:rPr>
      <w:rFonts w:hint="eastAsia" w:ascii="楷体_GB2312" w:hAnsi="Calibri" w:eastAsia="楷体_GB2312" w:cs="Times New Roman"/>
      <w:color w:val="000000"/>
      <w:spacing w:val="20"/>
      <w:sz w:val="96"/>
      <w:szCs w:val="96"/>
      <w:lang w:val="en-US" w:eastAsia="zh-CN" w:bidi="ar-SA"/>
    </w:rPr>
  </w:style>
  <w:style w:type="character" w:customStyle="1" w:styleId="305">
    <w:name w:val="页眉 Char1"/>
    <w:autoRedefine/>
    <w:qFormat/>
    <w:uiPriority w:val="0"/>
    <w:rPr>
      <w:rFonts w:ascii="Times New Roman" w:hAnsi="Times New Roman" w:eastAsia="仿宋_GB2312" w:cs="Times New Roman"/>
      <w:sz w:val="18"/>
      <w:szCs w:val="20"/>
      <w:lang w:val="en-US" w:eastAsia="zh-CN" w:bidi="ar-SA"/>
    </w:rPr>
  </w:style>
  <w:style w:type="character" w:customStyle="1" w:styleId="306">
    <w:name w:val="ca-521"/>
    <w:autoRedefine/>
    <w:qFormat/>
    <w:uiPriority w:val="0"/>
    <w:rPr>
      <w:rFonts w:hint="eastAsia" w:ascii="宋体" w:hAnsi="宋体" w:eastAsia="宋体" w:cs="Times New Roman"/>
      <w:b/>
      <w:bCs/>
      <w:spacing w:val="-20"/>
      <w:sz w:val="36"/>
      <w:szCs w:val="36"/>
      <w:lang w:val="en-US" w:eastAsia="zh-CN" w:bidi="ar-SA"/>
    </w:rPr>
  </w:style>
  <w:style w:type="character" w:customStyle="1" w:styleId="307">
    <w:name w:val="ca-211"/>
    <w:autoRedefine/>
    <w:qFormat/>
    <w:uiPriority w:val="0"/>
    <w:rPr>
      <w:rFonts w:hint="eastAsia" w:ascii="宋体" w:hAnsi="宋体" w:eastAsia="宋体" w:cs="Times New Roman"/>
      <w:color w:val="000000"/>
      <w:sz w:val="21"/>
      <w:szCs w:val="21"/>
      <w:lang w:val="en-US" w:eastAsia="zh-CN" w:bidi="ar-SA"/>
    </w:rPr>
  </w:style>
  <w:style w:type="character" w:customStyle="1" w:styleId="308">
    <w:name w:val="彩色列表 - 强调文字颜色 1字符"/>
    <w:autoRedefine/>
    <w:qFormat/>
    <w:uiPriority w:val="0"/>
    <w:rPr>
      <w:rFonts w:ascii="Calibri" w:hAnsi="Calibri" w:eastAsia="宋体" w:cs="Times New Roman"/>
      <w:kern w:val="2"/>
      <w:sz w:val="21"/>
      <w:lang w:val="en-US" w:eastAsia="zh-CN" w:bidi="ar-SA"/>
    </w:rPr>
  </w:style>
  <w:style w:type="character" w:customStyle="1" w:styleId="309">
    <w:name w:val="locality"/>
    <w:autoRedefine/>
    <w:qFormat/>
    <w:uiPriority w:val="0"/>
    <w:rPr>
      <w:rFonts w:ascii="Calibri" w:hAnsi="Calibri" w:eastAsia="宋体" w:cs="Times New Roman"/>
      <w:lang w:val="en-US" w:eastAsia="zh-CN" w:bidi="ar-SA"/>
    </w:rPr>
  </w:style>
  <w:style w:type="character" w:customStyle="1" w:styleId="310">
    <w:name w:val="Heading 3 Char_4f745f6d-346d-4706-9b31-4485dd8dff6a"/>
    <w:autoRedefine/>
    <w:qFormat/>
    <w:uiPriority w:val="0"/>
    <w:rPr>
      <w:rFonts w:ascii="Calibri" w:hAnsi="Calibri" w:eastAsia="宋体" w:cs="Times New Roman"/>
      <w:b/>
      <w:bCs/>
      <w:kern w:val="2"/>
      <w:sz w:val="32"/>
      <w:szCs w:val="32"/>
      <w:lang w:val="en-US" w:eastAsia="zh-CN" w:bidi="ar-SA"/>
    </w:rPr>
  </w:style>
  <w:style w:type="character" w:customStyle="1" w:styleId="311">
    <w:name w:val="Char Char211"/>
    <w:autoRedefine/>
    <w:qFormat/>
    <w:uiPriority w:val="0"/>
    <w:rPr>
      <w:rFonts w:ascii="Calibri" w:hAnsi="Calibri" w:eastAsia="宋体" w:cs="Times New Roman"/>
      <w:b/>
      <w:bCs/>
      <w:kern w:val="2"/>
      <w:sz w:val="24"/>
      <w:szCs w:val="24"/>
      <w:lang w:val="en-US" w:eastAsia="zh-CN" w:bidi="ar-SA"/>
    </w:rPr>
  </w:style>
  <w:style w:type="character" w:customStyle="1" w:styleId="312">
    <w:name w:val="文档结构图 Char3"/>
    <w:autoRedefine/>
    <w:semiHidden/>
    <w:qFormat/>
    <w:uiPriority w:val="99"/>
    <w:rPr>
      <w:rFonts w:ascii="宋体"/>
      <w:kern w:val="2"/>
      <w:sz w:val="18"/>
      <w:szCs w:val="18"/>
    </w:rPr>
  </w:style>
  <w:style w:type="character" w:customStyle="1" w:styleId="313">
    <w:name w:val="称呼 Char1"/>
    <w:autoRedefine/>
    <w:qFormat/>
    <w:uiPriority w:val="0"/>
    <w:rPr>
      <w:rFonts w:ascii="Times New Roman" w:hAnsi="Times New Roman" w:eastAsia="宋体" w:cs="Times New Roman"/>
      <w:kern w:val="2"/>
      <w:sz w:val="21"/>
      <w:szCs w:val="24"/>
      <w:lang w:val="en-US" w:eastAsia="zh-CN" w:bidi="ar-SA"/>
    </w:rPr>
  </w:style>
  <w:style w:type="character" w:customStyle="1" w:styleId="314">
    <w:name w:val="内文正文 Char"/>
    <w:autoRedefine/>
    <w:qFormat/>
    <w:uiPriority w:val="0"/>
    <w:rPr>
      <w:rFonts w:ascii="宋体" w:hAnsi="???|CS?o｡ﾀ?" w:eastAsia="宋体" w:cs="Times New Roman"/>
      <w:sz w:val="21"/>
      <w:szCs w:val="28"/>
      <w:lang w:val="en-US" w:eastAsia="zh-CN" w:bidi="ar-SA"/>
    </w:rPr>
  </w:style>
  <w:style w:type="character" w:customStyle="1" w:styleId="315">
    <w:name w:val="样式 正文文本 Char"/>
    <w:autoRedefine/>
    <w:qFormat/>
    <w:uiPriority w:val="0"/>
    <w:rPr>
      <w:rFonts w:ascii="Arial" w:hAnsi="Arial" w:eastAsia="宋体" w:cs="宋体"/>
      <w:color w:val="000000"/>
      <w:kern w:val="2"/>
      <w:sz w:val="21"/>
      <w:lang w:val="en-US" w:eastAsia="zh-CN" w:bidi="ar-SA"/>
    </w:rPr>
  </w:style>
  <w:style w:type="character" w:customStyle="1" w:styleId="316">
    <w:name w:val="正文文本缩进 2 字符"/>
    <w:autoRedefine/>
    <w:qFormat/>
    <w:uiPriority w:val="0"/>
    <w:rPr>
      <w:rFonts w:ascii="仿宋_GB2312" w:hAnsi="宋体" w:eastAsia="宋体" w:cs="Arial"/>
      <w:b/>
      <w:bCs/>
      <w:color w:val="000000"/>
      <w:sz w:val="24"/>
      <w:szCs w:val="24"/>
      <w:lang w:val="en-US" w:eastAsia="zh-CN" w:bidi="ar-SA"/>
    </w:rPr>
  </w:style>
  <w:style w:type="character" w:customStyle="1" w:styleId="317">
    <w:name w:val="正文文本 3 Char1"/>
    <w:autoRedefine/>
    <w:qFormat/>
    <w:uiPriority w:val="0"/>
    <w:rPr>
      <w:rFonts w:ascii="Times New Roman" w:hAnsi="宋体" w:eastAsia="仿宋_GB2312" w:cs="Times New Roman"/>
      <w:b/>
      <w:bCs/>
      <w:sz w:val="24"/>
      <w:szCs w:val="20"/>
      <w:lang w:val="en-US" w:eastAsia="zh-CN" w:bidi="ar-SA"/>
    </w:rPr>
  </w:style>
  <w:style w:type="character" w:customStyle="1" w:styleId="318">
    <w:name w:val="批注主题 字符"/>
    <w:autoRedefine/>
    <w:qFormat/>
    <w:uiPriority w:val="0"/>
    <w:rPr>
      <w:rFonts w:ascii="Times New Roman" w:hAnsi="Times New Roman" w:eastAsia="宋体" w:cs="Times New Roman"/>
      <w:b/>
      <w:bCs/>
      <w:szCs w:val="20"/>
      <w:lang w:val="en-US" w:eastAsia="zh-CN" w:bidi="ar-SA"/>
    </w:rPr>
  </w:style>
  <w:style w:type="character" w:customStyle="1" w:styleId="319">
    <w:name w:val="正文文本缩进 3 字符"/>
    <w:autoRedefine/>
    <w:qFormat/>
    <w:uiPriority w:val="0"/>
    <w:rPr>
      <w:rFonts w:ascii="仿宋_GB2312" w:hAnsi="宋体" w:eastAsia="仿宋_GB2312" w:cs="Times New Roman"/>
      <w:color w:val="000000"/>
      <w:sz w:val="24"/>
      <w:szCs w:val="24"/>
      <w:lang w:val="en-US" w:eastAsia="zh-CN" w:bidi="ar-SA"/>
    </w:rPr>
  </w:style>
  <w:style w:type="character" w:customStyle="1" w:styleId="320">
    <w:name w:val="font11"/>
    <w:basedOn w:val="62"/>
    <w:autoRedefine/>
    <w:qFormat/>
    <w:uiPriority w:val="0"/>
    <w:rPr>
      <w:rFonts w:hint="default" w:ascii="Tahoma" w:hAnsi="Tahoma" w:eastAsia="Tahoma" w:cs="Tahoma"/>
      <w:color w:val="000000"/>
      <w:sz w:val="22"/>
      <w:szCs w:val="22"/>
      <w:u w:val="none"/>
      <w:lang w:val="en-US" w:eastAsia="zh-CN" w:bidi="ar-SA"/>
    </w:rPr>
  </w:style>
  <w:style w:type="character" w:customStyle="1" w:styleId="321">
    <w:name w:val="彩色底纹 - 强调文字颜色 3 Char"/>
    <w:link w:val="322"/>
    <w:autoRedefine/>
    <w:qFormat/>
    <w:uiPriority w:val="0"/>
    <w:rPr>
      <w:rFonts w:ascii="Calibri" w:hAnsi="Calibri"/>
      <w:kern w:val="2"/>
      <w:sz w:val="21"/>
    </w:rPr>
  </w:style>
  <w:style w:type="paragraph" w:customStyle="1" w:styleId="322">
    <w:name w:val="彩色底纹 - 强调文字颜色 31"/>
    <w:basedOn w:val="1"/>
    <w:link w:val="321"/>
    <w:autoRedefine/>
    <w:qFormat/>
    <w:uiPriority w:val="0"/>
    <w:pPr>
      <w:adjustRightInd w:val="0"/>
      <w:snapToGrid w:val="0"/>
      <w:spacing w:line="288" w:lineRule="auto"/>
      <w:ind w:firstLine="420" w:firstLineChars="200"/>
    </w:pPr>
    <w:rPr>
      <w:rFonts w:ascii="Calibri" w:hAnsi="Calibri"/>
      <w:szCs w:val="20"/>
    </w:rPr>
  </w:style>
  <w:style w:type="character" w:customStyle="1" w:styleId="323">
    <w:name w:val="批注框文本 字符"/>
    <w:autoRedefine/>
    <w:qFormat/>
    <w:uiPriority w:val="0"/>
    <w:rPr>
      <w:rFonts w:ascii="Times New Roman" w:hAnsi="Times New Roman" w:eastAsia="宋体" w:cs="Times New Roman"/>
      <w:sz w:val="18"/>
      <w:szCs w:val="18"/>
      <w:lang w:val="en-US" w:eastAsia="zh-CN" w:bidi="ar-SA"/>
    </w:rPr>
  </w:style>
  <w:style w:type="character" w:customStyle="1" w:styleId="324">
    <w:name w:val="正文文本 2 字符"/>
    <w:autoRedefine/>
    <w:qFormat/>
    <w:uiPriority w:val="0"/>
    <w:rPr>
      <w:rFonts w:ascii="宋体" w:hAnsi="宋体" w:eastAsia="宋体" w:cs="Times New Roman"/>
      <w:color w:val="000000"/>
      <w:sz w:val="24"/>
      <w:szCs w:val="24"/>
      <w:lang w:val="en-US" w:eastAsia="zh-CN" w:bidi="ar-SA"/>
    </w:rPr>
  </w:style>
  <w:style w:type="character" w:customStyle="1" w:styleId="325">
    <w:name w:val="正文文本 字符"/>
    <w:autoRedefine/>
    <w:qFormat/>
    <w:uiPriority w:val="0"/>
    <w:rPr>
      <w:rFonts w:ascii="Times New Roman" w:hAnsi="Times New Roman" w:eastAsia="宋体" w:cs="Times New Roman"/>
      <w:sz w:val="28"/>
      <w:szCs w:val="24"/>
      <w:lang w:val="en-US" w:eastAsia="zh-CN" w:bidi="ar-SA"/>
    </w:rPr>
  </w:style>
  <w:style w:type="character" w:customStyle="1" w:styleId="326">
    <w:name w:val="正文文本缩进 字符"/>
    <w:autoRedefine/>
    <w:qFormat/>
    <w:uiPriority w:val="0"/>
    <w:rPr>
      <w:rFonts w:ascii="宋体" w:hAnsi="Courier New" w:eastAsia="宋体" w:cs="Times New Roman"/>
      <w:spacing w:val="-4"/>
      <w:sz w:val="18"/>
      <w:szCs w:val="20"/>
      <w:lang w:val="en-US" w:eastAsia="zh-CN" w:bidi="ar-SA"/>
    </w:rPr>
  </w:style>
  <w:style w:type="character" w:customStyle="1" w:styleId="327">
    <w:name w:val="标题 5 字符"/>
    <w:autoRedefine/>
    <w:qFormat/>
    <w:uiPriority w:val="0"/>
    <w:rPr>
      <w:rFonts w:ascii="Times New Roman" w:hAnsi="Times New Roman" w:eastAsia="宋体" w:cs="Times New Roman"/>
      <w:b/>
      <w:bCs/>
      <w:sz w:val="28"/>
      <w:szCs w:val="28"/>
      <w:lang w:val="en-US" w:eastAsia="zh-CN" w:bidi="ar-SA"/>
    </w:rPr>
  </w:style>
  <w:style w:type="character" w:customStyle="1" w:styleId="328">
    <w:name w:val="font01"/>
    <w:autoRedefine/>
    <w:qFormat/>
    <w:uiPriority w:val="0"/>
    <w:rPr>
      <w:rFonts w:hint="eastAsia" w:ascii="宋体" w:hAnsi="宋体" w:eastAsia="宋体" w:cs="宋体"/>
      <w:color w:val="000000"/>
      <w:sz w:val="22"/>
      <w:szCs w:val="22"/>
      <w:u w:val="none"/>
      <w:lang w:val="en-US" w:eastAsia="zh-CN" w:bidi="ar-SA"/>
    </w:rPr>
  </w:style>
  <w:style w:type="character" w:customStyle="1" w:styleId="329">
    <w:name w:val="称呼 Char"/>
    <w:autoRedefine/>
    <w:qFormat/>
    <w:uiPriority w:val="0"/>
    <w:rPr>
      <w:kern w:val="2"/>
      <w:sz w:val="21"/>
      <w:szCs w:val="24"/>
    </w:rPr>
  </w:style>
  <w:style w:type="character" w:customStyle="1" w:styleId="330">
    <w:name w:val="样式 纯文本普通文字 Char纯文本 Char Char普通文字纯文本 Char Char Char Char Char...6 Char Char"/>
    <w:link w:val="331"/>
    <w:autoRedefine/>
    <w:qFormat/>
    <w:uiPriority w:val="0"/>
    <w:rPr>
      <w:rFonts w:ascii="宋体" w:hAnsi="Courier New" w:cs="Courier New"/>
      <w:color w:val="000000"/>
      <w:kern w:val="2"/>
      <w:sz w:val="21"/>
      <w:szCs w:val="21"/>
    </w:rPr>
  </w:style>
  <w:style w:type="paragraph" w:customStyle="1" w:styleId="331">
    <w:name w:val="样式 纯文本普通文字 Char纯文本 Char Char普通文字纯文本 Char Char Char Char Char...6"/>
    <w:basedOn w:val="32"/>
    <w:link w:val="330"/>
    <w:autoRedefine/>
    <w:qFormat/>
    <w:uiPriority w:val="0"/>
    <w:pPr>
      <w:spacing w:before="0" w:after="0" w:line="240" w:lineRule="auto"/>
    </w:pPr>
    <w:rPr>
      <w:color w:val="000000"/>
      <w:kern w:val="2"/>
      <w:sz w:val="21"/>
      <w:szCs w:val="21"/>
    </w:rPr>
  </w:style>
  <w:style w:type="character" w:customStyle="1" w:styleId="332">
    <w:name w:val="Char Char7"/>
    <w:autoRedefine/>
    <w:qFormat/>
    <w:uiPriority w:val="0"/>
    <w:rPr>
      <w:rFonts w:ascii="Arial" w:hAnsi="Arial" w:eastAsia="黑体" w:cs="Times New Roman"/>
      <w:b/>
      <w:bCs/>
      <w:kern w:val="2"/>
      <w:sz w:val="32"/>
      <w:szCs w:val="32"/>
      <w:lang w:val="en-US" w:eastAsia="zh-CN" w:bidi="ar-SA"/>
    </w:rPr>
  </w:style>
  <w:style w:type="character" w:customStyle="1" w:styleId="333">
    <w:name w:val="标题 9 字符"/>
    <w:autoRedefine/>
    <w:qFormat/>
    <w:uiPriority w:val="0"/>
    <w:rPr>
      <w:rFonts w:ascii="Arial" w:hAnsi="Arial" w:eastAsia="黑体" w:cs="Times New Roman"/>
      <w:lang w:val="en-US" w:eastAsia="zh-CN" w:bidi="ar-SA"/>
    </w:rPr>
  </w:style>
  <w:style w:type="character" w:customStyle="1" w:styleId="334">
    <w:name w:val="hui121"/>
    <w:autoRedefine/>
    <w:qFormat/>
    <w:uiPriority w:val="0"/>
    <w:rPr>
      <w:rFonts w:eastAsia="宋体"/>
      <w:color w:val="333333"/>
      <w:kern w:val="2"/>
      <w:sz w:val="18"/>
      <w:szCs w:val="18"/>
      <w:lang w:val="en-US" w:eastAsia="zh-CN" w:bidi="ar-SA"/>
    </w:rPr>
  </w:style>
  <w:style w:type="character" w:customStyle="1" w:styleId="335">
    <w:name w:val="HTML 预设格式 字符"/>
    <w:autoRedefine/>
    <w:qFormat/>
    <w:uiPriority w:val="0"/>
    <w:rPr>
      <w:rFonts w:ascii="宋体" w:hAnsi="宋体" w:eastAsia="宋体" w:cs="宋体"/>
      <w:kern w:val="0"/>
      <w:sz w:val="24"/>
      <w:szCs w:val="24"/>
      <w:lang w:val="en-US" w:eastAsia="zh-CN" w:bidi="ar-SA"/>
    </w:rPr>
  </w:style>
  <w:style w:type="character" w:customStyle="1" w:styleId="336">
    <w:name w:val="Char Char19"/>
    <w:autoRedefine/>
    <w:qFormat/>
    <w:uiPriority w:val="0"/>
    <w:rPr>
      <w:rFonts w:ascii="Arial" w:hAnsi="Arial" w:eastAsia="黑体" w:cs="Times New Roman"/>
      <w:kern w:val="2"/>
      <w:sz w:val="21"/>
      <w:szCs w:val="21"/>
      <w:lang w:val="en-US" w:eastAsia="zh-CN" w:bidi="ar-SA"/>
    </w:rPr>
  </w:style>
  <w:style w:type="character" w:customStyle="1" w:styleId="337">
    <w:name w:val="引用 Char3"/>
    <w:autoRedefine/>
    <w:qFormat/>
    <w:uiPriority w:val="99"/>
    <w:rPr>
      <w:i/>
      <w:iCs/>
      <w:color w:val="000000"/>
      <w:kern w:val="2"/>
      <w:sz w:val="21"/>
      <w:szCs w:val="24"/>
    </w:rPr>
  </w:style>
  <w:style w:type="character" w:customStyle="1" w:styleId="338">
    <w:name w:val="_Style 335"/>
    <w:autoRedefine/>
    <w:qFormat/>
    <w:uiPriority w:val="0"/>
    <w:rPr>
      <w:rFonts w:ascii="Calibri" w:hAnsi="Calibri" w:eastAsia="宋体" w:cs="Times New Roman"/>
      <w:b/>
      <w:bCs/>
      <w:smallCaps/>
      <w:color w:val="C0504D"/>
      <w:spacing w:val="5"/>
      <w:u w:val="single"/>
      <w:lang w:val="en-US" w:eastAsia="zh-CN" w:bidi="ar-SA"/>
    </w:rPr>
  </w:style>
  <w:style w:type="character" w:customStyle="1" w:styleId="339">
    <w:name w:val="正文文本缩进 2 Char1"/>
    <w:autoRedefine/>
    <w:qFormat/>
    <w:uiPriority w:val="0"/>
    <w:rPr>
      <w:rFonts w:ascii="Calibri" w:hAnsi="Calibri" w:eastAsia="宋体" w:cs="Times New Roman"/>
      <w:szCs w:val="24"/>
      <w:lang w:val="en-US" w:eastAsia="zh-CN" w:bidi="ar-SA"/>
    </w:rPr>
  </w:style>
  <w:style w:type="character" w:customStyle="1" w:styleId="340">
    <w:name w:val="ca-251"/>
    <w:autoRedefine/>
    <w:qFormat/>
    <w:uiPriority w:val="0"/>
    <w:rPr>
      <w:rFonts w:hint="default" w:ascii="Times New Roman" w:hAnsi="Times New Roman" w:eastAsia="宋体" w:cs="Times New Roman"/>
      <w:sz w:val="21"/>
      <w:szCs w:val="21"/>
      <w:lang w:val="en-US" w:eastAsia="zh-CN" w:bidi="ar-SA"/>
    </w:rPr>
  </w:style>
  <w:style w:type="character" w:customStyle="1" w:styleId="341">
    <w:name w:val="Char Char"/>
    <w:autoRedefine/>
    <w:qFormat/>
    <w:uiPriority w:val="0"/>
    <w:rPr>
      <w:rFonts w:ascii="Arial" w:hAnsi="Arial" w:eastAsia="黑体" w:cs="Times New Roman"/>
      <w:b/>
      <w:bCs/>
      <w:kern w:val="2"/>
      <w:sz w:val="32"/>
      <w:szCs w:val="32"/>
      <w:lang w:val="en-US" w:eastAsia="zh-CN" w:bidi="ar-SA"/>
    </w:rPr>
  </w:style>
  <w:style w:type="character" w:customStyle="1" w:styleId="342">
    <w:name w:val="ca-421"/>
    <w:autoRedefine/>
    <w:qFormat/>
    <w:uiPriority w:val="0"/>
    <w:rPr>
      <w:rFonts w:hint="eastAsia" w:ascii="宋体" w:hAnsi="宋体" w:eastAsia="宋体" w:cs="Times New Roman"/>
      <w:color w:val="000000"/>
      <w:sz w:val="36"/>
      <w:szCs w:val="36"/>
      <w:lang w:val="en-US" w:eastAsia="zh-CN" w:bidi="ar-SA"/>
    </w:rPr>
  </w:style>
  <w:style w:type="character" w:customStyle="1" w:styleId="343">
    <w:name w:val="页眉 Char Char"/>
    <w:autoRedefine/>
    <w:qFormat/>
    <w:uiPriority w:val="0"/>
    <w:rPr>
      <w:rFonts w:ascii="Times New Roman" w:hAnsi="Times New Roman" w:eastAsia="宋体" w:cs="Times New Roman"/>
      <w:sz w:val="18"/>
      <w:szCs w:val="18"/>
      <w:lang w:val="en-US" w:eastAsia="zh-CN" w:bidi="ar-SA"/>
    </w:rPr>
  </w:style>
  <w:style w:type="character" w:customStyle="1" w:styleId="344">
    <w:name w:val="ca-351"/>
    <w:autoRedefine/>
    <w:qFormat/>
    <w:uiPriority w:val="0"/>
    <w:rPr>
      <w:rFonts w:hint="default" w:ascii="Times New Roman" w:hAnsi="Times New Roman" w:eastAsia="宋体" w:cs="Times New Roman"/>
      <w:sz w:val="10"/>
      <w:szCs w:val="10"/>
      <w:lang w:val="en-US" w:eastAsia="zh-CN" w:bidi="ar-SA"/>
    </w:rPr>
  </w:style>
  <w:style w:type="character" w:customStyle="1" w:styleId="345">
    <w:name w:val="ca-281"/>
    <w:autoRedefine/>
    <w:qFormat/>
    <w:uiPriority w:val="0"/>
    <w:rPr>
      <w:rFonts w:hint="eastAsia" w:ascii="宋体" w:hAnsi="宋体" w:eastAsia="宋体" w:cs="Times New Roman"/>
      <w:color w:val="FF0000"/>
      <w:sz w:val="21"/>
      <w:szCs w:val="21"/>
      <w:lang w:val="en-US" w:eastAsia="zh-CN" w:bidi="ar-SA"/>
    </w:rPr>
  </w:style>
  <w:style w:type="character" w:customStyle="1" w:styleId="346">
    <w:name w:val="Char Char12"/>
    <w:autoRedefine/>
    <w:qFormat/>
    <w:uiPriority w:val="0"/>
    <w:rPr>
      <w:rFonts w:ascii="Courier New" w:hAnsi="Courier New" w:eastAsia="宋体" w:cs="Times New Roman"/>
      <w:kern w:val="2"/>
      <w:sz w:val="21"/>
      <w:lang w:val="en-US" w:eastAsia="zh-CN" w:bidi="ar-SA"/>
    </w:rPr>
  </w:style>
  <w:style w:type="character" w:customStyle="1" w:styleId="347">
    <w:name w:val="Char Char81"/>
    <w:autoRedefine/>
    <w:qFormat/>
    <w:uiPriority w:val="0"/>
    <w:rPr>
      <w:rFonts w:ascii="Calibri" w:hAnsi="Calibri" w:eastAsia="宋体" w:cs="Times New Roman"/>
      <w:kern w:val="2"/>
      <w:sz w:val="18"/>
      <w:szCs w:val="18"/>
      <w:lang w:val="en-US" w:eastAsia="zh-CN" w:bidi="ar-SA"/>
    </w:rPr>
  </w:style>
  <w:style w:type="character" w:customStyle="1" w:styleId="348">
    <w:name w:val="chs1"/>
    <w:autoRedefine/>
    <w:qFormat/>
    <w:uiPriority w:val="0"/>
    <w:rPr>
      <w:rFonts w:hint="default" w:ascii="Calibri" w:hAnsi="Calibri" w:eastAsia="宋体" w:cs="Times New Roman"/>
      <w:sz w:val="18"/>
      <w:szCs w:val="18"/>
      <w:lang w:val="en-US" w:eastAsia="zh-CN" w:bidi="ar-SA"/>
    </w:rPr>
  </w:style>
  <w:style w:type="character" w:customStyle="1" w:styleId="349">
    <w:name w:val="label_list1"/>
    <w:autoRedefine/>
    <w:qFormat/>
    <w:uiPriority w:val="0"/>
  </w:style>
  <w:style w:type="character" w:customStyle="1" w:styleId="350">
    <w:name w:val="ca-231"/>
    <w:autoRedefine/>
    <w:qFormat/>
    <w:uiPriority w:val="0"/>
    <w:rPr>
      <w:rFonts w:hint="default" w:ascii="Times New Roman" w:hAnsi="Times New Roman" w:eastAsia="宋体" w:cs="Times New Roman"/>
      <w:sz w:val="21"/>
      <w:szCs w:val="21"/>
      <w:lang w:val="en-US" w:eastAsia="zh-CN" w:bidi="ar-SA"/>
    </w:rPr>
  </w:style>
  <w:style w:type="character" w:customStyle="1" w:styleId="351">
    <w:name w:val="正文文字4 Char Char"/>
    <w:autoRedefine/>
    <w:qFormat/>
    <w:uiPriority w:val="0"/>
    <w:rPr>
      <w:rFonts w:ascii="Calibri" w:hAnsi="Calibri" w:eastAsia="宋体" w:cs="Times New Roman"/>
      <w:kern w:val="2"/>
      <w:sz w:val="21"/>
      <w:szCs w:val="24"/>
      <w:lang w:val="en-US" w:eastAsia="zh-CN" w:bidi="ar-SA"/>
    </w:rPr>
  </w:style>
  <w:style w:type="character" w:customStyle="1" w:styleId="352">
    <w:name w:val="页眉 Char2"/>
    <w:autoRedefine/>
    <w:qFormat/>
    <w:uiPriority w:val="0"/>
    <w:rPr>
      <w:rFonts w:ascii="Calibri" w:hAnsi="Calibri" w:eastAsia="宋体" w:cs="Times New Roman"/>
      <w:kern w:val="2"/>
      <w:sz w:val="18"/>
      <w:szCs w:val="18"/>
      <w:lang w:val="en-US" w:eastAsia="zh-CN" w:bidi="ar-SA"/>
    </w:rPr>
  </w:style>
  <w:style w:type="character" w:customStyle="1" w:styleId="353">
    <w:name w:val="批注框文本 Char1"/>
    <w:autoRedefine/>
    <w:qFormat/>
    <w:uiPriority w:val="0"/>
    <w:rPr>
      <w:rFonts w:ascii="Calibri" w:hAnsi="Calibri" w:eastAsia="宋体" w:cs="Times New Roman"/>
      <w:kern w:val="2"/>
      <w:sz w:val="18"/>
      <w:szCs w:val="18"/>
      <w:lang w:val="en-US" w:eastAsia="zh-CN" w:bidi="ar-SA"/>
    </w:rPr>
  </w:style>
  <w:style w:type="character" w:customStyle="1" w:styleId="354">
    <w:name w:val="副标题 Char2"/>
    <w:autoRedefine/>
    <w:qFormat/>
    <w:uiPriority w:val="11"/>
    <w:rPr>
      <w:rFonts w:ascii="Cambria" w:hAnsi="Cambria" w:cs="Times New Roman"/>
      <w:b/>
      <w:bCs/>
      <w:kern w:val="28"/>
      <w:sz w:val="32"/>
      <w:szCs w:val="32"/>
    </w:rPr>
  </w:style>
  <w:style w:type="character" w:customStyle="1" w:styleId="355">
    <w:name w:val="Char Char17"/>
    <w:autoRedefine/>
    <w:qFormat/>
    <w:uiPriority w:val="0"/>
    <w:rPr>
      <w:rFonts w:ascii="宋体" w:hAnsi="Calibri" w:eastAsia="宋体" w:cs="Times New Roman"/>
      <w:snapToGrid w:val="0"/>
      <w:color w:val="000000"/>
      <w:kern w:val="28"/>
      <w:sz w:val="28"/>
      <w:lang w:val="en-US" w:eastAsia="zh-CN" w:bidi="ar-SA"/>
    </w:rPr>
  </w:style>
  <w:style w:type="character" w:customStyle="1" w:styleId="356">
    <w:name w:val="明显引用 Char2"/>
    <w:autoRedefine/>
    <w:qFormat/>
    <w:uiPriority w:val="0"/>
    <w:rPr>
      <w:rFonts w:ascii="Times New Roman" w:hAnsi="Times New Roman" w:eastAsia="宋体" w:cs="Times New Roman"/>
      <w:b/>
      <w:bCs/>
      <w:i/>
      <w:iCs/>
      <w:color w:val="4F81BD"/>
      <w:szCs w:val="24"/>
      <w:lang w:val="en-US" w:eastAsia="zh-CN" w:bidi="ar-SA"/>
    </w:rPr>
  </w:style>
  <w:style w:type="character" w:customStyle="1" w:styleId="357">
    <w:name w:val="Body Text Char"/>
    <w:autoRedefine/>
    <w:qFormat/>
    <w:uiPriority w:val="0"/>
    <w:rPr>
      <w:rFonts w:ascii="Calibri" w:hAnsi="Calibri" w:eastAsia="宋体" w:cs="Times New Roman"/>
      <w:kern w:val="2"/>
      <w:sz w:val="21"/>
      <w:szCs w:val="24"/>
      <w:lang w:val="en-US" w:eastAsia="zh-CN" w:bidi="ar-SA"/>
    </w:rPr>
  </w:style>
  <w:style w:type="character" w:customStyle="1" w:styleId="358">
    <w:name w:val="正文文本缩进 2 Char2"/>
    <w:autoRedefine/>
    <w:qFormat/>
    <w:uiPriority w:val="0"/>
    <w:rPr>
      <w:rFonts w:ascii="仿宋_GB2312" w:hAnsi="宋体" w:eastAsia="宋体" w:cs="Arial"/>
      <w:b/>
      <w:bCs/>
      <w:color w:val="000000"/>
      <w:sz w:val="24"/>
      <w:szCs w:val="24"/>
      <w:lang w:val="en-US" w:eastAsia="zh-CN" w:bidi="ar-SA"/>
    </w:rPr>
  </w:style>
  <w:style w:type="character" w:customStyle="1" w:styleId="359">
    <w:name w:val="样式 正文文本 + 首行缩进:  2 字符 Char"/>
    <w:autoRedefine/>
    <w:qFormat/>
    <w:uiPriority w:val="0"/>
    <w:rPr>
      <w:rFonts w:ascii="Arial" w:hAnsi="Arial" w:eastAsia="宋体" w:cs="宋体"/>
      <w:kern w:val="2"/>
      <w:sz w:val="21"/>
      <w:lang w:val="en-US" w:eastAsia="zh-CN" w:bidi="ar-SA"/>
    </w:rPr>
  </w:style>
  <w:style w:type="character" w:customStyle="1" w:styleId="360">
    <w:name w:val="手改 Char Char2"/>
    <w:autoRedefine/>
    <w:qFormat/>
    <w:uiPriority w:val="0"/>
    <w:rPr>
      <w:rFonts w:ascii="Calibri" w:hAnsi="Calibri" w:eastAsia="宋体" w:cs="Times New Roman"/>
      <w:kern w:val="2"/>
      <w:sz w:val="21"/>
      <w:szCs w:val="24"/>
      <w:lang w:val="en-US" w:eastAsia="zh-CN" w:bidi="ar-SA"/>
    </w:rPr>
  </w:style>
  <w:style w:type="character" w:customStyle="1" w:styleId="361">
    <w:name w:val="Char Char28"/>
    <w:autoRedefine/>
    <w:qFormat/>
    <w:uiPriority w:val="0"/>
    <w:rPr>
      <w:rFonts w:ascii="Calibri" w:hAnsi="Calibri" w:eastAsia="宋体" w:cs="Times New Roman"/>
      <w:kern w:val="2"/>
      <w:sz w:val="18"/>
      <w:lang w:val="en-US" w:eastAsia="zh-CN" w:bidi="ar-SA"/>
    </w:rPr>
  </w:style>
  <w:style w:type="character" w:customStyle="1" w:styleId="362">
    <w:name w:val="Footer-Even Char2"/>
    <w:autoRedefine/>
    <w:qFormat/>
    <w:uiPriority w:val="0"/>
    <w:rPr>
      <w:rFonts w:ascii="Calibri" w:hAnsi="Calibri" w:eastAsia="宋体" w:cs="Times New Roman"/>
      <w:kern w:val="2"/>
      <w:sz w:val="18"/>
      <w:szCs w:val="18"/>
      <w:lang w:val="en-US" w:eastAsia="zh-CN" w:bidi="ar-SA"/>
    </w:rPr>
  </w:style>
  <w:style w:type="character" w:customStyle="1" w:styleId="363">
    <w:name w:val="by jerry Char3"/>
    <w:autoRedefine/>
    <w:qFormat/>
    <w:uiPriority w:val="0"/>
    <w:rPr>
      <w:rFonts w:ascii="Calibri" w:hAnsi="Calibri" w:eastAsia="宋体" w:cs="Times New Roman"/>
      <w:b/>
      <w:bCs/>
      <w:kern w:val="44"/>
      <w:sz w:val="44"/>
      <w:szCs w:val="44"/>
      <w:lang w:val="en-US" w:eastAsia="zh-CN" w:bidi="ar-SA"/>
    </w:rPr>
  </w:style>
  <w:style w:type="character" w:customStyle="1" w:styleId="364">
    <w:name w:val="op-map-singlepoint-info-right"/>
    <w:autoRedefine/>
    <w:qFormat/>
    <w:uiPriority w:val="0"/>
    <w:rPr>
      <w:rFonts w:ascii="Calibri" w:hAnsi="Calibri" w:eastAsia="宋体" w:cs="Times New Roman"/>
      <w:lang w:val="en-US" w:eastAsia="zh-CN" w:bidi="ar-SA"/>
    </w:rPr>
  </w:style>
  <w:style w:type="character" w:customStyle="1" w:styleId="365">
    <w:name w:val="脚注文本 Char1"/>
    <w:autoRedefine/>
    <w:qFormat/>
    <w:uiPriority w:val="0"/>
    <w:rPr>
      <w:rFonts w:ascii="Times New Roman" w:hAnsi="Times New Roman" w:eastAsia="宋体" w:cs="Times New Roman"/>
      <w:kern w:val="2"/>
      <w:sz w:val="18"/>
      <w:szCs w:val="18"/>
      <w:lang w:val="en-US" w:eastAsia="zh-CN" w:bidi="ar-SA"/>
    </w:rPr>
  </w:style>
  <w:style w:type="character" w:customStyle="1" w:styleId="366">
    <w:name w:val="浅色底纹 - 强调文字颜色 2 Char"/>
    <w:link w:val="367"/>
    <w:autoRedefine/>
    <w:qFormat/>
    <w:uiPriority w:val="0"/>
    <w:rPr>
      <w:rFonts w:ascii="Calibri" w:hAnsi="Calibri"/>
      <w:b/>
      <w:bCs/>
      <w:i/>
      <w:iCs/>
      <w:color w:val="4F81BD"/>
      <w:kern w:val="2"/>
      <w:sz w:val="21"/>
      <w:szCs w:val="22"/>
    </w:rPr>
  </w:style>
  <w:style w:type="paragraph" w:customStyle="1" w:styleId="367">
    <w:name w:val="浅色底纹 - 强调文字颜色 21"/>
    <w:basedOn w:val="1"/>
    <w:next w:val="1"/>
    <w:link w:val="366"/>
    <w:autoRedefine/>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368">
    <w:name w:val="by jerry Char"/>
    <w:autoRedefine/>
    <w:qFormat/>
    <w:uiPriority w:val="0"/>
    <w:rPr>
      <w:rFonts w:ascii="Calibri" w:hAnsi="Calibri" w:eastAsia="宋体" w:cs="Times New Roman"/>
      <w:b/>
      <w:bCs/>
      <w:kern w:val="44"/>
      <w:sz w:val="32"/>
      <w:szCs w:val="44"/>
      <w:lang w:val="en-US" w:eastAsia="zh-CN" w:bidi="ar-SA"/>
    </w:rPr>
  </w:style>
  <w:style w:type="character" w:customStyle="1" w:styleId="369">
    <w:name w:val="标准正文格式 Char"/>
    <w:link w:val="370"/>
    <w:autoRedefine/>
    <w:qFormat/>
    <w:locked/>
    <w:uiPriority w:val="0"/>
    <w:rPr>
      <w:rFonts w:ascii="宋体" w:hAnsi="Times New Roman" w:eastAsia="仿宋_GB2312" w:cs="宋体"/>
      <w:color w:val="000000"/>
      <w:kern w:val="2"/>
      <w:sz w:val="24"/>
      <w:szCs w:val="24"/>
    </w:rPr>
  </w:style>
  <w:style w:type="paragraph" w:customStyle="1" w:styleId="370">
    <w:name w:val="标准正文格式"/>
    <w:basedOn w:val="1"/>
    <w:link w:val="369"/>
    <w:autoRedefine/>
    <w:qFormat/>
    <w:uiPriority w:val="0"/>
    <w:pPr>
      <w:widowControl/>
      <w:adjustRightInd w:val="0"/>
      <w:spacing w:before="60" w:after="120" w:line="360" w:lineRule="auto"/>
      <w:ind w:firstLine="200" w:firstLineChars="200"/>
      <w:textAlignment w:val="baseline"/>
    </w:pPr>
    <w:rPr>
      <w:rFonts w:ascii="宋体" w:eastAsia="仿宋_GB2312"/>
      <w:color w:val="000000"/>
      <w:sz w:val="24"/>
    </w:rPr>
  </w:style>
  <w:style w:type="character" w:customStyle="1" w:styleId="371">
    <w:name w:val="样式1 Char Char"/>
    <w:link w:val="372"/>
    <w:autoRedefine/>
    <w:qFormat/>
    <w:uiPriority w:val="0"/>
    <w:rPr>
      <w:rFonts w:ascii="宋体" w:hAnsi="宋体"/>
      <w:b/>
      <w:kern w:val="2"/>
      <w:sz w:val="24"/>
    </w:rPr>
  </w:style>
  <w:style w:type="paragraph" w:customStyle="1" w:styleId="372">
    <w:name w:val="样式1"/>
    <w:basedOn w:val="1"/>
    <w:link w:val="371"/>
    <w:autoRedefine/>
    <w:qFormat/>
    <w:uiPriority w:val="0"/>
    <w:pPr>
      <w:spacing w:before="120" w:after="120" w:line="300" w:lineRule="auto"/>
    </w:pPr>
    <w:rPr>
      <w:rFonts w:ascii="宋体" w:hAnsi="宋体"/>
      <w:b/>
      <w:sz w:val="24"/>
      <w:szCs w:val="20"/>
    </w:rPr>
  </w:style>
  <w:style w:type="character" w:customStyle="1" w:styleId="373">
    <w:name w:val="ca-210"/>
    <w:autoRedefine/>
    <w:qFormat/>
    <w:uiPriority w:val="0"/>
    <w:rPr>
      <w:rFonts w:hint="default" w:ascii="Times New Roman" w:hAnsi="Times New Roman" w:eastAsia="宋体" w:cs="Times New Roman"/>
      <w:color w:val="000000"/>
      <w:sz w:val="36"/>
      <w:szCs w:val="36"/>
      <w:lang w:val="en-US" w:eastAsia="zh-CN" w:bidi="ar-SA"/>
    </w:rPr>
  </w:style>
  <w:style w:type="character" w:customStyle="1" w:styleId="374">
    <w:name w:val="标题 1 Char1"/>
    <w:autoRedefine/>
    <w:qFormat/>
    <w:uiPriority w:val="0"/>
    <w:rPr>
      <w:rFonts w:ascii="Times New Roman" w:hAnsi="Times New Roman" w:eastAsia="宋体" w:cs="Times New Roman"/>
      <w:b/>
      <w:bCs/>
      <w:sz w:val="24"/>
      <w:szCs w:val="24"/>
      <w:lang w:val="en-US" w:eastAsia="zh-CN" w:bidi="ar-SA"/>
    </w:rPr>
  </w:style>
  <w:style w:type="character" w:customStyle="1" w:styleId="375">
    <w:name w:val="List Paragraph Char"/>
    <w:link w:val="376"/>
    <w:autoRedefine/>
    <w:qFormat/>
    <w:locked/>
    <w:uiPriority w:val="0"/>
    <w:rPr>
      <w:rFonts w:ascii="Times New Roman" w:hAnsi="Times New Roman" w:eastAsia="宋体" w:cs="Times New Roman"/>
      <w:szCs w:val="24"/>
    </w:rPr>
  </w:style>
  <w:style w:type="paragraph" w:customStyle="1" w:styleId="376">
    <w:name w:val="List Paragraph1"/>
    <w:basedOn w:val="1"/>
    <w:link w:val="375"/>
    <w:autoRedefine/>
    <w:qFormat/>
    <w:uiPriority w:val="0"/>
    <w:pPr>
      <w:ind w:firstLine="420" w:firstLineChars="200"/>
    </w:pPr>
    <w:rPr>
      <w:kern w:val="0"/>
      <w:sz w:val="20"/>
    </w:rPr>
  </w:style>
  <w:style w:type="character" w:customStyle="1" w:styleId="377">
    <w:name w:val="Date Char"/>
    <w:autoRedefine/>
    <w:qFormat/>
    <w:uiPriority w:val="0"/>
    <w:rPr>
      <w:rFonts w:ascii="Calibri" w:hAnsi="Calibri" w:eastAsia="宋体" w:cs="Times New Roman"/>
      <w:kern w:val="2"/>
      <w:sz w:val="24"/>
      <w:lang w:val="en-US" w:eastAsia="zh-CN" w:bidi="ar-SA"/>
    </w:rPr>
  </w:style>
  <w:style w:type="character" w:customStyle="1" w:styleId="378">
    <w:name w:val="标题 8 字符"/>
    <w:autoRedefine/>
    <w:qFormat/>
    <w:uiPriority w:val="0"/>
    <w:rPr>
      <w:rFonts w:ascii="Arial" w:hAnsi="Arial" w:eastAsia="黑体" w:cs="Times New Roman"/>
      <w:kern w:val="2"/>
      <w:sz w:val="24"/>
      <w:szCs w:val="24"/>
      <w:lang w:val="en-US" w:eastAsia="zh-CN" w:bidi="ar-SA"/>
    </w:rPr>
  </w:style>
  <w:style w:type="character" w:customStyle="1" w:styleId="379">
    <w:name w:val="引用 Char1"/>
    <w:autoRedefine/>
    <w:qFormat/>
    <w:uiPriority w:val="0"/>
    <w:rPr>
      <w:rFonts w:ascii="Calibri" w:hAnsi="Calibri" w:eastAsia="宋体" w:cs="Times New Roman"/>
      <w:i/>
      <w:iCs/>
      <w:color w:val="000000"/>
      <w:kern w:val="2"/>
      <w:sz w:val="21"/>
      <w:szCs w:val="24"/>
      <w:lang w:val="en-US" w:eastAsia="zh-CN" w:bidi="ar-SA"/>
    </w:rPr>
  </w:style>
  <w:style w:type="character" w:customStyle="1" w:styleId="380">
    <w:name w:val="Balloon Text Char"/>
    <w:autoRedefine/>
    <w:qFormat/>
    <w:uiPriority w:val="0"/>
    <w:rPr>
      <w:rFonts w:ascii="Calibri" w:hAnsi="Calibri" w:eastAsia="宋体" w:cs="Times New Roman"/>
      <w:kern w:val="2"/>
      <w:sz w:val="18"/>
      <w:szCs w:val="18"/>
      <w:lang w:val="en-US" w:eastAsia="zh-CN" w:bidi="ar-SA"/>
    </w:rPr>
  </w:style>
  <w:style w:type="character" w:customStyle="1" w:styleId="381">
    <w:name w:val="日期 Char Char"/>
    <w:autoRedefine/>
    <w:qFormat/>
    <w:uiPriority w:val="0"/>
    <w:rPr>
      <w:rFonts w:ascii="Times New Roman" w:hAnsi="Times New Roman" w:eastAsia="宋体" w:cs="Times New Roman"/>
      <w:kern w:val="2"/>
      <w:sz w:val="21"/>
      <w:szCs w:val="24"/>
      <w:lang w:val="en-US" w:eastAsia="zh-CN" w:bidi="ar-SA"/>
    </w:rPr>
  </w:style>
  <w:style w:type="character" w:customStyle="1" w:styleId="382">
    <w:name w:val="标题 1 字符"/>
    <w:autoRedefine/>
    <w:qFormat/>
    <w:uiPriority w:val="0"/>
    <w:rPr>
      <w:rFonts w:ascii="Times New Roman" w:hAnsi="Times New Roman" w:eastAsia="宋体" w:cs="Times New Roman"/>
      <w:b/>
      <w:bCs/>
      <w:sz w:val="24"/>
      <w:szCs w:val="24"/>
      <w:lang w:val="en-US" w:eastAsia="zh-CN" w:bidi="ar-SA"/>
    </w:rPr>
  </w:style>
  <w:style w:type="character" w:customStyle="1" w:styleId="383">
    <w:name w:val="Heading 4 Char_7d2d3b89-cdd9-44a6-af98-a185dde5440d"/>
    <w:autoRedefine/>
    <w:qFormat/>
    <w:uiPriority w:val="0"/>
    <w:rPr>
      <w:rFonts w:ascii="Arial" w:hAnsi="Arial" w:eastAsia="黑体" w:cs="Times New Roman"/>
      <w:b/>
      <w:bCs/>
      <w:kern w:val="2"/>
      <w:sz w:val="28"/>
      <w:szCs w:val="28"/>
      <w:lang w:val="en-US" w:eastAsia="zh-CN" w:bidi="ar-SA"/>
    </w:rPr>
  </w:style>
  <w:style w:type="character" w:customStyle="1" w:styleId="384">
    <w:name w:val="正文缩进 字符"/>
    <w:autoRedefine/>
    <w:qFormat/>
    <w:uiPriority w:val="0"/>
    <w:rPr>
      <w:rFonts w:ascii="Times New Roman" w:hAnsi="Times New Roman" w:eastAsia="宋体" w:cs="Times New Roman"/>
      <w:kern w:val="2"/>
      <w:sz w:val="21"/>
      <w:lang w:val="en-US" w:eastAsia="zh-CN" w:bidi="ar-SA"/>
    </w:rPr>
  </w:style>
  <w:style w:type="character" w:customStyle="1" w:styleId="385">
    <w:name w:val="日期 字符"/>
    <w:autoRedefine/>
    <w:qFormat/>
    <w:uiPriority w:val="0"/>
    <w:rPr>
      <w:rFonts w:ascii="Times New Roman" w:hAnsi="Times New Roman" w:eastAsia="楷体_GB2312" w:cs="Times New Roman"/>
      <w:sz w:val="32"/>
      <w:szCs w:val="20"/>
      <w:lang w:val="en-US" w:eastAsia="zh-CN" w:bidi="ar-SA"/>
    </w:rPr>
  </w:style>
  <w:style w:type="character" w:customStyle="1" w:styleId="386">
    <w:name w:val="标准文本 Char"/>
    <w:link w:val="387"/>
    <w:autoRedefine/>
    <w:qFormat/>
    <w:uiPriority w:val="0"/>
    <w:rPr>
      <w:rFonts w:ascii="Arial" w:hAnsi="Arial" w:cs="宋体"/>
      <w:kern w:val="2"/>
      <w:sz w:val="24"/>
    </w:rPr>
  </w:style>
  <w:style w:type="paragraph" w:customStyle="1" w:styleId="387">
    <w:name w:val="标准文本"/>
    <w:basedOn w:val="1"/>
    <w:link w:val="386"/>
    <w:autoRedefine/>
    <w:qFormat/>
    <w:uiPriority w:val="0"/>
    <w:pPr>
      <w:spacing w:line="360" w:lineRule="auto"/>
      <w:ind w:firstLine="480" w:firstLineChars="200"/>
    </w:pPr>
    <w:rPr>
      <w:rFonts w:ascii="Arial" w:hAnsi="Arial"/>
      <w:sz w:val="24"/>
      <w:szCs w:val="20"/>
    </w:rPr>
  </w:style>
  <w:style w:type="character" w:customStyle="1" w:styleId="388">
    <w:name w:val="ca-141"/>
    <w:autoRedefine/>
    <w:qFormat/>
    <w:uiPriority w:val="0"/>
    <w:rPr>
      <w:rFonts w:hint="default" w:ascii="Times New Roman" w:hAnsi="Times New Roman" w:eastAsia="宋体" w:cs="Times New Roman"/>
      <w:color w:val="000000"/>
      <w:sz w:val="24"/>
      <w:szCs w:val="24"/>
      <w:lang w:val="en-US" w:eastAsia="zh-CN" w:bidi="ar-SA"/>
    </w:rPr>
  </w:style>
  <w:style w:type="character" w:customStyle="1" w:styleId="389">
    <w:name w:val="署名 Char2"/>
    <w:autoRedefine/>
    <w:qFormat/>
    <w:uiPriority w:val="0"/>
    <w:rPr>
      <w:rFonts w:ascii="宋体" w:hAnsi="Calibri" w:eastAsia="宋体" w:cs="Times New Roman"/>
      <w:snapToGrid w:val="0"/>
      <w:color w:val="000000"/>
      <w:kern w:val="28"/>
      <w:sz w:val="28"/>
      <w:lang w:val="en-US" w:eastAsia="zh-CN" w:bidi="ar-SA"/>
    </w:rPr>
  </w:style>
  <w:style w:type="character" w:customStyle="1" w:styleId="390">
    <w:name w:val="ca-261"/>
    <w:autoRedefine/>
    <w:qFormat/>
    <w:uiPriority w:val="0"/>
    <w:rPr>
      <w:rFonts w:hint="eastAsia" w:ascii="宋体" w:hAnsi="宋体" w:eastAsia="宋体" w:cs="Times New Roman"/>
      <w:color w:val="002060"/>
      <w:sz w:val="21"/>
      <w:szCs w:val="21"/>
      <w:lang w:val="en-US" w:eastAsia="zh-CN" w:bidi="ar-SA"/>
    </w:rPr>
  </w:style>
  <w:style w:type="character" w:customStyle="1" w:styleId="391">
    <w:name w:val="Char Char16"/>
    <w:autoRedefine/>
    <w:qFormat/>
    <w:uiPriority w:val="0"/>
    <w:rPr>
      <w:rFonts w:ascii="Calibri" w:hAnsi="Calibri" w:eastAsia="宋体" w:cs="Times New Roman"/>
      <w:b/>
      <w:bCs/>
      <w:kern w:val="2"/>
      <w:sz w:val="24"/>
      <w:szCs w:val="24"/>
      <w:lang w:val="en-US" w:eastAsia="zh-CN" w:bidi="ar-SA"/>
    </w:rPr>
  </w:style>
  <w:style w:type="character" w:customStyle="1" w:styleId="392">
    <w:name w:val="纯文本 Char2"/>
    <w:autoRedefine/>
    <w:qFormat/>
    <w:uiPriority w:val="0"/>
    <w:rPr>
      <w:rFonts w:ascii="宋体" w:hAnsi="Courier New" w:eastAsia="宋体"/>
      <w:kern w:val="2"/>
      <w:sz w:val="24"/>
      <w:szCs w:val="24"/>
      <w:lang w:val="en-US" w:eastAsia="zh-CN" w:bidi="ar-SA"/>
    </w:rPr>
  </w:style>
  <w:style w:type="character" w:customStyle="1" w:styleId="393">
    <w:name w:val="ca-121"/>
    <w:autoRedefine/>
    <w:qFormat/>
    <w:uiPriority w:val="0"/>
    <w:rPr>
      <w:rFonts w:hint="default" w:ascii="Times New Roman" w:hAnsi="Times New Roman" w:eastAsia="宋体" w:cs="Times New Roman"/>
      <w:color w:val="000000"/>
      <w:sz w:val="32"/>
      <w:szCs w:val="32"/>
      <w:lang w:val="en-US" w:eastAsia="zh-CN" w:bidi="ar-SA"/>
    </w:rPr>
  </w:style>
  <w:style w:type="character" w:customStyle="1" w:styleId="394">
    <w:name w:val="内文 Char Char"/>
    <w:link w:val="395"/>
    <w:autoRedefine/>
    <w:qFormat/>
    <w:uiPriority w:val="0"/>
    <w:rPr>
      <w:rFonts w:ascii="Arial" w:hAnsi="Arial" w:eastAsia="Times New Roman"/>
      <w:kern w:val="2"/>
      <w:sz w:val="21"/>
      <w:szCs w:val="24"/>
      <w:lang w:val="en-US" w:eastAsia="zh-CN" w:bidi="ar-SA"/>
    </w:rPr>
  </w:style>
  <w:style w:type="paragraph" w:customStyle="1" w:styleId="395">
    <w:name w:val="内文"/>
    <w:link w:val="394"/>
    <w:autoRedefine/>
    <w:qFormat/>
    <w:uiPriority w:val="0"/>
    <w:pPr>
      <w:adjustRightInd w:val="0"/>
      <w:snapToGrid w:val="0"/>
      <w:spacing w:line="400" w:lineRule="exact"/>
      <w:ind w:firstLine="200" w:firstLineChars="200"/>
      <w:jc w:val="both"/>
    </w:pPr>
    <w:rPr>
      <w:rFonts w:ascii="Arial" w:hAnsi="Arial" w:eastAsia="Times New Roman" w:cs="Times New Roman"/>
      <w:kern w:val="2"/>
      <w:sz w:val="21"/>
      <w:szCs w:val="24"/>
      <w:lang w:val="en-US" w:eastAsia="zh-CN" w:bidi="ar-SA"/>
    </w:rPr>
  </w:style>
  <w:style w:type="character" w:customStyle="1" w:styleId="396">
    <w:name w:val="style11"/>
    <w:autoRedefine/>
    <w:qFormat/>
    <w:uiPriority w:val="0"/>
    <w:rPr>
      <w:rFonts w:ascii="Calibri" w:hAnsi="Calibri" w:eastAsia="宋体" w:cs="Times New Roman"/>
      <w:sz w:val="27"/>
      <w:szCs w:val="27"/>
      <w:lang w:val="en-US" w:eastAsia="zh-CN" w:bidi="ar-SA"/>
    </w:rPr>
  </w:style>
  <w:style w:type="character" w:customStyle="1" w:styleId="397">
    <w:name w:val="样式 样式 首行缩进:  2.25 字符 + 首行缩进:  2.25 字符 Char"/>
    <w:link w:val="398"/>
    <w:autoRedefine/>
    <w:qFormat/>
    <w:uiPriority w:val="0"/>
    <w:rPr>
      <w:rFonts w:ascii="宋体" w:hAnsi="宋体" w:cs="宋体"/>
      <w:szCs w:val="21"/>
    </w:rPr>
  </w:style>
  <w:style w:type="paragraph" w:customStyle="1" w:styleId="398">
    <w:name w:val="样式 样式 首行缩进:  2.25 字符 + 首行缩进:  2.25 字符"/>
    <w:basedOn w:val="1"/>
    <w:link w:val="397"/>
    <w:autoRedefine/>
    <w:qFormat/>
    <w:uiPriority w:val="0"/>
    <w:pPr>
      <w:spacing w:line="360" w:lineRule="auto"/>
      <w:ind w:firstLine="420" w:firstLineChars="200"/>
    </w:pPr>
    <w:rPr>
      <w:rFonts w:ascii="宋体" w:hAnsi="宋体"/>
      <w:kern w:val="0"/>
      <w:sz w:val="20"/>
      <w:szCs w:val="21"/>
    </w:rPr>
  </w:style>
  <w:style w:type="character" w:customStyle="1" w:styleId="399">
    <w:name w:val="ca-501"/>
    <w:autoRedefine/>
    <w:qFormat/>
    <w:uiPriority w:val="0"/>
    <w:rPr>
      <w:rFonts w:hint="eastAsia" w:ascii="宋体" w:hAnsi="宋体" w:eastAsia="宋体" w:cs="Times New Roman"/>
      <w:spacing w:val="0"/>
      <w:sz w:val="24"/>
      <w:szCs w:val="24"/>
      <w:lang w:val="en-US" w:eastAsia="zh-CN" w:bidi="ar-SA"/>
    </w:rPr>
  </w:style>
  <w:style w:type="character" w:customStyle="1" w:styleId="400">
    <w:name w:val="Quote Char_c3a304e2-fa67-48e3-aaf9-7fbf8241cddb"/>
    <w:link w:val="401"/>
    <w:autoRedefine/>
    <w:qFormat/>
    <w:uiPriority w:val="0"/>
    <w:rPr>
      <w:rFonts w:ascii="Calibri" w:hAnsi="Calibri"/>
      <w:i/>
      <w:color w:val="000000"/>
      <w:kern w:val="2"/>
      <w:sz w:val="22"/>
    </w:rPr>
  </w:style>
  <w:style w:type="paragraph" w:customStyle="1" w:styleId="401">
    <w:name w:val="引用1"/>
    <w:basedOn w:val="1"/>
    <w:next w:val="1"/>
    <w:link w:val="400"/>
    <w:autoRedefine/>
    <w:qFormat/>
    <w:uiPriority w:val="0"/>
    <w:rPr>
      <w:rFonts w:ascii="Calibri" w:hAnsi="Calibri"/>
      <w:i/>
      <w:color w:val="000000"/>
      <w:sz w:val="22"/>
      <w:szCs w:val="20"/>
    </w:rPr>
  </w:style>
  <w:style w:type="character" w:customStyle="1" w:styleId="402">
    <w:name w:val="ca-54"/>
    <w:autoRedefine/>
    <w:qFormat/>
    <w:uiPriority w:val="0"/>
    <w:rPr>
      <w:rFonts w:hint="eastAsia" w:ascii="宋体" w:hAnsi="宋体" w:eastAsia="宋体" w:cs="Times New Roman"/>
      <w:b/>
      <w:bCs/>
      <w:color w:val="000000"/>
      <w:spacing w:val="40"/>
      <w:sz w:val="48"/>
      <w:szCs w:val="48"/>
      <w:lang w:val="en-US" w:eastAsia="zh-CN" w:bidi="ar-SA"/>
    </w:rPr>
  </w:style>
  <w:style w:type="character" w:customStyle="1" w:styleId="403">
    <w:name w:val="ca-71"/>
    <w:autoRedefine/>
    <w:qFormat/>
    <w:uiPriority w:val="0"/>
    <w:rPr>
      <w:rFonts w:hint="default" w:ascii="Times New Roman" w:hAnsi="Times New Roman" w:eastAsia="宋体" w:cs="Times New Roman"/>
      <w:color w:val="000000"/>
      <w:sz w:val="28"/>
      <w:szCs w:val="28"/>
      <w:lang w:val="en-US" w:eastAsia="zh-CN" w:bidi="ar-SA"/>
    </w:rPr>
  </w:style>
  <w:style w:type="character" w:customStyle="1" w:styleId="404">
    <w:name w:val="标题 7 字符"/>
    <w:autoRedefine/>
    <w:qFormat/>
    <w:uiPriority w:val="0"/>
    <w:rPr>
      <w:rFonts w:ascii="Times New Roman" w:hAnsi="Times New Roman" w:eastAsia="宋体" w:cs="Times New Roman"/>
      <w:b/>
      <w:bCs/>
      <w:kern w:val="2"/>
      <w:sz w:val="24"/>
      <w:szCs w:val="24"/>
      <w:lang w:val="en-US" w:eastAsia="zh-CN" w:bidi="ar-SA"/>
    </w:rPr>
  </w:style>
  <w:style w:type="character" w:customStyle="1" w:styleId="405">
    <w:name w:val="Char Char29"/>
    <w:autoRedefine/>
    <w:qFormat/>
    <w:uiPriority w:val="0"/>
    <w:rPr>
      <w:rFonts w:ascii="Calibri" w:hAnsi="Calibri" w:eastAsia="宋体" w:cs="Times New Roman"/>
      <w:b/>
      <w:bCs/>
      <w:kern w:val="44"/>
      <w:sz w:val="44"/>
      <w:szCs w:val="44"/>
      <w:lang w:val="en-US" w:eastAsia="zh-CN" w:bidi="ar-SA"/>
    </w:rPr>
  </w:style>
  <w:style w:type="character" w:customStyle="1" w:styleId="406">
    <w:name w:val="2nd level Char1"/>
    <w:autoRedefine/>
    <w:qFormat/>
    <w:uiPriority w:val="0"/>
    <w:rPr>
      <w:rFonts w:ascii="Arial" w:hAnsi="Arial" w:eastAsia="宋体" w:cs="Times New Roman"/>
      <w:b/>
      <w:bCs/>
      <w:kern w:val="2"/>
      <w:sz w:val="24"/>
      <w:szCs w:val="32"/>
      <w:lang w:val="en-US" w:eastAsia="zh-CN" w:bidi="ar-SA"/>
    </w:rPr>
  </w:style>
  <w:style w:type="character" w:customStyle="1" w:styleId="407">
    <w:name w:val="2nd level Char2"/>
    <w:autoRedefine/>
    <w:qFormat/>
    <w:uiPriority w:val="0"/>
    <w:rPr>
      <w:rFonts w:ascii="Arial" w:hAnsi="Arial" w:eastAsia="宋体" w:cs="Times New Roman"/>
      <w:b/>
      <w:bCs/>
      <w:kern w:val="2"/>
      <w:sz w:val="24"/>
      <w:szCs w:val="32"/>
      <w:lang w:val="en-US" w:eastAsia="zh-CN" w:bidi="ar-SA"/>
    </w:rPr>
  </w:style>
  <w:style w:type="character" w:customStyle="1" w:styleId="408">
    <w:name w:val="ca-481"/>
    <w:autoRedefine/>
    <w:qFormat/>
    <w:uiPriority w:val="0"/>
    <w:rPr>
      <w:rFonts w:hint="eastAsia" w:ascii="宋体" w:hAnsi="宋体" w:eastAsia="宋体" w:cs="Times New Roman"/>
      <w:color w:val="000000"/>
      <w:sz w:val="26"/>
      <w:szCs w:val="26"/>
      <w:lang w:val="en-US" w:eastAsia="zh-CN" w:bidi="ar-SA"/>
    </w:rPr>
  </w:style>
  <w:style w:type="character" w:customStyle="1" w:styleId="409">
    <w:name w:val="标题 8 Char1"/>
    <w:autoRedefine/>
    <w:qFormat/>
    <w:uiPriority w:val="0"/>
    <w:rPr>
      <w:rFonts w:ascii="Cambria" w:hAnsi="Cambria" w:eastAsia="宋体" w:cs="Times New Roman"/>
      <w:kern w:val="2"/>
      <w:sz w:val="24"/>
      <w:szCs w:val="24"/>
    </w:rPr>
  </w:style>
  <w:style w:type="character" w:customStyle="1" w:styleId="410">
    <w:name w:val="Heading 5 Char_db44bd63-5582-4c5b-b61c-ef6967cc1bf0"/>
    <w:autoRedefine/>
    <w:qFormat/>
    <w:uiPriority w:val="0"/>
    <w:rPr>
      <w:rFonts w:ascii="Calibri" w:hAnsi="Calibri" w:eastAsia="宋体" w:cs="Times New Roman"/>
      <w:b/>
      <w:bCs/>
      <w:kern w:val="2"/>
      <w:sz w:val="28"/>
      <w:szCs w:val="28"/>
      <w:lang w:val="en-US" w:eastAsia="zh-CN" w:bidi="ar-SA"/>
    </w:rPr>
  </w:style>
  <w:style w:type="character" w:customStyle="1" w:styleId="411">
    <w:name w:val="引用 Char"/>
    <w:link w:val="412"/>
    <w:autoRedefine/>
    <w:qFormat/>
    <w:uiPriority w:val="0"/>
    <w:rPr>
      <w:rFonts w:ascii="Calibri" w:hAnsi="Calibri"/>
      <w:i/>
      <w:iCs/>
      <w:color w:val="000000"/>
      <w:kern w:val="2"/>
      <w:sz w:val="21"/>
      <w:szCs w:val="22"/>
    </w:rPr>
  </w:style>
  <w:style w:type="paragraph" w:styleId="412">
    <w:name w:val="Quote"/>
    <w:basedOn w:val="1"/>
    <w:next w:val="1"/>
    <w:link w:val="411"/>
    <w:autoRedefine/>
    <w:qFormat/>
    <w:uiPriority w:val="0"/>
    <w:rPr>
      <w:rFonts w:ascii="Calibri" w:hAnsi="Calibri"/>
      <w:i/>
      <w:iCs/>
      <w:color w:val="000000"/>
      <w:szCs w:val="22"/>
    </w:rPr>
  </w:style>
  <w:style w:type="character" w:customStyle="1" w:styleId="413">
    <w:name w:val="日期 Char3"/>
    <w:autoRedefine/>
    <w:qFormat/>
    <w:uiPriority w:val="0"/>
    <w:rPr>
      <w:rFonts w:ascii="Calibri" w:hAnsi="Calibri" w:eastAsia="仿宋_GB2312" w:cs="Times New Roman"/>
      <w:kern w:val="2"/>
      <w:sz w:val="28"/>
      <w:lang w:val="en-US" w:eastAsia="zh-CN" w:bidi="ar-SA"/>
    </w:rPr>
  </w:style>
  <w:style w:type="character" w:customStyle="1" w:styleId="414">
    <w:name w:val="ca-111"/>
    <w:autoRedefine/>
    <w:qFormat/>
    <w:uiPriority w:val="0"/>
    <w:rPr>
      <w:rFonts w:hint="default" w:ascii="Times New Roman" w:hAnsi="Times New Roman" w:eastAsia="宋体" w:cs="Times New Roman"/>
      <w:color w:val="000000"/>
      <w:sz w:val="30"/>
      <w:szCs w:val="30"/>
      <w:lang w:val="en-US" w:eastAsia="zh-CN" w:bidi="ar-SA"/>
    </w:rPr>
  </w:style>
  <w:style w:type="character" w:customStyle="1" w:styleId="415">
    <w:name w:val="无"/>
    <w:autoRedefine/>
    <w:qFormat/>
    <w:uiPriority w:val="0"/>
    <w:rPr>
      <w:rFonts w:ascii="Calibri" w:hAnsi="Calibri" w:eastAsia="宋体" w:cs="Times New Roman"/>
      <w:lang w:val="en-US" w:eastAsia="zh-CN" w:bidi="ar-SA"/>
    </w:rPr>
  </w:style>
  <w:style w:type="character" w:customStyle="1" w:styleId="416">
    <w:name w:val="ca-291"/>
    <w:autoRedefine/>
    <w:qFormat/>
    <w:uiPriority w:val="0"/>
    <w:rPr>
      <w:rFonts w:hint="eastAsia" w:ascii="宋体" w:hAnsi="宋体" w:eastAsia="宋体" w:cs="Times New Roman"/>
      <w:color w:val="7030A0"/>
      <w:sz w:val="21"/>
      <w:szCs w:val="21"/>
      <w:lang w:val="en-US" w:eastAsia="zh-CN" w:bidi="ar-SA"/>
    </w:rPr>
  </w:style>
  <w:style w:type="character" w:customStyle="1" w:styleId="417">
    <w:name w:val="by jerry Char Char"/>
    <w:autoRedefine/>
    <w:qFormat/>
    <w:uiPriority w:val="0"/>
    <w:rPr>
      <w:rFonts w:ascii="Calibri" w:hAnsi="Calibri" w:eastAsia="宋体" w:cs="Times New Roman"/>
      <w:b/>
      <w:bCs/>
      <w:kern w:val="44"/>
      <w:sz w:val="44"/>
      <w:szCs w:val="44"/>
      <w:lang w:val="en-US" w:eastAsia="zh-CN" w:bidi="ar-SA"/>
    </w:rPr>
  </w:style>
  <w:style w:type="character" w:customStyle="1" w:styleId="418">
    <w:name w:val="正文文本 3 字符"/>
    <w:autoRedefine/>
    <w:qFormat/>
    <w:uiPriority w:val="0"/>
    <w:rPr>
      <w:rFonts w:ascii="Times New Roman" w:hAnsi="宋体" w:eastAsia="仿宋_GB2312" w:cs="Times New Roman"/>
      <w:b/>
      <w:bCs/>
      <w:sz w:val="24"/>
      <w:szCs w:val="20"/>
      <w:lang w:val="en-US" w:eastAsia="zh-CN" w:bidi="ar-SA"/>
    </w:rPr>
  </w:style>
  <w:style w:type="character" w:customStyle="1" w:styleId="419">
    <w:name w:val="正文文本 Char2"/>
    <w:autoRedefine/>
    <w:qFormat/>
    <w:uiPriority w:val="0"/>
    <w:rPr>
      <w:rFonts w:ascii="Times New Roman" w:hAnsi="Times New Roman" w:eastAsia="宋体" w:cs="Times New Roman"/>
      <w:sz w:val="28"/>
      <w:szCs w:val="24"/>
      <w:lang w:val="en-US" w:eastAsia="zh-CN" w:bidi="ar-SA"/>
    </w:rPr>
  </w:style>
  <w:style w:type="character" w:customStyle="1" w:styleId="420">
    <w:name w:val="ca-371"/>
    <w:autoRedefine/>
    <w:qFormat/>
    <w:uiPriority w:val="0"/>
    <w:rPr>
      <w:rFonts w:hint="eastAsia" w:ascii="宋体" w:hAnsi="宋体" w:eastAsia="宋体" w:cs="Times New Roman"/>
      <w:color w:val="000000"/>
      <w:spacing w:val="0"/>
      <w:sz w:val="21"/>
      <w:szCs w:val="21"/>
      <w:lang w:val="en-US" w:eastAsia="zh-CN" w:bidi="ar-SA"/>
    </w:rPr>
  </w:style>
  <w:style w:type="character" w:customStyle="1" w:styleId="421">
    <w:name w:val="ca-310"/>
    <w:autoRedefine/>
    <w:qFormat/>
    <w:uiPriority w:val="0"/>
    <w:rPr>
      <w:rFonts w:hint="default" w:ascii="Times New Roman" w:hAnsi="Times New Roman" w:eastAsia="宋体" w:cs="Times New Roman"/>
      <w:b/>
      <w:bCs/>
      <w:color w:val="000000"/>
      <w:spacing w:val="-20"/>
      <w:sz w:val="48"/>
      <w:szCs w:val="48"/>
      <w:lang w:val="en-US" w:eastAsia="zh-CN" w:bidi="ar-SA"/>
    </w:rPr>
  </w:style>
  <w:style w:type="character" w:customStyle="1" w:styleId="422">
    <w:name w:val="标题 2 字符"/>
    <w:autoRedefine/>
    <w:qFormat/>
    <w:uiPriority w:val="0"/>
    <w:rPr>
      <w:rFonts w:ascii="Arial" w:hAnsi="Arial" w:eastAsia="黑体" w:cs="Times New Roman"/>
      <w:b/>
      <w:bCs/>
      <w:sz w:val="32"/>
      <w:szCs w:val="32"/>
      <w:lang w:val="en-US" w:eastAsia="zh-CN" w:bidi="ar-SA"/>
    </w:rPr>
  </w:style>
  <w:style w:type="character" w:customStyle="1" w:styleId="423">
    <w:name w:val="日期 Char1"/>
    <w:autoRedefine/>
    <w:qFormat/>
    <w:uiPriority w:val="0"/>
    <w:rPr>
      <w:rFonts w:ascii="Calibri" w:hAnsi="Calibri" w:eastAsia="宋体" w:cs="Times New Roman"/>
      <w:kern w:val="2"/>
      <w:sz w:val="21"/>
      <w:szCs w:val="22"/>
      <w:lang w:val="en-US" w:eastAsia="zh-CN" w:bidi="ar-SA"/>
    </w:rPr>
  </w:style>
  <w:style w:type="character" w:customStyle="1" w:styleId="424">
    <w:name w:val="ca-301"/>
    <w:autoRedefine/>
    <w:qFormat/>
    <w:uiPriority w:val="0"/>
    <w:rPr>
      <w:rFonts w:hint="default" w:ascii="??" w:hAnsi="??" w:eastAsia="宋体" w:cs="Times New Roman"/>
      <w:color w:val="002060"/>
      <w:sz w:val="21"/>
      <w:szCs w:val="21"/>
      <w:lang w:val="en-US" w:eastAsia="zh-CN" w:bidi="ar-SA"/>
    </w:rPr>
  </w:style>
  <w:style w:type="character" w:customStyle="1" w:styleId="425">
    <w:name w:val="ca-431"/>
    <w:autoRedefine/>
    <w:qFormat/>
    <w:uiPriority w:val="0"/>
    <w:rPr>
      <w:rFonts w:hint="eastAsia" w:ascii="宋体" w:hAnsi="宋体" w:eastAsia="宋体" w:cs="Times New Roman"/>
      <w:color w:val="000000"/>
      <w:sz w:val="44"/>
      <w:szCs w:val="44"/>
      <w:lang w:val="en-US" w:eastAsia="zh-CN" w:bidi="ar-SA"/>
    </w:rPr>
  </w:style>
  <w:style w:type="character" w:customStyle="1" w:styleId="426">
    <w:name w:val="批注主题 Char Char"/>
    <w:autoRedefine/>
    <w:qFormat/>
    <w:uiPriority w:val="0"/>
    <w:rPr>
      <w:rFonts w:ascii="Times New Roman" w:hAnsi="Times New Roman" w:eastAsia="宋体" w:cs="Times New Roman"/>
      <w:b/>
      <w:bCs/>
      <w:kern w:val="2"/>
      <w:sz w:val="21"/>
      <w:szCs w:val="24"/>
      <w:lang w:val="en-US" w:eastAsia="zh-CN" w:bidi="ar-SA"/>
    </w:rPr>
  </w:style>
  <w:style w:type="character" w:customStyle="1" w:styleId="427">
    <w:name w:val="zbggmain style9_1"/>
    <w:autoRedefine/>
    <w:qFormat/>
    <w:uiPriority w:val="0"/>
    <w:rPr>
      <w:rFonts w:ascii="Calibri" w:hAnsi="Calibri" w:eastAsia="ヒラギノ角ゴ Pro W3" w:cs="Times New Roman"/>
      <w:color w:val="000000"/>
      <w:sz w:val="20"/>
      <w:lang w:val="en-US" w:eastAsia="zh-CN" w:bidi="ar-SA"/>
    </w:rPr>
  </w:style>
  <w:style w:type="character" w:customStyle="1" w:styleId="428">
    <w:name w:val="日期 Char2"/>
    <w:autoRedefine/>
    <w:qFormat/>
    <w:uiPriority w:val="0"/>
    <w:rPr>
      <w:rFonts w:ascii="Times New Roman" w:hAnsi="Times New Roman" w:eastAsia="楷体_GB2312" w:cs="Times New Roman"/>
      <w:sz w:val="32"/>
      <w:szCs w:val="20"/>
      <w:lang w:val="en-US" w:eastAsia="zh-CN" w:bidi="ar-SA"/>
    </w:rPr>
  </w:style>
  <w:style w:type="character" w:customStyle="1" w:styleId="429">
    <w:name w:val="样式3 Char"/>
    <w:link w:val="430"/>
    <w:autoRedefine/>
    <w:qFormat/>
    <w:uiPriority w:val="0"/>
    <w:rPr>
      <w:rFonts w:ascii="宋体" w:hAnsi="Calibri"/>
      <w:kern w:val="2"/>
      <w:sz w:val="24"/>
      <w:szCs w:val="24"/>
    </w:rPr>
  </w:style>
  <w:style w:type="paragraph" w:customStyle="1" w:styleId="430">
    <w:name w:val="样式3"/>
    <w:basedOn w:val="1"/>
    <w:link w:val="429"/>
    <w:autoRedefine/>
    <w:qFormat/>
    <w:uiPriority w:val="0"/>
    <w:pPr>
      <w:spacing w:line="360" w:lineRule="auto"/>
      <w:ind w:left="454" w:hanging="227"/>
    </w:pPr>
    <w:rPr>
      <w:rFonts w:ascii="宋体" w:hAnsi="Calibri"/>
      <w:sz w:val="24"/>
    </w:rPr>
  </w:style>
  <w:style w:type="character" w:customStyle="1" w:styleId="431">
    <w:name w:val="页脚 Char1"/>
    <w:autoRedefine/>
    <w:qFormat/>
    <w:uiPriority w:val="0"/>
    <w:rPr>
      <w:rFonts w:ascii="Times New Roman" w:hAnsi="Times New Roman" w:eastAsia="黑体" w:cs="Times New Roman"/>
      <w:snapToGrid w:val="0"/>
      <w:kern w:val="0"/>
      <w:sz w:val="18"/>
      <w:szCs w:val="18"/>
      <w:lang w:val="en-US" w:eastAsia="zh-CN" w:bidi="ar-SA"/>
    </w:rPr>
  </w:style>
  <w:style w:type="character" w:customStyle="1" w:styleId="432">
    <w:name w:val="md"/>
    <w:autoRedefine/>
    <w:qFormat/>
    <w:uiPriority w:val="0"/>
    <w:rPr>
      <w:rFonts w:ascii="Calibri" w:hAnsi="Calibri" w:eastAsia="宋体" w:cs="Times New Roman"/>
      <w:lang w:val="en-US" w:eastAsia="zh-CN" w:bidi="ar-SA"/>
    </w:rPr>
  </w:style>
  <w:style w:type="character" w:customStyle="1" w:styleId="433">
    <w:name w:val="apple-style-span"/>
    <w:autoRedefine/>
    <w:qFormat/>
    <w:uiPriority w:val="0"/>
    <w:rPr>
      <w:rFonts w:ascii="Calibri" w:hAnsi="Calibri" w:eastAsia="宋体" w:cs="Times New Roman"/>
      <w:lang w:val="en-US" w:eastAsia="zh-CN" w:bidi="ar-SA"/>
    </w:rPr>
  </w:style>
  <w:style w:type="character" w:customStyle="1" w:styleId="434">
    <w:name w:val="纯文本 字符"/>
    <w:autoRedefine/>
    <w:qFormat/>
    <w:uiPriority w:val="0"/>
    <w:rPr>
      <w:rFonts w:ascii="宋体" w:hAnsi="Courier New" w:eastAsia="宋体" w:cs="Times New Roman"/>
      <w:sz w:val="24"/>
      <w:szCs w:val="24"/>
    </w:rPr>
  </w:style>
  <w:style w:type="character" w:customStyle="1" w:styleId="435">
    <w:name w:val="large1"/>
    <w:autoRedefine/>
    <w:qFormat/>
    <w:uiPriority w:val="0"/>
    <w:rPr>
      <w:rFonts w:hint="eastAsia" w:ascii="宋体" w:hAnsi="宋体" w:eastAsia="宋体"/>
      <w:sz w:val="21"/>
      <w:szCs w:val="21"/>
    </w:rPr>
  </w:style>
  <w:style w:type="character" w:customStyle="1" w:styleId="436">
    <w:name w:val="font21"/>
    <w:basedOn w:val="62"/>
    <w:autoRedefine/>
    <w:qFormat/>
    <w:uiPriority w:val="0"/>
    <w:rPr>
      <w:rFonts w:hint="eastAsia" w:ascii="宋体" w:hAnsi="宋体" w:eastAsia="宋体" w:cs="宋体"/>
      <w:color w:val="000000"/>
      <w:sz w:val="22"/>
      <w:szCs w:val="22"/>
      <w:u w:val="none"/>
      <w:lang w:val="en-US" w:eastAsia="zh-CN" w:bidi="ar-SA"/>
    </w:rPr>
  </w:style>
  <w:style w:type="character" w:customStyle="1" w:styleId="437">
    <w:name w:val="正文首行缩进 Char1"/>
    <w:autoRedefine/>
    <w:qFormat/>
    <w:uiPriority w:val="0"/>
    <w:rPr>
      <w:rFonts w:ascii="宋体" w:hAnsi="Calibri" w:eastAsia="宋体" w:cs="Times New Roman"/>
      <w:szCs w:val="24"/>
      <w:lang w:val="en-US" w:eastAsia="zh-CN" w:bidi="ar-SA"/>
    </w:rPr>
  </w:style>
  <w:style w:type="character" w:customStyle="1" w:styleId="438">
    <w:name w:val="无间隔 Char"/>
    <w:link w:val="439"/>
    <w:autoRedefine/>
    <w:qFormat/>
    <w:uiPriority w:val="0"/>
    <w:rPr>
      <w:sz w:val="24"/>
      <w:lang w:val="en-US" w:eastAsia="zh-CN" w:bidi="ar-SA"/>
    </w:rPr>
  </w:style>
  <w:style w:type="paragraph" w:customStyle="1" w:styleId="439">
    <w:name w:val="无间隔1"/>
    <w:link w:val="438"/>
    <w:autoRedefine/>
    <w:qFormat/>
    <w:uiPriority w:val="0"/>
    <w:pPr>
      <w:widowControl w:val="0"/>
      <w:spacing w:line="360" w:lineRule="auto"/>
      <w:jc w:val="both"/>
    </w:pPr>
    <w:rPr>
      <w:rFonts w:ascii="Times New Roman" w:hAnsi="Times New Roman" w:eastAsia="宋体" w:cs="Times New Roman"/>
      <w:sz w:val="24"/>
      <w:lang w:val="en-US" w:eastAsia="zh-CN" w:bidi="ar-SA"/>
    </w:rPr>
  </w:style>
  <w:style w:type="character" w:customStyle="1" w:styleId="440">
    <w:name w:val="Document Map Char"/>
    <w:autoRedefine/>
    <w:qFormat/>
    <w:uiPriority w:val="0"/>
    <w:rPr>
      <w:rFonts w:ascii="Calibri" w:hAnsi="Calibri" w:eastAsia="宋体" w:cs="Times New Roman"/>
      <w:kern w:val="2"/>
      <w:sz w:val="21"/>
      <w:szCs w:val="24"/>
      <w:lang w:val="en-US" w:eastAsia="zh-CN" w:bidi="ar-SA"/>
    </w:rPr>
  </w:style>
  <w:style w:type="character" w:customStyle="1" w:styleId="441">
    <w:name w:val="正文文字4 Char Char2"/>
    <w:autoRedefine/>
    <w:qFormat/>
    <w:uiPriority w:val="0"/>
    <w:rPr>
      <w:rFonts w:ascii="宋体" w:hAnsi="宋体" w:eastAsia="宋体" w:cs="Times New Roman"/>
      <w:kern w:val="2"/>
      <w:sz w:val="24"/>
      <w:szCs w:val="24"/>
      <w:lang w:val="en-US" w:eastAsia="zh-CN" w:bidi="ar-SA"/>
    </w:rPr>
  </w:style>
  <w:style w:type="character" w:customStyle="1" w:styleId="442">
    <w:name w:val="ca-441"/>
    <w:autoRedefine/>
    <w:qFormat/>
    <w:uiPriority w:val="0"/>
    <w:rPr>
      <w:rFonts w:hint="eastAsia" w:ascii="宋体" w:hAnsi="宋体" w:eastAsia="宋体" w:cs="Times New Roman"/>
      <w:color w:val="000000"/>
      <w:sz w:val="52"/>
      <w:szCs w:val="52"/>
      <w:lang w:val="en-US" w:eastAsia="zh-CN" w:bidi="ar-SA"/>
    </w:rPr>
  </w:style>
  <w:style w:type="character" w:customStyle="1" w:styleId="443">
    <w:name w:val="批注文字 Char"/>
    <w:autoRedefine/>
    <w:qFormat/>
    <w:uiPriority w:val="99"/>
    <w:rPr>
      <w:kern w:val="2"/>
      <w:sz w:val="21"/>
      <w:szCs w:val="24"/>
    </w:rPr>
  </w:style>
  <w:style w:type="character" w:customStyle="1" w:styleId="444">
    <w:name w:val="正文缩进 Char"/>
    <w:autoRedefine/>
    <w:qFormat/>
    <w:uiPriority w:val="0"/>
    <w:rPr>
      <w:rFonts w:ascii="Times New Roman" w:hAnsi="Times New Roman"/>
      <w:kern w:val="2"/>
      <w:sz w:val="21"/>
    </w:rPr>
  </w:style>
  <w:style w:type="character" w:customStyle="1" w:styleId="445">
    <w:name w:val="正文文本 Char"/>
    <w:autoRedefine/>
    <w:qFormat/>
    <w:uiPriority w:val="0"/>
    <w:rPr>
      <w:rFonts w:ascii="Times New Roman" w:hAnsi="Times New Roman" w:eastAsia="宋体" w:cs="Times New Roman"/>
      <w:sz w:val="28"/>
      <w:szCs w:val="24"/>
    </w:rPr>
  </w:style>
  <w:style w:type="character" w:customStyle="1" w:styleId="446">
    <w:name w:val="页脚 Char"/>
    <w:autoRedefine/>
    <w:qFormat/>
    <w:uiPriority w:val="0"/>
    <w:rPr>
      <w:rFonts w:ascii="Times New Roman" w:hAnsi="Times New Roman" w:eastAsia="黑体" w:cs="Times New Roman"/>
      <w:snapToGrid w:val="0"/>
      <w:kern w:val="0"/>
      <w:sz w:val="18"/>
      <w:szCs w:val="18"/>
    </w:rPr>
  </w:style>
  <w:style w:type="character" w:customStyle="1" w:styleId="447">
    <w:name w:val="正文文本缩进 2 Char"/>
    <w:autoRedefine/>
    <w:qFormat/>
    <w:uiPriority w:val="0"/>
    <w:rPr>
      <w:rFonts w:ascii="仿宋_GB2312" w:hAnsi="宋体" w:eastAsia="宋体" w:cs="Arial"/>
      <w:b/>
      <w:bCs/>
      <w:color w:val="000000"/>
      <w:sz w:val="24"/>
      <w:szCs w:val="24"/>
    </w:rPr>
  </w:style>
  <w:style w:type="character" w:customStyle="1" w:styleId="448">
    <w:name w:val="font61"/>
    <w:autoRedefine/>
    <w:qFormat/>
    <w:uiPriority w:val="0"/>
    <w:rPr>
      <w:rFonts w:hint="eastAsia" w:ascii="宋体" w:hAnsi="宋体" w:eastAsia="宋体" w:cs="宋体"/>
      <w:b/>
      <w:bCs/>
      <w:color w:val="000000"/>
      <w:sz w:val="18"/>
      <w:szCs w:val="18"/>
      <w:u w:val="none"/>
    </w:rPr>
  </w:style>
  <w:style w:type="character" w:customStyle="1" w:styleId="449">
    <w:name w:val="font101"/>
    <w:autoRedefine/>
    <w:qFormat/>
    <w:uiPriority w:val="0"/>
    <w:rPr>
      <w:rFonts w:hint="eastAsia" w:ascii="宋体" w:hAnsi="宋体" w:eastAsia="宋体" w:cs="宋体"/>
      <w:b/>
      <w:bCs/>
      <w:color w:val="000000"/>
      <w:sz w:val="16"/>
      <w:szCs w:val="16"/>
      <w:u w:val="none"/>
    </w:rPr>
  </w:style>
  <w:style w:type="character" w:customStyle="1" w:styleId="450">
    <w:name w:val="font91"/>
    <w:autoRedefine/>
    <w:qFormat/>
    <w:uiPriority w:val="0"/>
    <w:rPr>
      <w:rFonts w:hint="eastAsia" w:ascii="宋体" w:hAnsi="宋体" w:eastAsia="宋体"/>
      <w:b/>
      <w:bCs/>
      <w:color w:val="000000"/>
      <w:sz w:val="18"/>
      <w:szCs w:val="18"/>
      <w:u w:val="none"/>
    </w:rPr>
  </w:style>
  <w:style w:type="character" w:customStyle="1" w:styleId="451">
    <w:name w:val="font71"/>
    <w:autoRedefine/>
    <w:qFormat/>
    <w:uiPriority w:val="0"/>
    <w:rPr>
      <w:rFonts w:hint="eastAsia" w:ascii="宋体" w:hAnsi="宋体" w:eastAsia="宋体"/>
      <w:color w:val="FF0000"/>
      <w:sz w:val="20"/>
      <w:szCs w:val="20"/>
      <w:u w:val="none"/>
    </w:rPr>
  </w:style>
  <w:style w:type="character" w:customStyle="1" w:styleId="452">
    <w:name w:val="标题 3 字符"/>
    <w:autoRedefine/>
    <w:qFormat/>
    <w:uiPriority w:val="9"/>
    <w:rPr>
      <w:rFonts w:ascii="Times New Roman" w:hAnsi="Times New Roman" w:eastAsia="宋体" w:cs="Times New Roman"/>
      <w:b/>
      <w:bCs/>
      <w:sz w:val="32"/>
      <w:szCs w:val="32"/>
      <w:lang w:val="en-US" w:eastAsia="zh-CN" w:bidi="ar-SA"/>
    </w:rPr>
  </w:style>
  <w:style w:type="paragraph" w:customStyle="1" w:styleId="453">
    <w:name w:val="xl8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454">
    <w:name w:val="pa-74"/>
    <w:basedOn w:val="1"/>
    <w:autoRedefine/>
    <w:qFormat/>
    <w:uiPriority w:val="0"/>
    <w:pPr>
      <w:widowControl/>
      <w:spacing w:line="360" w:lineRule="atLeast"/>
      <w:ind w:firstLine="640"/>
      <w:jc w:val="center"/>
    </w:pPr>
    <w:rPr>
      <w:rFonts w:ascii="宋体" w:hAnsi="宋体" w:cs="宋体"/>
      <w:kern w:val="0"/>
      <w:sz w:val="24"/>
      <w:szCs w:val="22"/>
    </w:rPr>
  </w:style>
  <w:style w:type="paragraph" w:customStyle="1" w:styleId="455">
    <w:name w:val="ca-28"/>
    <w:basedOn w:val="1"/>
    <w:autoRedefine/>
    <w:qFormat/>
    <w:uiPriority w:val="0"/>
    <w:pPr>
      <w:widowControl/>
      <w:jc w:val="left"/>
    </w:pPr>
    <w:rPr>
      <w:rFonts w:ascii="宋体" w:hAnsi="宋体" w:cs="宋体"/>
      <w:color w:val="FF0000"/>
      <w:kern w:val="0"/>
      <w:szCs w:val="21"/>
    </w:rPr>
  </w:style>
  <w:style w:type="paragraph" w:customStyle="1" w:styleId="456">
    <w:name w:val="Normal_3"/>
    <w:autoRedefine/>
    <w:qFormat/>
    <w:uiPriority w:val="0"/>
    <w:rPr>
      <w:rFonts w:ascii="黑体" w:hAnsi="黑体" w:eastAsia="黑体" w:cs="Times New Roman"/>
      <w:b/>
      <w:sz w:val="32"/>
      <w:szCs w:val="24"/>
      <w:lang w:val="en-US" w:eastAsia="zh-CN" w:bidi="ar-SA"/>
    </w:rPr>
  </w:style>
  <w:style w:type="paragraph" w:customStyle="1" w:styleId="457">
    <w:name w:val="xl25"/>
    <w:basedOn w:val="1"/>
    <w:autoRedefine/>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458">
    <w:name w:val="ca-22"/>
    <w:basedOn w:val="1"/>
    <w:autoRedefine/>
    <w:qFormat/>
    <w:uiPriority w:val="0"/>
    <w:pPr>
      <w:widowControl/>
      <w:jc w:val="left"/>
    </w:pPr>
    <w:rPr>
      <w:rFonts w:ascii="宋体" w:hAnsi="宋体" w:cs="宋体"/>
      <w:kern w:val="0"/>
      <w:szCs w:val="21"/>
    </w:rPr>
  </w:style>
  <w:style w:type="paragraph" w:customStyle="1" w:styleId="459">
    <w:name w:val="xl3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460">
    <w:name w:val="pa-122"/>
    <w:basedOn w:val="1"/>
    <w:autoRedefine/>
    <w:qFormat/>
    <w:uiPriority w:val="0"/>
    <w:pPr>
      <w:widowControl/>
      <w:spacing w:line="360" w:lineRule="atLeast"/>
      <w:jc w:val="center"/>
    </w:pPr>
    <w:rPr>
      <w:rFonts w:ascii="宋体" w:hAnsi="宋体" w:cs="宋体"/>
      <w:kern w:val="0"/>
      <w:sz w:val="24"/>
      <w:szCs w:val="22"/>
    </w:rPr>
  </w:style>
  <w:style w:type="paragraph" w:customStyle="1" w:styleId="461">
    <w:name w:val="xl63"/>
    <w:basedOn w:val="1"/>
    <w:autoRedefine/>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462">
    <w:name w:val="菲页2"/>
    <w:basedOn w:val="4"/>
    <w:autoRedefine/>
    <w:qFormat/>
    <w:uiPriority w:val="0"/>
    <w:pPr>
      <w:widowControl/>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463">
    <w:name w:val="pa-44"/>
    <w:basedOn w:val="1"/>
    <w:autoRedefine/>
    <w:qFormat/>
    <w:uiPriority w:val="0"/>
    <w:pPr>
      <w:widowControl/>
      <w:spacing w:line="360" w:lineRule="atLeast"/>
      <w:ind w:firstLine="420"/>
      <w:jc w:val="left"/>
    </w:pPr>
    <w:rPr>
      <w:rFonts w:ascii="宋体" w:hAnsi="宋体" w:cs="宋体"/>
      <w:kern w:val="0"/>
      <w:sz w:val="24"/>
      <w:szCs w:val="22"/>
    </w:rPr>
  </w:style>
  <w:style w:type="paragraph" w:customStyle="1" w:styleId="464">
    <w:name w:val="p0"/>
    <w:basedOn w:val="1"/>
    <w:autoRedefine/>
    <w:qFormat/>
    <w:uiPriority w:val="0"/>
    <w:pPr>
      <w:widowControl/>
    </w:pPr>
    <w:rPr>
      <w:kern w:val="0"/>
      <w:szCs w:val="21"/>
    </w:rPr>
  </w:style>
  <w:style w:type="paragraph" w:customStyle="1" w:styleId="465">
    <w:name w:val="ca-11"/>
    <w:basedOn w:val="1"/>
    <w:autoRedefine/>
    <w:qFormat/>
    <w:uiPriority w:val="0"/>
    <w:pPr>
      <w:widowControl/>
      <w:jc w:val="left"/>
    </w:pPr>
    <w:rPr>
      <w:rFonts w:ascii="Calibri" w:hAnsi="Calibri"/>
      <w:color w:val="000000"/>
      <w:kern w:val="0"/>
      <w:sz w:val="30"/>
      <w:szCs w:val="30"/>
    </w:rPr>
  </w:style>
  <w:style w:type="paragraph" w:customStyle="1" w:styleId="466">
    <w:name w:val="ca-46"/>
    <w:basedOn w:val="1"/>
    <w:autoRedefine/>
    <w:qFormat/>
    <w:uiPriority w:val="0"/>
    <w:pPr>
      <w:widowControl/>
      <w:jc w:val="left"/>
    </w:pPr>
    <w:rPr>
      <w:rFonts w:ascii="宋体" w:hAnsi="宋体" w:cs="宋体"/>
      <w:color w:val="000000"/>
      <w:spacing w:val="-20"/>
      <w:kern w:val="0"/>
      <w:sz w:val="28"/>
      <w:szCs w:val="28"/>
    </w:rPr>
  </w:style>
  <w:style w:type="paragraph" w:customStyle="1" w:styleId="467">
    <w:name w:val="Char1 Char Char Char Char Char Char"/>
    <w:basedOn w:val="1"/>
    <w:autoRedefine/>
    <w:qFormat/>
    <w:uiPriority w:val="0"/>
    <w:rPr>
      <w:rFonts w:ascii="Tahoma" w:hAnsi="Tahoma"/>
      <w:sz w:val="24"/>
      <w:szCs w:val="20"/>
    </w:rPr>
  </w:style>
  <w:style w:type="paragraph" w:customStyle="1" w:styleId="468">
    <w:name w:val="pa-56"/>
    <w:basedOn w:val="1"/>
    <w:autoRedefine/>
    <w:qFormat/>
    <w:uiPriority w:val="0"/>
    <w:pPr>
      <w:widowControl/>
      <w:spacing w:line="300" w:lineRule="atLeast"/>
      <w:ind w:firstLine="420"/>
    </w:pPr>
    <w:rPr>
      <w:rFonts w:ascii="宋体" w:hAnsi="宋体" w:cs="宋体"/>
      <w:kern w:val="0"/>
      <w:sz w:val="24"/>
      <w:szCs w:val="22"/>
    </w:rPr>
  </w:style>
  <w:style w:type="paragraph" w:customStyle="1" w:styleId="469">
    <w:name w:val="标题6"/>
    <w:basedOn w:val="1"/>
    <w:next w:val="2"/>
    <w:autoRedefine/>
    <w:qFormat/>
    <w:uiPriority w:val="0"/>
    <w:pPr>
      <w:widowControl/>
      <w:snapToGrid w:val="0"/>
      <w:spacing w:before="156" w:beforeLines="50" w:after="156" w:afterLines="50" w:line="520" w:lineRule="atLeast"/>
      <w:ind w:firstLine="200" w:firstLineChars="200"/>
    </w:pPr>
    <w:rPr>
      <w:rFonts w:ascii="Calibri" w:hAnsi="Calibri" w:cs="Arial"/>
      <w:b/>
      <w:sz w:val="24"/>
    </w:rPr>
  </w:style>
  <w:style w:type="paragraph" w:customStyle="1" w:styleId="470">
    <w:name w:val="-PART-"/>
    <w:autoRedefine/>
    <w:qFormat/>
    <w:uiPriority w:val="0"/>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471">
    <w:name w:val="td-5"/>
    <w:basedOn w:val="1"/>
    <w:autoRedefine/>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szCs w:val="22"/>
    </w:rPr>
  </w:style>
  <w:style w:type="paragraph" w:customStyle="1" w:styleId="472">
    <w:name w:val="td-0"/>
    <w:basedOn w:val="1"/>
    <w:autoRedefine/>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szCs w:val="22"/>
    </w:rPr>
  </w:style>
  <w:style w:type="paragraph" w:customStyle="1" w:styleId="473">
    <w:name w:val="xl8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74">
    <w:name w:val="xl9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Times" w:hAnsi="Times"/>
      <w:kern w:val="0"/>
      <w:sz w:val="20"/>
      <w:szCs w:val="20"/>
    </w:rPr>
  </w:style>
  <w:style w:type="paragraph" w:customStyle="1" w:styleId="475">
    <w:name w:val="pa-94"/>
    <w:basedOn w:val="1"/>
    <w:autoRedefine/>
    <w:qFormat/>
    <w:uiPriority w:val="0"/>
    <w:pPr>
      <w:widowControl/>
      <w:spacing w:line="480" w:lineRule="atLeast"/>
      <w:jc w:val="left"/>
    </w:pPr>
    <w:rPr>
      <w:rFonts w:ascii="宋体" w:hAnsi="宋体" w:cs="宋体"/>
      <w:kern w:val="0"/>
      <w:sz w:val="24"/>
      <w:szCs w:val="22"/>
    </w:rPr>
  </w:style>
  <w:style w:type="paragraph" w:customStyle="1" w:styleId="476">
    <w:name w:val="默认段落字体 Para Char"/>
    <w:basedOn w:val="1"/>
    <w:autoRedefine/>
    <w:qFormat/>
    <w:uiPriority w:val="0"/>
    <w:pPr>
      <w:tabs>
        <w:tab w:val="left" w:pos="780"/>
      </w:tabs>
      <w:ind w:left="780" w:hanging="360"/>
    </w:pPr>
    <w:rPr>
      <w:rFonts w:ascii="Calibri" w:hAnsi="Calibri"/>
      <w:szCs w:val="22"/>
    </w:rPr>
  </w:style>
  <w:style w:type="paragraph" w:customStyle="1" w:styleId="477">
    <w:name w:val="pa-72"/>
    <w:basedOn w:val="1"/>
    <w:autoRedefine/>
    <w:qFormat/>
    <w:uiPriority w:val="0"/>
    <w:pPr>
      <w:widowControl/>
      <w:spacing w:line="240" w:lineRule="atLeast"/>
      <w:ind w:firstLine="560"/>
    </w:pPr>
    <w:rPr>
      <w:rFonts w:ascii="宋体" w:hAnsi="宋体" w:cs="宋体"/>
      <w:kern w:val="0"/>
      <w:sz w:val="24"/>
      <w:szCs w:val="22"/>
    </w:rPr>
  </w:style>
  <w:style w:type="paragraph" w:customStyle="1" w:styleId="478">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w:hAnsi="Times"/>
      <w:kern w:val="0"/>
      <w:sz w:val="20"/>
      <w:szCs w:val="20"/>
    </w:rPr>
  </w:style>
  <w:style w:type="paragraph" w:customStyle="1" w:styleId="479">
    <w:name w:val="xl88"/>
    <w:basedOn w:val="1"/>
    <w:autoRedefine/>
    <w:qFormat/>
    <w:uiPriority w:val="0"/>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480">
    <w:name w:val="Normal_20"/>
    <w:autoRedefine/>
    <w:qFormat/>
    <w:uiPriority w:val="0"/>
    <w:rPr>
      <w:rFonts w:ascii="黑体" w:hAnsi="黑体" w:eastAsia="黑体" w:cs="Times New Roman"/>
      <w:b/>
      <w:sz w:val="32"/>
      <w:szCs w:val="24"/>
      <w:lang w:val="en-US" w:eastAsia="zh-CN" w:bidi="ar-SA"/>
    </w:rPr>
  </w:style>
  <w:style w:type="paragraph" w:customStyle="1" w:styleId="481">
    <w:name w:val="Char1"/>
    <w:basedOn w:val="1"/>
    <w:autoRedefine/>
    <w:qFormat/>
    <w:uiPriority w:val="0"/>
    <w:rPr>
      <w:rFonts w:ascii="仿宋_GB2312" w:hAnsi="Calibri" w:eastAsia="仿宋_GB2312"/>
      <w:b/>
      <w:sz w:val="32"/>
      <w:szCs w:val="32"/>
    </w:rPr>
  </w:style>
  <w:style w:type="paragraph" w:customStyle="1" w:styleId="482">
    <w:name w:val="Char Char1 Char"/>
    <w:basedOn w:val="1"/>
    <w:autoRedefine/>
    <w:qFormat/>
    <w:uiPriority w:val="0"/>
    <w:rPr>
      <w:rFonts w:ascii="Calibri" w:hAnsi="Calibri"/>
      <w:szCs w:val="22"/>
    </w:rPr>
  </w:style>
  <w:style w:type="paragraph" w:customStyle="1" w:styleId="483">
    <w:name w:val="pa-87"/>
    <w:basedOn w:val="1"/>
    <w:autoRedefine/>
    <w:qFormat/>
    <w:uiPriority w:val="0"/>
    <w:pPr>
      <w:widowControl/>
      <w:spacing w:line="320" w:lineRule="atLeast"/>
      <w:ind w:firstLine="560"/>
      <w:jc w:val="left"/>
    </w:pPr>
    <w:rPr>
      <w:rFonts w:ascii="宋体" w:hAnsi="宋体" w:cs="宋体"/>
      <w:kern w:val="0"/>
      <w:sz w:val="24"/>
      <w:szCs w:val="22"/>
    </w:rPr>
  </w:style>
  <w:style w:type="paragraph" w:customStyle="1" w:styleId="484">
    <w:name w:val="四级目录 Char Char Char Char Char"/>
    <w:next w:val="1"/>
    <w:autoRedefine/>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48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288" w:lineRule="auto"/>
      <w:ind w:firstLine="200" w:firstLineChars="200"/>
      <w:jc w:val="left"/>
      <w:textAlignment w:val="center"/>
    </w:pPr>
    <w:rPr>
      <w:rFonts w:ascii="Calibri" w:hAnsi="Calibri"/>
      <w:kern w:val="0"/>
      <w:sz w:val="24"/>
    </w:rPr>
  </w:style>
  <w:style w:type="paragraph" w:customStyle="1" w:styleId="486">
    <w:name w:val="pa-31"/>
    <w:basedOn w:val="1"/>
    <w:autoRedefine/>
    <w:qFormat/>
    <w:uiPriority w:val="0"/>
    <w:pPr>
      <w:widowControl/>
      <w:spacing w:line="240" w:lineRule="atLeast"/>
      <w:ind w:firstLine="420"/>
      <w:jc w:val="left"/>
    </w:pPr>
    <w:rPr>
      <w:rFonts w:ascii="宋体" w:hAnsi="宋体" w:cs="宋体"/>
      <w:kern w:val="0"/>
      <w:sz w:val="24"/>
      <w:szCs w:val="22"/>
    </w:rPr>
  </w:style>
  <w:style w:type="paragraph" w:customStyle="1" w:styleId="487">
    <w:name w:val="正文文本缩进 31"/>
    <w:basedOn w:val="1"/>
    <w:autoRedefine/>
    <w:qFormat/>
    <w:uiPriority w:val="0"/>
    <w:pPr>
      <w:tabs>
        <w:tab w:val="left" w:pos="0"/>
      </w:tabs>
      <w:adjustRightInd w:val="0"/>
      <w:snapToGrid w:val="0"/>
      <w:spacing w:line="360" w:lineRule="auto"/>
      <w:ind w:firstLine="734" w:firstLineChars="200"/>
      <w:textAlignment w:val="baseline"/>
    </w:pPr>
    <w:rPr>
      <w:rFonts w:ascii="宋体" w:hAnsi="宋体"/>
      <w:kern w:val="0"/>
      <w:sz w:val="28"/>
      <w:szCs w:val="20"/>
    </w:rPr>
  </w:style>
  <w:style w:type="paragraph" w:customStyle="1" w:styleId="488">
    <w:name w:val="Normal_2"/>
    <w:autoRedefine/>
    <w:qFormat/>
    <w:uiPriority w:val="0"/>
    <w:rPr>
      <w:rFonts w:ascii="黑体" w:hAnsi="黑体" w:eastAsia="黑体" w:cs="Times New Roman"/>
      <w:b/>
      <w:sz w:val="32"/>
      <w:szCs w:val="24"/>
      <w:lang w:val="en-US" w:eastAsia="zh-CN" w:bidi="ar-SA"/>
    </w:rPr>
  </w:style>
  <w:style w:type="paragraph" w:customStyle="1" w:styleId="489">
    <w:name w:val="xl9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ahoma" w:hAnsi="Tahoma"/>
      <w:kern w:val="0"/>
      <w:sz w:val="20"/>
      <w:szCs w:val="20"/>
    </w:rPr>
  </w:style>
  <w:style w:type="paragraph" w:customStyle="1" w:styleId="490">
    <w:name w:val="标题 4_0"/>
    <w:next w:val="491"/>
    <w:autoRedefine/>
    <w:qFormat/>
    <w:uiPriority w:val="0"/>
    <w:pPr>
      <w:keepNext/>
      <w:keepLines/>
      <w:widowControl w:val="0"/>
      <w:spacing w:before="280" w:after="290" w:line="376" w:lineRule="auto"/>
      <w:jc w:val="both"/>
      <w:outlineLvl w:val="3"/>
    </w:pPr>
    <w:rPr>
      <w:rFonts w:ascii="Cambria Bold" w:hAnsi="Cambria Bold" w:eastAsia="ヒラギノ角ゴ Pro W3" w:cs="Times New Roman"/>
      <w:color w:val="000000"/>
      <w:kern w:val="2"/>
      <w:sz w:val="28"/>
      <w:u w:color="000000"/>
      <w:lang w:val="en-US" w:eastAsia="zh-CN" w:bidi="ar-SA"/>
    </w:rPr>
  </w:style>
  <w:style w:type="paragraph" w:customStyle="1" w:styleId="491">
    <w:name w:val="正文_0_0"/>
    <w:autoRedefine/>
    <w:qFormat/>
    <w:uiPriority w:val="0"/>
    <w:pPr>
      <w:widowControl w:val="0"/>
      <w:jc w:val="both"/>
    </w:pPr>
    <w:rPr>
      <w:rFonts w:ascii="Times New Roman" w:hAnsi="Times New Roman" w:eastAsia="ヒラギノ角ゴ Pro W3" w:cs="Times New Roman"/>
      <w:color w:val="000000"/>
      <w:kern w:val="2"/>
      <w:sz w:val="21"/>
      <w:u w:color="000000"/>
      <w:lang w:val="en-US" w:eastAsia="zh-CN" w:bidi="ar-SA"/>
    </w:rPr>
  </w:style>
  <w:style w:type="paragraph" w:customStyle="1" w:styleId="492">
    <w:name w:val="BJ-01-T"/>
    <w:autoRedefine/>
    <w:qFormat/>
    <w:uiPriority w:val="0"/>
    <w:pPr>
      <w:spacing w:before="120" w:line="360" w:lineRule="auto"/>
      <w:ind w:left="1418"/>
      <w:jc w:val="both"/>
    </w:pPr>
    <w:rPr>
      <w:rFonts w:ascii="Arial" w:hAnsi="Arial" w:eastAsia="宋体" w:cs="Times New Roman"/>
      <w:sz w:val="24"/>
      <w:lang w:val="en-GB" w:eastAsia="de-DE" w:bidi="ar-SA"/>
    </w:rPr>
  </w:style>
  <w:style w:type="paragraph" w:customStyle="1" w:styleId="493">
    <w:name w:val="_Style 490"/>
    <w:autoRedefine/>
    <w:qFormat/>
    <w:uiPriority w:val="0"/>
    <w:rPr>
      <w:rFonts w:ascii="Times New Roman" w:hAnsi="Times New Roman" w:eastAsia="宋体" w:cs="Times New Roman"/>
      <w:kern w:val="2"/>
      <w:sz w:val="21"/>
      <w:szCs w:val="24"/>
      <w:lang w:val="en-US" w:eastAsia="zh-CN" w:bidi="ar-SA"/>
    </w:rPr>
  </w:style>
  <w:style w:type="paragraph" w:customStyle="1" w:styleId="494">
    <w:name w:val="pa-20"/>
    <w:basedOn w:val="1"/>
    <w:autoRedefine/>
    <w:qFormat/>
    <w:uiPriority w:val="0"/>
    <w:pPr>
      <w:widowControl/>
      <w:spacing w:line="360" w:lineRule="atLeast"/>
      <w:jc w:val="left"/>
    </w:pPr>
    <w:rPr>
      <w:rFonts w:ascii="宋体" w:hAnsi="宋体" w:cs="宋体"/>
      <w:kern w:val="0"/>
      <w:sz w:val="24"/>
      <w:szCs w:val="22"/>
    </w:rPr>
  </w:style>
  <w:style w:type="paragraph" w:customStyle="1" w:styleId="495">
    <w:name w:val="xl31"/>
    <w:basedOn w:val="1"/>
    <w:autoRedefine/>
    <w:qFormat/>
    <w:uiPriority w:val="0"/>
    <w:pPr>
      <w:widowControl/>
      <w:pBdr>
        <w:bottom w:val="single" w:color="auto" w:sz="4" w:space="0"/>
      </w:pBdr>
      <w:adjustRightInd w:val="0"/>
      <w:snapToGrid w:val="0"/>
      <w:spacing w:before="100" w:beforeAutospacing="1" w:after="100" w:afterAutospacing="1" w:line="288" w:lineRule="auto"/>
      <w:ind w:firstLine="200" w:firstLineChars="200"/>
      <w:jc w:val="center"/>
    </w:pPr>
    <w:rPr>
      <w:rFonts w:ascii="宋体" w:hAnsi="宋体"/>
      <w:kern w:val="0"/>
      <w:sz w:val="24"/>
    </w:rPr>
  </w:style>
  <w:style w:type="paragraph" w:customStyle="1" w:styleId="496">
    <w:name w:val="Normal_12"/>
    <w:autoRedefine/>
    <w:qFormat/>
    <w:uiPriority w:val="0"/>
    <w:rPr>
      <w:rFonts w:ascii="黑体" w:hAnsi="黑体" w:eastAsia="黑体" w:cs="Times New Roman"/>
      <w:b/>
      <w:sz w:val="32"/>
      <w:szCs w:val="24"/>
      <w:lang w:val="en-US" w:eastAsia="zh-CN" w:bidi="ar-SA"/>
    </w:rPr>
  </w:style>
  <w:style w:type="paragraph" w:customStyle="1" w:styleId="497">
    <w:name w:val="默认段落字体 Para Char Char Char Char"/>
    <w:basedOn w:val="1"/>
    <w:autoRedefine/>
    <w:qFormat/>
    <w:uiPriority w:val="0"/>
    <w:rPr>
      <w:spacing w:val="20"/>
      <w:sz w:val="28"/>
      <w:szCs w:val="21"/>
    </w:rPr>
  </w:style>
  <w:style w:type="paragraph" w:customStyle="1" w:styleId="498">
    <w:name w:val="pa-116"/>
    <w:basedOn w:val="1"/>
    <w:autoRedefine/>
    <w:qFormat/>
    <w:uiPriority w:val="0"/>
    <w:pPr>
      <w:widowControl/>
      <w:spacing w:line="480" w:lineRule="atLeast"/>
      <w:ind w:firstLine="200"/>
    </w:pPr>
    <w:rPr>
      <w:rFonts w:ascii="宋体" w:hAnsi="宋体" w:cs="宋体"/>
      <w:kern w:val="0"/>
      <w:sz w:val="24"/>
      <w:szCs w:val="22"/>
    </w:rPr>
  </w:style>
  <w:style w:type="paragraph" w:customStyle="1" w:styleId="499">
    <w:name w:val="样式 样式 标题 4 + 非加粗 + (中文) 黑体 段前: 0 磅 段后: 0 磅 行距: 固定值 22 磅"/>
    <w:basedOn w:val="1"/>
    <w:autoRedefine/>
    <w:qFormat/>
    <w:uiPriority w:val="0"/>
    <w:pPr>
      <w:keepNext/>
      <w:keepLines/>
      <w:spacing w:before="156" w:beforeLines="50" w:after="156" w:afterLines="50" w:line="500" w:lineRule="exact"/>
      <w:outlineLvl w:val="3"/>
    </w:pPr>
    <w:rPr>
      <w:rFonts w:ascii="Arial" w:hAnsi="Arial" w:cs="宋体"/>
      <w:b/>
      <w:bCs/>
      <w:sz w:val="24"/>
    </w:rPr>
  </w:style>
  <w:style w:type="paragraph" w:customStyle="1" w:styleId="500">
    <w:name w:val="pa-139"/>
    <w:basedOn w:val="1"/>
    <w:autoRedefine/>
    <w:qFormat/>
    <w:uiPriority w:val="0"/>
    <w:pPr>
      <w:widowControl/>
      <w:spacing w:line="320" w:lineRule="atLeast"/>
      <w:ind w:firstLine="280"/>
    </w:pPr>
    <w:rPr>
      <w:rFonts w:ascii="宋体" w:hAnsi="宋体" w:cs="宋体"/>
      <w:kern w:val="0"/>
      <w:sz w:val="24"/>
      <w:szCs w:val="22"/>
    </w:rPr>
  </w:style>
  <w:style w:type="paragraph" w:customStyle="1" w:styleId="501">
    <w:name w:val="Normal_5"/>
    <w:autoRedefine/>
    <w:qFormat/>
    <w:uiPriority w:val="0"/>
    <w:rPr>
      <w:rFonts w:ascii="黑体" w:hAnsi="黑体" w:eastAsia="黑体" w:cs="Times New Roman"/>
      <w:b/>
      <w:sz w:val="32"/>
      <w:szCs w:val="24"/>
      <w:lang w:val="en-US" w:eastAsia="zh-CN" w:bidi="ar-SA"/>
    </w:rPr>
  </w:style>
  <w:style w:type="paragraph" w:customStyle="1" w:styleId="502">
    <w:name w:val="样式 样式 标题 3section:33l3Level 3 HeadH3heading 3h3Bold Headbh... + ... Char"/>
    <w:basedOn w:val="1"/>
    <w:autoRedefine/>
    <w:qFormat/>
    <w:uiPriority w:val="0"/>
    <w:pPr>
      <w:keepNext/>
      <w:keepLines/>
      <w:spacing w:before="156" w:beforeLines="50" w:after="156" w:afterLines="50" w:line="360" w:lineRule="auto"/>
      <w:ind w:left="800" w:leftChars="400"/>
      <w:outlineLvl w:val="2"/>
    </w:pPr>
    <w:rPr>
      <w:rFonts w:ascii="宋体" w:hAnsi="宋体" w:cs="宋体"/>
      <w:b/>
      <w:bCs/>
      <w:color w:val="FF0000"/>
      <w:sz w:val="24"/>
      <w:szCs w:val="22"/>
    </w:rPr>
  </w:style>
  <w:style w:type="paragraph" w:customStyle="1" w:styleId="503">
    <w:name w:val="pa-0"/>
    <w:basedOn w:val="1"/>
    <w:autoRedefine/>
    <w:qFormat/>
    <w:uiPriority w:val="0"/>
    <w:pPr>
      <w:widowControl/>
      <w:spacing w:line="520" w:lineRule="atLeast"/>
      <w:jc w:val="center"/>
    </w:pPr>
    <w:rPr>
      <w:rFonts w:ascii="宋体" w:hAnsi="宋体" w:cs="宋体"/>
      <w:kern w:val="0"/>
      <w:sz w:val="24"/>
      <w:szCs w:val="22"/>
    </w:rPr>
  </w:style>
  <w:style w:type="paragraph" w:customStyle="1" w:styleId="504">
    <w:name w:val="pa-107"/>
    <w:basedOn w:val="1"/>
    <w:autoRedefine/>
    <w:qFormat/>
    <w:uiPriority w:val="0"/>
    <w:pPr>
      <w:widowControl/>
      <w:spacing w:line="720" w:lineRule="atLeast"/>
      <w:ind w:firstLine="3000"/>
    </w:pPr>
    <w:rPr>
      <w:rFonts w:ascii="宋体" w:hAnsi="宋体" w:cs="宋体"/>
      <w:kern w:val="0"/>
      <w:sz w:val="24"/>
      <w:szCs w:val="22"/>
    </w:rPr>
  </w:style>
  <w:style w:type="paragraph" w:customStyle="1" w:styleId="505">
    <w:name w:val="样式 标题 3 + (中文) 黑体 小四 非加粗 段前: 7.8 磅 段后: 0 磅 行距: 固定值 20 磅"/>
    <w:basedOn w:val="4"/>
    <w:autoRedefine/>
    <w:qFormat/>
    <w:uiPriority w:val="0"/>
    <w:pPr>
      <w:spacing w:before="0" w:after="0" w:line="400" w:lineRule="exact"/>
    </w:pPr>
    <w:rPr>
      <w:rFonts w:ascii="Calibri" w:hAnsi="Calibri" w:eastAsia="黑体" w:cs="宋体"/>
      <w:b w:val="0"/>
      <w:bCs w:val="0"/>
      <w:sz w:val="24"/>
      <w:szCs w:val="20"/>
    </w:rPr>
  </w:style>
  <w:style w:type="paragraph" w:customStyle="1" w:styleId="506">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07">
    <w:name w:val="6'"/>
    <w:basedOn w:val="1"/>
    <w:autoRedefine/>
    <w:qFormat/>
    <w:uiPriority w:val="0"/>
    <w:pPr>
      <w:autoSpaceDE w:val="0"/>
      <w:autoSpaceDN w:val="0"/>
      <w:adjustRightInd w:val="0"/>
      <w:snapToGrid w:val="0"/>
      <w:spacing w:line="320" w:lineRule="exact"/>
      <w:jc w:val="center"/>
      <w:textAlignment w:val="baseline"/>
    </w:pPr>
    <w:rPr>
      <w:rFonts w:ascii="Calibri" w:hAnsi="Calibri"/>
      <w:spacing w:val="20"/>
      <w:kern w:val="28"/>
      <w:szCs w:val="20"/>
    </w:rPr>
  </w:style>
  <w:style w:type="paragraph" w:customStyle="1" w:styleId="508">
    <w:name w:val="pa-92"/>
    <w:basedOn w:val="1"/>
    <w:autoRedefine/>
    <w:qFormat/>
    <w:uiPriority w:val="0"/>
    <w:pPr>
      <w:widowControl/>
      <w:spacing w:line="480" w:lineRule="atLeast"/>
      <w:ind w:firstLine="480"/>
    </w:pPr>
    <w:rPr>
      <w:rFonts w:ascii="宋体" w:hAnsi="宋体" w:cs="宋体"/>
      <w:kern w:val="0"/>
      <w:sz w:val="24"/>
      <w:szCs w:val="22"/>
    </w:rPr>
  </w:style>
  <w:style w:type="paragraph" w:customStyle="1" w:styleId="509">
    <w:name w:val="pa-37"/>
    <w:basedOn w:val="1"/>
    <w:autoRedefine/>
    <w:qFormat/>
    <w:uiPriority w:val="0"/>
    <w:pPr>
      <w:widowControl/>
      <w:spacing w:line="360" w:lineRule="atLeast"/>
      <w:ind w:firstLine="300"/>
    </w:pPr>
    <w:rPr>
      <w:rFonts w:ascii="宋体" w:hAnsi="宋体" w:cs="宋体"/>
      <w:kern w:val="0"/>
      <w:sz w:val="24"/>
      <w:szCs w:val="22"/>
    </w:rPr>
  </w:style>
  <w:style w:type="paragraph" w:customStyle="1" w:styleId="510">
    <w:name w:val="浅色列表 - 强调文字颜色 31"/>
    <w:autoRedefine/>
    <w:qFormat/>
    <w:uiPriority w:val="0"/>
    <w:rPr>
      <w:rFonts w:ascii="Times New Roman" w:hAnsi="Times New Roman" w:eastAsia="宋体" w:cs="Times New Roman"/>
      <w:kern w:val="2"/>
      <w:sz w:val="21"/>
      <w:szCs w:val="24"/>
      <w:lang w:val="en-US" w:eastAsia="zh-CN" w:bidi="ar-SA"/>
    </w:rPr>
  </w:style>
  <w:style w:type="paragraph" w:customStyle="1" w:styleId="511">
    <w:name w:val="xl64"/>
    <w:basedOn w:val="1"/>
    <w:autoRedefine/>
    <w:qFormat/>
    <w:uiPriority w:val="0"/>
    <w:pPr>
      <w:widowControl/>
      <w:shd w:val="clear" w:color="000000" w:fill="00FFFF"/>
      <w:spacing w:before="100" w:beforeAutospacing="1" w:after="100" w:afterAutospacing="1"/>
      <w:jc w:val="left"/>
    </w:pPr>
    <w:rPr>
      <w:rFonts w:ascii="宋体" w:hAnsi="宋体" w:cs="宋体"/>
      <w:kern w:val="0"/>
      <w:sz w:val="24"/>
    </w:rPr>
  </w:style>
  <w:style w:type="paragraph" w:customStyle="1" w:styleId="512">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13">
    <w:name w:val="正文_4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4">
    <w:name w:val="Char"/>
    <w:basedOn w:val="1"/>
    <w:autoRedefine/>
    <w:qFormat/>
    <w:uiPriority w:val="0"/>
    <w:pPr>
      <w:tabs>
        <w:tab w:val="left" w:pos="1200"/>
      </w:tabs>
      <w:ind w:left="1200" w:hanging="360"/>
    </w:pPr>
    <w:rPr>
      <w:sz w:val="24"/>
    </w:rPr>
  </w:style>
  <w:style w:type="paragraph" w:customStyle="1" w:styleId="515">
    <w:name w:val="td-8"/>
    <w:basedOn w:val="1"/>
    <w:autoRedefine/>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szCs w:val="22"/>
    </w:rPr>
  </w:style>
  <w:style w:type="paragraph" w:customStyle="1" w:styleId="516">
    <w:name w:val="pa-51"/>
    <w:basedOn w:val="1"/>
    <w:autoRedefine/>
    <w:qFormat/>
    <w:uiPriority w:val="0"/>
    <w:pPr>
      <w:widowControl/>
      <w:spacing w:line="276" w:lineRule="atLeast"/>
      <w:jc w:val="center"/>
    </w:pPr>
    <w:rPr>
      <w:rFonts w:ascii="宋体" w:hAnsi="宋体" w:cs="宋体"/>
      <w:kern w:val="0"/>
      <w:sz w:val="24"/>
      <w:szCs w:val="22"/>
    </w:rPr>
  </w:style>
  <w:style w:type="paragraph" w:customStyle="1" w:styleId="517">
    <w:name w:val="ca-5"/>
    <w:basedOn w:val="1"/>
    <w:autoRedefine/>
    <w:qFormat/>
    <w:uiPriority w:val="0"/>
    <w:pPr>
      <w:widowControl/>
      <w:jc w:val="left"/>
    </w:pPr>
    <w:rPr>
      <w:rFonts w:ascii="宋体" w:hAnsi="宋体" w:cs="宋体"/>
      <w:b/>
      <w:bCs/>
      <w:color w:val="000000"/>
      <w:spacing w:val="40"/>
      <w:kern w:val="0"/>
      <w:sz w:val="48"/>
      <w:szCs w:val="48"/>
    </w:rPr>
  </w:style>
  <w:style w:type="paragraph" w:customStyle="1" w:styleId="518">
    <w:name w:val="ca-42"/>
    <w:basedOn w:val="1"/>
    <w:autoRedefine/>
    <w:qFormat/>
    <w:uiPriority w:val="0"/>
    <w:pPr>
      <w:widowControl/>
      <w:jc w:val="left"/>
    </w:pPr>
    <w:rPr>
      <w:rFonts w:ascii="宋体" w:hAnsi="宋体" w:cs="宋体"/>
      <w:color w:val="000000"/>
      <w:kern w:val="0"/>
      <w:sz w:val="36"/>
      <w:szCs w:val="36"/>
    </w:rPr>
  </w:style>
  <w:style w:type="paragraph" w:customStyle="1" w:styleId="519">
    <w:name w:val="List Paragraph_09bc4572-ccca-4221-8d2d-74b55c228ab0"/>
    <w:basedOn w:val="1"/>
    <w:autoRedefine/>
    <w:qFormat/>
    <w:uiPriority w:val="0"/>
    <w:pPr>
      <w:ind w:firstLine="420" w:firstLineChars="200"/>
    </w:pPr>
    <w:rPr>
      <w:kern w:val="0"/>
      <w:sz w:val="20"/>
    </w:rPr>
  </w:style>
  <w:style w:type="paragraph" w:customStyle="1" w:styleId="520">
    <w:name w:val="pa-79"/>
    <w:basedOn w:val="1"/>
    <w:autoRedefine/>
    <w:qFormat/>
    <w:uiPriority w:val="0"/>
    <w:pPr>
      <w:widowControl/>
      <w:spacing w:line="360" w:lineRule="atLeast"/>
      <w:ind w:firstLine="3040"/>
      <w:jc w:val="left"/>
    </w:pPr>
    <w:rPr>
      <w:rFonts w:ascii="宋体" w:hAnsi="宋体" w:cs="宋体"/>
      <w:kern w:val="0"/>
      <w:sz w:val="24"/>
      <w:szCs w:val="22"/>
    </w:rPr>
  </w:style>
  <w:style w:type="paragraph" w:customStyle="1" w:styleId="521">
    <w:name w:val="pa-141"/>
    <w:basedOn w:val="1"/>
    <w:autoRedefine/>
    <w:qFormat/>
    <w:uiPriority w:val="0"/>
    <w:pPr>
      <w:widowControl/>
      <w:spacing w:line="320" w:lineRule="atLeast"/>
      <w:jc w:val="right"/>
    </w:pPr>
    <w:rPr>
      <w:rFonts w:ascii="宋体" w:hAnsi="宋体" w:cs="宋体"/>
      <w:kern w:val="0"/>
      <w:sz w:val="24"/>
      <w:szCs w:val="22"/>
    </w:rPr>
  </w:style>
  <w:style w:type="paragraph" w:customStyle="1" w:styleId="522">
    <w:name w:val="简单回函地址"/>
    <w:basedOn w:val="1"/>
    <w:autoRedefine/>
    <w:qFormat/>
    <w:uiPriority w:val="0"/>
    <w:pPr>
      <w:adjustRightInd w:val="0"/>
      <w:spacing w:line="312" w:lineRule="atLeast"/>
      <w:textAlignment w:val="baseline"/>
    </w:pPr>
    <w:rPr>
      <w:kern w:val="0"/>
      <w:szCs w:val="20"/>
    </w:rPr>
  </w:style>
  <w:style w:type="paragraph" w:customStyle="1" w:styleId="523">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524">
    <w:name w:val="常规"/>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525">
    <w:name w:val="ca-4"/>
    <w:basedOn w:val="1"/>
    <w:autoRedefine/>
    <w:qFormat/>
    <w:uiPriority w:val="0"/>
    <w:pPr>
      <w:widowControl/>
      <w:jc w:val="left"/>
    </w:pPr>
    <w:rPr>
      <w:rFonts w:ascii="宋体" w:hAnsi="宋体" w:cs="宋体"/>
      <w:b/>
      <w:bCs/>
      <w:color w:val="000000"/>
      <w:spacing w:val="-20"/>
      <w:kern w:val="0"/>
      <w:sz w:val="48"/>
      <w:szCs w:val="48"/>
    </w:rPr>
  </w:style>
  <w:style w:type="paragraph" w:customStyle="1" w:styleId="526">
    <w:name w:val="BJ-Blob"/>
    <w:autoRedefine/>
    <w:qFormat/>
    <w:uiPriority w:val="0"/>
    <w:pPr>
      <w:numPr>
        <w:ilvl w:val="0"/>
        <w:numId w:val="1"/>
      </w:numPr>
      <w:tabs>
        <w:tab w:val="left" w:pos="360"/>
      </w:tabs>
      <w:spacing w:before="40" w:after="40" w:line="360" w:lineRule="auto"/>
      <w:jc w:val="both"/>
    </w:pPr>
    <w:rPr>
      <w:rFonts w:ascii="Arial" w:hAnsi="Arial" w:eastAsia="宋体" w:cs="Times New Roman"/>
      <w:sz w:val="24"/>
      <w:lang w:val="en-GB" w:eastAsia="de-DE" w:bidi="ar-SA"/>
    </w:rPr>
  </w:style>
  <w:style w:type="paragraph" w:customStyle="1" w:styleId="527">
    <w:name w:val="Para---"/>
    <w:autoRedefine/>
    <w:qFormat/>
    <w:uiPriority w:val="0"/>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528">
    <w:name w:val="msonormalcxspmiddle"/>
    <w:basedOn w:val="1"/>
    <w:autoRedefine/>
    <w:qFormat/>
    <w:uiPriority w:val="0"/>
    <w:pPr>
      <w:widowControl/>
      <w:spacing w:before="100" w:beforeAutospacing="1" w:after="100" w:afterAutospacing="1"/>
      <w:jc w:val="left"/>
    </w:pPr>
    <w:rPr>
      <w:rFonts w:ascii="宋体" w:hAnsi="宋体" w:cs="宋体"/>
      <w:kern w:val="0"/>
      <w:sz w:val="24"/>
      <w:szCs w:val="22"/>
    </w:rPr>
  </w:style>
  <w:style w:type="paragraph" w:customStyle="1" w:styleId="529">
    <w:name w:val="Normal_13"/>
    <w:autoRedefine/>
    <w:qFormat/>
    <w:uiPriority w:val="0"/>
    <w:rPr>
      <w:rFonts w:ascii="黑体" w:hAnsi="黑体" w:eastAsia="黑体" w:cs="Times New Roman"/>
      <w:b/>
      <w:sz w:val="32"/>
      <w:szCs w:val="24"/>
      <w:lang w:val="en-US" w:eastAsia="zh-CN" w:bidi="ar-SA"/>
    </w:rPr>
  </w:style>
  <w:style w:type="paragraph" w:customStyle="1" w:styleId="530">
    <w:name w:val="pa-68"/>
    <w:basedOn w:val="1"/>
    <w:autoRedefine/>
    <w:qFormat/>
    <w:uiPriority w:val="0"/>
    <w:pPr>
      <w:widowControl/>
      <w:spacing w:line="240" w:lineRule="atLeast"/>
      <w:ind w:firstLine="520"/>
    </w:pPr>
    <w:rPr>
      <w:rFonts w:ascii="宋体" w:hAnsi="宋体" w:cs="宋体"/>
      <w:kern w:val="0"/>
      <w:sz w:val="24"/>
      <w:szCs w:val="22"/>
    </w:rPr>
  </w:style>
  <w:style w:type="paragraph" w:customStyle="1" w:styleId="531">
    <w:name w:val="pa-120"/>
    <w:basedOn w:val="1"/>
    <w:autoRedefine/>
    <w:qFormat/>
    <w:uiPriority w:val="0"/>
    <w:pPr>
      <w:widowControl/>
      <w:spacing w:line="280" w:lineRule="atLeast"/>
      <w:jc w:val="right"/>
    </w:pPr>
    <w:rPr>
      <w:rFonts w:ascii="宋体" w:hAnsi="宋体" w:cs="宋体"/>
      <w:kern w:val="0"/>
      <w:sz w:val="24"/>
      <w:szCs w:val="22"/>
    </w:rPr>
  </w:style>
  <w:style w:type="paragraph" w:customStyle="1" w:styleId="532">
    <w:name w:val="投标标题 2"/>
    <w:basedOn w:val="16"/>
    <w:autoRedefine/>
    <w:qFormat/>
    <w:uiPriority w:val="0"/>
    <w:pPr>
      <w:spacing w:before="0" w:after="0"/>
      <w:ind w:firstLine="6290" w:firstLineChars="2282"/>
    </w:pPr>
    <w:rPr>
      <w:rFonts w:ascii="Calibri" w:hAnsi="Calibri" w:eastAsia="宋体" w:cs="Times New Roman"/>
      <w:b/>
      <w:bCs/>
      <w:sz w:val="28"/>
      <w:szCs w:val="22"/>
    </w:rPr>
  </w:style>
  <w:style w:type="paragraph" w:customStyle="1" w:styleId="533">
    <w:name w:val="CPara---"/>
    <w:autoRedefine/>
    <w:qFormat/>
    <w:uiPriority w:val="0"/>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534">
    <w:name w:val="Normal_4"/>
    <w:autoRedefine/>
    <w:qFormat/>
    <w:uiPriority w:val="0"/>
    <w:rPr>
      <w:rFonts w:ascii="黑体" w:hAnsi="黑体" w:eastAsia="黑体" w:cs="Times New Roman"/>
      <w:b/>
      <w:sz w:val="32"/>
      <w:szCs w:val="24"/>
      <w:lang w:val="en-US" w:eastAsia="zh-CN" w:bidi="ar-SA"/>
    </w:rPr>
  </w:style>
  <w:style w:type="paragraph" w:customStyle="1" w:styleId="535">
    <w:name w:val="正文_2_0"/>
    <w:autoRedefine/>
    <w:qFormat/>
    <w:uiPriority w:val="0"/>
    <w:pPr>
      <w:widowControl w:val="0"/>
      <w:jc w:val="both"/>
    </w:pPr>
    <w:rPr>
      <w:rFonts w:ascii="Times New Roman" w:hAnsi="Times New Roman" w:eastAsia="ヒラギノ角ゴ Pro W3" w:cs="Times New Roman"/>
      <w:color w:val="000000"/>
      <w:kern w:val="2"/>
      <w:sz w:val="21"/>
      <w:u w:color="000000"/>
      <w:lang w:val="en-US" w:eastAsia="zh-CN" w:bidi="ar-SA"/>
    </w:rPr>
  </w:style>
  <w:style w:type="paragraph" w:customStyle="1" w:styleId="536">
    <w:name w:val="常规_修改2"/>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537">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8">
    <w:name w:val="pa-6"/>
    <w:basedOn w:val="1"/>
    <w:autoRedefine/>
    <w:qFormat/>
    <w:uiPriority w:val="0"/>
    <w:pPr>
      <w:widowControl/>
      <w:spacing w:line="560" w:lineRule="atLeast"/>
    </w:pPr>
    <w:rPr>
      <w:rFonts w:ascii="宋体" w:hAnsi="宋体" w:cs="宋体"/>
      <w:kern w:val="0"/>
      <w:sz w:val="24"/>
      <w:szCs w:val="22"/>
    </w:rPr>
  </w:style>
  <w:style w:type="paragraph" w:customStyle="1" w:styleId="539">
    <w:name w:val="pa-110"/>
    <w:basedOn w:val="1"/>
    <w:autoRedefine/>
    <w:qFormat/>
    <w:uiPriority w:val="0"/>
    <w:pPr>
      <w:widowControl/>
      <w:spacing w:line="360" w:lineRule="atLeast"/>
      <w:jc w:val="center"/>
    </w:pPr>
    <w:rPr>
      <w:rFonts w:ascii="宋体" w:hAnsi="宋体" w:cs="宋体"/>
      <w:kern w:val="0"/>
      <w:sz w:val="24"/>
      <w:szCs w:val="22"/>
    </w:rPr>
  </w:style>
  <w:style w:type="paragraph" w:customStyle="1" w:styleId="540">
    <w:name w:val="style1"/>
    <w:basedOn w:val="1"/>
    <w:autoRedefine/>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541">
    <w:name w:val="pa-98"/>
    <w:basedOn w:val="1"/>
    <w:autoRedefine/>
    <w:qFormat/>
    <w:uiPriority w:val="0"/>
    <w:pPr>
      <w:widowControl/>
      <w:spacing w:line="720" w:lineRule="atLeast"/>
      <w:ind w:firstLine="480"/>
    </w:pPr>
    <w:rPr>
      <w:rFonts w:ascii="宋体" w:hAnsi="宋体" w:cs="宋体"/>
      <w:kern w:val="0"/>
      <w:sz w:val="24"/>
      <w:szCs w:val="22"/>
    </w:rPr>
  </w:style>
  <w:style w:type="paragraph" w:customStyle="1" w:styleId="542">
    <w:name w:val="样式4"/>
    <w:basedOn w:val="4"/>
    <w:autoRedefine/>
    <w:qFormat/>
    <w:uiPriority w:val="0"/>
    <w:pPr>
      <w:spacing w:line="415" w:lineRule="auto"/>
      <w:ind w:left="720" w:hanging="720"/>
    </w:pPr>
    <w:rPr>
      <w:rFonts w:ascii="Calibri" w:hAnsi="Calibri" w:eastAsia="Arial"/>
    </w:rPr>
  </w:style>
  <w:style w:type="paragraph" w:customStyle="1" w:styleId="543">
    <w:name w:val="pa-126"/>
    <w:basedOn w:val="1"/>
    <w:autoRedefine/>
    <w:qFormat/>
    <w:uiPriority w:val="0"/>
    <w:pPr>
      <w:widowControl/>
      <w:spacing w:line="480" w:lineRule="atLeast"/>
      <w:ind w:firstLine="480"/>
    </w:pPr>
    <w:rPr>
      <w:rFonts w:ascii="宋体" w:hAnsi="宋体" w:cs="宋体"/>
      <w:kern w:val="0"/>
      <w:sz w:val="24"/>
      <w:szCs w:val="22"/>
    </w:rPr>
  </w:style>
  <w:style w:type="paragraph" w:customStyle="1" w:styleId="544">
    <w:name w:val="ca-2"/>
    <w:basedOn w:val="1"/>
    <w:autoRedefine/>
    <w:qFormat/>
    <w:uiPriority w:val="0"/>
    <w:pPr>
      <w:widowControl/>
      <w:jc w:val="left"/>
    </w:pPr>
    <w:rPr>
      <w:rFonts w:ascii="Calibri" w:hAnsi="Calibri"/>
      <w:color w:val="000000"/>
      <w:kern w:val="0"/>
      <w:sz w:val="36"/>
      <w:szCs w:val="36"/>
    </w:rPr>
  </w:style>
  <w:style w:type="paragraph" w:customStyle="1" w:styleId="545">
    <w:name w:val="style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46">
    <w:name w:val="Char Char2 Char"/>
    <w:basedOn w:val="1"/>
    <w:autoRedefine/>
    <w:qFormat/>
    <w:uiPriority w:val="0"/>
    <w:pPr>
      <w:keepNext/>
      <w:keepLines/>
      <w:pageBreakBefore/>
      <w:tabs>
        <w:tab w:val="left" w:pos="845"/>
      </w:tabs>
      <w:ind w:left="845" w:hanging="420"/>
    </w:pPr>
    <w:rPr>
      <w:rFonts w:ascii="Tahoma" w:hAnsi="Tahoma"/>
      <w:sz w:val="24"/>
      <w:szCs w:val="20"/>
    </w:rPr>
  </w:style>
  <w:style w:type="paragraph" w:customStyle="1" w:styleId="547">
    <w:name w:val="pa-76"/>
    <w:basedOn w:val="1"/>
    <w:autoRedefine/>
    <w:qFormat/>
    <w:uiPriority w:val="0"/>
    <w:pPr>
      <w:widowControl/>
      <w:spacing w:line="400" w:lineRule="atLeast"/>
      <w:jc w:val="left"/>
    </w:pPr>
    <w:rPr>
      <w:rFonts w:ascii="宋体" w:hAnsi="宋体" w:cs="宋体"/>
      <w:kern w:val="0"/>
      <w:sz w:val="24"/>
      <w:szCs w:val="22"/>
    </w:rPr>
  </w:style>
  <w:style w:type="paragraph" w:customStyle="1" w:styleId="548">
    <w:name w:val="C Part --"/>
    <w:autoRedefine/>
    <w:qFormat/>
    <w:uiPriority w:val="0"/>
    <w:pPr>
      <w:spacing w:before="100" w:beforeAutospacing="1" w:line="360" w:lineRule="auto"/>
      <w:jc w:val="both"/>
    </w:pPr>
    <w:rPr>
      <w:rFonts w:ascii="宋体" w:hAnsi="宋体" w:eastAsia="宋体" w:cs="Times New Roman"/>
      <w:kern w:val="2"/>
      <w:lang w:val="en-US" w:eastAsia="zh-CN" w:bidi="ar-SA"/>
    </w:rPr>
  </w:style>
  <w:style w:type="paragraph" w:customStyle="1" w:styleId="549">
    <w:name w:val="xl123"/>
    <w:basedOn w:val="1"/>
    <w:autoRedefine/>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550">
    <w:name w:val="文档正文"/>
    <w:basedOn w:val="1"/>
    <w:autoRedefine/>
    <w:qFormat/>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551">
    <w:name w:val="xl126"/>
    <w:basedOn w:val="1"/>
    <w:autoRedefine/>
    <w:qFormat/>
    <w:uiPriority w:val="0"/>
    <w:pPr>
      <w:widowControl/>
      <w:pBdr>
        <w:top w:val="single" w:color="000000"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55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53">
    <w:name w:val="xl136"/>
    <w:basedOn w:val="1"/>
    <w:autoRedefine/>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554">
    <w:name w:val="样式 正文（首行缩进两字） + 首行缩进:  2 字符"/>
    <w:basedOn w:val="15"/>
    <w:autoRedefine/>
    <w:qFormat/>
    <w:uiPriority w:val="0"/>
    <w:pPr>
      <w:spacing w:line="460" w:lineRule="exact"/>
      <w:ind w:firstLine="536" w:firstLineChars="200"/>
    </w:pPr>
    <w:rPr>
      <w:rFonts w:ascii="Calibri" w:hAnsi="Calibri"/>
      <w:spacing w:val="6"/>
      <w:kern w:val="24"/>
      <w:sz w:val="24"/>
    </w:rPr>
  </w:style>
  <w:style w:type="paragraph" w:customStyle="1" w:styleId="555">
    <w:name w:val="font14"/>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6">
    <w:name w:val="pa-10"/>
    <w:basedOn w:val="1"/>
    <w:autoRedefine/>
    <w:qFormat/>
    <w:uiPriority w:val="0"/>
    <w:pPr>
      <w:widowControl/>
      <w:spacing w:line="360" w:lineRule="atLeast"/>
      <w:ind w:firstLine="3220"/>
    </w:pPr>
    <w:rPr>
      <w:rFonts w:ascii="宋体" w:hAnsi="宋体" w:cs="宋体"/>
      <w:kern w:val="0"/>
      <w:sz w:val="24"/>
      <w:szCs w:val="22"/>
    </w:rPr>
  </w:style>
  <w:style w:type="paragraph" w:customStyle="1" w:styleId="557">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58">
    <w:name w:val="Char Char Char Char Char Char Char Char Char Char Char Char Char Char Char Char Char Char Char Char Char Char Char Char Char Char Char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59">
    <w:name w:val="td-3"/>
    <w:basedOn w:val="1"/>
    <w:autoRedefine/>
    <w:qFormat/>
    <w:uiPriority w:val="0"/>
    <w:pPr>
      <w:widowControl/>
      <w:pBdr>
        <w:top w:val="single" w:color="000000" w:sz="6" w:space="0"/>
        <w:left w:val="single" w:color="000000" w:sz="6" w:space="4"/>
        <w:right w:val="single" w:color="000000" w:sz="6" w:space="0"/>
      </w:pBdr>
      <w:jc w:val="left"/>
    </w:pPr>
    <w:rPr>
      <w:rFonts w:ascii="宋体" w:hAnsi="宋体" w:cs="宋体"/>
      <w:kern w:val="0"/>
      <w:sz w:val="24"/>
      <w:szCs w:val="22"/>
    </w:rPr>
  </w:style>
  <w:style w:type="paragraph" w:customStyle="1" w:styleId="560">
    <w:name w:val="ca-27"/>
    <w:basedOn w:val="1"/>
    <w:autoRedefine/>
    <w:qFormat/>
    <w:uiPriority w:val="0"/>
    <w:pPr>
      <w:widowControl/>
      <w:jc w:val="left"/>
    </w:pPr>
    <w:rPr>
      <w:rFonts w:ascii="宋体" w:hAnsi="宋体" w:cs="宋体"/>
      <w:b/>
      <w:bCs/>
      <w:color w:val="002060"/>
      <w:spacing w:val="-20"/>
      <w:kern w:val="0"/>
      <w:szCs w:val="21"/>
    </w:rPr>
  </w:style>
  <w:style w:type="paragraph" w:customStyle="1" w:styleId="561">
    <w:name w:val="pa-35"/>
    <w:basedOn w:val="1"/>
    <w:autoRedefine/>
    <w:qFormat/>
    <w:uiPriority w:val="0"/>
    <w:pPr>
      <w:widowControl/>
      <w:spacing w:line="360" w:lineRule="atLeast"/>
      <w:jc w:val="left"/>
    </w:pPr>
    <w:rPr>
      <w:rFonts w:ascii="宋体" w:hAnsi="宋体" w:cs="宋体"/>
      <w:kern w:val="0"/>
      <w:sz w:val="24"/>
      <w:szCs w:val="22"/>
    </w:rPr>
  </w:style>
  <w:style w:type="paragraph" w:customStyle="1" w:styleId="562">
    <w:name w:val="Char Char Char Char Char Char Char Char Char Char Char Char Char Char Char Char Char Char Char Char Char Char Char Char Char"/>
    <w:basedOn w:val="1"/>
    <w:autoRedefine/>
    <w:qFormat/>
    <w:uiPriority w:val="0"/>
    <w:rPr>
      <w:rFonts w:ascii="Tahoma" w:hAnsi="Tahoma"/>
      <w:sz w:val="24"/>
      <w:szCs w:val="20"/>
    </w:rPr>
  </w:style>
  <w:style w:type="paragraph" w:customStyle="1" w:styleId="563">
    <w:name w:val="ca-15"/>
    <w:basedOn w:val="1"/>
    <w:autoRedefine/>
    <w:qFormat/>
    <w:uiPriority w:val="0"/>
    <w:pPr>
      <w:widowControl/>
      <w:jc w:val="left"/>
    </w:pPr>
    <w:rPr>
      <w:rFonts w:ascii="宋体" w:hAnsi="宋体" w:cs="宋体"/>
      <w:caps/>
      <w:color w:val="000000"/>
      <w:kern w:val="0"/>
      <w:sz w:val="24"/>
      <w:szCs w:val="22"/>
    </w:rPr>
  </w:style>
  <w:style w:type="paragraph" w:customStyle="1" w:styleId="564">
    <w:name w:val="xl13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565">
    <w:name w:val="xl102"/>
    <w:basedOn w:val="1"/>
    <w:autoRedefine/>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Times" w:hAnsi="Times"/>
      <w:kern w:val="0"/>
      <w:sz w:val="20"/>
      <w:szCs w:val="20"/>
    </w:rPr>
  </w:style>
  <w:style w:type="paragraph" w:customStyle="1" w:styleId="566">
    <w:name w:val="td-10"/>
    <w:basedOn w:val="1"/>
    <w:autoRedefine/>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szCs w:val="22"/>
    </w:rPr>
  </w:style>
  <w:style w:type="paragraph" w:customStyle="1" w:styleId="567">
    <w:name w:val="标题 81"/>
    <w:basedOn w:val="1"/>
    <w:next w:val="1"/>
    <w:autoRedefine/>
    <w:unhideWhenUsed/>
    <w:qFormat/>
    <w:uiPriority w:val="9"/>
    <w:pPr>
      <w:keepNext/>
      <w:keepLines/>
      <w:numPr>
        <w:ilvl w:val="7"/>
        <w:numId w:val="2"/>
      </w:numPr>
      <w:tabs>
        <w:tab w:val="left" w:pos="1200"/>
      </w:tabs>
      <w:spacing w:before="240" w:after="64" w:line="320" w:lineRule="auto"/>
      <w:ind w:left="1200" w:hanging="360"/>
      <w:outlineLvl w:val="7"/>
    </w:pPr>
    <w:rPr>
      <w:rFonts w:ascii="等线 Light" w:hAnsi="等线 Light" w:eastAsia="等线 Light"/>
      <w:sz w:val="24"/>
    </w:rPr>
  </w:style>
  <w:style w:type="paragraph" w:customStyle="1" w:styleId="568">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9">
    <w:name w:val="Normal_16"/>
    <w:autoRedefine/>
    <w:qFormat/>
    <w:uiPriority w:val="0"/>
    <w:rPr>
      <w:rFonts w:ascii="黑体" w:hAnsi="黑体" w:eastAsia="黑体" w:cs="Times New Roman"/>
      <w:b/>
      <w:sz w:val="32"/>
      <w:szCs w:val="24"/>
      <w:lang w:val="en-US" w:eastAsia="zh-CN" w:bidi="ar-SA"/>
    </w:rPr>
  </w:style>
  <w:style w:type="paragraph" w:customStyle="1" w:styleId="570">
    <w:name w:val="Char Char Char Char Char Char"/>
    <w:basedOn w:val="1"/>
    <w:autoRedefine/>
    <w:qFormat/>
    <w:uiPriority w:val="0"/>
    <w:rPr>
      <w:rFonts w:ascii="仿宋_GB2312" w:eastAsia="仿宋_GB2312"/>
      <w:b/>
      <w:sz w:val="32"/>
      <w:szCs w:val="32"/>
    </w:rPr>
  </w:style>
  <w:style w:type="paragraph" w:customStyle="1" w:styleId="571">
    <w:name w:val="pa-53"/>
    <w:basedOn w:val="1"/>
    <w:autoRedefine/>
    <w:qFormat/>
    <w:uiPriority w:val="0"/>
    <w:pPr>
      <w:widowControl/>
      <w:spacing w:line="280" w:lineRule="atLeast"/>
      <w:ind w:firstLine="100"/>
    </w:pPr>
    <w:rPr>
      <w:rFonts w:ascii="宋体" w:hAnsi="宋体" w:cs="宋体"/>
      <w:kern w:val="0"/>
      <w:sz w:val="24"/>
      <w:szCs w:val="22"/>
    </w:rPr>
  </w:style>
  <w:style w:type="paragraph" w:customStyle="1" w:styleId="572">
    <w:name w:val="pa-86"/>
    <w:basedOn w:val="1"/>
    <w:autoRedefine/>
    <w:qFormat/>
    <w:uiPriority w:val="0"/>
    <w:pPr>
      <w:widowControl/>
      <w:spacing w:line="320" w:lineRule="atLeast"/>
      <w:ind w:firstLine="560"/>
    </w:pPr>
    <w:rPr>
      <w:rFonts w:ascii="宋体" w:hAnsi="宋体" w:cs="宋体"/>
      <w:kern w:val="0"/>
      <w:sz w:val="24"/>
      <w:szCs w:val="22"/>
    </w:rPr>
  </w:style>
  <w:style w:type="paragraph" w:customStyle="1" w:styleId="573">
    <w:name w:val="BJ-03-T"/>
    <w:autoRedefine/>
    <w:qFormat/>
    <w:uiPriority w:val="0"/>
    <w:pPr>
      <w:numPr>
        <w:ilvl w:val="1"/>
        <w:numId w:val="3"/>
      </w:numPr>
      <w:tabs>
        <w:tab w:val="left" w:pos="2552"/>
      </w:tabs>
      <w:spacing w:before="120" w:after="120" w:line="360" w:lineRule="auto"/>
      <w:jc w:val="both"/>
    </w:pPr>
    <w:rPr>
      <w:rFonts w:ascii="Arial" w:hAnsi="Arial" w:eastAsia="宋体" w:cs="Times New Roman"/>
      <w:sz w:val="24"/>
      <w:lang w:val="en-GB" w:eastAsia="de-DE" w:bidi="ar-SA"/>
    </w:rPr>
  </w:style>
  <w:style w:type="paragraph" w:customStyle="1" w:styleId="574">
    <w:name w:val="t1"/>
    <w:basedOn w:val="1"/>
    <w:autoRedefine/>
    <w:qFormat/>
    <w:uiPriority w:val="0"/>
    <w:pPr>
      <w:widowControl/>
      <w:spacing w:line="280" w:lineRule="atLeast"/>
      <w:jc w:val="left"/>
    </w:pPr>
    <w:rPr>
      <w:rFonts w:ascii="Calibri" w:hAnsi="Calibri"/>
      <w:kern w:val="0"/>
      <w:sz w:val="24"/>
      <w:szCs w:val="20"/>
      <w:lang w:val="de-DE" w:eastAsia="de-DE"/>
    </w:rPr>
  </w:style>
  <w:style w:type="paragraph" w:customStyle="1" w:styleId="575">
    <w:name w:val="Char Char Char Char Char Char Char Char Char1 Char"/>
    <w:basedOn w:val="18"/>
    <w:autoRedefine/>
    <w:qFormat/>
    <w:uiPriority w:val="0"/>
    <w:pPr>
      <w:widowControl/>
      <w:adjustRightInd w:val="0"/>
      <w:snapToGrid w:val="0"/>
      <w:spacing w:line="360" w:lineRule="auto"/>
      <w:jc w:val="left"/>
    </w:pPr>
    <w:rPr>
      <w:rFonts w:ascii="Tahoma" w:hAnsi="Tahoma"/>
      <w:kern w:val="0"/>
      <w:sz w:val="24"/>
      <w:szCs w:val="20"/>
    </w:rPr>
  </w:style>
  <w:style w:type="paragraph" w:customStyle="1" w:styleId="576">
    <w:name w:val="pa-8"/>
    <w:basedOn w:val="1"/>
    <w:autoRedefine/>
    <w:qFormat/>
    <w:uiPriority w:val="0"/>
    <w:pPr>
      <w:widowControl/>
      <w:spacing w:line="360" w:lineRule="atLeast"/>
    </w:pPr>
    <w:rPr>
      <w:rFonts w:ascii="宋体" w:hAnsi="宋体" w:cs="宋体"/>
      <w:kern w:val="0"/>
      <w:sz w:val="24"/>
      <w:szCs w:val="22"/>
    </w:rPr>
  </w:style>
  <w:style w:type="paragraph" w:customStyle="1" w:styleId="577">
    <w:name w:val="pa-19"/>
    <w:basedOn w:val="1"/>
    <w:autoRedefine/>
    <w:qFormat/>
    <w:uiPriority w:val="0"/>
    <w:pPr>
      <w:widowControl/>
      <w:spacing w:line="240" w:lineRule="atLeast"/>
      <w:ind w:firstLine="20"/>
      <w:jc w:val="left"/>
    </w:pPr>
    <w:rPr>
      <w:rFonts w:ascii="宋体" w:hAnsi="宋体" w:cs="宋体"/>
      <w:kern w:val="0"/>
      <w:sz w:val="24"/>
      <w:szCs w:val="22"/>
    </w:rPr>
  </w:style>
  <w:style w:type="paragraph" w:customStyle="1" w:styleId="578">
    <w:name w:val="样式 标题 1 + Arial 黑色"/>
    <w:basedOn w:val="2"/>
    <w:autoRedefine/>
    <w:qFormat/>
    <w:uiPriority w:val="0"/>
    <w:pPr>
      <w:keepLines/>
      <w:adjustRightInd w:val="0"/>
      <w:snapToGrid w:val="0"/>
      <w:spacing w:before="340" w:after="330" w:line="480" w:lineRule="auto"/>
    </w:pPr>
    <w:rPr>
      <w:rFonts w:ascii="Arial" w:hAnsi="Arial"/>
      <w:color w:val="000000"/>
      <w:kern w:val="44"/>
      <w:sz w:val="36"/>
      <w:szCs w:val="44"/>
    </w:rPr>
  </w:style>
  <w:style w:type="paragraph" w:customStyle="1" w:styleId="579">
    <w:name w:val="xl8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80">
    <w:name w:val="默认段落字体 Para Char Char Char Char Char Char Char"/>
    <w:basedOn w:val="1"/>
    <w:autoRedefine/>
    <w:qFormat/>
    <w:uiPriority w:val="0"/>
    <w:rPr>
      <w:rFonts w:ascii="Tahoma" w:hAnsi="Tahoma"/>
      <w:sz w:val="24"/>
      <w:szCs w:val="20"/>
    </w:rPr>
  </w:style>
  <w:style w:type="paragraph" w:customStyle="1" w:styleId="581">
    <w:name w:val="CPara----"/>
    <w:autoRedefine/>
    <w:qFormat/>
    <w:uiPriority w:val="0"/>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582">
    <w:name w:val="pa-46"/>
    <w:basedOn w:val="1"/>
    <w:autoRedefine/>
    <w:qFormat/>
    <w:uiPriority w:val="0"/>
    <w:pPr>
      <w:widowControl/>
      <w:spacing w:line="280" w:lineRule="atLeast"/>
      <w:ind w:firstLine="420"/>
      <w:jc w:val="left"/>
    </w:pPr>
    <w:rPr>
      <w:rFonts w:ascii="宋体" w:hAnsi="宋体" w:cs="宋体"/>
      <w:kern w:val="0"/>
      <w:sz w:val="24"/>
      <w:szCs w:val="22"/>
    </w:rPr>
  </w:style>
  <w:style w:type="paragraph" w:customStyle="1" w:styleId="583">
    <w:name w:val="pa-71"/>
    <w:basedOn w:val="1"/>
    <w:autoRedefine/>
    <w:qFormat/>
    <w:uiPriority w:val="0"/>
    <w:pPr>
      <w:widowControl/>
      <w:spacing w:line="240" w:lineRule="atLeast"/>
      <w:ind w:firstLine="320"/>
    </w:pPr>
    <w:rPr>
      <w:rFonts w:ascii="宋体" w:hAnsi="宋体" w:cs="宋体"/>
      <w:kern w:val="0"/>
      <w:sz w:val="24"/>
      <w:szCs w:val="22"/>
    </w:rPr>
  </w:style>
  <w:style w:type="paragraph" w:customStyle="1" w:styleId="584">
    <w:name w:val="pa-17"/>
    <w:basedOn w:val="1"/>
    <w:autoRedefine/>
    <w:qFormat/>
    <w:uiPriority w:val="0"/>
    <w:pPr>
      <w:widowControl/>
      <w:spacing w:line="240" w:lineRule="atLeast"/>
      <w:jc w:val="center"/>
    </w:pPr>
    <w:rPr>
      <w:rFonts w:ascii="宋体" w:hAnsi="宋体" w:cs="宋体"/>
      <w:kern w:val="0"/>
      <w:sz w:val="24"/>
      <w:szCs w:val="22"/>
    </w:rPr>
  </w:style>
  <w:style w:type="paragraph" w:customStyle="1" w:styleId="585">
    <w:name w:val="xl107"/>
    <w:basedOn w:val="1"/>
    <w:autoRedefine/>
    <w:qFormat/>
    <w:uiPriority w:val="0"/>
    <w:pPr>
      <w:widowControl/>
      <w:pBdr>
        <w:left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586">
    <w:name w:val="xl10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587">
    <w:name w:val="xl24"/>
    <w:basedOn w:val="1"/>
    <w:autoRedefine/>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hint="eastAsia" w:ascii="仿宋_GB2312" w:hAnsi="宋体" w:eastAsia="仿宋_GB2312"/>
      <w:kern w:val="0"/>
      <w:sz w:val="24"/>
      <w:szCs w:val="20"/>
    </w:rPr>
  </w:style>
  <w:style w:type="paragraph" w:customStyle="1" w:styleId="588">
    <w:name w:val="CM13"/>
    <w:basedOn w:val="73"/>
    <w:next w:val="73"/>
    <w:autoRedefine/>
    <w:qFormat/>
    <w:uiPriority w:val="99"/>
    <w:pPr>
      <w:spacing w:line="520" w:lineRule="atLeast"/>
    </w:pPr>
    <w:rPr>
      <w:rFonts w:ascii="仿宋" w:eastAsia="仿宋"/>
      <w:color w:val="auto"/>
    </w:rPr>
  </w:style>
  <w:style w:type="paragraph" w:customStyle="1" w:styleId="589">
    <w:name w:val="表格格式"/>
    <w:basedOn w:val="1"/>
    <w:autoRedefine/>
    <w:qFormat/>
    <w:uiPriority w:val="0"/>
    <w:pPr>
      <w:spacing w:line="360" w:lineRule="exact"/>
      <w:ind w:left="-91"/>
      <w:jc w:val="left"/>
    </w:pPr>
    <w:rPr>
      <w:rFonts w:ascii="宋体" w:hAnsi="Calibri"/>
      <w:kern w:val="0"/>
      <w:sz w:val="24"/>
      <w:szCs w:val="11"/>
    </w:rPr>
  </w:style>
  <w:style w:type="paragraph" w:customStyle="1" w:styleId="590">
    <w:name w:val="pa-132"/>
    <w:basedOn w:val="1"/>
    <w:autoRedefine/>
    <w:qFormat/>
    <w:uiPriority w:val="0"/>
    <w:pPr>
      <w:widowControl/>
      <w:spacing w:line="360" w:lineRule="atLeast"/>
    </w:pPr>
    <w:rPr>
      <w:rFonts w:ascii="宋体" w:hAnsi="宋体" w:cs="宋体"/>
      <w:kern w:val="0"/>
      <w:sz w:val="24"/>
      <w:szCs w:val="22"/>
    </w:rPr>
  </w:style>
  <w:style w:type="paragraph" w:customStyle="1" w:styleId="5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0"/>
      <w:szCs w:val="20"/>
    </w:rPr>
  </w:style>
  <w:style w:type="paragraph" w:customStyle="1" w:styleId="592">
    <w:name w:val="Plain Text1"/>
    <w:basedOn w:val="1"/>
    <w:autoRedefine/>
    <w:qFormat/>
    <w:uiPriority w:val="0"/>
    <w:pPr>
      <w:widowControl/>
      <w:jc w:val="left"/>
    </w:pPr>
    <w:rPr>
      <w:rFonts w:hint="eastAsia" w:ascii="宋体" w:hAnsi="Courier New"/>
      <w:szCs w:val="20"/>
    </w:rPr>
  </w:style>
  <w:style w:type="paragraph" w:customStyle="1" w:styleId="593">
    <w:name w:val="td-2"/>
    <w:basedOn w:val="1"/>
    <w:autoRedefine/>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szCs w:val="22"/>
    </w:rPr>
  </w:style>
  <w:style w:type="paragraph" w:customStyle="1" w:styleId="594">
    <w:name w:val="pa-142"/>
    <w:basedOn w:val="1"/>
    <w:autoRedefine/>
    <w:qFormat/>
    <w:uiPriority w:val="0"/>
    <w:pPr>
      <w:widowControl/>
      <w:spacing w:line="320" w:lineRule="atLeast"/>
      <w:ind w:firstLine="280"/>
      <w:jc w:val="right"/>
    </w:pPr>
    <w:rPr>
      <w:rFonts w:ascii="宋体" w:hAnsi="宋体" w:cs="宋体"/>
      <w:kern w:val="0"/>
      <w:sz w:val="24"/>
      <w:szCs w:val="22"/>
    </w:rPr>
  </w:style>
  <w:style w:type="paragraph" w:customStyle="1" w:styleId="595">
    <w:name w:val="pa-60"/>
    <w:basedOn w:val="1"/>
    <w:autoRedefine/>
    <w:qFormat/>
    <w:uiPriority w:val="0"/>
    <w:pPr>
      <w:widowControl/>
      <w:spacing w:line="360" w:lineRule="atLeast"/>
      <w:ind w:firstLine="560"/>
    </w:pPr>
    <w:rPr>
      <w:rFonts w:ascii="宋体" w:hAnsi="宋体" w:cs="宋体"/>
      <w:kern w:val="0"/>
      <w:sz w:val="24"/>
      <w:szCs w:val="22"/>
    </w:rPr>
  </w:style>
  <w:style w:type="paragraph" w:customStyle="1" w:styleId="596">
    <w:name w:val="Char Char1 Char Char Char Char Char Char Char"/>
    <w:basedOn w:val="1"/>
    <w:autoRedefine/>
    <w:qFormat/>
    <w:uiPriority w:val="0"/>
    <w:pPr>
      <w:widowControl/>
      <w:spacing w:after="160" w:line="240" w:lineRule="exact"/>
      <w:jc w:val="left"/>
    </w:pPr>
    <w:rPr>
      <w:rFonts w:ascii="Calibri" w:hAnsi="Calibri"/>
      <w:szCs w:val="20"/>
    </w:rPr>
  </w:style>
  <w:style w:type="paragraph" w:customStyle="1" w:styleId="597">
    <w:name w:val="标题 1_0"/>
    <w:next w:val="491"/>
    <w:autoRedefine/>
    <w:qFormat/>
    <w:uiPriority w:val="0"/>
    <w:pPr>
      <w:keepNext/>
      <w:keepLines/>
      <w:widowControl w:val="0"/>
      <w:spacing w:line="360" w:lineRule="auto"/>
      <w:jc w:val="both"/>
      <w:outlineLvl w:val="1"/>
    </w:pPr>
    <w:rPr>
      <w:rFonts w:ascii="Calibri Bold" w:hAnsi="Calibri Bold" w:eastAsia="ヒラギノ角ゴ Pro W3" w:cs="Times New Roman"/>
      <w:color w:val="000000"/>
      <w:kern w:val="44"/>
      <w:sz w:val="32"/>
      <w:u w:color="000000"/>
      <w:lang w:val="en-US" w:eastAsia="zh-CN" w:bidi="ar-SA"/>
    </w:rPr>
  </w:style>
  <w:style w:type="paragraph" w:customStyle="1" w:styleId="598">
    <w:name w:val="xl122"/>
    <w:basedOn w:val="1"/>
    <w:autoRedefine/>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kern w:val="0"/>
      <w:sz w:val="24"/>
    </w:rPr>
  </w:style>
  <w:style w:type="paragraph" w:customStyle="1" w:styleId="599">
    <w:name w:val="pa-16"/>
    <w:basedOn w:val="1"/>
    <w:autoRedefine/>
    <w:qFormat/>
    <w:uiPriority w:val="0"/>
    <w:pPr>
      <w:widowControl/>
      <w:spacing w:line="240" w:lineRule="atLeast"/>
    </w:pPr>
    <w:rPr>
      <w:rFonts w:ascii="宋体" w:hAnsi="宋体" w:cs="宋体"/>
      <w:kern w:val="0"/>
      <w:sz w:val="24"/>
      <w:szCs w:val="22"/>
    </w:rPr>
  </w:style>
  <w:style w:type="paragraph" w:customStyle="1" w:styleId="60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601">
    <w:name w:val="pa-54"/>
    <w:basedOn w:val="1"/>
    <w:autoRedefine/>
    <w:qFormat/>
    <w:uiPriority w:val="0"/>
    <w:pPr>
      <w:widowControl/>
      <w:spacing w:line="280" w:lineRule="atLeast"/>
      <w:jc w:val="left"/>
    </w:pPr>
    <w:rPr>
      <w:rFonts w:ascii="宋体" w:hAnsi="宋体" w:cs="宋体"/>
      <w:kern w:val="0"/>
      <w:sz w:val="24"/>
      <w:szCs w:val="22"/>
    </w:rPr>
  </w:style>
  <w:style w:type="paragraph" w:customStyle="1" w:styleId="602">
    <w:name w:val="纯文本1"/>
    <w:basedOn w:val="603"/>
    <w:autoRedefine/>
    <w:qFormat/>
    <w:uiPriority w:val="0"/>
    <w:pPr>
      <w:widowControl/>
      <w:jc w:val="left"/>
    </w:pPr>
    <w:rPr>
      <w:rFonts w:ascii="宋体" w:hAnsi="Courier New"/>
    </w:rPr>
  </w:style>
  <w:style w:type="paragraph" w:customStyle="1" w:styleId="603">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04">
    <w:name w:val="样式2"/>
    <w:basedOn w:val="41"/>
    <w:autoRedefine/>
    <w:qFormat/>
    <w:uiPriority w:val="0"/>
    <w:pPr>
      <w:adjustRightInd w:val="0"/>
      <w:spacing w:line="360" w:lineRule="auto"/>
      <w:jc w:val="left"/>
      <w:textAlignment w:val="baseline"/>
    </w:pPr>
    <w:rPr>
      <w:rFonts w:ascii="宋体" w:hAnsi="宋体"/>
      <w:caps/>
      <w:kern w:val="0"/>
      <w:sz w:val="24"/>
      <w:szCs w:val="20"/>
    </w:rPr>
  </w:style>
  <w:style w:type="paragraph" w:customStyle="1" w:styleId="605">
    <w:name w:val="正文段"/>
    <w:basedOn w:val="1"/>
    <w:autoRedefine/>
    <w:qFormat/>
    <w:uiPriority w:val="0"/>
    <w:pPr>
      <w:widowControl/>
      <w:snapToGrid w:val="0"/>
      <w:spacing w:after="50" w:afterLines="50"/>
      <w:ind w:firstLine="200" w:firstLineChars="200"/>
    </w:pPr>
    <w:rPr>
      <w:kern w:val="0"/>
      <w:sz w:val="24"/>
      <w:szCs w:val="20"/>
    </w:rPr>
  </w:style>
  <w:style w:type="paragraph" w:customStyle="1" w:styleId="606">
    <w:name w:val="正文，首行缩进:"/>
    <w:basedOn w:val="1"/>
    <w:autoRedefine/>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607">
    <w:name w:val="pa-21"/>
    <w:basedOn w:val="1"/>
    <w:autoRedefine/>
    <w:qFormat/>
    <w:uiPriority w:val="0"/>
    <w:pPr>
      <w:widowControl/>
      <w:spacing w:line="240" w:lineRule="atLeast"/>
      <w:ind w:firstLine="420"/>
    </w:pPr>
    <w:rPr>
      <w:rFonts w:ascii="宋体" w:hAnsi="宋体" w:cs="宋体"/>
      <w:kern w:val="0"/>
      <w:sz w:val="24"/>
      <w:szCs w:val="22"/>
    </w:rPr>
  </w:style>
  <w:style w:type="paragraph" w:customStyle="1" w:styleId="608">
    <w:name w:val="226_Chinese Text"/>
    <w:autoRedefine/>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609">
    <w:name w:val="xl8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610">
    <w:name w:val="pa-34"/>
    <w:basedOn w:val="1"/>
    <w:autoRedefine/>
    <w:qFormat/>
    <w:uiPriority w:val="0"/>
    <w:pPr>
      <w:widowControl/>
      <w:spacing w:line="360" w:lineRule="atLeast"/>
      <w:ind w:firstLine="460"/>
    </w:pPr>
    <w:rPr>
      <w:rFonts w:ascii="宋体" w:hAnsi="宋体" w:cs="宋体"/>
      <w:kern w:val="0"/>
      <w:sz w:val="24"/>
      <w:szCs w:val="22"/>
    </w:rPr>
  </w:style>
  <w:style w:type="paragraph" w:customStyle="1" w:styleId="611">
    <w:name w:val="pa-119"/>
    <w:basedOn w:val="1"/>
    <w:autoRedefine/>
    <w:qFormat/>
    <w:uiPriority w:val="0"/>
    <w:pPr>
      <w:widowControl/>
      <w:spacing w:line="420" w:lineRule="atLeast"/>
      <w:jc w:val="center"/>
    </w:pPr>
    <w:rPr>
      <w:rFonts w:ascii="宋体" w:hAnsi="宋体" w:cs="宋体"/>
      <w:kern w:val="0"/>
      <w:sz w:val="24"/>
      <w:szCs w:val="22"/>
    </w:rPr>
  </w:style>
  <w:style w:type="paragraph" w:customStyle="1" w:styleId="612">
    <w:name w:val="ca-52"/>
    <w:basedOn w:val="1"/>
    <w:autoRedefine/>
    <w:qFormat/>
    <w:uiPriority w:val="0"/>
    <w:pPr>
      <w:widowControl/>
      <w:jc w:val="left"/>
    </w:pPr>
    <w:rPr>
      <w:rFonts w:ascii="宋体" w:hAnsi="宋体" w:cs="宋体"/>
      <w:b/>
      <w:bCs/>
      <w:spacing w:val="-20"/>
      <w:kern w:val="0"/>
      <w:sz w:val="36"/>
      <w:szCs w:val="36"/>
    </w:rPr>
  </w:style>
  <w:style w:type="paragraph" w:customStyle="1" w:styleId="613">
    <w:name w:val="pa-27"/>
    <w:basedOn w:val="1"/>
    <w:autoRedefine/>
    <w:qFormat/>
    <w:uiPriority w:val="0"/>
    <w:pPr>
      <w:widowControl/>
      <w:spacing w:line="276" w:lineRule="atLeast"/>
      <w:ind w:firstLine="300"/>
    </w:pPr>
    <w:rPr>
      <w:rFonts w:ascii="宋体" w:hAnsi="宋体" w:cs="宋体"/>
      <w:kern w:val="0"/>
      <w:sz w:val="24"/>
      <w:szCs w:val="22"/>
    </w:rPr>
  </w:style>
  <w:style w:type="paragraph" w:customStyle="1" w:styleId="614">
    <w:name w:val="Normal_24"/>
    <w:autoRedefine/>
    <w:qFormat/>
    <w:uiPriority w:val="0"/>
    <w:rPr>
      <w:rFonts w:ascii="黑体" w:hAnsi="黑体" w:eastAsia="黑体" w:cs="Times New Roman"/>
      <w:b/>
      <w:sz w:val="32"/>
      <w:szCs w:val="24"/>
      <w:lang w:val="en-US" w:eastAsia="zh-CN" w:bidi="ar-SA"/>
    </w:rPr>
  </w:style>
  <w:style w:type="paragraph" w:customStyle="1" w:styleId="615">
    <w:name w:val="pa-50"/>
    <w:basedOn w:val="1"/>
    <w:autoRedefine/>
    <w:qFormat/>
    <w:uiPriority w:val="0"/>
    <w:pPr>
      <w:widowControl/>
      <w:spacing w:line="280" w:lineRule="atLeast"/>
      <w:ind w:hanging="200"/>
      <w:jc w:val="center"/>
    </w:pPr>
    <w:rPr>
      <w:rFonts w:ascii="宋体" w:hAnsi="宋体" w:cs="宋体"/>
      <w:kern w:val="0"/>
      <w:sz w:val="24"/>
      <w:szCs w:val="22"/>
    </w:rPr>
  </w:style>
  <w:style w:type="paragraph" w:customStyle="1" w:styleId="616">
    <w:name w:val="td-9"/>
    <w:basedOn w:val="1"/>
    <w:autoRedefine/>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szCs w:val="22"/>
    </w:rPr>
  </w:style>
  <w:style w:type="paragraph" w:customStyle="1" w:styleId="61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黑体" w:hAnsi="黑体" w:eastAsia="黑体" w:cs="宋体"/>
      <w:kern w:val="0"/>
      <w:sz w:val="20"/>
      <w:szCs w:val="20"/>
    </w:rPr>
  </w:style>
  <w:style w:type="paragraph" w:customStyle="1" w:styleId="618">
    <w:name w:val="常规 2 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619">
    <w:name w:val="常规_修改2_2"/>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620">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621">
    <w:name w:val="ca-43"/>
    <w:basedOn w:val="1"/>
    <w:autoRedefine/>
    <w:qFormat/>
    <w:uiPriority w:val="0"/>
    <w:pPr>
      <w:widowControl/>
      <w:jc w:val="left"/>
    </w:pPr>
    <w:rPr>
      <w:rFonts w:ascii="宋体" w:hAnsi="宋体" w:cs="宋体"/>
      <w:color w:val="000000"/>
      <w:kern w:val="0"/>
      <w:sz w:val="44"/>
      <w:szCs w:val="44"/>
    </w:rPr>
  </w:style>
  <w:style w:type="paragraph" w:customStyle="1" w:styleId="622">
    <w:name w:val="ca-50"/>
    <w:basedOn w:val="1"/>
    <w:autoRedefine/>
    <w:qFormat/>
    <w:uiPriority w:val="0"/>
    <w:pPr>
      <w:widowControl/>
      <w:jc w:val="left"/>
    </w:pPr>
    <w:rPr>
      <w:rFonts w:ascii="宋体" w:hAnsi="宋体" w:cs="宋体"/>
      <w:kern w:val="0"/>
      <w:sz w:val="24"/>
      <w:szCs w:val="22"/>
    </w:rPr>
  </w:style>
  <w:style w:type="paragraph" w:customStyle="1" w:styleId="623">
    <w:name w:val="xl108"/>
    <w:basedOn w:val="1"/>
    <w:autoRedefine/>
    <w:qFormat/>
    <w:uiPriority w:val="0"/>
    <w:pPr>
      <w:widowControl/>
      <w:pBdr>
        <w:left w:val="single" w:color="000000" w:sz="4" w:space="0"/>
        <w:bottom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624">
    <w:name w:val="ca-14"/>
    <w:basedOn w:val="1"/>
    <w:autoRedefine/>
    <w:qFormat/>
    <w:uiPriority w:val="0"/>
    <w:pPr>
      <w:widowControl/>
      <w:jc w:val="left"/>
    </w:pPr>
    <w:rPr>
      <w:rFonts w:ascii="Calibri" w:hAnsi="Calibri"/>
      <w:color w:val="000000"/>
      <w:kern w:val="0"/>
      <w:sz w:val="24"/>
      <w:szCs w:val="22"/>
    </w:rPr>
  </w:style>
  <w:style w:type="paragraph" w:customStyle="1" w:styleId="625">
    <w:name w:val="xl8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626">
    <w:name w:val="pa-45"/>
    <w:basedOn w:val="1"/>
    <w:autoRedefine/>
    <w:qFormat/>
    <w:uiPriority w:val="0"/>
    <w:pPr>
      <w:widowControl/>
      <w:spacing w:line="280" w:lineRule="atLeast"/>
      <w:ind w:firstLine="420"/>
    </w:pPr>
    <w:rPr>
      <w:rFonts w:ascii="宋体" w:hAnsi="宋体" w:cs="宋体"/>
      <w:kern w:val="0"/>
      <w:sz w:val="24"/>
      <w:szCs w:val="22"/>
    </w:rPr>
  </w:style>
  <w:style w:type="paragraph" w:customStyle="1" w:styleId="627">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8">
    <w:name w:val="style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29">
    <w:name w:val="空半行"/>
    <w:basedOn w:val="1"/>
    <w:autoRedefine/>
    <w:qFormat/>
    <w:uiPriority w:val="0"/>
    <w:pPr>
      <w:adjustRightInd w:val="0"/>
      <w:spacing w:line="120" w:lineRule="exact"/>
      <w:textAlignment w:val="baseline"/>
    </w:pPr>
    <w:rPr>
      <w:rFonts w:ascii="Calibri" w:hAnsi="Calibri" w:eastAsia="仿宋_GB2312"/>
      <w:color w:val="FFFFFF"/>
      <w:kern w:val="0"/>
      <w:sz w:val="30"/>
      <w:szCs w:val="20"/>
    </w:rPr>
  </w:style>
  <w:style w:type="paragraph" w:customStyle="1" w:styleId="630">
    <w:name w:val="样式 标题 1 + 宋体 居中 段前: 48 磅 段后: 12 磅 行距: 1.5 倍行距"/>
    <w:basedOn w:val="2"/>
    <w:autoRedefine/>
    <w:qFormat/>
    <w:uiPriority w:val="0"/>
    <w:pPr>
      <w:keepLines/>
      <w:spacing w:before="1560" w:after="240" w:line="360" w:lineRule="auto"/>
    </w:pPr>
    <w:rPr>
      <w:rFonts w:ascii="宋体" w:hAnsi="宋体"/>
      <w:b w:val="0"/>
      <w:bCs w:val="0"/>
      <w:sz w:val="36"/>
      <w:szCs w:val="20"/>
    </w:rPr>
  </w:style>
  <w:style w:type="paragraph" w:customStyle="1" w:styleId="631">
    <w:name w:val="样式 标题 2 + (中文) 黑体 四号 黑色"/>
    <w:basedOn w:val="3"/>
    <w:autoRedefine/>
    <w:qFormat/>
    <w:uiPriority w:val="0"/>
    <w:pPr>
      <w:spacing w:line="520" w:lineRule="exact"/>
      <w:jc w:val="left"/>
    </w:pPr>
    <w:rPr>
      <w:rFonts w:ascii="Calibri" w:hAnsi="Calibri" w:eastAsia="宋体"/>
      <w:color w:val="000000"/>
      <w:kern w:val="24"/>
      <w:sz w:val="28"/>
      <w:szCs w:val="20"/>
    </w:rPr>
  </w:style>
  <w:style w:type="paragraph" w:customStyle="1" w:styleId="632">
    <w:name w:val="pa-64"/>
    <w:basedOn w:val="1"/>
    <w:autoRedefine/>
    <w:qFormat/>
    <w:uiPriority w:val="0"/>
    <w:pPr>
      <w:widowControl/>
      <w:spacing w:line="360" w:lineRule="atLeast"/>
      <w:ind w:firstLine="560"/>
      <w:jc w:val="left"/>
    </w:pPr>
    <w:rPr>
      <w:rFonts w:ascii="宋体" w:hAnsi="宋体" w:cs="宋体"/>
      <w:kern w:val="0"/>
      <w:sz w:val="24"/>
      <w:szCs w:val="22"/>
    </w:rPr>
  </w:style>
  <w:style w:type="paragraph" w:customStyle="1" w:styleId="633">
    <w:name w:val="ca-17"/>
    <w:basedOn w:val="1"/>
    <w:autoRedefine/>
    <w:qFormat/>
    <w:uiPriority w:val="0"/>
    <w:pPr>
      <w:widowControl/>
      <w:jc w:val="left"/>
    </w:pPr>
    <w:rPr>
      <w:rFonts w:ascii="Calibri" w:hAnsi="Calibri"/>
      <w:b/>
      <w:bCs/>
      <w:spacing w:val="-20"/>
      <w:kern w:val="0"/>
      <w:sz w:val="24"/>
      <w:szCs w:val="22"/>
    </w:rPr>
  </w:style>
  <w:style w:type="paragraph" w:customStyle="1" w:styleId="634">
    <w:name w:val="ca-16"/>
    <w:basedOn w:val="1"/>
    <w:autoRedefine/>
    <w:qFormat/>
    <w:uiPriority w:val="0"/>
    <w:pPr>
      <w:widowControl/>
      <w:jc w:val="left"/>
    </w:pPr>
    <w:rPr>
      <w:rFonts w:ascii="宋体" w:hAnsi="宋体" w:cs="宋体"/>
      <w:kern w:val="0"/>
      <w:sz w:val="24"/>
      <w:szCs w:val="22"/>
    </w:rPr>
  </w:style>
  <w:style w:type="paragraph" w:customStyle="1" w:styleId="635">
    <w:name w:val="Rechtliche Stellung Unterzeichner"/>
    <w:basedOn w:val="40"/>
    <w:autoRedefine/>
    <w:qFormat/>
    <w:uiPriority w:val="0"/>
    <w:pPr>
      <w:numPr>
        <w:ilvl w:val="0"/>
        <w:numId w:val="4"/>
      </w:numPr>
      <w:tabs>
        <w:tab w:val="left" w:pos="567"/>
        <w:tab w:val="left" w:pos="1134"/>
        <w:tab w:val="right" w:pos="9639"/>
      </w:tabs>
      <w:ind w:left="4252" w:firstLine="0"/>
      <w:jc w:val="both"/>
    </w:pPr>
    <w:rPr>
      <w:rFonts w:ascii="Arial" w:hAnsi="Arial"/>
      <w:lang w:val="de-DE" w:eastAsia="de-DE"/>
    </w:rPr>
  </w:style>
  <w:style w:type="paragraph" w:customStyle="1" w:styleId="636">
    <w:name w:val="正文文本 21"/>
    <w:basedOn w:val="1"/>
    <w:autoRedefine/>
    <w:qFormat/>
    <w:uiPriority w:val="0"/>
    <w:pPr>
      <w:widowControl/>
      <w:overflowPunct w:val="0"/>
      <w:autoSpaceDE w:val="0"/>
      <w:autoSpaceDN w:val="0"/>
      <w:adjustRightInd w:val="0"/>
      <w:ind w:left="720" w:hanging="720"/>
      <w:textAlignment w:val="baseline"/>
    </w:pPr>
    <w:rPr>
      <w:rFonts w:ascii="Calibri" w:hAnsi="Calibri"/>
      <w:kern w:val="0"/>
      <w:sz w:val="24"/>
      <w:szCs w:val="20"/>
      <w:lang w:val="en-GB"/>
    </w:rPr>
  </w:style>
  <w:style w:type="paragraph" w:customStyle="1" w:styleId="637">
    <w:name w:val="Normal_6"/>
    <w:autoRedefine/>
    <w:qFormat/>
    <w:uiPriority w:val="0"/>
    <w:rPr>
      <w:rFonts w:ascii="黑体" w:hAnsi="黑体" w:eastAsia="黑体" w:cs="Times New Roman"/>
      <w:b/>
      <w:sz w:val="32"/>
      <w:szCs w:val="24"/>
      <w:lang w:val="en-US" w:eastAsia="zh-CN" w:bidi="ar-SA"/>
    </w:rPr>
  </w:style>
  <w:style w:type="paragraph" w:customStyle="1" w:styleId="638">
    <w:name w:val="pa-22"/>
    <w:basedOn w:val="1"/>
    <w:autoRedefine/>
    <w:qFormat/>
    <w:uiPriority w:val="0"/>
    <w:pPr>
      <w:widowControl/>
      <w:spacing w:line="280" w:lineRule="atLeast"/>
      <w:ind w:firstLine="480"/>
    </w:pPr>
    <w:rPr>
      <w:rFonts w:ascii="宋体" w:hAnsi="宋体" w:cs="宋体"/>
      <w:kern w:val="0"/>
      <w:sz w:val="24"/>
      <w:szCs w:val="22"/>
    </w:rPr>
  </w:style>
  <w:style w:type="paragraph" w:customStyle="1" w:styleId="639">
    <w:name w:val="ca-7"/>
    <w:basedOn w:val="1"/>
    <w:autoRedefine/>
    <w:qFormat/>
    <w:uiPriority w:val="0"/>
    <w:pPr>
      <w:widowControl/>
      <w:jc w:val="left"/>
    </w:pPr>
    <w:rPr>
      <w:rFonts w:ascii="Calibri" w:hAnsi="Calibri"/>
      <w:color w:val="000000"/>
      <w:kern w:val="0"/>
      <w:sz w:val="28"/>
      <w:szCs w:val="28"/>
    </w:rPr>
  </w:style>
  <w:style w:type="paragraph" w:customStyle="1" w:styleId="640">
    <w:name w:val="font9"/>
    <w:basedOn w:val="1"/>
    <w:autoRedefine/>
    <w:qFormat/>
    <w:uiPriority w:val="0"/>
    <w:pPr>
      <w:widowControl/>
      <w:spacing w:before="100" w:beforeAutospacing="1" w:after="100" w:afterAutospacing="1"/>
      <w:jc w:val="left"/>
    </w:pPr>
    <w:rPr>
      <w:rFonts w:ascii="Tahoma" w:hAnsi="Tahoma"/>
      <w:b/>
      <w:bCs/>
      <w:kern w:val="0"/>
      <w:sz w:val="22"/>
      <w:szCs w:val="22"/>
    </w:rPr>
  </w:style>
  <w:style w:type="paragraph" w:customStyle="1" w:styleId="641">
    <w:name w:val="pa-140"/>
    <w:basedOn w:val="1"/>
    <w:autoRedefine/>
    <w:qFormat/>
    <w:uiPriority w:val="0"/>
    <w:pPr>
      <w:widowControl/>
      <w:spacing w:line="320" w:lineRule="atLeast"/>
      <w:ind w:firstLine="560"/>
    </w:pPr>
    <w:rPr>
      <w:rFonts w:ascii="宋体" w:hAnsi="宋体" w:cs="宋体"/>
      <w:kern w:val="0"/>
      <w:sz w:val="24"/>
      <w:szCs w:val="22"/>
    </w:rPr>
  </w:style>
  <w:style w:type="paragraph" w:customStyle="1" w:styleId="642">
    <w:name w:val="菲页1"/>
    <w:basedOn w:val="3"/>
    <w:autoRedefine/>
    <w:qFormat/>
    <w:uiPriority w:val="0"/>
    <w:pPr>
      <w:widowControl/>
      <w:spacing w:line="413" w:lineRule="auto"/>
      <w:jc w:val="center"/>
    </w:pPr>
    <w:rPr>
      <w:rFonts w:ascii="黑体" w:hAnsi="宋体" w:eastAsia="宋体"/>
      <w:b w:val="0"/>
      <w:bCs w:val="0"/>
      <w:sz w:val="52"/>
      <w:szCs w:val="20"/>
    </w:rPr>
  </w:style>
  <w:style w:type="paragraph" w:customStyle="1" w:styleId="643">
    <w:name w:val="标题B"/>
    <w:basedOn w:val="3"/>
    <w:autoRedefine/>
    <w:qFormat/>
    <w:uiPriority w:val="0"/>
    <w:pPr>
      <w:adjustRightInd w:val="0"/>
      <w:spacing w:before="100" w:beforeAutospacing="1" w:after="100" w:afterAutospacing="1" w:line="240" w:lineRule="auto"/>
      <w:jc w:val="center"/>
      <w:textAlignment w:val="baseline"/>
    </w:pPr>
    <w:rPr>
      <w:rFonts w:eastAsia="宋体"/>
      <w:sz w:val="28"/>
      <w:szCs w:val="28"/>
    </w:rPr>
  </w:style>
  <w:style w:type="paragraph" w:customStyle="1" w:styleId="644">
    <w:name w:val="ca-39"/>
    <w:basedOn w:val="1"/>
    <w:autoRedefine/>
    <w:qFormat/>
    <w:uiPriority w:val="0"/>
    <w:pPr>
      <w:widowControl/>
      <w:jc w:val="left"/>
    </w:pPr>
    <w:rPr>
      <w:rFonts w:ascii="宋体" w:hAnsi="宋体" w:cs="宋体"/>
      <w:b/>
      <w:bCs/>
      <w:color w:val="000000"/>
      <w:spacing w:val="-20"/>
      <w:kern w:val="0"/>
      <w:sz w:val="28"/>
      <w:szCs w:val="28"/>
    </w:rPr>
  </w:style>
  <w:style w:type="paragraph" w:customStyle="1" w:styleId="645">
    <w:name w:val="表格(五号)"/>
    <w:basedOn w:val="1"/>
    <w:autoRedefine/>
    <w:qFormat/>
    <w:uiPriority w:val="0"/>
    <w:pPr>
      <w:adjustRightInd w:val="0"/>
      <w:snapToGrid w:val="0"/>
      <w:spacing w:before="60" w:after="60"/>
      <w:ind w:left="11"/>
      <w:jc w:val="center"/>
    </w:pPr>
    <w:rPr>
      <w:rFonts w:ascii="Calibri" w:hAnsi="Calibri"/>
      <w:kern w:val="0"/>
      <w:szCs w:val="20"/>
    </w:rPr>
  </w:style>
  <w:style w:type="paragraph" w:customStyle="1" w:styleId="646">
    <w:name w:val="pa-15"/>
    <w:basedOn w:val="1"/>
    <w:autoRedefine/>
    <w:qFormat/>
    <w:uiPriority w:val="0"/>
    <w:pPr>
      <w:widowControl/>
      <w:spacing w:line="240" w:lineRule="atLeast"/>
      <w:jc w:val="left"/>
    </w:pPr>
    <w:rPr>
      <w:rFonts w:ascii="宋体" w:hAnsi="宋体" w:cs="宋体"/>
      <w:kern w:val="0"/>
      <w:sz w:val="24"/>
      <w:szCs w:val="22"/>
    </w:rPr>
  </w:style>
  <w:style w:type="paragraph" w:customStyle="1" w:styleId="647">
    <w:name w:val="Char Char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8">
    <w:name w:val="列出段落1"/>
    <w:basedOn w:val="1"/>
    <w:autoRedefine/>
    <w:qFormat/>
    <w:uiPriority w:val="0"/>
    <w:pPr>
      <w:ind w:firstLine="420" w:firstLineChars="200"/>
    </w:pPr>
    <w:rPr>
      <w:rFonts w:ascii="Calibri" w:hAnsi="Calibri"/>
      <w:szCs w:val="22"/>
    </w:rPr>
  </w:style>
  <w:style w:type="paragraph" w:customStyle="1" w:styleId="649">
    <w:name w:val="ca-6"/>
    <w:basedOn w:val="1"/>
    <w:autoRedefine/>
    <w:qFormat/>
    <w:uiPriority w:val="0"/>
    <w:pPr>
      <w:widowControl/>
      <w:jc w:val="left"/>
    </w:pPr>
    <w:rPr>
      <w:rFonts w:ascii="宋体" w:hAnsi="宋体" w:cs="宋体"/>
      <w:color w:val="000000"/>
      <w:kern w:val="0"/>
      <w:sz w:val="30"/>
      <w:szCs w:val="30"/>
    </w:rPr>
  </w:style>
  <w:style w:type="paragraph" w:customStyle="1" w:styleId="650">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1">
    <w:name w:val="pa-7"/>
    <w:basedOn w:val="1"/>
    <w:autoRedefine/>
    <w:qFormat/>
    <w:uiPriority w:val="0"/>
    <w:pPr>
      <w:widowControl/>
      <w:spacing w:line="400" w:lineRule="atLeast"/>
    </w:pPr>
    <w:rPr>
      <w:rFonts w:ascii="宋体" w:hAnsi="宋体" w:cs="宋体"/>
      <w:kern w:val="0"/>
      <w:sz w:val="24"/>
      <w:szCs w:val="22"/>
    </w:rPr>
  </w:style>
  <w:style w:type="paragraph" w:customStyle="1" w:styleId="652">
    <w:name w:val="ca-35"/>
    <w:basedOn w:val="1"/>
    <w:autoRedefine/>
    <w:qFormat/>
    <w:uiPriority w:val="0"/>
    <w:pPr>
      <w:widowControl/>
      <w:jc w:val="left"/>
    </w:pPr>
    <w:rPr>
      <w:rFonts w:ascii="Calibri" w:hAnsi="Calibri"/>
      <w:kern w:val="0"/>
      <w:sz w:val="10"/>
      <w:szCs w:val="10"/>
    </w:rPr>
  </w:style>
  <w:style w:type="paragraph" w:customStyle="1" w:styleId="653">
    <w:name w:val="xl1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w:hAnsi="Times"/>
      <w:kern w:val="0"/>
      <w:sz w:val="20"/>
      <w:szCs w:val="20"/>
    </w:rPr>
  </w:style>
  <w:style w:type="paragraph" w:customStyle="1" w:styleId="654">
    <w:name w:val="自由格式"/>
    <w:autoRedefine/>
    <w:qFormat/>
    <w:uiPriority w:val="0"/>
    <w:rPr>
      <w:rFonts w:ascii="Times New Roman" w:hAnsi="Times New Roman" w:eastAsia="ヒラギノ角ゴ Pro W3" w:cs="Times New Roman"/>
      <w:color w:val="000000"/>
      <w:lang w:val="en-US" w:eastAsia="zh-CN" w:bidi="ar-SA"/>
    </w:rPr>
  </w:style>
  <w:style w:type="paragraph" w:customStyle="1" w:styleId="655">
    <w:name w:val="引用2"/>
    <w:basedOn w:val="1"/>
    <w:next w:val="1"/>
    <w:autoRedefine/>
    <w:qFormat/>
    <w:uiPriority w:val="0"/>
    <w:rPr>
      <w:rFonts w:ascii="Calibri" w:hAnsi="Calibri" w:eastAsia="Times New Roman"/>
      <w:i/>
      <w:color w:val="000000"/>
      <w:sz w:val="22"/>
      <w:szCs w:val="20"/>
    </w:rPr>
  </w:style>
  <w:style w:type="paragraph" w:customStyle="1" w:styleId="656">
    <w:name w:val="pa-106"/>
    <w:basedOn w:val="1"/>
    <w:autoRedefine/>
    <w:qFormat/>
    <w:uiPriority w:val="0"/>
    <w:pPr>
      <w:widowControl/>
      <w:spacing w:line="720" w:lineRule="atLeast"/>
    </w:pPr>
    <w:rPr>
      <w:rFonts w:ascii="宋体" w:hAnsi="宋体" w:cs="宋体"/>
      <w:kern w:val="0"/>
      <w:sz w:val="24"/>
      <w:szCs w:val="22"/>
    </w:rPr>
  </w:style>
  <w:style w:type="paragraph" w:customStyle="1" w:styleId="657">
    <w:name w:val="表格"/>
    <w:basedOn w:val="1"/>
    <w:autoRedefine/>
    <w:qFormat/>
    <w:uiPriority w:val="0"/>
    <w:pPr>
      <w:jc w:val="center"/>
      <w:textAlignment w:val="center"/>
    </w:pPr>
    <w:rPr>
      <w:rFonts w:ascii="华文细黑" w:hAnsi="华文细黑"/>
      <w:kern w:val="0"/>
      <w:szCs w:val="20"/>
    </w:rPr>
  </w:style>
  <w:style w:type="paragraph" w:customStyle="1" w:styleId="658">
    <w:name w:val="pa-93"/>
    <w:basedOn w:val="1"/>
    <w:autoRedefine/>
    <w:qFormat/>
    <w:uiPriority w:val="0"/>
    <w:pPr>
      <w:widowControl/>
      <w:spacing w:line="480" w:lineRule="atLeast"/>
      <w:ind w:firstLine="480"/>
      <w:jc w:val="left"/>
    </w:pPr>
    <w:rPr>
      <w:rFonts w:ascii="宋体" w:hAnsi="宋体" w:cs="宋体"/>
      <w:kern w:val="0"/>
      <w:sz w:val="24"/>
      <w:szCs w:val="22"/>
    </w:rPr>
  </w:style>
  <w:style w:type="paragraph" w:customStyle="1" w:styleId="659">
    <w:name w:val="样式 正文缩进正文（首行缩进两字）特点ALT+Z表正文正文非缩进四号段1Normal Indent Char2..."/>
    <w:basedOn w:val="3"/>
    <w:next w:val="4"/>
    <w:autoRedefine/>
    <w:qFormat/>
    <w:uiPriority w:val="0"/>
    <w:pPr>
      <w:spacing w:before="240" w:after="120" w:line="400" w:lineRule="exact"/>
      <w:ind w:left="1140" w:hanging="630"/>
      <w:jc w:val="center"/>
    </w:pPr>
    <w:rPr>
      <w:rFonts w:ascii="宋体" w:hAnsi="宋体" w:eastAsia="宋体"/>
      <w:bCs w:val="0"/>
      <w:sz w:val="24"/>
      <w:szCs w:val="20"/>
    </w:rPr>
  </w:style>
  <w:style w:type="paragraph" w:customStyle="1" w:styleId="660">
    <w:name w:val="pa-91"/>
    <w:basedOn w:val="1"/>
    <w:autoRedefine/>
    <w:qFormat/>
    <w:uiPriority w:val="0"/>
    <w:pPr>
      <w:widowControl/>
      <w:spacing w:line="360" w:lineRule="atLeast"/>
      <w:ind w:firstLine="4000"/>
      <w:jc w:val="left"/>
    </w:pPr>
    <w:rPr>
      <w:rFonts w:ascii="宋体" w:hAnsi="宋体" w:cs="宋体"/>
      <w:kern w:val="0"/>
      <w:sz w:val="24"/>
      <w:szCs w:val="22"/>
    </w:rPr>
  </w:style>
  <w:style w:type="paragraph" w:customStyle="1" w:styleId="6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662">
    <w:name w:val="ca-44"/>
    <w:basedOn w:val="1"/>
    <w:autoRedefine/>
    <w:qFormat/>
    <w:uiPriority w:val="0"/>
    <w:pPr>
      <w:widowControl/>
      <w:jc w:val="left"/>
    </w:pPr>
    <w:rPr>
      <w:rFonts w:ascii="宋体" w:hAnsi="宋体" w:cs="宋体"/>
      <w:color w:val="000000"/>
      <w:kern w:val="0"/>
      <w:sz w:val="52"/>
      <w:szCs w:val="52"/>
    </w:rPr>
  </w:style>
  <w:style w:type="paragraph" w:customStyle="1" w:styleId="663">
    <w:name w:val="xl65"/>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664">
    <w:name w:val="默认段落字体 Para Char Char Char Char Char Char Char Char Char1 Char Char Char Char"/>
    <w:basedOn w:val="1"/>
    <w:autoRedefine/>
    <w:qFormat/>
    <w:uiPriority w:val="0"/>
    <w:rPr>
      <w:rFonts w:ascii="Tahoma" w:hAnsi="Tahoma"/>
      <w:sz w:val="24"/>
      <w:szCs w:val="20"/>
    </w:rPr>
  </w:style>
  <w:style w:type="paragraph" w:customStyle="1" w:styleId="665">
    <w:name w:val="xl9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b/>
      <w:bCs/>
      <w:kern w:val="0"/>
      <w:sz w:val="20"/>
      <w:szCs w:val="20"/>
    </w:rPr>
  </w:style>
  <w:style w:type="paragraph" w:customStyle="1" w:styleId="666">
    <w:name w:val="BJ-01"/>
    <w:autoRedefine/>
    <w:qFormat/>
    <w:uiPriority w:val="0"/>
    <w:pPr>
      <w:numPr>
        <w:ilvl w:val="0"/>
        <w:numId w:val="2"/>
      </w:numPr>
      <w:tabs>
        <w:tab w:val="left" w:pos="567"/>
      </w:tabs>
      <w:spacing w:before="240" w:line="360" w:lineRule="auto"/>
      <w:jc w:val="both"/>
    </w:pPr>
    <w:rPr>
      <w:rFonts w:ascii="Arial" w:hAnsi="Arial" w:eastAsia="宋体" w:cs="Times New Roman"/>
      <w:sz w:val="24"/>
      <w:lang w:val="en-GB" w:eastAsia="de-DE" w:bidi="ar-SA"/>
    </w:rPr>
  </w:style>
  <w:style w:type="paragraph" w:customStyle="1" w:styleId="667">
    <w:name w:val="pa-80"/>
    <w:basedOn w:val="1"/>
    <w:autoRedefine/>
    <w:qFormat/>
    <w:uiPriority w:val="0"/>
    <w:pPr>
      <w:widowControl/>
      <w:spacing w:line="360" w:lineRule="atLeast"/>
    </w:pPr>
    <w:rPr>
      <w:rFonts w:ascii="宋体" w:hAnsi="宋体" w:cs="宋体"/>
      <w:kern w:val="0"/>
      <w:sz w:val="24"/>
      <w:szCs w:val="22"/>
    </w:rPr>
  </w:style>
  <w:style w:type="paragraph" w:customStyle="1" w:styleId="668">
    <w:name w:val="pa-124"/>
    <w:basedOn w:val="1"/>
    <w:autoRedefine/>
    <w:qFormat/>
    <w:uiPriority w:val="0"/>
    <w:pPr>
      <w:widowControl/>
      <w:spacing w:line="760" w:lineRule="atLeast"/>
    </w:pPr>
    <w:rPr>
      <w:rFonts w:ascii="宋体" w:hAnsi="宋体" w:cs="宋体"/>
      <w:kern w:val="0"/>
      <w:sz w:val="24"/>
      <w:szCs w:val="22"/>
    </w:rPr>
  </w:style>
  <w:style w:type="paragraph" w:customStyle="1" w:styleId="669">
    <w:name w:val="pa-41"/>
    <w:basedOn w:val="1"/>
    <w:autoRedefine/>
    <w:qFormat/>
    <w:uiPriority w:val="0"/>
    <w:pPr>
      <w:widowControl/>
      <w:spacing w:line="280" w:lineRule="atLeast"/>
      <w:ind w:firstLine="420"/>
    </w:pPr>
    <w:rPr>
      <w:rFonts w:ascii="宋体" w:hAnsi="宋体" w:cs="宋体"/>
      <w:kern w:val="0"/>
      <w:sz w:val="24"/>
      <w:szCs w:val="22"/>
    </w:rPr>
  </w:style>
  <w:style w:type="paragraph" w:customStyle="1" w:styleId="670">
    <w:name w:val="pa-2"/>
    <w:basedOn w:val="1"/>
    <w:autoRedefine/>
    <w:qFormat/>
    <w:uiPriority w:val="0"/>
    <w:pPr>
      <w:widowControl/>
      <w:spacing w:line="400" w:lineRule="atLeast"/>
      <w:jc w:val="center"/>
    </w:pPr>
    <w:rPr>
      <w:rFonts w:ascii="宋体" w:hAnsi="宋体" w:cs="宋体"/>
      <w:kern w:val="0"/>
      <w:sz w:val="24"/>
      <w:szCs w:val="22"/>
    </w:rPr>
  </w:style>
  <w:style w:type="paragraph" w:customStyle="1" w:styleId="671">
    <w:name w:val="标题C"/>
    <w:basedOn w:val="4"/>
    <w:autoRedefine/>
    <w:qFormat/>
    <w:uiPriority w:val="0"/>
    <w:pPr>
      <w:adjustRightInd w:val="0"/>
      <w:spacing w:before="100" w:beforeAutospacing="1" w:after="100" w:afterAutospacing="1" w:line="240" w:lineRule="auto"/>
      <w:jc w:val="center"/>
      <w:textAlignment w:val="baseline"/>
    </w:pPr>
    <w:rPr>
      <w:sz w:val="24"/>
      <w:szCs w:val="24"/>
    </w:rPr>
  </w:style>
  <w:style w:type="paragraph" w:customStyle="1" w:styleId="672">
    <w:name w:val="pa-123"/>
    <w:basedOn w:val="1"/>
    <w:autoRedefine/>
    <w:qFormat/>
    <w:uiPriority w:val="0"/>
    <w:pPr>
      <w:widowControl/>
      <w:spacing w:line="360" w:lineRule="atLeast"/>
    </w:pPr>
    <w:rPr>
      <w:rFonts w:ascii="宋体" w:hAnsi="宋体" w:cs="宋体"/>
      <w:kern w:val="0"/>
      <w:sz w:val="24"/>
      <w:szCs w:val="22"/>
    </w:rPr>
  </w:style>
  <w:style w:type="paragraph" w:customStyle="1" w:styleId="673">
    <w:name w:val="Char Char Char Char Char Char Char Char Char Char Char Char Char Char Char Char Char Char Char Char Char Char Char Char Char Char Char Char Char Char Char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74">
    <w:name w:val="样式 标题 3 + (中文) 黑体 小四 非加粗 段前: 7.8 磅 段后: 0 磅 行距: 固定值 20 磅_0_0"/>
    <w:basedOn w:val="182"/>
    <w:autoRedefine/>
    <w:qFormat/>
    <w:uiPriority w:val="0"/>
    <w:pPr>
      <w:spacing w:before="0" w:after="0" w:line="400" w:lineRule="exact"/>
    </w:pPr>
    <w:rPr>
      <w:rFonts w:eastAsia="黑体"/>
      <w:b w:val="0"/>
      <w:bCs w:val="0"/>
      <w:sz w:val="24"/>
      <w:szCs w:val="20"/>
    </w:rPr>
  </w:style>
  <w:style w:type="paragraph" w:customStyle="1" w:styleId="675">
    <w:name w:val="ca-18"/>
    <w:basedOn w:val="1"/>
    <w:autoRedefine/>
    <w:qFormat/>
    <w:uiPriority w:val="0"/>
    <w:pPr>
      <w:widowControl/>
      <w:jc w:val="left"/>
    </w:pPr>
    <w:rPr>
      <w:rFonts w:ascii="宋体" w:hAnsi="宋体" w:cs="宋体"/>
      <w:color w:val="000000"/>
      <w:kern w:val="0"/>
      <w:sz w:val="18"/>
      <w:szCs w:val="18"/>
    </w:rPr>
  </w:style>
  <w:style w:type="paragraph" w:customStyle="1" w:styleId="676">
    <w:name w:val="pa-102"/>
    <w:basedOn w:val="1"/>
    <w:autoRedefine/>
    <w:qFormat/>
    <w:uiPriority w:val="0"/>
    <w:pPr>
      <w:widowControl/>
      <w:spacing w:line="300" w:lineRule="atLeast"/>
      <w:jc w:val="center"/>
    </w:pPr>
    <w:rPr>
      <w:rFonts w:ascii="宋体" w:hAnsi="宋体" w:cs="宋体"/>
      <w:kern w:val="0"/>
      <w:sz w:val="24"/>
      <w:szCs w:val="22"/>
    </w:rPr>
  </w:style>
  <w:style w:type="paragraph" w:customStyle="1" w:styleId="677">
    <w:name w:val="ca-24"/>
    <w:basedOn w:val="1"/>
    <w:autoRedefine/>
    <w:qFormat/>
    <w:uiPriority w:val="0"/>
    <w:pPr>
      <w:widowControl/>
      <w:jc w:val="left"/>
    </w:pPr>
    <w:rPr>
      <w:rFonts w:ascii="宋体" w:hAnsi="宋体" w:cs="宋体"/>
      <w:kern w:val="0"/>
      <w:sz w:val="24"/>
      <w:szCs w:val="22"/>
    </w:rPr>
  </w:style>
  <w:style w:type="paragraph" w:customStyle="1" w:styleId="678">
    <w:name w:val="Divn"/>
    <w:autoRedefine/>
    <w:qFormat/>
    <w:uiPriority w:val="0"/>
    <w:pPr>
      <w:spacing w:line="360" w:lineRule="auto"/>
    </w:pPr>
    <w:rPr>
      <w:rFonts w:ascii="Arial" w:hAnsi="Arial" w:eastAsia="宋体" w:cs="Arial"/>
      <w:b/>
      <w:caps/>
      <w:u w:val="single"/>
      <w:lang w:val="en-US" w:eastAsia="zh-CN" w:bidi="ar-SA"/>
    </w:rPr>
  </w:style>
  <w:style w:type="paragraph" w:customStyle="1" w:styleId="679">
    <w:name w:val="Char Char1 Char1"/>
    <w:basedOn w:val="1"/>
    <w:autoRedefine/>
    <w:qFormat/>
    <w:uiPriority w:val="0"/>
    <w:rPr>
      <w:rFonts w:ascii="Calibri" w:hAnsi="Calibri"/>
    </w:rPr>
  </w:style>
  <w:style w:type="paragraph" w:customStyle="1" w:styleId="680">
    <w:name w:val="ca-31"/>
    <w:basedOn w:val="1"/>
    <w:autoRedefine/>
    <w:qFormat/>
    <w:uiPriority w:val="0"/>
    <w:pPr>
      <w:widowControl/>
      <w:jc w:val="left"/>
    </w:pPr>
    <w:rPr>
      <w:rFonts w:ascii="??" w:hAnsi="??" w:cs="宋体"/>
      <w:color w:val="000000"/>
      <w:kern w:val="0"/>
      <w:szCs w:val="21"/>
    </w:rPr>
  </w:style>
  <w:style w:type="paragraph" w:customStyle="1" w:styleId="681">
    <w:name w:val="Char Char Char Char1"/>
    <w:basedOn w:val="1"/>
    <w:autoRedefine/>
    <w:qFormat/>
    <w:uiPriority w:val="0"/>
    <w:rPr>
      <w:rFonts w:ascii="Calibri" w:hAnsi="Calibri"/>
    </w:rPr>
  </w:style>
  <w:style w:type="paragraph" w:customStyle="1" w:styleId="682">
    <w:name w:val="flNote"/>
    <w:basedOn w:val="1"/>
    <w:autoRedefine/>
    <w:qFormat/>
    <w:uiPriority w:val="0"/>
    <w:pPr>
      <w:adjustRightInd w:val="0"/>
      <w:spacing w:before="320" w:after="160" w:line="360" w:lineRule="atLeast"/>
      <w:jc w:val="center"/>
      <w:textAlignment w:val="baseline"/>
    </w:pPr>
    <w:rPr>
      <w:rFonts w:ascii="Arial" w:hAnsi="Calibri" w:eastAsia="黑体"/>
      <w:kern w:val="0"/>
      <w:sz w:val="30"/>
      <w:szCs w:val="20"/>
    </w:rPr>
  </w:style>
  <w:style w:type="paragraph" w:customStyle="1" w:styleId="683">
    <w:name w:val="ca-34"/>
    <w:basedOn w:val="1"/>
    <w:autoRedefine/>
    <w:qFormat/>
    <w:uiPriority w:val="0"/>
    <w:pPr>
      <w:widowControl/>
      <w:jc w:val="left"/>
    </w:pPr>
    <w:rPr>
      <w:rFonts w:ascii="宋体" w:hAnsi="宋体" w:cs="宋体"/>
      <w:color w:val="000000"/>
      <w:kern w:val="0"/>
      <w:sz w:val="20"/>
      <w:szCs w:val="20"/>
    </w:rPr>
  </w:style>
  <w:style w:type="paragraph" w:customStyle="1" w:styleId="684">
    <w:name w:val="xl115"/>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Times" w:hAnsi="Times"/>
      <w:kern w:val="0"/>
      <w:sz w:val="20"/>
      <w:szCs w:val="20"/>
    </w:rPr>
  </w:style>
  <w:style w:type="paragraph" w:customStyle="1" w:styleId="68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288" w:lineRule="auto"/>
      <w:ind w:firstLine="200" w:firstLineChars="200"/>
      <w:jc w:val="center"/>
      <w:textAlignment w:val="center"/>
    </w:pPr>
    <w:rPr>
      <w:rFonts w:ascii="宋体" w:hAnsi="宋体"/>
      <w:kern w:val="0"/>
      <w:sz w:val="24"/>
    </w:rPr>
  </w:style>
  <w:style w:type="paragraph" w:customStyle="1" w:styleId="686">
    <w:name w:val="正文11"/>
    <w:basedOn w:val="1"/>
    <w:autoRedefine/>
    <w:qFormat/>
    <w:uiPriority w:val="0"/>
    <w:pPr>
      <w:widowControl/>
      <w:spacing w:line="360" w:lineRule="auto"/>
      <w:ind w:left="499" w:firstLine="499"/>
    </w:pPr>
    <w:rPr>
      <w:rFonts w:ascii="宋体" w:hAnsi="Calibri"/>
      <w:kern w:val="21"/>
      <w:sz w:val="24"/>
      <w:szCs w:val="20"/>
    </w:rPr>
  </w:style>
  <w:style w:type="paragraph" w:customStyle="1" w:styleId="687">
    <w:name w:val="ca-51"/>
    <w:basedOn w:val="1"/>
    <w:autoRedefine/>
    <w:qFormat/>
    <w:uiPriority w:val="0"/>
    <w:pPr>
      <w:widowControl/>
      <w:jc w:val="left"/>
    </w:pPr>
    <w:rPr>
      <w:rFonts w:ascii="Calibri" w:hAnsi="Calibri"/>
      <w:b/>
      <w:bCs/>
      <w:color w:val="000000"/>
      <w:spacing w:val="-20"/>
      <w:kern w:val="0"/>
      <w:sz w:val="32"/>
      <w:szCs w:val="32"/>
    </w:rPr>
  </w:style>
  <w:style w:type="paragraph" w:customStyle="1" w:styleId="688">
    <w:name w:val="ca-9"/>
    <w:basedOn w:val="1"/>
    <w:autoRedefine/>
    <w:qFormat/>
    <w:uiPriority w:val="0"/>
    <w:pPr>
      <w:widowControl/>
      <w:jc w:val="left"/>
    </w:pPr>
    <w:rPr>
      <w:rFonts w:ascii="楷体_GB2312" w:hAnsi="宋体" w:eastAsia="楷体_GB2312" w:cs="宋体"/>
      <w:color w:val="000000"/>
      <w:spacing w:val="20"/>
      <w:kern w:val="0"/>
      <w:sz w:val="96"/>
      <w:szCs w:val="96"/>
    </w:rPr>
  </w:style>
  <w:style w:type="paragraph" w:customStyle="1" w:styleId="689">
    <w:name w:val="样式 样式 样式1 + 首行缩进:  2 字符 + 首行缩进:  2 字符1"/>
    <w:basedOn w:val="1"/>
    <w:autoRedefine/>
    <w:qFormat/>
    <w:uiPriority w:val="0"/>
    <w:pPr>
      <w:spacing w:line="360" w:lineRule="exact"/>
      <w:ind w:firstLine="480" w:firstLineChars="200"/>
    </w:pPr>
    <w:rPr>
      <w:rFonts w:ascii="Arial" w:hAnsi="Arial"/>
      <w:szCs w:val="20"/>
    </w:rPr>
  </w:style>
  <w:style w:type="paragraph" w:customStyle="1" w:styleId="690">
    <w:name w:val="pa-114"/>
    <w:basedOn w:val="1"/>
    <w:autoRedefine/>
    <w:qFormat/>
    <w:uiPriority w:val="0"/>
    <w:pPr>
      <w:widowControl/>
      <w:spacing w:line="280" w:lineRule="atLeast"/>
      <w:ind w:firstLine="2220"/>
    </w:pPr>
    <w:rPr>
      <w:rFonts w:ascii="宋体" w:hAnsi="宋体" w:cs="宋体"/>
      <w:kern w:val="0"/>
      <w:sz w:val="24"/>
      <w:szCs w:val="22"/>
    </w:rPr>
  </w:style>
  <w:style w:type="paragraph" w:customStyle="1" w:styleId="691">
    <w:name w:val="样式 标题 1 + 黑体 三号 非加粗 居中 段前: 6 磅 段后: 6 磅 行距: 固定值 20 磅"/>
    <w:basedOn w:val="2"/>
    <w:autoRedefine/>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692">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4"/>
    </w:rPr>
  </w:style>
  <w:style w:type="paragraph" w:customStyle="1" w:styleId="693">
    <w:name w:val="ca-1"/>
    <w:basedOn w:val="1"/>
    <w:autoRedefine/>
    <w:qFormat/>
    <w:uiPriority w:val="0"/>
    <w:pPr>
      <w:widowControl/>
      <w:jc w:val="left"/>
    </w:pPr>
    <w:rPr>
      <w:rFonts w:ascii="宋体" w:hAnsi="宋体" w:cs="宋体"/>
      <w:color w:val="000000"/>
      <w:spacing w:val="40"/>
      <w:kern w:val="0"/>
      <w:sz w:val="44"/>
      <w:szCs w:val="44"/>
    </w:rPr>
  </w:style>
  <w:style w:type="paragraph" w:customStyle="1" w:styleId="694">
    <w:name w:val="Normal_8"/>
    <w:autoRedefine/>
    <w:qFormat/>
    <w:uiPriority w:val="0"/>
    <w:rPr>
      <w:rFonts w:ascii="黑体" w:hAnsi="黑体" w:eastAsia="黑体" w:cs="Times New Roman"/>
      <w:b/>
      <w:sz w:val="32"/>
      <w:szCs w:val="24"/>
      <w:lang w:val="en-US" w:eastAsia="zh-CN" w:bidi="ar-SA"/>
    </w:rPr>
  </w:style>
  <w:style w:type="paragraph" w:customStyle="1" w:styleId="695">
    <w:name w:val="pa-138"/>
    <w:basedOn w:val="1"/>
    <w:autoRedefine/>
    <w:qFormat/>
    <w:uiPriority w:val="0"/>
    <w:pPr>
      <w:widowControl/>
      <w:spacing w:line="480" w:lineRule="atLeast"/>
      <w:ind w:firstLine="960"/>
      <w:jc w:val="center"/>
    </w:pPr>
    <w:rPr>
      <w:rFonts w:ascii="宋体" w:hAnsi="宋体" w:cs="宋体"/>
      <w:kern w:val="0"/>
      <w:sz w:val="24"/>
      <w:szCs w:val="22"/>
    </w:rPr>
  </w:style>
  <w:style w:type="paragraph" w:customStyle="1" w:styleId="696">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697">
    <w:name w:val="Char Char Char Char"/>
    <w:basedOn w:val="1"/>
    <w:autoRedefine/>
    <w:qFormat/>
    <w:uiPriority w:val="0"/>
    <w:rPr>
      <w:rFonts w:ascii="Calibri" w:hAnsi="Calibri"/>
      <w:szCs w:val="22"/>
    </w:rPr>
  </w:style>
  <w:style w:type="paragraph" w:customStyle="1" w:styleId="698">
    <w:name w:val="xl9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ahoma" w:hAnsi="Tahoma"/>
      <w:kern w:val="0"/>
      <w:sz w:val="20"/>
      <w:szCs w:val="20"/>
    </w:rPr>
  </w:style>
  <w:style w:type="paragraph" w:customStyle="1" w:styleId="699">
    <w:name w:val="Char Char Char Char Char Char_0"/>
    <w:basedOn w:val="1"/>
    <w:autoRedefine/>
    <w:qFormat/>
    <w:uiPriority w:val="0"/>
    <w:rPr>
      <w:rFonts w:ascii="Calibri" w:hAnsi="Calibri"/>
      <w:szCs w:val="22"/>
    </w:rPr>
  </w:style>
  <w:style w:type="paragraph" w:customStyle="1" w:styleId="700">
    <w:name w:val="Char2"/>
    <w:basedOn w:val="1"/>
    <w:autoRedefine/>
    <w:qFormat/>
    <w:uiPriority w:val="0"/>
    <w:rPr>
      <w:rFonts w:ascii="仿宋_GB2312" w:hAnsi="Calibri" w:eastAsia="仿宋_GB2312"/>
      <w:b/>
      <w:sz w:val="32"/>
      <w:szCs w:val="32"/>
    </w:rPr>
  </w:style>
  <w:style w:type="paragraph" w:customStyle="1" w:styleId="701">
    <w:name w:val="明显引用2"/>
    <w:basedOn w:val="1"/>
    <w:next w:val="1"/>
    <w:autoRedefine/>
    <w:qFormat/>
    <w:uiPriority w:val="0"/>
    <w:pPr>
      <w:pBdr>
        <w:bottom w:val="single" w:color="4F81BD" w:sz="4" w:space="4"/>
      </w:pBdr>
      <w:spacing w:before="200" w:after="280"/>
      <w:ind w:left="936" w:right="936"/>
    </w:pPr>
    <w:rPr>
      <w:rFonts w:ascii="Calibri" w:hAnsi="Calibri" w:eastAsia="Times New Roman"/>
      <w:b/>
      <w:i/>
      <w:color w:val="4F81BD"/>
      <w:sz w:val="22"/>
      <w:szCs w:val="20"/>
    </w:rPr>
  </w:style>
  <w:style w:type="paragraph" w:customStyle="1" w:styleId="702">
    <w:name w:val="Normal_17"/>
    <w:autoRedefine/>
    <w:qFormat/>
    <w:uiPriority w:val="0"/>
    <w:rPr>
      <w:rFonts w:ascii="黑体" w:hAnsi="黑体" w:eastAsia="黑体" w:cs="Times New Roman"/>
      <w:b/>
      <w:sz w:val="32"/>
      <w:szCs w:val="24"/>
      <w:lang w:val="en-US" w:eastAsia="zh-CN" w:bidi="ar-SA"/>
    </w:rPr>
  </w:style>
  <w:style w:type="paragraph" w:customStyle="1" w:styleId="703">
    <w:name w:val="内文正文_0"/>
    <w:autoRedefine/>
    <w:qFormat/>
    <w:uiPriority w:val="0"/>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704">
    <w:name w:val="菲页(卷)"/>
    <w:basedOn w:val="2"/>
    <w:next w:val="686"/>
    <w:autoRedefine/>
    <w:qFormat/>
    <w:uiPriority w:val="0"/>
    <w:pPr>
      <w:widowControl/>
      <w:tabs>
        <w:tab w:val="left" w:pos="432"/>
        <w:tab w:val="left" w:pos="840"/>
      </w:tabs>
      <w:ind w:left="840" w:hanging="420"/>
      <w:outlineLvl w:val="1"/>
    </w:pPr>
    <w:rPr>
      <w:rFonts w:ascii="黑体" w:hAnsi="Calibri" w:eastAsia="黑体"/>
      <w:b w:val="0"/>
      <w:bCs w:val="0"/>
      <w:sz w:val="52"/>
      <w:szCs w:val="20"/>
    </w:rPr>
  </w:style>
  <w:style w:type="paragraph" w:customStyle="1" w:styleId="705">
    <w:name w:val="pa-58"/>
    <w:basedOn w:val="1"/>
    <w:autoRedefine/>
    <w:qFormat/>
    <w:uiPriority w:val="0"/>
    <w:pPr>
      <w:widowControl/>
      <w:spacing w:line="300" w:lineRule="atLeast"/>
      <w:ind w:firstLine="300"/>
    </w:pPr>
    <w:rPr>
      <w:rFonts w:ascii="宋体" w:hAnsi="宋体" w:cs="宋体"/>
      <w:kern w:val="0"/>
      <w:sz w:val="24"/>
      <w:szCs w:val="22"/>
    </w:rPr>
  </w:style>
  <w:style w:type="paragraph" w:customStyle="1" w:styleId="706">
    <w:name w:val="pa-67"/>
    <w:basedOn w:val="1"/>
    <w:autoRedefine/>
    <w:qFormat/>
    <w:uiPriority w:val="0"/>
    <w:pPr>
      <w:widowControl/>
      <w:spacing w:line="240" w:lineRule="atLeast"/>
      <w:ind w:firstLine="420"/>
      <w:jc w:val="left"/>
    </w:pPr>
    <w:rPr>
      <w:rFonts w:ascii="宋体" w:hAnsi="宋体" w:cs="宋体"/>
      <w:kern w:val="0"/>
      <w:sz w:val="24"/>
      <w:szCs w:val="22"/>
    </w:rPr>
  </w:style>
  <w:style w:type="paragraph" w:customStyle="1" w:styleId="707">
    <w:name w:val="xl67"/>
    <w:basedOn w:val="1"/>
    <w:autoRedefine/>
    <w:qFormat/>
    <w:uiPriority w:val="0"/>
    <w:pPr>
      <w:widowControl/>
      <w:spacing w:before="100" w:beforeAutospacing="1" w:after="100" w:afterAutospacing="1"/>
      <w:jc w:val="center"/>
    </w:pPr>
    <w:rPr>
      <w:rFonts w:ascii="宋体" w:hAnsi="宋体" w:cs="宋体"/>
      <w:kern w:val="0"/>
      <w:sz w:val="20"/>
      <w:szCs w:val="20"/>
    </w:rPr>
  </w:style>
  <w:style w:type="paragraph" w:customStyle="1" w:styleId="708">
    <w:name w:val="部分1"/>
    <w:basedOn w:val="1"/>
    <w:autoRedefine/>
    <w:qFormat/>
    <w:uiPriority w:val="0"/>
    <w:pPr>
      <w:keepNext/>
      <w:pageBreakBefore/>
      <w:tabs>
        <w:tab w:val="left" w:pos="720"/>
      </w:tabs>
      <w:spacing w:line="360" w:lineRule="auto"/>
      <w:jc w:val="center"/>
      <w:outlineLvl w:val="0"/>
    </w:pPr>
    <w:rPr>
      <w:rFonts w:ascii="Calibri" w:hAnsi="Calibri" w:eastAsia="黑体"/>
      <w:b/>
      <w:kern w:val="44"/>
      <w:sz w:val="36"/>
      <w:szCs w:val="20"/>
    </w:rPr>
  </w:style>
  <w:style w:type="paragraph" w:customStyle="1" w:styleId="709">
    <w:name w:val="Char21"/>
    <w:basedOn w:val="1"/>
    <w:autoRedefine/>
    <w:qFormat/>
    <w:uiPriority w:val="0"/>
    <w:rPr>
      <w:rFonts w:ascii="仿宋_GB2312" w:hAnsi="Calibri" w:eastAsia="仿宋_GB2312"/>
      <w:b/>
      <w:sz w:val="32"/>
      <w:szCs w:val="32"/>
    </w:rPr>
  </w:style>
  <w:style w:type="paragraph" w:customStyle="1" w:styleId="710">
    <w:name w:val="ca-10"/>
    <w:basedOn w:val="1"/>
    <w:autoRedefine/>
    <w:qFormat/>
    <w:uiPriority w:val="0"/>
    <w:pPr>
      <w:widowControl/>
      <w:jc w:val="left"/>
    </w:pPr>
    <w:rPr>
      <w:rFonts w:ascii="Calibri" w:hAnsi="Calibri"/>
      <w:color w:val="000000"/>
      <w:kern w:val="0"/>
      <w:sz w:val="52"/>
      <w:szCs w:val="52"/>
    </w:rPr>
  </w:style>
  <w:style w:type="paragraph" w:customStyle="1" w:styleId="711">
    <w:name w:val="pa-23"/>
    <w:basedOn w:val="1"/>
    <w:autoRedefine/>
    <w:qFormat/>
    <w:uiPriority w:val="0"/>
    <w:pPr>
      <w:widowControl/>
      <w:spacing w:line="360" w:lineRule="atLeast"/>
      <w:ind w:firstLine="420"/>
    </w:pPr>
    <w:rPr>
      <w:rFonts w:ascii="宋体" w:hAnsi="宋体" w:cs="宋体"/>
      <w:kern w:val="0"/>
      <w:sz w:val="24"/>
      <w:szCs w:val="22"/>
    </w:rPr>
  </w:style>
  <w:style w:type="paragraph" w:customStyle="1" w:styleId="712">
    <w:name w:val="td-7"/>
    <w:basedOn w:val="1"/>
    <w:autoRedefine/>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szCs w:val="22"/>
    </w:rPr>
  </w:style>
  <w:style w:type="paragraph" w:customStyle="1" w:styleId="713">
    <w:name w:val="BJ-03"/>
    <w:autoRedefine/>
    <w:qFormat/>
    <w:uiPriority w:val="0"/>
    <w:pPr>
      <w:widowControl w:val="0"/>
      <w:numPr>
        <w:ilvl w:val="0"/>
        <w:numId w:val="3"/>
      </w:numPr>
      <w:spacing w:before="120" w:after="120" w:line="360" w:lineRule="auto"/>
      <w:jc w:val="both"/>
    </w:pPr>
    <w:rPr>
      <w:rFonts w:ascii="Arial" w:hAnsi="Arial" w:eastAsia="宋体" w:cs="Times New Roman"/>
      <w:sz w:val="24"/>
      <w:lang w:val="de-DE" w:eastAsia="de-DE" w:bidi="ar-SA"/>
    </w:rPr>
  </w:style>
  <w:style w:type="paragraph" w:customStyle="1" w:styleId="714">
    <w:name w:val="Normal_0"/>
    <w:autoRedefine/>
    <w:qFormat/>
    <w:uiPriority w:val="0"/>
    <w:rPr>
      <w:rFonts w:ascii="黑体" w:hAnsi="黑体" w:eastAsia="黑体" w:cs="Times New Roman"/>
      <w:b/>
      <w:sz w:val="32"/>
      <w:szCs w:val="24"/>
      <w:lang w:val="en-US" w:eastAsia="zh-CN" w:bidi="ar-SA"/>
    </w:rPr>
  </w:style>
  <w:style w:type="paragraph" w:customStyle="1" w:styleId="715">
    <w:name w:val="p15"/>
    <w:basedOn w:val="1"/>
    <w:autoRedefine/>
    <w:qFormat/>
    <w:uiPriority w:val="0"/>
    <w:pPr>
      <w:widowControl/>
      <w:spacing w:after="120"/>
      <w:ind w:left="420"/>
    </w:pPr>
    <w:rPr>
      <w:kern w:val="0"/>
      <w:szCs w:val="21"/>
    </w:rPr>
  </w:style>
  <w:style w:type="paragraph" w:customStyle="1" w:styleId="716">
    <w:name w:val="Char_0"/>
    <w:basedOn w:val="1"/>
    <w:autoRedefine/>
    <w:qFormat/>
    <w:uiPriority w:val="0"/>
    <w:rPr>
      <w:rFonts w:ascii="Tahoma" w:hAnsi="Tahoma"/>
      <w:sz w:val="24"/>
      <w:szCs w:val="20"/>
    </w:rPr>
  </w:style>
  <w:style w:type="paragraph" w:customStyle="1" w:styleId="717">
    <w:name w:val="目录"/>
    <w:basedOn w:val="1"/>
    <w:autoRedefine/>
    <w:qFormat/>
    <w:uiPriority w:val="0"/>
    <w:pPr>
      <w:widowControl/>
      <w:jc w:val="center"/>
    </w:pPr>
    <w:rPr>
      <w:rFonts w:ascii="宋体" w:hAnsi="Calibri"/>
      <w:b/>
      <w:kern w:val="0"/>
      <w:sz w:val="36"/>
      <w:szCs w:val="20"/>
    </w:rPr>
  </w:style>
  <w:style w:type="paragraph" w:customStyle="1" w:styleId="718">
    <w:name w:val="ca-13"/>
    <w:basedOn w:val="1"/>
    <w:autoRedefine/>
    <w:qFormat/>
    <w:uiPriority w:val="0"/>
    <w:pPr>
      <w:widowControl/>
      <w:jc w:val="left"/>
    </w:pPr>
    <w:rPr>
      <w:rFonts w:ascii="宋体" w:hAnsi="宋体" w:cs="宋体"/>
      <w:color w:val="000000"/>
      <w:kern w:val="0"/>
      <w:sz w:val="32"/>
      <w:szCs w:val="32"/>
    </w:rPr>
  </w:style>
  <w:style w:type="paragraph" w:customStyle="1" w:styleId="719">
    <w:name w:val="td-4"/>
    <w:basedOn w:val="1"/>
    <w:autoRedefine/>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szCs w:val="22"/>
    </w:rPr>
  </w:style>
  <w:style w:type="paragraph" w:customStyle="1" w:styleId="720">
    <w:name w:val="xl29"/>
    <w:basedOn w:val="1"/>
    <w:autoRedefine/>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721">
    <w:name w:val="Body Text Indent_5e695de1-e77d-486c-91cf-41ef4bfb7e52"/>
    <w:basedOn w:val="1"/>
    <w:autoRedefine/>
    <w:qFormat/>
    <w:uiPriority w:val="0"/>
    <w:pPr>
      <w:spacing w:before="120" w:after="120" w:line="360" w:lineRule="auto"/>
      <w:ind w:left="420" w:leftChars="200"/>
    </w:pPr>
    <w:rPr>
      <w:rFonts w:ascii="Calibri" w:hAnsi="Calibri"/>
      <w:sz w:val="20"/>
      <w:szCs w:val="20"/>
    </w:rPr>
  </w:style>
  <w:style w:type="paragraph" w:customStyle="1" w:styleId="722">
    <w:name w:val="pa-77"/>
    <w:basedOn w:val="1"/>
    <w:autoRedefine/>
    <w:qFormat/>
    <w:uiPriority w:val="0"/>
    <w:pPr>
      <w:widowControl/>
      <w:spacing w:line="360" w:lineRule="atLeast"/>
    </w:pPr>
    <w:rPr>
      <w:rFonts w:ascii="宋体" w:hAnsi="宋体" w:cs="宋体"/>
      <w:kern w:val="0"/>
      <w:sz w:val="24"/>
      <w:szCs w:val="22"/>
    </w:rPr>
  </w:style>
  <w:style w:type="paragraph" w:customStyle="1" w:styleId="723">
    <w:name w:val="标题A"/>
    <w:basedOn w:val="2"/>
    <w:autoRedefine/>
    <w:qFormat/>
    <w:uiPriority w:val="0"/>
    <w:pPr>
      <w:keepLines/>
      <w:adjustRightInd w:val="0"/>
      <w:spacing w:before="100" w:beforeAutospacing="1" w:after="60"/>
      <w:textAlignment w:val="baseline"/>
    </w:pPr>
    <w:rPr>
      <w:rFonts w:ascii="Arial" w:hAnsi="Arial"/>
      <w:kern w:val="44"/>
      <w:sz w:val="28"/>
      <w:szCs w:val="44"/>
    </w:rPr>
  </w:style>
  <w:style w:type="paragraph" w:customStyle="1" w:styleId="724">
    <w:name w:val="pa-69"/>
    <w:basedOn w:val="1"/>
    <w:autoRedefine/>
    <w:qFormat/>
    <w:uiPriority w:val="0"/>
    <w:pPr>
      <w:widowControl/>
      <w:spacing w:line="240" w:lineRule="atLeast"/>
      <w:ind w:firstLine="1140"/>
    </w:pPr>
    <w:rPr>
      <w:rFonts w:ascii="宋体" w:hAnsi="宋体" w:cs="宋体"/>
      <w:kern w:val="0"/>
      <w:sz w:val="24"/>
      <w:szCs w:val="22"/>
    </w:rPr>
  </w:style>
  <w:style w:type="paragraph" w:customStyle="1" w:styleId="725">
    <w:name w:val="pa-43"/>
    <w:basedOn w:val="1"/>
    <w:autoRedefine/>
    <w:qFormat/>
    <w:uiPriority w:val="0"/>
    <w:pPr>
      <w:widowControl/>
      <w:spacing w:line="280" w:lineRule="atLeast"/>
      <w:jc w:val="center"/>
    </w:pPr>
    <w:rPr>
      <w:rFonts w:ascii="宋体" w:hAnsi="宋体" w:cs="宋体"/>
      <w:kern w:val="0"/>
      <w:sz w:val="24"/>
      <w:szCs w:val="22"/>
    </w:rPr>
  </w:style>
  <w:style w:type="paragraph" w:customStyle="1" w:styleId="726">
    <w:name w:val="pa-13"/>
    <w:basedOn w:val="1"/>
    <w:autoRedefine/>
    <w:qFormat/>
    <w:uiPriority w:val="0"/>
    <w:pPr>
      <w:widowControl/>
      <w:spacing w:line="360" w:lineRule="atLeast"/>
    </w:pPr>
    <w:rPr>
      <w:rFonts w:ascii="宋体" w:hAnsi="宋体" w:cs="宋体"/>
      <w:kern w:val="0"/>
      <w:sz w:val="24"/>
      <w:szCs w:val="22"/>
    </w:rPr>
  </w:style>
  <w:style w:type="paragraph" w:customStyle="1" w:styleId="727">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cs="Verdana"/>
      <w:kern w:val="0"/>
      <w:sz w:val="24"/>
      <w:szCs w:val="22"/>
      <w:lang w:eastAsia="en-US"/>
    </w:rPr>
  </w:style>
  <w:style w:type="paragraph" w:customStyle="1" w:styleId="728">
    <w:name w:val="Char2 Char Char Char Char Char Char"/>
    <w:basedOn w:val="1"/>
    <w:autoRedefine/>
    <w:qFormat/>
    <w:uiPriority w:val="0"/>
    <w:pPr>
      <w:autoSpaceDE w:val="0"/>
      <w:autoSpaceDN w:val="0"/>
      <w:adjustRightInd w:val="0"/>
      <w:snapToGrid w:val="0"/>
      <w:spacing w:line="500" w:lineRule="exact"/>
      <w:ind w:firstLine="562" w:firstLineChars="200"/>
      <w:jc w:val="center"/>
    </w:pPr>
    <w:rPr>
      <w:rFonts w:ascii="Calibri" w:hAnsi="Calibri" w:eastAsia="仿宋_GB2312"/>
      <w:b/>
      <w:color w:val="000000"/>
      <w:sz w:val="28"/>
      <w:szCs w:val="28"/>
    </w:rPr>
  </w:style>
  <w:style w:type="paragraph" w:customStyle="1" w:styleId="729">
    <w:name w:val="浅色网格 - 强调文字颜色 31"/>
    <w:basedOn w:val="1"/>
    <w:autoRedefine/>
    <w:qFormat/>
    <w:uiPriority w:val="0"/>
    <w:pPr>
      <w:adjustRightInd w:val="0"/>
      <w:snapToGrid w:val="0"/>
      <w:spacing w:line="288" w:lineRule="auto"/>
      <w:ind w:firstLine="420" w:firstLineChars="200"/>
    </w:pPr>
    <w:rPr>
      <w:rFonts w:ascii="Calibri" w:hAnsi="Calibri"/>
      <w:szCs w:val="20"/>
    </w:rPr>
  </w:style>
  <w:style w:type="paragraph" w:customStyle="1" w:styleId="730">
    <w:name w:val="正文_1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1">
    <w:name w:val="td-6"/>
    <w:basedOn w:val="1"/>
    <w:autoRedefine/>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szCs w:val="22"/>
    </w:rPr>
  </w:style>
  <w:style w:type="paragraph" w:customStyle="1" w:styleId="732">
    <w:name w:val="td-1"/>
    <w:basedOn w:val="1"/>
    <w:autoRedefine/>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szCs w:val="22"/>
    </w:rPr>
  </w:style>
  <w:style w:type="paragraph" w:customStyle="1" w:styleId="733">
    <w:name w:val="Normal_7"/>
    <w:autoRedefine/>
    <w:qFormat/>
    <w:uiPriority w:val="0"/>
    <w:rPr>
      <w:rFonts w:ascii="黑体" w:hAnsi="黑体" w:eastAsia="黑体" w:cs="Times New Roman"/>
      <w:b/>
      <w:sz w:val="32"/>
      <w:szCs w:val="24"/>
      <w:lang w:val="en-US" w:eastAsia="zh-CN" w:bidi="ar-SA"/>
    </w:rPr>
  </w:style>
  <w:style w:type="paragraph" w:customStyle="1" w:styleId="734">
    <w:name w:val="pa-104"/>
    <w:basedOn w:val="1"/>
    <w:autoRedefine/>
    <w:qFormat/>
    <w:uiPriority w:val="0"/>
    <w:pPr>
      <w:widowControl/>
      <w:spacing w:line="280" w:lineRule="atLeast"/>
      <w:ind w:firstLine="500"/>
      <w:jc w:val="left"/>
    </w:pPr>
    <w:rPr>
      <w:rFonts w:ascii="宋体" w:hAnsi="宋体" w:cs="宋体"/>
      <w:kern w:val="0"/>
      <w:sz w:val="24"/>
      <w:szCs w:val="22"/>
    </w:rPr>
  </w:style>
  <w:style w:type="paragraph" w:customStyle="1" w:styleId="735">
    <w:name w:val="Normal_10"/>
    <w:autoRedefine/>
    <w:qFormat/>
    <w:uiPriority w:val="0"/>
    <w:rPr>
      <w:rFonts w:ascii="黑体" w:hAnsi="黑体" w:eastAsia="黑体" w:cs="Times New Roman"/>
      <w:b/>
      <w:sz w:val="32"/>
      <w:szCs w:val="24"/>
      <w:lang w:val="en-US" w:eastAsia="zh-CN" w:bidi="ar-SA"/>
    </w:rPr>
  </w:style>
  <w:style w:type="paragraph" w:customStyle="1" w:styleId="736">
    <w:name w:val="xl13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737">
    <w:name w:val="pa-61"/>
    <w:basedOn w:val="1"/>
    <w:autoRedefine/>
    <w:qFormat/>
    <w:uiPriority w:val="0"/>
    <w:pPr>
      <w:widowControl/>
      <w:spacing w:line="240" w:lineRule="atLeast"/>
    </w:pPr>
    <w:rPr>
      <w:rFonts w:ascii="宋体" w:hAnsi="宋体" w:cs="宋体"/>
      <w:kern w:val="0"/>
      <w:sz w:val="24"/>
      <w:szCs w:val="22"/>
    </w:rPr>
  </w:style>
  <w:style w:type="paragraph" w:customStyle="1" w:styleId="738">
    <w:name w:val="pa-25"/>
    <w:basedOn w:val="1"/>
    <w:autoRedefine/>
    <w:qFormat/>
    <w:uiPriority w:val="0"/>
    <w:pPr>
      <w:widowControl/>
      <w:spacing w:line="360" w:lineRule="atLeast"/>
      <w:ind w:firstLine="480"/>
      <w:jc w:val="center"/>
    </w:pPr>
    <w:rPr>
      <w:rFonts w:ascii="宋体" w:hAnsi="宋体" w:cs="宋体"/>
      <w:kern w:val="0"/>
      <w:sz w:val="24"/>
      <w:szCs w:val="22"/>
    </w:rPr>
  </w:style>
  <w:style w:type="paragraph" w:customStyle="1" w:styleId="739">
    <w:name w:val="样式 首行缩进:  2 字符"/>
    <w:basedOn w:val="1"/>
    <w:autoRedefine/>
    <w:qFormat/>
    <w:uiPriority w:val="0"/>
    <w:pPr>
      <w:spacing w:before="120" w:after="120" w:line="360" w:lineRule="auto"/>
      <w:ind w:firstLine="582" w:firstLineChars="200"/>
    </w:pPr>
    <w:rPr>
      <w:rFonts w:eastAsia="仿宋_GB2312" w:cs="宋体"/>
      <w:kern w:val="10"/>
      <w:sz w:val="28"/>
      <w:szCs w:val="28"/>
    </w:rPr>
  </w:style>
  <w:style w:type="paragraph" w:customStyle="1" w:styleId="740">
    <w:name w:val="pa-105"/>
    <w:basedOn w:val="1"/>
    <w:autoRedefine/>
    <w:qFormat/>
    <w:uiPriority w:val="0"/>
    <w:pPr>
      <w:widowControl/>
      <w:spacing w:line="960" w:lineRule="atLeast"/>
    </w:pPr>
    <w:rPr>
      <w:rFonts w:ascii="宋体" w:hAnsi="宋体" w:cs="宋体"/>
      <w:kern w:val="0"/>
      <w:sz w:val="24"/>
      <w:szCs w:val="22"/>
    </w:rPr>
  </w:style>
  <w:style w:type="paragraph" w:customStyle="1" w:styleId="741">
    <w:name w:val="pa-125"/>
    <w:basedOn w:val="1"/>
    <w:autoRedefine/>
    <w:qFormat/>
    <w:uiPriority w:val="0"/>
    <w:pPr>
      <w:widowControl/>
      <w:spacing w:line="480" w:lineRule="atLeast"/>
      <w:ind w:firstLine="1080"/>
    </w:pPr>
    <w:rPr>
      <w:rFonts w:ascii="宋体" w:hAnsi="宋体" w:cs="宋体"/>
      <w:kern w:val="0"/>
      <w:sz w:val="24"/>
      <w:szCs w:val="22"/>
    </w:rPr>
  </w:style>
  <w:style w:type="paragraph" w:customStyle="1" w:styleId="742">
    <w:name w:val="pa-39"/>
    <w:basedOn w:val="1"/>
    <w:autoRedefine/>
    <w:qFormat/>
    <w:uiPriority w:val="0"/>
    <w:pPr>
      <w:widowControl/>
      <w:spacing w:line="360" w:lineRule="atLeast"/>
      <w:jc w:val="center"/>
    </w:pPr>
    <w:rPr>
      <w:rFonts w:ascii="宋体" w:hAnsi="宋体" w:cs="宋体"/>
      <w:kern w:val="0"/>
      <w:sz w:val="24"/>
      <w:szCs w:val="22"/>
    </w:rPr>
  </w:style>
  <w:style w:type="paragraph" w:customStyle="1" w:styleId="743">
    <w:name w:val="正文_3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44">
    <w:name w:val="xl121"/>
    <w:basedOn w:val="1"/>
    <w:autoRedefine/>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kern w:val="0"/>
      <w:sz w:val="24"/>
    </w:rPr>
  </w:style>
  <w:style w:type="paragraph" w:customStyle="1" w:styleId="745">
    <w:name w:val="pa-101"/>
    <w:basedOn w:val="1"/>
    <w:autoRedefine/>
    <w:qFormat/>
    <w:uiPriority w:val="0"/>
    <w:pPr>
      <w:widowControl/>
      <w:spacing w:line="360" w:lineRule="atLeast"/>
      <w:jc w:val="center"/>
    </w:pPr>
    <w:rPr>
      <w:rFonts w:ascii="宋体" w:hAnsi="宋体" w:cs="宋体"/>
      <w:kern w:val="0"/>
      <w:sz w:val="24"/>
      <w:szCs w:val="22"/>
    </w:rPr>
  </w:style>
  <w:style w:type="paragraph" w:customStyle="1" w:styleId="746">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747">
    <w:name w:val="pa-28"/>
    <w:basedOn w:val="1"/>
    <w:autoRedefine/>
    <w:qFormat/>
    <w:uiPriority w:val="0"/>
    <w:pPr>
      <w:widowControl/>
      <w:spacing w:line="360" w:lineRule="atLeast"/>
      <w:ind w:firstLine="420"/>
      <w:jc w:val="left"/>
    </w:pPr>
    <w:rPr>
      <w:rFonts w:ascii="宋体" w:hAnsi="宋体" w:cs="宋体"/>
      <w:kern w:val="0"/>
      <w:sz w:val="24"/>
      <w:szCs w:val="22"/>
    </w:rPr>
  </w:style>
  <w:style w:type="paragraph" w:customStyle="1" w:styleId="748">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9">
    <w:name w:val="BJ-02"/>
    <w:next w:val="32"/>
    <w:autoRedefine/>
    <w:qFormat/>
    <w:uiPriority w:val="0"/>
    <w:pPr>
      <w:numPr>
        <w:ilvl w:val="0"/>
        <w:numId w:val="5"/>
      </w:numPr>
      <w:tabs>
        <w:tab w:val="left" w:pos="1985"/>
      </w:tabs>
      <w:spacing w:before="240" w:line="360" w:lineRule="auto"/>
      <w:jc w:val="both"/>
    </w:pPr>
    <w:rPr>
      <w:rFonts w:ascii="Arial" w:hAnsi="Arial" w:eastAsia="宋体" w:cs="Times New Roman"/>
      <w:sz w:val="24"/>
      <w:lang w:val="en-GB" w:eastAsia="de-DE" w:bidi="ar-SA"/>
    </w:rPr>
  </w:style>
  <w:style w:type="paragraph" w:customStyle="1" w:styleId="750">
    <w:name w:val="ca-19"/>
    <w:basedOn w:val="1"/>
    <w:autoRedefine/>
    <w:qFormat/>
    <w:uiPriority w:val="0"/>
    <w:pPr>
      <w:widowControl/>
      <w:jc w:val="left"/>
    </w:pPr>
    <w:rPr>
      <w:rFonts w:ascii="Calibri" w:hAnsi="Calibri"/>
      <w:kern w:val="0"/>
      <w:sz w:val="18"/>
      <w:szCs w:val="18"/>
    </w:rPr>
  </w:style>
  <w:style w:type="paragraph" w:customStyle="1" w:styleId="7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2">
    <w:name w:val="font6"/>
    <w:basedOn w:val="1"/>
    <w:autoRedefine/>
    <w:qFormat/>
    <w:uiPriority w:val="0"/>
    <w:pPr>
      <w:widowControl/>
      <w:adjustRightInd w:val="0"/>
      <w:snapToGrid w:val="0"/>
      <w:spacing w:before="100" w:beforeAutospacing="1" w:after="100" w:afterAutospacing="1" w:line="288" w:lineRule="auto"/>
      <w:ind w:firstLine="200" w:firstLineChars="200"/>
      <w:jc w:val="left"/>
    </w:pPr>
    <w:rPr>
      <w:rFonts w:ascii="Calibri" w:hAnsi="Calibri"/>
      <w:kern w:val="0"/>
      <w:sz w:val="24"/>
    </w:rPr>
  </w:style>
  <w:style w:type="paragraph" w:customStyle="1" w:styleId="753">
    <w:name w:val="pa-97"/>
    <w:basedOn w:val="1"/>
    <w:autoRedefine/>
    <w:qFormat/>
    <w:uiPriority w:val="0"/>
    <w:pPr>
      <w:widowControl/>
      <w:spacing w:line="720" w:lineRule="atLeast"/>
    </w:pPr>
    <w:rPr>
      <w:rFonts w:ascii="宋体" w:hAnsi="宋体" w:cs="宋体"/>
      <w:kern w:val="0"/>
      <w:sz w:val="24"/>
      <w:szCs w:val="22"/>
    </w:rPr>
  </w:style>
  <w:style w:type="paragraph" w:customStyle="1" w:styleId="754">
    <w:name w:val="Body Text(ch)"/>
    <w:basedOn w:val="1"/>
    <w:next w:val="23"/>
    <w:autoRedefine/>
    <w:qFormat/>
    <w:uiPriority w:val="0"/>
    <w:pPr>
      <w:spacing w:line="500" w:lineRule="exact"/>
      <w:jc w:val="center"/>
    </w:pPr>
    <w:rPr>
      <w:rFonts w:ascii="Calibri" w:hAnsi="Calibri"/>
    </w:rPr>
  </w:style>
  <w:style w:type="paragraph" w:customStyle="1" w:styleId="755">
    <w:name w:val="xl30"/>
    <w:basedOn w:val="1"/>
    <w:autoRedefine/>
    <w:qFormat/>
    <w:uiPriority w:val="0"/>
    <w:pPr>
      <w:widowControl/>
      <w:pBdr>
        <w:bottom w:val="single" w:color="auto" w:sz="4" w:space="0"/>
      </w:pBdr>
      <w:adjustRightInd w:val="0"/>
      <w:snapToGrid w:val="0"/>
      <w:spacing w:before="100" w:beforeAutospacing="1" w:after="100" w:afterAutospacing="1" w:line="288" w:lineRule="auto"/>
      <w:ind w:firstLine="200" w:firstLineChars="200"/>
      <w:jc w:val="left"/>
    </w:pPr>
    <w:rPr>
      <w:rFonts w:ascii="宋体" w:hAnsi="宋体"/>
      <w:kern w:val="0"/>
      <w:sz w:val="24"/>
    </w:rPr>
  </w:style>
  <w:style w:type="paragraph" w:customStyle="1" w:styleId="756">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57">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8">
    <w:name w:val="pa-18"/>
    <w:basedOn w:val="1"/>
    <w:autoRedefine/>
    <w:qFormat/>
    <w:uiPriority w:val="0"/>
    <w:pPr>
      <w:widowControl/>
      <w:spacing w:line="240" w:lineRule="atLeast"/>
      <w:ind w:firstLine="20"/>
    </w:pPr>
    <w:rPr>
      <w:rFonts w:ascii="宋体" w:hAnsi="宋体" w:cs="宋体"/>
      <w:kern w:val="0"/>
      <w:sz w:val="24"/>
      <w:szCs w:val="22"/>
    </w:rPr>
  </w:style>
  <w:style w:type="paragraph" w:customStyle="1" w:styleId="759">
    <w:name w:val="pa-78"/>
    <w:basedOn w:val="1"/>
    <w:autoRedefine/>
    <w:qFormat/>
    <w:uiPriority w:val="0"/>
    <w:pPr>
      <w:widowControl/>
      <w:spacing w:line="340" w:lineRule="atLeast"/>
    </w:pPr>
    <w:rPr>
      <w:rFonts w:ascii="宋体" w:hAnsi="宋体" w:cs="宋体"/>
      <w:kern w:val="0"/>
      <w:sz w:val="24"/>
      <w:szCs w:val="22"/>
    </w:rPr>
  </w:style>
  <w:style w:type="paragraph" w:customStyle="1" w:styleId="760">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1">
    <w:name w:val="pa-81"/>
    <w:basedOn w:val="1"/>
    <w:autoRedefine/>
    <w:qFormat/>
    <w:uiPriority w:val="0"/>
    <w:pPr>
      <w:widowControl/>
      <w:spacing w:line="360" w:lineRule="atLeast"/>
      <w:jc w:val="center"/>
    </w:pPr>
    <w:rPr>
      <w:rFonts w:ascii="宋体" w:hAnsi="宋体" w:cs="宋体"/>
      <w:kern w:val="0"/>
      <w:sz w:val="24"/>
      <w:szCs w:val="22"/>
    </w:rPr>
  </w:style>
  <w:style w:type="paragraph" w:customStyle="1" w:styleId="762">
    <w:name w:val="pa-5"/>
    <w:basedOn w:val="1"/>
    <w:autoRedefine/>
    <w:qFormat/>
    <w:uiPriority w:val="0"/>
    <w:pPr>
      <w:widowControl/>
      <w:spacing w:line="1000" w:lineRule="atLeast"/>
      <w:jc w:val="center"/>
    </w:pPr>
    <w:rPr>
      <w:rFonts w:ascii="宋体" w:hAnsi="宋体" w:cs="宋体"/>
      <w:kern w:val="0"/>
      <w:sz w:val="24"/>
      <w:szCs w:val="22"/>
    </w:rPr>
  </w:style>
  <w:style w:type="paragraph" w:customStyle="1" w:styleId="763">
    <w:name w:val="Para----"/>
    <w:autoRedefine/>
    <w:qFormat/>
    <w:uiPriority w:val="0"/>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764">
    <w:name w:val="ca-12"/>
    <w:basedOn w:val="1"/>
    <w:autoRedefine/>
    <w:qFormat/>
    <w:uiPriority w:val="0"/>
    <w:pPr>
      <w:widowControl/>
      <w:jc w:val="left"/>
    </w:pPr>
    <w:rPr>
      <w:rFonts w:ascii="Calibri" w:hAnsi="Calibri"/>
      <w:color w:val="000000"/>
      <w:kern w:val="0"/>
      <w:sz w:val="32"/>
      <w:szCs w:val="32"/>
    </w:rPr>
  </w:style>
  <w:style w:type="paragraph" w:customStyle="1" w:styleId="765">
    <w:name w:val="样式 正文缩进正文（首行缩进两字）特点ALT+Z表正文正文非缩进四号段1Normal Indent Char2...2"/>
    <w:basedOn w:val="4"/>
    <w:autoRedefine/>
    <w:qFormat/>
    <w:uiPriority w:val="0"/>
    <w:pPr>
      <w:spacing w:before="360" w:after="120" w:line="360" w:lineRule="auto"/>
      <w:jc w:val="center"/>
    </w:pPr>
    <w:rPr>
      <w:rFonts w:ascii="宋体" w:hAnsi="宋体"/>
      <w:bCs w:val="0"/>
      <w:sz w:val="28"/>
      <w:szCs w:val="20"/>
    </w:rPr>
  </w:style>
  <w:style w:type="paragraph" w:customStyle="1" w:styleId="766">
    <w:name w:val="xl117"/>
    <w:basedOn w:val="1"/>
    <w:autoRedefine/>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767">
    <w:name w:val="pa-42"/>
    <w:basedOn w:val="1"/>
    <w:autoRedefine/>
    <w:qFormat/>
    <w:uiPriority w:val="0"/>
    <w:pPr>
      <w:widowControl/>
      <w:spacing w:line="280" w:lineRule="atLeast"/>
      <w:ind w:firstLine="420"/>
      <w:jc w:val="left"/>
    </w:pPr>
    <w:rPr>
      <w:rFonts w:ascii="宋体" w:hAnsi="宋体" w:cs="宋体"/>
      <w:kern w:val="0"/>
      <w:sz w:val="24"/>
      <w:szCs w:val="22"/>
    </w:rPr>
  </w:style>
  <w:style w:type="paragraph" w:customStyle="1" w:styleId="768">
    <w:name w:val="pa-96"/>
    <w:basedOn w:val="1"/>
    <w:autoRedefine/>
    <w:qFormat/>
    <w:uiPriority w:val="0"/>
    <w:pPr>
      <w:widowControl/>
      <w:spacing w:line="480" w:lineRule="atLeast"/>
    </w:pPr>
    <w:rPr>
      <w:rFonts w:ascii="宋体" w:hAnsi="宋体" w:cs="宋体"/>
      <w:kern w:val="0"/>
      <w:sz w:val="24"/>
      <w:szCs w:val="22"/>
    </w:rPr>
  </w:style>
  <w:style w:type="paragraph" w:customStyle="1" w:styleId="769">
    <w:name w:val="表头"/>
    <w:basedOn w:val="1"/>
    <w:autoRedefine/>
    <w:qFormat/>
    <w:uiPriority w:val="0"/>
    <w:pPr>
      <w:spacing w:line="360" w:lineRule="auto"/>
      <w:jc w:val="center"/>
    </w:pPr>
    <w:rPr>
      <w:rFonts w:ascii="黑体" w:hAnsi="Calibri" w:eastAsia="黑体"/>
      <w:kern w:val="0"/>
      <w:sz w:val="24"/>
      <w:szCs w:val="20"/>
    </w:rPr>
  </w:style>
  <w:style w:type="paragraph" w:customStyle="1" w:styleId="770">
    <w:name w:val="pa-112"/>
    <w:basedOn w:val="1"/>
    <w:autoRedefine/>
    <w:qFormat/>
    <w:uiPriority w:val="0"/>
    <w:pPr>
      <w:widowControl/>
      <w:spacing w:line="280" w:lineRule="atLeast"/>
    </w:pPr>
    <w:rPr>
      <w:rFonts w:ascii="宋体" w:hAnsi="宋体" w:cs="宋体"/>
      <w:kern w:val="0"/>
      <w:sz w:val="24"/>
      <w:szCs w:val="22"/>
    </w:rPr>
  </w:style>
  <w:style w:type="paragraph" w:customStyle="1" w:styleId="771">
    <w:name w:val="Normal_9"/>
    <w:autoRedefine/>
    <w:qFormat/>
    <w:uiPriority w:val="0"/>
    <w:rPr>
      <w:rFonts w:ascii="黑体" w:hAnsi="黑体" w:eastAsia="黑体" w:cs="Times New Roman"/>
      <w:b/>
      <w:sz w:val="32"/>
      <w:szCs w:val="24"/>
      <w:lang w:val="en-US" w:eastAsia="zh-CN" w:bidi="ar-SA"/>
    </w:rPr>
  </w:style>
  <w:style w:type="paragraph" w:customStyle="1" w:styleId="77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宋体" w:cs="宋体"/>
      <w:b w:val="0"/>
      <w:bCs w:val="0"/>
      <w:sz w:val="28"/>
      <w:szCs w:val="20"/>
    </w:rPr>
  </w:style>
  <w:style w:type="paragraph" w:customStyle="1" w:styleId="773">
    <w:name w:val="pa-131"/>
    <w:basedOn w:val="1"/>
    <w:autoRedefine/>
    <w:qFormat/>
    <w:uiPriority w:val="0"/>
    <w:pPr>
      <w:widowControl/>
      <w:spacing w:line="280" w:lineRule="atLeast"/>
      <w:jc w:val="left"/>
    </w:pPr>
    <w:rPr>
      <w:rFonts w:ascii="宋体" w:hAnsi="宋体" w:cs="宋体"/>
      <w:kern w:val="0"/>
      <w:sz w:val="24"/>
      <w:szCs w:val="22"/>
    </w:rPr>
  </w:style>
  <w:style w:type="paragraph" w:customStyle="1" w:styleId="774">
    <w:name w:val="Char1_0"/>
    <w:basedOn w:val="1"/>
    <w:autoRedefine/>
    <w:qFormat/>
    <w:uiPriority w:val="0"/>
    <w:rPr>
      <w:rFonts w:ascii="Calibri" w:hAnsi="Calibri"/>
      <w:szCs w:val="20"/>
    </w:rPr>
  </w:style>
  <w:style w:type="paragraph" w:customStyle="1" w:styleId="775">
    <w:name w:val="正文_8"/>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pa-1"/>
    <w:basedOn w:val="1"/>
    <w:autoRedefine/>
    <w:qFormat/>
    <w:uiPriority w:val="0"/>
    <w:pPr>
      <w:widowControl/>
      <w:spacing w:line="480" w:lineRule="atLeast"/>
      <w:jc w:val="center"/>
    </w:pPr>
    <w:rPr>
      <w:rFonts w:ascii="宋体" w:hAnsi="宋体" w:cs="宋体"/>
      <w:kern w:val="0"/>
      <w:sz w:val="24"/>
      <w:szCs w:val="22"/>
    </w:rPr>
  </w:style>
  <w:style w:type="paragraph" w:customStyle="1" w:styleId="777">
    <w:name w:val="ca-49"/>
    <w:basedOn w:val="1"/>
    <w:autoRedefine/>
    <w:qFormat/>
    <w:uiPriority w:val="0"/>
    <w:pPr>
      <w:widowControl/>
      <w:jc w:val="left"/>
    </w:pPr>
    <w:rPr>
      <w:rFonts w:ascii="宋体" w:hAnsi="宋体" w:cs="宋体"/>
      <w:kern w:val="0"/>
      <w:sz w:val="32"/>
      <w:szCs w:val="32"/>
    </w:rPr>
  </w:style>
  <w:style w:type="paragraph" w:customStyle="1" w:styleId="778">
    <w:name w:val="pa-73"/>
    <w:basedOn w:val="1"/>
    <w:autoRedefine/>
    <w:qFormat/>
    <w:uiPriority w:val="0"/>
    <w:pPr>
      <w:widowControl/>
      <w:spacing w:line="360" w:lineRule="atLeast"/>
      <w:ind w:firstLine="640"/>
    </w:pPr>
    <w:rPr>
      <w:rFonts w:ascii="宋体" w:hAnsi="宋体" w:cs="宋体"/>
      <w:kern w:val="0"/>
      <w:sz w:val="24"/>
      <w:szCs w:val="22"/>
    </w:rPr>
  </w:style>
  <w:style w:type="paragraph" w:customStyle="1" w:styleId="779">
    <w:name w:val="Para--"/>
    <w:autoRedefine/>
    <w:qFormat/>
    <w:uiPriority w:val="0"/>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780">
    <w:name w:val="xl4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bCs/>
      <w:kern w:val="0"/>
      <w:sz w:val="24"/>
    </w:rPr>
  </w:style>
  <w:style w:type="paragraph" w:customStyle="1" w:styleId="781">
    <w:name w:val="pa-103"/>
    <w:basedOn w:val="1"/>
    <w:autoRedefine/>
    <w:qFormat/>
    <w:uiPriority w:val="0"/>
    <w:pPr>
      <w:widowControl/>
      <w:spacing w:line="480" w:lineRule="atLeast"/>
      <w:ind w:firstLine="500"/>
      <w:jc w:val="left"/>
    </w:pPr>
    <w:rPr>
      <w:rFonts w:ascii="宋体" w:hAnsi="宋体" w:cs="宋体"/>
      <w:kern w:val="0"/>
      <w:sz w:val="24"/>
      <w:szCs w:val="22"/>
    </w:rPr>
  </w:style>
  <w:style w:type="paragraph" w:customStyle="1" w:styleId="782">
    <w:name w:val="pa-66"/>
    <w:basedOn w:val="1"/>
    <w:autoRedefine/>
    <w:qFormat/>
    <w:uiPriority w:val="0"/>
    <w:pPr>
      <w:widowControl/>
      <w:spacing w:line="240" w:lineRule="atLeast"/>
      <w:ind w:firstLine="200"/>
    </w:pPr>
    <w:rPr>
      <w:rFonts w:ascii="宋体" w:hAnsi="宋体" w:cs="宋体"/>
      <w:kern w:val="0"/>
      <w:sz w:val="24"/>
      <w:szCs w:val="22"/>
    </w:rPr>
  </w:style>
  <w:style w:type="paragraph" w:customStyle="1" w:styleId="783">
    <w:name w:val="Plain Text_abafdc4e-8a85-4bde-a0ef-da47b1a95a0b"/>
    <w:basedOn w:val="784"/>
    <w:autoRedefine/>
    <w:qFormat/>
    <w:uiPriority w:val="0"/>
    <w:pPr>
      <w:widowControl/>
      <w:jc w:val="left"/>
    </w:pPr>
    <w:rPr>
      <w:rFonts w:ascii="宋体" w:hAnsi="Courier New"/>
    </w:rPr>
  </w:style>
  <w:style w:type="paragraph" w:customStyle="1" w:styleId="784">
    <w:name w:val="Normal_89bc7f71-60d1-4180-acfe-b0f2fa366e7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85">
    <w:name w:val="Normal_21"/>
    <w:autoRedefine/>
    <w:qFormat/>
    <w:uiPriority w:val="0"/>
    <w:rPr>
      <w:rFonts w:ascii="黑体" w:hAnsi="黑体" w:eastAsia="黑体" w:cs="Times New Roman"/>
      <w:b/>
      <w:sz w:val="32"/>
      <w:szCs w:val="24"/>
      <w:lang w:val="en-US" w:eastAsia="zh-CN" w:bidi="ar-SA"/>
    </w:rPr>
  </w:style>
  <w:style w:type="paragraph" w:customStyle="1" w:styleId="786">
    <w:name w:val="标题 3_0"/>
    <w:next w:val="491"/>
    <w:autoRedefine/>
    <w:qFormat/>
    <w:uiPriority w:val="0"/>
    <w:pPr>
      <w:keepNext/>
      <w:keepLines/>
      <w:widowControl w:val="0"/>
      <w:spacing w:line="360" w:lineRule="auto"/>
      <w:jc w:val="both"/>
      <w:outlineLvl w:val="2"/>
    </w:pPr>
    <w:rPr>
      <w:rFonts w:ascii="Calibri Bold" w:hAnsi="Calibri Bold" w:eastAsia="ヒラギノ角ゴ Pro W3" w:cs="Times New Roman"/>
      <w:color w:val="000000"/>
      <w:kern w:val="2"/>
      <w:sz w:val="24"/>
      <w:u w:color="000000"/>
      <w:lang w:val="en-US" w:eastAsia="zh-CN" w:bidi="ar-SA"/>
    </w:rPr>
  </w:style>
  <w:style w:type="paragraph" w:customStyle="1" w:styleId="787">
    <w:name w:val="font10"/>
    <w:basedOn w:val="1"/>
    <w:autoRedefine/>
    <w:qFormat/>
    <w:uiPriority w:val="0"/>
    <w:pPr>
      <w:widowControl/>
      <w:spacing w:before="100" w:beforeAutospacing="1" w:after="100" w:afterAutospacing="1"/>
      <w:jc w:val="left"/>
    </w:pPr>
    <w:rPr>
      <w:rFonts w:ascii="Tahoma" w:hAnsi="Tahoma"/>
      <w:color w:val="000000"/>
      <w:kern w:val="0"/>
      <w:sz w:val="22"/>
      <w:szCs w:val="22"/>
    </w:rPr>
  </w:style>
  <w:style w:type="paragraph" w:customStyle="1" w:styleId="788">
    <w:name w:val="cjk"/>
    <w:basedOn w:val="1"/>
    <w:autoRedefine/>
    <w:qFormat/>
    <w:uiPriority w:val="0"/>
    <w:pPr>
      <w:widowControl/>
      <w:spacing w:line="480" w:lineRule="auto"/>
      <w:jc w:val="left"/>
    </w:pPr>
    <w:rPr>
      <w:rFonts w:ascii="宋体" w:hAnsi="宋体" w:cs="宋体"/>
      <w:kern w:val="0"/>
      <w:sz w:val="24"/>
      <w:szCs w:val="22"/>
    </w:rPr>
  </w:style>
  <w:style w:type="paragraph" w:customStyle="1" w:styleId="789">
    <w:name w:val="pa-30"/>
    <w:basedOn w:val="1"/>
    <w:autoRedefine/>
    <w:qFormat/>
    <w:uiPriority w:val="0"/>
    <w:pPr>
      <w:widowControl/>
      <w:spacing w:line="360" w:lineRule="atLeast"/>
      <w:ind w:firstLine="4100"/>
    </w:pPr>
    <w:rPr>
      <w:rFonts w:ascii="宋体" w:hAnsi="宋体" w:cs="宋体"/>
      <w:kern w:val="0"/>
      <w:sz w:val="24"/>
      <w:szCs w:val="22"/>
    </w:rPr>
  </w:style>
  <w:style w:type="paragraph" w:customStyle="1" w:styleId="790">
    <w:name w:val="ca-47"/>
    <w:basedOn w:val="1"/>
    <w:autoRedefine/>
    <w:qFormat/>
    <w:uiPriority w:val="0"/>
    <w:pPr>
      <w:widowControl/>
      <w:jc w:val="left"/>
    </w:pPr>
    <w:rPr>
      <w:rFonts w:ascii="宋体" w:hAnsi="宋体" w:cs="宋体"/>
      <w:b/>
      <w:bCs/>
      <w:color w:val="000000"/>
      <w:spacing w:val="-20"/>
      <w:kern w:val="0"/>
      <w:sz w:val="24"/>
      <w:szCs w:val="22"/>
    </w:rPr>
  </w:style>
  <w:style w:type="paragraph" w:customStyle="1" w:styleId="791">
    <w:name w:val="样式 标题 3h33rd level3l3CTLevel 3 Topic Headingsect1.2.3Hea..."/>
    <w:basedOn w:val="4"/>
    <w:autoRedefine/>
    <w:qFormat/>
    <w:uiPriority w:val="0"/>
    <w:pPr>
      <w:adjustRightInd w:val="0"/>
      <w:spacing w:before="156" w:beforeLines="50" w:after="156" w:afterLines="50" w:line="240" w:lineRule="atLeast"/>
      <w:ind w:left="180"/>
      <w:jc w:val="left"/>
      <w:textAlignment w:val="baseline"/>
    </w:pPr>
    <w:rPr>
      <w:rFonts w:ascii="宋体" w:hAnsi="宋体" w:cs="宋体"/>
      <w:sz w:val="24"/>
      <w:szCs w:val="20"/>
    </w:rPr>
  </w:style>
  <w:style w:type="paragraph" w:customStyle="1" w:styleId="792">
    <w:name w:val="正文_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3">
    <w:name w:val="段"/>
    <w:autoRedefine/>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794">
    <w:name w:val="Normal_1"/>
    <w:autoRedefine/>
    <w:qFormat/>
    <w:uiPriority w:val="0"/>
    <w:rPr>
      <w:rFonts w:ascii="黑体" w:hAnsi="黑体" w:eastAsia="黑体" w:cs="Times New Roman"/>
      <w:b/>
      <w:sz w:val="32"/>
      <w:szCs w:val="24"/>
      <w:lang w:val="en-US" w:eastAsia="zh-CN" w:bidi="ar-SA"/>
    </w:rPr>
  </w:style>
  <w:style w:type="paragraph" w:customStyle="1" w:styleId="795">
    <w:name w:val="正文_9"/>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6">
    <w:name w:val="pa-70"/>
    <w:basedOn w:val="1"/>
    <w:autoRedefine/>
    <w:qFormat/>
    <w:uiPriority w:val="0"/>
    <w:pPr>
      <w:widowControl/>
      <w:spacing w:line="360" w:lineRule="atLeast"/>
      <w:ind w:firstLine="420"/>
      <w:jc w:val="left"/>
    </w:pPr>
    <w:rPr>
      <w:rFonts w:ascii="宋体" w:hAnsi="宋体" w:cs="宋体"/>
      <w:kern w:val="0"/>
      <w:sz w:val="24"/>
      <w:szCs w:val="22"/>
    </w:rPr>
  </w:style>
  <w:style w:type="paragraph" w:customStyle="1" w:styleId="797">
    <w:name w:val="Normal_14"/>
    <w:autoRedefine/>
    <w:qFormat/>
    <w:uiPriority w:val="0"/>
    <w:rPr>
      <w:rFonts w:ascii="黑体" w:hAnsi="黑体" w:eastAsia="黑体" w:cs="Times New Roman"/>
      <w:b/>
      <w:sz w:val="32"/>
      <w:szCs w:val="24"/>
      <w:lang w:val="en-US" w:eastAsia="zh-CN" w:bidi="ar-SA"/>
    </w:rPr>
  </w:style>
  <w:style w:type="paragraph" w:customStyle="1" w:styleId="798">
    <w:name w:val="Normal_23"/>
    <w:autoRedefine/>
    <w:qFormat/>
    <w:uiPriority w:val="0"/>
    <w:rPr>
      <w:rFonts w:ascii="黑体" w:hAnsi="黑体" w:eastAsia="黑体" w:cs="Times New Roman"/>
      <w:b/>
      <w:sz w:val="32"/>
      <w:szCs w:val="24"/>
      <w:lang w:val="en-US" w:eastAsia="zh-CN" w:bidi="ar-SA"/>
    </w:rPr>
  </w:style>
  <w:style w:type="paragraph" w:customStyle="1" w:styleId="799">
    <w:name w:val="样式 标题 3 + 段前: 7.8 磅"/>
    <w:basedOn w:val="4"/>
    <w:autoRedefine/>
    <w:qFormat/>
    <w:uiPriority w:val="0"/>
    <w:pPr>
      <w:keepNext w:val="0"/>
      <w:keepLines w:val="0"/>
      <w:tabs>
        <w:tab w:val="left" w:pos="432"/>
      </w:tabs>
      <w:spacing w:before="156" w:after="0" w:line="360" w:lineRule="auto"/>
      <w:ind w:left="432" w:hanging="432"/>
    </w:pPr>
    <w:rPr>
      <w:rFonts w:ascii="Calibri" w:hAnsi="Calibri" w:cs="宋体"/>
      <w:b w:val="0"/>
      <w:bCs w:val="0"/>
      <w:sz w:val="24"/>
      <w:szCs w:val="20"/>
    </w:rPr>
  </w:style>
  <w:style w:type="paragraph" w:customStyle="1" w:styleId="800">
    <w:name w:val="pa-55"/>
    <w:basedOn w:val="1"/>
    <w:autoRedefine/>
    <w:qFormat/>
    <w:uiPriority w:val="0"/>
    <w:pPr>
      <w:widowControl/>
      <w:spacing w:line="300" w:lineRule="atLeast"/>
      <w:ind w:firstLine="480"/>
      <w:jc w:val="center"/>
    </w:pPr>
    <w:rPr>
      <w:rFonts w:ascii="宋体" w:hAnsi="宋体" w:cs="宋体"/>
      <w:kern w:val="0"/>
      <w:sz w:val="24"/>
      <w:szCs w:val="22"/>
    </w:rPr>
  </w:style>
  <w:style w:type="paragraph" w:customStyle="1" w:styleId="801">
    <w:name w:val="pa-49"/>
    <w:basedOn w:val="1"/>
    <w:autoRedefine/>
    <w:qFormat/>
    <w:uiPriority w:val="0"/>
    <w:pPr>
      <w:widowControl/>
      <w:spacing w:line="280" w:lineRule="atLeast"/>
      <w:ind w:firstLine="440"/>
      <w:jc w:val="left"/>
    </w:pPr>
    <w:rPr>
      <w:rFonts w:ascii="宋体" w:hAnsi="宋体" w:cs="宋体"/>
      <w:kern w:val="0"/>
      <w:sz w:val="24"/>
      <w:szCs w:val="22"/>
    </w:rPr>
  </w:style>
  <w:style w:type="paragraph" w:customStyle="1" w:styleId="802">
    <w:name w:val="_Style 657"/>
    <w:basedOn w:val="56"/>
    <w:next w:val="1"/>
    <w:autoRedefine/>
    <w:qFormat/>
    <w:uiPriority w:val="39"/>
  </w:style>
  <w:style w:type="paragraph" w:customStyle="1" w:styleId="803">
    <w:name w:val="ca-48"/>
    <w:basedOn w:val="1"/>
    <w:autoRedefine/>
    <w:qFormat/>
    <w:uiPriority w:val="0"/>
    <w:pPr>
      <w:widowControl/>
      <w:jc w:val="left"/>
    </w:pPr>
    <w:rPr>
      <w:rFonts w:ascii="宋体" w:hAnsi="宋体" w:cs="宋体"/>
      <w:color w:val="000000"/>
      <w:kern w:val="0"/>
      <w:sz w:val="26"/>
      <w:szCs w:val="26"/>
    </w:rPr>
  </w:style>
  <w:style w:type="paragraph" w:customStyle="1" w:styleId="804">
    <w:name w:val="pa-33"/>
    <w:basedOn w:val="1"/>
    <w:autoRedefine/>
    <w:qFormat/>
    <w:uiPriority w:val="0"/>
    <w:pPr>
      <w:widowControl/>
      <w:spacing w:line="360" w:lineRule="atLeast"/>
      <w:ind w:firstLine="440"/>
    </w:pPr>
    <w:rPr>
      <w:rFonts w:ascii="宋体" w:hAnsi="宋体" w:cs="宋体"/>
      <w:kern w:val="0"/>
      <w:sz w:val="24"/>
      <w:szCs w:val="22"/>
    </w:rPr>
  </w:style>
  <w:style w:type="paragraph" w:customStyle="1" w:styleId="805">
    <w:name w:val="pa-26"/>
    <w:basedOn w:val="1"/>
    <w:autoRedefine/>
    <w:qFormat/>
    <w:uiPriority w:val="0"/>
    <w:pPr>
      <w:widowControl/>
      <w:spacing w:line="276" w:lineRule="atLeast"/>
      <w:ind w:firstLine="720"/>
    </w:pPr>
    <w:rPr>
      <w:rFonts w:ascii="宋体" w:hAnsi="宋体" w:cs="宋体"/>
      <w:kern w:val="0"/>
      <w:sz w:val="24"/>
      <w:szCs w:val="22"/>
    </w:rPr>
  </w:style>
  <w:style w:type="paragraph" w:customStyle="1" w:styleId="806">
    <w:name w:val="ca-26"/>
    <w:basedOn w:val="1"/>
    <w:autoRedefine/>
    <w:qFormat/>
    <w:uiPriority w:val="0"/>
    <w:pPr>
      <w:widowControl/>
      <w:jc w:val="left"/>
    </w:pPr>
    <w:rPr>
      <w:rFonts w:ascii="宋体" w:hAnsi="宋体" w:cs="宋体"/>
      <w:color w:val="002060"/>
      <w:kern w:val="0"/>
      <w:szCs w:val="21"/>
    </w:rPr>
  </w:style>
  <w:style w:type="paragraph" w:customStyle="1" w:styleId="807">
    <w:name w:val="pa-29"/>
    <w:basedOn w:val="1"/>
    <w:autoRedefine/>
    <w:qFormat/>
    <w:uiPriority w:val="0"/>
    <w:pPr>
      <w:widowControl/>
      <w:spacing w:line="360" w:lineRule="atLeast"/>
      <w:ind w:firstLine="2820"/>
    </w:pPr>
    <w:rPr>
      <w:rFonts w:ascii="宋体" w:hAnsi="宋体" w:cs="宋体"/>
      <w:kern w:val="0"/>
      <w:sz w:val="24"/>
      <w:szCs w:val="22"/>
    </w:rPr>
  </w:style>
  <w:style w:type="paragraph" w:customStyle="1" w:styleId="808">
    <w:name w:val="ca-41"/>
    <w:basedOn w:val="1"/>
    <w:autoRedefine/>
    <w:qFormat/>
    <w:uiPriority w:val="0"/>
    <w:pPr>
      <w:widowControl/>
      <w:jc w:val="left"/>
    </w:pPr>
    <w:rPr>
      <w:rFonts w:ascii="宋体" w:hAnsi="宋体" w:cs="宋体"/>
      <w:b/>
      <w:bCs/>
      <w:color w:val="000000"/>
      <w:spacing w:val="-20"/>
      <w:kern w:val="0"/>
      <w:sz w:val="32"/>
      <w:szCs w:val="32"/>
    </w:rPr>
  </w:style>
  <w:style w:type="paragraph" w:customStyle="1" w:styleId="809">
    <w:name w:val="ca-23"/>
    <w:basedOn w:val="1"/>
    <w:autoRedefine/>
    <w:qFormat/>
    <w:uiPriority w:val="0"/>
    <w:pPr>
      <w:widowControl/>
      <w:jc w:val="left"/>
    </w:pPr>
    <w:rPr>
      <w:rFonts w:ascii="Calibri" w:hAnsi="Calibri"/>
      <w:kern w:val="0"/>
      <w:szCs w:val="21"/>
    </w:rPr>
  </w:style>
  <w:style w:type="paragraph" w:customStyle="1" w:styleId="810">
    <w:name w:val="pa-100"/>
    <w:basedOn w:val="1"/>
    <w:autoRedefine/>
    <w:qFormat/>
    <w:uiPriority w:val="0"/>
    <w:pPr>
      <w:widowControl/>
      <w:spacing w:line="300" w:lineRule="atLeast"/>
    </w:pPr>
    <w:rPr>
      <w:rFonts w:ascii="宋体" w:hAnsi="宋体" w:cs="宋体"/>
      <w:kern w:val="0"/>
      <w:sz w:val="24"/>
      <w:szCs w:val="22"/>
    </w:rPr>
  </w:style>
  <w:style w:type="paragraph" w:customStyle="1" w:styleId="811">
    <w:name w:val="Normal_15"/>
    <w:autoRedefine/>
    <w:qFormat/>
    <w:uiPriority w:val="0"/>
    <w:rPr>
      <w:rFonts w:ascii="黑体" w:hAnsi="黑体" w:eastAsia="黑体" w:cs="Times New Roman"/>
      <w:b/>
      <w:sz w:val="32"/>
      <w:szCs w:val="24"/>
      <w:lang w:val="en-US" w:eastAsia="zh-CN" w:bidi="ar-SA"/>
    </w:rPr>
  </w:style>
  <w:style w:type="paragraph" w:customStyle="1" w:styleId="812">
    <w:name w:val="style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13">
    <w:name w:val="xl14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814">
    <w:name w:val="ca-29"/>
    <w:basedOn w:val="1"/>
    <w:autoRedefine/>
    <w:qFormat/>
    <w:uiPriority w:val="0"/>
    <w:pPr>
      <w:widowControl/>
      <w:jc w:val="left"/>
    </w:pPr>
    <w:rPr>
      <w:rFonts w:ascii="宋体" w:hAnsi="宋体" w:cs="宋体"/>
      <w:color w:val="7030A0"/>
      <w:kern w:val="0"/>
      <w:szCs w:val="21"/>
    </w:rPr>
  </w:style>
  <w:style w:type="paragraph" w:customStyle="1" w:styleId="815">
    <w:name w:val="pa-83"/>
    <w:basedOn w:val="1"/>
    <w:autoRedefine/>
    <w:qFormat/>
    <w:uiPriority w:val="0"/>
    <w:pPr>
      <w:widowControl/>
      <w:spacing w:line="560" w:lineRule="atLeast"/>
      <w:jc w:val="center"/>
    </w:pPr>
    <w:rPr>
      <w:rFonts w:ascii="宋体" w:hAnsi="宋体" w:cs="宋体"/>
      <w:kern w:val="0"/>
      <w:sz w:val="24"/>
      <w:szCs w:val="22"/>
    </w:rPr>
  </w:style>
  <w:style w:type="paragraph" w:customStyle="1" w:styleId="816">
    <w:name w:val="默认段落字体 Para Char Char Char Char Char Char Char Char Char1 Char"/>
    <w:basedOn w:val="1"/>
    <w:autoRedefine/>
    <w:qFormat/>
    <w:uiPriority w:val="0"/>
    <w:pPr>
      <w:tabs>
        <w:tab w:val="left" w:pos="1260"/>
      </w:tabs>
      <w:spacing w:line="360" w:lineRule="auto"/>
      <w:ind w:left="1260" w:firstLine="480" w:firstLineChars="200"/>
    </w:pPr>
    <w:rPr>
      <w:rFonts w:ascii="Tahoma" w:hAnsi="Tahoma"/>
      <w:sz w:val="24"/>
      <w:szCs w:val="20"/>
    </w:rPr>
  </w:style>
  <w:style w:type="paragraph" w:customStyle="1" w:styleId="817">
    <w:name w:val="样式 标题 3h3标题 3(节)H3l3CTsect1.2.3Heading 3 - old一level_3..."/>
    <w:basedOn w:val="4"/>
    <w:autoRedefine/>
    <w:qFormat/>
    <w:uiPriority w:val="0"/>
    <w:pPr>
      <w:tabs>
        <w:tab w:val="left" w:pos="720"/>
      </w:tabs>
      <w:adjustRightInd w:val="0"/>
      <w:spacing w:line="360" w:lineRule="auto"/>
      <w:ind w:left="720" w:hanging="720"/>
      <w:jc w:val="left"/>
    </w:pPr>
    <w:rPr>
      <w:rFonts w:ascii="宋体" w:hAnsi="Arial"/>
      <w:kern w:val="24"/>
      <w:sz w:val="24"/>
      <w:szCs w:val="20"/>
    </w:rPr>
  </w:style>
  <w:style w:type="paragraph" w:customStyle="1" w:styleId="818">
    <w:name w:val="pa-137"/>
    <w:basedOn w:val="1"/>
    <w:autoRedefine/>
    <w:qFormat/>
    <w:uiPriority w:val="0"/>
    <w:pPr>
      <w:widowControl/>
      <w:spacing w:line="480" w:lineRule="atLeast"/>
      <w:jc w:val="center"/>
    </w:pPr>
    <w:rPr>
      <w:rFonts w:ascii="宋体" w:hAnsi="宋体" w:cs="宋体"/>
      <w:kern w:val="0"/>
      <w:sz w:val="24"/>
      <w:szCs w:val="22"/>
    </w:rPr>
  </w:style>
  <w:style w:type="paragraph" w:customStyle="1" w:styleId="819">
    <w:name w:val="Default_0"/>
    <w:autoRedefine/>
    <w:qFormat/>
    <w:uiPriority w:val="0"/>
    <w:pPr>
      <w:widowControl w:val="0"/>
      <w:jc w:val="both"/>
    </w:pPr>
    <w:rPr>
      <w:rFonts w:ascii="Arial Unicode MS" w:hAnsi="Arial Unicode MS" w:eastAsia="ヒラギノ角ゴ Pro W3" w:cs="Times New Roman"/>
      <w:color w:val="000000"/>
      <w:sz w:val="24"/>
      <w:u w:color="000000"/>
      <w:lang w:val="en-US" w:eastAsia="zh-CN" w:bidi="ar-SA"/>
    </w:rPr>
  </w:style>
  <w:style w:type="paragraph" w:customStyle="1" w:styleId="820">
    <w:name w:val="pa-62"/>
    <w:basedOn w:val="1"/>
    <w:autoRedefine/>
    <w:qFormat/>
    <w:uiPriority w:val="0"/>
    <w:pPr>
      <w:widowControl/>
      <w:spacing w:line="360" w:lineRule="atLeast"/>
      <w:ind w:firstLine="420"/>
    </w:pPr>
    <w:rPr>
      <w:rFonts w:ascii="宋体" w:hAnsi="宋体" w:cs="宋体"/>
      <w:kern w:val="0"/>
      <w:sz w:val="24"/>
      <w:szCs w:val="22"/>
    </w:rPr>
  </w:style>
  <w:style w:type="paragraph" w:customStyle="1" w:styleId="821">
    <w:name w:val="pa-121"/>
    <w:basedOn w:val="1"/>
    <w:autoRedefine/>
    <w:qFormat/>
    <w:uiPriority w:val="0"/>
    <w:pPr>
      <w:widowControl/>
      <w:spacing w:line="360" w:lineRule="atLeast"/>
      <w:jc w:val="center"/>
    </w:pPr>
    <w:rPr>
      <w:rFonts w:ascii="宋体" w:hAnsi="宋体" w:cs="宋体"/>
      <w:kern w:val="0"/>
      <w:sz w:val="24"/>
      <w:szCs w:val="22"/>
    </w:rPr>
  </w:style>
  <w:style w:type="paragraph" w:customStyle="1" w:styleId="822">
    <w:name w:val="pa-36"/>
    <w:basedOn w:val="1"/>
    <w:autoRedefine/>
    <w:qFormat/>
    <w:uiPriority w:val="0"/>
    <w:pPr>
      <w:widowControl/>
      <w:spacing w:line="360" w:lineRule="atLeast"/>
      <w:ind w:firstLine="3100"/>
      <w:jc w:val="left"/>
    </w:pPr>
    <w:rPr>
      <w:rFonts w:ascii="宋体" w:hAnsi="宋体" w:cs="宋体"/>
      <w:kern w:val="0"/>
      <w:sz w:val="24"/>
      <w:szCs w:val="22"/>
    </w:rPr>
  </w:style>
  <w:style w:type="paragraph" w:customStyle="1" w:styleId="823">
    <w:name w:val="pa-84"/>
    <w:basedOn w:val="1"/>
    <w:autoRedefine/>
    <w:qFormat/>
    <w:uiPriority w:val="0"/>
    <w:pPr>
      <w:widowControl/>
      <w:spacing w:line="480" w:lineRule="atLeast"/>
      <w:jc w:val="center"/>
    </w:pPr>
    <w:rPr>
      <w:rFonts w:ascii="宋体" w:hAnsi="宋体" w:cs="宋体"/>
      <w:kern w:val="0"/>
      <w:sz w:val="24"/>
      <w:szCs w:val="22"/>
    </w:rPr>
  </w:style>
  <w:style w:type="paragraph" w:customStyle="1" w:styleId="824">
    <w:name w:val="Normal_18"/>
    <w:autoRedefine/>
    <w:qFormat/>
    <w:uiPriority w:val="0"/>
    <w:rPr>
      <w:rFonts w:ascii="黑体" w:hAnsi="黑体" w:eastAsia="黑体" w:cs="Times New Roman"/>
      <w:b/>
      <w:sz w:val="32"/>
      <w:szCs w:val="24"/>
      <w:lang w:val="en-US" w:eastAsia="zh-CN" w:bidi="ar-SA"/>
    </w:rPr>
  </w:style>
  <w:style w:type="paragraph" w:customStyle="1" w:styleId="825">
    <w:name w:val="Body Text 2_187cf898-2111-4a13-8a0c-f0aaa7e7d037"/>
    <w:basedOn w:val="1"/>
    <w:autoRedefine/>
    <w:qFormat/>
    <w:uiPriority w:val="0"/>
    <w:pPr>
      <w:widowControl/>
      <w:overflowPunct w:val="0"/>
      <w:autoSpaceDE w:val="0"/>
      <w:autoSpaceDN w:val="0"/>
      <w:adjustRightInd w:val="0"/>
      <w:ind w:left="720" w:hanging="720"/>
      <w:textAlignment w:val="baseline"/>
    </w:pPr>
    <w:rPr>
      <w:rFonts w:ascii="Calibri" w:hAnsi="Calibri"/>
      <w:kern w:val="0"/>
      <w:sz w:val="24"/>
      <w:szCs w:val="20"/>
      <w:lang w:val="en-GB"/>
    </w:rPr>
  </w:style>
  <w:style w:type="paragraph" w:customStyle="1" w:styleId="826">
    <w:name w:val="ca-32"/>
    <w:basedOn w:val="1"/>
    <w:autoRedefine/>
    <w:qFormat/>
    <w:uiPriority w:val="0"/>
    <w:pPr>
      <w:widowControl/>
      <w:jc w:val="left"/>
    </w:pPr>
    <w:rPr>
      <w:rFonts w:ascii="宋体" w:hAnsi="宋体" w:cs="宋体"/>
      <w:b/>
      <w:bCs/>
      <w:color w:val="C00000"/>
      <w:spacing w:val="-20"/>
      <w:kern w:val="0"/>
      <w:szCs w:val="21"/>
    </w:rPr>
  </w:style>
  <w:style w:type="paragraph" w:customStyle="1" w:styleId="827">
    <w:name w:val="pa-90"/>
    <w:basedOn w:val="1"/>
    <w:autoRedefine/>
    <w:qFormat/>
    <w:uiPriority w:val="0"/>
    <w:pPr>
      <w:widowControl/>
      <w:spacing w:line="280" w:lineRule="atLeast"/>
    </w:pPr>
    <w:rPr>
      <w:rFonts w:ascii="宋体" w:hAnsi="宋体" w:cs="宋体"/>
      <w:kern w:val="0"/>
      <w:sz w:val="24"/>
      <w:szCs w:val="22"/>
    </w:rPr>
  </w:style>
  <w:style w:type="paragraph" w:customStyle="1" w:styleId="828">
    <w:name w:val="Normal_19"/>
    <w:autoRedefine/>
    <w:qFormat/>
    <w:uiPriority w:val="0"/>
    <w:rPr>
      <w:rFonts w:ascii="黑体" w:hAnsi="黑体" w:eastAsia="黑体" w:cs="Times New Roman"/>
      <w:b/>
      <w:sz w:val="32"/>
      <w:szCs w:val="24"/>
      <w:lang w:val="en-US" w:eastAsia="zh-CN" w:bidi="ar-SA"/>
    </w:rPr>
  </w:style>
  <w:style w:type="paragraph" w:customStyle="1" w:styleId="829">
    <w:name w:val="CM19"/>
    <w:basedOn w:val="73"/>
    <w:next w:val="73"/>
    <w:autoRedefine/>
    <w:qFormat/>
    <w:uiPriority w:val="99"/>
    <w:rPr>
      <w:rFonts w:ascii="仿宋" w:eastAsia="仿宋"/>
      <w:color w:val="auto"/>
    </w:rPr>
  </w:style>
  <w:style w:type="paragraph" w:customStyle="1" w:styleId="830">
    <w:name w:val="Text---"/>
    <w:autoRedefine/>
    <w:qFormat/>
    <w:uiPriority w:val="0"/>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831">
    <w:name w:val="pa-99"/>
    <w:basedOn w:val="1"/>
    <w:autoRedefine/>
    <w:qFormat/>
    <w:uiPriority w:val="0"/>
    <w:pPr>
      <w:widowControl/>
      <w:spacing w:line="300" w:lineRule="atLeast"/>
      <w:ind w:firstLine="520"/>
    </w:pPr>
    <w:rPr>
      <w:rFonts w:ascii="宋体" w:hAnsi="宋体" w:cs="宋体"/>
      <w:kern w:val="0"/>
      <w:sz w:val="24"/>
      <w:szCs w:val="22"/>
    </w:rPr>
  </w:style>
  <w:style w:type="paragraph" w:customStyle="1" w:styleId="832">
    <w:name w:val="Char Char Char Char Char Char Char Char Char Char Char Char Char Char Char Char Char Char Char Char Char Char Char Char Char Char Char Char Char1 Char Char Char Char Char Char Char Char Char Char Char Char"/>
    <w:basedOn w:val="1"/>
    <w:autoRedefine/>
    <w:unhideWhenUsed/>
    <w:qFormat/>
    <w:uiPriority w:val="0"/>
    <w:rPr>
      <w:rFonts w:hint="eastAsia" w:ascii="仿宋_GB2312" w:eastAsia="仿宋_GB2312"/>
      <w:b/>
      <w:sz w:val="32"/>
    </w:rPr>
  </w:style>
  <w:style w:type="paragraph" w:customStyle="1" w:styleId="833">
    <w:name w:val="ca-0"/>
    <w:basedOn w:val="1"/>
    <w:autoRedefine/>
    <w:qFormat/>
    <w:uiPriority w:val="0"/>
    <w:pPr>
      <w:widowControl/>
      <w:jc w:val="left"/>
    </w:pPr>
    <w:rPr>
      <w:rFonts w:ascii="宋体" w:hAnsi="宋体" w:cs="宋体"/>
      <w:color w:val="000000"/>
      <w:kern w:val="0"/>
      <w:sz w:val="48"/>
      <w:szCs w:val="48"/>
    </w:rPr>
  </w:style>
  <w:style w:type="paragraph" w:customStyle="1" w:styleId="834">
    <w:name w:val="正文文本缩进1"/>
    <w:basedOn w:val="1"/>
    <w:autoRedefine/>
    <w:qFormat/>
    <w:uiPriority w:val="0"/>
    <w:pPr>
      <w:spacing w:before="120" w:after="120" w:line="360" w:lineRule="auto"/>
      <w:ind w:left="420" w:leftChars="200"/>
    </w:pPr>
    <w:rPr>
      <w:rFonts w:ascii="Calibri" w:hAnsi="Calibri"/>
      <w:sz w:val="20"/>
      <w:szCs w:val="20"/>
    </w:rPr>
  </w:style>
  <w:style w:type="paragraph" w:customStyle="1" w:styleId="835">
    <w:name w:val="页眉_0"/>
    <w:basedOn w:val="150"/>
    <w:autoRedefine/>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836">
    <w:name w:val="CM14"/>
    <w:basedOn w:val="73"/>
    <w:next w:val="73"/>
    <w:autoRedefine/>
    <w:qFormat/>
    <w:uiPriority w:val="0"/>
    <w:pPr>
      <w:spacing w:line="546" w:lineRule="atLeast"/>
    </w:pPr>
    <w:rPr>
      <w:rFonts w:ascii="仿宋" w:eastAsia="仿宋"/>
      <w:color w:val="auto"/>
    </w:rPr>
  </w:style>
  <w:style w:type="paragraph" w:customStyle="1" w:styleId="837">
    <w:name w:val="xl109"/>
    <w:basedOn w:val="1"/>
    <w:autoRedefine/>
    <w:qFormat/>
    <w:uiPriority w:val="0"/>
    <w:pPr>
      <w:widowControl/>
      <w:pBdr>
        <w:top w:val="single" w:color="AAAAAA" w:sz="4" w:space="0"/>
        <w:left w:val="single" w:color="000000" w:sz="4" w:space="0"/>
        <w:bottom w:val="single" w:color="000000" w:sz="4" w:space="0"/>
      </w:pBdr>
      <w:spacing w:before="100" w:beforeAutospacing="1" w:after="100" w:afterAutospacing="1"/>
      <w:jc w:val="center"/>
      <w:textAlignment w:val="center"/>
    </w:pPr>
    <w:rPr>
      <w:rFonts w:ascii="宋体" w:hAnsi="宋体"/>
      <w:b/>
      <w:bCs/>
      <w:kern w:val="0"/>
      <w:sz w:val="32"/>
      <w:szCs w:val="32"/>
    </w:rPr>
  </w:style>
  <w:style w:type="paragraph" w:customStyle="1" w:styleId="838">
    <w:name w:val="页眉1"/>
    <w:basedOn w:val="835"/>
    <w:autoRedefine/>
    <w:qFormat/>
    <w:uiPriority w:val="0"/>
    <w:pPr>
      <w:pBdr>
        <w:bottom w:val="none" w:color="auto" w:sz="0" w:space="0"/>
      </w:pBdr>
    </w:pPr>
    <w:rPr>
      <w:rFonts w:ascii="Calibri" w:hAnsi="Calibri"/>
    </w:rPr>
  </w:style>
  <w:style w:type="paragraph" w:customStyle="1" w:styleId="839">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840">
    <w:name w:val="pa-59"/>
    <w:basedOn w:val="1"/>
    <w:autoRedefine/>
    <w:qFormat/>
    <w:uiPriority w:val="0"/>
    <w:pPr>
      <w:widowControl/>
      <w:spacing w:line="360" w:lineRule="atLeast"/>
      <w:ind w:firstLine="200"/>
    </w:pPr>
    <w:rPr>
      <w:rFonts w:ascii="宋体" w:hAnsi="宋体" w:cs="宋体"/>
      <w:kern w:val="0"/>
      <w:sz w:val="24"/>
      <w:szCs w:val="22"/>
    </w:rPr>
  </w:style>
  <w:style w:type="paragraph" w:customStyle="1" w:styleId="841">
    <w:name w:val="td-11"/>
    <w:basedOn w:val="1"/>
    <w:autoRedefine/>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szCs w:val="22"/>
    </w:rPr>
  </w:style>
  <w:style w:type="paragraph" w:customStyle="1" w:styleId="842">
    <w:name w:val="font15"/>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843">
    <w:name w:val="pa-52"/>
    <w:basedOn w:val="1"/>
    <w:autoRedefine/>
    <w:qFormat/>
    <w:uiPriority w:val="0"/>
    <w:pPr>
      <w:widowControl/>
      <w:spacing w:line="276" w:lineRule="atLeast"/>
      <w:jc w:val="left"/>
    </w:pPr>
    <w:rPr>
      <w:rFonts w:ascii="宋体" w:hAnsi="宋体" w:cs="宋体"/>
      <w:kern w:val="0"/>
      <w:sz w:val="24"/>
      <w:szCs w:val="22"/>
    </w:rPr>
  </w:style>
  <w:style w:type="paragraph" w:customStyle="1" w:styleId="844">
    <w:name w:val="style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45">
    <w:name w:val="pa-115"/>
    <w:basedOn w:val="1"/>
    <w:autoRedefine/>
    <w:qFormat/>
    <w:uiPriority w:val="0"/>
    <w:pPr>
      <w:widowControl/>
      <w:spacing w:line="480" w:lineRule="atLeast"/>
    </w:pPr>
    <w:rPr>
      <w:rFonts w:ascii="宋体" w:hAnsi="宋体" w:cs="宋体"/>
      <w:kern w:val="0"/>
      <w:sz w:val="24"/>
      <w:szCs w:val="22"/>
    </w:rPr>
  </w:style>
  <w:style w:type="paragraph" w:customStyle="1" w:styleId="846">
    <w:name w:val="pa-47"/>
    <w:basedOn w:val="1"/>
    <w:autoRedefine/>
    <w:qFormat/>
    <w:uiPriority w:val="0"/>
    <w:pPr>
      <w:widowControl/>
      <w:spacing w:line="280" w:lineRule="atLeast"/>
      <w:ind w:firstLine="280"/>
      <w:jc w:val="center"/>
    </w:pPr>
    <w:rPr>
      <w:rFonts w:ascii="宋体" w:hAnsi="宋体" w:cs="宋体"/>
      <w:kern w:val="0"/>
      <w:sz w:val="24"/>
      <w:szCs w:val="22"/>
    </w:rPr>
  </w:style>
  <w:style w:type="paragraph" w:customStyle="1" w:styleId="847">
    <w:name w:val="正文内文"/>
    <w:basedOn w:val="1"/>
    <w:autoRedefine/>
    <w:qFormat/>
    <w:uiPriority w:val="0"/>
    <w:pPr>
      <w:adjustRightInd w:val="0"/>
      <w:snapToGrid w:val="0"/>
      <w:spacing w:line="400" w:lineRule="exact"/>
      <w:ind w:firstLine="200" w:firstLineChars="200"/>
    </w:pPr>
    <w:rPr>
      <w:rFonts w:ascii="Arial" w:hAnsi="Arial" w:cs="Arial"/>
      <w:szCs w:val="21"/>
    </w:rPr>
  </w:style>
  <w:style w:type="paragraph" w:customStyle="1" w:styleId="848">
    <w:name w:val="font8"/>
    <w:basedOn w:val="1"/>
    <w:autoRedefine/>
    <w:qFormat/>
    <w:uiPriority w:val="0"/>
    <w:pPr>
      <w:widowControl/>
      <w:adjustRightInd w:val="0"/>
      <w:snapToGrid w:val="0"/>
      <w:spacing w:before="100" w:beforeAutospacing="1" w:after="100" w:afterAutospacing="1" w:line="288" w:lineRule="auto"/>
      <w:ind w:firstLine="200" w:firstLineChars="200"/>
      <w:jc w:val="left"/>
    </w:pPr>
    <w:rPr>
      <w:rFonts w:ascii="Calibri" w:hAnsi="Calibri"/>
      <w:b/>
      <w:bCs/>
      <w:kern w:val="0"/>
      <w:sz w:val="36"/>
      <w:szCs w:val="36"/>
    </w:rPr>
  </w:style>
  <w:style w:type="paragraph" w:customStyle="1" w:styleId="849">
    <w:name w:val="样式 正文缩进正文（首行缩进两字）特点ALT+Z表正文正文非缩进四号段1Normal Indent Char2...4"/>
    <w:basedOn w:val="24"/>
    <w:autoRedefine/>
    <w:qFormat/>
    <w:uiPriority w:val="0"/>
    <w:pPr>
      <w:spacing w:line="240" w:lineRule="auto"/>
      <w:ind w:firstLine="570"/>
    </w:pPr>
    <w:rPr>
      <w:rFonts w:ascii="Times New Roman" w:hAnsi="Times New Roman"/>
      <w:spacing w:val="0"/>
      <w:sz w:val="28"/>
    </w:rPr>
  </w:style>
  <w:style w:type="paragraph" w:customStyle="1" w:styleId="850">
    <w:name w:val="表格文字"/>
    <w:basedOn w:val="1"/>
    <w:autoRedefine/>
    <w:qFormat/>
    <w:uiPriority w:val="0"/>
    <w:pPr>
      <w:adjustRightInd w:val="0"/>
      <w:spacing w:line="420" w:lineRule="atLeast"/>
      <w:jc w:val="left"/>
      <w:textAlignment w:val="baseline"/>
    </w:pPr>
    <w:rPr>
      <w:rFonts w:ascii="Calibri" w:hAnsi="Calibri"/>
      <w:kern w:val="0"/>
      <w:szCs w:val="20"/>
    </w:rPr>
  </w:style>
  <w:style w:type="paragraph" w:customStyle="1" w:styleId="851">
    <w:name w:val="pa-88"/>
    <w:basedOn w:val="1"/>
    <w:autoRedefine/>
    <w:qFormat/>
    <w:uiPriority w:val="0"/>
    <w:pPr>
      <w:widowControl/>
      <w:spacing w:line="320" w:lineRule="atLeast"/>
      <w:ind w:firstLine="480"/>
    </w:pPr>
    <w:rPr>
      <w:rFonts w:ascii="宋体" w:hAnsi="宋体" w:cs="宋体"/>
      <w:kern w:val="0"/>
      <w:sz w:val="24"/>
      <w:szCs w:val="22"/>
    </w:rPr>
  </w:style>
  <w:style w:type="paragraph" w:customStyle="1" w:styleId="852">
    <w:name w:val="正文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3">
    <w:name w:val="CPara-"/>
    <w:autoRedefine/>
    <w:qFormat/>
    <w:uiPriority w:val="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854">
    <w:name w:val="pa-89"/>
    <w:basedOn w:val="1"/>
    <w:autoRedefine/>
    <w:qFormat/>
    <w:uiPriority w:val="0"/>
    <w:pPr>
      <w:widowControl/>
      <w:spacing w:line="320" w:lineRule="atLeast"/>
    </w:pPr>
    <w:rPr>
      <w:rFonts w:ascii="宋体" w:hAnsi="宋体" w:cs="宋体"/>
      <w:kern w:val="0"/>
      <w:sz w:val="24"/>
      <w:szCs w:val="22"/>
    </w:rPr>
  </w:style>
  <w:style w:type="paragraph" w:customStyle="1" w:styleId="855">
    <w:name w:val="Table Paragraph"/>
    <w:basedOn w:val="1"/>
    <w:autoRedefine/>
    <w:qFormat/>
    <w:uiPriority w:val="1"/>
    <w:rPr>
      <w:rFonts w:ascii="宋体" w:hAnsi="宋体" w:cs="宋体"/>
      <w:lang w:val="zh-CN" w:bidi="zh-CN"/>
    </w:rPr>
  </w:style>
  <w:style w:type="paragraph" w:customStyle="1" w:styleId="856">
    <w:name w:val="pa-65"/>
    <w:basedOn w:val="1"/>
    <w:autoRedefine/>
    <w:qFormat/>
    <w:uiPriority w:val="0"/>
    <w:pPr>
      <w:widowControl/>
      <w:spacing w:line="360" w:lineRule="atLeast"/>
    </w:pPr>
    <w:rPr>
      <w:rFonts w:ascii="宋体" w:hAnsi="宋体" w:cs="宋体"/>
      <w:kern w:val="0"/>
      <w:sz w:val="24"/>
      <w:szCs w:val="22"/>
    </w:rPr>
  </w:style>
  <w:style w:type="paragraph" w:customStyle="1" w:styleId="857">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58">
    <w:name w:val="ca-20"/>
    <w:basedOn w:val="1"/>
    <w:autoRedefine/>
    <w:qFormat/>
    <w:uiPriority w:val="0"/>
    <w:pPr>
      <w:widowControl/>
      <w:jc w:val="left"/>
    </w:pPr>
    <w:rPr>
      <w:rFonts w:ascii="??" w:hAnsi="??" w:cs="宋体"/>
      <w:color w:val="000000"/>
      <w:kern w:val="0"/>
      <w:sz w:val="18"/>
      <w:szCs w:val="18"/>
    </w:rPr>
  </w:style>
  <w:style w:type="paragraph" w:customStyle="1" w:styleId="859">
    <w:name w:val="pa-127"/>
    <w:basedOn w:val="1"/>
    <w:autoRedefine/>
    <w:qFormat/>
    <w:uiPriority w:val="0"/>
    <w:pPr>
      <w:widowControl/>
      <w:spacing w:line="480" w:lineRule="atLeast"/>
      <w:ind w:firstLine="960"/>
    </w:pPr>
    <w:rPr>
      <w:rFonts w:ascii="宋体" w:hAnsi="宋体" w:cs="宋体"/>
      <w:kern w:val="0"/>
      <w:sz w:val="24"/>
      <w:szCs w:val="22"/>
    </w:rPr>
  </w:style>
  <w:style w:type="paragraph" w:customStyle="1" w:styleId="860">
    <w:name w:val="pa-129"/>
    <w:basedOn w:val="1"/>
    <w:autoRedefine/>
    <w:qFormat/>
    <w:uiPriority w:val="0"/>
    <w:pPr>
      <w:widowControl/>
      <w:spacing w:line="300" w:lineRule="atLeast"/>
    </w:pPr>
    <w:rPr>
      <w:rFonts w:ascii="宋体" w:hAnsi="宋体" w:cs="宋体"/>
      <w:kern w:val="0"/>
      <w:sz w:val="24"/>
      <w:szCs w:val="22"/>
    </w:rPr>
  </w:style>
  <w:style w:type="paragraph" w:customStyle="1" w:styleId="861">
    <w:name w:val="xl128"/>
    <w:basedOn w:val="1"/>
    <w:autoRedefine/>
    <w:qFormat/>
    <w:uiPriority w:val="0"/>
    <w:pPr>
      <w:widowControl/>
      <w:pBdr>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862">
    <w:name w:val="ARTICLE"/>
    <w:autoRedefine/>
    <w:qFormat/>
    <w:uiPriority w:val="0"/>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863">
    <w:name w:val="pa-108"/>
    <w:basedOn w:val="1"/>
    <w:autoRedefine/>
    <w:qFormat/>
    <w:uiPriority w:val="0"/>
    <w:pPr>
      <w:widowControl/>
      <w:spacing w:line="280" w:lineRule="atLeast"/>
      <w:jc w:val="center"/>
    </w:pPr>
    <w:rPr>
      <w:rFonts w:ascii="宋体" w:hAnsi="宋体" w:cs="宋体"/>
      <w:kern w:val="0"/>
      <w:sz w:val="24"/>
      <w:szCs w:val="22"/>
    </w:rPr>
  </w:style>
  <w:style w:type="paragraph" w:customStyle="1" w:styleId="864">
    <w:name w:val="Char Char Char Char Char Char Char"/>
    <w:basedOn w:val="1"/>
    <w:autoRedefine/>
    <w:qFormat/>
    <w:uiPriority w:val="0"/>
    <w:rPr>
      <w:rFonts w:ascii="Calibri" w:hAnsi="Calibri"/>
    </w:rPr>
  </w:style>
  <w:style w:type="paragraph" w:customStyle="1" w:styleId="865">
    <w:name w:val="Alinéa -"/>
    <w:autoRedefine/>
    <w:qFormat/>
    <w:uiPriority w:val="0"/>
    <w:pPr>
      <w:tabs>
        <w:tab w:val="left" w:pos="1381"/>
      </w:tabs>
      <w:spacing w:line="360" w:lineRule="auto"/>
      <w:ind w:left="284"/>
      <w:jc w:val="both"/>
    </w:pPr>
    <w:rPr>
      <w:rFonts w:ascii="Arial" w:hAnsi="Arial" w:eastAsia="宋体" w:cs="Arial"/>
      <w:lang w:val="en-GB" w:eastAsia="fr-FR" w:bidi="ar-SA"/>
    </w:rPr>
  </w:style>
  <w:style w:type="paragraph" w:customStyle="1" w:styleId="866">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7">
    <w:name w:val="Char Char1 Char_0"/>
    <w:basedOn w:val="1"/>
    <w:autoRedefine/>
    <w:qFormat/>
    <w:uiPriority w:val="0"/>
    <w:rPr>
      <w:rFonts w:ascii="Calibri" w:hAnsi="Calibri"/>
      <w:szCs w:val="22"/>
    </w:rPr>
  </w:style>
  <w:style w:type="paragraph" w:customStyle="1" w:styleId="868">
    <w:name w:val="pa-9"/>
    <w:basedOn w:val="1"/>
    <w:autoRedefine/>
    <w:qFormat/>
    <w:uiPriority w:val="0"/>
    <w:pPr>
      <w:widowControl/>
      <w:spacing w:line="360" w:lineRule="atLeast"/>
      <w:ind w:firstLine="900"/>
    </w:pPr>
    <w:rPr>
      <w:rFonts w:ascii="宋体" w:hAnsi="宋体" w:cs="宋体"/>
      <w:kern w:val="0"/>
      <w:sz w:val="24"/>
      <w:szCs w:val="22"/>
    </w:rPr>
  </w:style>
  <w:style w:type="paragraph" w:customStyle="1" w:styleId="869">
    <w:name w:val="样式 标题 2 + Times New Roman 四号 非加粗 段前: 5 磅 段后: 0 磅 行距: 固定值 20..._0"/>
    <w:basedOn w:val="257"/>
    <w:autoRedefine/>
    <w:qFormat/>
    <w:uiPriority w:val="0"/>
    <w:pPr>
      <w:spacing w:before="100" w:after="0" w:line="400" w:lineRule="exact"/>
    </w:pPr>
    <w:rPr>
      <w:rFonts w:ascii="Times New Roman" w:hAnsi="Times New Roman"/>
      <w:b w:val="0"/>
      <w:bCs w:val="0"/>
      <w:sz w:val="28"/>
      <w:szCs w:val="20"/>
    </w:rPr>
  </w:style>
  <w:style w:type="paragraph" w:customStyle="1" w:styleId="870">
    <w:name w:val="ca-30"/>
    <w:basedOn w:val="1"/>
    <w:autoRedefine/>
    <w:qFormat/>
    <w:uiPriority w:val="0"/>
    <w:pPr>
      <w:widowControl/>
      <w:jc w:val="left"/>
    </w:pPr>
    <w:rPr>
      <w:rFonts w:ascii="??" w:hAnsi="??" w:cs="宋体"/>
      <w:color w:val="002060"/>
      <w:kern w:val="0"/>
      <w:szCs w:val="21"/>
    </w:rPr>
  </w:style>
  <w:style w:type="paragraph" w:customStyle="1" w:styleId="871">
    <w:name w:val="xl66"/>
    <w:basedOn w:val="1"/>
    <w:autoRedefine/>
    <w:qFormat/>
    <w:uiPriority w:val="0"/>
    <w:pPr>
      <w:widowControl/>
      <w:spacing w:before="100" w:beforeAutospacing="1" w:after="100" w:afterAutospacing="1"/>
      <w:jc w:val="center"/>
      <w:textAlignment w:val="top"/>
    </w:pPr>
    <w:rPr>
      <w:rFonts w:ascii="宋体" w:hAnsi="宋体" w:cs="宋体"/>
      <w:kern w:val="0"/>
      <w:sz w:val="20"/>
      <w:szCs w:val="20"/>
    </w:rPr>
  </w:style>
  <w:style w:type="paragraph" w:customStyle="1" w:styleId="872">
    <w:name w:val="Char Char Char Char Char Char1"/>
    <w:basedOn w:val="1"/>
    <w:autoRedefine/>
    <w:qFormat/>
    <w:uiPriority w:val="0"/>
    <w:rPr>
      <w:rFonts w:ascii="Calibri" w:hAnsi="Calibri"/>
      <w:szCs w:val="22"/>
    </w:rPr>
  </w:style>
  <w:style w:type="paragraph" w:customStyle="1" w:styleId="873">
    <w:name w:val="pa-133"/>
    <w:basedOn w:val="1"/>
    <w:autoRedefine/>
    <w:qFormat/>
    <w:uiPriority w:val="0"/>
    <w:pPr>
      <w:widowControl/>
      <w:spacing w:line="280" w:lineRule="atLeast"/>
      <w:jc w:val="left"/>
    </w:pPr>
    <w:rPr>
      <w:rFonts w:ascii="宋体" w:hAnsi="宋体" w:cs="宋体"/>
      <w:kern w:val="0"/>
      <w:sz w:val="24"/>
      <w:szCs w:val="22"/>
    </w:rPr>
  </w:style>
  <w:style w:type="paragraph" w:styleId="874">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5">
    <w:name w:val="Normal_22"/>
    <w:autoRedefine/>
    <w:qFormat/>
    <w:uiPriority w:val="0"/>
    <w:rPr>
      <w:rFonts w:ascii="黑体" w:hAnsi="黑体" w:eastAsia="黑体" w:cs="Times New Roman"/>
      <w:b/>
      <w:sz w:val="32"/>
      <w:szCs w:val="24"/>
      <w:lang w:val="en-US" w:eastAsia="zh-CN" w:bidi="ar-SA"/>
    </w:rPr>
  </w:style>
  <w:style w:type="paragraph" w:customStyle="1" w:styleId="876">
    <w:name w:val="pa-85"/>
    <w:basedOn w:val="1"/>
    <w:autoRedefine/>
    <w:qFormat/>
    <w:uiPriority w:val="0"/>
    <w:pPr>
      <w:widowControl/>
      <w:spacing w:line="760" w:lineRule="atLeast"/>
      <w:jc w:val="center"/>
    </w:pPr>
    <w:rPr>
      <w:rFonts w:ascii="宋体" w:hAnsi="宋体" w:cs="宋体"/>
      <w:kern w:val="0"/>
      <w:sz w:val="24"/>
      <w:szCs w:val="22"/>
    </w:rPr>
  </w:style>
  <w:style w:type="paragraph" w:customStyle="1" w:styleId="877">
    <w:name w:val="ca-38"/>
    <w:basedOn w:val="1"/>
    <w:autoRedefine/>
    <w:qFormat/>
    <w:uiPriority w:val="0"/>
    <w:pPr>
      <w:widowControl/>
      <w:jc w:val="left"/>
    </w:pPr>
    <w:rPr>
      <w:rFonts w:ascii="Calibri" w:hAnsi="Calibri"/>
      <w:b/>
      <w:bCs/>
      <w:spacing w:val="-20"/>
      <w:kern w:val="0"/>
      <w:szCs w:val="21"/>
    </w:rPr>
  </w:style>
  <w:style w:type="paragraph" w:customStyle="1" w:styleId="878">
    <w:name w:val="纯文本_2"/>
    <w:basedOn w:val="1"/>
    <w:autoRedefine/>
    <w:qFormat/>
    <w:uiPriority w:val="0"/>
    <w:rPr>
      <w:rFonts w:ascii="宋体" w:hAnsi="Courier New"/>
      <w:szCs w:val="21"/>
    </w:rPr>
  </w:style>
  <w:style w:type="paragraph" w:customStyle="1" w:styleId="879">
    <w:name w:val="pa-118"/>
    <w:basedOn w:val="1"/>
    <w:autoRedefine/>
    <w:qFormat/>
    <w:uiPriority w:val="0"/>
    <w:pPr>
      <w:widowControl/>
      <w:spacing w:line="480" w:lineRule="atLeast"/>
      <w:ind w:firstLine="1440"/>
    </w:pPr>
    <w:rPr>
      <w:rFonts w:ascii="宋体" w:hAnsi="宋体" w:cs="宋体"/>
      <w:kern w:val="0"/>
      <w:sz w:val="24"/>
      <w:szCs w:val="22"/>
    </w:rPr>
  </w:style>
  <w:style w:type="paragraph" w:customStyle="1" w:styleId="880">
    <w:name w:val="ca-36"/>
    <w:basedOn w:val="1"/>
    <w:autoRedefine/>
    <w:qFormat/>
    <w:uiPriority w:val="0"/>
    <w:pPr>
      <w:widowControl/>
      <w:jc w:val="left"/>
    </w:pPr>
    <w:rPr>
      <w:rFonts w:ascii="宋体" w:hAnsi="宋体" w:cs="宋体"/>
      <w:b/>
      <w:bCs/>
      <w:spacing w:val="-20"/>
      <w:kern w:val="0"/>
      <w:szCs w:val="21"/>
    </w:rPr>
  </w:style>
  <w:style w:type="paragraph" w:customStyle="1" w:styleId="881">
    <w:name w:val="pa-4"/>
    <w:basedOn w:val="1"/>
    <w:autoRedefine/>
    <w:qFormat/>
    <w:uiPriority w:val="0"/>
    <w:pPr>
      <w:widowControl/>
      <w:spacing w:line="360" w:lineRule="atLeast"/>
      <w:jc w:val="center"/>
    </w:pPr>
    <w:rPr>
      <w:rFonts w:ascii="宋体" w:hAnsi="宋体" w:cs="宋体"/>
      <w:kern w:val="0"/>
      <w:sz w:val="24"/>
      <w:szCs w:val="22"/>
    </w:rPr>
  </w:style>
  <w:style w:type="paragraph" w:customStyle="1" w:styleId="882">
    <w:name w:val="xl116"/>
    <w:basedOn w:val="1"/>
    <w:autoRedefine/>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883">
    <w:name w:val="pa-113"/>
    <w:basedOn w:val="1"/>
    <w:autoRedefine/>
    <w:qFormat/>
    <w:uiPriority w:val="0"/>
    <w:pPr>
      <w:widowControl/>
      <w:spacing w:line="360" w:lineRule="atLeast"/>
      <w:ind w:firstLine="2960"/>
    </w:pPr>
    <w:rPr>
      <w:rFonts w:ascii="宋体" w:hAnsi="宋体" w:cs="宋体"/>
      <w:kern w:val="0"/>
      <w:sz w:val="24"/>
      <w:szCs w:val="22"/>
    </w:rPr>
  </w:style>
  <w:style w:type="paragraph" w:customStyle="1" w:styleId="884">
    <w:name w:val="pa-57"/>
    <w:basedOn w:val="1"/>
    <w:autoRedefine/>
    <w:qFormat/>
    <w:uiPriority w:val="0"/>
    <w:pPr>
      <w:widowControl/>
      <w:spacing w:line="300" w:lineRule="atLeast"/>
      <w:ind w:firstLine="560"/>
    </w:pPr>
    <w:rPr>
      <w:rFonts w:ascii="宋体" w:hAnsi="宋体" w:cs="宋体"/>
      <w:kern w:val="0"/>
      <w:sz w:val="24"/>
      <w:szCs w:val="22"/>
    </w:rPr>
  </w:style>
  <w:style w:type="paragraph" w:customStyle="1" w:styleId="885">
    <w:name w:val="Char Char Char_0"/>
    <w:basedOn w:val="1"/>
    <w:autoRedefine/>
    <w:qFormat/>
    <w:uiPriority w:val="0"/>
    <w:rPr>
      <w:rFonts w:ascii="Tahoma" w:hAnsi="Tahoma"/>
      <w:sz w:val="24"/>
      <w:szCs w:val="20"/>
    </w:rPr>
  </w:style>
  <w:style w:type="paragraph" w:customStyle="1" w:styleId="886">
    <w:name w:val="PRS符号文本_1"/>
    <w:basedOn w:val="1"/>
    <w:autoRedefine/>
    <w:qFormat/>
    <w:uiPriority w:val="0"/>
    <w:pPr>
      <w:widowControl/>
      <w:tabs>
        <w:tab w:val="left" w:pos="425"/>
        <w:tab w:val="left" w:pos="1260"/>
      </w:tabs>
      <w:spacing w:after="40" w:line="360" w:lineRule="auto"/>
      <w:ind w:left="425" w:right="-512" w:rightChars="-244"/>
    </w:pPr>
    <w:rPr>
      <w:rFonts w:ascii="Century Schoolbook" w:hAnsi="Century Schoolbook"/>
      <w:kern w:val="0"/>
      <w:sz w:val="24"/>
      <w:szCs w:val="20"/>
    </w:rPr>
  </w:style>
  <w:style w:type="paragraph" w:customStyle="1" w:styleId="887">
    <w:name w:val="xl119"/>
    <w:basedOn w:val="1"/>
    <w:autoRedefine/>
    <w:qFormat/>
    <w:uiPriority w:val="0"/>
    <w:pPr>
      <w:widowControl/>
      <w:pBdr>
        <w:left w:val="single" w:color="000000" w:sz="4" w:space="0"/>
        <w:right w:val="single" w:color="000000" w:sz="4" w:space="0"/>
      </w:pBdr>
      <w:spacing w:before="100" w:beforeAutospacing="1" w:after="100" w:afterAutospacing="1"/>
      <w:jc w:val="left"/>
    </w:pPr>
    <w:rPr>
      <w:rFonts w:ascii="Times" w:hAnsi="Times"/>
      <w:kern w:val="0"/>
      <w:sz w:val="20"/>
      <w:szCs w:val="20"/>
    </w:rPr>
  </w:style>
  <w:style w:type="paragraph" w:customStyle="1" w:styleId="888">
    <w:name w:val="ca-40"/>
    <w:basedOn w:val="1"/>
    <w:autoRedefine/>
    <w:qFormat/>
    <w:uiPriority w:val="0"/>
    <w:pPr>
      <w:widowControl/>
      <w:jc w:val="left"/>
    </w:pPr>
    <w:rPr>
      <w:rFonts w:ascii="Calibri" w:hAnsi="Calibri"/>
      <w:kern w:val="0"/>
      <w:sz w:val="20"/>
      <w:szCs w:val="20"/>
    </w:rPr>
  </w:style>
  <w:style w:type="paragraph" w:customStyle="1" w:styleId="889">
    <w:name w:val="正文 A_0"/>
    <w:autoRedefine/>
    <w:qFormat/>
    <w:uiPriority w:val="0"/>
    <w:pPr>
      <w:widowControl w:val="0"/>
      <w:jc w:val="both"/>
    </w:pPr>
    <w:rPr>
      <w:rFonts w:ascii="Times New Roman" w:hAnsi="Times New Roman" w:eastAsia="ヒラギノ角ゴ Pro W3" w:cs="Times New Roman"/>
      <w:color w:val="000000"/>
      <w:kern w:val="2"/>
      <w:sz w:val="21"/>
      <w:u w:color="000000"/>
      <w:lang w:val="en-US" w:eastAsia="zh-CN" w:bidi="ar-SA"/>
    </w:rPr>
  </w:style>
  <w:style w:type="paragraph" w:customStyle="1" w:styleId="890">
    <w:name w:val="CM11"/>
    <w:basedOn w:val="73"/>
    <w:next w:val="73"/>
    <w:autoRedefine/>
    <w:qFormat/>
    <w:uiPriority w:val="99"/>
    <w:pPr>
      <w:spacing w:line="520" w:lineRule="atLeast"/>
    </w:pPr>
    <w:rPr>
      <w:rFonts w:ascii="仿宋" w:eastAsia="仿宋"/>
      <w:color w:val="auto"/>
    </w:rPr>
  </w:style>
  <w:style w:type="paragraph" w:customStyle="1" w:styleId="891">
    <w:name w:val="正文_0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92">
    <w:name w:val="pa-75"/>
    <w:basedOn w:val="1"/>
    <w:autoRedefine/>
    <w:qFormat/>
    <w:uiPriority w:val="0"/>
    <w:pPr>
      <w:widowControl/>
      <w:spacing w:line="300" w:lineRule="atLeast"/>
      <w:jc w:val="center"/>
    </w:pPr>
    <w:rPr>
      <w:rFonts w:ascii="宋体" w:hAnsi="宋体" w:cs="宋体"/>
      <w:kern w:val="0"/>
      <w:sz w:val="24"/>
      <w:szCs w:val="22"/>
    </w:rPr>
  </w:style>
  <w:style w:type="paragraph" w:customStyle="1" w:styleId="893">
    <w:name w:val="pa-117"/>
    <w:basedOn w:val="1"/>
    <w:autoRedefine/>
    <w:qFormat/>
    <w:uiPriority w:val="0"/>
    <w:pPr>
      <w:widowControl/>
      <w:spacing w:line="360" w:lineRule="atLeast"/>
      <w:ind w:firstLine="3840"/>
    </w:pPr>
    <w:rPr>
      <w:rFonts w:ascii="宋体" w:hAnsi="宋体" w:cs="宋体"/>
      <w:kern w:val="0"/>
      <w:sz w:val="24"/>
      <w:szCs w:val="22"/>
    </w:rPr>
  </w:style>
  <w:style w:type="paragraph" w:customStyle="1" w:styleId="894">
    <w:name w:val="xl132"/>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895">
    <w:name w:val="_Style 5"/>
    <w:basedOn w:val="1"/>
    <w:autoRedefine/>
    <w:qFormat/>
    <w:uiPriority w:val="0"/>
    <w:pPr>
      <w:widowControl/>
      <w:spacing w:after="160" w:line="240" w:lineRule="exact"/>
      <w:jc w:val="left"/>
    </w:pPr>
    <w:rPr>
      <w:rFonts w:ascii="Calibri" w:hAnsi="Calibri"/>
    </w:rPr>
  </w:style>
  <w:style w:type="paragraph" w:customStyle="1" w:styleId="896">
    <w:name w:val="pa-111"/>
    <w:basedOn w:val="1"/>
    <w:autoRedefine/>
    <w:qFormat/>
    <w:uiPriority w:val="0"/>
    <w:pPr>
      <w:widowControl/>
      <w:spacing w:line="280" w:lineRule="atLeast"/>
      <w:ind w:firstLine="480"/>
    </w:pPr>
    <w:rPr>
      <w:rFonts w:ascii="宋体" w:hAnsi="宋体" w:cs="宋体"/>
      <w:kern w:val="0"/>
      <w:sz w:val="24"/>
      <w:szCs w:val="22"/>
    </w:rPr>
  </w:style>
  <w:style w:type="paragraph" w:customStyle="1" w:styleId="897">
    <w:name w:val="Char Char Char Char Char Char Char1"/>
    <w:basedOn w:val="1"/>
    <w:autoRedefine/>
    <w:qFormat/>
    <w:uiPriority w:val="0"/>
    <w:rPr>
      <w:rFonts w:ascii="Calibri" w:hAnsi="Calibri"/>
    </w:rPr>
  </w:style>
  <w:style w:type="paragraph" w:customStyle="1" w:styleId="89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899">
    <w:name w:val="样式 标题 3 + (中文) 黑体 小四 非加粗 段前: 7.8 磅 段后: 0 磅 行距: 固定值 20 磅_0"/>
    <w:basedOn w:val="227"/>
    <w:autoRedefine/>
    <w:qFormat/>
    <w:uiPriority w:val="0"/>
    <w:pPr>
      <w:spacing w:before="0" w:after="0" w:line="400" w:lineRule="exact"/>
      <w:jc w:val="left"/>
    </w:pPr>
    <w:rPr>
      <w:rFonts w:ascii="黑体" w:hAnsi="宋体" w:eastAsia="黑体"/>
      <w:b w:val="0"/>
      <w:sz w:val="30"/>
      <w:szCs w:val="20"/>
    </w:rPr>
  </w:style>
  <w:style w:type="paragraph" w:customStyle="1" w:styleId="900">
    <w:name w:val="正文缩进1"/>
    <w:basedOn w:val="1"/>
    <w:autoRedefine/>
    <w:qFormat/>
    <w:uiPriority w:val="0"/>
    <w:pPr>
      <w:ind w:firstLine="420" w:firstLineChars="200"/>
    </w:pPr>
    <w:rPr>
      <w:rFonts w:ascii="Calibri" w:hAnsi="Calibri"/>
    </w:rPr>
  </w:style>
  <w:style w:type="paragraph" w:customStyle="1" w:styleId="901">
    <w:name w:val="Char Char Char Char Char Char Char Char"/>
    <w:basedOn w:val="1"/>
    <w:autoRedefine/>
    <w:qFormat/>
    <w:uiPriority w:val="0"/>
    <w:pPr>
      <w:tabs>
        <w:tab w:val="left" w:pos="360"/>
      </w:tabs>
    </w:pPr>
    <w:rPr>
      <w:rFonts w:ascii="Calibri" w:hAnsi="Calibri"/>
      <w:sz w:val="24"/>
    </w:rPr>
  </w:style>
  <w:style w:type="paragraph" w:customStyle="1" w:styleId="902">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03">
    <w:name w:val="xl110"/>
    <w:basedOn w:val="1"/>
    <w:autoRedefine/>
    <w:qFormat/>
    <w:uiPriority w:val="0"/>
    <w:pPr>
      <w:widowControl/>
      <w:pBdr>
        <w:top w:val="single" w:color="AAAAAA" w:sz="4" w:space="0"/>
        <w:bottom w:val="single" w:color="000000" w:sz="4" w:space="0"/>
      </w:pBdr>
      <w:spacing w:before="100" w:beforeAutospacing="1" w:after="100" w:afterAutospacing="1"/>
      <w:jc w:val="center"/>
      <w:textAlignment w:val="center"/>
    </w:pPr>
    <w:rPr>
      <w:rFonts w:ascii="宋体" w:hAnsi="宋体"/>
      <w:b/>
      <w:bCs/>
      <w:kern w:val="0"/>
      <w:sz w:val="32"/>
      <w:szCs w:val="32"/>
    </w:rPr>
  </w:style>
  <w:style w:type="paragraph" w:customStyle="1" w:styleId="904">
    <w:name w:val="_Style 516"/>
    <w:basedOn w:val="1"/>
    <w:next w:val="232"/>
    <w:autoRedefine/>
    <w:qFormat/>
    <w:uiPriority w:val="0"/>
    <w:pPr>
      <w:widowControl/>
      <w:ind w:left="720" w:firstLine="360"/>
      <w:contextualSpacing/>
      <w:jc w:val="left"/>
    </w:pPr>
    <w:rPr>
      <w:rFonts w:ascii="Calibri" w:hAnsi="Calibri"/>
      <w:kern w:val="0"/>
      <w:sz w:val="22"/>
      <w:szCs w:val="22"/>
      <w:lang w:eastAsia="en-US" w:bidi="en-US"/>
    </w:rPr>
  </w:style>
  <w:style w:type="paragraph" w:customStyle="1" w:styleId="905">
    <w:name w:val="Para-"/>
    <w:autoRedefine/>
    <w:qFormat/>
    <w:uiPriority w:val="0"/>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906">
    <w:name w:val="1"/>
    <w:basedOn w:val="1"/>
    <w:next w:val="1"/>
    <w:autoRedefine/>
    <w:qFormat/>
    <w:uiPriority w:val="0"/>
    <w:rPr>
      <w:rFonts w:ascii="Calibri" w:hAnsi="Calibri"/>
      <w:szCs w:val="22"/>
    </w:rPr>
  </w:style>
  <w:style w:type="paragraph" w:customStyle="1" w:styleId="907">
    <w:name w:val="方案文档"/>
    <w:autoRedefine/>
    <w:qFormat/>
    <w:uiPriority w:val="0"/>
    <w:pPr>
      <w:spacing w:beforeLines="50" w:afterLines="50"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908">
    <w:name w:val="pa-14"/>
    <w:basedOn w:val="1"/>
    <w:qFormat/>
    <w:uiPriority w:val="0"/>
    <w:pPr>
      <w:widowControl/>
      <w:spacing w:line="360" w:lineRule="atLeast"/>
      <w:jc w:val="left"/>
    </w:pPr>
    <w:rPr>
      <w:rFonts w:ascii="宋体" w:hAnsi="宋体" w:cs="宋体"/>
      <w:kern w:val="0"/>
      <w:sz w:val="24"/>
      <w:szCs w:val="22"/>
    </w:rPr>
  </w:style>
  <w:style w:type="paragraph" w:customStyle="1" w:styleId="909">
    <w:name w:val="正文文本缩进 21"/>
    <w:basedOn w:val="1"/>
    <w:autoRedefine/>
    <w:qFormat/>
    <w:uiPriority w:val="0"/>
    <w:pPr>
      <w:tabs>
        <w:tab w:val="left" w:pos="0"/>
      </w:tabs>
      <w:adjustRightInd w:val="0"/>
      <w:snapToGrid w:val="0"/>
      <w:spacing w:line="360" w:lineRule="auto"/>
      <w:ind w:left="180" w:firstLine="540" w:firstLineChars="200"/>
      <w:textAlignment w:val="baseline"/>
    </w:pPr>
    <w:rPr>
      <w:rFonts w:ascii="宋体" w:hAnsi="宋体"/>
      <w:kern w:val="0"/>
      <w:sz w:val="28"/>
      <w:szCs w:val="20"/>
    </w:rPr>
  </w:style>
  <w:style w:type="paragraph" w:customStyle="1" w:styleId="910">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911">
    <w:name w:val="正文-manu"/>
    <w:basedOn w:val="1"/>
    <w:autoRedefine/>
    <w:qFormat/>
    <w:uiPriority w:val="0"/>
    <w:pPr>
      <w:snapToGrid w:val="0"/>
      <w:spacing w:line="300" w:lineRule="auto"/>
    </w:pPr>
    <w:rPr>
      <w:b/>
      <w:kern w:val="0"/>
      <w:sz w:val="24"/>
      <w:szCs w:val="20"/>
    </w:rPr>
  </w:style>
  <w:style w:type="paragraph" w:customStyle="1" w:styleId="912">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w:hAnsi="Times"/>
      <w:kern w:val="0"/>
      <w:sz w:val="20"/>
      <w:szCs w:val="20"/>
    </w:rPr>
  </w:style>
  <w:style w:type="paragraph" w:customStyle="1" w:styleId="913">
    <w:name w:val="pa-32"/>
    <w:basedOn w:val="1"/>
    <w:autoRedefine/>
    <w:qFormat/>
    <w:uiPriority w:val="0"/>
    <w:pPr>
      <w:widowControl/>
      <w:spacing w:line="360" w:lineRule="atLeast"/>
      <w:ind w:firstLine="520"/>
    </w:pPr>
    <w:rPr>
      <w:rFonts w:ascii="宋体" w:hAnsi="宋体" w:cs="宋体"/>
      <w:kern w:val="0"/>
      <w:sz w:val="24"/>
      <w:szCs w:val="22"/>
    </w:rPr>
  </w:style>
  <w:style w:type="paragraph" w:customStyle="1" w:styleId="914">
    <w:name w:val="xl125"/>
    <w:basedOn w:val="1"/>
    <w:autoRedefine/>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915">
    <w:name w:val="pa-11"/>
    <w:basedOn w:val="1"/>
    <w:autoRedefine/>
    <w:qFormat/>
    <w:uiPriority w:val="0"/>
    <w:pPr>
      <w:widowControl/>
      <w:spacing w:line="280" w:lineRule="atLeast"/>
    </w:pPr>
    <w:rPr>
      <w:rFonts w:ascii="宋体" w:hAnsi="宋体" w:cs="宋体"/>
      <w:kern w:val="0"/>
      <w:sz w:val="24"/>
      <w:szCs w:val="22"/>
    </w:rPr>
  </w:style>
  <w:style w:type="paragraph" w:customStyle="1" w:styleId="916">
    <w:name w:val="中等深浅列表 2 - 强调文字颜色 41"/>
    <w:basedOn w:val="1"/>
    <w:autoRedefine/>
    <w:qFormat/>
    <w:uiPriority w:val="0"/>
    <w:pPr>
      <w:adjustRightInd w:val="0"/>
      <w:snapToGrid w:val="0"/>
      <w:spacing w:line="288" w:lineRule="auto"/>
      <w:ind w:firstLine="420" w:firstLineChars="200"/>
    </w:pPr>
    <w:rPr>
      <w:rFonts w:ascii="Calibri" w:hAnsi="Calibri"/>
      <w:szCs w:val="20"/>
    </w:rPr>
  </w:style>
  <w:style w:type="paragraph" w:customStyle="1" w:styleId="917">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18">
    <w:name w:val="pa-82"/>
    <w:basedOn w:val="1"/>
    <w:autoRedefine/>
    <w:qFormat/>
    <w:uiPriority w:val="0"/>
    <w:pPr>
      <w:widowControl/>
      <w:spacing w:line="480" w:lineRule="atLeast"/>
      <w:jc w:val="center"/>
    </w:pPr>
    <w:rPr>
      <w:rFonts w:ascii="宋体" w:hAnsi="宋体" w:cs="宋体"/>
      <w:kern w:val="0"/>
      <w:sz w:val="24"/>
      <w:szCs w:val="22"/>
    </w:rPr>
  </w:style>
  <w:style w:type="paragraph" w:customStyle="1" w:styleId="919">
    <w:name w:val="pa-136"/>
    <w:basedOn w:val="1"/>
    <w:autoRedefine/>
    <w:qFormat/>
    <w:uiPriority w:val="0"/>
    <w:pPr>
      <w:widowControl/>
      <w:spacing w:line="360" w:lineRule="atLeast"/>
      <w:ind w:firstLine="5640"/>
    </w:pPr>
    <w:rPr>
      <w:rFonts w:ascii="宋体" w:hAnsi="宋体" w:cs="宋体"/>
      <w:kern w:val="0"/>
      <w:sz w:val="24"/>
      <w:szCs w:val="22"/>
    </w:rPr>
  </w:style>
  <w:style w:type="paragraph" w:customStyle="1" w:styleId="920">
    <w:name w:val="xl106"/>
    <w:basedOn w:val="1"/>
    <w:autoRedefine/>
    <w:qFormat/>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921">
    <w:name w:val="pa-3"/>
    <w:basedOn w:val="1"/>
    <w:autoRedefine/>
    <w:qFormat/>
    <w:uiPriority w:val="0"/>
    <w:pPr>
      <w:widowControl/>
      <w:spacing w:line="520" w:lineRule="atLeast"/>
      <w:jc w:val="center"/>
    </w:pPr>
    <w:rPr>
      <w:rFonts w:ascii="宋体" w:hAnsi="宋体" w:cs="宋体"/>
      <w:kern w:val="0"/>
      <w:sz w:val="24"/>
      <w:szCs w:val="22"/>
    </w:rPr>
  </w:style>
  <w:style w:type="paragraph" w:customStyle="1" w:styleId="92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288" w:lineRule="auto"/>
      <w:ind w:firstLine="200" w:firstLineChars="200"/>
      <w:jc w:val="left"/>
      <w:textAlignment w:val="center"/>
    </w:pPr>
    <w:rPr>
      <w:rFonts w:ascii="宋体" w:hAnsi="宋体"/>
      <w:kern w:val="0"/>
      <w:sz w:val="24"/>
    </w:rPr>
  </w:style>
  <w:style w:type="paragraph" w:customStyle="1" w:styleId="923">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24">
    <w:name w:val="xl101"/>
    <w:basedOn w:val="1"/>
    <w:autoRedefine/>
    <w:qFormat/>
    <w:uiPriority w:val="0"/>
    <w:pPr>
      <w:widowControl/>
      <w:pBdr>
        <w:top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925">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26">
    <w:name w:val="xl124"/>
    <w:basedOn w:val="1"/>
    <w:autoRedefine/>
    <w:qFormat/>
    <w:uiPriority w:val="0"/>
    <w:pPr>
      <w:widowControl/>
      <w:pBdr>
        <w:top w:val="single" w:color="000000" w:sz="4" w:space="0"/>
        <w:bottom w:val="single" w:color="000000"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927">
    <w:name w:val="pa-130"/>
    <w:basedOn w:val="1"/>
    <w:autoRedefine/>
    <w:qFormat/>
    <w:uiPriority w:val="0"/>
    <w:pPr>
      <w:widowControl/>
      <w:spacing w:line="300" w:lineRule="atLeast"/>
      <w:jc w:val="left"/>
    </w:pPr>
    <w:rPr>
      <w:rFonts w:ascii="宋体" w:hAnsi="宋体" w:cs="宋体"/>
      <w:kern w:val="0"/>
      <w:sz w:val="24"/>
      <w:szCs w:val="22"/>
    </w:rPr>
  </w:style>
  <w:style w:type="paragraph" w:customStyle="1" w:styleId="928">
    <w:name w:val="样式 样式 标题 3 + (符号) 宋体 四号 加粗 黑色 段前: 0 磅 段后: 0 磅 行距: 固定值 22 磅 + 段前:..."/>
    <w:basedOn w:val="1"/>
    <w:autoRedefine/>
    <w:qFormat/>
    <w:uiPriority w:val="0"/>
    <w:pPr>
      <w:keepNext/>
      <w:keepLines/>
      <w:tabs>
        <w:tab w:val="left" w:pos="1275"/>
      </w:tabs>
      <w:spacing w:before="156" w:beforeLines="50" w:after="156" w:afterLines="50" w:line="580" w:lineRule="exact"/>
      <w:jc w:val="left"/>
      <w:outlineLvl w:val="2"/>
    </w:pPr>
    <w:rPr>
      <w:rFonts w:ascii="宋体" w:hAnsi="宋体"/>
      <w:b/>
      <w:bCs/>
      <w:color w:val="000000"/>
      <w:kern w:val="24"/>
      <w:sz w:val="28"/>
      <w:szCs w:val="20"/>
    </w:rPr>
  </w:style>
  <w:style w:type="paragraph" w:customStyle="1" w:styleId="929">
    <w:name w:val="font12"/>
    <w:basedOn w:val="1"/>
    <w:autoRedefine/>
    <w:qFormat/>
    <w:uiPriority w:val="0"/>
    <w:pPr>
      <w:widowControl/>
      <w:spacing w:before="100" w:beforeAutospacing="1" w:after="100" w:afterAutospacing="1"/>
      <w:jc w:val="left"/>
    </w:pPr>
    <w:rPr>
      <w:rFonts w:ascii="Tahoma" w:hAnsi="Tahoma" w:cs="Tahoma"/>
      <w:color w:val="000000"/>
      <w:kern w:val="0"/>
      <w:sz w:val="22"/>
      <w:szCs w:val="22"/>
    </w:rPr>
  </w:style>
  <w:style w:type="paragraph" w:customStyle="1" w:styleId="930">
    <w:name w:val="font13"/>
    <w:basedOn w:val="1"/>
    <w:autoRedefine/>
    <w:qFormat/>
    <w:uiPriority w:val="0"/>
    <w:pPr>
      <w:widowControl/>
      <w:spacing w:before="100" w:beforeAutospacing="1" w:after="100" w:afterAutospacing="1"/>
      <w:jc w:val="left"/>
    </w:pPr>
    <w:rPr>
      <w:rFonts w:ascii="Tahoma" w:hAnsi="Tahoma" w:cs="Tahoma"/>
      <w:kern w:val="0"/>
      <w:sz w:val="18"/>
      <w:szCs w:val="18"/>
    </w:rPr>
  </w:style>
  <w:style w:type="paragraph" w:customStyle="1" w:styleId="931">
    <w:name w:val="xl94"/>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kern w:val="0"/>
      <w:sz w:val="20"/>
      <w:szCs w:val="20"/>
    </w:rPr>
  </w:style>
  <w:style w:type="paragraph" w:customStyle="1" w:styleId="932">
    <w:name w:val="Char Char1 Char Char Char"/>
    <w:basedOn w:val="1"/>
    <w:autoRedefine/>
    <w:qFormat/>
    <w:uiPriority w:val="0"/>
    <w:rPr>
      <w:rFonts w:ascii="仿宋_GB2312" w:hAnsi="Calibri" w:eastAsia="仿宋_GB2312"/>
      <w:b/>
      <w:sz w:val="32"/>
      <w:szCs w:val="32"/>
    </w:rPr>
  </w:style>
  <w:style w:type="paragraph" w:customStyle="1" w:styleId="933">
    <w:name w:val="Char Char Char"/>
    <w:basedOn w:val="1"/>
    <w:autoRedefine/>
    <w:qFormat/>
    <w:uiPriority w:val="0"/>
    <w:rPr>
      <w:rFonts w:ascii="Calibri" w:hAnsi="Calibri"/>
      <w:szCs w:val="22"/>
    </w:rPr>
  </w:style>
  <w:style w:type="paragraph" w:customStyle="1" w:styleId="934">
    <w:name w:val="Test2"/>
    <w:basedOn w:val="3"/>
    <w:autoRedefine/>
    <w:qFormat/>
    <w:uiPriority w:val="0"/>
    <w:pPr>
      <w:widowControl/>
      <w:adjustRightInd w:val="0"/>
      <w:snapToGrid w:val="0"/>
      <w:spacing w:before="360" w:after="360" w:line="240" w:lineRule="atLeast"/>
      <w:jc w:val="left"/>
    </w:pPr>
    <w:rPr>
      <w:rFonts w:ascii="宋体" w:hAnsi="Calibri" w:eastAsia="宋体"/>
      <w:snapToGrid w:val="0"/>
      <w:sz w:val="28"/>
    </w:rPr>
  </w:style>
  <w:style w:type="paragraph" w:customStyle="1" w:styleId="935">
    <w:name w:val="font0"/>
    <w:basedOn w:val="1"/>
    <w:autoRedefine/>
    <w:qFormat/>
    <w:uiPriority w:val="0"/>
    <w:pPr>
      <w:widowControl/>
      <w:adjustRightInd w:val="0"/>
      <w:snapToGrid w:val="0"/>
      <w:spacing w:before="100" w:beforeAutospacing="1" w:after="100" w:afterAutospacing="1" w:line="288" w:lineRule="auto"/>
      <w:ind w:firstLine="200" w:firstLineChars="200"/>
      <w:jc w:val="left"/>
    </w:pPr>
    <w:rPr>
      <w:rFonts w:hint="eastAsia" w:ascii="宋体" w:hAnsi="宋体"/>
      <w:kern w:val="0"/>
      <w:sz w:val="24"/>
    </w:rPr>
  </w:style>
  <w:style w:type="paragraph" w:customStyle="1" w:styleId="936">
    <w:name w:val="纯文本11"/>
    <w:basedOn w:val="1"/>
    <w:autoRedefine/>
    <w:qFormat/>
    <w:uiPriority w:val="0"/>
    <w:pPr>
      <w:adjustRightInd w:val="0"/>
      <w:snapToGrid w:val="0"/>
      <w:spacing w:line="288" w:lineRule="auto"/>
      <w:ind w:firstLine="200" w:firstLineChars="200"/>
      <w:textAlignment w:val="baseline"/>
    </w:pPr>
    <w:rPr>
      <w:rFonts w:ascii="宋体" w:hAnsi="Courier New"/>
      <w:szCs w:val="20"/>
    </w:rPr>
  </w:style>
  <w:style w:type="paragraph" w:customStyle="1" w:styleId="937">
    <w:name w:val="Char Char Char Char3"/>
    <w:basedOn w:val="1"/>
    <w:autoRedefine/>
    <w:qFormat/>
    <w:uiPriority w:val="0"/>
    <w:rPr>
      <w:rFonts w:ascii="Tahoma" w:hAnsi="Tahoma"/>
      <w:sz w:val="24"/>
      <w:szCs w:val="20"/>
    </w:rPr>
  </w:style>
  <w:style w:type="paragraph" w:customStyle="1" w:styleId="938">
    <w:name w:val="xl9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b/>
      <w:bCs/>
      <w:kern w:val="0"/>
      <w:sz w:val="20"/>
      <w:szCs w:val="20"/>
    </w:rPr>
  </w:style>
  <w:style w:type="paragraph" w:customStyle="1" w:styleId="939">
    <w:name w:val="_Style 936"/>
    <w:basedOn w:val="2"/>
    <w:next w:val="1"/>
    <w:autoRedefine/>
    <w:qFormat/>
    <w:uiPriority w:val="0"/>
    <w:pPr>
      <w:keepLines/>
      <w:widowControl/>
      <w:spacing w:before="480" w:line="276" w:lineRule="auto"/>
      <w:jc w:val="left"/>
      <w:outlineLvl w:val="9"/>
    </w:pPr>
    <w:rPr>
      <w:rFonts w:ascii="Cambria" w:hAnsi="Cambria"/>
      <w:color w:val="365F91"/>
      <w:sz w:val="28"/>
      <w:szCs w:val="28"/>
    </w:rPr>
  </w:style>
  <w:style w:type="paragraph" w:customStyle="1" w:styleId="940">
    <w:name w:val="普通 (Web)"/>
    <w:basedOn w:val="1"/>
    <w:autoRedefine/>
    <w:qFormat/>
    <w:uiPriority w:val="0"/>
    <w:pPr>
      <w:widowControl/>
      <w:spacing w:before="100" w:after="100"/>
      <w:jc w:val="left"/>
    </w:pPr>
    <w:rPr>
      <w:rFonts w:ascii="宋体" w:hAnsi="宋体"/>
      <w:kern w:val="0"/>
      <w:sz w:val="24"/>
      <w:szCs w:val="20"/>
    </w:rPr>
  </w:style>
  <w:style w:type="paragraph" w:customStyle="1" w:styleId="941">
    <w:name w:val="xl118"/>
    <w:basedOn w:val="1"/>
    <w:autoRedefine/>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942">
    <w:name w:val="Para-----"/>
    <w:autoRedefine/>
    <w:qFormat/>
    <w:uiPriority w:val="0"/>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943">
    <w:name w:val="xl113"/>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Times" w:hAnsi="Times"/>
      <w:kern w:val="0"/>
      <w:sz w:val="20"/>
      <w:szCs w:val="20"/>
    </w:rPr>
  </w:style>
  <w:style w:type="paragraph" w:customStyle="1" w:styleId="944">
    <w:name w:val="ca-21"/>
    <w:basedOn w:val="1"/>
    <w:autoRedefine/>
    <w:qFormat/>
    <w:uiPriority w:val="0"/>
    <w:pPr>
      <w:widowControl/>
      <w:jc w:val="left"/>
    </w:pPr>
    <w:rPr>
      <w:rFonts w:ascii="宋体" w:hAnsi="宋体" w:cs="宋体"/>
      <w:color w:val="000000"/>
      <w:kern w:val="0"/>
      <w:szCs w:val="21"/>
    </w:rPr>
  </w:style>
  <w:style w:type="paragraph" w:customStyle="1" w:styleId="945">
    <w:name w:val="ca-25"/>
    <w:basedOn w:val="1"/>
    <w:autoRedefine/>
    <w:qFormat/>
    <w:uiPriority w:val="0"/>
    <w:pPr>
      <w:widowControl/>
      <w:jc w:val="left"/>
    </w:pPr>
    <w:rPr>
      <w:rFonts w:ascii="Calibri" w:hAnsi="Calibri"/>
      <w:kern w:val="0"/>
      <w:szCs w:val="21"/>
    </w:rPr>
  </w:style>
  <w:style w:type="paragraph" w:customStyle="1" w:styleId="946">
    <w:name w:val="样式 正文文本 + 首行缩进:  2 字符"/>
    <w:basedOn w:val="23"/>
    <w:autoRedefine/>
    <w:qFormat/>
    <w:uiPriority w:val="0"/>
    <w:pPr>
      <w:adjustRightInd w:val="0"/>
      <w:snapToGrid w:val="0"/>
      <w:spacing w:after="0" w:line="400" w:lineRule="exact"/>
      <w:ind w:firstLine="200" w:firstLineChars="200"/>
    </w:pPr>
    <w:rPr>
      <w:rFonts w:ascii="Arial" w:hAnsi="Arial" w:cs="宋体"/>
      <w:sz w:val="21"/>
      <w:szCs w:val="20"/>
    </w:rPr>
  </w:style>
  <w:style w:type="paragraph" w:customStyle="1" w:styleId="947">
    <w:name w:val="ca-33"/>
    <w:basedOn w:val="1"/>
    <w:autoRedefine/>
    <w:qFormat/>
    <w:uiPriority w:val="0"/>
    <w:pPr>
      <w:widowControl/>
      <w:jc w:val="left"/>
    </w:pPr>
    <w:rPr>
      <w:rFonts w:ascii="宋体" w:hAnsi="宋体" w:cs="宋体"/>
      <w:b/>
      <w:bCs/>
      <w:color w:val="002060"/>
      <w:spacing w:val="-20"/>
      <w:kern w:val="0"/>
      <w:sz w:val="20"/>
      <w:szCs w:val="20"/>
    </w:rPr>
  </w:style>
  <w:style w:type="paragraph" w:customStyle="1" w:styleId="948">
    <w:name w:val="样式 表内正文 + 五号 行距: 单倍行距"/>
    <w:basedOn w:val="949"/>
    <w:autoRedefine/>
    <w:qFormat/>
    <w:uiPriority w:val="0"/>
    <w:pPr>
      <w:spacing w:line="240" w:lineRule="auto"/>
      <w:ind w:firstLine="0" w:firstLineChars="0"/>
    </w:pPr>
    <w:rPr>
      <w:rFonts w:ascii="Arial" w:hAnsi="Arial" w:cs="宋体"/>
      <w:sz w:val="21"/>
    </w:rPr>
  </w:style>
  <w:style w:type="paragraph" w:customStyle="1" w:styleId="949">
    <w:name w:val="表内正文"/>
    <w:basedOn w:val="1"/>
    <w:autoRedefine/>
    <w:qFormat/>
    <w:uiPriority w:val="0"/>
    <w:pPr>
      <w:adjustRightInd w:val="0"/>
      <w:snapToGrid w:val="0"/>
      <w:spacing w:line="288" w:lineRule="auto"/>
      <w:ind w:firstLine="200" w:firstLineChars="200"/>
    </w:pPr>
    <w:rPr>
      <w:rFonts w:ascii="宋体" w:hAnsi="Calibri"/>
      <w:sz w:val="20"/>
      <w:szCs w:val="20"/>
    </w:rPr>
  </w:style>
  <w:style w:type="paragraph" w:customStyle="1" w:styleId="950">
    <w:name w:val="Char Char Char Char Char Char Char Char Char Char Char Char Char Char Char Char Char Char Char Char Char Char Char Char Char1"/>
    <w:basedOn w:val="1"/>
    <w:autoRedefine/>
    <w:qFormat/>
    <w:uiPriority w:val="0"/>
    <w:rPr>
      <w:rFonts w:ascii="Tahoma" w:hAnsi="Tahoma"/>
      <w:sz w:val="24"/>
      <w:szCs w:val="20"/>
    </w:rPr>
  </w:style>
  <w:style w:type="paragraph" w:customStyle="1" w:styleId="951">
    <w:name w:val="Normal_11"/>
    <w:autoRedefine/>
    <w:qFormat/>
    <w:uiPriority w:val="0"/>
    <w:rPr>
      <w:rFonts w:ascii="黑体" w:hAnsi="黑体" w:eastAsia="黑体" w:cs="Times New Roman"/>
      <w:b/>
      <w:sz w:val="32"/>
      <w:szCs w:val="24"/>
      <w:lang w:val="en-US" w:eastAsia="zh-CN" w:bidi="ar-SA"/>
    </w:rPr>
  </w:style>
  <w:style w:type="paragraph" w:customStyle="1" w:styleId="952">
    <w:name w:val="Char Char Char Char Char Char Char Char1"/>
    <w:basedOn w:val="1"/>
    <w:autoRedefine/>
    <w:qFormat/>
    <w:uiPriority w:val="0"/>
    <w:pPr>
      <w:tabs>
        <w:tab w:val="left" w:pos="360"/>
      </w:tabs>
    </w:pPr>
    <w:rPr>
      <w:rFonts w:ascii="Calibri" w:hAnsi="Calibri"/>
      <w:sz w:val="24"/>
    </w:rPr>
  </w:style>
  <w:style w:type="paragraph" w:customStyle="1" w:styleId="953">
    <w:name w:val="样式 正文文本 + 首行缩进:  2 字符1"/>
    <w:basedOn w:val="23"/>
    <w:autoRedefine/>
    <w:qFormat/>
    <w:uiPriority w:val="0"/>
    <w:pPr>
      <w:adjustRightInd w:val="0"/>
      <w:snapToGrid w:val="0"/>
      <w:spacing w:after="0" w:line="400" w:lineRule="exact"/>
      <w:ind w:firstLine="200" w:firstLineChars="200"/>
    </w:pPr>
    <w:rPr>
      <w:rFonts w:ascii="Arial" w:hAnsi="Arial" w:cs="宋体"/>
      <w:sz w:val="21"/>
      <w:szCs w:val="20"/>
    </w:rPr>
  </w:style>
  <w:style w:type="paragraph" w:customStyle="1" w:styleId="954">
    <w:name w:val="ca-37"/>
    <w:basedOn w:val="1"/>
    <w:autoRedefine/>
    <w:qFormat/>
    <w:uiPriority w:val="0"/>
    <w:pPr>
      <w:widowControl/>
      <w:jc w:val="left"/>
    </w:pPr>
    <w:rPr>
      <w:rFonts w:ascii="宋体" w:hAnsi="宋体" w:cs="宋体"/>
      <w:color w:val="000000"/>
      <w:kern w:val="0"/>
      <w:szCs w:val="21"/>
    </w:rPr>
  </w:style>
  <w:style w:type="paragraph" w:customStyle="1" w:styleId="955">
    <w:name w:val="pa-135"/>
    <w:basedOn w:val="1"/>
    <w:autoRedefine/>
    <w:qFormat/>
    <w:uiPriority w:val="0"/>
    <w:pPr>
      <w:widowControl/>
      <w:spacing w:line="480" w:lineRule="atLeast"/>
      <w:ind w:firstLine="520"/>
    </w:pPr>
    <w:rPr>
      <w:rFonts w:ascii="宋体" w:hAnsi="宋体" w:cs="宋体"/>
      <w:kern w:val="0"/>
      <w:sz w:val="24"/>
      <w:szCs w:val="22"/>
    </w:rPr>
  </w:style>
  <w:style w:type="paragraph" w:customStyle="1" w:styleId="956">
    <w:name w:val="样式 正文缩进正文（首行缩进两字）特点ALT+Z表正文正文非缩进四号段1Normal Indent Char2...1"/>
    <w:basedOn w:val="3"/>
    <w:autoRedefine/>
    <w:qFormat/>
    <w:uiPriority w:val="0"/>
    <w:pPr>
      <w:spacing w:before="1320" w:after="240" w:line="300" w:lineRule="auto"/>
      <w:jc w:val="center"/>
    </w:pPr>
    <w:rPr>
      <w:rFonts w:ascii="Calibri" w:hAnsi="Calibri" w:eastAsia="宋体"/>
      <w:bCs w:val="0"/>
      <w:sz w:val="24"/>
      <w:szCs w:val="20"/>
    </w:rPr>
  </w:style>
  <w:style w:type="paragraph" w:customStyle="1" w:styleId="957">
    <w:name w:val="Char Char Char Char Char Char Char Char Char Char Char Char Char Char Char Char Char Char Char Char Char Char Char Char Char2"/>
    <w:basedOn w:val="1"/>
    <w:autoRedefine/>
    <w:qFormat/>
    <w:uiPriority w:val="0"/>
    <w:rPr>
      <w:rFonts w:ascii="Tahoma" w:hAnsi="Tahoma"/>
      <w:sz w:val="24"/>
      <w:szCs w:val="20"/>
    </w:rPr>
  </w:style>
  <w:style w:type="paragraph" w:customStyle="1" w:styleId="958">
    <w:name w:val="xl10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w:hAnsi="Times"/>
      <w:kern w:val="0"/>
      <w:sz w:val="20"/>
      <w:szCs w:val="20"/>
    </w:rPr>
  </w:style>
  <w:style w:type="paragraph" w:customStyle="1" w:styleId="959">
    <w:name w:val="pa-109"/>
    <w:basedOn w:val="1"/>
    <w:autoRedefine/>
    <w:qFormat/>
    <w:uiPriority w:val="0"/>
    <w:pPr>
      <w:widowControl/>
      <w:spacing w:line="280" w:lineRule="atLeast"/>
    </w:pPr>
    <w:rPr>
      <w:rFonts w:ascii="宋体" w:hAnsi="宋体" w:cs="宋体"/>
      <w:kern w:val="0"/>
      <w:sz w:val="24"/>
      <w:szCs w:val="22"/>
    </w:rPr>
  </w:style>
  <w:style w:type="paragraph" w:customStyle="1" w:styleId="960">
    <w:name w:val="正文 A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Arial Unicode MS" w:cs="Arial Unicode MS"/>
      <w:color w:val="000000"/>
      <w:kern w:val="2"/>
      <w:sz w:val="21"/>
      <w:szCs w:val="21"/>
      <w:u w:color="000000"/>
      <w:lang w:val="en-US" w:eastAsia="zh-CN" w:bidi="ar-SA"/>
    </w:rPr>
  </w:style>
  <w:style w:type="paragraph" w:customStyle="1" w:styleId="961">
    <w:name w:val="正文文字表格居中"/>
    <w:basedOn w:val="1"/>
    <w:next w:val="52"/>
    <w:autoRedefine/>
    <w:qFormat/>
    <w:uiPriority w:val="0"/>
    <w:pPr>
      <w:snapToGrid w:val="0"/>
      <w:spacing w:line="360" w:lineRule="auto"/>
    </w:pPr>
    <w:rPr>
      <w:rFonts w:ascii="宋体" w:hAnsi="Calibri"/>
      <w:b/>
      <w:sz w:val="24"/>
      <w:szCs w:val="20"/>
    </w:rPr>
  </w:style>
  <w:style w:type="paragraph" w:customStyle="1" w:styleId="962">
    <w:name w:val="pa-24"/>
    <w:basedOn w:val="1"/>
    <w:autoRedefine/>
    <w:qFormat/>
    <w:uiPriority w:val="0"/>
    <w:pPr>
      <w:widowControl/>
      <w:spacing w:line="360" w:lineRule="atLeast"/>
      <w:ind w:firstLine="480"/>
    </w:pPr>
    <w:rPr>
      <w:rFonts w:ascii="宋体" w:hAnsi="宋体" w:cs="宋体"/>
      <w:kern w:val="0"/>
      <w:sz w:val="24"/>
      <w:szCs w:val="22"/>
    </w:rPr>
  </w:style>
  <w:style w:type="paragraph" w:customStyle="1" w:styleId="963">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64">
    <w:name w:val="表格内文"/>
    <w:basedOn w:val="1"/>
    <w:autoRedefine/>
    <w:qFormat/>
    <w:uiPriority w:val="0"/>
    <w:pPr>
      <w:widowControl/>
      <w:adjustRightInd w:val="0"/>
      <w:snapToGrid w:val="0"/>
    </w:pPr>
    <w:rPr>
      <w:rFonts w:ascii="Arial" w:hAnsi="Arial"/>
      <w:kern w:val="0"/>
      <w:szCs w:val="20"/>
    </w:rPr>
  </w:style>
  <w:style w:type="paragraph" w:customStyle="1" w:styleId="965">
    <w:name w:val="xl14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66">
    <w:name w:val="xl9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b/>
      <w:bCs/>
      <w:kern w:val="0"/>
      <w:sz w:val="20"/>
      <w:szCs w:val="20"/>
    </w:rPr>
  </w:style>
  <w:style w:type="paragraph" w:customStyle="1" w:styleId="96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968">
    <w:name w:val="xl13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69">
    <w:name w:val="pa-48"/>
    <w:basedOn w:val="1"/>
    <w:autoRedefine/>
    <w:qFormat/>
    <w:uiPriority w:val="0"/>
    <w:pPr>
      <w:widowControl/>
      <w:spacing w:line="280" w:lineRule="atLeast"/>
      <w:ind w:firstLine="440"/>
    </w:pPr>
    <w:rPr>
      <w:rFonts w:ascii="宋体" w:hAnsi="宋体" w:cs="宋体"/>
      <w:kern w:val="0"/>
      <w:sz w:val="24"/>
      <w:szCs w:val="22"/>
    </w:rPr>
  </w:style>
  <w:style w:type="paragraph" w:customStyle="1" w:styleId="970">
    <w:name w:val="font7"/>
    <w:basedOn w:val="1"/>
    <w:autoRedefine/>
    <w:qFormat/>
    <w:uiPriority w:val="0"/>
    <w:pPr>
      <w:widowControl/>
      <w:adjustRightInd w:val="0"/>
      <w:snapToGrid w:val="0"/>
      <w:spacing w:before="100" w:beforeAutospacing="1" w:after="100" w:afterAutospacing="1" w:line="288" w:lineRule="auto"/>
      <w:ind w:firstLine="200" w:firstLineChars="200"/>
      <w:jc w:val="left"/>
    </w:pPr>
    <w:rPr>
      <w:rFonts w:hint="eastAsia" w:ascii="宋体" w:hAnsi="宋体"/>
      <w:b/>
      <w:bCs/>
      <w:kern w:val="0"/>
      <w:sz w:val="36"/>
      <w:szCs w:val="36"/>
    </w:rPr>
  </w:style>
  <w:style w:type="paragraph" w:customStyle="1" w:styleId="971">
    <w:name w:val="xl100"/>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Times" w:hAnsi="Times"/>
      <w:kern w:val="0"/>
      <w:sz w:val="20"/>
      <w:szCs w:val="20"/>
    </w:rPr>
  </w:style>
  <w:style w:type="paragraph" w:customStyle="1" w:styleId="972">
    <w:name w:val="_Style 247"/>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3">
    <w:name w:val="常规_修改2_3"/>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974">
    <w:name w:val="pa-40"/>
    <w:basedOn w:val="1"/>
    <w:autoRedefine/>
    <w:qFormat/>
    <w:uiPriority w:val="0"/>
    <w:pPr>
      <w:widowControl/>
      <w:spacing w:line="280" w:lineRule="atLeast"/>
    </w:pPr>
    <w:rPr>
      <w:rFonts w:ascii="宋体" w:hAnsi="宋体" w:cs="宋体"/>
      <w:kern w:val="0"/>
      <w:sz w:val="24"/>
      <w:szCs w:val="22"/>
    </w:rPr>
  </w:style>
  <w:style w:type="paragraph" w:customStyle="1" w:styleId="975">
    <w:name w:val="Char Char1 Char Char Char1"/>
    <w:basedOn w:val="1"/>
    <w:autoRedefine/>
    <w:qFormat/>
    <w:uiPriority w:val="0"/>
    <w:rPr>
      <w:rFonts w:ascii="仿宋_GB2312" w:hAnsi="Calibri" w:eastAsia="仿宋_GB2312"/>
      <w:b/>
      <w:sz w:val="32"/>
      <w:szCs w:val="32"/>
    </w:rPr>
  </w:style>
  <w:style w:type="paragraph" w:customStyle="1" w:styleId="976">
    <w:name w:val="正文－恩普"/>
    <w:basedOn w:val="15"/>
    <w:autoRedefine/>
    <w:qFormat/>
    <w:uiPriority w:val="0"/>
    <w:pPr>
      <w:widowControl/>
      <w:spacing w:after="156" w:afterLines="50" w:line="360" w:lineRule="auto"/>
      <w:ind w:firstLine="480" w:firstLineChars="200"/>
      <w:jc w:val="left"/>
    </w:pPr>
    <w:rPr>
      <w:sz w:val="24"/>
    </w:rPr>
  </w:style>
  <w:style w:type="paragraph" w:customStyle="1" w:styleId="977">
    <w:name w:val="style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78">
    <w:name w:val="浅色网格 - 强调文字颜色 311"/>
    <w:basedOn w:val="1"/>
    <w:autoRedefine/>
    <w:qFormat/>
    <w:uiPriority w:val="0"/>
    <w:pPr>
      <w:ind w:firstLine="420" w:firstLineChars="200"/>
    </w:pPr>
    <w:rPr>
      <w:rFonts w:ascii="Calibri" w:hAnsi="Calibri"/>
    </w:rPr>
  </w:style>
  <w:style w:type="paragraph" w:customStyle="1" w:styleId="979">
    <w:name w:val="xl114"/>
    <w:basedOn w:val="1"/>
    <w:autoRedefine/>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Times" w:hAnsi="Times"/>
      <w:kern w:val="0"/>
      <w:sz w:val="20"/>
      <w:szCs w:val="20"/>
    </w:rPr>
  </w:style>
  <w:style w:type="paragraph" w:customStyle="1" w:styleId="980">
    <w:name w:val="xl1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81">
    <w:name w:val="Char Char Char Char Char Char Char Char Char1 Char1"/>
    <w:basedOn w:val="18"/>
    <w:autoRedefine/>
    <w:qFormat/>
    <w:uiPriority w:val="0"/>
    <w:pPr>
      <w:widowControl/>
      <w:adjustRightInd w:val="0"/>
      <w:snapToGrid w:val="0"/>
      <w:spacing w:line="360" w:lineRule="auto"/>
      <w:jc w:val="left"/>
    </w:pPr>
    <w:rPr>
      <w:rFonts w:ascii="Tahoma" w:hAnsi="Tahoma"/>
      <w:kern w:val="0"/>
      <w:sz w:val="24"/>
      <w:szCs w:val="20"/>
    </w:rPr>
  </w:style>
  <w:style w:type="paragraph" w:customStyle="1" w:styleId="982">
    <w:name w:val="pa-95"/>
    <w:basedOn w:val="1"/>
    <w:autoRedefine/>
    <w:qFormat/>
    <w:uiPriority w:val="0"/>
    <w:pPr>
      <w:widowControl/>
      <w:spacing w:line="440" w:lineRule="atLeast"/>
      <w:jc w:val="center"/>
    </w:pPr>
    <w:rPr>
      <w:rFonts w:ascii="宋体" w:hAnsi="宋体" w:cs="宋体"/>
      <w:kern w:val="0"/>
      <w:sz w:val="24"/>
      <w:szCs w:val="22"/>
    </w:rPr>
  </w:style>
  <w:style w:type="paragraph" w:customStyle="1" w:styleId="983">
    <w:name w:val="xl14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84">
    <w:name w:val="pa-12"/>
    <w:basedOn w:val="1"/>
    <w:autoRedefine/>
    <w:qFormat/>
    <w:uiPriority w:val="0"/>
    <w:pPr>
      <w:widowControl/>
      <w:spacing w:line="360" w:lineRule="atLeast"/>
    </w:pPr>
    <w:rPr>
      <w:rFonts w:ascii="宋体" w:hAnsi="宋体" w:cs="宋体"/>
      <w:kern w:val="0"/>
      <w:sz w:val="24"/>
      <w:szCs w:val="22"/>
    </w:rPr>
  </w:style>
  <w:style w:type="paragraph" w:customStyle="1" w:styleId="985">
    <w:name w:val="xl133"/>
    <w:basedOn w:val="1"/>
    <w:autoRedefine/>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86">
    <w:name w:val="Char11"/>
    <w:basedOn w:val="1"/>
    <w:autoRedefine/>
    <w:qFormat/>
    <w:uiPriority w:val="0"/>
    <w:rPr>
      <w:rFonts w:ascii="Calibri" w:hAnsi="Calibri"/>
      <w:szCs w:val="20"/>
    </w:rPr>
  </w:style>
  <w:style w:type="paragraph" w:customStyle="1" w:styleId="987">
    <w:name w:val="pa-134"/>
    <w:basedOn w:val="1"/>
    <w:autoRedefine/>
    <w:qFormat/>
    <w:uiPriority w:val="0"/>
    <w:pPr>
      <w:widowControl/>
      <w:spacing w:line="360" w:lineRule="atLeast"/>
    </w:pPr>
    <w:rPr>
      <w:rFonts w:ascii="宋体" w:hAnsi="宋体" w:cs="宋体"/>
      <w:kern w:val="0"/>
      <w:sz w:val="24"/>
      <w:szCs w:val="22"/>
    </w:rPr>
  </w:style>
  <w:style w:type="paragraph" w:customStyle="1" w:styleId="988">
    <w:name w:val="ca-53"/>
    <w:basedOn w:val="1"/>
    <w:autoRedefine/>
    <w:qFormat/>
    <w:uiPriority w:val="0"/>
    <w:pPr>
      <w:widowControl/>
      <w:jc w:val="left"/>
    </w:pPr>
    <w:rPr>
      <w:rFonts w:ascii="Calibri" w:hAnsi="Calibri"/>
      <w:b/>
      <w:bCs/>
      <w:spacing w:val="-20"/>
      <w:kern w:val="0"/>
      <w:sz w:val="36"/>
      <w:szCs w:val="36"/>
    </w:rPr>
  </w:style>
  <w:style w:type="paragraph" w:customStyle="1" w:styleId="989">
    <w:name w:val="xl135"/>
    <w:basedOn w:val="1"/>
    <w:autoRedefine/>
    <w:qFormat/>
    <w:uiPriority w:val="0"/>
    <w:pPr>
      <w:widowControl/>
      <w:pBdr>
        <w:lef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90">
    <w:name w:val="ca-45"/>
    <w:basedOn w:val="1"/>
    <w:autoRedefine/>
    <w:qFormat/>
    <w:uiPriority w:val="0"/>
    <w:pPr>
      <w:widowControl/>
      <w:jc w:val="left"/>
    </w:pPr>
    <w:rPr>
      <w:rFonts w:ascii="宋体" w:hAnsi="宋体" w:cs="宋体"/>
      <w:color w:val="000000"/>
      <w:kern w:val="0"/>
      <w:sz w:val="72"/>
      <w:szCs w:val="72"/>
    </w:rPr>
  </w:style>
  <w:style w:type="paragraph" w:customStyle="1" w:styleId="991">
    <w:name w:val="BJ-02-T"/>
    <w:autoRedefine/>
    <w:qFormat/>
    <w:uiPriority w:val="0"/>
    <w:pPr>
      <w:spacing w:before="120" w:line="360" w:lineRule="auto"/>
      <w:ind w:left="1985"/>
      <w:jc w:val="both"/>
    </w:pPr>
    <w:rPr>
      <w:rFonts w:ascii="Arial" w:hAnsi="Arial" w:eastAsia="宋体" w:cs="Times New Roman"/>
      <w:sz w:val="24"/>
      <w:lang w:val="en-GB" w:eastAsia="de-DE" w:bidi="ar-SA"/>
    </w:rPr>
  </w:style>
  <w:style w:type="paragraph" w:customStyle="1" w:styleId="992">
    <w:name w:val="xl7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93">
    <w:name w:val="pa-128"/>
    <w:basedOn w:val="1"/>
    <w:autoRedefine/>
    <w:qFormat/>
    <w:uiPriority w:val="0"/>
    <w:pPr>
      <w:widowControl/>
      <w:spacing w:line="360" w:lineRule="atLeast"/>
      <w:jc w:val="center"/>
    </w:pPr>
    <w:rPr>
      <w:rFonts w:ascii="宋体" w:hAnsi="宋体" w:cs="宋体"/>
      <w:kern w:val="0"/>
      <w:sz w:val="24"/>
      <w:szCs w:val="22"/>
    </w:rPr>
  </w:style>
  <w:style w:type="paragraph" w:customStyle="1" w:styleId="994">
    <w:name w:val="Char Char Char Char Char Char Char2"/>
    <w:basedOn w:val="1"/>
    <w:autoRedefine/>
    <w:qFormat/>
    <w:uiPriority w:val="0"/>
    <w:rPr>
      <w:rFonts w:ascii="仿宋_GB2312" w:hAnsi="Calibri" w:eastAsia="仿宋_GB2312"/>
      <w:b/>
      <w:sz w:val="32"/>
      <w:szCs w:val="32"/>
    </w:rPr>
  </w:style>
  <w:style w:type="paragraph" w:customStyle="1" w:styleId="99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96">
    <w:name w:val="正文_2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7">
    <w:name w:val="xl120"/>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Times" w:hAnsi="Times"/>
      <w:kern w:val="0"/>
      <w:sz w:val="20"/>
      <w:szCs w:val="20"/>
    </w:rPr>
  </w:style>
  <w:style w:type="paragraph" w:customStyle="1" w:styleId="998">
    <w:name w:val="Char12"/>
    <w:basedOn w:val="1"/>
    <w:autoRedefine/>
    <w:qFormat/>
    <w:uiPriority w:val="0"/>
    <w:rPr>
      <w:rFonts w:ascii="Calibri" w:hAnsi="Calibri"/>
      <w:szCs w:val="20"/>
    </w:rPr>
  </w:style>
  <w:style w:type="paragraph" w:customStyle="1" w:styleId="999">
    <w:name w:val="pa-63"/>
    <w:basedOn w:val="1"/>
    <w:autoRedefine/>
    <w:qFormat/>
    <w:uiPriority w:val="0"/>
    <w:pPr>
      <w:widowControl/>
      <w:spacing w:line="360" w:lineRule="atLeast"/>
      <w:ind w:firstLine="300"/>
      <w:jc w:val="left"/>
    </w:pPr>
    <w:rPr>
      <w:rFonts w:ascii="宋体" w:hAnsi="宋体" w:cs="宋体"/>
      <w:kern w:val="0"/>
      <w:sz w:val="24"/>
      <w:szCs w:val="22"/>
    </w:rPr>
  </w:style>
  <w:style w:type="paragraph" w:customStyle="1" w:styleId="1000">
    <w:name w:val="xl137"/>
    <w:basedOn w:val="1"/>
    <w:autoRedefine/>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1001">
    <w:name w:val="xl35"/>
    <w:basedOn w:val="1"/>
    <w:autoRedefine/>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002">
    <w:name w:val="xl86"/>
    <w:basedOn w:val="1"/>
    <w:autoRedefine/>
    <w:qFormat/>
    <w:uiPriority w:val="0"/>
    <w:pPr>
      <w:widowControl/>
      <w:pBdr>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003">
    <w:name w:val="xl134"/>
    <w:basedOn w:val="1"/>
    <w:autoRedefine/>
    <w:qFormat/>
    <w:uiPriority w:val="0"/>
    <w:pPr>
      <w:widowControl/>
      <w:pBdr>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1004">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1005">
    <w:name w:val="ca-8"/>
    <w:basedOn w:val="1"/>
    <w:autoRedefine/>
    <w:qFormat/>
    <w:uiPriority w:val="0"/>
    <w:pPr>
      <w:widowControl/>
      <w:jc w:val="left"/>
    </w:pPr>
    <w:rPr>
      <w:rFonts w:ascii="宋体" w:hAnsi="宋体" w:cs="宋体"/>
      <w:color w:val="000000"/>
      <w:kern w:val="0"/>
      <w:sz w:val="28"/>
      <w:szCs w:val="28"/>
    </w:rPr>
  </w:style>
  <w:style w:type="paragraph" w:customStyle="1" w:styleId="1006">
    <w:name w:val="pa-38"/>
    <w:basedOn w:val="1"/>
    <w:autoRedefine/>
    <w:qFormat/>
    <w:uiPriority w:val="0"/>
    <w:pPr>
      <w:widowControl/>
      <w:spacing w:line="360" w:lineRule="atLeast"/>
      <w:ind w:firstLine="520"/>
    </w:pPr>
    <w:rPr>
      <w:rFonts w:ascii="宋体" w:hAnsi="宋体" w:cs="宋体"/>
      <w:kern w:val="0"/>
      <w:sz w:val="24"/>
      <w:szCs w:val="22"/>
    </w:rPr>
  </w:style>
  <w:style w:type="paragraph" w:customStyle="1" w:styleId="1007">
    <w:name w:val="Char4"/>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08">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009">
    <w:name w:val="l正文"/>
    <w:basedOn w:val="1"/>
    <w:autoRedefine/>
    <w:qFormat/>
    <w:uiPriority w:val="0"/>
    <w:pPr>
      <w:spacing w:line="300" w:lineRule="auto"/>
      <w:ind w:firstLine="200" w:firstLineChars="200"/>
      <w:jc w:val="left"/>
    </w:pPr>
    <w:rPr>
      <w:rFonts w:ascii="楷体_GB2312" w:hAnsi="Times" w:eastAsia="楷体_GB2312" w:cs="等线"/>
      <w:sz w:val="24"/>
    </w:rPr>
  </w:style>
  <w:style w:type="paragraph" w:customStyle="1" w:styleId="1010">
    <w:name w:val="black1"/>
    <w:basedOn w:val="1"/>
    <w:autoRedefine/>
    <w:qFormat/>
    <w:uiPriority w:val="0"/>
    <w:pPr>
      <w:widowControl/>
      <w:spacing w:before="100" w:beforeAutospacing="1" w:after="100" w:afterAutospacing="1"/>
      <w:jc w:val="left"/>
    </w:pPr>
    <w:rPr>
      <w:rFonts w:ascii="宋体" w:hAnsi="宋体"/>
      <w:kern w:val="0"/>
      <w:sz w:val="24"/>
    </w:rPr>
  </w:style>
  <w:style w:type="character" w:customStyle="1" w:styleId="1011">
    <w:name w:val="font41"/>
    <w:basedOn w:val="62"/>
    <w:autoRedefine/>
    <w:qFormat/>
    <w:uiPriority w:val="0"/>
    <w:rPr>
      <w:rFonts w:hint="default" w:ascii="Calibri" w:hAnsi="Calibri" w:cs="Calibri"/>
      <w:color w:val="000000"/>
      <w:sz w:val="20"/>
      <w:szCs w:val="20"/>
      <w:u w:val="none"/>
    </w:rPr>
  </w:style>
  <w:style w:type="character" w:customStyle="1" w:styleId="1012">
    <w:name w:val="font31"/>
    <w:basedOn w:val="62"/>
    <w:autoRedefine/>
    <w:qFormat/>
    <w:uiPriority w:val="0"/>
    <w:rPr>
      <w:rFonts w:hint="eastAsia" w:ascii="宋体" w:hAnsi="宋体" w:eastAsia="宋体" w:cs="宋体"/>
      <w:color w:val="000000"/>
      <w:sz w:val="20"/>
      <w:szCs w:val="20"/>
      <w:u w:val="none"/>
    </w:rPr>
  </w:style>
  <w:style w:type="character" w:customStyle="1" w:styleId="1013">
    <w:name w:val="NormalCharacter"/>
    <w:autoRedefine/>
    <w:semiHidden/>
    <w:qFormat/>
    <w:uiPriority w:val="0"/>
  </w:style>
  <w:style w:type="character" w:customStyle="1" w:styleId="1014">
    <w:name w:val="标题 3 Char3"/>
    <w:link w:val="4"/>
    <w:autoRedefine/>
    <w:qFormat/>
    <w:uiPriority w:val="9"/>
    <w:rPr>
      <w:rFonts w:ascii="Times New Roman" w:hAnsi="Times New Roman" w:eastAsia="黑体" w:cs="Times New Roman"/>
      <w:b/>
      <w:bCs/>
      <w:kern w:val="0"/>
      <w:sz w:val="24"/>
      <w:szCs w:val="36"/>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4.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102</Pages>
  <Words>12184</Words>
  <Characters>13743</Characters>
  <Lines>536</Lines>
  <Paragraphs>151</Paragraphs>
  <TotalTime>56</TotalTime>
  <ScaleCrop>false</ScaleCrop>
  <LinksUpToDate>false</LinksUpToDate>
  <CharactersWithSpaces>13905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2022-05-30T01:59:00Z</dcterms:created>
  <dc:creator>user1</dc:creator>
  <cp:lastModifiedBy>何静跃</cp:lastModifiedBy>
  <cp:lastPrinted>2025-05-27T06:54:00Z</cp:lastPrinted>
  <dcterms:modified xsi:type="dcterms:W3CDTF">2025-06-20T07:25:19Z</dcterms:modified>
  <dc:title>（采购单位）  +  （项目名称）   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79555C31FC1A4C138F6FAD7BAB713685_13</vt:lpwstr>
  </property>
  <property fmtid="{D5CDD505-2E9C-101B-9397-08002B2CF9AE}" pid="4" name="commondata">
    <vt:lpwstr>eyJoZGlkIjoiYThjYTUzYjFlNGZjOTcxZmVjODA3ZmZiOTFjNjU5YmEifQ==</vt:lpwstr>
  </property>
  <property fmtid="{D5CDD505-2E9C-101B-9397-08002B2CF9AE}" pid="5" name="KSOTemplateDocerSaveRecord">
    <vt:lpwstr>eyJoZGlkIjoiYjdiZWRhNGI1M2NiMGI4MjhlMTgzZTIwZTdjZWRmOTQiLCJ1c2VySWQiOiIzNjA3MDU1MTAifQ==</vt:lpwstr>
  </property>
</Properties>
</file>