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15546B57">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杭州市上城区图书馆2025年中文图书</w:t>
      </w:r>
    </w:p>
    <w:p w14:paraId="0F01F23D">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ZTZB-2025005</w:t>
      </w:r>
    </w:p>
    <w:p w14:paraId="346E67AD">
      <w:pPr>
        <w:snapToGrid w:val="0"/>
        <w:spacing w:line="360" w:lineRule="auto"/>
        <w:jc w:val="center"/>
        <w:rPr>
          <w:rFonts w:ascii="宋体" w:hAnsi="宋体" w:cs="宋体"/>
          <w:color w:val="auto"/>
          <w:sz w:val="30"/>
          <w:szCs w:val="30"/>
          <w:highlight w:val="none"/>
        </w:rPr>
      </w:pP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31791BC">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5708A6DC">
      <w:pPr>
        <w:kinsoku/>
        <w:wordWrap w:val="0"/>
        <w:topLinePunct/>
        <w:autoSpaceDE/>
        <w:autoSpaceDN/>
        <w:adjustRightInd/>
        <w:spacing w:before="98" w:line="221"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rPr>
        <w:t>采购人</w:t>
      </w:r>
      <w:r>
        <w:rPr>
          <w:rFonts w:hint="eastAsia" w:ascii="宋体" w:hAnsi="宋体" w:eastAsia="宋体" w:cs="宋体"/>
          <w:color w:val="auto"/>
          <w:spacing w:val="-10"/>
          <w:sz w:val="32"/>
          <w:szCs w:val="32"/>
          <w:highlight w:val="none"/>
        </w:rPr>
        <w:t>：</w:t>
      </w:r>
      <w:r>
        <w:rPr>
          <w:rFonts w:hint="eastAsia" w:ascii="宋体" w:hAnsi="宋体" w:cs="宋体"/>
          <w:bCs/>
          <w:sz w:val="32"/>
          <w:szCs w:val="32"/>
          <w:highlight w:val="none"/>
        </w:rPr>
        <w:t>杭州市上城区图书馆</w:t>
      </w:r>
      <w:r>
        <w:rPr>
          <w:rFonts w:hint="eastAsia" w:ascii="宋体" w:hAnsi="宋体" w:eastAsia="宋体" w:cs="宋体"/>
          <w:color w:val="auto"/>
          <w:spacing w:val="-5"/>
          <w:sz w:val="32"/>
          <w:szCs w:val="32"/>
          <w:highlight w:val="none"/>
        </w:rPr>
        <w:t>(单位</w:t>
      </w:r>
      <w:r>
        <w:rPr>
          <w:rFonts w:hint="eastAsia" w:ascii="宋体" w:hAnsi="宋体" w:eastAsia="宋体" w:cs="宋体"/>
          <w:color w:val="auto"/>
          <w:spacing w:val="-5"/>
          <w:sz w:val="32"/>
          <w:szCs w:val="32"/>
          <w:highlight w:val="none"/>
          <w:lang w:eastAsia="zh-CN"/>
        </w:rPr>
        <w:t>盖</w:t>
      </w:r>
      <w:r>
        <w:rPr>
          <w:rFonts w:hint="eastAsia" w:ascii="宋体" w:hAnsi="宋体" w:eastAsia="宋体" w:cs="宋体"/>
          <w:color w:val="auto"/>
          <w:spacing w:val="-5"/>
          <w:sz w:val="32"/>
          <w:szCs w:val="32"/>
          <w:highlight w:val="none"/>
        </w:rPr>
        <w:t>章)</w:t>
      </w:r>
    </w:p>
    <w:p w14:paraId="21FBEEC8">
      <w:pPr>
        <w:pageBreakBefore w:val="0"/>
        <w:widowControl/>
        <w:kinsoku/>
        <w:wordWrap w:val="0"/>
        <w:overflowPunct/>
        <w:topLinePunct/>
        <w:autoSpaceDE/>
        <w:autoSpaceDN/>
        <w:bidi w:val="0"/>
        <w:adjustRightInd/>
        <w:spacing w:before="224" w:line="221" w:lineRule="auto"/>
        <w:ind w:right="0" w:rightChars="0"/>
        <w:jc w:val="center"/>
        <w:textAlignment w:val="baseline"/>
        <w:rPr>
          <w:rFonts w:hint="eastAsia"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rPr>
        <w:t>代理机构</w:t>
      </w:r>
      <w:r>
        <w:rPr>
          <w:rFonts w:hint="eastAsia" w:ascii="宋体" w:hAnsi="宋体" w:eastAsia="宋体" w:cs="宋体"/>
          <w:color w:val="auto"/>
          <w:spacing w:val="-9"/>
          <w:sz w:val="32"/>
          <w:szCs w:val="32"/>
          <w:highlight w:val="none"/>
        </w:rPr>
        <w:t>：</w:t>
      </w:r>
      <w:r>
        <w:rPr>
          <w:rFonts w:hint="eastAsia" w:ascii="宋体" w:hAnsi="宋体" w:cs="宋体"/>
          <w:color w:val="auto"/>
          <w:spacing w:val="-9"/>
          <w:sz w:val="32"/>
          <w:szCs w:val="32"/>
          <w:highlight w:val="none"/>
          <w:lang w:val="en-US" w:eastAsia="zh-CN"/>
        </w:rPr>
        <w:t xml:space="preserve"> </w:t>
      </w:r>
      <w:r>
        <w:rPr>
          <w:rFonts w:hint="eastAsia" w:ascii="宋体" w:hAnsi="宋体" w:cs="宋体"/>
          <w:color w:val="auto"/>
          <w:spacing w:val="-5"/>
          <w:sz w:val="32"/>
          <w:szCs w:val="32"/>
          <w:highlight w:val="none"/>
          <w:lang w:val="en-US" w:eastAsia="zh-CN"/>
        </w:rPr>
        <w:t>中投招标咨询（浙江）有限公司</w:t>
      </w:r>
      <w:r>
        <w:rPr>
          <w:rFonts w:hint="eastAsia" w:ascii="宋体" w:hAnsi="宋体" w:eastAsia="宋体" w:cs="宋体"/>
          <w:color w:val="auto"/>
          <w:spacing w:val="-5"/>
          <w:sz w:val="32"/>
          <w:szCs w:val="32"/>
          <w:highlight w:val="none"/>
        </w:rPr>
        <w:t>(单位</w:t>
      </w:r>
      <w:r>
        <w:rPr>
          <w:rFonts w:hint="eastAsia" w:ascii="宋体" w:hAnsi="宋体" w:eastAsia="宋体" w:cs="宋体"/>
          <w:color w:val="auto"/>
          <w:spacing w:val="-5"/>
          <w:sz w:val="32"/>
          <w:szCs w:val="32"/>
          <w:highlight w:val="none"/>
          <w:lang w:eastAsia="zh-CN"/>
        </w:rPr>
        <w:t>盖</w:t>
      </w:r>
      <w:r>
        <w:rPr>
          <w:rFonts w:hint="eastAsia" w:ascii="宋体" w:hAnsi="宋体" w:eastAsia="宋体" w:cs="宋体"/>
          <w:color w:val="auto"/>
          <w:spacing w:val="-5"/>
          <w:sz w:val="32"/>
          <w:szCs w:val="32"/>
          <w:highlight w:val="none"/>
        </w:rPr>
        <w:t>章)</w:t>
      </w:r>
    </w:p>
    <w:p w14:paraId="34234080">
      <w:pPr>
        <w:snapToGrid w:val="0"/>
        <w:spacing w:line="360" w:lineRule="auto"/>
        <w:jc w:val="center"/>
        <w:rPr>
          <w:rFonts w:hint="eastAsia" w:ascii="宋体" w:hAnsi="宋体" w:cs="宋体"/>
          <w:bCs/>
          <w:color w:val="auto"/>
          <w:sz w:val="32"/>
          <w:szCs w:val="32"/>
          <w:highlight w:val="none"/>
        </w:rPr>
      </w:pP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二十一</w:t>
      </w:r>
      <w:r>
        <w:rPr>
          <w:rFonts w:hint="eastAsia" w:ascii="宋体" w:hAnsi="宋体" w:cs="宋体"/>
          <w:bCs/>
          <w:color w:val="auto"/>
          <w:sz w:val="32"/>
          <w:szCs w:val="32"/>
          <w:highlight w:val="none"/>
        </w:rPr>
        <w:t>日</w:t>
      </w:r>
    </w:p>
    <w:p w14:paraId="31ED171F">
      <w:pPr>
        <w:snapToGrid w:val="0"/>
        <w:spacing w:line="360" w:lineRule="auto"/>
        <w:jc w:val="center"/>
        <w:rPr>
          <w:rFonts w:ascii="宋体" w:hAnsi="宋体" w:cs="宋体"/>
          <w:bCs/>
          <w:color w:val="auto"/>
          <w:sz w:val="32"/>
          <w:szCs w:val="32"/>
          <w:highlight w:val="none"/>
        </w:rPr>
      </w:pP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eastAsia="宋体" w:cs="宋体"/>
          <w:color w:val="auto"/>
          <w:sz w:val="24"/>
          <w:highlight w:val="none"/>
          <w:u w:val="single"/>
        </w:rPr>
        <w:t>杭州市上城区图书馆2025年中文图书采购项目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12</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ZTZB-2025005</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宋体"/>
          <w:b/>
          <w:color w:val="auto"/>
          <w:sz w:val="24"/>
          <w:highlight w:val="none"/>
          <w:lang w:val="en-US" w:eastAsia="zh-CN"/>
        </w:rPr>
        <w:t>杭州市上城区图书馆2025年中文图书采购项目</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1600000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1600000</w:t>
      </w:r>
    </w:p>
    <w:p w14:paraId="5B41C99A">
      <w:pPr>
        <w:pStyle w:val="2"/>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Times New Roman" w:asciiTheme="minorEastAsia" w:hAnsiTheme="minorEastAsia" w:eastAsiaTheme="minorEastAsia"/>
          <w:snapToGrid/>
          <w:color w:val="auto"/>
          <w:kern w:val="2"/>
          <w:sz w:val="24"/>
          <w:szCs w:val="24"/>
          <w:highlight w:val="none"/>
          <w:lang w:val="en-US" w:eastAsia="zh-CN"/>
        </w:rPr>
        <w:t>杭州市上城区图书馆2025年中文图书采购</w:t>
      </w:r>
      <w:r>
        <w:rPr>
          <w:rFonts w:hint="eastAsia" w:cs="Times New Roman"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r>
        <w:rPr>
          <w:rFonts w:hint="eastAsia" w:asciiTheme="minorEastAsia" w:hAnsiTheme="minorEastAsia" w:eastAsiaTheme="minorEastAsia"/>
          <w:snapToGrid/>
          <w:color w:val="auto"/>
          <w:kern w:val="2"/>
          <w:sz w:val="24"/>
          <w:szCs w:val="24"/>
          <w:highlight w:val="none"/>
        </w:rPr>
        <w:t>。</w:t>
      </w:r>
    </w:p>
    <w:p w14:paraId="0CF83623">
      <w:pPr>
        <w:pStyle w:val="131"/>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eastAsia="宋体" w:cs="宋体"/>
          <w:b/>
          <w:color w:val="auto"/>
          <w:highlight w:val="none"/>
        </w:rPr>
        <w:t>合同签订之日起至2025年12月</w:t>
      </w:r>
      <w:r>
        <w:rPr>
          <w:rFonts w:hint="eastAsia" w:ascii="宋体" w:hAnsi="宋体" w:cs="宋体"/>
          <w:b/>
          <w:color w:val="auto"/>
          <w:highlight w:val="none"/>
          <w:lang w:val="en-US" w:eastAsia="zh-CN"/>
        </w:rPr>
        <w:t>6</w:t>
      </w:r>
      <w:r>
        <w:rPr>
          <w:rFonts w:hint="eastAsia" w:ascii="宋体" w:hAnsi="宋体" w:eastAsia="宋体" w:cs="宋体"/>
          <w:b/>
          <w:color w:val="auto"/>
          <w:highlight w:val="none"/>
        </w:rPr>
        <w:t>日</w:t>
      </w:r>
      <w:r>
        <w:rPr>
          <w:rFonts w:hint="eastAsia" w:ascii="宋体" w:hAnsi="宋体" w:cs="宋体"/>
          <w:b/>
          <w:color w:val="auto"/>
          <w:highlight w:val="none"/>
          <w:lang w:eastAsia="zh-CN"/>
        </w:rPr>
        <w:t>。</w:t>
      </w:r>
    </w:p>
    <w:p w14:paraId="43F20924">
      <w:pPr>
        <w:pStyle w:val="2"/>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sz w:val="24"/>
          <w:highlight w:val="none"/>
          <w:lang w:val="en-US" w:eastAsia="zh-CN"/>
        </w:rPr>
        <w:t>具有相关部门颁发的出版物经营许可证（或发行许可证）</w:t>
      </w:r>
      <w:r>
        <w:rPr>
          <w:rFonts w:hint="eastAsia" w:ascii="宋体" w:hAnsi="宋体" w:cs="宋体"/>
          <w:sz w:val="24"/>
          <w:highlight w:val="none"/>
        </w:rPr>
        <w:t>，该特定条件的法律法规依据：《出版物市场管理规定》第三条 国家对出版物批发、零售依法实行许可制度。从事出版物批发、零售活动的单位和个人凭出版物经营许可证开展出版物批发、零售活动；未经许可，任何单位和个人不得从事出版物批发、零售活动</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7E7AE80">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sz w:val="24"/>
          <w:highlight w:val="none"/>
        </w:rPr>
        <w:t>杭州市上城区图书馆</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sz w:val="24"/>
          <w:highlight w:val="none"/>
        </w:rPr>
        <w:t>浙江杭州太平门直街458号文化中心六楼</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highlight w:val="none"/>
        </w:rPr>
        <w:t>于老师</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w:t>
      </w:r>
      <w:r>
        <w:rPr>
          <w:rFonts w:hint="eastAsia" w:ascii="宋体" w:hAnsi="宋体" w:cs="宋体"/>
          <w:sz w:val="24"/>
          <w:highlight w:val="none"/>
        </w:rPr>
        <w:t>0571-86537183</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sz w:val="24"/>
          <w:highlight w:val="none"/>
        </w:rPr>
        <w:t>徐老师</w:t>
      </w:r>
    </w:p>
    <w:p w14:paraId="140C29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w:t>
      </w:r>
      <w:r>
        <w:rPr>
          <w:rFonts w:hint="eastAsia" w:ascii="宋体" w:hAnsi="宋体" w:cs="宋体"/>
          <w:sz w:val="24"/>
          <w:highlight w:val="none"/>
        </w:rPr>
        <w:t>0571-86537184</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F945AA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中投招标咨询（浙江）有限公司</w:t>
      </w:r>
    </w:p>
    <w:p w14:paraId="6D5681B6">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杭州市上城区下车路10号235</w:t>
      </w:r>
    </w:p>
    <w:p w14:paraId="6CA61C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052589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黄工</w:t>
      </w:r>
    </w:p>
    <w:p w14:paraId="0C6129B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0571-87214758</w:t>
      </w:r>
    </w:p>
    <w:p w14:paraId="59C4376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52FB72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13777355576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1973DD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42FF5112">
      <w:pPr>
        <w:spacing w:line="360" w:lineRule="auto"/>
        <w:ind w:left="479" w:leftChars="228" w:firstLine="0" w:firstLineChars="0"/>
        <w:rPr>
          <w:rFonts w:hint="default"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政策咨询：沈先生、陈先生，电话：</w:t>
      </w:r>
      <w:r>
        <w:rPr>
          <w:rFonts w:hint="eastAsia" w:ascii="宋体" w:hAnsi="宋体" w:eastAsia="宋体" w:cs="宋体"/>
          <w:i w:val="0"/>
          <w:caps w:val="0"/>
          <w:color w:val="auto"/>
          <w:spacing w:val="0"/>
          <w:sz w:val="24"/>
          <w:szCs w:val="24"/>
          <w:highlight w:val="none"/>
          <w:lang w:val="en-US" w:eastAsia="zh-CN"/>
        </w:rPr>
        <w:t>0571-89580457、0571-89580460</w:t>
      </w:r>
    </w:p>
    <w:p w14:paraId="22C6646C">
      <w:pPr>
        <w:pStyle w:val="2"/>
      </w:pP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4"/>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sz w:val="24"/>
                <w:highlight w:val="none"/>
                <w:u w:val="single"/>
              </w:rPr>
              <w:t>图书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eastAsia="宋体" w:cs="宋体"/>
                <w:b w:val="0"/>
                <w:bCs w:val="0"/>
                <w:color w:val="auto"/>
                <w:kern w:val="0"/>
                <w:sz w:val="24"/>
                <w:szCs w:val="24"/>
                <w:highlight w:val="none"/>
                <w:lang w:val="en-US" w:eastAsia="zh-CN" w:bidi="ar-SA"/>
              </w:rPr>
              <w:t>杭州市上城区图书馆2025年中文图书采购项目</w:t>
            </w:r>
            <w:r>
              <w:rPr>
                <w:rFonts w:hint="eastAsia" w:ascii="宋体" w:hAnsi="宋体" w:cs="宋体"/>
                <w:color w:val="auto"/>
                <w:kern w:val="0"/>
                <w:sz w:val="24"/>
                <w:highlight w:val="none"/>
              </w:rPr>
              <w:t>，属于</w:t>
            </w:r>
            <w:r>
              <w:rPr>
                <w:rFonts w:hint="eastAsia" w:ascii="宋体" w:hAnsi="宋体" w:cs="宋体"/>
                <w:kern w:val="0"/>
                <w:sz w:val="24"/>
                <w:highlight w:val="none"/>
                <w:u w:val="single"/>
                <w:lang w:val="en-US" w:eastAsia="zh-CN"/>
              </w:rPr>
              <w:t xml:space="preserve">其他未列明行业 </w:t>
            </w:r>
            <w:r>
              <w:rPr>
                <w:rFonts w:hint="eastAsia" w:ascii="宋体" w:hAnsi="宋体" w:cs="宋体"/>
                <w:color w:val="auto"/>
                <w:kern w:val="0"/>
                <w:sz w:val="24"/>
                <w:highlight w:val="none"/>
              </w:rPr>
              <w:t>行业；</w:t>
            </w:r>
          </w:p>
          <w:p w14:paraId="1994D902">
            <w:pPr>
              <w:pStyle w:val="4"/>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kern w:val="0"/>
                <w:sz w:val="24"/>
                <w:szCs w:val="24"/>
                <w:highlight w:val="none"/>
                <w:u w:val="single"/>
                <w:lang w:val="en-US" w:eastAsia="zh-CN" w:bidi="ar-SA"/>
              </w:rPr>
              <w:t>其他未列明行业</w:t>
            </w: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14:paraId="308CE21E">
            <w:pPr>
              <w:pStyle w:val="2"/>
              <w:ind w:left="0" w:leftChars="0" w:firstLine="0" w:firstLineChars="0"/>
              <w:rPr>
                <w:color w:val="auto"/>
              </w:rPr>
            </w:pPr>
            <w:r>
              <w:rPr>
                <w:rFonts w:hint="eastAsia" w:ascii="宋体" w:hAnsi="宋体" w:cs="宋体"/>
                <w:b/>
                <w:bCs/>
                <w:snapToGrid w:val="0"/>
                <w:color w:val="auto"/>
                <w:sz w:val="28"/>
                <w:szCs w:val="28"/>
                <w:highlight w:val="none"/>
              </w:rPr>
              <w:t>▲</w:t>
            </w:r>
            <w:r>
              <w:rPr>
                <w:rFonts w:hint="eastAsia" w:ascii="宋体" w:hAnsi="宋体" w:cs="宋体"/>
                <w:b/>
                <w:color w:val="auto"/>
                <w:kern w:val="0"/>
                <w:sz w:val="24"/>
                <w:highlight w:val="none"/>
              </w:rPr>
              <w:t>供应商报价低于项目预算50%的，应当在报价文件中详细阐述不影响产品质量或者诚信履约的具体原因，否则作无效标处理。</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7"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杭州市上城区下车路10号235</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黄工 0571-87214758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第三部分"/>
            <w:bookmarkStart w:id="14"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C6AEC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本项目的采购代理费由中标人支付。计费标准：</w:t>
            </w:r>
          </w:p>
          <w:p w14:paraId="3EB989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以中标（成交）金额为计费基准，</w:t>
            </w:r>
            <w:r>
              <w:rPr>
                <w:rFonts w:hint="eastAsia" w:ascii="宋体" w:hAnsi="宋体" w:eastAsia="宋体" w:cs="宋体"/>
                <w:b/>
                <w:color w:val="auto"/>
                <w:sz w:val="24"/>
                <w:szCs w:val="24"/>
                <w:highlight w:val="none"/>
                <w:u w:val="single"/>
              </w:rPr>
              <w:t>按国家计委 [2002］1980号文件</w:t>
            </w:r>
            <w:r>
              <w:rPr>
                <w:rFonts w:hint="eastAsia" w:ascii="宋体" w:hAnsi="宋体" w:eastAsia="宋体" w:cs="宋体"/>
                <w:color w:val="auto"/>
                <w:sz w:val="24"/>
                <w:szCs w:val="24"/>
                <w:highlight w:val="none"/>
              </w:rPr>
              <w:t>标准</w:t>
            </w:r>
            <w:r>
              <w:rPr>
                <w:rFonts w:hint="eastAsia" w:ascii="宋体" w:hAnsi="宋体" w:cs="宋体"/>
                <w:color w:val="auto"/>
                <w:sz w:val="24"/>
                <w:szCs w:val="24"/>
                <w:highlight w:val="none"/>
                <w:lang w:val="en-US" w:eastAsia="zh-CN"/>
              </w:rPr>
              <w:t>的货物类</w:t>
            </w:r>
            <w:r>
              <w:rPr>
                <w:rFonts w:hint="eastAsia" w:ascii="宋体" w:hAnsi="宋体" w:eastAsia="宋体" w:cs="宋体"/>
                <w:color w:val="auto"/>
                <w:sz w:val="24"/>
                <w:szCs w:val="24"/>
                <w:highlight w:val="none"/>
              </w:rPr>
              <w:t>向中标人收取，</w:t>
            </w:r>
            <w:r>
              <w:rPr>
                <w:rFonts w:hint="eastAsia" w:ascii="宋体" w:hAnsi="宋体" w:eastAsia="宋体" w:cs="宋体"/>
                <w:color w:val="auto"/>
                <w:sz w:val="24"/>
                <w:highlight w:val="none"/>
              </w:rPr>
              <w:t>即：</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3988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14:paraId="7630A6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中标金额</w:t>
                  </w:r>
                </w:p>
              </w:tc>
              <w:tc>
                <w:tcPr>
                  <w:tcW w:w="1980" w:type="dxa"/>
                  <w:noWrap w:val="0"/>
                  <w:vAlign w:val="top"/>
                </w:tcPr>
                <w:p w14:paraId="762A05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标准费率</w:t>
                  </w:r>
                </w:p>
              </w:tc>
            </w:tr>
            <w:tr w14:paraId="7C80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14:paraId="3D2743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w:t>
                  </w:r>
                </w:p>
              </w:tc>
              <w:tc>
                <w:tcPr>
                  <w:tcW w:w="1980" w:type="dxa"/>
                  <w:noWrap w:val="0"/>
                  <w:vAlign w:val="top"/>
                </w:tcPr>
                <w:p w14:paraId="5D8D95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23DD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14:paraId="7EFB5E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100万元-500万元</w:t>
                  </w:r>
                </w:p>
              </w:tc>
              <w:tc>
                <w:tcPr>
                  <w:tcW w:w="1980" w:type="dxa"/>
                  <w:noWrap w:val="0"/>
                  <w:vAlign w:val="top"/>
                </w:tcPr>
                <w:p w14:paraId="6836D7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w:t>
                  </w:r>
                </w:p>
              </w:tc>
            </w:tr>
            <w:tr w14:paraId="5403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noWrap w:val="0"/>
                  <w:vAlign w:val="top"/>
                </w:tcPr>
                <w:p w14:paraId="29835E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500-1000万元</w:t>
                  </w:r>
                </w:p>
              </w:tc>
              <w:tc>
                <w:tcPr>
                  <w:tcW w:w="1980" w:type="dxa"/>
                  <w:noWrap w:val="0"/>
                  <w:vAlign w:val="top"/>
                </w:tcPr>
                <w:p w14:paraId="13F8D2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p>
              </w:tc>
            </w:tr>
          </w:tbl>
          <w:p w14:paraId="7E2CD862">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采购代理费收费按照差额定率累进法计取的收取</w:t>
            </w:r>
            <w:r>
              <w:rPr>
                <w:rFonts w:hint="eastAsia" w:ascii="宋体" w:hAnsi="宋体" w:eastAsia="宋体" w:cs="宋体"/>
                <w:color w:val="auto"/>
                <w:sz w:val="24"/>
                <w:highlight w:val="none"/>
                <w:lang w:val="zh-CN"/>
              </w:rPr>
              <w:t>。</w:t>
            </w:r>
          </w:p>
          <w:p w14:paraId="7B3F157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结算方式及时间为：在领取中标通知书时由中标人一次性向招标代理机构付清。</w:t>
            </w:r>
          </w:p>
          <w:p w14:paraId="19B0BF2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代理费账户：</w:t>
            </w:r>
          </w:p>
          <w:p w14:paraId="27B3B0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收款单位（户名）:</w:t>
            </w:r>
            <w:r>
              <w:rPr>
                <w:rFonts w:hint="eastAsia" w:ascii="宋体" w:hAnsi="宋体" w:eastAsia="宋体" w:cs="宋体"/>
                <w:color w:val="auto"/>
                <w:sz w:val="24"/>
                <w:highlight w:val="none"/>
                <w:lang w:val="en-US" w:eastAsia="zh-CN"/>
              </w:rPr>
              <w:t>中投招标咨询（浙江）有限公司</w:t>
            </w:r>
          </w:p>
          <w:p w14:paraId="4C7B42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kern w:val="28"/>
                <w:sz w:val="24"/>
                <w:szCs w:val="24"/>
                <w:highlight w:val="none"/>
              </w:rPr>
              <w:t>宁波银行股份有限公司杭州余杭支行</w:t>
            </w:r>
          </w:p>
          <w:p w14:paraId="11ABDE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4"/>
                <w:highlight w:val="none"/>
                <w:lang w:val="en" w:eastAsia="zh-CN"/>
              </w:rPr>
            </w:pPr>
            <w:r>
              <w:rPr>
                <w:rFonts w:hint="eastAsia" w:ascii="宋体" w:hAnsi="宋体" w:eastAsia="宋体" w:cs="宋体"/>
                <w:color w:val="auto"/>
                <w:sz w:val="24"/>
                <w:highlight w:val="none"/>
              </w:rPr>
              <w:t>银行账号：</w:t>
            </w:r>
            <w:r>
              <w:rPr>
                <w:rFonts w:hint="eastAsia" w:ascii="宋体" w:hAnsi="宋体" w:eastAsia="宋体" w:cs="宋体"/>
                <w:color w:val="auto"/>
                <w:kern w:val="28"/>
                <w:sz w:val="24"/>
                <w:szCs w:val="24"/>
                <w:highlight w:val="none"/>
              </w:rPr>
              <w:t>71370122000072247</w:t>
            </w:r>
          </w:p>
        </w:tc>
      </w:tr>
      <w:bookmarkEnd w:id="10"/>
    </w:tbl>
    <w:p w14:paraId="60A8A717">
      <w:pPr>
        <w:adjustRightInd/>
        <w:spacing w:line="360" w:lineRule="auto"/>
        <w:ind w:firstLine="3845" w:firstLineChars="1197"/>
        <w:outlineLvl w:val="0"/>
        <w:rPr>
          <w:rFonts w:hint="eastAsia" w:ascii="宋体" w:hAnsi="宋体" w:cs="宋体"/>
          <w:b/>
          <w:color w:val="auto"/>
          <w:sz w:val="32"/>
          <w:szCs w:val="20"/>
          <w:highlight w:val="none"/>
        </w:r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4"/>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14665"/>
      <w:bookmarkEnd w:id="19"/>
      <w:bookmarkStart w:id="20" w:name="_Hlt75236011"/>
      <w:bookmarkEnd w:id="20"/>
      <w:bookmarkStart w:id="21" w:name="_Hlt68073093"/>
      <w:bookmarkEnd w:id="21"/>
      <w:bookmarkStart w:id="22" w:name="_Hlt68403820"/>
      <w:bookmarkEnd w:id="22"/>
      <w:bookmarkStart w:id="23" w:name="_Hlt68072990"/>
      <w:bookmarkEnd w:id="23"/>
      <w:bookmarkStart w:id="24" w:name="_Hlt74730295"/>
      <w:bookmarkEnd w:id="24"/>
      <w:bookmarkStart w:id="25" w:name="_Hlt75236290"/>
      <w:bookmarkEnd w:id="25"/>
      <w:bookmarkStart w:id="26" w:name="_Hlt74707468"/>
      <w:bookmarkEnd w:id="26"/>
      <w:bookmarkStart w:id="27" w:name="_Hlt68057669"/>
      <w:bookmarkEnd w:id="27"/>
      <w:bookmarkStart w:id="28" w:name="_Hlt68072998"/>
      <w:bookmarkEnd w:id="28"/>
      <w:bookmarkStart w:id="29" w:name="_Hlt75236101"/>
      <w:bookmarkEnd w:id="29"/>
      <w:bookmarkStart w:id="30" w:name="_Hlt74729768"/>
      <w:bookmarkEnd w:id="30"/>
    </w:p>
    <w:p w14:paraId="6708D7E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46E8A49F">
      <w:pPr>
        <w:pStyle w:val="2"/>
        <w:spacing w:line="500" w:lineRule="exact"/>
        <w:ind w:firstLine="0" w:firstLineChars="0"/>
        <w:outlineLvl w:val="1"/>
        <w:rPr>
          <w:rFonts w:ascii="仿宋_GB2312" w:hAnsi="仿宋" w:eastAsia="仿宋_GB2312"/>
          <w:b/>
          <w:bCs/>
          <w:sz w:val="24"/>
        </w:rPr>
      </w:pPr>
      <w:bookmarkStart w:id="32" w:name="_Toc30144070"/>
      <w:bookmarkStart w:id="33" w:name="_Toc15549_WPSOffice_Level3"/>
      <w:bookmarkStart w:id="34" w:name="_Toc23822_WPSOffice_Level3"/>
      <w:bookmarkStart w:id="35" w:name="_Toc3015_WPSOffice_Level3"/>
      <w:bookmarkStart w:id="36" w:name="_Toc20121_WPSOffice_Level3"/>
      <w:bookmarkStart w:id="37" w:name="_Toc30144500"/>
      <w:r>
        <w:rPr>
          <w:rFonts w:hint="eastAsia" w:ascii="仿宋_GB2312" w:hAnsi="仿宋" w:eastAsia="仿宋_GB2312"/>
          <w:b/>
          <w:bCs/>
          <w:sz w:val="24"/>
        </w:rPr>
        <w:t>一、项目</w:t>
      </w:r>
      <w:bookmarkEnd w:id="32"/>
      <w:bookmarkEnd w:id="33"/>
      <w:bookmarkEnd w:id="34"/>
      <w:bookmarkEnd w:id="35"/>
      <w:bookmarkEnd w:id="36"/>
      <w:bookmarkEnd w:id="37"/>
      <w:r>
        <w:rPr>
          <w:rFonts w:hint="eastAsia" w:ascii="仿宋_GB2312" w:hAnsi="仿宋" w:eastAsia="仿宋_GB2312"/>
          <w:b/>
          <w:bCs/>
          <w:sz w:val="24"/>
        </w:rPr>
        <w:t>基本情况：</w:t>
      </w:r>
    </w:p>
    <w:p w14:paraId="52820094">
      <w:pPr>
        <w:pStyle w:val="2"/>
        <w:spacing w:line="500" w:lineRule="exact"/>
        <w:ind w:firstLine="480"/>
        <w:outlineLvl w:val="1"/>
        <w:rPr>
          <w:rFonts w:ascii="仿宋_GB2312" w:hAnsi="仿宋" w:eastAsia="仿宋_GB2312"/>
          <w:sz w:val="24"/>
        </w:rPr>
      </w:pPr>
      <w:r>
        <w:rPr>
          <w:rFonts w:hint="eastAsia" w:ascii="仿宋_GB2312" w:hAnsi="仿宋" w:eastAsia="仿宋_GB2312"/>
          <w:sz w:val="24"/>
        </w:rPr>
        <w:t>（一）项目名称：</w:t>
      </w:r>
    </w:p>
    <w:p w14:paraId="155A54EC">
      <w:pPr>
        <w:pStyle w:val="2"/>
        <w:spacing w:line="500" w:lineRule="exact"/>
        <w:ind w:firstLine="480"/>
        <w:outlineLvl w:val="1"/>
        <w:rPr>
          <w:rFonts w:ascii="仿宋_GB2312" w:hAnsi="仿宋" w:eastAsia="仿宋_GB2312"/>
          <w:sz w:val="24"/>
        </w:rPr>
      </w:pPr>
      <w:r>
        <w:rPr>
          <w:rFonts w:hint="eastAsia" w:ascii="仿宋_GB2312" w:hAnsi="仿宋" w:eastAsia="仿宋_GB2312"/>
          <w:sz w:val="24"/>
        </w:rPr>
        <w:t>杭州市上城区图书馆202</w:t>
      </w:r>
      <w:r>
        <w:rPr>
          <w:rFonts w:ascii="仿宋_GB2312" w:hAnsi="仿宋" w:eastAsia="仿宋_GB2312"/>
          <w:sz w:val="24"/>
        </w:rPr>
        <w:t>5</w:t>
      </w:r>
      <w:r>
        <w:rPr>
          <w:rFonts w:hint="eastAsia" w:ascii="仿宋_GB2312" w:hAnsi="仿宋" w:eastAsia="仿宋_GB2312"/>
          <w:sz w:val="24"/>
        </w:rPr>
        <w:t>年中文图书采购项目。</w:t>
      </w:r>
    </w:p>
    <w:p w14:paraId="2EB06B65">
      <w:pPr>
        <w:pStyle w:val="2"/>
        <w:spacing w:line="500" w:lineRule="exact"/>
        <w:ind w:firstLine="480"/>
        <w:outlineLvl w:val="1"/>
        <w:rPr>
          <w:rFonts w:ascii="仿宋_GB2312" w:hAnsi="仿宋" w:eastAsia="仿宋_GB2312"/>
          <w:sz w:val="24"/>
        </w:rPr>
      </w:pPr>
      <w:r>
        <w:rPr>
          <w:rFonts w:hint="eastAsia" w:ascii="仿宋_GB2312" w:hAnsi="仿宋" w:eastAsia="仿宋_GB2312"/>
          <w:sz w:val="24"/>
        </w:rPr>
        <w:t>（二）采购预算：</w:t>
      </w:r>
    </w:p>
    <w:p w14:paraId="54AC531E">
      <w:pPr>
        <w:pStyle w:val="2"/>
        <w:spacing w:line="500" w:lineRule="exact"/>
        <w:ind w:firstLine="480"/>
        <w:outlineLvl w:val="1"/>
        <w:rPr>
          <w:rFonts w:ascii="仿宋_GB2312" w:hAnsi="仿宋" w:eastAsia="仿宋_GB2312"/>
          <w:sz w:val="24"/>
        </w:rPr>
      </w:pPr>
      <w:r>
        <w:rPr>
          <w:rFonts w:hint="eastAsia" w:ascii="仿宋_GB2312" w:hAnsi="仿宋" w:eastAsia="仿宋_GB2312"/>
          <w:sz w:val="24"/>
        </w:rPr>
        <w:t>人民币1</w:t>
      </w:r>
      <w:r>
        <w:rPr>
          <w:rFonts w:ascii="仿宋_GB2312" w:hAnsi="仿宋" w:eastAsia="仿宋_GB2312"/>
          <w:sz w:val="24"/>
        </w:rPr>
        <w:t>6</w:t>
      </w:r>
      <w:r>
        <w:rPr>
          <w:rFonts w:hint="eastAsia" w:ascii="仿宋_GB2312" w:hAnsi="仿宋" w:eastAsia="仿宋_GB2312"/>
          <w:sz w:val="24"/>
        </w:rPr>
        <w:t>0万元。</w:t>
      </w:r>
    </w:p>
    <w:p w14:paraId="5F10C982">
      <w:pPr>
        <w:pStyle w:val="2"/>
        <w:spacing w:line="500" w:lineRule="exact"/>
        <w:ind w:firstLine="480"/>
        <w:outlineLvl w:val="1"/>
        <w:rPr>
          <w:rFonts w:ascii="仿宋_GB2312" w:hAnsi="仿宋" w:eastAsia="仿宋_GB2312"/>
          <w:sz w:val="24"/>
        </w:rPr>
      </w:pPr>
      <w:r>
        <w:rPr>
          <w:rFonts w:hint="eastAsia" w:ascii="仿宋_GB2312" w:hAnsi="仿宋" w:eastAsia="仿宋_GB2312"/>
          <w:sz w:val="24"/>
        </w:rPr>
        <w:t>（三）供货期限：</w:t>
      </w:r>
    </w:p>
    <w:p w14:paraId="07A0FA0D">
      <w:pPr>
        <w:pStyle w:val="2"/>
        <w:spacing w:line="500" w:lineRule="exact"/>
        <w:ind w:firstLine="480"/>
        <w:outlineLvl w:val="1"/>
        <w:rPr>
          <w:rFonts w:ascii="仿宋_GB2312" w:hAnsi="仿宋" w:eastAsia="仿宋_GB2312"/>
          <w:sz w:val="24"/>
        </w:rPr>
      </w:pPr>
      <w:r>
        <w:rPr>
          <w:rFonts w:hint="eastAsia" w:ascii="仿宋_GB2312" w:hAnsi="仿宋" w:eastAsia="仿宋_GB2312"/>
          <w:sz w:val="24"/>
        </w:rPr>
        <w:t>合同签订之日起至202</w:t>
      </w:r>
      <w:r>
        <w:rPr>
          <w:rFonts w:ascii="仿宋_GB2312" w:hAnsi="仿宋" w:eastAsia="仿宋_GB2312"/>
          <w:sz w:val="24"/>
        </w:rPr>
        <w:t>5</w:t>
      </w:r>
      <w:r>
        <w:rPr>
          <w:rFonts w:hint="eastAsia" w:ascii="仿宋_GB2312" w:hAnsi="仿宋" w:eastAsia="仿宋_GB2312"/>
          <w:sz w:val="24"/>
        </w:rPr>
        <w:t>年12月</w:t>
      </w:r>
      <w:r>
        <w:rPr>
          <w:rFonts w:hint="eastAsia" w:ascii="仿宋_GB2312" w:hAnsi="仿宋" w:eastAsia="仿宋_GB2312"/>
          <w:sz w:val="24"/>
          <w:lang w:val="en-US" w:eastAsia="zh-CN"/>
        </w:rPr>
        <w:t>6</w:t>
      </w:r>
      <w:r>
        <w:rPr>
          <w:rFonts w:hint="eastAsia" w:ascii="仿宋_GB2312" w:hAnsi="仿宋" w:eastAsia="仿宋_GB2312"/>
          <w:sz w:val="24"/>
        </w:rPr>
        <w:t>日。</w:t>
      </w:r>
    </w:p>
    <w:p w14:paraId="54CB635B">
      <w:pPr>
        <w:pStyle w:val="2"/>
        <w:spacing w:line="500" w:lineRule="exact"/>
        <w:ind w:firstLine="480"/>
        <w:outlineLvl w:val="1"/>
        <w:rPr>
          <w:rFonts w:ascii="仿宋_GB2312" w:hAnsi="仿宋" w:eastAsia="仿宋_GB2312"/>
          <w:sz w:val="24"/>
        </w:rPr>
      </w:pPr>
      <w:r>
        <w:rPr>
          <w:rFonts w:hint="eastAsia" w:ascii="仿宋_GB2312" w:hAnsi="仿宋" w:eastAsia="仿宋_GB2312"/>
          <w:sz w:val="24"/>
        </w:rPr>
        <w:t>（四）项目的背景：</w:t>
      </w:r>
    </w:p>
    <w:p w14:paraId="0CC8F984">
      <w:pPr>
        <w:pStyle w:val="2"/>
        <w:spacing w:line="500" w:lineRule="exact"/>
        <w:ind w:firstLine="480"/>
        <w:outlineLvl w:val="1"/>
        <w:rPr>
          <w:rFonts w:ascii="仿宋_GB2312" w:hAnsi="仿宋" w:eastAsia="仿宋_GB2312"/>
          <w:sz w:val="24"/>
        </w:rPr>
      </w:pPr>
      <w:r>
        <w:rPr>
          <w:rFonts w:hint="eastAsia" w:ascii="仿宋_GB2312" w:hAnsi="仿宋" w:eastAsia="仿宋_GB2312"/>
          <w:sz w:val="24"/>
        </w:rPr>
        <w:t>采购图书以保障图书馆向读者提供优质的借阅服务。</w:t>
      </w:r>
    </w:p>
    <w:p w14:paraId="1DEF652A">
      <w:pPr>
        <w:pStyle w:val="2"/>
        <w:spacing w:line="500" w:lineRule="exact"/>
        <w:ind w:firstLine="0" w:firstLineChars="0"/>
        <w:outlineLvl w:val="1"/>
        <w:rPr>
          <w:rFonts w:ascii="仿宋_GB2312" w:hAnsi="仿宋" w:eastAsia="仿宋_GB2312"/>
          <w:b/>
          <w:bCs/>
          <w:sz w:val="24"/>
        </w:rPr>
      </w:pPr>
      <w:r>
        <w:rPr>
          <w:rFonts w:hint="eastAsia" w:ascii="仿宋_GB2312" w:hAnsi="仿宋" w:eastAsia="仿宋_GB2312"/>
          <w:b/>
          <w:bCs/>
          <w:sz w:val="24"/>
        </w:rPr>
        <w:t>二、采购和服务要求</w:t>
      </w:r>
    </w:p>
    <w:p w14:paraId="2A7BF737">
      <w:pPr>
        <w:pStyle w:val="2"/>
        <w:spacing w:line="500" w:lineRule="exact"/>
        <w:ind w:firstLine="480"/>
        <w:outlineLvl w:val="1"/>
        <w:rPr>
          <w:rFonts w:ascii="仿宋_GB2312" w:hAnsi="仿宋" w:eastAsia="仿宋_GB2312"/>
          <w:b/>
          <w:bCs/>
          <w:sz w:val="24"/>
        </w:rPr>
      </w:pPr>
      <w:r>
        <w:rPr>
          <w:rFonts w:hint="eastAsia" w:ascii="仿宋_GB2312" w:hAnsi="宋体" w:eastAsia="仿宋_GB2312"/>
          <w:sz w:val="24"/>
        </w:rPr>
        <w:t>1.书目预订部分：供应商通过自有供货渠道组织预订书目，其中少儿绘本类预订书目单列。电子版书目格式按Marc（或iso）格式编排，内容至少应包括书名、著者、出版时间、出版社、单价、ISBN号。定期通过因特网将预订书目传送给采购人。</w:t>
      </w:r>
    </w:p>
    <w:p w14:paraId="57846A43">
      <w:pPr>
        <w:spacing w:line="360" w:lineRule="auto"/>
        <w:ind w:firstLine="480" w:firstLineChars="200"/>
        <w:rPr>
          <w:rFonts w:ascii="仿宋_GB2312" w:hAnsi="宋体" w:eastAsia="仿宋_GB2312"/>
          <w:sz w:val="24"/>
        </w:rPr>
      </w:pPr>
      <w:r>
        <w:rPr>
          <w:rFonts w:hint="eastAsia" w:ascii="仿宋_GB2312" w:hAnsi="宋体" w:eastAsia="仿宋_GB2312"/>
          <w:sz w:val="24"/>
        </w:rPr>
        <w:t>2.现书订购部分：供应商已到货图书通过编制现书目录（电子版书目格式、内容要求和递交办法同上）或提供样书供采购人选购，并有能力保证现货地点的采购，包括全国或地区性书市、国内著名出版社等。</w:t>
      </w:r>
    </w:p>
    <w:p w14:paraId="1489F125">
      <w:pPr>
        <w:spacing w:line="360" w:lineRule="auto"/>
        <w:ind w:firstLine="480" w:firstLineChars="200"/>
        <w:rPr>
          <w:rFonts w:ascii="仿宋_GB2312" w:hAnsi="宋体" w:eastAsia="仿宋_GB2312"/>
          <w:sz w:val="24"/>
        </w:rPr>
      </w:pPr>
      <w:r>
        <w:rPr>
          <w:rFonts w:hint="eastAsia" w:ascii="仿宋_GB2312" w:hAnsi="宋体" w:eastAsia="仿宋_GB2312"/>
          <w:sz w:val="24"/>
        </w:rPr>
        <w:t>3.采购人自选订购部分：采购人依据本年度文献采购规划提供书单给供应商，供应商应有能力及时按采购人书单提供图书。其中自定较窄主题的图书采购需在采购人提出需求3天内到货。</w:t>
      </w:r>
    </w:p>
    <w:p w14:paraId="7C093A59">
      <w:pPr>
        <w:widowControl/>
        <w:tabs>
          <w:tab w:val="left" w:pos="567"/>
        </w:tabs>
        <w:spacing w:line="360" w:lineRule="auto"/>
        <w:ind w:firstLine="480" w:firstLineChars="200"/>
        <w:jc w:val="left"/>
        <w:rPr>
          <w:rFonts w:ascii="仿宋_GB2312" w:hAnsi="宋体" w:eastAsia="仿宋_GB2312"/>
          <w:sz w:val="24"/>
        </w:rPr>
      </w:pPr>
      <w:r>
        <w:rPr>
          <w:rFonts w:hint="eastAsia" w:ascii="仿宋_GB2312" w:hAnsi="宋体" w:eastAsia="仿宋_GB2312"/>
          <w:sz w:val="24"/>
        </w:rPr>
        <w:t>4.对于连续出版、多卷（集）的图书，合同有效期内供应商应负责为采购人提供后续出版的资料。</w:t>
      </w:r>
    </w:p>
    <w:p w14:paraId="640AB4AD">
      <w:pPr>
        <w:spacing w:line="360" w:lineRule="auto"/>
        <w:ind w:firstLine="480" w:firstLineChars="200"/>
        <w:rPr>
          <w:rFonts w:ascii="仿宋_GB2312" w:hAnsi="宋体" w:eastAsia="仿宋_GB2312"/>
          <w:sz w:val="24"/>
        </w:rPr>
      </w:pPr>
      <w:r>
        <w:rPr>
          <w:rFonts w:hint="eastAsia" w:ascii="仿宋_GB2312" w:hAnsi="宋体" w:eastAsia="仿宋_GB2312"/>
          <w:sz w:val="24"/>
        </w:rPr>
        <w:t>5.供应商接收订单及提供图书：采购人选定所需图书汇成订单后，通过因特网传送给供应商，供应商应及时回复确认。供应商严格按采购人订单配送图书，非采购人订购的图书不得配送，一旦发现一律退回（此类情况如果达到1‰种以上者，将取消供货资格）。供应商同时保证不能提供盗版图书，一经发现立即取消供货资格，并承担所有法律责任。</w:t>
      </w:r>
    </w:p>
    <w:p w14:paraId="00504E8F">
      <w:pPr>
        <w:spacing w:line="360" w:lineRule="auto"/>
        <w:ind w:firstLine="480" w:firstLineChars="200"/>
        <w:rPr>
          <w:rFonts w:ascii="仿宋_GB2312" w:hAnsi="宋体" w:eastAsia="仿宋_GB2312"/>
          <w:sz w:val="24"/>
        </w:rPr>
      </w:pPr>
      <w:r>
        <w:rPr>
          <w:rFonts w:hint="eastAsia" w:ascii="仿宋_GB2312" w:hAnsi="宋体" w:eastAsia="仿宋_GB2312"/>
          <w:sz w:val="24"/>
        </w:rPr>
        <w:t>6.供应商为采购人提供的图书中，应剔除内容有色情、暴力、恐怖等不适合采购人读者或装祯形式为小开本、活页等不适合采购人流通管理的图书。</w:t>
      </w:r>
    </w:p>
    <w:p w14:paraId="2FA5072A">
      <w:pPr>
        <w:spacing w:line="360" w:lineRule="auto"/>
        <w:ind w:firstLine="480" w:firstLineChars="200"/>
        <w:rPr>
          <w:rFonts w:ascii="仿宋_GB2312" w:hAnsi="宋体" w:eastAsia="仿宋_GB2312"/>
          <w:sz w:val="24"/>
        </w:rPr>
      </w:pPr>
      <w:r>
        <w:rPr>
          <w:rFonts w:hint="eastAsia" w:ascii="仿宋_GB2312" w:hAnsi="宋体" w:eastAsia="仿宋_GB2312"/>
          <w:sz w:val="24"/>
        </w:rPr>
        <w:t>7.采购人不承担所购图书资料的运管费。对采购人所订图书资料因代理商未及时办理进口报关提货手续所产生的一切费用（滞纳金、保管费等）概由代理商承担。</w:t>
      </w:r>
    </w:p>
    <w:p w14:paraId="19A5723C">
      <w:pPr>
        <w:spacing w:line="360" w:lineRule="auto"/>
        <w:ind w:firstLine="480" w:firstLineChars="200"/>
        <w:rPr>
          <w:rFonts w:ascii="仿宋_GB2312" w:hAnsi="宋体" w:eastAsia="仿宋_GB2312"/>
          <w:sz w:val="24"/>
        </w:rPr>
      </w:pPr>
      <w:r>
        <w:rPr>
          <w:rFonts w:hint="eastAsia" w:ascii="仿宋_GB2312" w:hAnsi="宋体" w:eastAsia="仿宋_GB2312"/>
          <w:sz w:val="24"/>
        </w:rPr>
        <w:t>8.清点验收和付款：供应商送交采购人的图书，每包应附有清单，清单一式两份，清单内容包括包号、征订号、书名、单价、册数及小计。每批图书应有汇总清单，清单内容包括此批图书的种数、册数和总金额，汇总清单上需要盖有与付款发票上相同的财务章。采购人收到图书后及时清点验收，如有错装、倒装、缺页和污损等情况，供应商应无条件予以调换。</w:t>
      </w:r>
    </w:p>
    <w:p w14:paraId="4C03C130">
      <w:pPr>
        <w:adjustRightInd w:val="0"/>
        <w:spacing w:line="360" w:lineRule="auto"/>
        <w:ind w:firstLine="480" w:firstLineChars="200"/>
        <w:rPr>
          <w:rFonts w:ascii="仿宋_GB2312" w:hAnsi="宋体" w:eastAsia="仿宋_GB2312"/>
          <w:sz w:val="24"/>
        </w:rPr>
      </w:pPr>
      <w:r>
        <w:rPr>
          <w:rFonts w:hint="eastAsia" w:ascii="仿宋_GB2312" w:hAnsi="宋体" w:eastAsia="仿宋_GB2312"/>
          <w:sz w:val="24"/>
        </w:rPr>
        <w:t>9.编目数据：供应商所提供的每种图书均应有完整的标准Marc编目数据，如发现有缺少应及时补发（说明Marc编目数据的来源）。</w:t>
      </w:r>
    </w:p>
    <w:p w14:paraId="22B25617">
      <w:pPr>
        <w:adjustRightInd w:val="0"/>
        <w:spacing w:line="360" w:lineRule="auto"/>
        <w:ind w:firstLine="480" w:firstLineChars="200"/>
        <w:rPr>
          <w:rFonts w:ascii="仿宋_GB2312" w:hAnsi="宋体" w:eastAsia="仿宋_GB2312"/>
          <w:sz w:val="24"/>
        </w:rPr>
      </w:pPr>
      <w:r>
        <w:rPr>
          <w:rFonts w:hint="eastAsia" w:ascii="仿宋_GB2312" w:hAnsi="宋体" w:eastAsia="仿宋_GB2312"/>
          <w:sz w:val="24"/>
        </w:rPr>
        <w:t>10.供应商应保证每次采集图书时，新书率占当年新书类别的90%以上。</w:t>
      </w:r>
    </w:p>
    <w:p w14:paraId="67F73E6D">
      <w:pPr>
        <w:spacing w:line="360" w:lineRule="auto"/>
        <w:ind w:firstLine="480" w:firstLineChars="200"/>
        <w:rPr>
          <w:rFonts w:ascii="仿宋_GB2312" w:hAnsi="宋体" w:eastAsia="仿宋_GB2312"/>
          <w:b/>
          <w:bCs/>
          <w:kern w:val="0"/>
          <w:sz w:val="24"/>
        </w:rPr>
      </w:pPr>
      <w:r>
        <w:rPr>
          <w:rFonts w:hint="eastAsia" w:ascii="微软雅黑" w:hAnsi="微软雅黑" w:eastAsia="微软雅黑" w:cs="微软雅黑"/>
          <w:sz w:val="24"/>
        </w:rPr>
        <w:t>▲</w:t>
      </w:r>
      <w:r>
        <w:rPr>
          <w:rFonts w:hint="eastAsia" w:ascii="仿宋_GB2312" w:hAnsi="宋体" w:eastAsia="仿宋_GB2312"/>
          <w:b/>
          <w:bCs/>
          <w:sz w:val="24"/>
        </w:rPr>
        <w:t>11.到馆加工服务：</w:t>
      </w:r>
      <w:r>
        <w:rPr>
          <w:rFonts w:hint="eastAsia" w:ascii="仿宋_GB2312" w:hAnsi="宋体" w:eastAsia="仿宋_GB2312"/>
          <w:b/>
          <w:bCs/>
          <w:kern w:val="0"/>
          <w:sz w:val="24"/>
        </w:rPr>
        <w:t>到馆服务响应时间快,差错率低，出现错误能及时改正;提供常驻专职到馆图书采编入库及售后加工专业人员</w:t>
      </w:r>
      <w:r>
        <w:rPr>
          <w:rFonts w:hint="eastAsia" w:ascii="仿宋_GB2312" w:hAnsi="宋体" w:eastAsia="仿宋_GB2312" w:cs="宋体"/>
          <w:b/>
          <w:bCs/>
          <w:color w:val="000000"/>
          <w:spacing w:val="4"/>
          <w:sz w:val="24"/>
        </w:rPr>
        <w:t>至少各</w:t>
      </w:r>
      <w:r>
        <w:rPr>
          <w:rFonts w:ascii="仿宋_GB2312" w:hAnsi="宋体" w:eastAsia="仿宋_GB2312" w:cs="宋体"/>
          <w:b/>
          <w:bCs/>
          <w:color w:val="000000"/>
          <w:spacing w:val="4"/>
          <w:sz w:val="24"/>
        </w:rPr>
        <w:t>1</w:t>
      </w:r>
      <w:r>
        <w:rPr>
          <w:rFonts w:hint="eastAsia" w:ascii="仿宋_GB2312" w:hAnsi="宋体" w:eastAsia="仿宋_GB2312" w:cs="宋体"/>
          <w:b/>
          <w:bCs/>
          <w:color w:val="000000"/>
          <w:spacing w:val="4"/>
          <w:sz w:val="24"/>
        </w:rPr>
        <w:t>人，不得外包。</w:t>
      </w:r>
      <w:r>
        <w:rPr>
          <w:rFonts w:hint="eastAsia" w:ascii="仿宋_GB2312" w:hAnsi="宋体" w:eastAsia="仿宋_GB2312" w:cs="宋体"/>
          <w:b/>
          <w:bCs/>
          <w:spacing w:val="4"/>
          <w:sz w:val="24"/>
        </w:rPr>
        <w:t>（如不能提供上述</w:t>
      </w:r>
      <w:r>
        <w:rPr>
          <w:rFonts w:hint="eastAsia" w:ascii="仿宋_GB2312" w:hAnsi="宋体" w:eastAsia="仿宋_GB2312"/>
          <w:b/>
          <w:bCs/>
          <w:sz w:val="24"/>
        </w:rPr>
        <w:t>到馆加工服务</w:t>
      </w:r>
      <w:r>
        <w:rPr>
          <w:rFonts w:hint="eastAsia" w:ascii="仿宋_GB2312" w:hAnsi="宋体" w:eastAsia="仿宋_GB2312" w:cs="宋体"/>
          <w:b/>
          <w:bCs/>
          <w:spacing w:val="4"/>
          <w:sz w:val="24"/>
        </w:rPr>
        <w:t>，视为实质性不响应招标文件。）</w:t>
      </w:r>
    </w:p>
    <w:p w14:paraId="5B0E127E">
      <w:pPr>
        <w:spacing w:line="500" w:lineRule="exact"/>
        <w:ind w:firstLine="480" w:firstLineChars="200"/>
        <w:outlineLvl w:val="1"/>
        <w:rPr>
          <w:rFonts w:ascii="仿宋_GB2312" w:hAnsi="宋体" w:eastAsia="仿宋_GB2312"/>
          <w:b w:val="0"/>
          <w:bCs w:val="0"/>
          <w:kern w:val="0"/>
          <w:sz w:val="24"/>
          <w:highlight w:val="none"/>
        </w:rPr>
      </w:pPr>
      <w:r>
        <w:rPr>
          <w:rFonts w:hint="eastAsia" w:ascii="仿宋_GB2312" w:hAnsi="宋体" w:eastAsia="仿宋_GB2312"/>
          <w:b w:val="0"/>
          <w:bCs w:val="0"/>
          <w:sz w:val="24"/>
          <w:highlight w:val="none"/>
        </w:rPr>
        <w:t>12.</w:t>
      </w:r>
      <w:r>
        <w:rPr>
          <w:rFonts w:hint="eastAsia" w:ascii="仿宋_GB2312" w:hAnsi="宋体" w:eastAsia="仿宋_GB2312"/>
          <w:b w:val="0"/>
          <w:bCs w:val="0"/>
          <w:kern w:val="0"/>
          <w:sz w:val="24"/>
          <w:highlight w:val="none"/>
        </w:rPr>
        <w:t>增值服务：</w:t>
      </w:r>
    </w:p>
    <w:p w14:paraId="46D0F93A">
      <w:pPr>
        <w:spacing w:line="500" w:lineRule="exact"/>
        <w:ind w:firstLine="480" w:firstLineChars="200"/>
        <w:outlineLvl w:val="1"/>
        <w:rPr>
          <w:rFonts w:ascii="仿宋_GB2312" w:hAnsi="宋体" w:eastAsia="仿宋_GB2312"/>
          <w:b w:val="0"/>
          <w:bCs w:val="0"/>
          <w:kern w:val="0"/>
          <w:sz w:val="24"/>
          <w:highlight w:val="none"/>
        </w:rPr>
      </w:pPr>
      <w:r>
        <w:rPr>
          <w:rFonts w:hint="eastAsia" w:ascii="仿宋_GB2312" w:hAnsi="宋体" w:eastAsia="仿宋_GB2312"/>
          <w:b w:val="0"/>
          <w:bCs w:val="0"/>
          <w:kern w:val="0"/>
          <w:sz w:val="24"/>
          <w:highlight w:val="none"/>
        </w:rPr>
        <w:t>1</w:t>
      </w:r>
      <w:r>
        <w:rPr>
          <w:rFonts w:ascii="仿宋_GB2312" w:hAnsi="宋体" w:eastAsia="仿宋_GB2312"/>
          <w:b w:val="0"/>
          <w:bCs w:val="0"/>
          <w:kern w:val="0"/>
          <w:sz w:val="24"/>
          <w:highlight w:val="none"/>
        </w:rPr>
        <w:t>2.1</w:t>
      </w:r>
      <w:r>
        <w:rPr>
          <w:rFonts w:hint="eastAsia" w:ascii="仿宋_GB2312" w:hAnsi="宋体" w:eastAsia="仿宋_GB2312"/>
          <w:b w:val="0"/>
          <w:bCs w:val="0"/>
          <w:kern w:val="0"/>
          <w:sz w:val="24"/>
          <w:highlight w:val="none"/>
        </w:rPr>
        <w:t>供应商需每年免费提供不少于10场经采购人认可的全国知名作家或某领域著名学者的特色讲座，其中能提供学校讲座5场以上，能提供公共图书馆内讲座5场以上。</w:t>
      </w:r>
    </w:p>
    <w:p w14:paraId="3E9D88C6">
      <w:pPr>
        <w:spacing w:line="500" w:lineRule="exact"/>
        <w:ind w:firstLine="480" w:firstLineChars="200"/>
        <w:outlineLvl w:val="1"/>
        <w:rPr>
          <w:rFonts w:ascii="仿宋_GB2312" w:hAnsi="宋体" w:eastAsia="仿宋_GB2312"/>
          <w:b w:val="0"/>
          <w:bCs w:val="0"/>
          <w:kern w:val="0"/>
          <w:sz w:val="24"/>
          <w:highlight w:val="none"/>
        </w:rPr>
      </w:pPr>
      <w:r>
        <w:rPr>
          <w:rFonts w:ascii="仿宋_GB2312" w:hAnsi="宋体" w:eastAsia="仿宋_GB2312"/>
          <w:b w:val="0"/>
          <w:bCs w:val="0"/>
          <w:kern w:val="0"/>
          <w:sz w:val="24"/>
          <w:highlight w:val="none"/>
        </w:rPr>
        <w:t>12.2</w:t>
      </w:r>
      <w:r>
        <w:rPr>
          <w:rFonts w:hint="eastAsia" w:ascii="仿宋_GB2312" w:hAnsi="宋体" w:eastAsia="仿宋_GB2312"/>
          <w:b w:val="0"/>
          <w:bCs w:val="0"/>
          <w:kern w:val="0"/>
          <w:sz w:val="24"/>
          <w:highlight w:val="none"/>
        </w:rPr>
        <w:t>供应商需提供网上“悦借”服务，能提供或接入相应网上平台。</w:t>
      </w:r>
    </w:p>
    <w:p w14:paraId="6F90C056">
      <w:pPr>
        <w:spacing w:line="500" w:lineRule="exact"/>
        <w:ind w:firstLine="480" w:firstLineChars="200"/>
        <w:outlineLvl w:val="1"/>
        <w:rPr>
          <w:rFonts w:eastAsia="仿宋_GB2312"/>
          <w:b/>
          <w:bCs/>
        </w:rPr>
      </w:pPr>
      <w:r>
        <w:rPr>
          <w:rFonts w:hint="eastAsia" w:ascii="微软雅黑" w:hAnsi="微软雅黑" w:eastAsia="微软雅黑" w:cs="微软雅黑"/>
          <w:sz w:val="24"/>
        </w:rPr>
        <w:t>▲</w:t>
      </w:r>
      <w:r>
        <w:rPr>
          <w:rFonts w:ascii="仿宋_GB2312" w:hAnsi="宋体" w:eastAsia="仿宋_GB2312"/>
          <w:b/>
          <w:bCs/>
          <w:kern w:val="0"/>
          <w:sz w:val="24"/>
        </w:rPr>
        <w:t>12.3</w:t>
      </w:r>
      <w:r>
        <w:rPr>
          <w:rFonts w:hint="eastAsia" w:ascii="仿宋_GB2312" w:hAnsi="宋体" w:eastAsia="仿宋_GB2312"/>
          <w:b/>
          <w:bCs/>
          <w:kern w:val="0"/>
          <w:sz w:val="24"/>
        </w:rPr>
        <w:t>供应商需提供</w:t>
      </w:r>
      <w:r>
        <w:rPr>
          <w:rFonts w:ascii="仿宋_GB2312" w:hAnsi="宋体" w:eastAsia="仿宋_GB2312"/>
          <w:b/>
          <w:bCs/>
          <w:kern w:val="0"/>
          <w:sz w:val="24"/>
        </w:rPr>
        <w:t>5000册</w:t>
      </w:r>
      <w:r>
        <w:rPr>
          <w:rFonts w:hint="eastAsia" w:ascii="仿宋_GB2312" w:hAnsi="宋体" w:eastAsia="仿宋_GB2312"/>
          <w:b/>
          <w:bCs/>
          <w:kern w:val="0"/>
          <w:sz w:val="24"/>
        </w:rPr>
        <w:t>以上</w:t>
      </w:r>
      <w:r>
        <w:rPr>
          <w:rFonts w:ascii="仿宋_GB2312" w:hAnsi="宋体" w:eastAsia="仿宋_GB2312"/>
          <w:b/>
          <w:bCs/>
          <w:kern w:val="0"/>
          <w:sz w:val="24"/>
        </w:rPr>
        <w:t>图书</w:t>
      </w:r>
      <w:r>
        <w:rPr>
          <w:rFonts w:hint="eastAsia" w:ascii="仿宋_GB2312" w:hAnsi="宋体" w:eastAsia="仿宋_GB2312"/>
          <w:b/>
          <w:bCs/>
          <w:kern w:val="0"/>
          <w:sz w:val="24"/>
        </w:rPr>
        <w:t>的书店</w:t>
      </w:r>
      <w:r>
        <w:rPr>
          <w:rFonts w:ascii="仿宋_GB2312" w:hAnsi="宋体" w:eastAsia="仿宋_GB2312"/>
          <w:b/>
          <w:bCs/>
          <w:kern w:val="0"/>
          <w:sz w:val="24"/>
        </w:rPr>
        <w:t>借书服务：</w:t>
      </w:r>
      <w:r>
        <w:rPr>
          <w:rFonts w:hint="eastAsia" w:ascii="仿宋_GB2312" w:eastAsia="仿宋_GB2312"/>
          <w:b/>
          <w:bCs/>
          <w:sz w:val="24"/>
        </w:rPr>
        <w:t>具备通过采</w:t>
      </w:r>
      <w:r>
        <w:rPr>
          <w:rFonts w:hint="eastAsia" w:ascii="仿宋_GB2312" w:hAnsi="宋体" w:eastAsia="仿宋_GB2312"/>
          <w:b/>
          <w:bCs/>
          <w:sz w:val="24"/>
        </w:rPr>
        <w:t>购方网借一体化平台接口完成书目数据导入的能力，按采购人要求提供最新采访书目，新书到店上架前上传至采购方网借一体化平台“书店借书”模块，每个线下服务点至少配备2套借书服务所需的硬件设备，具体包括:标签读卡设备、读写器(二代身份证、杭州市民卡、RFID读者证)、二维码扫描器、POS打印机、条码扫描枪、借阅电脑等。供应商必须在借书现场对图书做初加工服务，并对还回图书做深加工服务。</w:t>
      </w:r>
      <w:r>
        <w:rPr>
          <w:rFonts w:hint="eastAsia" w:ascii="仿宋_GB2312" w:hAnsi="宋体" w:eastAsia="仿宋_GB2312"/>
          <w:b/>
          <w:bCs/>
          <w:kern w:val="0"/>
          <w:sz w:val="24"/>
        </w:rPr>
        <w:t>提供专职</w:t>
      </w:r>
      <w:r>
        <w:rPr>
          <w:rFonts w:ascii="仿宋_GB2312" w:hAnsi="宋体" w:eastAsia="仿宋_GB2312"/>
          <w:b/>
          <w:bCs/>
          <w:kern w:val="0"/>
          <w:sz w:val="24"/>
        </w:rPr>
        <w:t>人员</w:t>
      </w:r>
      <w:r>
        <w:rPr>
          <w:rFonts w:hint="eastAsia" w:ascii="仿宋_GB2312" w:hAnsi="宋体" w:eastAsia="仿宋_GB2312"/>
          <w:b/>
          <w:bCs/>
          <w:sz w:val="24"/>
        </w:rPr>
        <w:t>至少</w:t>
      </w:r>
      <w:r>
        <w:rPr>
          <w:rFonts w:ascii="仿宋_GB2312" w:hAnsi="宋体" w:eastAsia="仿宋_GB2312"/>
          <w:b/>
          <w:bCs/>
          <w:sz w:val="24"/>
        </w:rPr>
        <w:t>1</w:t>
      </w:r>
      <w:r>
        <w:rPr>
          <w:rFonts w:hint="eastAsia" w:ascii="仿宋_GB2312" w:hAnsi="宋体" w:eastAsia="仿宋_GB2312"/>
          <w:b/>
          <w:bCs/>
          <w:sz w:val="24"/>
        </w:rPr>
        <w:t>人</w:t>
      </w:r>
      <w:r>
        <w:rPr>
          <w:rFonts w:ascii="仿宋_GB2312" w:hAnsi="宋体" w:eastAsia="仿宋_GB2312"/>
          <w:b/>
          <w:bCs/>
          <w:sz w:val="24"/>
        </w:rPr>
        <w:t>常驻</w:t>
      </w:r>
      <w:r>
        <w:rPr>
          <w:rFonts w:hint="eastAsia" w:ascii="仿宋_GB2312" w:hAnsi="宋体" w:eastAsia="仿宋_GB2312"/>
          <w:b/>
          <w:bCs/>
          <w:sz w:val="24"/>
        </w:rPr>
        <w:t>线下</w:t>
      </w:r>
      <w:r>
        <w:rPr>
          <w:rFonts w:hint="eastAsia" w:ascii="仿宋_GB2312" w:hAnsi="宋体" w:eastAsia="仿宋_GB2312"/>
          <w:b/>
          <w:bCs/>
          <w:kern w:val="0"/>
          <w:sz w:val="24"/>
        </w:rPr>
        <w:t>服务点</w:t>
      </w:r>
      <w:r>
        <w:rPr>
          <w:rFonts w:ascii="仿宋_GB2312" w:hAnsi="宋体" w:eastAsia="仿宋_GB2312"/>
          <w:b/>
          <w:bCs/>
          <w:kern w:val="0"/>
          <w:sz w:val="24"/>
        </w:rPr>
        <w:t>（书店</w:t>
      </w:r>
      <w:r>
        <w:rPr>
          <w:rFonts w:hint="eastAsia" w:ascii="仿宋_GB2312" w:hAnsi="宋体" w:eastAsia="仿宋_GB2312"/>
          <w:b/>
          <w:bCs/>
          <w:kern w:val="0"/>
          <w:sz w:val="24"/>
        </w:rPr>
        <w:t>）</w:t>
      </w:r>
      <w:r>
        <w:rPr>
          <w:rFonts w:ascii="仿宋_GB2312" w:hAnsi="宋体" w:eastAsia="仿宋_GB2312"/>
          <w:b/>
          <w:bCs/>
          <w:kern w:val="0"/>
          <w:sz w:val="24"/>
        </w:rPr>
        <w:t>负责</w:t>
      </w:r>
      <w:r>
        <w:rPr>
          <w:rFonts w:hint="eastAsia" w:ascii="仿宋_GB2312" w:hAnsi="宋体" w:eastAsia="仿宋_GB2312"/>
          <w:b/>
          <w:bCs/>
          <w:kern w:val="0"/>
          <w:sz w:val="24"/>
        </w:rPr>
        <w:t>书店借书</w:t>
      </w:r>
      <w:r>
        <w:rPr>
          <w:rFonts w:ascii="仿宋_GB2312" w:hAnsi="宋体" w:eastAsia="仿宋_GB2312"/>
          <w:b/>
          <w:bCs/>
          <w:kern w:val="0"/>
          <w:sz w:val="24"/>
        </w:rPr>
        <w:t>业务</w:t>
      </w:r>
      <w:r>
        <w:rPr>
          <w:rFonts w:hint="eastAsia" w:ascii="仿宋_GB2312" w:hAnsi="宋体" w:eastAsia="仿宋_GB2312" w:cs="宋体"/>
          <w:b/>
          <w:bCs/>
          <w:color w:val="000000"/>
          <w:spacing w:val="4"/>
          <w:sz w:val="24"/>
        </w:rPr>
        <w:t>，不得外包。</w:t>
      </w:r>
      <w:r>
        <w:rPr>
          <w:rFonts w:hint="eastAsia" w:ascii="仿宋_GB2312" w:hAnsi="宋体" w:eastAsia="仿宋_GB2312" w:cs="宋体"/>
          <w:b/>
          <w:bCs/>
          <w:spacing w:val="4"/>
          <w:sz w:val="24"/>
        </w:rPr>
        <w:t>（如不能提供</w:t>
      </w:r>
      <w:r>
        <w:rPr>
          <w:rFonts w:hint="eastAsia" w:ascii="仿宋_GB2312" w:hAnsi="宋体" w:eastAsia="仿宋_GB2312"/>
          <w:b/>
          <w:bCs/>
          <w:kern w:val="0"/>
          <w:sz w:val="24"/>
        </w:rPr>
        <w:t>书店</w:t>
      </w:r>
      <w:r>
        <w:rPr>
          <w:rFonts w:ascii="仿宋_GB2312" w:hAnsi="宋体" w:eastAsia="仿宋_GB2312"/>
          <w:b/>
          <w:bCs/>
          <w:kern w:val="0"/>
          <w:sz w:val="24"/>
        </w:rPr>
        <w:t>借书服务</w:t>
      </w:r>
      <w:r>
        <w:rPr>
          <w:rFonts w:hint="eastAsia" w:ascii="仿宋_GB2312" w:hAnsi="宋体" w:eastAsia="仿宋_GB2312" w:cs="宋体"/>
          <w:b/>
          <w:bCs/>
          <w:spacing w:val="4"/>
          <w:sz w:val="24"/>
        </w:rPr>
        <w:t>，视为实质性不响应招标文件。）</w:t>
      </w:r>
    </w:p>
    <w:p w14:paraId="68A786E9">
      <w:pPr>
        <w:pStyle w:val="2"/>
        <w:spacing w:line="500" w:lineRule="exact"/>
        <w:ind w:firstLine="0" w:firstLineChars="0"/>
        <w:outlineLvl w:val="1"/>
        <w:rPr>
          <w:rFonts w:ascii="仿宋_GB2312" w:hAnsi="仿宋" w:eastAsia="仿宋_GB2312"/>
          <w:b/>
          <w:bCs/>
          <w:sz w:val="24"/>
        </w:rPr>
      </w:pPr>
      <w:r>
        <w:rPr>
          <w:rFonts w:hint="eastAsia" w:ascii="仿宋_GB2312" w:hAnsi="仿宋" w:eastAsia="仿宋_GB2312"/>
          <w:b/>
          <w:bCs/>
          <w:sz w:val="24"/>
        </w:rPr>
        <w:t>三、供应商优惠条件与服务承诺</w:t>
      </w:r>
    </w:p>
    <w:p w14:paraId="4DAA8D48">
      <w:pPr>
        <w:adjustRightInd w:val="0"/>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.到书时间与到书率。</w:t>
      </w:r>
    </w:p>
    <w:p w14:paraId="079586DF">
      <w:pPr>
        <w:spacing w:line="360" w:lineRule="auto"/>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现货采购的到书时</w:t>
      </w:r>
      <w:r>
        <w:rPr>
          <w:rFonts w:hint="eastAsia" w:ascii="仿宋_GB2312" w:hAnsi="宋体" w:eastAsia="仿宋_GB2312"/>
          <w:sz w:val="24"/>
        </w:rPr>
        <w:t>间与到书率：七天内</w:t>
      </w:r>
      <w:r>
        <w:rPr>
          <w:rFonts w:ascii="仿宋_GB2312" w:hAnsi="宋体" w:eastAsia="仿宋_GB2312"/>
          <w:sz w:val="24"/>
        </w:rPr>
        <w:t>100%；现货目录采购的到书时间与到书率：15天内80%，一个月内95%，半年内98%；期货目录采</w:t>
      </w:r>
      <w:r>
        <w:rPr>
          <w:rFonts w:hint="eastAsia" w:ascii="仿宋_GB2312" w:hAnsi="宋体" w:eastAsia="仿宋_GB2312"/>
          <w:sz w:val="24"/>
        </w:rPr>
        <w:t>购的到书时间与到书率：一个月内</w:t>
      </w:r>
      <w:r>
        <w:rPr>
          <w:rFonts w:ascii="仿宋_GB2312" w:hAnsi="宋体" w:eastAsia="仿宋_GB2312"/>
          <w:sz w:val="24"/>
        </w:rPr>
        <w:t>90%，三个月内95%，半年内98%。</w:t>
      </w:r>
    </w:p>
    <w:p w14:paraId="1568D92A">
      <w:pPr>
        <w:spacing w:line="360" w:lineRule="auto"/>
        <w:ind w:firstLine="480" w:firstLineChars="200"/>
        <w:rPr>
          <w:rFonts w:ascii="仿宋_GB2312" w:hAnsi="宋体" w:eastAsia="仿宋_GB2312"/>
          <w:sz w:val="24"/>
        </w:rPr>
      </w:pPr>
      <w:r>
        <w:rPr>
          <w:rFonts w:hint="eastAsia" w:ascii="仿宋_GB2312" w:hAnsi="宋体" w:eastAsia="仿宋_GB2312"/>
          <w:kern w:val="0"/>
          <w:sz w:val="24"/>
        </w:rPr>
        <w:t>供应商每三个月向采购人反馈不能按期供货的图书清单，并注明原因。</w:t>
      </w:r>
    </w:p>
    <w:p w14:paraId="3A92B335">
      <w:pPr>
        <w:tabs>
          <w:tab w:val="left" w:pos="-3256"/>
        </w:tabs>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 供应商提供的征订数据必须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图法（最新版本）和分类主题词表（2版）详尽著录。</w:t>
      </w:r>
    </w:p>
    <w:p w14:paraId="4B3701A0">
      <w:pPr>
        <w:tabs>
          <w:tab w:val="left" w:pos="-3256"/>
        </w:tabs>
        <w:spacing w:line="360" w:lineRule="auto"/>
        <w:ind w:firstLine="480" w:firstLineChars="200"/>
        <w:rPr>
          <w:rFonts w:ascii="仿宋_GB2312" w:hAnsi="宋体" w:eastAsia="仿宋_GB2312"/>
          <w:b/>
          <w:sz w:val="24"/>
        </w:rPr>
      </w:pPr>
      <w:r>
        <w:rPr>
          <w:rFonts w:ascii="仿宋_GB2312" w:hAnsi="宋体" w:eastAsia="仿宋_GB2312"/>
          <w:sz w:val="24"/>
        </w:rPr>
        <w:t>3</w:t>
      </w:r>
      <w:r>
        <w:rPr>
          <w:rFonts w:hint="eastAsia" w:ascii="仿宋_GB2312" w:hAnsi="宋体" w:eastAsia="仿宋_GB2312"/>
          <w:sz w:val="24"/>
        </w:rPr>
        <w:t>. 供应商提供到馆图书的全加工工作，满足图书馆日常采购，内容包括：加贴条码、RFID芯片以及盖章、完整的书目记录、馆藏分配、加贴书标、加贴标识、附件加工、RFID转换。</w:t>
      </w:r>
    </w:p>
    <w:p w14:paraId="3B709077">
      <w:pPr>
        <w:tabs>
          <w:tab w:val="left" w:pos="-3256"/>
        </w:tabs>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．图书运送及验收</w:t>
      </w:r>
    </w:p>
    <w:p w14:paraId="780B9B00">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.1 供应商应对发送的图书进行防湿和防破装卸要求的包装，保证图书安全运输到达招标方指定地点。</w:t>
      </w:r>
    </w:p>
    <w:p w14:paraId="6BB56A4A">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.2供应商负责按招标方要求提供指定地点的免费送书上门服务。随书提供与货物数量、品种、价格相符的该批图书总清单和分包清单。</w:t>
      </w:r>
    </w:p>
    <w:p w14:paraId="755BA26E">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.3 在发送图书之前，供应商应预先用电话通知采购人，以便采购人准备接货。</w:t>
      </w:r>
    </w:p>
    <w:p w14:paraId="2F5579B3">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.4 供应商提供稳定的图书配送体系以减少运输风险、保证运输效率，图书在到达招标方所在地前发生的不可预见的风险均由供应商负责。</w:t>
      </w:r>
    </w:p>
    <w:p w14:paraId="1B8B0A47">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.5 所有图书的品种和复本数量均由采购人决定，供应商不得自行搭配和追加非采购人确认订购的品种或复本。图书品种、复本数量和随书光盘/磁盘/磁带等与订单不符时，无论是否已作前期加工，供应商必须无条件负责退换。</w:t>
      </w:r>
    </w:p>
    <w:p w14:paraId="368AF3F5">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.6供应商必须保证销售正版图书，保证所供应图书的版本与进书来源合法，并对所供应的图书版本、知识产权、进货来源承担相应的法律责任。对盗版图书无论是否已作前期加工，供应商必须无条件负责退货。</w:t>
      </w:r>
    </w:p>
    <w:p w14:paraId="65A719AA">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.7 图书出现装订、印刷质量问题和损坏，供应商必须无条件负责退换。</w:t>
      </w:r>
    </w:p>
    <w:p w14:paraId="757C1C8E">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.8 采购人对供应商供应的图书经检验并认为达到技术质量要求的，给予签收。</w:t>
      </w:r>
    </w:p>
    <w:p w14:paraId="0E4BCD2F">
      <w:pPr>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.9 采购人在图书到达之日起10个工作日内验收完毕。验收过程中，如发现收到的图书与发货清单不符，或有错装、倒装、污损等质量问题，采购人应及时通知供应商，供应商应给予补发、换发，退换费用由供应商承担。</w:t>
      </w:r>
    </w:p>
    <w:p w14:paraId="520337D5">
      <w:pPr>
        <w:spacing w:line="360" w:lineRule="auto"/>
        <w:ind w:firstLine="420" w:firstLineChars="200"/>
        <w:rPr>
          <w:rFonts w:ascii="仿宋_GB2312" w:hAnsi="宋体" w:eastAsia="仿宋_GB2312"/>
          <w:sz w:val="24"/>
        </w:rPr>
      </w:pPr>
      <w:r>
        <w:rPr>
          <w:highlight w:val="none"/>
        </w:rPr>
        <w:t xml:space="preserve">4.10 </w:t>
      </w:r>
      <w:r>
        <w:rPr>
          <w:rFonts w:hint="eastAsia" w:ascii="仿宋_GB2312" w:hAnsi="宋体" w:eastAsia="仿宋_GB2312"/>
          <w:sz w:val="24"/>
          <w:highlight w:val="none"/>
        </w:rPr>
        <w:t>图书加工</w:t>
      </w:r>
      <w:r>
        <w:rPr>
          <w:rFonts w:ascii="仿宋_GB2312" w:hAnsi="宋体" w:eastAsia="仿宋_GB2312"/>
          <w:sz w:val="24"/>
          <w:highlight w:val="none"/>
        </w:rPr>
        <w:t>所需的</w:t>
      </w:r>
      <w:r>
        <w:rPr>
          <w:rFonts w:hint="eastAsia" w:ascii="仿宋_GB2312" w:hAnsi="宋体" w:eastAsia="仿宋_GB2312"/>
          <w:sz w:val="24"/>
          <w:highlight w:val="none"/>
        </w:rPr>
        <w:t>条码、RFID芯片、书标，</w:t>
      </w:r>
      <w:r>
        <w:rPr>
          <w:rFonts w:ascii="仿宋_GB2312" w:hAnsi="宋体" w:eastAsia="仿宋_GB2312"/>
          <w:sz w:val="24"/>
          <w:highlight w:val="none"/>
        </w:rPr>
        <w:t>增值服务所需的场地</w:t>
      </w:r>
      <w:r>
        <w:rPr>
          <w:rFonts w:hint="eastAsia" w:ascii="仿宋_GB2312" w:hAnsi="宋体" w:eastAsia="仿宋_GB2312"/>
          <w:sz w:val="24"/>
          <w:highlight w:val="none"/>
        </w:rPr>
        <w:t>由中标方免费提供。所产生的劳务费用由中标人承担，加工进度和质量须按采购人要求。</w:t>
      </w:r>
    </w:p>
    <w:p w14:paraId="3DE2642C">
      <w:pPr>
        <w:pStyle w:val="2"/>
        <w:spacing w:line="500" w:lineRule="exact"/>
        <w:ind w:firstLine="0" w:firstLineChars="0"/>
        <w:outlineLvl w:val="1"/>
        <w:rPr>
          <w:rFonts w:ascii="仿宋_GB2312" w:hAnsi="仿宋" w:eastAsia="仿宋_GB2312"/>
          <w:b/>
          <w:bCs/>
          <w:sz w:val="24"/>
        </w:rPr>
      </w:pPr>
      <w:r>
        <w:rPr>
          <w:rFonts w:hint="eastAsia" w:ascii="仿宋_GB2312" w:hAnsi="仿宋" w:eastAsia="仿宋_GB2312"/>
          <w:b/>
          <w:bCs/>
          <w:sz w:val="24"/>
        </w:rPr>
        <w:t>四、结算方式</w:t>
      </w:r>
    </w:p>
    <w:p w14:paraId="349045FD">
      <w:pPr>
        <w:spacing w:line="360" w:lineRule="auto"/>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.合同签到202</w:t>
      </w:r>
      <w:r>
        <w:rPr>
          <w:rFonts w:ascii="仿宋_GB2312" w:eastAsia="仿宋_GB2312"/>
          <w:sz w:val="24"/>
        </w:rPr>
        <w:t>5</w:t>
      </w:r>
      <w:r>
        <w:rPr>
          <w:rFonts w:hint="eastAsia" w:ascii="仿宋_GB2312" w:eastAsia="仿宋_GB2312"/>
          <w:sz w:val="24"/>
        </w:rPr>
        <w:t>年12月</w:t>
      </w:r>
      <w:r>
        <w:rPr>
          <w:rFonts w:hint="eastAsia" w:ascii="仿宋_GB2312" w:eastAsia="仿宋_GB2312"/>
          <w:sz w:val="24"/>
          <w:lang w:val="en-US" w:eastAsia="zh-CN"/>
        </w:rPr>
        <w:t>6</w:t>
      </w:r>
      <w:r>
        <w:rPr>
          <w:rFonts w:hint="eastAsia" w:ascii="仿宋_GB2312" w:eastAsia="仿宋_GB2312"/>
          <w:sz w:val="24"/>
        </w:rPr>
        <w:t>日，按供货进度分批次结算。</w:t>
      </w:r>
    </w:p>
    <w:p w14:paraId="61081B6D">
      <w:pPr>
        <w:spacing w:line="360" w:lineRule="auto"/>
        <w:rPr>
          <w:rFonts w:ascii="仿宋_GB2312" w:eastAsia="仿宋_GB2312"/>
          <w:sz w:val="24"/>
        </w:rPr>
      </w:pPr>
      <w:r>
        <w:rPr>
          <w:rFonts w:hint="eastAsia" w:ascii="仿宋_GB2312" w:eastAsia="仿宋_GB2312"/>
          <w:sz w:val="24"/>
        </w:rPr>
        <w:t>2.货物经验收合格后，</w:t>
      </w:r>
      <w:r>
        <w:rPr>
          <w:rFonts w:hint="eastAsia" w:ascii="仿宋_GB2312" w:hAnsi="宋体" w:eastAsia="仿宋_GB2312"/>
          <w:sz w:val="24"/>
        </w:rPr>
        <w:t>供应商</w:t>
      </w:r>
      <w:r>
        <w:rPr>
          <w:rFonts w:hint="eastAsia" w:ascii="仿宋_GB2312" w:eastAsia="仿宋_GB2312"/>
          <w:sz w:val="24"/>
        </w:rPr>
        <w:t>凭到货清单、发票、验收报告办理货款结算手续。采购人在收到供应商提交的相关凭证后支付货款。</w:t>
      </w:r>
    </w:p>
    <w:p w14:paraId="0E6A375B">
      <w:pPr>
        <w:spacing w:line="360" w:lineRule="auto"/>
        <w:rPr>
          <w:rFonts w:ascii="仿宋_GB2312" w:eastAsia="仿宋_GB2312"/>
          <w:sz w:val="24"/>
        </w:rPr>
      </w:pPr>
      <w:r>
        <w:rPr>
          <w:rFonts w:hint="eastAsia" w:ascii="仿宋_GB2312" w:eastAsia="仿宋_GB2312"/>
          <w:sz w:val="24"/>
        </w:rPr>
        <w:t>3.开户行和帐号以本合同约定的为准，如果供应商要求变更，则供应商须提供加盖公章、法人代表签字的证明文件，报经采购人审查同意。除另有规定外，按人民币结算款项。</w:t>
      </w:r>
    </w:p>
    <w:p w14:paraId="3C81E061">
      <w:pPr>
        <w:spacing w:line="360" w:lineRule="auto"/>
        <w:rPr>
          <w:rFonts w:hint="eastAsia" w:ascii="仿宋_GB2312" w:eastAsia="仿宋_GB2312"/>
          <w:sz w:val="24"/>
        </w:rPr>
      </w:pPr>
    </w:p>
    <w:p w14:paraId="10051938">
      <w:pPr>
        <w:spacing w:line="360" w:lineRule="auto"/>
        <w:ind w:firstLine="181" w:firstLineChars="50"/>
        <w:rPr>
          <w:rFonts w:ascii="宋体" w:hAnsi="宋体" w:cs="宋体"/>
          <w:b/>
          <w:color w:val="auto"/>
          <w:sz w:val="36"/>
          <w:szCs w:val="36"/>
          <w:highlight w:val="none"/>
        </w:rPr>
      </w:pP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8" w:name="_Toc184312105"/>
      <w:bookmarkEnd w:id="38"/>
      <w:bookmarkStart w:id="39" w:name="_Toc184313279"/>
      <w:bookmarkEnd w:id="39"/>
      <w:bookmarkStart w:id="40" w:name="_Toc184314443"/>
      <w:bookmarkEnd w:id="40"/>
      <w:bookmarkStart w:id="41" w:name="_Toc184313305"/>
      <w:bookmarkEnd w:id="41"/>
      <w:bookmarkStart w:id="42" w:name="_Toc184310338"/>
      <w:bookmarkEnd w:id="42"/>
      <w:bookmarkStart w:id="43" w:name="_Toc184310321"/>
      <w:bookmarkEnd w:id="43"/>
      <w:bookmarkStart w:id="44" w:name="_Toc184310301"/>
      <w:bookmarkEnd w:id="44"/>
      <w:bookmarkStart w:id="45" w:name="_Toc184308059"/>
      <w:bookmarkEnd w:id="45"/>
      <w:bookmarkStart w:id="46" w:name="_Toc184314447"/>
      <w:bookmarkEnd w:id="46"/>
      <w:bookmarkStart w:id="47" w:name="_Toc184314439"/>
      <w:bookmarkEnd w:id="47"/>
      <w:bookmarkStart w:id="48" w:name="_Toc184310342"/>
      <w:bookmarkEnd w:id="48"/>
      <w:bookmarkStart w:id="49" w:name="_Toc184313266"/>
      <w:bookmarkEnd w:id="49"/>
      <w:bookmarkStart w:id="50" w:name="_Toc184313271"/>
      <w:bookmarkEnd w:id="50"/>
      <w:bookmarkStart w:id="51" w:name="_Toc184310287"/>
      <w:bookmarkEnd w:id="51"/>
      <w:bookmarkStart w:id="52" w:name="_Toc184314470"/>
      <w:bookmarkEnd w:id="52"/>
      <w:bookmarkStart w:id="53" w:name="_Toc184314433"/>
      <w:bookmarkEnd w:id="53"/>
      <w:bookmarkStart w:id="54" w:name="_Toc184308093"/>
      <w:bookmarkEnd w:id="54"/>
      <w:bookmarkStart w:id="55" w:name="_Toc184308083"/>
      <w:bookmarkEnd w:id="55"/>
      <w:bookmarkStart w:id="56" w:name="_Toc184313245"/>
      <w:bookmarkEnd w:id="56"/>
      <w:bookmarkStart w:id="57" w:name="_Toc184312093"/>
      <w:bookmarkEnd w:id="57"/>
      <w:bookmarkStart w:id="58" w:name="_Toc184312107"/>
      <w:bookmarkEnd w:id="58"/>
      <w:bookmarkStart w:id="59" w:name="_Toc184308069"/>
      <w:bookmarkEnd w:id="59"/>
      <w:bookmarkStart w:id="60" w:name="_Toc184310289"/>
      <w:bookmarkEnd w:id="60"/>
      <w:bookmarkStart w:id="61" w:name="_Toc184313287"/>
      <w:bookmarkEnd w:id="61"/>
      <w:bookmarkStart w:id="62" w:name="_Toc184308080"/>
      <w:bookmarkEnd w:id="62"/>
      <w:bookmarkStart w:id="63" w:name="_Toc184313257"/>
      <w:bookmarkEnd w:id="63"/>
      <w:bookmarkStart w:id="64" w:name="_Toc184308053"/>
      <w:bookmarkEnd w:id="64"/>
      <w:bookmarkStart w:id="65" w:name="_Toc184314464"/>
      <w:bookmarkEnd w:id="65"/>
      <w:bookmarkStart w:id="66" w:name="_Toc184308056"/>
      <w:bookmarkEnd w:id="66"/>
      <w:bookmarkStart w:id="67" w:name="_Toc184313299"/>
      <w:bookmarkEnd w:id="67"/>
      <w:bookmarkStart w:id="68" w:name="_Toc184312083"/>
      <w:bookmarkEnd w:id="68"/>
      <w:bookmarkStart w:id="69" w:name="_Toc184313303"/>
      <w:bookmarkEnd w:id="69"/>
      <w:bookmarkStart w:id="70" w:name="_Toc184308084"/>
      <w:bookmarkEnd w:id="70"/>
      <w:bookmarkStart w:id="71" w:name="_Toc184310340"/>
      <w:bookmarkEnd w:id="71"/>
      <w:bookmarkStart w:id="72" w:name="_Toc184308073"/>
      <w:bookmarkEnd w:id="72"/>
      <w:bookmarkStart w:id="73" w:name="_Toc184313302"/>
      <w:bookmarkEnd w:id="73"/>
      <w:bookmarkStart w:id="74" w:name="_Toc184308090"/>
      <w:bookmarkEnd w:id="74"/>
      <w:bookmarkStart w:id="75" w:name="_Toc184308038"/>
      <w:bookmarkEnd w:id="75"/>
      <w:bookmarkStart w:id="76" w:name="_Toc184314444"/>
      <w:bookmarkEnd w:id="76"/>
      <w:bookmarkStart w:id="77" w:name="_Toc184312129"/>
      <w:bookmarkEnd w:id="77"/>
      <w:bookmarkStart w:id="78" w:name="_Toc184310329"/>
      <w:bookmarkEnd w:id="78"/>
      <w:bookmarkStart w:id="79" w:name="_Toc184314419"/>
      <w:bookmarkEnd w:id="79"/>
      <w:bookmarkStart w:id="80" w:name="_Toc184313249"/>
      <w:bookmarkEnd w:id="80"/>
      <w:bookmarkStart w:id="81" w:name="_Toc184313255"/>
      <w:bookmarkEnd w:id="81"/>
      <w:bookmarkStart w:id="82" w:name="_Toc184308042"/>
      <w:bookmarkEnd w:id="82"/>
      <w:bookmarkStart w:id="83" w:name="_Toc184314441"/>
      <w:bookmarkEnd w:id="83"/>
      <w:bookmarkStart w:id="84" w:name="_Toc184314460"/>
      <w:bookmarkEnd w:id="84"/>
      <w:bookmarkStart w:id="85" w:name="_Toc184310322"/>
      <w:bookmarkEnd w:id="85"/>
      <w:bookmarkStart w:id="86" w:name="_Toc184312113"/>
      <w:bookmarkEnd w:id="86"/>
      <w:bookmarkStart w:id="87" w:name="_Toc184312068"/>
      <w:bookmarkEnd w:id="87"/>
      <w:bookmarkStart w:id="88" w:name="_Toc184313238"/>
      <w:bookmarkEnd w:id="88"/>
      <w:bookmarkStart w:id="89" w:name="_Toc184312121"/>
      <w:bookmarkEnd w:id="89"/>
      <w:bookmarkStart w:id="90" w:name="_Toc184312117"/>
      <w:bookmarkEnd w:id="90"/>
      <w:bookmarkStart w:id="91" w:name="_Toc184312084"/>
      <w:bookmarkEnd w:id="91"/>
      <w:bookmarkStart w:id="92" w:name="_Toc184313295"/>
      <w:bookmarkEnd w:id="92"/>
      <w:bookmarkStart w:id="93" w:name="_Toc184312106"/>
      <w:bookmarkEnd w:id="93"/>
      <w:bookmarkStart w:id="94" w:name="_Toc184308044"/>
      <w:bookmarkEnd w:id="94"/>
      <w:bookmarkStart w:id="95" w:name="_Toc184313268"/>
      <w:bookmarkEnd w:id="95"/>
      <w:bookmarkStart w:id="96" w:name="_Toc184308085"/>
      <w:bookmarkEnd w:id="96"/>
      <w:bookmarkStart w:id="97" w:name="_Toc184313272"/>
      <w:bookmarkEnd w:id="97"/>
      <w:bookmarkStart w:id="98" w:name="_Toc184313293"/>
      <w:bookmarkEnd w:id="98"/>
      <w:bookmarkStart w:id="99" w:name="_Toc184313244"/>
      <w:bookmarkEnd w:id="99"/>
      <w:bookmarkStart w:id="100" w:name="_Toc184313277"/>
      <w:bookmarkEnd w:id="100"/>
      <w:bookmarkStart w:id="101" w:name="_Toc184310288"/>
      <w:bookmarkEnd w:id="101"/>
      <w:bookmarkStart w:id="102" w:name="_Toc184312078"/>
      <w:bookmarkEnd w:id="102"/>
      <w:bookmarkStart w:id="103" w:name="_Toc184310320"/>
      <w:bookmarkEnd w:id="103"/>
      <w:bookmarkStart w:id="104" w:name="_Toc184310312"/>
      <w:bookmarkEnd w:id="104"/>
      <w:bookmarkStart w:id="105" w:name="_Toc184314463"/>
      <w:bookmarkEnd w:id="105"/>
      <w:bookmarkStart w:id="106" w:name="_Toc184308102"/>
      <w:bookmarkEnd w:id="106"/>
      <w:bookmarkStart w:id="107" w:name="_Toc184314440"/>
      <w:bookmarkEnd w:id="107"/>
      <w:bookmarkStart w:id="108" w:name="_Toc184310303"/>
      <w:bookmarkEnd w:id="108"/>
      <w:bookmarkStart w:id="109" w:name="_Toc184313280"/>
      <w:bookmarkEnd w:id="109"/>
      <w:bookmarkStart w:id="110" w:name="_Toc184308054"/>
      <w:bookmarkEnd w:id="110"/>
      <w:bookmarkStart w:id="111" w:name="_Toc184314477"/>
      <w:bookmarkEnd w:id="111"/>
      <w:bookmarkStart w:id="112" w:name="_Toc184313282"/>
      <w:bookmarkEnd w:id="112"/>
      <w:bookmarkStart w:id="113" w:name="_Toc184312102"/>
      <w:bookmarkEnd w:id="113"/>
      <w:bookmarkStart w:id="114" w:name="_Toc184313294"/>
      <w:bookmarkEnd w:id="114"/>
      <w:bookmarkStart w:id="115" w:name="_Toc184312120"/>
      <w:bookmarkEnd w:id="115"/>
      <w:bookmarkStart w:id="116" w:name="_Toc184313284"/>
      <w:bookmarkEnd w:id="116"/>
      <w:bookmarkStart w:id="117" w:name="_Toc184308052"/>
      <w:bookmarkEnd w:id="117"/>
      <w:bookmarkStart w:id="118" w:name="_Toc184310294"/>
      <w:bookmarkEnd w:id="118"/>
      <w:bookmarkStart w:id="119" w:name="_Toc184314482"/>
      <w:bookmarkEnd w:id="119"/>
      <w:bookmarkStart w:id="120" w:name="_Toc184310309"/>
      <w:bookmarkEnd w:id="120"/>
      <w:bookmarkStart w:id="121" w:name="_Toc184314456"/>
      <w:bookmarkEnd w:id="121"/>
      <w:bookmarkStart w:id="122" w:name="_Toc184312097"/>
      <w:bookmarkEnd w:id="122"/>
      <w:bookmarkStart w:id="123" w:name="_Toc184313264"/>
      <w:bookmarkEnd w:id="123"/>
      <w:bookmarkStart w:id="124" w:name="_Toc184310334"/>
      <w:bookmarkEnd w:id="124"/>
      <w:bookmarkStart w:id="125" w:name="_Toc184314458"/>
      <w:bookmarkEnd w:id="125"/>
      <w:bookmarkStart w:id="126" w:name="_Toc184308094"/>
      <w:bookmarkEnd w:id="126"/>
      <w:bookmarkStart w:id="127" w:name="_Toc184312086"/>
      <w:bookmarkEnd w:id="127"/>
      <w:bookmarkStart w:id="128" w:name="_Toc184312077"/>
      <w:bookmarkEnd w:id="128"/>
      <w:bookmarkStart w:id="129" w:name="_Toc184310313"/>
      <w:bookmarkEnd w:id="129"/>
      <w:bookmarkStart w:id="130" w:name="_Toc184312067"/>
      <w:bookmarkEnd w:id="130"/>
      <w:bookmarkStart w:id="131" w:name="_Toc184312071"/>
      <w:bookmarkEnd w:id="131"/>
      <w:bookmarkStart w:id="132" w:name="_Toc184314434"/>
      <w:bookmarkEnd w:id="132"/>
      <w:bookmarkStart w:id="133" w:name="_Toc184310274"/>
      <w:bookmarkEnd w:id="133"/>
      <w:bookmarkStart w:id="134" w:name="_Toc184310327"/>
      <w:bookmarkEnd w:id="134"/>
      <w:bookmarkStart w:id="135" w:name="_Toc184308041"/>
      <w:bookmarkEnd w:id="135"/>
      <w:bookmarkStart w:id="136" w:name="_Toc184313310"/>
      <w:bookmarkEnd w:id="136"/>
      <w:bookmarkStart w:id="137" w:name="_Toc184314480"/>
      <w:bookmarkEnd w:id="137"/>
      <w:bookmarkStart w:id="138" w:name="_Toc184312125"/>
      <w:bookmarkEnd w:id="138"/>
      <w:bookmarkStart w:id="139" w:name="_Toc184310284"/>
      <w:bookmarkEnd w:id="139"/>
      <w:bookmarkStart w:id="140" w:name="_Toc184314442"/>
      <w:bookmarkEnd w:id="140"/>
      <w:bookmarkStart w:id="141" w:name="_Toc184312096"/>
      <w:bookmarkEnd w:id="141"/>
      <w:bookmarkStart w:id="142" w:name="_Toc184310310"/>
      <w:bookmarkEnd w:id="142"/>
      <w:bookmarkStart w:id="143" w:name="_Toc184312133"/>
      <w:bookmarkEnd w:id="143"/>
      <w:bookmarkStart w:id="144" w:name="_Toc184312103"/>
      <w:bookmarkEnd w:id="144"/>
      <w:bookmarkStart w:id="145" w:name="_Toc184310317"/>
      <w:bookmarkEnd w:id="145"/>
      <w:bookmarkStart w:id="146" w:name="_Toc184308081"/>
      <w:bookmarkEnd w:id="146"/>
      <w:bookmarkStart w:id="147" w:name="_Toc184313289"/>
      <w:bookmarkEnd w:id="147"/>
      <w:bookmarkStart w:id="148" w:name="_Toc184313269"/>
      <w:bookmarkEnd w:id="148"/>
      <w:bookmarkStart w:id="149" w:name="_Toc184310319"/>
      <w:bookmarkEnd w:id="149"/>
      <w:bookmarkStart w:id="150" w:name="_Toc184313243"/>
      <w:bookmarkEnd w:id="150"/>
      <w:bookmarkStart w:id="151" w:name="_Toc184314472"/>
      <w:bookmarkEnd w:id="151"/>
      <w:bookmarkStart w:id="152" w:name="_Toc184310308"/>
      <w:bookmarkEnd w:id="152"/>
      <w:bookmarkStart w:id="153" w:name="_Toc184308065"/>
      <w:bookmarkEnd w:id="153"/>
      <w:bookmarkStart w:id="154" w:name="_Toc184312137"/>
      <w:bookmarkEnd w:id="154"/>
      <w:bookmarkStart w:id="155" w:name="_Toc184314421"/>
      <w:bookmarkEnd w:id="155"/>
      <w:bookmarkStart w:id="156" w:name="_Toc184308060"/>
      <w:bookmarkEnd w:id="156"/>
      <w:bookmarkStart w:id="157" w:name="_Toc184313309"/>
      <w:bookmarkEnd w:id="157"/>
      <w:bookmarkStart w:id="158" w:name="_Toc184310292"/>
      <w:bookmarkEnd w:id="158"/>
      <w:bookmarkStart w:id="159" w:name="_Toc184312115"/>
      <w:bookmarkEnd w:id="159"/>
      <w:bookmarkStart w:id="160" w:name="_Toc184314475"/>
      <w:bookmarkEnd w:id="160"/>
      <w:bookmarkStart w:id="161" w:name="_Toc184312069"/>
      <w:bookmarkEnd w:id="161"/>
      <w:bookmarkStart w:id="162" w:name="_Toc184313261"/>
      <w:bookmarkEnd w:id="162"/>
      <w:bookmarkStart w:id="163" w:name="_Toc184313241"/>
      <w:bookmarkEnd w:id="163"/>
      <w:bookmarkStart w:id="164" w:name="_Toc184314445"/>
      <w:bookmarkEnd w:id="164"/>
      <w:bookmarkStart w:id="165" w:name="_Toc184308105"/>
      <w:bookmarkEnd w:id="165"/>
      <w:bookmarkStart w:id="166" w:name="_Toc184310278"/>
      <w:bookmarkEnd w:id="166"/>
      <w:bookmarkStart w:id="167" w:name="_Toc184310275"/>
      <w:bookmarkEnd w:id="167"/>
      <w:bookmarkStart w:id="168" w:name="_Toc184314428"/>
      <w:bookmarkEnd w:id="168"/>
      <w:bookmarkStart w:id="169" w:name="_Toc184308079"/>
      <w:bookmarkEnd w:id="169"/>
      <w:bookmarkStart w:id="170" w:name="_Toc184308047"/>
      <w:bookmarkEnd w:id="170"/>
      <w:bookmarkStart w:id="171" w:name="_Toc184313298"/>
      <w:bookmarkEnd w:id="171"/>
      <w:bookmarkStart w:id="172" w:name="_Toc184308078"/>
      <w:bookmarkEnd w:id="172"/>
      <w:bookmarkStart w:id="173" w:name="_Toc184313273"/>
      <w:bookmarkEnd w:id="173"/>
      <w:bookmarkStart w:id="174" w:name="_Toc184310280"/>
      <w:bookmarkEnd w:id="174"/>
      <w:bookmarkStart w:id="175" w:name="_Toc184314465"/>
      <w:bookmarkEnd w:id="175"/>
      <w:bookmarkStart w:id="176" w:name="_Toc184313276"/>
      <w:bookmarkEnd w:id="176"/>
      <w:bookmarkStart w:id="177" w:name="_Toc184308107"/>
      <w:bookmarkEnd w:id="177"/>
      <w:bookmarkStart w:id="178" w:name="_Toc184312128"/>
      <w:bookmarkEnd w:id="178"/>
      <w:bookmarkStart w:id="179" w:name="_Toc184310325"/>
      <w:bookmarkEnd w:id="179"/>
      <w:bookmarkStart w:id="180" w:name="_Toc184314476"/>
      <w:bookmarkEnd w:id="180"/>
      <w:bookmarkStart w:id="181" w:name="_Toc184313254"/>
      <w:bookmarkEnd w:id="181"/>
      <w:bookmarkStart w:id="182" w:name="_Toc184312136"/>
      <w:bookmarkEnd w:id="182"/>
      <w:bookmarkStart w:id="183" w:name="_Toc184310272"/>
      <w:bookmarkEnd w:id="183"/>
      <w:bookmarkStart w:id="184" w:name="_Toc184312116"/>
      <w:bookmarkEnd w:id="184"/>
      <w:bookmarkStart w:id="185" w:name="_Toc184313253"/>
      <w:bookmarkEnd w:id="185"/>
      <w:bookmarkStart w:id="186" w:name="_Toc184312127"/>
      <w:bookmarkEnd w:id="186"/>
      <w:bookmarkStart w:id="187" w:name="_Toc184312076"/>
      <w:bookmarkEnd w:id="187"/>
      <w:bookmarkStart w:id="188" w:name="_Toc184310311"/>
      <w:bookmarkEnd w:id="188"/>
      <w:bookmarkStart w:id="189" w:name="_Toc184310323"/>
      <w:bookmarkEnd w:id="189"/>
      <w:bookmarkStart w:id="190" w:name="_Toc184312110"/>
      <w:bookmarkEnd w:id="190"/>
      <w:bookmarkStart w:id="191" w:name="_Toc184312075"/>
      <w:bookmarkEnd w:id="191"/>
      <w:bookmarkStart w:id="192" w:name="_Toc184310276"/>
      <w:bookmarkEnd w:id="192"/>
      <w:bookmarkStart w:id="193" w:name="_Toc184313262"/>
      <w:bookmarkEnd w:id="193"/>
      <w:bookmarkStart w:id="194" w:name="_Toc184312087"/>
      <w:bookmarkEnd w:id="194"/>
      <w:bookmarkStart w:id="195" w:name="_Toc184314418"/>
      <w:bookmarkEnd w:id="195"/>
      <w:bookmarkStart w:id="196" w:name="_Toc184313258"/>
      <w:bookmarkEnd w:id="196"/>
      <w:bookmarkStart w:id="197" w:name="_Toc184308095"/>
      <w:bookmarkEnd w:id="197"/>
      <w:bookmarkStart w:id="198" w:name="_Toc184312098"/>
      <w:bookmarkEnd w:id="198"/>
      <w:bookmarkStart w:id="199" w:name="_Toc184314452"/>
      <w:bookmarkEnd w:id="199"/>
      <w:bookmarkStart w:id="200" w:name="_Toc184308092"/>
      <w:bookmarkEnd w:id="200"/>
      <w:bookmarkStart w:id="201" w:name="_Toc184310299"/>
      <w:bookmarkEnd w:id="201"/>
      <w:bookmarkStart w:id="202" w:name="_Toc184314478"/>
      <w:bookmarkEnd w:id="202"/>
      <w:bookmarkStart w:id="203" w:name="_Toc184313275"/>
      <w:bookmarkEnd w:id="203"/>
      <w:bookmarkStart w:id="204" w:name="_Toc184312101"/>
      <w:bookmarkEnd w:id="204"/>
      <w:bookmarkStart w:id="205" w:name="_Toc184312108"/>
      <w:bookmarkEnd w:id="205"/>
      <w:bookmarkStart w:id="206" w:name="_Toc184313278"/>
      <w:bookmarkEnd w:id="206"/>
      <w:bookmarkStart w:id="207" w:name="_Toc184310295"/>
      <w:bookmarkEnd w:id="207"/>
      <w:bookmarkStart w:id="208" w:name="_Toc184314424"/>
      <w:bookmarkEnd w:id="208"/>
      <w:bookmarkStart w:id="209" w:name="_Toc184313270"/>
      <w:bookmarkEnd w:id="209"/>
      <w:bookmarkStart w:id="210" w:name="_Toc184314479"/>
      <w:bookmarkEnd w:id="210"/>
      <w:bookmarkStart w:id="211" w:name="_Toc184308070"/>
      <w:bookmarkEnd w:id="211"/>
      <w:bookmarkStart w:id="212" w:name="_Toc184313248"/>
      <w:bookmarkEnd w:id="212"/>
      <w:bookmarkStart w:id="213" w:name="_Toc184312091"/>
      <w:bookmarkEnd w:id="213"/>
      <w:bookmarkStart w:id="214" w:name="_Toc184310337"/>
      <w:bookmarkEnd w:id="214"/>
      <w:bookmarkStart w:id="215" w:name="_Toc184308068"/>
      <w:bookmarkEnd w:id="215"/>
      <w:bookmarkStart w:id="216" w:name="_Toc184314468"/>
      <w:bookmarkEnd w:id="216"/>
      <w:bookmarkStart w:id="217" w:name="_Toc184308103"/>
      <w:bookmarkEnd w:id="217"/>
      <w:bookmarkStart w:id="218" w:name="_Toc184313286"/>
      <w:bookmarkEnd w:id="218"/>
      <w:bookmarkStart w:id="219" w:name="_Toc184313251"/>
      <w:bookmarkEnd w:id="219"/>
      <w:bookmarkStart w:id="220" w:name="_Toc184310324"/>
      <w:bookmarkEnd w:id="220"/>
      <w:bookmarkStart w:id="221" w:name="_Toc184312123"/>
      <w:bookmarkEnd w:id="221"/>
      <w:bookmarkStart w:id="222" w:name="_Toc184310328"/>
      <w:bookmarkEnd w:id="222"/>
      <w:bookmarkStart w:id="223" w:name="_Toc184308075"/>
      <w:bookmarkEnd w:id="223"/>
      <w:bookmarkStart w:id="224" w:name="_Toc184313256"/>
      <w:bookmarkEnd w:id="224"/>
      <w:bookmarkStart w:id="225" w:name="_Toc184314426"/>
      <w:bookmarkEnd w:id="225"/>
      <w:bookmarkStart w:id="226" w:name="_Toc184313288"/>
      <w:bookmarkEnd w:id="226"/>
      <w:bookmarkStart w:id="227" w:name="_Toc184314411"/>
      <w:bookmarkEnd w:id="227"/>
      <w:bookmarkStart w:id="228" w:name="_Toc184313285"/>
      <w:bookmarkEnd w:id="228"/>
      <w:bookmarkStart w:id="229" w:name="_Toc184312092"/>
      <w:bookmarkEnd w:id="229"/>
      <w:bookmarkStart w:id="230" w:name="_Toc184313304"/>
      <w:bookmarkEnd w:id="230"/>
      <w:bookmarkStart w:id="231" w:name="_Toc184312112"/>
      <w:bookmarkEnd w:id="231"/>
      <w:bookmarkStart w:id="232" w:name="_Toc184314410"/>
      <w:bookmarkEnd w:id="232"/>
      <w:bookmarkStart w:id="233" w:name="_Toc184313301"/>
      <w:bookmarkEnd w:id="233"/>
      <w:bookmarkStart w:id="234" w:name="_Toc184313246"/>
      <w:bookmarkEnd w:id="234"/>
      <w:bookmarkStart w:id="235" w:name="_Toc184314454"/>
      <w:bookmarkEnd w:id="235"/>
      <w:bookmarkStart w:id="236" w:name="_Toc184312119"/>
      <w:bookmarkEnd w:id="236"/>
      <w:bookmarkStart w:id="237" w:name="_Toc184313239"/>
      <w:bookmarkEnd w:id="237"/>
      <w:bookmarkStart w:id="238" w:name="_Toc184308046"/>
      <w:bookmarkEnd w:id="238"/>
      <w:bookmarkStart w:id="239" w:name="_Toc184312114"/>
      <w:bookmarkEnd w:id="239"/>
      <w:bookmarkStart w:id="240" w:name="_Toc184310277"/>
      <w:bookmarkEnd w:id="240"/>
      <w:bookmarkStart w:id="241" w:name="_Toc184313296"/>
      <w:bookmarkEnd w:id="241"/>
      <w:bookmarkStart w:id="242" w:name="_Toc184314471"/>
      <w:bookmarkEnd w:id="242"/>
      <w:bookmarkStart w:id="243" w:name="_Toc184312079"/>
      <w:bookmarkEnd w:id="243"/>
      <w:bookmarkStart w:id="244" w:name="_Toc184308071"/>
      <w:bookmarkEnd w:id="244"/>
      <w:bookmarkStart w:id="245" w:name="_Toc184312089"/>
      <w:bookmarkEnd w:id="245"/>
      <w:bookmarkStart w:id="246" w:name="_Toc184308067"/>
      <w:bookmarkEnd w:id="246"/>
      <w:bookmarkStart w:id="247" w:name="_Toc184314446"/>
      <w:bookmarkEnd w:id="247"/>
      <w:bookmarkStart w:id="248" w:name="_Toc184313250"/>
      <w:bookmarkEnd w:id="248"/>
      <w:bookmarkStart w:id="249" w:name="_Toc184314453"/>
      <w:bookmarkEnd w:id="249"/>
      <w:bookmarkStart w:id="250" w:name="_Toc184310290"/>
      <w:bookmarkEnd w:id="250"/>
      <w:bookmarkStart w:id="251" w:name="_Toc184314455"/>
      <w:bookmarkEnd w:id="251"/>
      <w:bookmarkStart w:id="252" w:name="_Toc184308077"/>
      <w:bookmarkEnd w:id="252"/>
      <w:bookmarkStart w:id="253" w:name="_Toc184308104"/>
      <w:bookmarkEnd w:id="253"/>
      <w:bookmarkStart w:id="254" w:name="_Toc184313290"/>
      <w:bookmarkEnd w:id="254"/>
      <w:bookmarkStart w:id="255" w:name="_Toc184308045"/>
      <w:bookmarkEnd w:id="255"/>
      <w:bookmarkStart w:id="256" w:name="_Toc184308072"/>
      <w:bookmarkEnd w:id="256"/>
      <w:bookmarkStart w:id="257" w:name="_Toc184314414"/>
      <w:bookmarkEnd w:id="257"/>
      <w:bookmarkStart w:id="258" w:name="_Toc184310333"/>
      <w:bookmarkEnd w:id="258"/>
      <w:bookmarkStart w:id="259" w:name="_Toc184310344"/>
      <w:bookmarkEnd w:id="259"/>
      <w:bookmarkStart w:id="260" w:name="_Toc184312085"/>
      <w:bookmarkEnd w:id="260"/>
      <w:bookmarkStart w:id="261" w:name="_Toc184312094"/>
      <w:bookmarkEnd w:id="261"/>
      <w:bookmarkStart w:id="262" w:name="_Toc184312124"/>
      <w:bookmarkEnd w:id="262"/>
      <w:bookmarkStart w:id="263" w:name="_Toc184310297"/>
      <w:bookmarkEnd w:id="263"/>
      <w:bookmarkStart w:id="264" w:name="_Toc184308036"/>
      <w:bookmarkEnd w:id="264"/>
      <w:bookmarkStart w:id="265" w:name="_Toc184314450"/>
      <w:bookmarkEnd w:id="265"/>
      <w:bookmarkStart w:id="266" w:name="_Toc184314430"/>
      <w:bookmarkEnd w:id="266"/>
      <w:bookmarkStart w:id="267" w:name="_Toc184314436"/>
      <w:bookmarkEnd w:id="267"/>
      <w:bookmarkStart w:id="268" w:name="_Toc184312118"/>
      <w:bookmarkEnd w:id="268"/>
      <w:bookmarkStart w:id="269" w:name="_Toc184314427"/>
      <w:bookmarkEnd w:id="269"/>
      <w:bookmarkStart w:id="270" w:name="_Toc184314469"/>
      <w:bookmarkEnd w:id="270"/>
      <w:bookmarkStart w:id="271" w:name="_Toc184310300"/>
      <w:bookmarkEnd w:id="271"/>
      <w:bookmarkStart w:id="272" w:name="_Toc184313240"/>
      <w:bookmarkEnd w:id="272"/>
      <w:bookmarkStart w:id="273" w:name="_Toc184312139"/>
      <w:bookmarkEnd w:id="273"/>
      <w:bookmarkStart w:id="274" w:name="_Toc184312070"/>
      <w:bookmarkEnd w:id="274"/>
      <w:bookmarkStart w:id="275" w:name="_Toc184314457"/>
      <w:bookmarkEnd w:id="275"/>
      <w:bookmarkStart w:id="276" w:name="_Toc184308043"/>
      <w:bookmarkEnd w:id="276"/>
      <w:bookmarkStart w:id="277" w:name="_Toc184310273"/>
      <w:bookmarkEnd w:id="277"/>
      <w:bookmarkStart w:id="278" w:name="_Toc184308082"/>
      <w:bookmarkEnd w:id="278"/>
      <w:bookmarkStart w:id="279" w:name="_Toc184313307"/>
      <w:bookmarkEnd w:id="279"/>
      <w:bookmarkStart w:id="280" w:name="_Toc184310281"/>
      <w:bookmarkEnd w:id="280"/>
      <w:bookmarkStart w:id="281" w:name="_Toc184313291"/>
      <w:bookmarkEnd w:id="281"/>
      <w:bookmarkStart w:id="282" w:name="_Toc184313259"/>
      <w:bookmarkEnd w:id="282"/>
      <w:bookmarkStart w:id="283" w:name="_Toc184314437"/>
      <w:bookmarkEnd w:id="283"/>
      <w:bookmarkStart w:id="284" w:name="_Toc184308062"/>
      <w:bookmarkEnd w:id="284"/>
      <w:bookmarkStart w:id="285" w:name="_Toc184312100"/>
      <w:bookmarkEnd w:id="285"/>
      <w:bookmarkStart w:id="286" w:name="_Toc184314438"/>
      <w:bookmarkEnd w:id="286"/>
      <w:bookmarkStart w:id="287" w:name="_Toc184312111"/>
      <w:bookmarkEnd w:id="287"/>
      <w:bookmarkStart w:id="288" w:name="_Toc184312090"/>
      <w:bookmarkEnd w:id="288"/>
      <w:bookmarkStart w:id="289" w:name="_Toc184312130"/>
      <w:bookmarkEnd w:id="289"/>
      <w:bookmarkStart w:id="290" w:name="_Toc184310305"/>
      <w:bookmarkEnd w:id="290"/>
      <w:bookmarkStart w:id="291" w:name="_Toc184310286"/>
      <w:bookmarkEnd w:id="291"/>
      <w:bookmarkStart w:id="292" w:name="_Toc184310285"/>
      <w:bookmarkEnd w:id="292"/>
      <w:bookmarkStart w:id="293" w:name="_Toc184310307"/>
      <w:bookmarkEnd w:id="293"/>
      <w:bookmarkStart w:id="294" w:name="_Toc184312099"/>
      <w:bookmarkEnd w:id="294"/>
      <w:bookmarkStart w:id="295" w:name="_Toc184313283"/>
      <w:bookmarkEnd w:id="295"/>
      <w:bookmarkStart w:id="296" w:name="_Toc184308040"/>
      <w:bookmarkEnd w:id="296"/>
      <w:bookmarkStart w:id="297" w:name="_Toc184314422"/>
      <w:bookmarkEnd w:id="297"/>
      <w:bookmarkStart w:id="298" w:name="_Toc184313265"/>
      <w:bookmarkEnd w:id="298"/>
      <w:bookmarkStart w:id="299" w:name="_Toc184312126"/>
      <w:bookmarkEnd w:id="299"/>
      <w:bookmarkStart w:id="300" w:name="_Toc184314459"/>
      <w:bookmarkEnd w:id="300"/>
      <w:bookmarkStart w:id="301" w:name="_Toc184310302"/>
      <w:bookmarkEnd w:id="301"/>
      <w:bookmarkStart w:id="302" w:name="_Toc184308039"/>
      <w:bookmarkEnd w:id="302"/>
      <w:bookmarkStart w:id="303" w:name="_Toc184308051"/>
      <w:bookmarkEnd w:id="303"/>
      <w:bookmarkStart w:id="304" w:name="_Toc184312088"/>
      <w:bookmarkEnd w:id="304"/>
      <w:bookmarkStart w:id="305" w:name="_Toc184308096"/>
      <w:bookmarkEnd w:id="305"/>
      <w:bookmarkStart w:id="306" w:name="_Toc184314412"/>
      <w:bookmarkEnd w:id="306"/>
      <w:bookmarkStart w:id="307" w:name="_Toc184310304"/>
      <w:bookmarkEnd w:id="307"/>
      <w:bookmarkStart w:id="308" w:name="_Toc184308100"/>
      <w:bookmarkEnd w:id="308"/>
      <w:bookmarkStart w:id="309" w:name="_Toc184314415"/>
      <w:bookmarkEnd w:id="309"/>
      <w:bookmarkStart w:id="310" w:name="_Toc184310339"/>
      <w:bookmarkEnd w:id="310"/>
      <w:bookmarkStart w:id="311" w:name="_Toc184312072"/>
      <w:bookmarkEnd w:id="311"/>
      <w:bookmarkStart w:id="312" w:name="_Toc184310293"/>
      <w:bookmarkEnd w:id="312"/>
      <w:bookmarkStart w:id="313" w:name="_Toc184310343"/>
      <w:bookmarkEnd w:id="313"/>
      <w:bookmarkStart w:id="314" w:name="_Toc184312135"/>
      <w:bookmarkEnd w:id="314"/>
      <w:bookmarkStart w:id="315" w:name="_Toc184308037"/>
      <w:bookmarkEnd w:id="315"/>
      <w:bookmarkStart w:id="316" w:name="_Toc184314462"/>
      <w:bookmarkEnd w:id="316"/>
      <w:bookmarkStart w:id="317" w:name="_Toc184314481"/>
      <w:bookmarkEnd w:id="317"/>
      <w:bookmarkStart w:id="318" w:name="_Toc184308058"/>
      <w:bookmarkEnd w:id="318"/>
      <w:bookmarkStart w:id="319" w:name="_Toc184313242"/>
      <w:bookmarkEnd w:id="319"/>
      <w:bookmarkStart w:id="320" w:name="_Toc184310331"/>
      <w:bookmarkEnd w:id="320"/>
      <w:bookmarkStart w:id="321" w:name="_Toc184310306"/>
      <w:bookmarkEnd w:id="321"/>
      <w:bookmarkStart w:id="322" w:name="_Toc184310330"/>
      <w:bookmarkEnd w:id="322"/>
      <w:bookmarkStart w:id="323" w:name="_Toc184313274"/>
      <w:bookmarkEnd w:id="323"/>
      <w:bookmarkStart w:id="324" w:name="_Toc184312081"/>
      <w:bookmarkEnd w:id="324"/>
      <w:bookmarkStart w:id="325" w:name="_Toc184308048"/>
      <w:bookmarkEnd w:id="325"/>
      <w:bookmarkStart w:id="326" w:name="_Toc184314413"/>
      <w:bookmarkEnd w:id="326"/>
      <w:bookmarkStart w:id="327" w:name="_Toc184308097"/>
      <w:bookmarkEnd w:id="327"/>
      <w:bookmarkStart w:id="328" w:name="_Toc184314473"/>
      <w:bookmarkEnd w:id="328"/>
      <w:bookmarkStart w:id="329" w:name="_Toc184314429"/>
      <w:bookmarkEnd w:id="329"/>
      <w:bookmarkStart w:id="330" w:name="_Toc184314435"/>
      <w:bookmarkEnd w:id="330"/>
      <w:bookmarkStart w:id="331" w:name="_Toc184313252"/>
      <w:bookmarkEnd w:id="331"/>
      <w:bookmarkStart w:id="332" w:name="_Toc184310283"/>
      <w:bookmarkEnd w:id="332"/>
      <w:bookmarkStart w:id="333" w:name="_Toc184308064"/>
      <w:bookmarkEnd w:id="333"/>
      <w:bookmarkStart w:id="334" w:name="_Toc184313267"/>
      <w:bookmarkEnd w:id="334"/>
      <w:bookmarkStart w:id="335" w:name="_Toc184310291"/>
      <w:bookmarkEnd w:id="335"/>
      <w:bookmarkStart w:id="336" w:name="_Toc184312073"/>
      <w:bookmarkEnd w:id="336"/>
      <w:bookmarkStart w:id="337" w:name="_Toc184314474"/>
      <w:bookmarkEnd w:id="337"/>
      <w:bookmarkStart w:id="338" w:name="_Toc184314417"/>
      <w:bookmarkEnd w:id="338"/>
      <w:bookmarkStart w:id="339" w:name="_Toc184310296"/>
      <w:bookmarkEnd w:id="339"/>
      <w:bookmarkStart w:id="340" w:name="_Toc184310332"/>
      <w:bookmarkEnd w:id="340"/>
      <w:bookmarkStart w:id="341" w:name="_Toc184310282"/>
      <w:bookmarkEnd w:id="341"/>
      <w:bookmarkStart w:id="342" w:name="_Toc184308066"/>
      <w:bookmarkEnd w:id="342"/>
      <w:bookmarkStart w:id="343" w:name="_Toc184314466"/>
      <w:bookmarkEnd w:id="343"/>
      <w:bookmarkStart w:id="344" w:name="_Toc184314431"/>
      <w:bookmarkEnd w:id="344"/>
      <w:bookmarkStart w:id="345" w:name="_Toc184308061"/>
      <w:bookmarkEnd w:id="345"/>
      <w:bookmarkStart w:id="346" w:name="_Toc184312138"/>
      <w:bookmarkEnd w:id="346"/>
      <w:bookmarkStart w:id="347" w:name="_Toc184308098"/>
      <w:bookmarkEnd w:id="347"/>
      <w:bookmarkStart w:id="348" w:name="_Toc184313308"/>
      <w:bookmarkEnd w:id="348"/>
      <w:bookmarkStart w:id="349" w:name="_Toc184314448"/>
      <w:bookmarkEnd w:id="349"/>
      <w:bookmarkStart w:id="350" w:name="_Toc184314467"/>
      <w:bookmarkEnd w:id="350"/>
      <w:bookmarkStart w:id="351" w:name="_Toc184308074"/>
      <w:bookmarkEnd w:id="351"/>
      <w:bookmarkStart w:id="352" w:name="_Toc184310316"/>
      <w:bookmarkEnd w:id="352"/>
      <w:bookmarkStart w:id="353" w:name="_Toc184308088"/>
      <w:bookmarkEnd w:id="353"/>
      <w:bookmarkStart w:id="354" w:name="_Toc184312122"/>
      <w:bookmarkEnd w:id="354"/>
      <w:bookmarkStart w:id="355" w:name="_Toc184310279"/>
      <w:bookmarkEnd w:id="355"/>
      <w:bookmarkStart w:id="356" w:name="_Toc184312109"/>
      <w:bookmarkEnd w:id="356"/>
      <w:bookmarkStart w:id="357" w:name="_Toc184312082"/>
      <w:bookmarkEnd w:id="357"/>
      <w:bookmarkStart w:id="358" w:name="_Toc184308076"/>
      <w:bookmarkEnd w:id="358"/>
      <w:bookmarkStart w:id="359" w:name="_Toc184314432"/>
      <w:bookmarkEnd w:id="359"/>
      <w:bookmarkStart w:id="360" w:name="_Toc184310318"/>
      <w:bookmarkEnd w:id="360"/>
      <w:bookmarkStart w:id="361" w:name="_Toc184308063"/>
      <w:bookmarkEnd w:id="361"/>
      <w:bookmarkStart w:id="362" w:name="_Toc184313260"/>
      <w:bookmarkEnd w:id="362"/>
      <w:bookmarkStart w:id="363" w:name="_Toc184314420"/>
      <w:bookmarkEnd w:id="363"/>
      <w:bookmarkStart w:id="364" w:name="_Toc184308108"/>
      <w:bookmarkEnd w:id="364"/>
      <w:bookmarkStart w:id="365" w:name="_Toc184314449"/>
      <w:bookmarkEnd w:id="365"/>
      <w:bookmarkStart w:id="366" w:name="_Toc184313297"/>
      <w:bookmarkEnd w:id="366"/>
      <w:bookmarkStart w:id="367" w:name="_Toc184310335"/>
      <w:bookmarkEnd w:id="367"/>
      <w:bookmarkStart w:id="368" w:name="_Toc184308099"/>
      <w:bookmarkEnd w:id="368"/>
      <w:bookmarkStart w:id="369" w:name="_Toc184314451"/>
      <w:bookmarkEnd w:id="369"/>
      <w:bookmarkStart w:id="370" w:name="_Toc184312095"/>
      <w:bookmarkEnd w:id="370"/>
      <w:bookmarkStart w:id="371" w:name="_Toc184308089"/>
      <w:bookmarkEnd w:id="371"/>
      <w:bookmarkStart w:id="372" w:name="_Toc184308057"/>
      <w:bookmarkEnd w:id="372"/>
      <w:bookmarkStart w:id="373" w:name="_Toc184313247"/>
      <w:bookmarkEnd w:id="373"/>
      <w:bookmarkStart w:id="374" w:name="_Toc184308087"/>
      <w:bookmarkEnd w:id="374"/>
      <w:bookmarkStart w:id="375" w:name="_Toc184314416"/>
      <w:bookmarkEnd w:id="375"/>
      <w:bookmarkStart w:id="376" w:name="_Toc184312080"/>
      <w:bookmarkEnd w:id="376"/>
      <w:bookmarkStart w:id="377" w:name="_Toc184314425"/>
      <w:bookmarkEnd w:id="377"/>
      <w:bookmarkStart w:id="378" w:name="_Toc184313281"/>
      <w:bookmarkEnd w:id="378"/>
      <w:bookmarkStart w:id="379" w:name="_Toc184312074"/>
      <w:bookmarkEnd w:id="379"/>
      <w:bookmarkStart w:id="380" w:name="_Toc184312132"/>
      <w:bookmarkEnd w:id="380"/>
      <w:bookmarkStart w:id="381" w:name="_Toc184308106"/>
      <w:bookmarkEnd w:id="381"/>
      <w:bookmarkStart w:id="382" w:name="_Toc184308086"/>
      <w:bookmarkEnd w:id="382"/>
      <w:bookmarkStart w:id="383" w:name="_Toc184312131"/>
      <w:bookmarkEnd w:id="383"/>
      <w:bookmarkStart w:id="384" w:name="_Toc184308049"/>
      <w:bookmarkEnd w:id="384"/>
      <w:bookmarkStart w:id="385" w:name="_Toc184310298"/>
      <w:bookmarkEnd w:id="385"/>
      <w:bookmarkStart w:id="386" w:name="_Toc184314423"/>
      <w:bookmarkEnd w:id="386"/>
      <w:bookmarkStart w:id="387" w:name="_Toc184310341"/>
      <w:bookmarkEnd w:id="387"/>
      <w:bookmarkStart w:id="388" w:name="_Toc184312134"/>
      <w:bookmarkEnd w:id="388"/>
      <w:bookmarkStart w:id="389" w:name="_Toc184312104"/>
      <w:bookmarkEnd w:id="389"/>
      <w:bookmarkStart w:id="390" w:name="_Toc184308055"/>
      <w:bookmarkEnd w:id="390"/>
      <w:bookmarkStart w:id="391" w:name="_Toc184310314"/>
      <w:bookmarkEnd w:id="391"/>
      <w:bookmarkStart w:id="392" w:name="_Toc184313306"/>
      <w:bookmarkEnd w:id="392"/>
      <w:bookmarkStart w:id="393" w:name="_Toc184313263"/>
      <w:bookmarkEnd w:id="393"/>
      <w:bookmarkStart w:id="394" w:name="_Toc184308091"/>
      <w:bookmarkEnd w:id="394"/>
      <w:bookmarkStart w:id="395" w:name="_Toc184310315"/>
      <w:bookmarkEnd w:id="395"/>
      <w:bookmarkStart w:id="396" w:name="_Toc184308050"/>
      <w:bookmarkEnd w:id="396"/>
      <w:bookmarkStart w:id="397" w:name="_Toc184308101"/>
      <w:bookmarkEnd w:id="397"/>
      <w:bookmarkStart w:id="398" w:name="_Toc184310336"/>
      <w:bookmarkEnd w:id="398"/>
      <w:bookmarkStart w:id="399" w:name="_Toc184314461"/>
      <w:bookmarkEnd w:id="399"/>
      <w:bookmarkStart w:id="400" w:name="_Toc184313300"/>
      <w:bookmarkEnd w:id="400"/>
      <w:bookmarkStart w:id="401" w:name="_Toc184310326"/>
      <w:bookmarkEnd w:id="401"/>
      <w:bookmarkStart w:id="402" w:name="_Toc184313292"/>
      <w:bookmarkEnd w:id="402"/>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209"/>
        <w:gridCol w:w="709"/>
        <w:gridCol w:w="1559"/>
        <w:gridCol w:w="1129"/>
      </w:tblGrid>
      <w:tr w14:paraId="5FC7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6300CA">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序号</w:t>
            </w:r>
          </w:p>
        </w:tc>
        <w:tc>
          <w:tcPr>
            <w:tcW w:w="4209" w:type="dxa"/>
            <w:vAlign w:val="center"/>
          </w:tcPr>
          <w:p w14:paraId="16A04364">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评标标准</w:t>
            </w:r>
          </w:p>
        </w:tc>
        <w:tc>
          <w:tcPr>
            <w:tcW w:w="709" w:type="dxa"/>
            <w:vAlign w:val="center"/>
          </w:tcPr>
          <w:p w14:paraId="6FBCF09C">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权重</w:t>
            </w:r>
          </w:p>
        </w:tc>
        <w:tc>
          <w:tcPr>
            <w:tcW w:w="1559" w:type="dxa"/>
            <w:vAlign w:val="center"/>
          </w:tcPr>
          <w:p w14:paraId="7D1F6A10">
            <w:pPr>
              <w:snapToGrid w:val="0"/>
              <w:spacing w:line="360" w:lineRule="auto"/>
              <w:jc w:val="center"/>
              <w:rPr>
                <w:rFonts w:cs="仿宋_GB2312" w:asciiTheme="minorEastAsia" w:hAnsiTheme="minorEastAsia" w:eastAsiaTheme="minorEastAsia"/>
                <w:bCs/>
                <w:kern w:val="0"/>
                <w:sz w:val="24"/>
                <w:highlight w:val="none"/>
              </w:rPr>
            </w:pPr>
            <w:r>
              <w:rPr>
                <w:rFonts w:hint="eastAsia" w:cs="仿宋_GB2312" w:asciiTheme="minorEastAsia" w:hAnsiTheme="minorEastAsia" w:eastAsiaTheme="minorEastAsia"/>
                <w:bCs/>
                <w:kern w:val="0"/>
                <w:sz w:val="24"/>
                <w:highlight w:val="none"/>
              </w:rPr>
              <w:t>主观分/客观分属性</w:t>
            </w:r>
          </w:p>
        </w:tc>
        <w:tc>
          <w:tcPr>
            <w:tcW w:w="1129" w:type="dxa"/>
          </w:tcPr>
          <w:p w14:paraId="7A8078C5">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bCs/>
                <w:kern w:val="0"/>
                <w:sz w:val="24"/>
                <w:highlight w:val="none"/>
              </w:rPr>
              <w:t>商务技术资料目录*</w:t>
            </w:r>
          </w:p>
        </w:tc>
      </w:tr>
      <w:tr w14:paraId="4625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8F0C43">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p>
        </w:tc>
        <w:tc>
          <w:tcPr>
            <w:tcW w:w="4209" w:type="dxa"/>
          </w:tcPr>
          <w:p w14:paraId="6835933D">
            <w:pPr>
              <w:snapToGrid w:val="0"/>
              <w:spacing w:line="360" w:lineRule="auto"/>
              <w:jc w:val="left"/>
              <w:rPr>
                <w:rFonts w:cs="仿宋_GB2312" w:asciiTheme="minorEastAsia" w:hAnsiTheme="minorEastAsia" w:eastAsiaTheme="minorEastAsia"/>
                <w:kern w:val="0"/>
                <w:sz w:val="24"/>
                <w:highlight w:val="none"/>
              </w:rPr>
            </w:pPr>
            <w:r>
              <w:rPr>
                <w:rFonts w:hint="eastAsia" w:ascii="仿宋" w:hAnsi="仿宋" w:eastAsia="仿宋" w:cs="仿宋"/>
                <w:color w:val="000000"/>
                <w:kern w:val="0"/>
                <w:sz w:val="24"/>
                <w:highlight w:val="none"/>
              </w:rPr>
              <w:t>投标人近三年内具有承担相关案例成功经验，每提供一份有效的合同证明得1分，本项最高3分。（自202</w:t>
            </w:r>
            <w:r>
              <w:rPr>
                <w:rFonts w:ascii="仿宋" w:hAnsi="仿宋" w:eastAsia="仿宋" w:cs="仿宋"/>
                <w:color w:val="000000"/>
                <w:kern w:val="0"/>
                <w:sz w:val="24"/>
                <w:highlight w:val="none"/>
              </w:rPr>
              <w:t>2</w:t>
            </w:r>
            <w:r>
              <w:rPr>
                <w:rFonts w:hint="eastAsia" w:ascii="仿宋" w:hAnsi="仿宋" w:eastAsia="仿宋" w:cs="仿宋"/>
                <w:color w:val="000000"/>
                <w:kern w:val="0"/>
                <w:sz w:val="24"/>
                <w:highlight w:val="none"/>
              </w:rPr>
              <w:t>年</w:t>
            </w:r>
            <w:r>
              <w:rPr>
                <w:rFonts w:ascii="仿宋" w:hAnsi="仿宋" w:eastAsia="仿宋" w:cs="仿宋"/>
                <w:color w:val="000000"/>
                <w:kern w:val="0"/>
                <w:sz w:val="24"/>
                <w:highlight w:val="none"/>
              </w:rPr>
              <w:t>3</w:t>
            </w:r>
            <w:r>
              <w:rPr>
                <w:rFonts w:hint="eastAsia" w:ascii="仿宋" w:hAnsi="仿宋" w:eastAsia="仿宋" w:cs="仿宋"/>
                <w:color w:val="000000"/>
                <w:kern w:val="0"/>
                <w:sz w:val="24"/>
                <w:highlight w:val="none"/>
              </w:rPr>
              <w:t>月1日起至投标文件递交截止时间止，以合同签订时间为准。）</w:t>
            </w:r>
          </w:p>
        </w:tc>
        <w:tc>
          <w:tcPr>
            <w:tcW w:w="709" w:type="dxa"/>
            <w:vAlign w:val="center"/>
          </w:tcPr>
          <w:p w14:paraId="5D543E9D">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3</w:t>
            </w:r>
          </w:p>
        </w:tc>
        <w:tc>
          <w:tcPr>
            <w:tcW w:w="1559" w:type="dxa"/>
            <w:vAlign w:val="center"/>
          </w:tcPr>
          <w:p w14:paraId="43A03EE1">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2FEB655A">
            <w:pPr>
              <w:snapToGrid w:val="0"/>
              <w:spacing w:line="360" w:lineRule="auto"/>
              <w:jc w:val="center"/>
              <w:rPr>
                <w:rFonts w:cs="仿宋_GB2312" w:asciiTheme="minorEastAsia" w:hAnsiTheme="minorEastAsia" w:eastAsiaTheme="minorEastAsia"/>
                <w:kern w:val="0"/>
                <w:sz w:val="24"/>
                <w:highlight w:val="none"/>
              </w:rPr>
            </w:pPr>
          </w:p>
        </w:tc>
      </w:tr>
      <w:tr w14:paraId="288C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65A3A5">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2</w:t>
            </w:r>
          </w:p>
        </w:tc>
        <w:tc>
          <w:tcPr>
            <w:tcW w:w="4209" w:type="dxa"/>
          </w:tcPr>
          <w:p w14:paraId="26C43920">
            <w:pPr>
              <w:snapToGrid w:val="0"/>
              <w:spacing w:line="360" w:lineRule="auto"/>
              <w:jc w:val="left"/>
              <w:rPr>
                <w:rFonts w:cs="仿宋_GB2312" w:asciiTheme="minorEastAsia" w:hAnsiTheme="minorEastAsia" w:eastAsiaTheme="minorEastAsia"/>
                <w:kern w:val="0"/>
                <w:sz w:val="24"/>
                <w:highlight w:val="none"/>
              </w:rPr>
            </w:pPr>
            <w:r>
              <w:rPr>
                <w:rFonts w:hint="eastAsia" w:ascii="仿宋" w:hAnsi="仿宋" w:eastAsia="仿宋" w:cs="仿宋"/>
                <w:color w:val="000000"/>
                <w:kern w:val="0"/>
                <w:sz w:val="24"/>
                <w:highlight w:val="none"/>
              </w:rPr>
              <w:t>投标人应具有较强的货源组织能力，不少于100家的合作出版商，且必须包含各类国家级出版社和大学出版社。有供书保障的各类出版社数量：100-199家为1分，200-299家3分，300家及以上5分。（需提供有合作关系的出版社名单，并提供有效的合作供货授权书/合同/协议等一项供货凭证材料扫描件，</w:t>
            </w:r>
            <w:r>
              <w:rPr>
                <w:rFonts w:hint="eastAsia" w:ascii="仿宋" w:hAnsi="仿宋" w:eastAsia="仿宋" w:cs="宋体"/>
                <w:kern w:val="0"/>
                <w:sz w:val="24"/>
                <w:highlight w:val="none"/>
              </w:rPr>
              <w:t>不提供不得分。）</w:t>
            </w:r>
          </w:p>
        </w:tc>
        <w:tc>
          <w:tcPr>
            <w:tcW w:w="709" w:type="dxa"/>
            <w:vAlign w:val="center"/>
          </w:tcPr>
          <w:p w14:paraId="3536FC78">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5</w:t>
            </w:r>
          </w:p>
        </w:tc>
        <w:tc>
          <w:tcPr>
            <w:tcW w:w="1559" w:type="dxa"/>
            <w:vAlign w:val="center"/>
          </w:tcPr>
          <w:p w14:paraId="10325F73">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597CA093">
            <w:pPr>
              <w:snapToGrid w:val="0"/>
              <w:spacing w:line="360" w:lineRule="auto"/>
              <w:jc w:val="center"/>
              <w:rPr>
                <w:rFonts w:cs="仿宋_GB2312" w:asciiTheme="minorEastAsia" w:hAnsiTheme="minorEastAsia" w:eastAsiaTheme="minorEastAsia"/>
                <w:kern w:val="0"/>
                <w:sz w:val="24"/>
                <w:highlight w:val="none"/>
              </w:rPr>
            </w:pPr>
          </w:p>
        </w:tc>
      </w:tr>
      <w:tr w14:paraId="25DB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9A53CA">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3</w:t>
            </w:r>
          </w:p>
        </w:tc>
        <w:tc>
          <w:tcPr>
            <w:tcW w:w="4209" w:type="dxa"/>
          </w:tcPr>
          <w:p w14:paraId="58055153">
            <w:pPr>
              <w:snapToGrid w:val="0"/>
              <w:spacing w:line="360" w:lineRule="auto"/>
              <w:jc w:val="left"/>
              <w:rPr>
                <w:rFonts w:eastAsia="仿宋" w:cs="仿宋_GB2312" w:asciiTheme="minorEastAsia" w:hAnsiTheme="minorEastAsia"/>
                <w:kern w:val="0"/>
                <w:sz w:val="24"/>
                <w:highlight w:val="none"/>
              </w:rPr>
            </w:pPr>
            <w:r>
              <w:rPr>
                <w:rFonts w:hint="eastAsia" w:ascii="仿宋" w:hAnsi="仿宋" w:eastAsia="仿宋" w:cs="仿宋"/>
                <w:color w:val="000000"/>
                <w:kern w:val="0"/>
                <w:sz w:val="24"/>
                <w:highlight w:val="none"/>
              </w:rPr>
              <w:t>承诺提供正式出版物并且无破损，附件齐全得2分。（提供承诺函，格式自拟。）</w:t>
            </w:r>
          </w:p>
        </w:tc>
        <w:tc>
          <w:tcPr>
            <w:tcW w:w="709" w:type="dxa"/>
            <w:vAlign w:val="center"/>
          </w:tcPr>
          <w:p w14:paraId="4D5566A7">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2</w:t>
            </w:r>
          </w:p>
        </w:tc>
        <w:tc>
          <w:tcPr>
            <w:tcW w:w="1559" w:type="dxa"/>
            <w:vAlign w:val="center"/>
          </w:tcPr>
          <w:p w14:paraId="7AD5FAD2">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2F53EB07">
            <w:pPr>
              <w:snapToGrid w:val="0"/>
              <w:spacing w:line="360" w:lineRule="auto"/>
              <w:jc w:val="center"/>
              <w:rPr>
                <w:rFonts w:cs="仿宋_GB2312" w:asciiTheme="minorEastAsia" w:hAnsiTheme="minorEastAsia" w:eastAsiaTheme="minorEastAsia"/>
                <w:kern w:val="0"/>
                <w:sz w:val="24"/>
                <w:highlight w:val="none"/>
              </w:rPr>
            </w:pPr>
          </w:p>
        </w:tc>
      </w:tr>
      <w:tr w14:paraId="2C9E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D89B79">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4</w:t>
            </w:r>
          </w:p>
        </w:tc>
        <w:tc>
          <w:tcPr>
            <w:tcW w:w="4209" w:type="dxa"/>
            <w:vAlign w:val="center"/>
          </w:tcPr>
          <w:p w14:paraId="74AEEE2C">
            <w:pPr>
              <w:snapToGrid w:val="0"/>
              <w:spacing w:line="360" w:lineRule="auto"/>
              <w:jc w:val="left"/>
              <w:rPr>
                <w:rFonts w:cs="仿宋_GB2312" w:asciiTheme="minorEastAsia" w:hAnsiTheme="minorEastAsia" w:eastAsiaTheme="minorEastAsia"/>
                <w:kern w:val="0"/>
                <w:sz w:val="24"/>
                <w:highlight w:val="none"/>
              </w:rPr>
            </w:pPr>
            <w:r>
              <w:rPr>
                <w:rFonts w:hint="eastAsia" w:ascii="仿宋" w:hAnsi="仿宋" w:eastAsia="仿宋" w:cs="仿宋"/>
                <w:color w:val="000000"/>
                <w:kern w:val="0"/>
                <w:sz w:val="24"/>
                <w:highlight w:val="none"/>
              </w:rPr>
              <w:t>承诺全年书目提供5万种(不含)以上，得3分；4-5万种，得2分；4万种（不含）以下，得1分。（提供承诺函，格式自拟。）</w:t>
            </w:r>
          </w:p>
        </w:tc>
        <w:tc>
          <w:tcPr>
            <w:tcW w:w="709" w:type="dxa"/>
            <w:vAlign w:val="center"/>
          </w:tcPr>
          <w:p w14:paraId="4DF61332">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3</w:t>
            </w:r>
          </w:p>
        </w:tc>
        <w:tc>
          <w:tcPr>
            <w:tcW w:w="1559" w:type="dxa"/>
            <w:vAlign w:val="center"/>
          </w:tcPr>
          <w:p w14:paraId="22CD9855">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19EC73F0">
            <w:pPr>
              <w:snapToGrid w:val="0"/>
              <w:spacing w:line="360" w:lineRule="auto"/>
              <w:jc w:val="center"/>
              <w:rPr>
                <w:rFonts w:cs="仿宋_GB2312" w:asciiTheme="minorEastAsia" w:hAnsiTheme="minorEastAsia" w:eastAsiaTheme="minorEastAsia"/>
                <w:kern w:val="0"/>
                <w:sz w:val="24"/>
                <w:highlight w:val="none"/>
              </w:rPr>
            </w:pPr>
          </w:p>
        </w:tc>
      </w:tr>
      <w:tr w14:paraId="6D91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E399CB">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5</w:t>
            </w:r>
          </w:p>
        </w:tc>
        <w:tc>
          <w:tcPr>
            <w:tcW w:w="4209" w:type="dxa"/>
          </w:tcPr>
          <w:p w14:paraId="68699EF4">
            <w:pPr>
              <w:snapToGrid w:val="0"/>
              <w:spacing w:line="360" w:lineRule="auto"/>
              <w:jc w:val="left"/>
              <w:rPr>
                <w:rFonts w:cs="仿宋_GB2312" w:asciiTheme="minorEastAsia" w:hAnsiTheme="minorEastAsia" w:eastAsiaTheme="minorEastAsia"/>
                <w:kern w:val="0"/>
                <w:sz w:val="24"/>
                <w:highlight w:val="none"/>
              </w:rPr>
            </w:pPr>
            <w:r>
              <w:rPr>
                <w:rFonts w:hint="eastAsia" w:ascii="仿宋" w:hAnsi="仿宋" w:eastAsia="仿宋" w:cs="仿宋"/>
                <w:kern w:val="0"/>
                <w:sz w:val="24"/>
                <w:highlight w:val="none"/>
              </w:rPr>
              <w:t>有一定规模的现采场所，能较好地组织图书馆图书的现采活动，提供“点菜式”服务及图书馆外加工、存储服务。合计超过1000平方的得5分，1000平方以内的得3分，没有的得0分。（以投标文件提供的证明材料为准，需提供主体为投标方的房屋租赁</w:t>
            </w:r>
            <w:r>
              <w:rPr>
                <w:rFonts w:ascii="仿宋" w:hAnsi="仿宋" w:eastAsia="仿宋" w:cs="仿宋"/>
                <w:kern w:val="0"/>
                <w:sz w:val="24"/>
                <w:highlight w:val="none"/>
              </w:rPr>
              <w:t>合同</w:t>
            </w:r>
            <w:r>
              <w:rPr>
                <w:rFonts w:hint="eastAsia" w:ascii="仿宋" w:hAnsi="仿宋" w:eastAsia="仿宋" w:cs="仿宋"/>
                <w:kern w:val="0"/>
                <w:sz w:val="24"/>
                <w:highlight w:val="none"/>
              </w:rPr>
              <w:t>或房产证，以及现场图片。房屋租赁</w:t>
            </w:r>
            <w:r>
              <w:rPr>
                <w:rFonts w:ascii="仿宋" w:hAnsi="仿宋" w:eastAsia="仿宋" w:cs="仿宋"/>
                <w:kern w:val="0"/>
                <w:sz w:val="24"/>
                <w:highlight w:val="none"/>
              </w:rPr>
              <w:t>合同</w:t>
            </w:r>
            <w:r>
              <w:rPr>
                <w:rFonts w:hint="eastAsia" w:ascii="仿宋" w:hAnsi="仿宋" w:eastAsia="仿宋" w:cs="仿宋"/>
                <w:kern w:val="0"/>
                <w:sz w:val="24"/>
                <w:highlight w:val="none"/>
              </w:rPr>
              <w:t>有效期须在</w:t>
            </w:r>
            <w:r>
              <w:rPr>
                <w:rFonts w:ascii="仿宋" w:hAnsi="仿宋" w:eastAsia="仿宋" w:cs="仿宋"/>
                <w:kern w:val="0"/>
                <w:sz w:val="24"/>
                <w:highlight w:val="none"/>
              </w:rPr>
              <w:t>项目供货期</w:t>
            </w:r>
            <w:r>
              <w:rPr>
                <w:rFonts w:hint="eastAsia" w:ascii="仿宋" w:hAnsi="仿宋" w:eastAsia="仿宋" w:cs="仿宋"/>
                <w:kern w:val="0"/>
                <w:sz w:val="24"/>
                <w:highlight w:val="none"/>
              </w:rPr>
              <w:t>内，复印件需加盖公章。）</w:t>
            </w:r>
          </w:p>
        </w:tc>
        <w:tc>
          <w:tcPr>
            <w:tcW w:w="709" w:type="dxa"/>
            <w:vAlign w:val="center"/>
          </w:tcPr>
          <w:p w14:paraId="653EFC20">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5</w:t>
            </w:r>
          </w:p>
        </w:tc>
        <w:tc>
          <w:tcPr>
            <w:tcW w:w="1559" w:type="dxa"/>
            <w:vAlign w:val="center"/>
          </w:tcPr>
          <w:p w14:paraId="02BCBBA3">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6836A824">
            <w:pPr>
              <w:snapToGrid w:val="0"/>
              <w:spacing w:line="360" w:lineRule="auto"/>
              <w:jc w:val="center"/>
              <w:rPr>
                <w:rFonts w:cs="仿宋_GB2312" w:asciiTheme="minorEastAsia" w:hAnsiTheme="minorEastAsia" w:eastAsiaTheme="minorEastAsia"/>
                <w:kern w:val="0"/>
                <w:sz w:val="24"/>
                <w:highlight w:val="none"/>
              </w:rPr>
            </w:pPr>
          </w:p>
        </w:tc>
      </w:tr>
      <w:tr w14:paraId="26F8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7FDDCE">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6</w:t>
            </w:r>
          </w:p>
        </w:tc>
        <w:tc>
          <w:tcPr>
            <w:tcW w:w="4209" w:type="dxa"/>
          </w:tcPr>
          <w:p w14:paraId="2BB4ABBA">
            <w:pPr>
              <w:snapToGrid w:val="0"/>
              <w:spacing w:line="360" w:lineRule="auto"/>
              <w:jc w:val="left"/>
              <w:rPr>
                <w:rFonts w:cs="仿宋_GB2312" w:asciiTheme="minorEastAsia" w:hAnsiTheme="minorEastAsia" w:eastAsiaTheme="minorEastAsia"/>
                <w:kern w:val="0"/>
                <w:sz w:val="24"/>
                <w:highlight w:val="none"/>
              </w:rPr>
            </w:pPr>
            <w:r>
              <w:rPr>
                <w:rFonts w:hint="eastAsia" w:ascii="仿宋" w:hAnsi="仿宋" w:eastAsia="仿宋" w:cs="仿宋"/>
                <w:kern w:val="0"/>
                <w:sz w:val="24"/>
                <w:highlight w:val="none"/>
              </w:rPr>
              <w:t>承诺编目数据的质量符合招标要求的程度得</w:t>
            </w:r>
            <w:r>
              <w:rPr>
                <w:rFonts w:ascii="仿宋" w:hAnsi="仿宋" w:eastAsia="仿宋" w:cs="仿宋"/>
                <w:kern w:val="0"/>
                <w:sz w:val="24"/>
                <w:highlight w:val="none"/>
              </w:rPr>
              <w:t>1</w:t>
            </w:r>
            <w:r>
              <w:rPr>
                <w:rFonts w:hint="eastAsia" w:ascii="仿宋" w:hAnsi="仿宋" w:eastAsia="仿宋" w:cs="仿宋"/>
                <w:kern w:val="0"/>
                <w:sz w:val="24"/>
                <w:highlight w:val="none"/>
              </w:rPr>
              <w:t>分；与到馆图书匹配程度（不漏发、错发）得1分；提供联合编目案例得1分，最高得2分。（根据投标文件提供的服务承诺保证措施的明确性及可行性打分。）</w:t>
            </w:r>
          </w:p>
        </w:tc>
        <w:tc>
          <w:tcPr>
            <w:tcW w:w="709" w:type="dxa"/>
            <w:vAlign w:val="center"/>
          </w:tcPr>
          <w:p w14:paraId="1F8AA4A6">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4</w:t>
            </w:r>
          </w:p>
        </w:tc>
        <w:tc>
          <w:tcPr>
            <w:tcW w:w="1559" w:type="dxa"/>
            <w:vAlign w:val="center"/>
          </w:tcPr>
          <w:p w14:paraId="3770B3F2">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en-US" w:eastAsia="zh-CN"/>
              </w:rPr>
              <w:t>主观</w:t>
            </w:r>
            <w:r>
              <w:rPr>
                <w:rFonts w:hint="eastAsia" w:cs="仿宋_GB2312" w:asciiTheme="minorEastAsia" w:hAnsiTheme="minorEastAsia" w:eastAsiaTheme="minorEastAsia"/>
                <w:kern w:val="0"/>
                <w:sz w:val="24"/>
                <w:highlight w:val="none"/>
              </w:rPr>
              <w:t>分</w:t>
            </w:r>
          </w:p>
        </w:tc>
        <w:tc>
          <w:tcPr>
            <w:tcW w:w="1129" w:type="dxa"/>
          </w:tcPr>
          <w:p w14:paraId="3C857D69">
            <w:pPr>
              <w:snapToGrid w:val="0"/>
              <w:spacing w:line="360" w:lineRule="auto"/>
              <w:jc w:val="center"/>
              <w:rPr>
                <w:rFonts w:cs="仿宋_GB2312" w:asciiTheme="minorEastAsia" w:hAnsiTheme="minorEastAsia" w:eastAsiaTheme="minorEastAsia"/>
                <w:kern w:val="0"/>
                <w:sz w:val="24"/>
                <w:highlight w:val="none"/>
              </w:rPr>
            </w:pPr>
          </w:p>
        </w:tc>
      </w:tr>
      <w:tr w14:paraId="3562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8B898F">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7</w:t>
            </w:r>
          </w:p>
        </w:tc>
        <w:tc>
          <w:tcPr>
            <w:tcW w:w="4209" w:type="dxa"/>
          </w:tcPr>
          <w:p w14:paraId="3D55B1B6">
            <w:pPr>
              <w:snapToGrid w:val="0"/>
              <w:spacing w:line="360" w:lineRule="auto"/>
              <w:jc w:val="left"/>
              <w:rPr>
                <w:rFonts w:cs="仿宋_GB2312" w:asciiTheme="minorEastAsia" w:hAnsiTheme="minorEastAsia" w:eastAsiaTheme="minorEastAsia"/>
                <w:kern w:val="0"/>
                <w:sz w:val="24"/>
                <w:highlight w:val="none"/>
              </w:rPr>
            </w:pPr>
            <w:r>
              <w:rPr>
                <w:rFonts w:hint="eastAsia" w:ascii="仿宋" w:hAnsi="仿宋" w:eastAsia="仿宋" w:cs="仿宋"/>
                <w:kern w:val="0"/>
                <w:sz w:val="24"/>
                <w:highlight w:val="none"/>
              </w:rPr>
              <w:t>图书配送快速准确高效；提供自有配送车辆或者租赁车辆一辆、配备专业驾驶员一人的得1.5分，提供自有配送车辆或者租赁车辆两辆、配备专业驾驶员两人的得3分。（需提供车辆购买发票或长期租赁合同，以及驾驶员劳动合同和近</w:t>
            </w:r>
            <w:r>
              <w:rPr>
                <w:rFonts w:ascii="仿宋" w:hAnsi="仿宋" w:eastAsia="仿宋" w:cs="仿宋"/>
                <w:kern w:val="0"/>
                <w:sz w:val="24"/>
                <w:highlight w:val="none"/>
              </w:rPr>
              <w:t>六个月的</w:t>
            </w:r>
            <w:r>
              <w:rPr>
                <w:rFonts w:hint="eastAsia" w:ascii="仿宋" w:hAnsi="仿宋" w:eastAsia="仿宋" w:cs="仿宋"/>
                <w:kern w:val="0"/>
                <w:sz w:val="24"/>
                <w:highlight w:val="none"/>
              </w:rPr>
              <w:t>社保缴纳证明，未提供的不得分。)</w:t>
            </w:r>
          </w:p>
        </w:tc>
        <w:tc>
          <w:tcPr>
            <w:tcW w:w="709" w:type="dxa"/>
            <w:vAlign w:val="center"/>
          </w:tcPr>
          <w:p w14:paraId="1A24D035">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3</w:t>
            </w:r>
          </w:p>
        </w:tc>
        <w:tc>
          <w:tcPr>
            <w:tcW w:w="1559" w:type="dxa"/>
            <w:vAlign w:val="center"/>
          </w:tcPr>
          <w:p w14:paraId="0FA8FB27">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2D3BDA9F">
            <w:pPr>
              <w:snapToGrid w:val="0"/>
              <w:spacing w:line="360" w:lineRule="auto"/>
              <w:jc w:val="center"/>
              <w:rPr>
                <w:rFonts w:cs="仿宋_GB2312" w:asciiTheme="minorEastAsia" w:hAnsiTheme="minorEastAsia" w:eastAsiaTheme="minorEastAsia"/>
                <w:kern w:val="0"/>
                <w:sz w:val="24"/>
                <w:highlight w:val="none"/>
              </w:rPr>
            </w:pPr>
          </w:p>
        </w:tc>
      </w:tr>
      <w:tr w14:paraId="746E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CC7A35">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8</w:t>
            </w:r>
          </w:p>
        </w:tc>
        <w:tc>
          <w:tcPr>
            <w:tcW w:w="4209" w:type="dxa"/>
          </w:tcPr>
          <w:p w14:paraId="0B9BC0F3">
            <w:pPr>
              <w:snapToGrid w:val="0"/>
              <w:spacing w:line="360" w:lineRule="auto"/>
              <w:jc w:val="left"/>
              <w:rPr>
                <w:rFonts w:cs="仿宋_GB2312" w:asciiTheme="minorEastAsia" w:hAnsiTheme="minorEastAsia" w:eastAsiaTheme="minorEastAsia"/>
                <w:kern w:val="0"/>
                <w:sz w:val="24"/>
                <w:highlight w:val="none"/>
              </w:rPr>
            </w:pPr>
            <w:r>
              <w:rPr>
                <w:rFonts w:ascii="仿宋" w:hAnsi="仿宋" w:eastAsia="仿宋" w:cs="仿宋"/>
                <w:color w:val="000000"/>
                <w:kern w:val="0"/>
                <w:sz w:val="24"/>
                <w:highlight w:val="none"/>
              </w:rPr>
              <w:t>1</w:t>
            </w:r>
            <w:r>
              <w:rPr>
                <w:rFonts w:hint="eastAsia" w:ascii="仿宋" w:hAnsi="仿宋" w:eastAsia="仿宋" w:cs="仿宋"/>
                <w:color w:val="000000"/>
                <w:kern w:val="0"/>
                <w:sz w:val="24"/>
                <w:highlight w:val="none"/>
              </w:rPr>
              <w:t>、承诺现货采购的到书时间与到书率：七天内100%得</w:t>
            </w:r>
            <w:r>
              <w:rPr>
                <w:rFonts w:ascii="仿宋" w:hAnsi="仿宋" w:eastAsia="仿宋" w:cs="仿宋"/>
                <w:color w:val="000000"/>
                <w:kern w:val="0"/>
                <w:sz w:val="24"/>
                <w:highlight w:val="none"/>
              </w:rPr>
              <w:t>1</w:t>
            </w:r>
            <w:r>
              <w:rPr>
                <w:rFonts w:hint="eastAsia" w:ascii="仿宋" w:hAnsi="仿宋" w:eastAsia="仿宋" w:cs="仿宋"/>
                <w:color w:val="000000"/>
                <w:kern w:val="0"/>
                <w:sz w:val="24"/>
                <w:highlight w:val="none"/>
              </w:rPr>
              <w:t>分；2、承诺现货目录采购的到书时间与到书率：15天内80%，一个月内95%，半年内98%得2分；3、承诺期货目录采购的到书时间与到书率：一个月内90%，三个月内95%，半年内98%得1分。本项最高得</w:t>
            </w:r>
            <w:r>
              <w:rPr>
                <w:rFonts w:ascii="仿宋" w:hAnsi="仿宋" w:eastAsia="仿宋" w:cs="仿宋"/>
                <w:color w:val="000000"/>
                <w:kern w:val="0"/>
                <w:sz w:val="24"/>
                <w:highlight w:val="none"/>
              </w:rPr>
              <w:t>4</w:t>
            </w:r>
            <w:r>
              <w:rPr>
                <w:rFonts w:hint="eastAsia" w:ascii="仿宋" w:hAnsi="仿宋" w:eastAsia="仿宋" w:cs="仿宋"/>
                <w:color w:val="000000"/>
                <w:kern w:val="0"/>
                <w:sz w:val="24"/>
                <w:highlight w:val="none"/>
              </w:rPr>
              <w:t>分。（提供承诺函，格式自拟。）</w:t>
            </w:r>
          </w:p>
        </w:tc>
        <w:tc>
          <w:tcPr>
            <w:tcW w:w="709" w:type="dxa"/>
            <w:vAlign w:val="center"/>
          </w:tcPr>
          <w:p w14:paraId="07C17144">
            <w:pPr>
              <w:snapToGrid w:val="0"/>
              <w:spacing w:line="360" w:lineRule="auto"/>
              <w:jc w:val="center"/>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4</w:t>
            </w:r>
          </w:p>
        </w:tc>
        <w:tc>
          <w:tcPr>
            <w:tcW w:w="1559" w:type="dxa"/>
            <w:vAlign w:val="center"/>
          </w:tcPr>
          <w:p w14:paraId="3C455A14">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526E238B">
            <w:pPr>
              <w:snapToGrid w:val="0"/>
              <w:spacing w:line="360" w:lineRule="auto"/>
              <w:jc w:val="center"/>
              <w:rPr>
                <w:rFonts w:cs="仿宋_GB2312" w:asciiTheme="minorEastAsia" w:hAnsiTheme="minorEastAsia" w:eastAsiaTheme="minorEastAsia"/>
                <w:kern w:val="0"/>
                <w:sz w:val="24"/>
                <w:highlight w:val="none"/>
              </w:rPr>
            </w:pPr>
          </w:p>
        </w:tc>
      </w:tr>
      <w:tr w14:paraId="3E50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3905E0">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w:t>
            </w:r>
          </w:p>
        </w:tc>
        <w:tc>
          <w:tcPr>
            <w:tcW w:w="4209" w:type="dxa"/>
            <w:shd w:val="clear" w:color="auto" w:fill="auto"/>
            <w:vAlign w:val="center"/>
          </w:tcPr>
          <w:p w14:paraId="3C465497">
            <w:pPr>
              <w:widowControl/>
              <w:snapToGrid w:val="0"/>
              <w:spacing w:line="440" w:lineRule="exact"/>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承诺具备对图书馆自备清单的采购能力得1分，措施明确得1分。承诺具备自定较窄主题采购的快速响应能力，满足要求在2-3个工作日内给与回复得1分，措施明确得1分。（根据投标文件提供的服务承诺保证措施的明确性及可行性打分。）</w:t>
            </w:r>
          </w:p>
        </w:tc>
        <w:tc>
          <w:tcPr>
            <w:tcW w:w="709" w:type="dxa"/>
            <w:shd w:val="clear" w:color="auto" w:fill="auto"/>
            <w:vAlign w:val="center"/>
          </w:tcPr>
          <w:p w14:paraId="5BE55F23">
            <w:pPr>
              <w:pStyle w:val="2"/>
              <w:spacing w:line="440" w:lineRule="exact"/>
              <w:ind w:firstLine="0"/>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559" w:type="dxa"/>
            <w:vAlign w:val="center"/>
          </w:tcPr>
          <w:p w14:paraId="34E72513">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18DB6397">
            <w:pPr>
              <w:snapToGrid w:val="0"/>
              <w:spacing w:line="360" w:lineRule="auto"/>
              <w:jc w:val="center"/>
              <w:rPr>
                <w:rFonts w:cs="仿宋_GB2312" w:asciiTheme="minorEastAsia" w:hAnsiTheme="minorEastAsia" w:eastAsiaTheme="minorEastAsia"/>
                <w:kern w:val="0"/>
                <w:sz w:val="24"/>
                <w:highlight w:val="none"/>
              </w:rPr>
            </w:pPr>
          </w:p>
        </w:tc>
      </w:tr>
      <w:tr w14:paraId="6418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3D24DD">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p>
        </w:tc>
        <w:tc>
          <w:tcPr>
            <w:tcW w:w="4209" w:type="dxa"/>
          </w:tcPr>
          <w:p w14:paraId="6DDB6CA9">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提供项目组织实施方案：方案完整性、科学性、合理性、规范性、可操作性好的得5分，较好的得4分，一般的得3分，较差的得2分，差的得1分，不提供的得0分。</w:t>
            </w:r>
          </w:p>
        </w:tc>
        <w:tc>
          <w:tcPr>
            <w:tcW w:w="709" w:type="dxa"/>
            <w:vAlign w:val="center"/>
          </w:tcPr>
          <w:p w14:paraId="30244C59">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5</w:t>
            </w:r>
          </w:p>
        </w:tc>
        <w:tc>
          <w:tcPr>
            <w:tcW w:w="1559" w:type="dxa"/>
            <w:vAlign w:val="center"/>
          </w:tcPr>
          <w:p w14:paraId="7D727EC7">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主观分</w:t>
            </w:r>
          </w:p>
        </w:tc>
        <w:tc>
          <w:tcPr>
            <w:tcW w:w="1129" w:type="dxa"/>
          </w:tcPr>
          <w:p w14:paraId="759509F3">
            <w:pPr>
              <w:snapToGrid w:val="0"/>
              <w:spacing w:line="360" w:lineRule="auto"/>
              <w:jc w:val="center"/>
              <w:rPr>
                <w:rFonts w:cs="仿宋_GB2312" w:asciiTheme="minorEastAsia" w:hAnsiTheme="minorEastAsia" w:eastAsiaTheme="minorEastAsia"/>
                <w:kern w:val="0"/>
                <w:sz w:val="24"/>
                <w:highlight w:val="none"/>
              </w:rPr>
            </w:pPr>
          </w:p>
        </w:tc>
      </w:tr>
      <w:tr w14:paraId="50C1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4130AE8">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11</w:t>
            </w:r>
          </w:p>
        </w:tc>
        <w:tc>
          <w:tcPr>
            <w:tcW w:w="4209" w:type="dxa"/>
          </w:tcPr>
          <w:p w14:paraId="141CB5C9">
            <w:pPr>
              <w:rPr>
                <w:rFonts w:ascii="仿宋" w:hAnsi="仿宋" w:eastAsia="仿宋" w:cs="仿宋"/>
                <w:color w:val="000000"/>
                <w:kern w:val="0"/>
                <w:sz w:val="24"/>
                <w:highlight w:val="none"/>
              </w:rPr>
            </w:pPr>
            <w:r>
              <w:rPr>
                <w:rFonts w:hint="eastAsia" w:ascii="仿宋" w:hAnsi="仿宋" w:eastAsia="仿宋" w:cs="仿宋"/>
                <w:color w:val="000000"/>
                <w:sz w:val="24"/>
                <w:highlight w:val="none"/>
              </w:rPr>
              <w:t>提供项目进度控制计划（工作时间进度表），工作程序完整、时间进度合理、管理和协调方法切实</w:t>
            </w:r>
            <w:r>
              <w:rPr>
                <w:rFonts w:ascii="仿宋" w:hAnsi="仿宋" w:eastAsia="仿宋" w:cs="仿宋"/>
                <w:color w:val="000000"/>
                <w:sz w:val="24"/>
                <w:highlight w:val="none"/>
              </w:rPr>
              <w:t>可行</w:t>
            </w:r>
            <w:r>
              <w:rPr>
                <w:rFonts w:hint="eastAsia" w:ascii="仿宋" w:hAnsi="仿宋" w:eastAsia="仿宋" w:cs="仿宋"/>
                <w:color w:val="000000"/>
                <w:sz w:val="24"/>
                <w:highlight w:val="none"/>
              </w:rPr>
              <w:t>、</w:t>
            </w:r>
            <w:r>
              <w:rPr>
                <w:rFonts w:ascii="仿宋" w:hAnsi="仿宋" w:eastAsia="仿宋" w:cs="仿宋"/>
                <w:color w:val="000000"/>
                <w:sz w:val="24"/>
                <w:highlight w:val="none"/>
              </w:rPr>
              <w:t>关键步骤</w:t>
            </w:r>
            <w:r>
              <w:rPr>
                <w:rFonts w:hint="eastAsia" w:ascii="仿宋" w:hAnsi="仿宋" w:eastAsia="仿宋" w:cs="仿宋"/>
                <w:color w:val="000000"/>
                <w:sz w:val="24"/>
                <w:highlight w:val="none"/>
              </w:rPr>
              <w:t>思路</w:t>
            </w:r>
            <w:r>
              <w:rPr>
                <w:rFonts w:ascii="仿宋" w:hAnsi="仿宋" w:eastAsia="仿宋" w:cs="仿宋"/>
                <w:color w:val="000000"/>
                <w:sz w:val="24"/>
                <w:highlight w:val="none"/>
              </w:rPr>
              <w:t>和</w:t>
            </w:r>
            <w:r>
              <w:rPr>
                <w:rFonts w:hint="eastAsia" w:ascii="仿宋" w:hAnsi="仿宋" w:eastAsia="仿宋" w:cs="仿宋"/>
                <w:color w:val="000000"/>
                <w:sz w:val="24"/>
                <w:highlight w:val="none"/>
              </w:rPr>
              <w:t>要点明确</w:t>
            </w:r>
            <w:r>
              <w:rPr>
                <w:rFonts w:ascii="仿宋" w:hAnsi="仿宋" w:eastAsia="仿宋" w:cs="仿宋"/>
                <w:color w:val="000000"/>
                <w:sz w:val="24"/>
                <w:highlight w:val="none"/>
              </w:rPr>
              <w:t>且符合</w:t>
            </w:r>
            <w:r>
              <w:rPr>
                <w:rFonts w:hint="eastAsia" w:ascii="仿宋" w:hAnsi="仿宋" w:eastAsia="仿宋" w:cs="仿宋"/>
                <w:color w:val="000000"/>
                <w:sz w:val="24"/>
                <w:highlight w:val="none"/>
              </w:rPr>
              <w:t>采购需求</w:t>
            </w:r>
            <w:r>
              <w:rPr>
                <w:rFonts w:ascii="仿宋" w:hAnsi="仿宋" w:eastAsia="仿宋" w:cs="仿宋"/>
                <w:color w:val="000000"/>
                <w:sz w:val="24"/>
                <w:highlight w:val="none"/>
              </w:rPr>
              <w:t>的得5分，</w:t>
            </w:r>
            <w:r>
              <w:rPr>
                <w:rFonts w:hint="eastAsia" w:ascii="仿宋" w:hAnsi="仿宋" w:eastAsia="仿宋" w:cs="仿宋"/>
                <w:color w:val="000000"/>
                <w:sz w:val="24"/>
                <w:highlight w:val="none"/>
              </w:rPr>
              <w:t>较好</w:t>
            </w:r>
            <w:r>
              <w:rPr>
                <w:rFonts w:ascii="仿宋" w:hAnsi="仿宋" w:eastAsia="仿宋" w:cs="仿宋"/>
                <w:color w:val="000000"/>
                <w:sz w:val="24"/>
                <w:highlight w:val="none"/>
              </w:rPr>
              <w:t>的得</w:t>
            </w:r>
            <w:r>
              <w:rPr>
                <w:rFonts w:hint="eastAsia" w:ascii="仿宋" w:hAnsi="仿宋" w:eastAsia="仿宋" w:cs="仿宋"/>
                <w:color w:val="000000"/>
                <w:sz w:val="24"/>
                <w:highlight w:val="none"/>
              </w:rPr>
              <w:t>4</w:t>
            </w:r>
            <w:r>
              <w:rPr>
                <w:rFonts w:ascii="仿宋" w:hAnsi="仿宋" w:eastAsia="仿宋" w:cs="仿宋"/>
                <w:color w:val="000000"/>
                <w:sz w:val="24"/>
                <w:highlight w:val="none"/>
              </w:rPr>
              <w:t>分，</w:t>
            </w:r>
            <w:r>
              <w:rPr>
                <w:rFonts w:hint="eastAsia" w:ascii="仿宋" w:hAnsi="仿宋" w:eastAsia="仿宋" w:cs="仿宋"/>
                <w:color w:val="000000"/>
                <w:sz w:val="24"/>
                <w:highlight w:val="none"/>
              </w:rPr>
              <w:t>一般</w:t>
            </w:r>
            <w:r>
              <w:rPr>
                <w:rFonts w:ascii="仿宋" w:hAnsi="仿宋" w:eastAsia="仿宋" w:cs="仿宋"/>
                <w:color w:val="000000"/>
                <w:sz w:val="24"/>
                <w:highlight w:val="none"/>
              </w:rPr>
              <w:t>的得3分，</w:t>
            </w:r>
            <w:r>
              <w:rPr>
                <w:rFonts w:hint="eastAsia" w:ascii="仿宋" w:hAnsi="仿宋" w:eastAsia="仿宋" w:cs="仿宋"/>
                <w:color w:val="000000"/>
                <w:sz w:val="24"/>
                <w:highlight w:val="none"/>
              </w:rPr>
              <w:t>较差</w:t>
            </w:r>
            <w:r>
              <w:rPr>
                <w:rFonts w:ascii="仿宋" w:hAnsi="仿宋" w:eastAsia="仿宋" w:cs="仿宋"/>
                <w:color w:val="000000"/>
                <w:sz w:val="24"/>
                <w:highlight w:val="none"/>
              </w:rPr>
              <w:t>的得2分，差的得1分，不提供的得0分。</w:t>
            </w:r>
          </w:p>
        </w:tc>
        <w:tc>
          <w:tcPr>
            <w:tcW w:w="709" w:type="dxa"/>
            <w:vAlign w:val="center"/>
          </w:tcPr>
          <w:p w14:paraId="575FED80">
            <w:pPr>
              <w:snapToGrid w:val="0"/>
              <w:spacing w:line="360" w:lineRule="auto"/>
              <w:jc w:val="center"/>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5</w:t>
            </w:r>
          </w:p>
        </w:tc>
        <w:tc>
          <w:tcPr>
            <w:tcW w:w="1559" w:type="dxa"/>
            <w:vAlign w:val="center"/>
          </w:tcPr>
          <w:p w14:paraId="0722F445">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主观分</w:t>
            </w:r>
          </w:p>
        </w:tc>
        <w:tc>
          <w:tcPr>
            <w:tcW w:w="1129" w:type="dxa"/>
          </w:tcPr>
          <w:p w14:paraId="71F3C09F">
            <w:pPr>
              <w:snapToGrid w:val="0"/>
              <w:spacing w:line="360" w:lineRule="auto"/>
              <w:jc w:val="center"/>
              <w:rPr>
                <w:rFonts w:cs="仿宋_GB2312" w:asciiTheme="minorEastAsia" w:hAnsiTheme="minorEastAsia" w:eastAsiaTheme="minorEastAsia"/>
                <w:kern w:val="0"/>
                <w:sz w:val="24"/>
                <w:highlight w:val="none"/>
              </w:rPr>
            </w:pPr>
          </w:p>
        </w:tc>
      </w:tr>
      <w:tr w14:paraId="27C2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41CF31">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p>
        </w:tc>
        <w:tc>
          <w:tcPr>
            <w:tcW w:w="4209" w:type="dxa"/>
          </w:tcPr>
          <w:p w14:paraId="2C6767EF">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负责人专业素质、技术能力、经验等情况：有全国图书馆联合编目中心上传资格证书的得1分，提供相关经验证明材料每份得1分最高得2分，本项最高得3分。必须是该单位正式员工，需提供劳动合同和近六个月的社保缴纳证明。（以投标文件提供的证明文件及社保缴纳证明为准，不提供不得分。）</w:t>
            </w:r>
          </w:p>
        </w:tc>
        <w:tc>
          <w:tcPr>
            <w:tcW w:w="709" w:type="dxa"/>
            <w:vAlign w:val="center"/>
          </w:tcPr>
          <w:p w14:paraId="57D6FE21">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3</w:t>
            </w:r>
          </w:p>
        </w:tc>
        <w:tc>
          <w:tcPr>
            <w:tcW w:w="1559" w:type="dxa"/>
            <w:vAlign w:val="center"/>
          </w:tcPr>
          <w:p w14:paraId="108B544D">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199940C0">
            <w:pPr>
              <w:snapToGrid w:val="0"/>
              <w:spacing w:line="360" w:lineRule="auto"/>
              <w:jc w:val="center"/>
              <w:rPr>
                <w:rFonts w:cs="仿宋_GB2312" w:asciiTheme="minorEastAsia" w:hAnsiTheme="minorEastAsia" w:eastAsiaTheme="minorEastAsia"/>
                <w:kern w:val="0"/>
                <w:sz w:val="24"/>
                <w:highlight w:val="none"/>
              </w:rPr>
            </w:pPr>
          </w:p>
        </w:tc>
      </w:tr>
      <w:tr w14:paraId="7538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202251">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p>
        </w:tc>
        <w:tc>
          <w:tcPr>
            <w:tcW w:w="4209" w:type="dxa"/>
          </w:tcPr>
          <w:p w14:paraId="6FD6C315">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团队人员具备专业素质与技术能力：拟派本项目团队人员每有一位具备相关专业职称的得0.5，最多2分；拟派本项目团队人员每一位有全国图书馆联合编目中心上传资格证书的得1分，最多得3分。必须是该单位正式员工，需提供劳动合同和近六个月的社保缴纳证明。（以投标文件提供的证明文件及社保缴纳证明为准，不提供不得分。）</w:t>
            </w:r>
          </w:p>
        </w:tc>
        <w:tc>
          <w:tcPr>
            <w:tcW w:w="709" w:type="dxa"/>
            <w:vAlign w:val="center"/>
          </w:tcPr>
          <w:p w14:paraId="62128367">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5</w:t>
            </w:r>
          </w:p>
        </w:tc>
        <w:tc>
          <w:tcPr>
            <w:tcW w:w="1559" w:type="dxa"/>
            <w:vAlign w:val="center"/>
          </w:tcPr>
          <w:p w14:paraId="3DA03067">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3B9506F9">
            <w:pPr>
              <w:snapToGrid w:val="0"/>
              <w:spacing w:line="360" w:lineRule="auto"/>
              <w:jc w:val="center"/>
              <w:rPr>
                <w:rFonts w:cs="仿宋_GB2312" w:asciiTheme="minorEastAsia" w:hAnsiTheme="minorEastAsia" w:eastAsiaTheme="minorEastAsia"/>
                <w:kern w:val="0"/>
                <w:sz w:val="24"/>
                <w:highlight w:val="none"/>
              </w:rPr>
            </w:pPr>
          </w:p>
        </w:tc>
      </w:tr>
      <w:tr w14:paraId="7E11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F16057">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p>
        </w:tc>
        <w:tc>
          <w:tcPr>
            <w:tcW w:w="4209" w:type="dxa"/>
          </w:tcPr>
          <w:p w14:paraId="583C360B">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投标人承诺较好地开展网上“悦借”并提供相应方案的得1分。团队人员每有一位能提供相关经验材料的得0.5，最多1分。（以上人员必须是该单位正式员工，需提供劳动合同和近六个月的社保缴纳证明。）</w:t>
            </w:r>
          </w:p>
        </w:tc>
        <w:tc>
          <w:tcPr>
            <w:tcW w:w="709" w:type="dxa"/>
            <w:vAlign w:val="center"/>
          </w:tcPr>
          <w:p w14:paraId="3CA77D76">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2</w:t>
            </w:r>
          </w:p>
        </w:tc>
        <w:tc>
          <w:tcPr>
            <w:tcW w:w="1559" w:type="dxa"/>
            <w:vAlign w:val="center"/>
          </w:tcPr>
          <w:p w14:paraId="1BC990E3">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3F0450EF">
            <w:pPr>
              <w:snapToGrid w:val="0"/>
              <w:spacing w:line="360" w:lineRule="auto"/>
              <w:jc w:val="center"/>
              <w:rPr>
                <w:rFonts w:cs="仿宋_GB2312" w:asciiTheme="minorEastAsia" w:hAnsiTheme="minorEastAsia" w:eastAsiaTheme="minorEastAsia"/>
                <w:kern w:val="0"/>
                <w:sz w:val="24"/>
                <w:highlight w:val="none"/>
              </w:rPr>
            </w:pPr>
          </w:p>
        </w:tc>
      </w:tr>
      <w:tr w14:paraId="08C3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672967">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15</w:t>
            </w:r>
          </w:p>
        </w:tc>
        <w:tc>
          <w:tcPr>
            <w:tcW w:w="4209" w:type="dxa"/>
          </w:tcPr>
          <w:p w14:paraId="54220159">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每有一个服务点（门店）提供书店借书服务的得1分，最高得3分。（需配备人员和所需硬件设备，不配备不得分。）团队人员能提供书店借书相关经验材料的得1分。具备接口对接能力，能通过采购方网借一体化平台接口完成书目数据的导入，并承诺现场完成对图书的初加工服务、承诺完成图书还回图书馆后的深加工服务的得1分。（以上人员必须是该单位正式员工，需提供劳动合同和近六个月的社保缴纳证明。）</w:t>
            </w:r>
          </w:p>
        </w:tc>
        <w:tc>
          <w:tcPr>
            <w:tcW w:w="709" w:type="dxa"/>
            <w:vAlign w:val="center"/>
          </w:tcPr>
          <w:p w14:paraId="46E33087">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5</w:t>
            </w:r>
          </w:p>
        </w:tc>
        <w:tc>
          <w:tcPr>
            <w:tcW w:w="1559" w:type="dxa"/>
            <w:vAlign w:val="center"/>
          </w:tcPr>
          <w:p w14:paraId="632BB666">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tcPr>
          <w:p w14:paraId="58BD9007">
            <w:pPr>
              <w:snapToGrid w:val="0"/>
              <w:spacing w:line="360" w:lineRule="auto"/>
              <w:jc w:val="center"/>
              <w:rPr>
                <w:rFonts w:cs="仿宋_GB2312" w:asciiTheme="minorEastAsia" w:hAnsiTheme="minorEastAsia" w:eastAsiaTheme="minorEastAsia"/>
                <w:kern w:val="0"/>
                <w:sz w:val="24"/>
                <w:highlight w:val="none"/>
              </w:rPr>
            </w:pPr>
          </w:p>
        </w:tc>
      </w:tr>
      <w:tr w14:paraId="17D0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B04FB06">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16</w:t>
            </w:r>
          </w:p>
        </w:tc>
        <w:tc>
          <w:tcPr>
            <w:tcW w:w="4209" w:type="dxa"/>
          </w:tcPr>
          <w:p w14:paraId="341A7CD3">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全国知名作家或某领域著名学者的特色讲座10场方案。方案内容需含时间、地点、讲座主题及内容、主讲人（含职称、学术特色、经历、拟适合人群、往期讲座的照片或报道）、宣传报道、讲座参与人数，缺一不得分。中标后方案需由采购人认可。方案完整、合理、可操作性强的得3分，一般的得2分，较差的得1分，未提供或不完整、不合理、不具备可操作性的得0分。</w:t>
            </w:r>
          </w:p>
        </w:tc>
        <w:tc>
          <w:tcPr>
            <w:tcW w:w="709" w:type="dxa"/>
            <w:vAlign w:val="center"/>
          </w:tcPr>
          <w:p w14:paraId="48215090">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3</w:t>
            </w:r>
          </w:p>
        </w:tc>
        <w:tc>
          <w:tcPr>
            <w:tcW w:w="1559" w:type="dxa"/>
            <w:vAlign w:val="center"/>
          </w:tcPr>
          <w:p w14:paraId="3616F664">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主观分</w:t>
            </w:r>
          </w:p>
        </w:tc>
        <w:tc>
          <w:tcPr>
            <w:tcW w:w="1129" w:type="dxa"/>
          </w:tcPr>
          <w:p w14:paraId="438B7779">
            <w:pPr>
              <w:snapToGrid w:val="0"/>
              <w:spacing w:line="360" w:lineRule="auto"/>
              <w:jc w:val="center"/>
              <w:rPr>
                <w:rFonts w:cs="仿宋_GB2312" w:asciiTheme="minorEastAsia" w:hAnsiTheme="minorEastAsia" w:eastAsiaTheme="minorEastAsia"/>
                <w:kern w:val="0"/>
                <w:sz w:val="24"/>
                <w:highlight w:val="none"/>
              </w:rPr>
            </w:pPr>
          </w:p>
        </w:tc>
      </w:tr>
      <w:tr w14:paraId="01BF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4BA876">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17</w:t>
            </w:r>
          </w:p>
        </w:tc>
        <w:tc>
          <w:tcPr>
            <w:tcW w:w="4209" w:type="dxa"/>
          </w:tcPr>
          <w:p w14:paraId="2002B8E8">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提供快速的质量与售后服务响应措施，包括0.5小时内响应，2小时内到达指定地点，3小时内处理完毕等，响应措施合理、可行性较高的得3分，一般的得2分，较差的得1分，未提供或不合理、不可行的得0分。</w:t>
            </w:r>
          </w:p>
        </w:tc>
        <w:tc>
          <w:tcPr>
            <w:tcW w:w="709" w:type="dxa"/>
            <w:vAlign w:val="center"/>
          </w:tcPr>
          <w:p w14:paraId="707F8A21">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3</w:t>
            </w:r>
          </w:p>
        </w:tc>
        <w:tc>
          <w:tcPr>
            <w:tcW w:w="1559" w:type="dxa"/>
            <w:vAlign w:val="center"/>
          </w:tcPr>
          <w:p w14:paraId="5889982F">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主观分</w:t>
            </w:r>
          </w:p>
        </w:tc>
        <w:tc>
          <w:tcPr>
            <w:tcW w:w="1129" w:type="dxa"/>
          </w:tcPr>
          <w:p w14:paraId="383BCB4F">
            <w:pPr>
              <w:snapToGrid w:val="0"/>
              <w:spacing w:line="360" w:lineRule="auto"/>
              <w:jc w:val="center"/>
              <w:rPr>
                <w:rFonts w:cs="仿宋_GB2312" w:asciiTheme="minorEastAsia" w:hAnsiTheme="minorEastAsia" w:eastAsiaTheme="minorEastAsia"/>
                <w:kern w:val="0"/>
                <w:sz w:val="24"/>
                <w:highlight w:val="none"/>
              </w:rPr>
            </w:pPr>
          </w:p>
        </w:tc>
      </w:tr>
      <w:tr w14:paraId="348C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9D72D8">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18</w:t>
            </w:r>
          </w:p>
        </w:tc>
        <w:tc>
          <w:tcPr>
            <w:tcW w:w="4209" w:type="dxa"/>
          </w:tcPr>
          <w:p w14:paraId="0F4EF5F8">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对因各种原因未能满足图书馆订单的情况能及时作出反馈，并给出解决方案得1分，保障措施明确得1分。（根据投标文件提供的服务承诺保证措施的明确性及可行性打分。）</w:t>
            </w:r>
          </w:p>
        </w:tc>
        <w:tc>
          <w:tcPr>
            <w:tcW w:w="709" w:type="dxa"/>
            <w:vAlign w:val="center"/>
          </w:tcPr>
          <w:p w14:paraId="3207C2A6">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2</w:t>
            </w:r>
          </w:p>
        </w:tc>
        <w:tc>
          <w:tcPr>
            <w:tcW w:w="1559" w:type="dxa"/>
            <w:vAlign w:val="center"/>
          </w:tcPr>
          <w:p w14:paraId="72E46D8F">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主观分</w:t>
            </w:r>
          </w:p>
        </w:tc>
        <w:tc>
          <w:tcPr>
            <w:tcW w:w="1129" w:type="dxa"/>
          </w:tcPr>
          <w:p w14:paraId="5A5B9C8E">
            <w:pPr>
              <w:snapToGrid w:val="0"/>
              <w:spacing w:line="360" w:lineRule="auto"/>
              <w:jc w:val="center"/>
              <w:rPr>
                <w:rFonts w:cs="仿宋_GB2312" w:asciiTheme="minorEastAsia" w:hAnsiTheme="minorEastAsia" w:eastAsiaTheme="minorEastAsia"/>
                <w:kern w:val="0"/>
                <w:sz w:val="24"/>
                <w:highlight w:val="none"/>
              </w:rPr>
            </w:pPr>
          </w:p>
        </w:tc>
      </w:tr>
      <w:tr w14:paraId="146B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1A75BF">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19</w:t>
            </w:r>
          </w:p>
        </w:tc>
        <w:tc>
          <w:tcPr>
            <w:tcW w:w="4209" w:type="dxa"/>
          </w:tcPr>
          <w:p w14:paraId="6926EA46">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对订单调整要求的反应能力:对已订清单因情况变化，能满足图书馆减少订数或要求取消订购的要求。能减少订数的得1分，能取消的得1分。（根据投标文件提供的服务承诺保证措施的明确性及可行性打分。）</w:t>
            </w:r>
          </w:p>
        </w:tc>
        <w:tc>
          <w:tcPr>
            <w:tcW w:w="709" w:type="dxa"/>
            <w:vAlign w:val="center"/>
          </w:tcPr>
          <w:p w14:paraId="019196C3">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2</w:t>
            </w:r>
          </w:p>
        </w:tc>
        <w:tc>
          <w:tcPr>
            <w:tcW w:w="1559" w:type="dxa"/>
            <w:vAlign w:val="center"/>
          </w:tcPr>
          <w:p w14:paraId="11ED5FFD">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主观分</w:t>
            </w:r>
          </w:p>
        </w:tc>
        <w:tc>
          <w:tcPr>
            <w:tcW w:w="1129" w:type="dxa"/>
          </w:tcPr>
          <w:p w14:paraId="67569BD8">
            <w:pPr>
              <w:snapToGrid w:val="0"/>
              <w:spacing w:line="360" w:lineRule="auto"/>
              <w:jc w:val="center"/>
              <w:rPr>
                <w:rFonts w:cs="仿宋_GB2312" w:asciiTheme="minorEastAsia" w:hAnsiTheme="minorEastAsia" w:eastAsiaTheme="minorEastAsia"/>
                <w:kern w:val="0"/>
                <w:sz w:val="24"/>
                <w:highlight w:val="none"/>
              </w:rPr>
            </w:pPr>
          </w:p>
        </w:tc>
      </w:tr>
      <w:tr w14:paraId="52CA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FDA2E74">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20</w:t>
            </w:r>
          </w:p>
        </w:tc>
        <w:tc>
          <w:tcPr>
            <w:tcW w:w="4209" w:type="dxa"/>
          </w:tcPr>
          <w:p w14:paraId="24A69320">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退单的处理:及时处理因图书质量问题、与馆藏要求不符、与预订不符等原因造成的退单得2分。（根据投标文件提供的服务承诺保证措施的明确性及可行性打分。）</w:t>
            </w:r>
          </w:p>
        </w:tc>
        <w:tc>
          <w:tcPr>
            <w:tcW w:w="709" w:type="dxa"/>
            <w:vAlign w:val="center"/>
          </w:tcPr>
          <w:p w14:paraId="4BCEDF63">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2</w:t>
            </w:r>
          </w:p>
        </w:tc>
        <w:tc>
          <w:tcPr>
            <w:tcW w:w="1559" w:type="dxa"/>
            <w:vAlign w:val="center"/>
          </w:tcPr>
          <w:p w14:paraId="102A0290">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主观分</w:t>
            </w:r>
          </w:p>
        </w:tc>
        <w:tc>
          <w:tcPr>
            <w:tcW w:w="1129" w:type="dxa"/>
          </w:tcPr>
          <w:p w14:paraId="005C572E">
            <w:pPr>
              <w:snapToGrid w:val="0"/>
              <w:spacing w:line="360" w:lineRule="auto"/>
              <w:jc w:val="center"/>
              <w:rPr>
                <w:rFonts w:cs="仿宋_GB2312" w:asciiTheme="minorEastAsia" w:hAnsiTheme="minorEastAsia" w:eastAsiaTheme="minorEastAsia"/>
                <w:kern w:val="0"/>
                <w:sz w:val="24"/>
                <w:highlight w:val="none"/>
              </w:rPr>
            </w:pPr>
          </w:p>
        </w:tc>
      </w:tr>
      <w:tr w14:paraId="1563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9FB546">
            <w:pPr>
              <w:snapToGrid w:val="0"/>
              <w:spacing w:line="360" w:lineRule="auto"/>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21</w:t>
            </w:r>
          </w:p>
        </w:tc>
        <w:tc>
          <w:tcPr>
            <w:tcW w:w="4209" w:type="dxa"/>
          </w:tcPr>
          <w:p w14:paraId="3B7C2C64">
            <w:pPr>
              <w:snapToGrid w:val="0"/>
              <w:spacing w:line="360" w:lineRule="auto"/>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有效投标报价的最低价作为评标基准价，其最低报价为满分；按［投标报价得分=（评标基准价/投标报价）*权重］的计算公式计算。</w:t>
            </w:r>
          </w:p>
          <w:p w14:paraId="1E019573">
            <w:pPr>
              <w:snapToGrid w:val="0"/>
              <w:spacing w:line="360" w:lineRule="auto"/>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评标过程中，不得去掉报价中的最高报价和最低报价。</w:t>
            </w:r>
          </w:p>
          <w:p w14:paraId="612D0112">
            <w:pPr>
              <w:snapToGrid w:val="0"/>
              <w:spacing w:line="360" w:lineRule="auto"/>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09" w:type="dxa"/>
            <w:vAlign w:val="center"/>
          </w:tcPr>
          <w:p w14:paraId="13B85312">
            <w:pPr>
              <w:spacing w:line="360" w:lineRule="auto"/>
              <w:jc w:val="center"/>
              <w:outlineLvl w:val="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30</w:t>
            </w:r>
          </w:p>
        </w:tc>
        <w:tc>
          <w:tcPr>
            <w:tcW w:w="1559" w:type="dxa"/>
            <w:vAlign w:val="center"/>
          </w:tcPr>
          <w:p w14:paraId="75CF176F">
            <w:pPr>
              <w:spacing w:line="360" w:lineRule="auto"/>
              <w:jc w:val="center"/>
              <w:outlineLvl w:val="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客观分</w:t>
            </w:r>
          </w:p>
        </w:tc>
        <w:tc>
          <w:tcPr>
            <w:tcW w:w="1129" w:type="dxa"/>
            <w:vAlign w:val="center"/>
          </w:tcPr>
          <w:p w14:paraId="2DE0CFB3">
            <w:pPr>
              <w:spacing w:line="360" w:lineRule="auto"/>
              <w:jc w:val="center"/>
              <w:outlineLvl w:val="0"/>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w:t>
            </w:r>
          </w:p>
        </w:tc>
      </w:tr>
    </w:tbl>
    <w:p w14:paraId="55B6B4DB">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4"/>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403" w:name="第五部分"/>
      <w:bookmarkStart w:id="404" w:name="_Toc86217003"/>
    </w:p>
    <w:p w14:paraId="320328C8">
      <w:pPr>
        <w:spacing w:line="360" w:lineRule="auto"/>
        <w:ind w:left="720" w:leftChars="343" w:firstLine="1084" w:firstLineChars="300"/>
        <w:outlineLvl w:val="0"/>
        <w:rPr>
          <w:rFonts w:hint="eastAsia" w:ascii="宋体" w:hAnsi="宋体" w:cs="宋体"/>
          <w:b/>
          <w:color w:val="auto"/>
          <w:sz w:val="36"/>
          <w:szCs w:val="36"/>
          <w:highlight w:val="none"/>
        </w:rPr>
      </w:pPr>
    </w:p>
    <w:p w14:paraId="77689544">
      <w:pPr>
        <w:spacing w:line="360" w:lineRule="auto"/>
        <w:ind w:left="720" w:leftChars="343" w:firstLine="1084" w:firstLineChars="300"/>
        <w:outlineLvl w:val="0"/>
        <w:rPr>
          <w:rFonts w:hint="eastAsia" w:ascii="宋体" w:hAnsi="宋体" w:cs="宋体"/>
          <w:b/>
          <w:color w:val="auto"/>
          <w:sz w:val="36"/>
          <w:szCs w:val="36"/>
          <w:highlight w:val="none"/>
        </w:rPr>
      </w:pPr>
    </w:p>
    <w:p w14:paraId="69FCEC7D">
      <w:pPr>
        <w:spacing w:line="360" w:lineRule="auto"/>
        <w:ind w:left="720" w:leftChars="343" w:firstLine="1084" w:firstLineChars="300"/>
        <w:outlineLvl w:val="0"/>
        <w:rPr>
          <w:rFonts w:hint="eastAsia" w:ascii="宋体" w:hAnsi="宋体" w:cs="宋体"/>
          <w:b/>
          <w:color w:val="auto"/>
          <w:sz w:val="36"/>
          <w:szCs w:val="36"/>
          <w:highlight w:val="none"/>
        </w:rPr>
      </w:pPr>
    </w:p>
    <w:p w14:paraId="66B0EB57">
      <w:pPr>
        <w:spacing w:line="360" w:lineRule="auto"/>
        <w:ind w:left="720" w:leftChars="343" w:firstLine="1084" w:firstLineChars="300"/>
        <w:outlineLvl w:val="0"/>
        <w:rPr>
          <w:rFonts w:hint="eastAsia" w:ascii="宋体" w:hAnsi="宋体" w:cs="宋体"/>
          <w:b/>
          <w:color w:val="auto"/>
          <w:sz w:val="36"/>
          <w:szCs w:val="36"/>
          <w:highlight w:val="none"/>
        </w:rPr>
      </w:pPr>
    </w:p>
    <w:p w14:paraId="6A38C6F2">
      <w:pPr>
        <w:spacing w:line="360" w:lineRule="auto"/>
        <w:ind w:left="720" w:leftChars="343" w:firstLine="1084" w:firstLineChars="300"/>
        <w:outlineLvl w:val="0"/>
        <w:rPr>
          <w:rFonts w:hint="eastAsia" w:ascii="宋体" w:hAnsi="宋体" w:cs="宋体"/>
          <w:b/>
          <w:color w:val="auto"/>
          <w:sz w:val="36"/>
          <w:szCs w:val="36"/>
          <w:highlight w:val="none"/>
        </w:rPr>
      </w:pPr>
    </w:p>
    <w:p w14:paraId="116A77C9">
      <w:pPr>
        <w:spacing w:line="360" w:lineRule="auto"/>
        <w:ind w:left="720" w:leftChars="343" w:firstLine="1084" w:firstLineChars="300"/>
        <w:outlineLvl w:val="0"/>
        <w:rPr>
          <w:rFonts w:hint="eastAsia" w:ascii="宋体" w:hAnsi="宋体" w:cs="宋体"/>
          <w:b/>
          <w:color w:val="auto"/>
          <w:sz w:val="36"/>
          <w:szCs w:val="36"/>
          <w:highlight w:val="none"/>
        </w:rPr>
      </w:pPr>
    </w:p>
    <w:p w14:paraId="7B8A4E88">
      <w:pPr>
        <w:spacing w:line="360" w:lineRule="auto"/>
        <w:ind w:left="720" w:leftChars="343" w:firstLine="1084" w:firstLineChars="300"/>
        <w:outlineLvl w:val="0"/>
        <w:rPr>
          <w:rFonts w:hint="eastAsia" w:ascii="宋体" w:hAnsi="宋体" w:cs="宋体"/>
          <w:b/>
          <w:color w:val="auto"/>
          <w:sz w:val="36"/>
          <w:szCs w:val="36"/>
          <w:highlight w:val="none"/>
        </w:rPr>
      </w:pPr>
    </w:p>
    <w:p w14:paraId="755C5D7A">
      <w:pPr>
        <w:spacing w:line="360" w:lineRule="auto"/>
        <w:ind w:left="720" w:leftChars="343" w:firstLine="1084" w:firstLineChars="300"/>
        <w:outlineLvl w:val="0"/>
        <w:rPr>
          <w:rFonts w:hint="eastAsia" w:ascii="宋体" w:hAnsi="宋体" w:cs="宋体"/>
          <w:b/>
          <w:color w:val="auto"/>
          <w:sz w:val="36"/>
          <w:szCs w:val="36"/>
          <w:highlight w:val="none"/>
        </w:rPr>
      </w:pPr>
    </w:p>
    <w:p w14:paraId="0A540794">
      <w:pPr>
        <w:spacing w:line="360" w:lineRule="auto"/>
        <w:ind w:left="720" w:leftChars="343" w:firstLine="1084" w:firstLineChars="300"/>
        <w:outlineLvl w:val="0"/>
        <w:rPr>
          <w:rFonts w:hint="eastAsia" w:ascii="宋体" w:hAnsi="宋体" w:cs="宋体"/>
          <w:b/>
          <w:color w:val="auto"/>
          <w:sz w:val="36"/>
          <w:szCs w:val="36"/>
          <w:highlight w:val="none"/>
        </w:rPr>
      </w:pPr>
    </w:p>
    <w:p w14:paraId="4522F99A">
      <w:pPr>
        <w:spacing w:line="360" w:lineRule="auto"/>
        <w:ind w:left="720" w:leftChars="343" w:firstLine="1084" w:firstLineChars="300"/>
        <w:outlineLvl w:val="0"/>
        <w:rPr>
          <w:rFonts w:hint="eastAsia" w:ascii="宋体" w:hAnsi="宋体" w:cs="宋体"/>
          <w:b/>
          <w:color w:val="auto"/>
          <w:sz w:val="36"/>
          <w:szCs w:val="36"/>
          <w:highlight w:val="none"/>
        </w:rPr>
      </w:pPr>
    </w:p>
    <w:p w14:paraId="7F3528DA">
      <w:pPr>
        <w:spacing w:line="360" w:lineRule="auto"/>
        <w:ind w:left="720" w:leftChars="343" w:firstLine="1084" w:firstLineChars="300"/>
        <w:outlineLvl w:val="0"/>
        <w:rPr>
          <w:rFonts w:hint="eastAsia" w:ascii="宋体" w:hAnsi="宋体" w:cs="宋体"/>
          <w:b/>
          <w:color w:val="auto"/>
          <w:sz w:val="36"/>
          <w:szCs w:val="36"/>
          <w:highlight w:val="none"/>
        </w:rPr>
      </w:pPr>
    </w:p>
    <w:p w14:paraId="645CE8DE">
      <w:pPr>
        <w:spacing w:line="360" w:lineRule="auto"/>
        <w:ind w:left="720" w:leftChars="343" w:firstLine="1084" w:firstLineChars="300"/>
        <w:outlineLvl w:val="0"/>
        <w:rPr>
          <w:rFonts w:hint="eastAsia" w:ascii="宋体" w:hAnsi="宋体" w:cs="宋体"/>
          <w:b/>
          <w:color w:val="auto"/>
          <w:sz w:val="36"/>
          <w:szCs w:val="36"/>
          <w:highlight w:val="none"/>
        </w:rPr>
      </w:pPr>
    </w:p>
    <w:p w14:paraId="2F667E98">
      <w:pPr>
        <w:spacing w:line="360" w:lineRule="auto"/>
        <w:ind w:left="720" w:leftChars="343" w:firstLine="1084" w:firstLineChars="300"/>
        <w:outlineLvl w:val="0"/>
        <w:rPr>
          <w:rFonts w:hint="eastAsia" w:ascii="宋体" w:hAnsi="宋体" w:cs="宋体"/>
          <w:b/>
          <w:color w:val="auto"/>
          <w:sz w:val="36"/>
          <w:szCs w:val="36"/>
          <w:highlight w:val="none"/>
        </w:rPr>
      </w:pPr>
    </w:p>
    <w:p w14:paraId="4D51EFC2">
      <w:pPr>
        <w:spacing w:line="360" w:lineRule="auto"/>
        <w:ind w:left="720" w:leftChars="343" w:firstLine="1084" w:firstLineChars="300"/>
        <w:outlineLvl w:val="0"/>
        <w:rPr>
          <w:rFonts w:hint="eastAsia" w:ascii="宋体" w:hAnsi="宋体" w:cs="宋体"/>
          <w:b/>
          <w:color w:val="auto"/>
          <w:sz w:val="36"/>
          <w:szCs w:val="36"/>
          <w:highlight w:val="none"/>
        </w:rPr>
      </w:pPr>
    </w:p>
    <w:p w14:paraId="572B80C6">
      <w:pPr>
        <w:spacing w:line="360" w:lineRule="auto"/>
        <w:ind w:left="720" w:leftChars="343" w:firstLine="1084" w:firstLineChars="300"/>
        <w:outlineLvl w:val="0"/>
        <w:rPr>
          <w:rFonts w:hint="eastAsia" w:ascii="宋体" w:hAnsi="宋体" w:cs="宋体"/>
          <w:b/>
          <w:color w:val="auto"/>
          <w:sz w:val="36"/>
          <w:szCs w:val="36"/>
          <w:highlight w:val="none"/>
        </w:rPr>
      </w:pPr>
    </w:p>
    <w:p w14:paraId="725D39E6">
      <w:pPr>
        <w:spacing w:line="360" w:lineRule="auto"/>
        <w:ind w:left="720" w:leftChars="343" w:firstLine="1084" w:firstLineChars="300"/>
        <w:outlineLvl w:val="0"/>
        <w:rPr>
          <w:rFonts w:hint="eastAsia" w:ascii="宋体" w:hAnsi="宋体" w:cs="宋体"/>
          <w:b/>
          <w:color w:val="auto"/>
          <w:sz w:val="36"/>
          <w:szCs w:val="36"/>
          <w:highlight w:val="none"/>
        </w:rPr>
      </w:pPr>
    </w:p>
    <w:p w14:paraId="3AD9468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5D6754CE">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25D70850">
      <w:pPr>
        <w:spacing w:line="480" w:lineRule="auto"/>
        <w:jc w:val="center"/>
        <w:rPr>
          <w:rFonts w:hint="eastAsia" w:ascii="宋体" w:hAnsi="宋体" w:cs="宋体"/>
          <w:b/>
          <w:sz w:val="36"/>
          <w:szCs w:val="36"/>
          <w:highlight w:val="none"/>
        </w:rPr>
      </w:pPr>
      <w:r>
        <w:rPr>
          <w:rFonts w:hint="eastAsia" w:ascii="宋体" w:hAnsi="宋体" w:cs="宋体"/>
          <w:b/>
          <w:sz w:val="36"/>
          <w:szCs w:val="36"/>
          <w:highlight w:val="none"/>
        </w:rPr>
        <w:t>（货物类）</w:t>
      </w:r>
    </w:p>
    <w:p w14:paraId="31021CE4">
      <w:pPr>
        <w:spacing w:line="480" w:lineRule="auto"/>
        <w:jc w:val="center"/>
        <w:rPr>
          <w:rFonts w:hint="eastAsia" w:ascii="宋体" w:hAnsi="宋体" w:cs="宋体"/>
          <w:b/>
          <w:sz w:val="36"/>
          <w:szCs w:val="36"/>
          <w:highlight w:val="none"/>
        </w:rPr>
      </w:pPr>
    </w:p>
    <w:p w14:paraId="6E6303B1">
      <w:pPr>
        <w:spacing w:line="480" w:lineRule="auto"/>
        <w:jc w:val="center"/>
        <w:rPr>
          <w:rFonts w:hint="eastAsia" w:ascii="宋体" w:hAnsi="宋体" w:cs="宋体"/>
          <w:b/>
          <w:sz w:val="36"/>
          <w:szCs w:val="36"/>
          <w:highlight w:val="none"/>
        </w:rPr>
      </w:pPr>
    </w:p>
    <w:p w14:paraId="5C056E8A">
      <w:pPr>
        <w:spacing w:line="480" w:lineRule="auto"/>
        <w:jc w:val="center"/>
        <w:rPr>
          <w:rFonts w:hint="eastAsia" w:ascii="宋体" w:hAnsi="宋体" w:cs="宋体"/>
          <w:b/>
          <w:sz w:val="36"/>
          <w:szCs w:val="36"/>
          <w:highlight w:val="none"/>
        </w:rPr>
      </w:pPr>
    </w:p>
    <w:p w14:paraId="70C16A34">
      <w:pPr>
        <w:spacing w:before="120" w:line="22" w:lineRule="atLeast"/>
        <w:rPr>
          <w:rFonts w:ascii="宋体" w:hAnsi="宋体" w:cs="宋体"/>
          <w:sz w:val="24"/>
          <w:highlight w:val="none"/>
        </w:rPr>
      </w:pPr>
    </w:p>
    <w:p w14:paraId="0A1C767D">
      <w:pPr>
        <w:rPr>
          <w:highlight w:val="none"/>
        </w:rPr>
      </w:pPr>
      <w:r>
        <w:rPr>
          <w:highlight w:val="none"/>
        </w:rPr>
        <w:br w:type="page"/>
      </w:r>
    </w:p>
    <w:p w14:paraId="0A4C4181">
      <w:pPr>
        <w:pStyle w:val="50"/>
        <w:rPr>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0CDE3C5">
      <w:pPr>
        <w:autoSpaceDE w:val="0"/>
        <w:autoSpaceDN w:val="0"/>
        <w:spacing w:line="360" w:lineRule="auto"/>
        <w:jc w:val="center"/>
        <w:rPr>
          <w:rFonts w:cs="仿宋" w:asciiTheme="minorEastAsia" w:hAnsiTheme="minorEastAsia" w:eastAsiaTheme="minorEastAsia"/>
          <w:color w:val="000000"/>
          <w:sz w:val="44"/>
          <w:szCs w:val="44"/>
          <w:highlight w:val="none"/>
        </w:rPr>
      </w:pPr>
      <w:r>
        <w:rPr>
          <w:rFonts w:hint="eastAsia" w:cs="仿宋" w:asciiTheme="minorEastAsia" w:hAnsiTheme="minorEastAsia" w:eastAsiaTheme="minorEastAsia"/>
          <w:color w:val="000000"/>
          <w:sz w:val="44"/>
          <w:szCs w:val="44"/>
          <w:highlight w:val="none"/>
        </w:rPr>
        <w:t>拟签订的合同文本</w:t>
      </w:r>
    </w:p>
    <w:p w14:paraId="1B352939">
      <w:pPr>
        <w:autoSpaceDE w:val="0"/>
        <w:autoSpaceDN w:val="0"/>
        <w:spacing w:line="360" w:lineRule="auto"/>
        <w:rPr>
          <w:rFonts w:ascii="宋体" w:hAnsi="宋体" w:cs="仿宋"/>
          <w:color w:val="000000"/>
          <w:sz w:val="24"/>
          <w:highlight w:val="none"/>
          <w:u w:val="single"/>
        </w:rPr>
      </w:pPr>
      <w:r>
        <w:rPr>
          <w:rFonts w:hint="eastAsia" w:ascii="宋体" w:hAnsi="宋体" w:cs="仿宋"/>
          <w:color w:val="000000"/>
          <w:sz w:val="24"/>
          <w:highlight w:val="none"/>
        </w:rPr>
        <w:t>合同编号：</w:t>
      </w:r>
    </w:p>
    <w:p w14:paraId="000912ED">
      <w:pPr>
        <w:widowControl/>
        <w:snapToGrid w:val="0"/>
        <w:spacing w:line="360" w:lineRule="auto"/>
        <w:rPr>
          <w:rFonts w:ascii="宋体" w:hAnsi="宋体" w:cs="仿宋"/>
          <w:color w:val="000000"/>
          <w:sz w:val="24"/>
          <w:highlight w:val="none"/>
          <w:u w:val="single"/>
        </w:rPr>
      </w:pPr>
      <w:r>
        <w:rPr>
          <w:rFonts w:hint="eastAsia" w:ascii="宋体" w:hAnsi="宋体" w:cs="仿宋"/>
          <w:color w:val="000000"/>
          <w:sz w:val="24"/>
          <w:highlight w:val="none"/>
        </w:rPr>
        <w:t>采购单位（甲方）：</w:t>
      </w:r>
    </w:p>
    <w:p w14:paraId="5445DB3D">
      <w:pPr>
        <w:widowControl/>
        <w:snapToGrid w:val="0"/>
        <w:spacing w:line="360" w:lineRule="auto"/>
        <w:rPr>
          <w:rFonts w:ascii="宋体" w:hAnsi="宋体" w:cs="仿宋"/>
          <w:color w:val="000000"/>
          <w:sz w:val="24"/>
          <w:highlight w:val="none"/>
        </w:rPr>
      </w:pPr>
      <w:r>
        <w:rPr>
          <w:rFonts w:hint="eastAsia" w:ascii="宋体" w:hAnsi="宋体" w:cs="仿宋"/>
          <w:color w:val="000000"/>
          <w:sz w:val="24"/>
          <w:highlight w:val="none"/>
        </w:rPr>
        <w:t>供应商（乙方）：</w:t>
      </w:r>
    </w:p>
    <w:p w14:paraId="589756D9">
      <w:pPr>
        <w:widowControl/>
        <w:snapToGrid w:val="0"/>
        <w:spacing w:line="360" w:lineRule="auto"/>
        <w:rPr>
          <w:rFonts w:ascii="宋体" w:hAnsi="宋体" w:cs="仿宋"/>
          <w:color w:val="000000"/>
          <w:sz w:val="24"/>
          <w:highlight w:val="none"/>
        </w:rPr>
      </w:pPr>
      <w:r>
        <w:rPr>
          <w:rFonts w:hint="eastAsia" w:ascii="宋体" w:hAnsi="宋体" w:cs="仿宋"/>
          <w:color w:val="000000"/>
          <w:sz w:val="24"/>
          <w:highlight w:val="none"/>
        </w:rPr>
        <w:t>见证方：</w:t>
      </w:r>
    </w:p>
    <w:p w14:paraId="0CC5996A">
      <w:pPr>
        <w:widowControl/>
        <w:snapToGrid w:val="0"/>
        <w:spacing w:line="360" w:lineRule="auto"/>
        <w:ind w:firstLine="482"/>
        <w:jc w:val="left"/>
        <w:rPr>
          <w:rFonts w:ascii="宋体" w:hAnsi="宋体" w:cs="仿宋"/>
          <w:color w:val="000000"/>
          <w:kern w:val="0"/>
          <w:sz w:val="24"/>
          <w:highlight w:val="none"/>
        </w:rPr>
      </w:pPr>
      <w:r>
        <w:rPr>
          <w:rFonts w:hint="eastAsia" w:ascii="宋体" w:hAnsi="宋体" w:cs="仿宋"/>
          <w:color w:val="000000"/>
          <w:kern w:val="0"/>
          <w:sz w:val="24"/>
          <w:highlight w:val="none"/>
        </w:rPr>
        <w:t>根据《中华人民共和国政府采购法》、《中华人民共和国民法典》等相关法律法规和（采购编号：）的中标情况，遵循平等、自愿、公平、诚实信用的原则，由采购单位与经评标最终确定的中标供应商结合本项目具体情况，经双方协商一致后达成以下条款:</w:t>
      </w:r>
    </w:p>
    <w:p w14:paraId="1E375800">
      <w:pPr>
        <w:widowControl/>
        <w:snapToGrid w:val="0"/>
        <w:spacing w:line="360" w:lineRule="auto"/>
        <w:jc w:val="left"/>
        <w:rPr>
          <w:rFonts w:ascii="宋体" w:hAnsi="宋体" w:cs="仿宋"/>
          <w:b/>
          <w:bCs/>
          <w:color w:val="000000"/>
          <w:sz w:val="24"/>
          <w:highlight w:val="none"/>
        </w:rPr>
      </w:pPr>
      <w:r>
        <w:rPr>
          <w:rFonts w:hint="eastAsia" w:ascii="宋体" w:hAnsi="宋体" w:cs="仿宋"/>
          <w:b/>
          <w:bCs/>
          <w:color w:val="000000"/>
          <w:sz w:val="24"/>
          <w:highlight w:val="none"/>
        </w:rPr>
        <w:t>第一条货物合同价格</w:t>
      </w:r>
    </w:p>
    <w:tbl>
      <w:tblPr>
        <w:tblStyle w:val="62"/>
        <w:tblW w:w="8897" w:type="dxa"/>
        <w:tblInd w:w="0" w:type="dxa"/>
        <w:tblLayout w:type="fixed"/>
        <w:tblCellMar>
          <w:top w:w="0" w:type="dxa"/>
          <w:left w:w="108" w:type="dxa"/>
          <w:bottom w:w="0" w:type="dxa"/>
          <w:right w:w="108" w:type="dxa"/>
        </w:tblCellMar>
      </w:tblPr>
      <w:tblGrid>
        <w:gridCol w:w="780"/>
        <w:gridCol w:w="2401"/>
        <w:gridCol w:w="887"/>
        <w:gridCol w:w="876"/>
        <w:gridCol w:w="1464"/>
        <w:gridCol w:w="2489"/>
      </w:tblGrid>
      <w:tr w14:paraId="4E2C94C9">
        <w:tblPrEx>
          <w:tblCellMar>
            <w:top w:w="0" w:type="dxa"/>
            <w:left w:w="108" w:type="dxa"/>
            <w:bottom w:w="0" w:type="dxa"/>
            <w:right w:w="108" w:type="dxa"/>
          </w:tblCellMar>
        </w:tblPrEx>
        <w:trPr>
          <w:cantSplit/>
          <w:trHeight w:val="608" w:hRule="atLeast"/>
        </w:trPr>
        <w:tc>
          <w:tcPr>
            <w:tcW w:w="780" w:type="dxa"/>
            <w:tcBorders>
              <w:top w:val="single" w:color="auto" w:sz="4" w:space="0"/>
              <w:left w:val="single" w:color="auto" w:sz="4" w:space="0"/>
              <w:bottom w:val="single" w:color="auto" w:sz="4" w:space="0"/>
              <w:right w:val="single" w:color="auto" w:sz="6" w:space="0"/>
            </w:tcBorders>
            <w:vAlign w:val="center"/>
          </w:tcPr>
          <w:p w14:paraId="0317A188">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401" w:type="dxa"/>
            <w:tcBorders>
              <w:top w:val="single" w:color="auto" w:sz="4" w:space="0"/>
              <w:left w:val="nil"/>
              <w:bottom w:val="single" w:color="auto" w:sz="6" w:space="0"/>
              <w:right w:val="single" w:color="auto" w:sz="4" w:space="0"/>
            </w:tcBorders>
            <w:vAlign w:val="center"/>
          </w:tcPr>
          <w:p w14:paraId="32090684">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项目名称</w:t>
            </w:r>
          </w:p>
        </w:tc>
        <w:tc>
          <w:tcPr>
            <w:tcW w:w="887" w:type="dxa"/>
            <w:tcBorders>
              <w:top w:val="single" w:color="auto" w:sz="4" w:space="0"/>
              <w:left w:val="nil"/>
              <w:bottom w:val="single" w:color="auto" w:sz="6" w:space="0"/>
              <w:right w:val="single" w:color="auto" w:sz="6" w:space="0"/>
            </w:tcBorders>
            <w:vAlign w:val="center"/>
          </w:tcPr>
          <w:p w14:paraId="558728EB">
            <w:pPr>
              <w:snapToGrid w:val="0"/>
              <w:spacing w:line="360" w:lineRule="auto"/>
              <w:ind w:firstLine="74" w:firstLineChars="31"/>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876" w:type="dxa"/>
            <w:tcBorders>
              <w:top w:val="single" w:color="auto" w:sz="4" w:space="0"/>
              <w:left w:val="nil"/>
              <w:bottom w:val="single" w:color="auto" w:sz="6" w:space="0"/>
              <w:right w:val="single" w:color="auto" w:sz="6" w:space="0"/>
            </w:tcBorders>
            <w:vAlign w:val="center"/>
          </w:tcPr>
          <w:p w14:paraId="2062CD8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单位</w:t>
            </w:r>
          </w:p>
        </w:tc>
        <w:tc>
          <w:tcPr>
            <w:tcW w:w="1464" w:type="dxa"/>
            <w:tcBorders>
              <w:top w:val="single" w:color="auto" w:sz="4" w:space="0"/>
              <w:left w:val="nil"/>
              <w:bottom w:val="single" w:color="auto" w:sz="6" w:space="0"/>
              <w:right w:val="single" w:color="auto" w:sz="6" w:space="0"/>
            </w:tcBorders>
            <w:vAlign w:val="center"/>
          </w:tcPr>
          <w:p w14:paraId="6A3A80A5">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折扣率</w:t>
            </w:r>
          </w:p>
        </w:tc>
        <w:tc>
          <w:tcPr>
            <w:tcW w:w="2489" w:type="dxa"/>
            <w:tcBorders>
              <w:top w:val="single" w:color="auto" w:sz="4" w:space="0"/>
              <w:left w:val="nil"/>
              <w:bottom w:val="single" w:color="auto" w:sz="6" w:space="0"/>
              <w:right w:val="single" w:color="auto" w:sz="4" w:space="0"/>
            </w:tcBorders>
            <w:vAlign w:val="center"/>
          </w:tcPr>
          <w:p w14:paraId="2DA101A2">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备注</w:t>
            </w:r>
          </w:p>
        </w:tc>
      </w:tr>
      <w:tr w14:paraId="53D37BA0">
        <w:tblPrEx>
          <w:tblCellMar>
            <w:top w:w="0" w:type="dxa"/>
            <w:left w:w="108" w:type="dxa"/>
            <w:bottom w:w="0" w:type="dxa"/>
            <w:right w:w="108" w:type="dxa"/>
          </w:tblCellMar>
        </w:tblPrEx>
        <w:trPr>
          <w:cantSplit/>
          <w:trHeight w:val="500" w:hRule="atLeast"/>
        </w:trPr>
        <w:tc>
          <w:tcPr>
            <w:tcW w:w="780" w:type="dxa"/>
            <w:tcBorders>
              <w:top w:val="single" w:color="auto" w:sz="4" w:space="0"/>
              <w:left w:val="single" w:color="auto" w:sz="4" w:space="0"/>
              <w:bottom w:val="single" w:color="auto" w:sz="4" w:space="0"/>
              <w:right w:val="single" w:color="auto" w:sz="6" w:space="0"/>
            </w:tcBorders>
            <w:vAlign w:val="center"/>
          </w:tcPr>
          <w:p w14:paraId="2E5104F8">
            <w:pPr>
              <w:snapToGrid w:val="0"/>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1</w:t>
            </w:r>
          </w:p>
        </w:tc>
        <w:tc>
          <w:tcPr>
            <w:tcW w:w="2401" w:type="dxa"/>
            <w:tcBorders>
              <w:top w:val="single" w:color="auto" w:sz="4" w:space="0"/>
              <w:left w:val="nil"/>
              <w:bottom w:val="single" w:color="auto" w:sz="4" w:space="0"/>
              <w:right w:val="single" w:color="auto" w:sz="4" w:space="0"/>
            </w:tcBorders>
            <w:vAlign w:val="center"/>
          </w:tcPr>
          <w:p w14:paraId="272C93FA">
            <w:pPr>
              <w:snapToGrid w:val="0"/>
              <w:spacing w:line="360" w:lineRule="auto"/>
              <w:rPr>
                <w:rFonts w:ascii="宋体" w:hAnsi="宋体" w:cs="宋体"/>
                <w:color w:val="000000"/>
                <w:sz w:val="24"/>
                <w:highlight w:val="none"/>
              </w:rPr>
            </w:pPr>
          </w:p>
        </w:tc>
        <w:tc>
          <w:tcPr>
            <w:tcW w:w="887" w:type="dxa"/>
            <w:tcBorders>
              <w:top w:val="single" w:color="auto" w:sz="4" w:space="0"/>
              <w:left w:val="nil"/>
              <w:bottom w:val="single" w:color="auto" w:sz="4" w:space="0"/>
              <w:right w:val="single" w:color="auto" w:sz="4" w:space="0"/>
            </w:tcBorders>
            <w:vAlign w:val="center"/>
          </w:tcPr>
          <w:p w14:paraId="7FA3A175">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876" w:type="dxa"/>
            <w:tcBorders>
              <w:top w:val="single" w:color="auto" w:sz="4" w:space="0"/>
              <w:left w:val="nil"/>
              <w:bottom w:val="single" w:color="auto" w:sz="4" w:space="0"/>
              <w:right w:val="single" w:color="auto" w:sz="4" w:space="0"/>
            </w:tcBorders>
            <w:vAlign w:val="center"/>
          </w:tcPr>
          <w:p w14:paraId="3102E7BB">
            <w:pPr>
              <w:snapToGrid w:val="0"/>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项</w:t>
            </w:r>
          </w:p>
        </w:tc>
        <w:tc>
          <w:tcPr>
            <w:tcW w:w="1464" w:type="dxa"/>
            <w:tcBorders>
              <w:top w:val="single" w:color="auto" w:sz="4" w:space="0"/>
              <w:left w:val="nil"/>
              <w:bottom w:val="single" w:color="auto" w:sz="4" w:space="0"/>
              <w:right w:val="single" w:color="auto" w:sz="6" w:space="0"/>
            </w:tcBorders>
            <w:vAlign w:val="center"/>
          </w:tcPr>
          <w:p w14:paraId="1B12C103">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w:t>
            </w:r>
          </w:p>
        </w:tc>
        <w:tc>
          <w:tcPr>
            <w:tcW w:w="2489" w:type="dxa"/>
            <w:tcBorders>
              <w:top w:val="single" w:color="auto" w:sz="4" w:space="0"/>
              <w:left w:val="nil"/>
              <w:bottom w:val="single" w:color="auto" w:sz="4" w:space="0"/>
              <w:right w:val="single" w:color="auto" w:sz="4" w:space="0"/>
            </w:tcBorders>
            <w:vAlign w:val="center"/>
          </w:tcPr>
          <w:p w14:paraId="30252C3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按实际采购结算，最高不超过1</w:t>
            </w:r>
            <w:r>
              <w:rPr>
                <w:rFonts w:hint="eastAsia" w:ascii="宋体" w:hAnsi="宋体" w:cs="宋体"/>
                <w:color w:val="000000"/>
                <w:sz w:val="24"/>
                <w:highlight w:val="none"/>
                <w:lang w:val="en-US" w:eastAsia="zh-CN"/>
              </w:rPr>
              <w:t>60</w:t>
            </w:r>
            <w:r>
              <w:rPr>
                <w:rFonts w:hint="eastAsia" w:ascii="宋体" w:hAnsi="宋体" w:cs="宋体"/>
                <w:color w:val="000000"/>
                <w:sz w:val="24"/>
                <w:highlight w:val="none"/>
              </w:rPr>
              <w:t>0000元。</w:t>
            </w:r>
          </w:p>
        </w:tc>
      </w:tr>
    </w:tbl>
    <w:p w14:paraId="5EFE1FFB">
      <w:pPr>
        <w:tabs>
          <w:tab w:val="left" w:pos="4935"/>
        </w:tabs>
        <w:autoSpaceDE w:val="0"/>
        <w:autoSpaceDN w:val="0"/>
        <w:spacing w:line="360" w:lineRule="auto"/>
        <w:rPr>
          <w:rFonts w:ascii="宋体" w:hAnsi="宋体" w:cs="仿宋"/>
          <w:color w:val="000000"/>
          <w:sz w:val="24"/>
          <w:highlight w:val="none"/>
          <w:lang w:val="zh-CN"/>
        </w:rPr>
      </w:pPr>
      <w:r>
        <w:rPr>
          <w:rFonts w:hint="eastAsia" w:ascii="宋体" w:hAnsi="宋体" w:cs="仿宋"/>
          <w:b/>
          <w:color w:val="000000"/>
          <w:sz w:val="24"/>
          <w:highlight w:val="none"/>
          <w:lang w:val="zh-CN"/>
        </w:rPr>
        <w:t>第二条图书采购方式</w:t>
      </w:r>
      <w:r>
        <w:rPr>
          <w:rFonts w:hint="eastAsia" w:ascii="宋体" w:hAnsi="宋体" w:cs="仿宋"/>
          <w:color w:val="000000"/>
          <w:sz w:val="24"/>
          <w:highlight w:val="none"/>
          <w:lang w:val="zh-CN"/>
        </w:rPr>
        <w:tab/>
      </w:r>
    </w:p>
    <w:p w14:paraId="6710DEE7">
      <w:pPr>
        <w:tabs>
          <w:tab w:val="left" w:pos="154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1）定单采购：乙方在最大范围内为甲方征集新书出版、发行信息，提高采购效率。乙方提供的自编采访书目数据、现货书目数据（要求能提供电子书目）、现货样书品种均要求符合招标文件中的规定，并且满足杭州市上城区图书馆馆藏需要。</w:t>
      </w:r>
    </w:p>
    <w:p w14:paraId="4DDD35B2">
      <w:pPr>
        <w:tabs>
          <w:tab w:val="left" w:pos="154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（2）专题采购：根据甲方的需要，做好专题书目的采购，以满足馆藏的特殊需要。</w:t>
      </w:r>
    </w:p>
    <w:p w14:paraId="162E3902">
      <w:pPr>
        <w:tabs>
          <w:tab w:val="left" w:pos="154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（3）现场采购：乙方应根据甲方要求，不定期安排甲方参加图书现采活动。</w:t>
      </w:r>
    </w:p>
    <w:p w14:paraId="0160E90D">
      <w:pPr>
        <w:tabs>
          <w:tab w:val="left" w:pos="154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（4）其它方式：随时进行图书增订、补订等工作。</w:t>
      </w:r>
    </w:p>
    <w:p w14:paraId="2BD0152C">
      <w:pPr>
        <w:tabs>
          <w:tab w:val="left" w:pos="4935"/>
        </w:tabs>
        <w:autoSpaceDE w:val="0"/>
        <w:autoSpaceDN w:val="0"/>
        <w:spacing w:line="360" w:lineRule="auto"/>
        <w:rPr>
          <w:rFonts w:ascii="宋体" w:hAnsi="宋体" w:cs="仿宋"/>
          <w:b/>
          <w:color w:val="000000"/>
          <w:sz w:val="24"/>
          <w:highlight w:val="none"/>
          <w:lang w:val="zh-CN"/>
        </w:rPr>
      </w:pPr>
      <w:r>
        <w:rPr>
          <w:rFonts w:hint="eastAsia" w:ascii="宋体" w:hAnsi="宋体" w:cs="仿宋"/>
          <w:b/>
          <w:color w:val="000000"/>
          <w:sz w:val="24"/>
          <w:highlight w:val="none"/>
          <w:lang w:val="zh-CN"/>
        </w:rPr>
        <w:t>第三条图书数据</w:t>
      </w:r>
    </w:p>
    <w:p w14:paraId="3E058110">
      <w:pPr>
        <w:autoSpaceDE w:val="0"/>
        <w:autoSpaceDN w:val="0"/>
        <w:spacing w:line="360" w:lineRule="auto"/>
        <w:ind w:firstLine="480" w:firstLineChars="200"/>
        <w:rPr>
          <w:rFonts w:ascii="宋体" w:hAnsi="宋体" w:cs="仿宋"/>
          <w:color w:val="000000"/>
          <w:sz w:val="24"/>
          <w:highlight w:val="none"/>
          <w:lang w:val="zh-CN"/>
        </w:rPr>
      </w:pPr>
      <w:r>
        <w:rPr>
          <w:rFonts w:hint="eastAsia" w:ascii="宋体" w:hAnsi="宋体" w:cs="仿宋"/>
          <w:color w:val="000000"/>
          <w:sz w:val="24"/>
          <w:highlight w:val="none"/>
          <w:lang w:val="zh-CN"/>
        </w:rPr>
        <w:t>乙方根据甲方要求，为甲方所购图书免费配送标准的CNMARC数据，对影印版、授权版和中国（含港、澳、台）出版的语言学术专著（如怎样学习语言、英语语言研究等性质的文献），免费配送标准的USMARC数据，其格式完全符合中国机读目录格式或者CALIS格式标准。在每次送书前三天交给甲方。</w:t>
      </w:r>
    </w:p>
    <w:p w14:paraId="578EB88E">
      <w:pPr>
        <w:tabs>
          <w:tab w:val="left" w:pos="4935"/>
        </w:tabs>
        <w:autoSpaceDE w:val="0"/>
        <w:autoSpaceDN w:val="0"/>
        <w:spacing w:line="360" w:lineRule="auto"/>
        <w:rPr>
          <w:rFonts w:ascii="宋体" w:hAnsi="宋体" w:cs="仿宋"/>
          <w:b/>
          <w:color w:val="000000"/>
          <w:sz w:val="24"/>
          <w:highlight w:val="none"/>
          <w:lang w:val="zh-CN"/>
        </w:rPr>
      </w:pPr>
      <w:r>
        <w:rPr>
          <w:rFonts w:hint="eastAsia" w:ascii="宋体" w:hAnsi="宋体" w:cs="仿宋"/>
          <w:b/>
          <w:color w:val="000000"/>
          <w:sz w:val="24"/>
          <w:highlight w:val="none"/>
          <w:lang w:val="zh-CN"/>
        </w:rPr>
        <w:t>第四条供书时间</w:t>
      </w:r>
    </w:p>
    <w:p w14:paraId="2A3D508A">
      <w:pPr>
        <w:tabs>
          <w:tab w:val="left" w:pos="1560"/>
        </w:tabs>
        <w:autoSpaceDE w:val="0"/>
        <w:autoSpaceDN w:val="0"/>
        <w:spacing w:line="360" w:lineRule="auto"/>
        <w:ind w:firstLine="480" w:firstLineChars="200"/>
        <w:rPr>
          <w:rFonts w:ascii="宋体" w:hAnsi="宋体" w:cs="仿宋"/>
          <w:color w:val="000000"/>
          <w:sz w:val="24"/>
          <w:highlight w:val="none"/>
        </w:rPr>
      </w:pPr>
      <w:r>
        <w:rPr>
          <w:rFonts w:hint="eastAsia" w:ascii="宋体" w:hAnsi="宋体" w:cs="仿宋"/>
          <w:color w:val="000000"/>
          <w:sz w:val="24"/>
          <w:highlight w:val="none"/>
          <w:lang w:val="zh-CN"/>
        </w:rPr>
        <w:t>乙方收到甲方所确认的书目定单之日起，乙方应及时对甲方所报的图书订单汇总、查重，安排采购。</w:t>
      </w:r>
      <w:r>
        <w:rPr>
          <w:rFonts w:hint="eastAsia" w:ascii="宋体" w:hAnsi="宋体" w:cs="仿宋"/>
          <w:color w:val="000000"/>
          <w:sz w:val="24"/>
          <w:highlight w:val="none"/>
        </w:rPr>
        <w:t>1、现货采购的到书时间与到书率：七天内100%；2、现货目录采购的到书时间与到书率：15天内80%，一个月内95%，半年内98%；3、期货目录采购的到书时间与到书率：一个月内90%，三个月内95%，半年内98%。</w:t>
      </w:r>
    </w:p>
    <w:p w14:paraId="7F34F1D8">
      <w:pPr>
        <w:autoSpaceDE w:val="0"/>
        <w:autoSpaceDN w:val="0"/>
        <w:spacing w:line="360" w:lineRule="auto"/>
        <w:rPr>
          <w:rFonts w:ascii="宋体" w:hAnsi="宋体" w:cs="仿宋"/>
          <w:b/>
          <w:color w:val="000000"/>
          <w:sz w:val="24"/>
          <w:highlight w:val="none"/>
          <w:lang w:val="zh-CN"/>
        </w:rPr>
      </w:pPr>
      <w:r>
        <w:rPr>
          <w:rFonts w:hint="eastAsia" w:ascii="宋体" w:hAnsi="宋体" w:cs="仿宋"/>
          <w:b/>
          <w:color w:val="000000"/>
          <w:sz w:val="24"/>
          <w:highlight w:val="none"/>
          <w:lang w:val="zh-CN"/>
        </w:rPr>
        <w:t>第五条送书方式</w:t>
      </w:r>
    </w:p>
    <w:p w14:paraId="7D8986A1">
      <w:pPr>
        <w:autoSpaceDE w:val="0"/>
        <w:autoSpaceDN w:val="0"/>
        <w:spacing w:line="360" w:lineRule="auto"/>
        <w:ind w:right="-6" w:firstLine="480" w:firstLineChars="200"/>
        <w:rPr>
          <w:rFonts w:ascii="宋体" w:hAnsi="宋体" w:cs="仿宋"/>
          <w:color w:val="000000"/>
          <w:sz w:val="24"/>
          <w:highlight w:val="none"/>
          <w:lang w:val="zh-CN"/>
        </w:rPr>
      </w:pPr>
      <w:r>
        <w:rPr>
          <w:rFonts w:hint="eastAsia" w:ascii="宋体" w:hAnsi="宋体" w:cs="仿宋"/>
          <w:color w:val="000000"/>
          <w:sz w:val="24"/>
          <w:highlight w:val="none"/>
          <w:lang w:val="zh-CN"/>
        </w:rPr>
        <w:t>乙方根据甲方要求的图书复本量配书，由乙方负责妥善包装，运输途中出现的任何意外甲方不承担任何责任，发生的损失由乙方承担。图书须按甲方要求发往甲方指定的地点或收货人，由乙方承担运输费用以及装、卸。</w:t>
      </w:r>
    </w:p>
    <w:p w14:paraId="5B15C70D">
      <w:pPr>
        <w:autoSpaceDE w:val="0"/>
        <w:autoSpaceDN w:val="0"/>
        <w:spacing w:line="360" w:lineRule="auto"/>
        <w:rPr>
          <w:rFonts w:ascii="宋体" w:hAnsi="宋体" w:cs="仿宋"/>
          <w:b/>
          <w:color w:val="000000"/>
          <w:sz w:val="24"/>
          <w:highlight w:val="none"/>
          <w:lang w:val="zh-CN"/>
        </w:rPr>
      </w:pPr>
      <w:r>
        <w:rPr>
          <w:rFonts w:hint="eastAsia" w:ascii="宋体" w:hAnsi="宋体" w:cs="仿宋"/>
          <w:b/>
          <w:color w:val="000000"/>
          <w:sz w:val="24"/>
          <w:highlight w:val="none"/>
          <w:lang w:val="zh-CN"/>
        </w:rPr>
        <w:t>第六条图书质量</w:t>
      </w:r>
    </w:p>
    <w:p w14:paraId="1A4126C9">
      <w:pPr>
        <w:tabs>
          <w:tab w:val="left" w:pos="145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（1）乙方须严格遵守国家有关出版物发行管理规定，不采购盗版或盗印等在知识产权出现瑕疵的出版物；对上述图书，甲方有权拒绝验收或予以退货、换货，乙方须无条件立即接受退货、换货。</w:t>
      </w:r>
    </w:p>
    <w:p w14:paraId="2F0A8A9D">
      <w:pPr>
        <w:tabs>
          <w:tab w:val="left" w:pos="145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（2）乙方保证图书的外观质量，如有缺页、倒装、污损等质量问题，由乙方负责立即无条件免费更换或退货。</w:t>
      </w:r>
    </w:p>
    <w:p w14:paraId="35929FB3">
      <w:pPr>
        <w:tabs>
          <w:tab w:val="left" w:pos="145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（3）乙方提供的到货图书品种和数量与甲方订货单不符时，乙方必须无条件立即负责退货。</w:t>
      </w:r>
    </w:p>
    <w:p w14:paraId="0DD1EC8B">
      <w:pPr>
        <w:tabs>
          <w:tab w:val="left" w:pos="145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（4）乙方提供的到货图书品种不适合甲方学科专业和学科层次的，乙方必须无条件立即负责退换。</w:t>
      </w:r>
    </w:p>
    <w:p w14:paraId="7D623BC7">
      <w:pPr>
        <w:tabs>
          <w:tab w:val="left" w:pos="1455"/>
        </w:tabs>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lang w:val="zh-CN"/>
        </w:rPr>
        <w:t>（5）乙方图书信息不明确或错误而导致的甲方误订购图书，甲方可以退货，乙方不得拒绝，并立即无条件予以接受。</w:t>
      </w:r>
    </w:p>
    <w:p w14:paraId="5605F341">
      <w:pPr>
        <w:tabs>
          <w:tab w:val="left" w:pos="1455"/>
        </w:tabs>
        <w:autoSpaceDE w:val="0"/>
        <w:autoSpaceDN w:val="0"/>
        <w:spacing w:line="360" w:lineRule="auto"/>
        <w:rPr>
          <w:rFonts w:ascii="宋体" w:hAnsi="宋体" w:cs="仿宋"/>
          <w:color w:val="000000"/>
          <w:sz w:val="24"/>
          <w:highlight w:val="none"/>
        </w:rPr>
      </w:pPr>
      <w:r>
        <w:rPr>
          <w:rFonts w:hint="eastAsia" w:ascii="宋体" w:hAnsi="宋体" w:cs="仿宋"/>
          <w:color w:val="000000"/>
          <w:sz w:val="24"/>
          <w:highlight w:val="none"/>
          <w:lang w:val="zh-CN"/>
        </w:rPr>
        <w:t>（6）订购图书涨价超过30%，乙方未征求甲方意见，甲方可以退货，乙方不得拒绝，并立即无条件予以接受。</w:t>
      </w:r>
    </w:p>
    <w:p w14:paraId="1268B907">
      <w:pPr>
        <w:autoSpaceDE w:val="0"/>
        <w:autoSpaceDN w:val="0"/>
        <w:spacing w:line="360" w:lineRule="auto"/>
        <w:rPr>
          <w:rFonts w:ascii="宋体" w:hAnsi="宋体" w:cs="仿宋"/>
          <w:b/>
          <w:color w:val="000000"/>
          <w:sz w:val="24"/>
          <w:highlight w:val="none"/>
          <w:lang w:val="zh-CN"/>
        </w:rPr>
      </w:pPr>
      <w:r>
        <w:rPr>
          <w:rFonts w:hint="eastAsia" w:ascii="宋体" w:hAnsi="宋体" w:cs="仿宋"/>
          <w:b/>
          <w:color w:val="000000"/>
          <w:sz w:val="24"/>
          <w:highlight w:val="none"/>
          <w:lang w:val="zh-CN"/>
        </w:rPr>
        <w:t>第七条验收和结算方式</w:t>
      </w:r>
    </w:p>
    <w:p w14:paraId="396DA84C">
      <w:pPr>
        <w:widowControl/>
        <w:snapToGrid w:val="0"/>
        <w:spacing w:line="360" w:lineRule="auto"/>
        <w:ind w:right="60" w:firstLine="540" w:firstLineChars="225"/>
        <w:jc w:val="left"/>
        <w:rPr>
          <w:rFonts w:ascii="宋体" w:hAnsi="宋体" w:cs="仿宋"/>
          <w:color w:val="000000"/>
          <w:sz w:val="24"/>
          <w:highlight w:val="none"/>
          <w:lang w:val="zh-CN"/>
        </w:rPr>
      </w:pPr>
      <w:r>
        <w:rPr>
          <w:rFonts w:hint="eastAsia" w:ascii="宋体" w:hAnsi="宋体" w:cs="仿宋"/>
          <w:color w:val="000000"/>
          <w:sz w:val="24"/>
          <w:highlight w:val="none"/>
          <w:lang w:val="zh-CN"/>
        </w:rPr>
        <w:t>1、甲方对乙方送交的图书依据招标文件上的要求标准进行验收。验收不合格的不予接收。（该等验收仅为图书数量及外观上的验收）</w:t>
      </w:r>
    </w:p>
    <w:p w14:paraId="296168BC">
      <w:pPr>
        <w:autoSpaceDE w:val="0"/>
        <w:autoSpaceDN w:val="0"/>
        <w:spacing w:line="360" w:lineRule="auto"/>
        <w:ind w:firstLine="480" w:firstLineChars="200"/>
        <w:rPr>
          <w:rFonts w:ascii="宋体" w:hAnsi="宋体" w:cs="仿宋"/>
          <w:b/>
          <w:color w:val="000000"/>
          <w:sz w:val="24"/>
          <w:highlight w:val="none"/>
          <w:lang w:val="zh-CN"/>
        </w:rPr>
      </w:pPr>
      <w:r>
        <w:rPr>
          <w:rFonts w:hint="eastAsia" w:ascii="宋体" w:hAnsi="宋体" w:cs="仿宋"/>
          <w:color w:val="000000"/>
          <w:sz w:val="24"/>
          <w:highlight w:val="none"/>
          <w:lang w:val="zh-CN"/>
        </w:rPr>
        <w:t>2、图书验收无误后，甲方根据政府采购相关规定，以图书定价为依据，以甲方确认后的订单及金额付款，按照投标折扣率（）结算书款。</w:t>
      </w:r>
      <w:r>
        <w:rPr>
          <w:rFonts w:hint="eastAsia" w:ascii="宋体" w:hAnsi="宋体"/>
          <w:bCs/>
          <w:color w:val="000000"/>
          <w:sz w:val="24"/>
          <w:highlight w:val="none"/>
        </w:rPr>
        <w:t>按供货进度情况结算，每次结算前乙方应先开具发票</w:t>
      </w:r>
      <w:r>
        <w:rPr>
          <w:rFonts w:ascii="宋体" w:hAnsi="宋体"/>
          <w:bCs/>
          <w:color w:val="000000"/>
          <w:sz w:val="24"/>
          <w:highlight w:val="none"/>
        </w:rPr>
        <w:t>，</w:t>
      </w:r>
      <w:r>
        <w:rPr>
          <w:rFonts w:hint="eastAsia" w:ascii="宋体" w:hAnsi="宋体"/>
          <w:bCs/>
          <w:color w:val="000000"/>
          <w:sz w:val="24"/>
          <w:highlight w:val="none"/>
        </w:rPr>
        <w:t>甲方凭票予以办理，202</w:t>
      </w:r>
      <w:r>
        <w:rPr>
          <w:rFonts w:hint="eastAsia" w:ascii="宋体" w:hAnsi="宋体"/>
          <w:bCs/>
          <w:color w:val="000000"/>
          <w:sz w:val="24"/>
          <w:highlight w:val="none"/>
          <w:lang w:val="en-US" w:eastAsia="zh-CN"/>
        </w:rPr>
        <w:t>5</w:t>
      </w:r>
      <w:r>
        <w:rPr>
          <w:rFonts w:hint="eastAsia" w:ascii="宋体" w:hAnsi="宋体"/>
          <w:bCs/>
          <w:color w:val="000000"/>
          <w:sz w:val="24"/>
          <w:highlight w:val="none"/>
        </w:rPr>
        <w:t>年 月 日前结清。</w:t>
      </w:r>
    </w:p>
    <w:p w14:paraId="427DB370">
      <w:pPr>
        <w:autoSpaceDE w:val="0"/>
        <w:autoSpaceDN w:val="0"/>
        <w:spacing w:line="360" w:lineRule="auto"/>
        <w:rPr>
          <w:rFonts w:ascii="宋体" w:hAnsi="宋体" w:cs="仿宋"/>
          <w:b/>
          <w:color w:val="000000"/>
          <w:sz w:val="24"/>
          <w:highlight w:val="none"/>
          <w:lang w:val="zh-CN"/>
        </w:rPr>
      </w:pPr>
      <w:r>
        <w:rPr>
          <w:rFonts w:hint="eastAsia" w:ascii="宋体" w:hAnsi="宋体" w:cs="仿宋"/>
          <w:b/>
          <w:color w:val="000000"/>
          <w:sz w:val="24"/>
          <w:highlight w:val="none"/>
          <w:lang w:val="zh-CN"/>
        </w:rPr>
        <w:t>第八条服务承诺</w:t>
      </w:r>
    </w:p>
    <w:p w14:paraId="777667A9">
      <w:pPr>
        <w:autoSpaceDE w:val="0"/>
        <w:autoSpaceDN w:val="0"/>
        <w:spacing w:line="360" w:lineRule="auto"/>
        <w:ind w:firstLine="480" w:firstLineChars="200"/>
        <w:rPr>
          <w:rFonts w:hint="eastAsia" w:ascii="宋体" w:hAnsi="宋体" w:cs="仿宋"/>
          <w:color w:val="000000"/>
          <w:sz w:val="24"/>
          <w:highlight w:val="none"/>
          <w:lang w:val="zh-CN"/>
        </w:rPr>
      </w:pPr>
      <w:r>
        <w:rPr>
          <w:rFonts w:hint="eastAsia" w:ascii="宋体" w:hAnsi="宋体" w:cs="仿宋"/>
          <w:color w:val="000000"/>
          <w:sz w:val="24"/>
          <w:highlight w:val="none"/>
          <w:lang w:val="zh-CN"/>
        </w:rPr>
        <w:t>1、乙方应按招标文件的规定，满足甲方提出的技术要求、服务要求和其它采购需求。</w:t>
      </w:r>
    </w:p>
    <w:p w14:paraId="65E329EA">
      <w:pPr>
        <w:autoSpaceDE w:val="0"/>
        <w:autoSpaceDN w:val="0"/>
        <w:spacing w:line="360" w:lineRule="auto"/>
        <w:ind w:firstLine="480" w:firstLineChars="200"/>
        <w:rPr>
          <w:rFonts w:hint="eastAsia" w:ascii="宋体" w:hAnsi="宋体" w:cs="仿宋"/>
          <w:color w:val="000000"/>
          <w:sz w:val="24"/>
          <w:highlight w:val="none"/>
          <w:lang w:val="zh-CN"/>
        </w:rPr>
      </w:pPr>
      <w:r>
        <w:rPr>
          <w:rFonts w:hint="eastAsia" w:ascii="宋体" w:hAnsi="宋体" w:cs="仿宋"/>
          <w:color w:val="000000"/>
          <w:sz w:val="24"/>
          <w:highlight w:val="none"/>
          <w:lang w:val="zh-CN"/>
        </w:rPr>
        <w:t>2、除响应甲方招标文件的要求外，乙方还承诺以下服务和优惠措施：</w:t>
      </w:r>
    </w:p>
    <w:p w14:paraId="7199AAC3">
      <w:pPr>
        <w:autoSpaceDE w:val="0"/>
        <w:autoSpaceDN w:val="0"/>
        <w:spacing w:line="360" w:lineRule="auto"/>
        <w:ind w:firstLine="480" w:firstLineChars="200"/>
        <w:rPr>
          <w:rFonts w:hint="eastAsia" w:ascii="宋体" w:hAnsi="宋体" w:cs="仿宋"/>
          <w:color w:val="000000"/>
          <w:sz w:val="24"/>
          <w:highlight w:val="none"/>
          <w:lang w:val="zh-CN"/>
        </w:rPr>
      </w:pPr>
      <w:r>
        <w:rPr>
          <w:rFonts w:hint="eastAsia" w:ascii="宋体" w:hAnsi="宋体" w:cs="仿宋"/>
          <w:color w:val="000000"/>
          <w:sz w:val="24"/>
          <w:highlight w:val="none"/>
          <w:lang w:val="zh-CN"/>
        </w:rPr>
        <w:t>（1）因甲方原因出现的退书，在不影响第二次销售的前提下，乙方应无条件接收。</w:t>
      </w:r>
    </w:p>
    <w:p w14:paraId="36F5389F">
      <w:pPr>
        <w:autoSpaceDE w:val="0"/>
        <w:autoSpaceDN w:val="0"/>
        <w:spacing w:line="360" w:lineRule="auto"/>
        <w:ind w:firstLine="480" w:firstLineChars="200"/>
        <w:rPr>
          <w:rFonts w:hint="eastAsia" w:ascii="宋体" w:hAnsi="宋体" w:cs="仿宋"/>
          <w:color w:val="000000"/>
          <w:sz w:val="24"/>
          <w:highlight w:val="none"/>
          <w:lang w:val="zh-CN"/>
        </w:rPr>
      </w:pPr>
      <w:r>
        <w:rPr>
          <w:rFonts w:hint="eastAsia" w:ascii="宋体" w:hAnsi="宋体" w:cs="仿宋"/>
          <w:color w:val="000000"/>
          <w:sz w:val="24"/>
          <w:highlight w:val="none"/>
          <w:lang w:val="zh-CN"/>
        </w:rPr>
        <w:t>（2）有常驻专职人员到馆加工，图书采编入库及售后加工专业人员至少各1人。</w:t>
      </w:r>
    </w:p>
    <w:p w14:paraId="4973050A">
      <w:pPr>
        <w:autoSpaceDE w:val="0"/>
        <w:autoSpaceDN w:val="0"/>
        <w:spacing w:line="360" w:lineRule="auto"/>
        <w:ind w:firstLine="480" w:firstLineChars="200"/>
        <w:rPr>
          <w:rFonts w:hint="eastAsia" w:ascii="宋体" w:hAnsi="宋体" w:cs="仿宋"/>
          <w:color w:val="000000"/>
          <w:sz w:val="24"/>
          <w:highlight w:val="none"/>
          <w:lang w:val="zh-CN"/>
        </w:rPr>
      </w:pPr>
      <w:r>
        <w:rPr>
          <w:rFonts w:hint="eastAsia" w:ascii="宋体" w:hAnsi="宋体" w:cs="仿宋"/>
          <w:color w:val="000000"/>
          <w:sz w:val="24"/>
          <w:highlight w:val="none"/>
          <w:lang w:val="zh-CN"/>
        </w:rPr>
        <w:t>（3）乙方配合甲方免费提供图书的加工服务，加工材料中的RFID芯片、条形码、书标由乙方免费提供。</w:t>
      </w:r>
    </w:p>
    <w:p w14:paraId="6D4E21A6">
      <w:pPr>
        <w:autoSpaceDE w:val="0"/>
        <w:autoSpaceDN w:val="0"/>
        <w:spacing w:line="360" w:lineRule="auto"/>
        <w:ind w:firstLine="480" w:firstLineChars="200"/>
        <w:rPr>
          <w:rFonts w:hint="eastAsia" w:ascii="宋体" w:hAnsi="宋体" w:cs="仿宋"/>
          <w:color w:val="000000"/>
          <w:sz w:val="24"/>
          <w:highlight w:val="none"/>
          <w:lang w:val="zh-CN"/>
        </w:rPr>
      </w:pPr>
      <w:r>
        <w:rPr>
          <w:rFonts w:hint="eastAsia" w:ascii="宋体" w:hAnsi="宋体" w:cs="仿宋"/>
          <w:color w:val="000000"/>
          <w:sz w:val="24"/>
          <w:highlight w:val="none"/>
          <w:lang w:val="zh-CN"/>
        </w:rPr>
        <w:t>（4）乙方每年提供学校讲座不少于5场和公共图书馆讲座不少于5场。</w:t>
      </w:r>
    </w:p>
    <w:p w14:paraId="593C0365">
      <w:pPr>
        <w:autoSpaceDE w:val="0"/>
        <w:autoSpaceDN w:val="0"/>
        <w:spacing w:line="360" w:lineRule="auto"/>
        <w:ind w:firstLine="480" w:firstLineChars="200"/>
        <w:rPr>
          <w:rFonts w:hint="eastAsia" w:ascii="宋体" w:hAnsi="宋体" w:cs="仿宋"/>
          <w:color w:val="000000"/>
          <w:sz w:val="24"/>
          <w:highlight w:val="none"/>
          <w:lang w:val="zh-CN"/>
        </w:rPr>
      </w:pPr>
      <w:r>
        <w:rPr>
          <w:rFonts w:hint="eastAsia" w:ascii="宋体" w:hAnsi="宋体" w:cs="仿宋"/>
          <w:color w:val="000000"/>
          <w:sz w:val="24"/>
          <w:highlight w:val="none"/>
          <w:lang w:val="zh-CN"/>
        </w:rPr>
        <w:t>（5）乙方提供合同期内的图书“悦借”服务。</w:t>
      </w:r>
    </w:p>
    <w:p w14:paraId="51A912D9">
      <w:pPr>
        <w:autoSpaceDE w:val="0"/>
        <w:autoSpaceDN w:val="0"/>
        <w:spacing w:line="360" w:lineRule="auto"/>
        <w:ind w:firstLine="480" w:firstLineChars="200"/>
        <w:rPr>
          <w:rFonts w:hint="eastAsia" w:ascii="宋体" w:hAnsi="宋体" w:cs="仿宋"/>
          <w:color w:val="000000"/>
          <w:sz w:val="24"/>
          <w:highlight w:val="none"/>
          <w:lang w:val="zh-CN"/>
        </w:rPr>
      </w:pPr>
      <w:r>
        <w:rPr>
          <w:rFonts w:hint="eastAsia" w:ascii="宋体" w:hAnsi="宋体" w:cs="仿宋"/>
          <w:color w:val="000000"/>
          <w:sz w:val="24"/>
          <w:highlight w:val="none"/>
          <w:lang w:val="zh-CN"/>
        </w:rPr>
        <w:t>（6）乙方提供    册，    服务点的书店借书服务。</w:t>
      </w:r>
    </w:p>
    <w:p w14:paraId="4FA0DAFD">
      <w:pPr>
        <w:autoSpaceDE w:val="0"/>
        <w:autoSpaceDN w:val="0"/>
        <w:spacing w:line="360" w:lineRule="auto"/>
        <w:rPr>
          <w:rFonts w:ascii="宋体" w:hAnsi="宋体" w:cs="仿宋"/>
          <w:b/>
          <w:color w:val="000000"/>
          <w:sz w:val="24"/>
          <w:highlight w:val="none"/>
          <w:lang w:val="zh-CN"/>
        </w:rPr>
      </w:pPr>
      <w:r>
        <w:rPr>
          <w:rFonts w:hint="eastAsia" w:ascii="宋体" w:hAnsi="宋体" w:cs="仿宋"/>
          <w:b/>
          <w:color w:val="000000"/>
          <w:sz w:val="24"/>
          <w:highlight w:val="none"/>
          <w:lang w:val="zh-CN"/>
        </w:rPr>
        <w:t>第九条乙方的违约责任</w:t>
      </w:r>
    </w:p>
    <w:p w14:paraId="12971515">
      <w:pPr>
        <w:autoSpaceDE w:val="0"/>
        <w:autoSpaceDN w:val="0"/>
        <w:spacing w:line="360" w:lineRule="auto"/>
        <w:ind w:right="-6"/>
        <w:jc w:val="left"/>
        <w:rPr>
          <w:rFonts w:ascii="宋体" w:hAnsi="宋体" w:cs="仿宋"/>
          <w:color w:val="000000"/>
          <w:sz w:val="24"/>
          <w:highlight w:val="none"/>
          <w:lang w:val="zh-CN"/>
        </w:rPr>
      </w:pPr>
      <w:r>
        <w:rPr>
          <w:rFonts w:hint="eastAsia" w:ascii="宋体" w:hAnsi="宋体" w:cs="仿宋"/>
          <w:color w:val="000000"/>
          <w:sz w:val="24"/>
          <w:highlight w:val="none"/>
        </w:rPr>
        <w:t>1</w:t>
      </w:r>
      <w:r>
        <w:rPr>
          <w:rFonts w:hint="eastAsia" w:ascii="宋体" w:hAnsi="宋体" w:cs="仿宋"/>
          <w:color w:val="000000"/>
          <w:sz w:val="24"/>
          <w:highlight w:val="none"/>
          <w:lang w:val="zh-CN"/>
        </w:rPr>
        <w:t>、产品错发到货地点或收货人的，乙方应负责将货物运交协议规定的到货地点或接货人，费用由乙方负责。</w:t>
      </w:r>
    </w:p>
    <w:p w14:paraId="2B07974A">
      <w:pPr>
        <w:autoSpaceDE w:val="0"/>
        <w:autoSpaceDN w:val="0"/>
        <w:spacing w:line="360" w:lineRule="auto"/>
        <w:rPr>
          <w:rFonts w:ascii="宋体" w:hAnsi="宋体" w:cs="仿宋"/>
          <w:color w:val="000000"/>
          <w:sz w:val="24"/>
          <w:highlight w:val="none"/>
          <w:lang w:val="zh-CN"/>
        </w:rPr>
      </w:pPr>
      <w:r>
        <w:rPr>
          <w:rFonts w:hint="eastAsia" w:ascii="宋体" w:hAnsi="宋体" w:cs="仿宋"/>
          <w:color w:val="000000"/>
          <w:sz w:val="24"/>
          <w:highlight w:val="none"/>
        </w:rPr>
        <w:t>2</w:t>
      </w:r>
      <w:r>
        <w:rPr>
          <w:rFonts w:hint="eastAsia" w:ascii="宋体" w:hAnsi="宋体" w:cs="仿宋"/>
          <w:color w:val="000000"/>
          <w:sz w:val="24"/>
          <w:highlight w:val="none"/>
          <w:lang w:val="zh-CN"/>
        </w:rPr>
        <w:t>、乙方出现以下情况之一，将视为乙方违约，甲方有权单方解除合同，并每次承担合同价1%的违约金，且所产生的一切后果由乙方负责。乙方屡次违约，且整改不力的，甲方将有权拒绝乙方三年内参与招标方组织的中文图书投标。</w:t>
      </w:r>
    </w:p>
    <w:p w14:paraId="358875B4">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（1）配发高价低折类图书、特价类图书；</w:t>
      </w:r>
    </w:p>
    <w:p w14:paraId="2930A302">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（2）未经甲方同意私自搭配图书；</w:t>
      </w:r>
    </w:p>
    <w:p w14:paraId="328953B6">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（3）配发盗版、盗印等在知识产权出现瑕疵的图书及其他非法出版物；</w:t>
      </w:r>
    </w:p>
    <w:p w14:paraId="69AAFADE">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（4）未按甲方要求提供承诺的加工服务，差错率高，供书时间逾期、经提醒未及时整改；</w:t>
      </w:r>
    </w:p>
    <w:p w14:paraId="44FB151A">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（5）在本次招标中的承诺未能履行并经甲方提醒仍未能执行；</w:t>
      </w:r>
    </w:p>
    <w:p w14:paraId="52883460">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（6）因触犯国家法律法规而受到有关部门调查起诉；</w:t>
      </w:r>
    </w:p>
    <w:p w14:paraId="1C7178F3">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（7）其他违反本协议及招标文件有关条款之行为。</w:t>
      </w:r>
    </w:p>
    <w:p w14:paraId="2670C867">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3、若乙方将合同义务的部分及全部，以任何形式转包、分包给第三方履行，则甲方可单方解除合同，乙方承担合同价25%违约责任。</w:t>
      </w:r>
    </w:p>
    <w:p w14:paraId="1FC44987">
      <w:pPr>
        <w:autoSpaceDE w:val="0"/>
        <w:autoSpaceDN w:val="0"/>
        <w:spacing w:line="360" w:lineRule="auto"/>
        <w:ind w:right="-7"/>
        <w:rPr>
          <w:rFonts w:ascii="宋体" w:hAnsi="宋体" w:cs="仿宋"/>
          <w:color w:val="000000"/>
          <w:sz w:val="24"/>
          <w:highlight w:val="none"/>
          <w:lang w:val="zh-CN"/>
        </w:rPr>
      </w:pPr>
      <w:r>
        <w:rPr>
          <w:rFonts w:hint="eastAsia" w:ascii="宋体" w:hAnsi="宋体" w:cs="仿宋"/>
          <w:color w:val="000000"/>
          <w:sz w:val="24"/>
          <w:highlight w:val="none"/>
          <w:lang w:val="zh-CN"/>
        </w:rPr>
        <w:t>4、未经甲方书面许可，单方解除合同，或以其行为表示不再履行合同义务，乙方应承担合同价30%违约金。</w:t>
      </w:r>
    </w:p>
    <w:p w14:paraId="32E7D7E0">
      <w:pPr>
        <w:autoSpaceDE w:val="0"/>
        <w:autoSpaceDN w:val="0"/>
        <w:spacing w:line="360" w:lineRule="auto"/>
        <w:ind w:right="-7"/>
        <w:rPr>
          <w:rFonts w:ascii="宋体" w:hAnsi="宋体" w:cs="仿宋"/>
          <w:b/>
          <w:color w:val="000000"/>
          <w:sz w:val="24"/>
          <w:highlight w:val="none"/>
          <w:lang w:val="zh-CN"/>
        </w:rPr>
      </w:pPr>
      <w:r>
        <w:rPr>
          <w:rFonts w:hint="eastAsia" w:ascii="宋体" w:hAnsi="宋体" w:cs="仿宋"/>
          <w:b/>
          <w:color w:val="000000"/>
          <w:sz w:val="24"/>
          <w:highlight w:val="none"/>
          <w:lang w:val="zh-CN"/>
        </w:rPr>
        <w:t>第十条甲方的违约责任</w:t>
      </w:r>
    </w:p>
    <w:p w14:paraId="1FE59F03">
      <w:pPr>
        <w:tabs>
          <w:tab w:val="left" w:pos="1440"/>
        </w:tabs>
        <w:autoSpaceDE w:val="0"/>
        <w:autoSpaceDN w:val="0"/>
        <w:spacing w:line="360" w:lineRule="auto"/>
        <w:jc w:val="left"/>
        <w:rPr>
          <w:rFonts w:ascii="宋体" w:hAnsi="宋体" w:cs="仿宋"/>
          <w:color w:val="000000"/>
          <w:sz w:val="24"/>
          <w:highlight w:val="none"/>
          <w:lang w:val="zh-CN"/>
        </w:rPr>
      </w:pPr>
      <w:r>
        <w:rPr>
          <w:rFonts w:hint="eastAsia" w:ascii="宋体" w:hAnsi="宋体" w:cs="仿宋"/>
          <w:color w:val="000000"/>
          <w:sz w:val="24"/>
          <w:highlight w:val="none"/>
          <w:lang w:val="zh-CN"/>
        </w:rPr>
        <w:t>（1）甲方违反协议拒绝收货或验货的，承担由此给乙方造成的损失和运输部门的相关费用。</w:t>
      </w:r>
    </w:p>
    <w:p w14:paraId="69C156C3">
      <w:pPr>
        <w:tabs>
          <w:tab w:val="left" w:pos="1440"/>
        </w:tabs>
        <w:autoSpaceDE w:val="0"/>
        <w:autoSpaceDN w:val="0"/>
        <w:spacing w:line="360" w:lineRule="auto"/>
        <w:ind w:right="-6"/>
        <w:jc w:val="left"/>
        <w:rPr>
          <w:rFonts w:ascii="宋体" w:hAnsi="宋体" w:cs="仿宋"/>
          <w:color w:val="000000"/>
          <w:sz w:val="24"/>
          <w:highlight w:val="none"/>
          <w:lang w:val="zh-CN"/>
        </w:rPr>
      </w:pPr>
      <w:r>
        <w:rPr>
          <w:rFonts w:hint="eastAsia" w:ascii="宋体" w:hAnsi="宋体" w:cs="仿宋"/>
          <w:color w:val="000000"/>
          <w:sz w:val="24"/>
          <w:highlight w:val="none"/>
          <w:lang w:val="zh-CN"/>
        </w:rPr>
        <w:t>（2）甲方错填到货地点或收货人，承担因此给乙方造成的损失。</w:t>
      </w:r>
    </w:p>
    <w:p w14:paraId="59BF6C1D">
      <w:pPr>
        <w:tabs>
          <w:tab w:val="left" w:pos="1800"/>
        </w:tabs>
        <w:autoSpaceDE w:val="0"/>
        <w:autoSpaceDN w:val="0"/>
        <w:spacing w:line="360" w:lineRule="auto"/>
        <w:ind w:right="-7"/>
        <w:rPr>
          <w:rFonts w:ascii="宋体" w:hAnsi="宋体" w:cs="仿宋"/>
          <w:b/>
          <w:color w:val="000000"/>
          <w:sz w:val="24"/>
          <w:highlight w:val="none"/>
          <w:lang w:val="zh-CN"/>
        </w:rPr>
      </w:pPr>
      <w:r>
        <w:rPr>
          <w:rFonts w:hint="eastAsia" w:ascii="宋体" w:hAnsi="宋体" w:cs="仿宋"/>
          <w:b/>
          <w:color w:val="000000"/>
          <w:sz w:val="24"/>
          <w:highlight w:val="none"/>
          <w:lang w:val="zh-CN"/>
        </w:rPr>
        <w:t>第十一条不可抗力</w:t>
      </w:r>
    </w:p>
    <w:p w14:paraId="718246B9">
      <w:pPr>
        <w:autoSpaceDE w:val="0"/>
        <w:autoSpaceDN w:val="0"/>
        <w:spacing w:line="360" w:lineRule="auto"/>
        <w:ind w:firstLine="480" w:firstLineChars="200"/>
        <w:rPr>
          <w:rFonts w:ascii="宋体" w:hAnsi="宋体" w:cs="仿宋"/>
          <w:color w:val="000000"/>
          <w:sz w:val="24"/>
          <w:highlight w:val="none"/>
          <w:lang w:val="zh-CN"/>
        </w:rPr>
      </w:pPr>
      <w:r>
        <w:rPr>
          <w:rFonts w:hint="eastAsia" w:ascii="宋体" w:hAnsi="宋体" w:cs="仿宋"/>
          <w:color w:val="000000"/>
          <w:sz w:val="24"/>
          <w:highlight w:val="none"/>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14:paraId="0933BCAE">
      <w:pPr>
        <w:tabs>
          <w:tab w:val="left" w:pos="1800"/>
        </w:tabs>
        <w:autoSpaceDE w:val="0"/>
        <w:autoSpaceDN w:val="0"/>
        <w:spacing w:line="360" w:lineRule="auto"/>
        <w:ind w:right="-7"/>
        <w:rPr>
          <w:rFonts w:ascii="宋体" w:hAnsi="宋体" w:cs="仿宋"/>
          <w:b/>
          <w:color w:val="000000"/>
          <w:sz w:val="24"/>
          <w:highlight w:val="none"/>
          <w:lang w:val="zh-CN"/>
        </w:rPr>
      </w:pPr>
      <w:r>
        <w:rPr>
          <w:rFonts w:hint="eastAsia" w:ascii="宋体" w:hAnsi="宋体" w:cs="仿宋"/>
          <w:b/>
          <w:color w:val="000000"/>
          <w:sz w:val="24"/>
          <w:highlight w:val="none"/>
          <w:lang w:val="zh-CN"/>
        </w:rPr>
        <w:t>第十二条争议的解决</w:t>
      </w:r>
    </w:p>
    <w:p w14:paraId="04CA444E">
      <w:pPr>
        <w:autoSpaceDE w:val="0"/>
        <w:autoSpaceDN w:val="0"/>
        <w:spacing w:after="120" w:line="360" w:lineRule="auto"/>
        <w:ind w:firstLine="480" w:firstLineChars="200"/>
        <w:rPr>
          <w:rFonts w:ascii="宋体" w:hAnsi="宋体" w:cs="仿宋"/>
          <w:color w:val="000000"/>
          <w:sz w:val="24"/>
          <w:highlight w:val="none"/>
          <w:lang w:val="zh-CN"/>
        </w:rPr>
      </w:pPr>
      <w:r>
        <w:rPr>
          <w:rFonts w:hint="eastAsia" w:ascii="宋体" w:hAnsi="宋体" w:cs="仿宋"/>
          <w:color w:val="000000"/>
          <w:sz w:val="24"/>
          <w:highlight w:val="none"/>
          <w:lang w:val="zh-CN"/>
        </w:rPr>
        <w:t>如因履行本合同发生争议时，双方应首先协商解决。协商不成时，任何一方均可向甲方所在地的人民法院提起诉讼，通过法律程序予以解决。</w:t>
      </w:r>
    </w:p>
    <w:p w14:paraId="7963C81C">
      <w:pPr>
        <w:autoSpaceDE w:val="0"/>
        <w:autoSpaceDN w:val="0"/>
        <w:spacing w:line="360" w:lineRule="auto"/>
        <w:ind w:right="-7"/>
        <w:rPr>
          <w:rFonts w:ascii="宋体" w:hAnsi="宋体" w:cs="仿宋"/>
          <w:b/>
          <w:color w:val="000000"/>
          <w:sz w:val="24"/>
          <w:highlight w:val="none"/>
          <w:lang w:val="zh-CN"/>
        </w:rPr>
      </w:pPr>
      <w:r>
        <w:rPr>
          <w:rFonts w:hint="eastAsia" w:ascii="宋体" w:hAnsi="宋体" w:cs="仿宋"/>
          <w:b/>
          <w:color w:val="000000"/>
          <w:sz w:val="24"/>
          <w:highlight w:val="none"/>
          <w:lang w:val="zh-CN"/>
        </w:rPr>
        <w:t>第十三条其他条款</w:t>
      </w:r>
    </w:p>
    <w:p w14:paraId="7D8C5530">
      <w:pPr>
        <w:pStyle w:val="555"/>
        <w:spacing w:line="360" w:lineRule="auto"/>
        <w:ind w:firstLine="482" w:firstLineChars="200"/>
        <w:rPr>
          <w:rFonts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任何文件，若以双方预留地址作为邮寄、送达目的地，均被视为真实、合法、有效的送达。</w:t>
      </w:r>
    </w:p>
    <w:p w14:paraId="57C4346D">
      <w:pPr>
        <w:pStyle w:val="555"/>
        <w:spacing w:line="360" w:lineRule="auto"/>
        <w:ind w:firstLine="482" w:firstLineChars="200"/>
        <w:rPr>
          <w:rFonts w:ascii="宋体" w:hAnsi="宋体" w:eastAsia="宋体" w:cs="宋体"/>
          <w:color w:val="000000"/>
          <w:sz w:val="24"/>
          <w:highlight w:val="none"/>
        </w:rPr>
      </w:pPr>
      <w:r>
        <w:rPr>
          <w:rFonts w:hint="eastAsia" w:ascii="宋体" w:hAnsi="宋体" w:eastAsia="宋体" w:cs="宋体"/>
          <w:color w:val="000000"/>
          <w:sz w:val="24"/>
          <w:highlight w:val="none"/>
          <w:lang w:val="zh-CN"/>
        </w:rPr>
        <w:t>本合同于签订之日起生效，有效期到</w:t>
      </w:r>
      <w:r>
        <w:rPr>
          <w:rFonts w:hint="eastAsia" w:ascii="宋体" w:hAnsi="宋体" w:eastAsia="宋体" w:cs="宋体"/>
          <w:bCs/>
          <w:color w:val="000000"/>
          <w:sz w:val="24"/>
          <w:highlight w:val="none"/>
        </w:rPr>
        <w:t>202</w:t>
      </w:r>
      <w:r>
        <w:rPr>
          <w:rFonts w:hint="eastAsia" w:ascii="宋体" w:hAnsi="宋体" w:eastAsia="宋体" w:cs="宋体"/>
          <w:bCs/>
          <w:color w:val="000000"/>
          <w:sz w:val="24"/>
          <w:highlight w:val="none"/>
          <w:lang w:val="en-US" w:eastAsia="zh-CN"/>
        </w:rPr>
        <w:t>5</w:t>
      </w:r>
      <w:r>
        <w:rPr>
          <w:rFonts w:hint="eastAsia" w:ascii="宋体" w:hAnsi="宋体" w:eastAsia="宋体" w:cs="宋体"/>
          <w:bCs/>
          <w:color w:val="000000"/>
          <w:sz w:val="24"/>
          <w:highlight w:val="none"/>
        </w:rPr>
        <w:t>年 月 日</w:t>
      </w:r>
      <w:r>
        <w:rPr>
          <w:rFonts w:hint="eastAsia" w:ascii="宋体" w:hAnsi="宋体" w:eastAsia="宋体" w:cs="宋体"/>
          <w:color w:val="000000"/>
          <w:sz w:val="24"/>
          <w:highlight w:val="none"/>
          <w:lang w:val="zh-CN"/>
        </w:rPr>
        <w:t>止。</w:t>
      </w:r>
    </w:p>
    <w:p w14:paraId="7EB4A5C3">
      <w:pPr>
        <w:tabs>
          <w:tab w:val="left" w:pos="1200"/>
        </w:tabs>
        <w:autoSpaceDE w:val="0"/>
        <w:autoSpaceDN w:val="0"/>
        <w:spacing w:line="360" w:lineRule="auto"/>
        <w:ind w:firstLine="480" w:firstLineChars="200"/>
        <w:rPr>
          <w:rFonts w:ascii="宋体" w:hAnsi="宋体" w:cs="仿宋"/>
          <w:color w:val="000000"/>
          <w:sz w:val="24"/>
          <w:highlight w:val="none"/>
          <w:lang w:val="zh-CN"/>
        </w:rPr>
      </w:pPr>
      <w:r>
        <w:rPr>
          <w:rFonts w:hint="eastAsia" w:ascii="宋体" w:hAnsi="宋体" w:cs="仿宋"/>
          <w:color w:val="000000"/>
          <w:sz w:val="24"/>
          <w:highlight w:val="none"/>
          <w:lang w:val="zh-CN"/>
        </w:rPr>
        <w:t>文本原件一式</w:t>
      </w:r>
      <w:r>
        <w:rPr>
          <w:rFonts w:hint="eastAsia" w:ascii="宋体" w:hAnsi="宋体" w:cs="仿宋"/>
          <w:color w:val="000000"/>
          <w:sz w:val="24"/>
          <w:highlight w:val="none"/>
          <w:lang w:val="en-US" w:eastAsia="zh-CN"/>
        </w:rPr>
        <w:t>六</w:t>
      </w:r>
      <w:r>
        <w:rPr>
          <w:rFonts w:hint="eastAsia" w:ascii="宋体" w:hAnsi="宋体" w:cs="仿宋"/>
          <w:color w:val="000000"/>
          <w:sz w:val="24"/>
          <w:highlight w:val="none"/>
          <w:lang w:val="zh-CN"/>
        </w:rPr>
        <w:t>份，甲方持</w:t>
      </w:r>
      <w:r>
        <w:rPr>
          <w:rFonts w:hint="eastAsia" w:ascii="宋体" w:hAnsi="宋体" w:cs="仿宋"/>
          <w:color w:val="000000"/>
          <w:sz w:val="24"/>
          <w:highlight w:val="none"/>
          <w:lang w:val="en-US" w:eastAsia="zh-CN"/>
        </w:rPr>
        <w:t>三</w:t>
      </w:r>
      <w:r>
        <w:rPr>
          <w:rFonts w:hint="eastAsia" w:ascii="宋体" w:hAnsi="宋体" w:cs="仿宋"/>
          <w:color w:val="000000"/>
          <w:sz w:val="24"/>
          <w:highlight w:val="none"/>
          <w:lang w:val="zh-CN"/>
        </w:rPr>
        <w:t>份，乙方持</w:t>
      </w:r>
      <w:r>
        <w:rPr>
          <w:rFonts w:hint="eastAsia" w:ascii="宋体" w:hAnsi="宋体" w:cs="仿宋"/>
          <w:color w:val="000000"/>
          <w:sz w:val="24"/>
          <w:highlight w:val="none"/>
          <w:lang w:val="en-US" w:eastAsia="zh-CN"/>
        </w:rPr>
        <w:t>三</w:t>
      </w:r>
      <w:r>
        <w:rPr>
          <w:rFonts w:hint="eastAsia" w:ascii="宋体" w:hAnsi="宋体" w:cs="仿宋"/>
          <w:color w:val="000000"/>
          <w:sz w:val="24"/>
          <w:highlight w:val="none"/>
          <w:lang w:val="zh-CN"/>
        </w:rPr>
        <w:t>份。</w:t>
      </w:r>
    </w:p>
    <w:p w14:paraId="70CA9711">
      <w:pPr>
        <w:tabs>
          <w:tab w:val="left" w:pos="1200"/>
        </w:tabs>
        <w:autoSpaceDE w:val="0"/>
        <w:autoSpaceDN w:val="0"/>
        <w:spacing w:line="360" w:lineRule="auto"/>
        <w:ind w:firstLine="480" w:firstLineChars="200"/>
        <w:rPr>
          <w:rFonts w:ascii="宋体" w:hAnsi="宋体" w:cs="仿宋"/>
          <w:color w:val="000000"/>
          <w:sz w:val="24"/>
          <w:highlight w:val="none"/>
          <w:lang w:val="zh-CN"/>
        </w:rPr>
      </w:pPr>
    </w:p>
    <w:p w14:paraId="719A0C91">
      <w:pPr>
        <w:spacing w:line="360" w:lineRule="auto"/>
        <w:ind w:firstLine="420" w:firstLineChars="175"/>
        <w:jc w:val="left"/>
        <w:rPr>
          <w:rFonts w:ascii="宋体" w:hAnsi="宋体" w:cs="仿宋"/>
          <w:color w:val="000000"/>
          <w:sz w:val="24"/>
          <w:highlight w:val="none"/>
        </w:rPr>
      </w:pPr>
      <w:r>
        <w:rPr>
          <w:rFonts w:hint="eastAsia" w:ascii="宋体" w:hAnsi="宋体" w:cs="仿宋"/>
          <w:color w:val="000000"/>
          <w:sz w:val="24"/>
          <w:highlight w:val="none"/>
        </w:rPr>
        <w:t xml:space="preserve">甲方（盖章）：            </w:t>
      </w:r>
    </w:p>
    <w:p w14:paraId="55B103C9">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 xml:space="preserve">法定代表人：                </w:t>
      </w:r>
    </w:p>
    <w:p w14:paraId="65FFF607">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 xml:space="preserve">或授权代表（签字）：        </w:t>
      </w:r>
    </w:p>
    <w:p w14:paraId="4367F778">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 xml:space="preserve">地址：                     </w:t>
      </w:r>
    </w:p>
    <w:p w14:paraId="11979063">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 xml:space="preserve">电话：                  </w:t>
      </w:r>
    </w:p>
    <w:p w14:paraId="147F1D04">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 xml:space="preserve">开户银行：               </w:t>
      </w:r>
    </w:p>
    <w:p w14:paraId="395F4B31">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 xml:space="preserve">账号：        </w:t>
      </w:r>
    </w:p>
    <w:p w14:paraId="6D304039">
      <w:pPr>
        <w:spacing w:line="360" w:lineRule="auto"/>
        <w:ind w:firstLine="480"/>
        <w:jc w:val="left"/>
        <w:rPr>
          <w:rFonts w:ascii="宋体" w:hAnsi="宋体" w:cs="仿宋"/>
          <w:color w:val="000000"/>
          <w:sz w:val="24"/>
          <w:highlight w:val="none"/>
        </w:rPr>
      </w:pPr>
    </w:p>
    <w:p w14:paraId="3E6521C9">
      <w:pPr>
        <w:spacing w:line="360" w:lineRule="auto"/>
        <w:ind w:firstLine="420" w:firstLineChars="175"/>
        <w:jc w:val="left"/>
        <w:rPr>
          <w:rFonts w:ascii="宋体" w:hAnsi="宋体" w:cs="仿宋"/>
          <w:color w:val="000000"/>
          <w:sz w:val="24"/>
          <w:highlight w:val="none"/>
        </w:rPr>
      </w:pPr>
      <w:r>
        <w:rPr>
          <w:rFonts w:hint="eastAsia" w:ascii="宋体" w:hAnsi="宋体" w:cs="仿宋"/>
          <w:color w:val="000000"/>
          <w:sz w:val="24"/>
          <w:highlight w:val="none"/>
        </w:rPr>
        <w:t>乙方（盖章）：</w:t>
      </w:r>
    </w:p>
    <w:p w14:paraId="017CC724">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 xml:space="preserve">法定代表人：                </w:t>
      </w:r>
    </w:p>
    <w:p w14:paraId="7782CFD1">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 xml:space="preserve">或授权代表（签字）：        </w:t>
      </w:r>
    </w:p>
    <w:p w14:paraId="46429281">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地址：</w:t>
      </w:r>
    </w:p>
    <w:p w14:paraId="1EB3163B">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电话：</w:t>
      </w:r>
    </w:p>
    <w:p w14:paraId="10DD0607">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开户银行：</w:t>
      </w:r>
    </w:p>
    <w:p w14:paraId="3E6527E2">
      <w:pPr>
        <w:spacing w:line="360" w:lineRule="auto"/>
        <w:ind w:firstLine="480"/>
        <w:jc w:val="left"/>
        <w:rPr>
          <w:rFonts w:ascii="宋体" w:hAnsi="宋体" w:cs="仿宋"/>
          <w:color w:val="000000"/>
          <w:sz w:val="24"/>
          <w:highlight w:val="none"/>
        </w:rPr>
      </w:pPr>
      <w:r>
        <w:rPr>
          <w:rFonts w:hint="eastAsia" w:ascii="宋体" w:hAnsi="宋体" w:cs="仿宋"/>
          <w:color w:val="000000"/>
          <w:sz w:val="24"/>
          <w:highlight w:val="none"/>
        </w:rPr>
        <w:t>账号：</w:t>
      </w:r>
    </w:p>
    <w:p w14:paraId="031D0F96">
      <w:pPr>
        <w:spacing w:line="360" w:lineRule="auto"/>
        <w:ind w:firstLine="480"/>
        <w:jc w:val="left"/>
        <w:rPr>
          <w:rFonts w:ascii="宋体" w:hAnsi="宋体" w:cs="仿宋"/>
          <w:color w:val="000000"/>
          <w:sz w:val="24"/>
          <w:highlight w:val="none"/>
        </w:rPr>
      </w:pPr>
    </w:p>
    <w:p w14:paraId="1FC0884A">
      <w:pPr>
        <w:spacing w:line="360" w:lineRule="auto"/>
        <w:ind w:firstLine="5520" w:firstLineChars="2300"/>
        <w:jc w:val="left"/>
        <w:rPr>
          <w:rFonts w:ascii="宋体" w:hAnsi="宋体" w:cs="仿宋"/>
          <w:color w:val="000000"/>
          <w:sz w:val="24"/>
          <w:highlight w:val="none"/>
        </w:rPr>
      </w:pPr>
      <w:r>
        <w:rPr>
          <w:rFonts w:hint="eastAsia" w:ascii="宋体" w:hAnsi="宋体" w:cs="仿宋"/>
          <w:color w:val="000000"/>
          <w:sz w:val="24"/>
          <w:highlight w:val="none"/>
        </w:rPr>
        <w:t>签约时间： 年 月 日</w:t>
      </w:r>
    </w:p>
    <w:p w14:paraId="05B173DE">
      <w:pPr>
        <w:autoSpaceDE w:val="0"/>
        <w:autoSpaceDN w:val="0"/>
        <w:spacing w:line="360" w:lineRule="auto"/>
        <w:ind w:firstLine="5520"/>
        <w:rPr>
          <w:rFonts w:ascii="宋体" w:hAnsi="宋体"/>
          <w:color w:val="000000"/>
          <w:sz w:val="24"/>
          <w:highlight w:val="none"/>
        </w:rPr>
      </w:pPr>
      <w:r>
        <w:rPr>
          <w:rFonts w:hint="eastAsia" w:ascii="宋体" w:hAnsi="宋体" w:cs="仿宋"/>
          <w:color w:val="000000"/>
          <w:sz w:val="24"/>
          <w:highlight w:val="none"/>
        </w:rPr>
        <w:t>签约地点：</w:t>
      </w:r>
    </w:p>
    <w:p w14:paraId="12757719">
      <w:pPr>
        <w:rPr>
          <w:highlight w:val="none"/>
        </w:rPr>
      </w:pPr>
    </w:p>
    <w:p w14:paraId="6182E09D">
      <w:pPr>
        <w:rPr>
          <w:highlight w:val="none"/>
        </w:rPr>
        <w:sectPr>
          <w:pgSz w:w="11906" w:h="16838"/>
          <w:pgMar w:top="1276" w:right="1418" w:bottom="1247" w:left="1418" w:header="851" w:footer="992" w:gutter="0"/>
          <w:cols w:space="720" w:num="1"/>
          <w:titlePg/>
          <w:docGrid w:linePitch="312" w:charSpace="0"/>
        </w:sect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4192595A">
      <w:pPr>
        <w:snapToGrid w:val="0"/>
        <w:spacing w:line="360" w:lineRule="auto"/>
        <w:ind w:right="480"/>
        <w:jc w:val="center"/>
        <w:rPr>
          <w:rFonts w:ascii="宋体" w:hAnsi="宋体" w:cs="宋体"/>
          <w:b/>
          <w:color w:val="auto"/>
          <w:kern w:val="0"/>
          <w:sz w:val="32"/>
          <w:szCs w:val="32"/>
          <w:highlight w:val="none"/>
        </w:rPr>
      </w:pPr>
    </w:p>
    <w:p w14:paraId="0374F190">
      <w:pPr>
        <w:snapToGrid w:val="0"/>
        <w:spacing w:line="360" w:lineRule="auto"/>
        <w:ind w:right="480"/>
        <w:jc w:val="center"/>
        <w:rPr>
          <w:rFonts w:ascii="宋体" w:hAnsi="宋体" w:cs="宋体"/>
          <w:b/>
          <w:color w:val="auto"/>
          <w:kern w:val="0"/>
          <w:sz w:val="32"/>
          <w:szCs w:val="32"/>
          <w:highlight w:val="none"/>
        </w:rPr>
      </w:pPr>
    </w:p>
    <w:p w14:paraId="059D89E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4"/>
        <w:rPr>
          <w:color w:val="auto"/>
          <w:highlight w:val="none"/>
          <w:lang w:val="en-US"/>
        </w:rPr>
      </w:pPr>
    </w:p>
    <w:p w14:paraId="1C185869">
      <w:pPr>
        <w:rPr>
          <w:color w:val="auto"/>
          <w:highlight w:val="none"/>
          <w:lang w:val="en-US"/>
        </w:rPr>
      </w:pPr>
    </w:p>
    <w:p w14:paraId="31BCF8FF">
      <w:pPr>
        <w:pStyle w:val="2"/>
        <w:rPr>
          <w:color w:val="auto"/>
          <w:highlight w:val="none"/>
          <w:lang w:val="en-US"/>
        </w:rPr>
      </w:pPr>
    </w:p>
    <w:p w14:paraId="30C9D90F">
      <w:pPr>
        <w:pStyle w:val="2"/>
        <w:rPr>
          <w:color w:val="auto"/>
          <w:highlight w:val="none"/>
          <w:lang w:val="en-US"/>
        </w:rPr>
      </w:pPr>
    </w:p>
    <w:p w14:paraId="797C80AD">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257DD1AD">
      <w:pPr>
        <w:pStyle w:val="2"/>
        <w:rPr>
          <w:rFonts w:ascii="宋体" w:hAnsi="宋体" w:cs="宋体"/>
          <w:b/>
          <w:color w:val="auto"/>
          <w:kern w:val="0"/>
          <w:sz w:val="32"/>
          <w:szCs w:val="32"/>
          <w:highlight w:val="none"/>
        </w:rPr>
      </w:pPr>
    </w:p>
    <w:p w14:paraId="13A2D571">
      <w:pPr>
        <w:pStyle w:val="2"/>
        <w:rPr>
          <w:rFonts w:ascii="宋体" w:hAnsi="宋体" w:cs="宋体"/>
          <w:b/>
          <w:color w:val="auto"/>
          <w:kern w:val="0"/>
          <w:sz w:val="32"/>
          <w:szCs w:val="32"/>
          <w:highlight w:val="none"/>
        </w:rPr>
      </w:pPr>
    </w:p>
    <w:p w14:paraId="45B7466C">
      <w:pPr>
        <w:pStyle w:val="2"/>
        <w:rPr>
          <w:rFonts w:ascii="宋体" w:hAnsi="宋体" w:cs="宋体"/>
          <w:b/>
          <w:color w:val="auto"/>
          <w:kern w:val="0"/>
          <w:sz w:val="32"/>
          <w:szCs w:val="32"/>
          <w:highlight w:val="none"/>
        </w:rPr>
      </w:pPr>
    </w:p>
    <w:p w14:paraId="072727FF">
      <w:pPr>
        <w:pStyle w:val="2"/>
        <w:rPr>
          <w:rFonts w:ascii="宋体" w:hAnsi="宋体" w:cs="宋体"/>
          <w:b/>
          <w:color w:val="auto"/>
          <w:kern w:val="0"/>
          <w:sz w:val="32"/>
          <w:szCs w:val="32"/>
          <w:highlight w:val="none"/>
        </w:rPr>
      </w:pPr>
    </w:p>
    <w:p w14:paraId="43E692FC">
      <w:pPr>
        <w:pStyle w:val="2"/>
        <w:rPr>
          <w:rFonts w:ascii="宋体" w:hAnsi="宋体" w:cs="宋体"/>
          <w:b/>
          <w:color w:val="auto"/>
          <w:kern w:val="0"/>
          <w:sz w:val="32"/>
          <w:szCs w:val="32"/>
          <w:highlight w:val="none"/>
        </w:rPr>
      </w:pPr>
    </w:p>
    <w:p w14:paraId="1DA71294">
      <w:pPr>
        <w:pStyle w:val="2"/>
        <w:rPr>
          <w:rFonts w:ascii="宋体" w:hAnsi="宋体" w:cs="宋体"/>
          <w:b/>
          <w:color w:val="auto"/>
          <w:kern w:val="0"/>
          <w:sz w:val="32"/>
          <w:szCs w:val="32"/>
          <w:highlight w:val="none"/>
        </w:rPr>
      </w:pPr>
    </w:p>
    <w:p w14:paraId="5DBECA7A">
      <w:pPr>
        <w:pStyle w:val="2"/>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79B6D0">
      <w:pPr>
        <w:pStyle w:val="2"/>
        <w:rPr>
          <w:rFonts w:hint="eastAsia" w:ascii="宋体" w:hAnsi="宋体" w:cs="宋体"/>
          <w:color w:val="auto"/>
          <w:kern w:val="0"/>
          <w:sz w:val="24"/>
          <w:highlight w:val="none"/>
          <w:lang w:val="zh-CN"/>
        </w:rPr>
      </w:pPr>
    </w:p>
    <w:p w14:paraId="2EAF949B">
      <w:pPr>
        <w:pStyle w:val="2"/>
        <w:rPr>
          <w:rFonts w:hint="eastAsia" w:ascii="宋体" w:hAnsi="宋体" w:cs="宋体"/>
          <w:color w:val="auto"/>
          <w:kern w:val="0"/>
          <w:sz w:val="24"/>
          <w:highlight w:val="none"/>
          <w:lang w:val="zh-CN"/>
        </w:rPr>
      </w:pP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4"/>
        <w:rPr>
          <w:color w:val="auto"/>
          <w:highlight w:val="none"/>
          <w:lang w:val="en-US"/>
        </w:rPr>
      </w:pPr>
    </w:p>
    <w:p w14:paraId="30874314">
      <w:pPr>
        <w:rPr>
          <w:color w:val="auto"/>
          <w:highlight w:val="none"/>
        </w:rPr>
      </w:pPr>
    </w:p>
    <w:p w14:paraId="07890F6E">
      <w:pPr>
        <w:pStyle w:val="4"/>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2759A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4D8448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F59D13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3DCCB3A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F9342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23DD204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473C495">
            <w:pPr>
              <w:rPr>
                <w:rFonts w:ascii="宋体" w:hAnsi="宋体" w:cs="宋体"/>
                <w:color w:val="000000" w:themeColor="text1"/>
                <w:sz w:val="24"/>
                <w:highlight w:val="none"/>
                <w14:textFill>
                  <w14:solidFill>
                    <w14:schemeClr w14:val="tx1"/>
                  </w14:solidFill>
                </w14:textFill>
              </w:rPr>
            </w:pPr>
          </w:p>
          <w:p w14:paraId="2EFD984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4D40010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69497F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4FEB1B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418A3ED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0816E62A">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其他实质性要求1：到馆加工服务</w:t>
            </w:r>
          </w:p>
        </w:tc>
        <w:tc>
          <w:tcPr>
            <w:tcW w:w="2551" w:type="dxa"/>
            <w:vMerge w:val="restart"/>
            <w:vAlign w:val="center"/>
          </w:tcPr>
          <w:p w14:paraId="5563D5BE">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1BD3FA50">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其他实质性要求2：书店借书服务</w:t>
            </w:r>
          </w:p>
        </w:tc>
        <w:tc>
          <w:tcPr>
            <w:tcW w:w="2551" w:type="dxa"/>
            <w:vMerge w:val="continue"/>
            <w:vAlign w:val="center"/>
          </w:tcPr>
          <w:p w14:paraId="2B845AB5">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05C42D45">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1460D33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5A7E1580">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3228697A">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25502383">
      <w:pPr>
        <w:pStyle w:val="2"/>
        <w:rPr>
          <w:rFonts w:ascii="宋体" w:hAnsi="宋体" w:cs="宋体"/>
          <w:b/>
          <w:color w:val="auto"/>
          <w:kern w:val="0"/>
          <w:sz w:val="32"/>
          <w:szCs w:val="32"/>
          <w:highlight w:val="none"/>
        </w:rPr>
      </w:pPr>
    </w:p>
    <w:p w14:paraId="1CC0C4A7">
      <w:pPr>
        <w:pStyle w:val="2"/>
        <w:rPr>
          <w:rFonts w:ascii="宋体" w:hAnsi="宋体" w:cs="宋体"/>
          <w:b/>
          <w:color w:val="auto"/>
          <w:kern w:val="0"/>
          <w:sz w:val="32"/>
          <w:szCs w:val="32"/>
          <w:highlight w:val="none"/>
        </w:rPr>
      </w:pPr>
    </w:p>
    <w:p w14:paraId="48E243E5">
      <w:pPr>
        <w:pStyle w:val="2"/>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4D63845">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17"/>
      </w:tblGrid>
      <w:tr w14:paraId="506D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52" w:type="dxa"/>
            <w:noWrap/>
            <w:vAlign w:val="center"/>
          </w:tcPr>
          <w:p w14:paraId="040824D6">
            <w:pPr>
              <w:jc w:val="distribute"/>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7217" w:type="dxa"/>
            <w:noWrap/>
            <w:vAlign w:val="center"/>
          </w:tcPr>
          <w:p w14:paraId="68F41B5A">
            <w:pPr>
              <w:ind w:firstLine="480" w:firstLineChars="200"/>
              <w:rPr>
                <w:rFonts w:hint="eastAsia" w:ascii="仿宋_GB2312" w:hAnsi="仿宋_GB2312" w:eastAsia="仿宋_GB2312" w:cs="仿宋_GB2312"/>
                <w:sz w:val="24"/>
                <w:lang w:val="en-US" w:eastAsia="zh-CN"/>
              </w:rPr>
            </w:pPr>
          </w:p>
          <w:p w14:paraId="26E4A398">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杭州市上城区图书馆2025年中文图书采购项目</w:t>
            </w:r>
          </w:p>
          <w:p w14:paraId="77708621">
            <w:pPr>
              <w:jc w:val="center"/>
              <w:rPr>
                <w:rFonts w:ascii="仿宋_GB2312" w:hAnsi="仿宋_GB2312" w:eastAsia="仿宋_GB2312" w:cs="仿宋_GB2312"/>
                <w:b/>
                <w:sz w:val="24"/>
              </w:rPr>
            </w:pPr>
          </w:p>
        </w:tc>
      </w:tr>
      <w:tr w14:paraId="1D43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1952" w:type="dxa"/>
            <w:noWrap/>
            <w:vAlign w:val="center"/>
          </w:tcPr>
          <w:p w14:paraId="576CDEFE">
            <w:pPr>
              <w:jc w:val="distribute"/>
              <w:rPr>
                <w:rFonts w:ascii="仿宋_GB2312" w:hAnsi="仿宋_GB2312" w:eastAsia="仿宋_GB2312" w:cs="仿宋_GB2312"/>
                <w:sz w:val="24"/>
              </w:rPr>
            </w:pPr>
            <w:r>
              <w:rPr>
                <w:rFonts w:hint="eastAsia" w:ascii="仿宋_GB2312" w:hAnsi="仿宋_GB2312" w:eastAsia="仿宋_GB2312" w:cs="仿宋_GB2312"/>
                <w:sz w:val="24"/>
              </w:rPr>
              <w:t>投标报价</w:t>
            </w:r>
          </w:p>
        </w:tc>
        <w:tc>
          <w:tcPr>
            <w:tcW w:w="7217" w:type="dxa"/>
            <w:noWrap/>
            <w:vAlign w:val="center"/>
          </w:tcPr>
          <w:p w14:paraId="00752E50">
            <w:pPr>
              <w:rPr>
                <w:rFonts w:ascii="仿宋_GB2312" w:hAnsi="仿宋_GB2312" w:eastAsia="仿宋_GB2312" w:cs="仿宋_GB2312"/>
                <w:sz w:val="24"/>
              </w:rPr>
            </w:pPr>
          </w:p>
          <w:p w14:paraId="4AB4CD0B">
            <w:pPr>
              <w:rPr>
                <w:rFonts w:ascii="仿宋_GB2312" w:hAnsi="仿宋_GB2312" w:eastAsia="仿宋_GB2312" w:cs="仿宋_GB2312"/>
                <w:sz w:val="24"/>
              </w:rPr>
            </w:pPr>
            <w:r>
              <w:rPr>
                <w:rFonts w:hint="eastAsia" w:ascii="仿宋_GB2312" w:hAnsi="仿宋_GB2312" w:eastAsia="仿宋_GB2312" w:cs="仿宋_GB2312"/>
                <w:sz w:val="24"/>
              </w:rPr>
              <w:t xml:space="preserve">承诺折扣: </w:t>
            </w:r>
            <w:r>
              <w:rPr>
                <w:rFonts w:hint="eastAsia" w:ascii="仿宋_GB2312" w:hAnsi="仿宋_GB2312" w:eastAsia="仿宋_GB2312" w:cs="仿宋_GB2312"/>
                <w:sz w:val="24"/>
                <w:u w:val="single"/>
              </w:rPr>
              <w:t xml:space="preserve">                     %</w:t>
            </w:r>
          </w:p>
          <w:p w14:paraId="7A671849">
            <w:pPr>
              <w:rPr>
                <w:rFonts w:ascii="仿宋_GB2312" w:hAnsi="仿宋_GB2312" w:eastAsia="仿宋_GB2312" w:cs="仿宋_GB2312"/>
                <w:sz w:val="24"/>
              </w:rPr>
            </w:pPr>
          </w:p>
          <w:p w14:paraId="60B72EF7">
            <w:pPr>
              <w:pStyle w:val="2"/>
              <w:ind w:firstLine="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(本项目预算金额为1</w:t>
            </w:r>
            <w:r>
              <w:rPr>
                <w:rFonts w:hint="eastAsia" w:ascii="仿宋_GB2312" w:hAnsi="仿宋_GB2312" w:eastAsia="仿宋_GB2312" w:cs="仿宋_GB2312"/>
                <w:kern w:val="2"/>
                <w:sz w:val="24"/>
                <w:szCs w:val="24"/>
                <w:lang w:val="en-US" w:eastAsia="zh-CN"/>
              </w:rPr>
              <w:t>60</w:t>
            </w:r>
            <w:r>
              <w:rPr>
                <w:rFonts w:hint="eastAsia" w:ascii="仿宋_GB2312" w:hAnsi="仿宋_GB2312" w:eastAsia="仿宋_GB2312" w:cs="仿宋_GB2312"/>
                <w:kern w:val="2"/>
                <w:sz w:val="24"/>
                <w:szCs w:val="24"/>
              </w:rPr>
              <w:t>万元 )</w:t>
            </w:r>
          </w:p>
        </w:tc>
      </w:tr>
      <w:tr w14:paraId="1087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2" w:type="dxa"/>
            <w:noWrap/>
            <w:vAlign w:val="center"/>
          </w:tcPr>
          <w:p w14:paraId="500980BD">
            <w:pPr>
              <w:jc w:val="distribute"/>
              <w:rPr>
                <w:rFonts w:ascii="仿宋_GB2312" w:hAnsi="仿宋_GB2312" w:eastAsia="仿宋_GB2312" w:cs="仿宋_GB2312"/>
                <w:sz w:val="24"/>
              </w:rPr>
            </w:pPr>
            <w:r>
              <w:rPr>
                <w:rFonts w:hint="eastAsia" w:ascii="仿宋_GB2312" w:hAnsi="仿宋_GB2312" w:eastAsia="仿宋_GB2312" w:cs="仿宋_GB2312"/>
                <w:sz w:val="24"/>
              </w:rPr>
              <w:t>合同履行期限</w:t>
            </w:r>
          </w:p>
        </w:tc>
        <w:tc>
          <w:tcPr>
            <w:tcW w:w="7217" w:type="dxa"/>
            <w:noWrap/>
            <w:vAlign w:val="center"/>
          </w:tcPr>
          <w:p w14:paraId="0E06CBE2">
            <w:pPr>
              <w:rPr>
                <w:rFonts w:ascii="仿宋_GB2312" w:hAnsi="仿宋_GB2312" w:eastAsia="仿宋_GB2312" w:cs="仿宋_GB2312"/>
                <w:sz w:val="24"/>
              </w:rPr>
            </w:pPr>
            <w:r>
              <w:rPr>
                <w:rFonts w:hint="eastAsia" w:ascii="仿宋_GB2312" w:hAnsi="仿宋_GB2312" w:eastAsia="仿宋_GB2312" w:cs="仿宋_GB2312"/>
                <w:sz w:val="24"/>
              </w:rPr>
              <w:t>服务期限</w:t>
            </w:r>
            <w:r>
              <w:rPr>
                <w:rFonts w:hint="eastAsia" w:ascii="仿宋_GB2312" w:hAnsi="仿宋_GB2312" w:eastAsia="仿宋_GB2312" w:cs="仿宋_GB2312"/>
                <w:sz w:val="24"/>
                <w:lang w:val="en-US" w:eastAsia="zh-CN"/>
              </w:rPr>
              <w:t xml:space="preserve">   </w:t>
            </w:r>
            <w:bookmarkStart w:id="416" w:name="_GoBack"/>
            <w:bookmarkEnd w:id="416"/>
            <w:r>
              <w:rPr>
                <w:rFonts w:hint="eastAsia" w:ascii="仿宋_GB2312" w:hAnsi="仿宋_GB2312" w:eastAsia="仿宋_GB2312" w:cs="仿宋_GB2312"/>
                <w:sz w:val="24"/>
              </w:rPr>
              <w:t>。</w:t>
            </w:r>
          </w:p>
        </w:tc>
      </w:tr>
      <w:tr w14:paraId="656E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52" w:type="dxa"/>
            <w:noWrap/>
            <w:vAlign w:val="center"/>
          </w:tcPr>
          <w:p w14:paraId="5ADEC163">
            <w:pPr>
              <w:jc w:val="distribute"/>
              <w:rPr>
                <w:rFonts w:ascii="仿宋_GB2312" w:hAnsi="仿宋_GB2312" w:eastAsia="仿宋_GB2312" w:cs="仿宋_GB2312"/>
                <w:sz w:val="24"/>
              </w:rPr>
            </w:pPr>
            <w:r>
              <w:rPr>
                <w:rFonts w:hint="eastAsia" w:ascii="仿宋_GB2312" w:hAnsi="仿宋_GB2312" w:eastAsia="仿宋_GB2312" w:cs="仿宋_GB2312"/>
                <w:sz w:val="24"/>
              </w:rPr>
              <w:t>备注</w:t>
            </w:r>
          </w:p>
        </w:tc>
        <w:tc>
          <w:tcPr>
            <w:tcW w:w="7217" w:type="dxa"/>
            <w:noWrap/>
            <w:vAlign w:val="center"/>
          </w:tcPr>
          <w:p w14:paraId="3ED8E0D4">
            <w:pPr>
              <w:snapToGrid w:val="0"/>
              <w:spacing w:line="500" w:lineRule="exact"/>
              <w:rPr>
                <w:rFonts w:ascii="仿宋_GB2312" w:hAnsi="仿宋_GB2312" w:eastAsia="仿宋_GB2312" w:cs="仿宋_GB2312"/>
                <w:sz w:val="24"/>
              </w:rPr>
            </w:pPr>
            <w:r>
              <w:rPr>
                <w:rFonts w:hint="eastAsia" w:ascii="仿宋_GB2312" w:hAnsi="宋体" w:eastAsia="仿宋_GB2312" w:cs="仿宋_GB2312"/>
                <w:color w:val="auto"/>
                <w:kern w:val="0"/>
                <w:sz w:val="24"/>
                <w:lang w:val="zh-CN"/>
              </w:rPr>
              <w:t>如投标人的承诺折扣为</w:t>
            </w:r>
            <w:r>
              <w:rPr>
                <w:rFonts w:hint="eastAsia" w:ascii="仿宋_GB2312" w:hAnsi="宋体" w:eastAsia="仿宋_GB2312" w:cs="仿宋_GB2312"/>
                <w:color w:val="auto"/>
                <w:kern w:val="0"/>
                <w:sz w:val="24"/>
              </w:rPr>
              <w:t>9.5折，则表格中承诺折扣填写为95%</w:t>
            </w:r>
          </w:p>
        </w:tc>
      </w:tr>
    </w:tbl>
    <w:p w14:paraId="746541D6">
      <w:pPr>
        <w:spacing w:line="360" w:lineRule="auto"/>
        <w:jc w:val="center"/>
        <w:rPr>
          <w:rFonts w:hint="eastAsia" w:ascii="宋体" w:hAnsi="宋体" w:cs="宋体"/>
          <w:b/>
          <w:kern w:val="0"/>
          <w:sz w:val="24"/>
          <w:highlight w:val="none"/>
          <w:lang w:val="zh-CN"/>
        </w:rPr>
      </w:pPr>
    </w:p>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7" w:name="_Toc465665161"/>
      <w:r>
        <w:rPr>
          <w:rFonts w:hint="eastAsia" w:ascii="宋体" w:hAnsi="宋体" w:cs="宋体"/>
          <w:color w:val="auto"/>
          <w:highlight w:val="none"/>
        </w:rPr>
        <w:t>附件</w:t>
      </w:r>
      <w:bookmarkEnd w:id="407"/>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31FF1511">
      <w:pPr>
        <w:pStyle w:val="2"/>
        <w:rPr>
          <w:rFonts w:ascii="宋体" w:hAnsi="宋体" w:cs="宋体"/>
          <w:b/>
          <w:color w:val="auto"/>
          <w:sz w:val="24"/>
          <w:highlight w:val="none"/>
        </w:rPr>
      </w:pPr>
    </w:p>
    <w:p w14:paraId="76E69497">
      <w:pPr>
        <w:pStyle w:val="2"/>
        <w:rPr>
          <w:rFonts w:ascii="宋体" w:hAnsi="宋体" w:cs="宋体"/>
          <w:b/>
          <w:color w:val="auto"/>
          <w:sz w:val="24"/>
          <w:highlight w:val="none"/>
        </w:rPr>
      </w:pPr>
    </w:p>
    <w:p w14:paraId="678F691C">
      <w:pPr>
        <w:pStyle w:val="2"/>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05FE2770">
      <w:pPr>
        <w:pStyle w:val="2"/>
        <w:rPr>
          <w:rFonts w:hint="eastAsia" w:ascii="宋体" w:hAnsi="宋体" w:cs="宋体"/>
          <w:b/>
          <w:color w:val="auto"/>
          <w:spacing w:val="6"/>
          <w:sz w:val="32"/>
          <w:szCs w:val="32"/>
          <w:highlight w:val="none"/>
        </w:rPr>
      </w:pPr>
    </w:p>
    <w:p w14:paraId="38CB3EAD">
      <w:pPr>
        <w:pStyle w:val="2"/>
        <w:rPr>
          <w:rFonts w:hint="eastAsia" w:ascii="宋体" w:hAnsi="宋体" w:cs="宋体"/>
          <w:b/>
          <w:color w:val="auto"/>
          <w:spacing w:val="6"/>
          <w:sz w:val="32"/>
          <w:szCs w:val="32"/>
          <w:highlight w:val="none"/>
        </w:rPr>
      </w:pPr>
    </w:p>
    <w:p w14:paraId="0A832FB3">
      <w:pPr>
        <w:pStyle w:val="2"/>
        <w:rPr>
          <w:rFonts w:hint="eastAsia" w:ascii="宋体" w:hAnsi="宋体" w:cs="宋体"/>
          <w:b/>
          <w:color w:val="auto"/>
          <w:spacing w:val="6"/>
          <w:sz w:val="32"/>
          <w:szCs w:val="32"/>
          <w:highlight w:val="none"/>
        </w:rPr>
      </w:pPr>
    </w:p>
    <w:p w14:paraId="3201427E">
      <w:pPr>
        <w:pStyle w:val="2"/>
        <w:rPr>
          <w:rFonts w:hint="eastAsia" w:ascii="宋体" w:hAnsi="宋体" w:cs="宋体"/>
          <w:b/>
          <w:color w:val="auto"/>
          <w:spacing w:val="6"/>
          <w:sz w:val="32"/>
          <w:szCs w:val="32"/>
          <w:highlight w:val="none"/>
        </w:rPr>
      </w:pPr>
    </w:p>
    <w:p w14:paraId="4605829B">
      <w:pPr>
        <w:pStyle w:val="2"/>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3BB59D8">
      <w:pPr>
        <w:autoSpaceDE w:val="0"/>
        <w:autoSpaceDN w:val="0"/>
        <w:jc w:val="center"/>
        <w:rPr>
          <w:rFonts w:hint="eastAsia" w:ascii="宋体" w:hAnsi="宋体" w:cs="宋体"/>
          <w:b/>
          <w:color w:val="auto"/>
          <w:spacing w:val="6"/>
          <w:sz w:val="32"/>
          <w:szCs w:val="32"/>
          <w:highlight w:val="none"/>
        </w:rPr>
      </w:pPr>
    </w:p>
    <w:p w14:paraId="24115DAF">
      <w:pPr>
        <w:autoSpaceDE w:val="0"/>
        <w:autoSpaceDN w:val="0"/>
        <w:jc w:val="center"/>
        <w:rPr>
          <w:rFonts w:hint="eastAsia" w:ascii="宋体" w:hAnsi="宋体" w:cs="宋体"/>
          <w:b/>
          <w:color w:val="auto"/>
          <w:spacing w:val="6"/>
          <w:sz w:val="32"/>
          <w:szCs w:val="32"/>
          <w:highlight w:val="none"/>
        </w:rPr>
      </w:pPr>
    </w:p>
    <w:p w14:paraId="6B18C031">
      <w:pPr>
        <w:autoSpaceDE w:val="0"/>
        <w:autoSpaceDN w:val="0"/>
        <w:jc w:val="center"/>
        <w:rPr>
          <w:rFonts w:hint="eastAsia" w:ascii="宋体" w:hAnsi="宋体" w:cs="宋体"/>
          <w:b/>
          <w:color w:val="auto"/>
          <w:spacing w:val="6"/>
          <w:sz w:val="32"/>
          <w:szCs w:val="32"/>
          <w:highlight w:val="none"/>
        </w:rPr>
      </w:pPr>
    </w:p>
    <w:p w14:paraId="0E167691">
      <w:pPr>
        <w:autoSpaceDE w:val="0"/>
        <w:autoSpaceDN w:val="0"/>
        <w:jc w:val="center"/>
        <w:rPr>
          <w:rFonts w:hint="eastAsia" w:ascii="宋体" w:hAnsi="宋体" w:cs="宋体"/>
          <w:b/>
          <w:color w:val="auto"/>
          <w:spacing w:val="6"/>
          <w:sz w:val="32"/>
          <w:szCs w:val="32"/>
          <w:highlight w:val="none"/>
        </w:rPr>
      </w:pPr>
    </w:p>
    <w:p w14:paraId="3E216157">
      <w:pPr>
        <w:autoSpaceDE w:val="0"/>
        <w:autoSpaceDN w:val="0"/>
        <w:jc w:val="center"/>
        <w:rPr>
          <w:rFonts w:hint="eastAsia" w:ascii="宋体" w:hAnsi="宋体" w:cs="宋体"/>
          <w:b/>
          <w:color w:val="auto"/>
          <w:spacing w:val="6"/>
          <w:sz w:val="32"/>
          <w:szCs w:val="32"/>
          <w:highlight w:val="none"/>
        </w:rPr>
      </w:pPr>
    </w:p>
    <w:p w14:paraId="0BA2F902">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065E7914">
      <w:pPr>
        <w:snapToGrid w:val="0"/>
        <w:spacing w:line="360" w:lineRule="auto"/>
        <w:jc w:val="center"/>
        <w:outlineLvl w:val="0"/>
        <w:rPr>
          <w:rFonts w:hint="eastAsia" w:ascii="宋体" w:hAnsi="宋体" w:cs="宋体"/>
          <w:b/>
          <w:color w:val="auto"/>
          <w:kern w:val="0"/>
          <w:sz w:val="32"/>
          <w:szCs w:val="32"/>
          <w:highlight w:val="none"/>
        </w:rPr>
      </w:pPr>
    </w:p>
    <w:p w14:paraId="2EED3552">
      <w:pPr>
        <w:snapToGrid w:val="0"/>
        <w:spacing w:line="360" w:lineRule="auto"/>
        <w:jc w:val="both"/>
        <w:outlineLvl w:val="0"/>
        <w:rPr>
          <w:rFonts w:hint="eastAsia" w:ascii="宋体" w:hAnsi="宋体" w:cs="宋体"/>
          <w:b/>
          <w:color w:val="auto"/>
          <w:kern w:val="0"/>
          <w:sz w:val="32"/>
          <w:szCs w:val="32"/>
          <w:highlight w:val="none"/>
        </w:rPr>
      </w:pPr>
    </w:p>
    <w:p w14:paraId="46B01D69">
      <w:pPr>
        <w:snapToGrid w:val="0"/>
        <w:spacing w:line="360" w:lineRule="auto"/>
        <w:jc w:val="both"/>
        <w:outlineLvl w:val="0"/>
        <w:rPr>
          <w:rFonts w:hint="eastAsia" w:ascii="宋体" w:hAnsi="宋体" w:cs="宋体"/>
          <w:b/>
          <w:color w:val="auto"/>
          <w:kern w:val="0"/>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456B5FFD">
      <w:pPr>
        <w:snapToGrid w:val="0"/>
        <w:spacing w:line="360" w:lineRule="auto"/>
        <w:jc w:val="center"/>
        <w:outlineLvl w:val="0"/>
        <w:rPr>
          <w:rFonts w:hint="eastAsia" w:ascii="宋体" w:hAnsi="宋体" w:cs="宋体"/>
          <w:b/>
          <w:color w:val="auto"/>
          <w:kern w:val="0"/>
          <w:sz w:val="32"/>
          <w:szCs w:val="32"/>
          <w:highlight w:val="none"/>
        </w:rPr>
      </w:pPr>
    </w:p>
    <w:p w14:paraId="14BC671C">
      <w:pPr>
        <w:snapToGrid w:val="0"/>
        <w:spacing w:line="360" w:lineRule="auto"/>
        <w:jc w:val="center"/>
        <w:outlineLvl w:val="0"/>
        <w:rPr>
          <w:rFonts w:hint="eastAsia" w:ascii="宋体" w:hAnsi="宋体" w:cs="宋体"/>
          <w:b/>
          <w:color w:val="auto"/>
          <w:kern w:val="0"/>
          <w:sz w:val="32"/>
          <w:szCs w:val="32"/>
          <w:highlight w:val="none"/>
        </w:rPr>
      </w:pPr>
    </w:p>
    <w:p w14:paraId="6A9B3CCE">
      <w:pPr>
        <w:snapToGrid w:val="0"/>
        <w:spacing w:line="360" w:lineRule="auto"/>
        <w:jc w:val="center"/>
        <w:outlineLvl w:val="0"/>
        <w:rPr>
          <w:rFonts w:hint="eastAsia" w:ascii="宋体" w:hAnsi="宋体" w:cs="宋体"/>
          <w:b/>
          <w:color w:val="auto"/>
          <w:kern w:val="0"/>
          <w:sz w:val="32"/>
          <w:szCs w:val="32"/>
          <w:highlight w:val="none"/>
        </w:rPr>
      </w:pPr>
    </w:p>
    <w:p w14:paraId="468F86F5">
      <w:pPr>
        <w:snapToGrid w:val="0"/>
        <w:spacing w:line="360" w:lineRule="auto"/>
        <w:jc w:val="center"/>
        <w:outlineLvl w:val="0"/>
        <w:rPr>
          <w:rFonts w:hint="eastAsia" w:ascii="宋体" w:hAnsi="宋体" w:cs="宋体"/>
          <w:b/>
          <w:color w:val="auto"/>
          <w:kern w:val="0"/>
          <w:sz w:val="32"/>
          <w:szCs w:val="32"/>
          <w:highlight w:val="none"/>
        </w:rPr>
      </w:pPr>
    </w:p>
    <w:p w14:paraId="7D88DFDE">
      <w:pPr>
        <w:snapToGrid w:val="0"/>
        <w:spacing w:line="360" w:lineRule="auto"/>
        <w:jc w:val="center"/>
        <w:outlineLvl w:val="0"/>
        <w:rPr>
          <w:rFonts w:hint="eastAsia" w:ascii="宋体" w:hAnsi="宋体" w:cs="宋体"/>
          <w:b/>
          <w:color w:val="auto"/>
          <w:kern w:val="0"/>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1"/>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727820ED">
      <w:pPr>
        <w:pStyle w:val="2"/>
        <w:rPr>
          <w:rFonts w:ascii="宋体" w:hAnsi="宋体" w:cs="宋体"/>
          <w:b/>
          <w:color w:val="auto"/>
          <w:spacing w:val="6"/>
          <w:sz w:val="32"/>
          <w:szCs w:val="32"/>
          <w:highlight w:val="none"/>
        </w:rPr>
      </w:pPr>
    </w:p>
    <w:p w14:paraId="0CBB221A">
      <w:pPr>
        <w:pStyle w:val="2"/>
        <w:rPr>
          <w:rFonts w:ascii="宋体" w:hAnsi="宋体" w:cs="宋体"/>
          <w:b/>
          <w:color w:val="auto"/>
          <w:spacing w:val="6"/>
          <w:sz w:val="32"/>
          <w:szCs w:val="32"/>
          <w:highlight w:val="none"/>
        </w:rPr>
      </w:pPr>
    </w:p>
    <w:p w14:paraId="61A3BBD3">
      <w:pPr>
        <w:pStyle w:val="2"/>
        <w:rPr>
          <w:rFonts w:ascii="宋体" w:hAnsi="宋体" w:cs="宋体"/>
          <w:b/>
          <w:color w:val="auto"/>
          <w:spacing w:val="6"/>
          <w:sz w:val="32"/>
          <w:szCs w:val="32"/>
          <w:highlight w:val="none"/>
        </w:rPr>
      </w:pPr>
    </w:p>
    <w:p w14:paraId="620079AD">
      <w:pPr>
        <w:pStyle w:val="2"/>
        <w:rPr>
          <w:rFonts w:ascii="宋体" w:hAnsi="宋体" w:cs="宋体"/>
          <w:b/>
          <w:color w:val="auto"/>
          <w:spacing w:val="6"/>
          <w:sz w:val="32"/>
          <w:szCs w:val="32"/>
          <w:highlight w:val="none"/>
        </w:rPr>
      </w:pPr>
    </w:p>
    <w:p w14:paraId="1416B6D2">
      <w:pPr>
        <w:pStyle w:val="2"/>
        <w:rPr>
          <w:rFonts w:ascii="宋体" w:hAnsi="宋体" w:cs="宋体"/>
          <w:b/>
          <w:color w:val="auto"/>
          <w:spacing w:val="6"/>
          <w:sz w:val="32"/>
          <w:szCs w:val="32"/>
          <w:highlight w:val="none"/>
        </w:rPr>
      </w:pPr>
    </w:p>
    <w:p w14:paraId="466F9F15">
      <w:pPr>
        <w:pStyle w:val="2"/>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91899912"/>
    <w:bookmarkStart w:id="413" w:name="_Toc36110187"/>
    <w:bookmarkStart w:id="414" w:name="_Toc131845147"/>
    <w:bookmarkStart w:id="415" w:name="_Toc164085800"/>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CB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E33C2F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9AB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E9BD2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B002">
    <w:pPr>
      <w:pStyle w:val="40"/>
      <w:rPr>
        <w:rFonts w:ascii="仿宋_GB2312" w:eastAsia="仿宋_GB2312"/>
        <w:b/>
        <w:i/>
        <w:u w:val="single"/>
      </w:rPr>
    </w:pPr>
    <w:r>
      <w:t></w:t>
    </w:r>
  </w:p>
  <w:p w14:paraId="2C5BAD1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27CB">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5A7EEB86"/>
    <w:multiLevelType w:val="singleLevel"/>
    <w:tmpl w:val="5A7EEB8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44B4D"/>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61E87"/>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0C7351"/>
    <w:rsid w:val="0B30404E"/>
    <w:rsid w:val="0B3D0056"/>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3355BC"/>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C7C36"/>
    <w:rsid w:val="12255233"/>
    <w:rsid w:val="12530213"/>
    <w:rsid w:val="127723A9"/>
    <w:rsid w:val="12862074"/>
    <w:rsid w:val="12883966"/>
    <w:rsid w:val="129E45B4"/>
    <w:rsid w:val="12AE4366"/>
    <w:rsid w:val="12D81596"/>
    <w:rsid w:val="13072A44"/>
    <w:rsid w:val="1349375E"/>
    <w:rsid w:val="135F4BE2"/>
    <w:rsid w:val="139B1A0A"/>
    <w:rsid w:val="139D25C7"/>
    <w:rsid w:val="13BF3CE4"/>
    <w:rsid w:val="13C77A9D"/>
    <w:rsid w:val="141008D8"/>
    <w:rsid w:val="14125FE6"/>
    <w:rsid w:val="146D271E"/>
    <w:rsid w:val="14982588"/>
    <w:rsid w:val="149A5AD9"/>
    <w:rsid w:val="14A7619D"/>
    <w:rsid w:val="14DB226E"/>
    <w:rsid w:val="150536C3"/>
    <w:rsid w:val="150C1963"/>
    <w:rsid w:val="151447A0"/>
    <w:rsid w:val="154A6454"/>
    <w:rsid w:val="15762120"/>
    <w:rsid w:val="16A8729C"/>
    <w:rsid w:val="16B33777"/>
    <w:rsid w:val="16BC70A7"/>
    <w:rsid w:val="16C6339E"/>
    <w:rsid w:val="16EC10B1"/>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44243"/>
    <w:rsid w:val="1B2A271F"/>
    <w:rsid w:val="1B530544"/>
    <w:rsid w:val="1B5B7A96"/>
    <w:rsid w:val="1B713184"/>
    <w:rsid w:val="1BA209CF"/>
    <w:rsid w:val="1BB4777D"/>
    <w:rsid w:val="1BD75AB8"/>
    <w:rsid w:val="1C0459C2"/>
    <w:rsid w:val="1C1B3B4A"/>
    <w:rsid w:val="1C437024"/>
    <w:rsid w:val="1C88086E"/>
    <w:rsid w:val="1CCB5193"/>
    <w:rsid w:val="1D131719"/>
    <w:rsid w:val="1D266CE1"/>
    <w:rsid w:val="1D3963AF"/>
    <w:rsid w:val="1D6A673C"/>
    <w:rsid w:val="1D9247AE"/>
    <w:rsid w:val="1DB567EC"/>
    <w:rsid w:val="1DF51A98"/>
    <w:rsid w:val="1E051CD9"/>
    <w:rsid w:val="1E3D060F"/>
    <w:rsid w:val="1E3F5F7E"/>
    <w:rsid w:val="1E3F7D2E"/>
    <w:rsid w:val="1E4134E4"/>
    <w:rsid w:val="1E5062B3"/>
    <w:rsid w:val="1E523514"/>
    <w:rsid w:val="1E5E461E"/>
    <w:rsid w:val="1E714A66"/>
    <w:rsid w:val="1E802593"/>
    <w:rsid w:val="1E8B6156"/>
    <w:rsid w:val="1EA703CC"/>
    <w:rsid w:val="1EB7330C"/>
    <w:rsid w:val="1F0A0FF3"/>
    <w:rsid w:val="1F5771FF"/>
    <w:rsid w:val="1FD041F9"/>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5414C"/>
    <w:rsid w:val="22BE6801"/>
    <w:rsid w:val="23085827"/>
    <w:rsid w:val="233500BF"/>
    <w:rsid w:val="23377FF7"/>
    <w:rsid w:val="236B425F"/>
    <w:rsid w:val="23836192"/>
    <w:rsid w:val="23901F29"/>
    <w:rsid w:val="239C0061"/>
    <w:rsid w:val="23B908A4"/>
    <w:rsid w:val="23E95BEF"/>
    <w:rsid w:val="23FD0064"/>
    <w:rsid w:val="24516E73"/>
    <w:rsid w:val="245375B0"/>
    <w:rsid w:val="24642C0A"/>
    <w:rsid w:val="24B22173"/>
    <w:rsid w:val="24B95AD9"/>
    <w:rsid w:val="24BE24DA"/>
    <w:rsid w:val="24CF5825"/>
    <w:rsid w:val="24D663E6"/>
    <w:rsid w:val="24D77F2B"/>
    <w:rsid w:val="24EE1B49"/>
    <w:rsid w:val="25152081"/>
    <w:rsid w:val="258B00E2"/>
    <w:rsid w:val="25A917A6"/>
    <w:rsid w:val="25BE27CC"/>
    <w:rsid w:val="25F74A5C"/>
    <w:rsid w:val="2628662C"/>
    <w:rsid w:val="262D45DE"/>
    <w:rsid w:val="26663631"/>
    <w:rsid w:val="26871DC8"/>
    <w:rsid w:val="26A53EF9"/>
    <w:rsid w:val="26A94201"/>
    <w:rsid w:val="26AC274F"/>
    <w:rsid w:val="26E51CC1"/>
    <w:rsid w:val="26EA4592"/>
    <w:rsid w:val="26FC3F61"/>
    <w:rsid w:val="27044A29"/>
    <w:rsid w:val="271D34C8"/>
    <w:rsid w:val="276142BF"/>
    <w:rsid w:val="27783712"/>
    <w:rsid w:val="27907362"/>
    <w:rsid w:val="27E554E4"/>
    <w:rsid w:val="280E304A"/>
    <w:rsid w:val="28164755"/>
    <w:rsid w:val="28333E1D"/>
    <w:rsid w:val="28454BD6"/>
    <w:rsid w:val="28455253"/>
    <w:rsid w:val="28551971"/>
    <w:rsid w:val="285B1C53"/>
    <w:rsid w:val="28914744"/>
    <w:rsid w:val="289F7086"/>
    <w:rsid w:val="28BE1833"/>
    <w:rsid w:val="28C32028"/>
    <w:rsid w:val="28CC490F"/>
    <w:rsid w:val="28DE40AA"/>
    <w:rsid w:val="29121C13"/>
    <w:rsid w:val="291572CF"/>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114A8"/>
    <w:rsid w:val="2BD5237F"/>
    <w:rsid w:val="2BE536CE"/>
    <w:rsid w:val="2BE758D9"/>
    <w:rsid w:val="2BF346BB"/>
    <w:rsid w:val="2C09049E"/>
    <w:rsid w:val="2C0A653C"/>
    <w:rsid w:val="2C191F85"/>
    <w:rsid w:val="2CE82D6F"/>
    <w:rsid w:val="2CF40EA6"/>
    <w:rsid w:val="2D0469BB"/>
    <w:rsid w:val="2D343236"/>
    <w:rsid w:val="2D38455E"/>
    <w:rsid w:val="2D4365A1"/>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8E4678"/>
    <w:rsid w:val="309379D8"/>
    <w:rsid w:val="30A270F7"/>
    <w:rsid w:val="30DF1478"/>
    <w:rsid w:val="30EC586F"/>
    <w:rsid w:val="319C6071"/>
    <w:rsid w:val="31AC537E"/>
    <w:rsid w:val="31E3679B"/>
    <w:rsid w:val="31E732FD"/>
    <w:rsid w:val="32517576"/>
    <w:rsid w:val="32BE5C2C"/>
    <w:rsid w:val="32DC2751"/>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8E671BE"/>
    <w:rsid w:val="393E1723"/>
    <w:rsid w:val="39636459"/>
    <w:rsid w:val="396B7F6C"/>
    <w:rsid w:val="39B417A9"/>
    <w:rsid w:val="39FC5695"/>
    <w:rsid w:val="3A006D8E"/>
    <w:rsid w:val="3A3651E5"/>
    <w:rsid w:val="3A744481"/>
    <w:rsid w:val="3A8C7BEF"/>
    <w:rsid w:val="3A906246"/>
    <w:rsid w:val="3AAE4DDD"/>
    <w:rsid w:val="3B181276"/>
    <w:rsid w:val="3B2349B7"/>
    <w:rsid w:val="3B616CFF"/>
    <w:rsid w:val="3B6259F6"/>
    <w:rsid w:val="3B976654"/>
    <w:rsid w:val="3BC01EFC"/>
    <w:rsid w:val="3BCA786A"/>
    <w:rsid w:val="3BD31E2F"/>
    <w:rsid w:val="3BF15831"/>
    <w:rsid w:val="3C105946"/>
    <w:rsid w:val="3C471448"/>
    <w:rsid w:val="3C5F759A"/>
    <w:rsid w:val="3C6C525A"/>
    <w:rsid w:val="3C94187F"/>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5A351F"/>
    <w:rsid w:val="418F0D2A"/>
    <w:rsid w:val="41A33A6C"/>
    <w:rsid w:val="41D01505"/>
    <w:rsid w:val="42474939"/>
    <w:rsid w:val="424C3C57"/>
    <w:rsid w:val="42613FF3"/>
    <w:rsid w:val="42660D96"/>
    <w:rsid w:val="428667D2"/>
    <w:rsid w:val="42C26E30"/>
    <w:rsid w:val="42CD1CE0"/>
    <w:rsid w:val="42E1381E"/>
    <w:rsid w:val="42ED6459"/>
    <w:rsid w:val="42FE58DD"/>
    <w:rsid w:val="43174B3D"/>
    <w:rsid w:val="43342EA7"/>
    <w:rsid w:val="43452E25"/>
    <w:rsid w:val="434B790E"/>
    <w:rsid w:val="4360274F"/>
    <w:rsid w:val="43977AB6"/>
    <w:rsid w:val="43A3342B"/>
    <w:rsid w:val="43C77C27"/>
    <w:rsid w:val="43DE09EE"/>
    <w:rsid w:val="44002FAD"/>
    <w:rsid w:val="449101DD"/>
    <w:rsid w:val="449B1E09"/>
    <w:rsid w:val="44DE1391"/>
    <w:rsid w:val="451B225C"/>
    <w:rsid w:val="452410C9"/>
    <w:rsid w:val="45317DFB"/>
    <w:rsid w:val="456B5933"/>
    <w:rsid w:val="456D3CE4"/>
    <w:rsid w:val="4579042C"/>
    <w:rsid w:val="457F0571"/>
    <w:rsid w:val="45851176"/>
    <w:rsid w:val="45C63B94"/>
    <w:rsid w:val="460101EC"/>
    <w:rsid w:val="460E7DA5"/>
    <w:rsid w:val="46422483"/>
    <w:rsid w:val="4659254A"/>
    <w:rsid w:val="465B0637"/>
    <w:rsid w:val="465E3F0D"/>
    <w:rsid w:val="466A16E6"/>
    <w:rsid w:val="46893F2B"/>
    <w:rsid w:val="46C4686E"/>
    <w:rsid w:val="477B778F"/>
    <w:rsid w:val="478203EC"/>
    <w:rsid w:val="47AD283D"/>
    <w:rsid w:val="47B025FA"/>
    <w:rsid w:val="47D93349"/>
    <w:rsid w:val="4809698F"/>
    <w:rsid w:val="4811697D"/>
    <w:rsid w:val="487A3E25"/>
    <w:rsid w:val="488B5503"/>
    <w:rsid w:val="48937E21"/>
    <w:rsid w:val="489A0361"/>
    <w:rsid w:val="48B94FF3"/>
    <w:rsid w:val="48E37AAB"/>
    <w:rsid w:val="48FD4B4C"/>
    <w:rsid w:val="490A68E0"/>
    <w:rsid w:val="491055FE"/>
    <w:rsid w:val="495F5B3E"/>
    <w:rsid w:val="49674273"/>
    <w:rsid w:val="496F77D7"/>
    <w:rsid w:val="497654FD"/>
    <w:rsid w:val="49B64211"/>
    <w:rsid w:val="49F6167F"/>
    <w:rsid w:val="4A064FA0"/>
    <w:rsid w:val="4A16615C"/>
    <w:rsid w:val="4A355B82"/>
    <w:rsid w:val="4A4424D7"/>
    <w:rsid w:val="4AB82D0F"/>
    <w:rsid w:val="4AC32699"/>
    <w:rsid w:val="4AEB7664"/>
    <w:rsid w:val="4AFD7C19"/>
    <w:rsid w:val="4B0567D1"/>
    <w:rsid w:val="4B0F3768"/>
    <w:rsid w:val="4B236AAE"/>
    <w:rsid w:val="4B707271"/>
    <w:rsid w:val="4B8F7333"/>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36709"/>
    <w:rsid w:val="4EEC050C"/>
    <w:rsid w:val="4EF4089D"/>
    <w:rsid w:val="4F104EC3"/>
    <w:rsid w:val="4F47354A"/>
    <w:rsid w:val="4F870AB9"/>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466DF"/>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47F90"/>
    <w:rsid w:val="54605E1E"/>
    <w:rsid w:val="54870931"/>
    <w:rsid w:val="5497230C"/>
    <w:rsid w:val="54B3506A"/>
    <w:rsid w:val="54CA0D16"/>
    <w:rsid w:val="54D758A7"/>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256F3"/>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1C60E8"/>
    <w:rsid w:val="595E1678"/>
    <w:rsid w:val="5962713E"/>
    <w:rsid w:val="596D5BD4"/>
    <w:rsid w:val="597E3DD8"/>
    <w:rsid w:val="59F80043"/>
    <w:rsid w:val="5A09252F"/>
    <w:rsid w:val="5A0B2778"/>
    <w:rsid w:val="5A1452E9"/>
    <w:rsid w:val="5A2A7C7B"/>
    <w:rsid w:val="5A2F12D9"/>
    <w:rsid w:val="5A3E2560"/>
    <w:rsid w:val="5A5D3B6E"/>
    <w:rsid w:val="5A637A76"/>
    <w:rsid w:val="5A6D33BA"/>
    <w:rsid w:val="5A792B1F"/>
    <w:rsid w:val="5A874767"/>
    <w:rsid w:val="5AA17199"/>
    <w:rsid w:val="5AA85BE2"/>
    <w:rsid w:val="5AAD6F28"/>
    <w:rsid w:val="5ABD553F"/>
    <w:rsid w:val="5AD63A24"/>
    <w:rsid w:val="5B143DBF"/>
    <w:rsid w:val="5B2E1A1D"/>
    <w:rsid w:val="5B843A1C"/>
    <w:rsid w:val="5B873E3F"/>
    <w:rsid w:val="5C02690E"/>
    <w:rsid w:val="5C196DA7"/>
    <w:rsid w:val="5C2A048C"/>
    <w:rsid w:val="5C5D16DA"/>
    <w:rsid w:val="5C80234E"/>
    <w:rsid w:val="5C833684"/>
    <w:rsid w:val="5C8A680C"/>
    <w:rsid w:val="5D0C4701"/>
    <w:rsid w:val="5D0F0395"/>
    <w:rsid w:val="5D221076"/>
    <w:rsid w:val="5D397964"/>
    <w:rsid w:val="5D5A391C"/>
    <w:rsid w:val="5D5F10C0"/>
    <w:rsid w:val="5D891B7B"/>
    <w:rsid w:val="5DAD38EE"/>
    <w:rsid w:val="5DBE9A2C"/>
    <w:rsid w:val="5DCF4894"/>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2B01EE"/>
    <w:rsid w:val="61421856"/>
    <w:rsid w:val="615227C4"/>
    <w:rsid w:val="61654E3F"/>
    <w:rsid w:val="6182292A"/>
    <w:rsid w:val="619F7F92"/>
    <w:rsid w:val="61F94C26"/>
    <w:rsid w:val="62000E56"/>
    <w:rsid w:val="62075FE3"/>
    <w:rsid w:val="624F3E49"/>
    <w:rsid w:val="62632286"/>
    <w:rsid w:val="62885958"/>
    <w:rsid w:val="62E46D8B"/>
    <w:rsid w:val="62F40B65"/>
    <w:rsid w:val="62FC2CFE"/>
    <w:rsid w:val="63024505"/>
    <w:rsid w:val="635600A5"/>
    <w:rsid w:val="635B1DB5"/>
    <w:rsid w:val="63711FED"/>
    <w:rsid w:val="63880DDC"/>
    <w:rsid w:val="638D750D"/>
    <w:rsid w:val="63AC6CC0"/>
    <w:rsid w:val="63D170AC"/>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95111E"/>
    <w:rsid w:val="672F3F24"/>
    <w:rsid w:val="673E055F"/>
    <w:rsid w:val="67551CE3"/>
    <w:rsid w:val="67A22552"/>
    <w:rsid w:val="67B22DCC"/>
    <w:rsid w:val="67BE71AA"/>
    <w:rsid w:val="67D90273"/>
    <w:rsid w:val="67DE5875"/>
    <w:rsid w:val="67E55852"/>
    <w:rsid w:val="67EB1AB4"/>
    <w:rsid w:val="67FA1285"/>
    <w:rsid w:val="684341DD"/>
    <w:rsid w:val="68551F4F"/>
    <w:rsid w:val="687C10C9"/>
    <w:rsid w:val="68840C16"/>
    <w:rsid w:val="68876EFB"/>
    <w:rsid w:val="68884654"/>
    <w:rsid w:val="689A0099"/>
    <w:rsid w:val="689F444F"/>
    <w:rsid w:val="68B96DBB"/>
    <w:rsid w:val="68CA2805"/>
    <w:rsid w:val="68E937A3"/>
    <w:rsid w:val="693E15D3"/>
    <w:rsid w:val="69627681"/>
    <w:rsid w:val="6977531D"/>
    <w:rsid w:val="69A84DF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268E5"/>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540E65"/>
    <w:rsid w:val="6E8335BD"/>
    <w:rsid w:val="6E8E12EF"/>
    <w:rsid w:val="6E972936"/>
    <w:rsid w:val="6ED446C5"/>
    <w:rsid w:val="6F2A7D94"/>
    <w:rsid w:val="6F6049BF"/>
    <w:rsid w:val="6F6C3363"/>
    <w:rsid w:val="6F8331F1"/>
    <w:rsid w:val="6FAE1A09"/>
    <w:rsid w:val="6FD70486"/>
    <w:rsid w:val="6FD75BF8"/>
    <w:rsid w:val="707723D0"/>
    <w:rsid w:val="70F5661B"/>
    <w:rsid w:val="71110CB5"/>
    <w:rsid w:val="71360107"/>
    <w:rsid w:val="713B688E"/>
    <w:rsid w:val="71D43752"/>
    <w:rsid w:val="71E542F9"/>
    <w:rsid w:val="71F1796A"/>
    <w:rsid w:val="72154626"/>
    <w:rsid w:val="72262B5D"/>
    <w:rsid w:val="72283FF7"/>
    <w:rsid w:val="722E7212"/>
    <w:rsid w:val="723A0474"/>
    <w:rsid w:val="725923E4"/>
    <w:rsid w:val="72864BF7"/>
    <w:rsid w:val="729023FC"/>
    <w:rsid w:val="72FC6D7F"/>
    <w:rsid w:val="73C0646E"/>
    <w:rsid w:val="74041A81"/>
    <w:rsid w:val="742222F5"/>
    <w:rsid w:val="74476126"/>
    <w:rsid w:val="74706664"/>
    <w:rsid w:val="747F3682"/>
    <w:rsid w:val="74987837"/>
    <w:rsid w:val="749C4185"/>
    <w:rsid w:val="75067759"/>
    <w:rsid w:val="752E6DCD"/>
    <w:rsid w:val="7551380D"/>
    <w:rsid w:val="75600BE5"/>
    <w:rsid w:val="7564475C"/>
    <w:rsid w:val="7583797F"/>
    <w:rsid w:val="75BDC257"/>
    <w:rsid w:val="75D20F1D"/>
    <w:rsid w:val="75DA2C18"/>
    <w:rsid w:val="75F54412"/>
    <w:rsid w:val="761D08E0"/>
    <w:rsid w:val="765D347C"/>
    <w:rsid w:val="76826699"/>
    <w:rsid w:val="76B16DEA"/>
    <w:rsid w:val="76C87133"/>
    <w:rsid w:val="76CD08D5"/>
    <w:rsid w:val="76DB4B92"/>
    <w:rsid w:val="77052AA4"/>
    <w:rsid w:val="77136511"/>
    <w:rsid w:val="77340A39"/>
    <w:rsid w:val="77351FD0"/>
    <w:rsid w:val="77472422"/>
    <w:rsid w:val="777F31F2"/>
    <w:rsid w:val="77D1700D"/>
    <w:rsid w:val="77EC04CC"/>
    <w:rsid w:val="78575CF2"/>
    <w:rsid w:val="78775729"/>
    <w:rsid w:val="78A42DB0"/>
    <w:rsid w:val="78A656AB"/>
    <w:rsid w:val="78A9515A"/>
    <w:rsid w:val="78B2245C"/>
    <w:rsid w:val="78E172CC"/>
    <w:rsid w:val="78EA1D1F"/>
    <w:rsid w:val="7904172F"/>
    <w:rsid w:val="790F7E27"/>
    <w:rsid w:val="79224A93"/>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E0836"/>
    <w:rsid w:val="7B257FFD"/>
    <w:rsid w:val="7B2E1F18"/>
    <w:rsid w:val="7B343476"/>
    <w:rsid w:val="7B5A2978"/>
    <w:rsid w:val="7B5A7E4C"/>
    <w:rsid w:val="7B667AF9"/>
    <w:rsid w:val="7B7468F8"/>
    <w:rsid w:val="7BEE0103"/>
    <w:rsid w:val="7C0A0FE4"/>
    <w:rsid w:val="7C254906"/>
    <w:rsid w:val="7C590818"/>
    <w:rsid w:val="7C7C10F6"/>
    <w:rsid w:val="7C853BEA"/>
    <w:rsid w:val="7C881368"/>
    <w:rsid w:val="7CE209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57609A"/>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14489</Words>
  <Characters>15628</Characters>
  <Lines>279</Lines>
  <Paragraphs>78</Paragraphs>
  <TotalTime>0</TotalTime>
  <ScaleCrop>false</ScaleCrop>
  <LinksUpToDate>false</LinksUpToDate>
  <CharactersWithSpaces>16139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asus</dc:creator>
  <cp:lastModifiedBy>海燕</cp:lastModifiedBy>
  <cp:lastPrinted>2021-12-29T19:06:00Z</cp:lastPrinted>
  <dcterms:modified xsi:type="dcterms:W3CDTF">2025-06-10T06:31:30Z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eyJoZGlkIjoiNGE5ODQxZWVkYThkMjNjMmNhNDQzNDhmMzBlNmMwMTgiLCJ1c2VySWQiOiI3NDc0MjExNTgifQ==</vt:lpwstr>
  </property>
</Properties>
</file>