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AE3B2">
      <w:pPr>
        <w:shd w:val="clear" w:color="auto"/>
        <w:spacing w:line="360" w:lineRule="auto"/>
        <w:jc w:val="center"/>
        <w:textAlignment w:val="bottom"/>
        <w:rPr>
          <w:rFonts w:ascii="宋体" w:hAnsi="宋体" w:cs="宋体"/>
          <w:b/>
          <w:color w:val="auto"/>
          <w:kern w:val="0"/>
          <w:sz w:val="52"/>
          <w:szCs w:val="52"/>
          <w:highlight w:val="none"/>
        </w:rPr>
      </w:pPr>
    </w:p>
    <w:p w14:paraId="474F3D23">
      <w:pPr>
        <w:shd w:val="clear"/>
        <w:jc w:val="center"/>
        <w:rPr>
          <w:rFonts w:ascii="宋体" w:hAnsi="宋体" w:cs="宋体"/>
          <w:color w:val="auto"/>
          <w:sz w:val="36"/>
          <w:szCs w:val="36"/>
          <w:highlight w:val="none"/>
        </w:rPr>
      </w:pPr>
      <w:r>
        <w:rPr>
          <w:rFonts w:hint="eastAsia" w:ascii="宋体" w:hAnsi="宋体" w:cs="宋体"/>
          <w:color w:val="auto"/>
          <w:highlight w:val="none"/>
        </w:rPr>
        <w:drawing>
          <wp:anchor distT="0" distB="0" distL="114300" distR="114300" simplePos="0" relativeHeight="251661312"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lum contrast="11999"/>
                    </a:blip>
                    <a:stretch>
                      <a:fillRect/>
                    </a:stretch>
                  </pic:blipFill>
                  <pic:spPr>
                    <a:xfrm>
                      <a:off x="0" y="0"/>
                      <a:ext cx="2971800" cy="2091690"/>
                    </a:xfrm>
                    <a:prstGeom prst="rect">
                      <a:avLst/>
                    </a:prstGeom>
                    <a:noFill/>
                    <a:ln>
                      <a:noFill/>
                    </a:ln>
                  </pic:spPr>
                </pic:pic>
              </a:graphicData>
            </a:graphic>
          </wp:anchor>
        </w:drawing>
      </w:r>
    </w:p>
    <w:p w14:paraId="07C6E59F">
      <w:pPr>
        <w:shd w:val="clear"/>
        <w:jc w:val="center"/>
        <w:rPr>
          <w:rFonts w:ascii="宋体" w:hAnsi="宋体" w:cs="宋体"/>
          <w:color w:val="auto"/>
          <w:sz w:val="52"/>
          <w:szCs w:val="52"/>
          <w:highlight w:val="none"/>
        </w:rPr>
      </w:pPr>
    </w:p>
    <w:p w14:paraId="30D3673A">
      <w:pPr>
        <w:shd w:val="clea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27293BF8">
      <w:pPr>
        <w:shd w:val="clear"/>
        <w:jc w:val="center"/>
        <w:rPr>
          <w:rFonts w:ascii="宋体" w:hAnsi="宋体" w:cs="宋体"/>
          <w:color w:val="auto"/>
          <w:sz w:val="36"/>
          <w:szCs w:val="36"/>
          <w:highlight w:val="none"/>
        </w:rPr>
      </w:pPr>
    </w:p>
    <w:p w14:paraId="3D065CBF">
      <w:pPr>
        <w:shd w:val="clear"/>
        <w:jc w:val="center"/>
        <w:rPr>
          <w:rFonts w:ascii="宋体" w:hAnsi="宋体" w:cs="宋体"/>
          <w:b/>
          <w:color w:val="auto"/>
          <w:sz w:val="72"/>
          <w:szCs w:val="72"/>
          <w:highlight w:val="none"/>
        </w:rPr>
      </w:pPr>
    </w:p>
    <w:p w14:paraId="780F52F9">
      <w:pPr>
        <w:shd w:val="clear" w:color="auto"/>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14:paraId="70CEC697">
      <w:pPr>
        <w:shd w:val="clear" w:color="auto"/>
        <w:spacing w:line="360" w:lineRule="auto"/>
        <w:jc w:val="center"/>
        <w:textAlignment w:val="bottom"/>
        <w:rPr>
          <w:rFonts w:ascii="宋体" w:hAnsi="宋体" w:cs="宋体"/>
          <w:color w:val="auto"/>
          <w:sz w:val="28"/>
          <w:szCs w:val="28"/>
          <w:highlight w:val="none"/>
        </w:rPr>
      </w:pPr>
    </w:p>
    <w:p w14:paraId="4C10E8E1">
      <w:pPr>
        <w:shd w:val="clear" w:color="auto"/>
        <w:spacing w:line="360" w:lineRule="auto"/>
        <w:ind w:firstLine="1120" w:firstLineChars="400"/>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ZJWS2025-JJ215</w:t>
      </w:r>
    </w:p>
    <w:p w14:paraId="79922860">
      <w:pPr>
        <w:shd w:val="clear"/>
        <w:autoSpaceDE w:val="0"/>
        <w:autoSpaceDN w:val="0"/>
        <w:adjustRightInd w:val="0"/>
        <w:spacing w:line="360" w:lineRule="auto"/>
        <w:ind w:left="2517" w:leftChars="532" w:hanging="1400" w:hangingChars="5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台州学院电能管理平台建设（二期）项目</w:t>
      </w:r>
    </w:p>
    <w:p w14:paraId="70020216">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采购单位：台州学院</w:t>
      </w:r>
    </w:p>
    <w:p w14:paraId="175771F9">
      <w:pPr>
        <w:shd w:val="clear"/>
        <w:autoSpaceDE w:val="0"/>
        <w:autoSpaceDN w:val="0"/>
        <w:adjustRightInd w:val="0"/>
        <w:spacing w:line="360" w:lineRule="auto"/>
        <w:ind w:firstLine="1120" w:firstLineChars="400"/>
        <w:rPr>
          <w:rFonts w:ascii="宋体" w:hAnsi="宋体" w:cs="宋体"/>
          <w:color w:val="auto"/>
          <w:kern w:val="0"/>
          <w:sz w:val="28"/>
          <w:highlight w:val="none"/>
        </w:rPr>
      </w:pPr>
      <w:r>
        <w:rPr>
          <w:rFonts w:hint="eastAsia" w:ascii="宋体" w:hAnsi="宋体" w:cs="宋体"/>
          <w:color w:val="auto"/>
          <w:kern w:val="0"/>
          <w:sz w:val="28"/>
          <w:highlight w:val="none"/>
        </w:rPr>
        <w:t>采购代理机构：浙江五石中正工程咨询有限公司</w:t>
      </w:r>
    </w:p>
    <w:p w14:paraId="47950B6A">
      <w:pPr>
        <w:shd w:val="clear"/>
        <w:spacing w:line="360" w:lineRule="auto"/>
        <w:ind w:firstLine="560" w:firstLineChars="200"/>
        <w:jc w:val="center"/>
        <w:rPr>
          <w:rFonts w:ascii="宋体" w:hAnsi="宋体" w:cs="宋体"/>
          <w:color w:val="auto"/>
          <w:sz w:val="24"/>
          <w:szCs w:val="32"/>
          <w:highlight w:val="none"/>
        </w:rPr>
      </w:pPr>
      <w:r>
        <w:rPr>
          <w:rFonts w:hint="eastAsia" w:ascii="宋体" w:hAnsi="宋体" w:cs="宋体"/>
          <w:color w:val="auto"/>
          <w:kern w:val="0"/>
          <w:sz w:val="28"/>
          <w:highlight w:val="none"/>
        </w:rPr>
        <w:t>202</w:t>
      </w:r>
      <w:r>
        <w:rPr>
          <w:rFonts w:hint="eastAsia" w:ascii="宋体" w:hAnsi="宋体" w:cs="宋体"/>
          <w:color w:val="auto"/>
          <w:kern w:val="0"/>
          <w:sz w:val="28"/>
          <w:highlight w:val="none"/>
          <w:lang w:val="en-US" w:eastAsia="zh-CN"/>
        </w:rPr>
        <w:t>5</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7</w:t>
      </w:r>
      <w:r>
        <w:rPr>
          <w:rFonts w:hint="eastAsia" w:ascii="宋体" w:hAnsi="宋体" w:cs="宋体"/>
          <w:color w:val="auto"/>
          <w:kern w:val="0"/>
          <w:sz w:val="28"/>
          <w:highlight w:val="none"/>
        </w:rPr>
        <w:t>月</w:t>
      </w:r>
    </w:p>
    <w:p w14:paraId="0465C503">
      <w:pPr>
        <w:shd w:val="clear"/>
        <w:spacing w:line="360" w:lineRule="auto"/>
        <w:ind w:firstLine="480" w:firstLineChars="200"/>
        <w:rPr>
          <w:rFonts w:ascii="宋体" w:hAnsi="宋体" w:cs="宋体"/>
          <w:color w:val="auto"/>
          <w:sz w:val="24"/>
          <w:szCs w:val="32"/>
          <w:highlight w:val="none"/>
        </w:rPr>
      </w:pPr>
    </w:p>
    <w:p w14:paraId="6F594272">
      <w:pPr>
        <w:pStyle w:val="25"/>
        <w:shd w:val="clear"/>
        <w:rPr>
          <w:rFonts w:ascii="宋体" w:hAnsi="宋体" w:cs="宋体"/>
          <w:color w:val="auto"/>
          <w:highlight w:val="none"/>
        </w:rPr>
      </w:pPr>
    </w:p>
    <w:p w14:paraId="64F2C7B7">
      <w:pPr>
        <w:shd w:val="clear"/>
        <w:jc w:val="center"/>
        <w:rPr>
          <w:rFonts w:ascii="宋体" w:hAnsi="宋体" w:cs="宋体"/>
          <w:b/>
          <w:bCs/>
          <w:color w:val="auto"/>
          <w:sz w:val="36"/>
          <w:szCs w:val="36"/>
          <w:highlight w:val="none"/>
        </w:rPr>
        <w:sectPr>
          <w:head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7" w:charSpace="0"/>
        </w:sectPr>
      </w:pPr>
    </w:p>
    <w:p w14:paraId="10ACBAC7">
      <w:pPr>
        <w:pStyle w:val="35"/>
        <w:shd w:val="clear"/>
        <w:rPr>
          <w:color w:val="auto"/>
          <w:highlight w:val="none"/>
        </w:rPr>
      </w:pPr>
    </w:p>
    <w:p w14:paraId="25E0850A">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21F4C2A9">
      <w:pPr>
        <w:shd w:val="clear"/>
        <w:spacing w:line="360" w:lineRule="auto"/>
        <w:rPr>
          <w:rFonts w:ascii="宋体" w:hAnsi="宋体" w:cs="宋体"/>
          <w:color w:val="auto"/>
          <w:sz w:val="28"/>
          <w:szCs w:val="28"/>
          <w:highlight w:val="none"/>
        </w:rPr>
      </w:pPr>
    </w:p>
    <w:sdt>
      <w:sdtPr>
        <w:rPr>
          <w:rFonts w:ascii="宋体" w:hAnsi="宋体"/>
          <w:color w:val="auto"/>
          <w:highlight w:val="none"/>
        </w:rPr>
        <w:id w:val="13613112"/>
        <w:docPartObj>
          <w:docPartGallery w:val="Table of Contents"/>
          <w:docPartUnique/>
        </w:docPartObj>
      </w:sdtPr>
      <w:sdtEndPr>
        <w:rPr>
          <w:rFonts w:ascii="宋体" w:hAnsi="宋体" w:cs="宋体"/>
          <w:color w:val="auto"/>
          <w:szCs w:val="32"/>
          <w:highlight w:val="none"/>
        </w:rPr>
      </w:sdtEndPr>
      <w:sdtContent>
        <w:p w14:paraId="4D243524">
          <w:pPr>
            <w:shd w:val="clear"/>
            <w:jc w:val="center"/>
            <w:rPr>
              <w:color w:val="auto"/>
              <w:highlight w:val="none"/>
            </w:rPr>
          </w:pPr>
        </w:p>
        <w:p w14:paraId="74BD74B3">
          <w:pPr>
            <w:pStyle w:val="36"/>
            <w:shd w:val="clear"/>
            <w:tabs>
              <w:tab w:val="right" w:leader="dot" w:pos="8300"/>
            </w:tabs>
            <w:spacing w:line="480" w:lineRule="auto"/>
            <w:rPr>
              <w:color w:val="auto"/>
              <w:sz w:val="28"/>
              <w:szCs w:val="28"/>
              <w:highlight w:val="none"/>
            </w:rPr>
          </w:pPr>
          <w:r>
            <w:rPr>
              <w:rFonts w:ascii="宋体" w:hAnsi="宋体" w:cs="宋体"/>
              <w:color w:val="auto"/>
              <w:sz w:val="24"/>
              <w:szCs w:val="32"/>
              <w:highlight w:val="none"/>
            </w:rPr>
            <w:fldChar w:fldCharType="begin"/>
          </w:r>
          <w:r>
            <w:rPr>
              <w:rFonts w:ascii="宋体" w:hAnsi="宋体" w:cs="宋体"/>
              <w:color w:val="auto"/>
              <w:sz w:val="24"/>
              <w:szCs w:val="32"/>
              <w:highlight w:val="none"/>
            </w:rPr>
            <w:instrText xml:space="preserve">TOC \o "1-3" \h \u </w:instrText>
          </w:r>
          <w:r>
            <w:rPr>
              <w:rFonts w:ascii="宋体" w:hAnsi="宋体" w:cs="宋体"/>
              <w:color w:val="auto"/>
              <w:sz w:val="24"/>
              <w:szCs w:val="32"/>
              <w:highlight w:val="none"/>
            </w:rPr>
            <w:fldChar w:fldCharType="separate"/>
          </w:r>
          <w:r>
            <w:rPr>
              <w:color w:val="auto"/>
              <w:highlight w:val="none"/>
            </w:rPr>
            <w:fldChar w:fldCharType="begin"/>
          </w:r>
          <w:r>
            <w:rPr>
              <w:color w:val="auto"/>
              <w:highlight w:val="none"/>
            </w:rPr>
            <w:instrText xml:space="preserve"> HYPERLINK \l "_Toc1962391020" </w:instrText>
          </w:r>
          <w:r>
            <w:rPr>
              <w:color w:val="auto"/>
              <w:highlight w:val="none"/>
            </w:rPr>
            <w:fldChar w:fldCharType="separate"/>
          </w:r>
          <w:r>
            <w:rPr>
              <w:rFonts w:hint="eastAsia" w:ascii="宋体" w:hAnsi="宋体" w:cs="宋体"/>
              <w:bCs/>
              <w:color w:val="auto"/>
              <w:sz w:val="28"/>
              <w:szCs w:val="72"/>
              <w:highlight w:val="none"/>
            </w:rPr>
            <w:t>第一章 公开招标采购公告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_Toc1962391020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14:paraId="67D42335">
          <w:pPr>
            <w:pStyle w:val="36"/>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"_Toc447518860" </w:instrText>
          </w:r>
          <w:r>
            <w:rPr>
              <w:color w:val="auto"/>
              <w:highlight w:val="none"/>
            </w:rPr>
            <w:fldChar w:fldCharType="separate"/>
          </w:r>
          <w:r>
            <w:rPr>
              <w:rFonts w:hint="eastAsia" w:ascii="宋体" w:hAnsi="宋体" w:cs="宋体"/>
              <w:bCs/>
              <w:color w:val="auto"/>
              <w:sz w:val="28"/>
              <w:szCs w:val="72"/>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_Toc447518860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color w:val="auto"/>
              <w:sz w:val="28"/>
              <w:szCs w:val="28"/>
              <w:highlight w:val="none"/>
            </w:rPr>
            <w:fldChar w:fldCharType="end"/>
          </w:r>
        </w:p>
        <w:p w14:paraId="5CC6E5B8">
          <w:pPr>
            <w:pStyle w:val="36"/>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"_Toc2015809381" </w:instrText>
          </w:r>
          <w:r>
            <w:rPr>
              <w:color w:val="auto"/>
              <w:highlight w:val="none"/>
            </w:rPr>
            <w:fldChar w:fldCharType="separate"/>
          </w:r>
          <w:r>
            <w:rPr>
              <w:rFonts w:hint="eastAsia" w:ascii="宋体" w:hAnsi="宋体" w:cs="宋体"/>
              <w:bCs/>
              <w:color w:val="auto"/>
              <w:sz w:val="28"/>
              <w:szCs w:val="72"/>
              <w:highlight w:val="none"/>
            </w:rPr>
            <w:t>第三章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_Toc2015809381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14:paraId="7EE99FE5">
          <w:pPr>
            <w:pStyle w:val="36"/>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"_Toc1006251395" </w:instrText>
          </w:r>
          <w:r>
            <w:rPr>
              <w:color w:val="auto"/>
              <w:highlight w:val="none"/>
            </w:rPr>
            <w:fldChar w:fldCharType="separate"/>
          </w:r>
          <w:r>
            <w:rPr>
              <w:rFonts w:hint="eastAsia" w:ascii="宋体" w:hAnsi="宋体" w:cs="宋体"/>
              <w:bCs/>
              <w:color w:val="auto"/>
              <w:sz w:val="28"/>
              <w:szCs w:val="72"/>
              <w:highlight w:val="none"/>
            </w:rPr>
            <w:t>第四章 公开招标需求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_Toc1006251395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14:paraId="582D759B">
          <w:pPr>
            <w:pStyle w:val="36"/>
            <w:shd w:val="clear"/>
            <w:tabs>
              <w:tab w:val="right" w:leader="dot" w:pos="8300"/>
            </w:tabs>
            <w:spacing w:line="480" w:lineRule="auto"/>
            <w:rPr>
              <w:rFonts w:ascii="宋体" w:hAnsi="宋体" w:cs="宋体"/>
              <w:bCs/>
              <w:color w:val="auto"/>
              <w:sz w:val="28"/>
              <w:szCs w:val="72"/>
              <w:highlight w:val="none"/>
            </w:rPr>
          </w:pPr>
          <w:r>
            <w:rPr>
              <w:color w:val="auto"/>
              <w:highlight w:val="none"/>
            </w:rPr>
            <w:fldChar w:fldCharType="begin"/>
          </w:r>
          <w:r>
            <w:rPr>
              <w:color w:val="auto"/>
              <w:highlight w:val="none"/>
            </w:rPr>
            <w:instrText xml:space="preserve"> HYPERLINK \l "_Toc958534192" </w:instrText>
          </w:r>
          <w:r>
            <w:rPr>
              <w:color w:val="auto"/>
              <w:highlight w:val="none"/>
            </w:rPr>
            <w:fldChar w:fldCharType="separate"/>
          </w:r>
          <w:r>
            <w:rPr>
              <w:rFonts w:hint="eastAsia" w:ascii="宋体" w:hAnsi="宋体" w:cs="宋体"/>
              <w:bCs/>
              <w:color w:val="auto"/>
              <w:sz w:val="28"/>
              <w:szCs w:val="72"/>
              <w:highlight w:val="none"/>
            </w:rPr>
            <w:t>第五章 买卖合同（参考）</w:t>
          </w:r>
          <w:r>
            <w:rPr>
              <w:rFonts w:hint="eastAsia" w:ascii="宋体" w:hAnsi="宋体" w:cs="宋体"/>
              <w:bCs/>
              <w:color w:val="auto"/>
              <w:sz w:val="28"/>
              <w:szCs w:val="72"/>
              <w:highlight w:val="none"/>
            </w:rPr>
            <w:tab/>
          </w:r>
          <w:r>
            <w:rPr>
              <w:rFonts w:hint="eastAsia" w:ascii="宋体" w:hAnsi="宋体" w:cs="宋体"/>
              <w:bCs/>
              <w:color w:val="auto"/>
              <w:sz w:val="28"/>
              <w:szCs w:val="72"/>
              <w:highlight w:val="none"/>
            </w:rPr>
            <w:fldChar w:fldCharType="begin"/>
          </w:r>
          <w:r>
            <w:rPr>
              <w:rFonts w:hint="eastAsia" w:ascii="宋体" w:hAnsi="宋体" w:cs="宋体"/>
              <w:bCs/>
              <w:color w:val="auto"/>
              <w:sz w:val="28"/>
              <w:szCs w:val="72"/>
              <w:highlight w:val="none"/>
            </w:rPr>
            <w:instrText xml:space="preserve"> PAGEREF _Toc958534192 \h </w:instrText>
          </w:r>
          <w:r>
            <w:rPr>
              <w:rFonts w:hint="eastAsia" w:ascii="宋体" w:hAnsi="宋体" w:cs="宋体"/>
              <w:bCs/>
              <w:color w:val="auto"/>
              <w:sz w:val="28"/>
              <w:szCs w:val="72"/>
              <w:highlight w:val="none"/>
            </w:rPr>
            <w:fldChar w:fldCharType="separate"/>
          </w:r>
          <w:r>
            <w:rPr>
              <w:rFonts w:hint="eastAsia" w:ascii="宋体" w:hAnsi="宋体" w:cs="宋体"/>
              <w:bCs/>
              <w:color w:val="auto"/>
              <w:sz w:val="28"/>
              <w:szCs w:val="72"/>
              <w:highlight w:val="none"/>
            </w:rPr>
            <w:t>44</w:t>
          </w:r>
          <w:r>
            <w:rPr>
              <w:rFonts w:hint="eastAsia" w:ascii="宋体" w:hAnsi="宋体" w:cs="宋体"/>
              <w:bCs/>
              <w:color w:val="auto"/>
              <w:sz w:val="28"/>
              <w:szCs w:val="72"/>
              <w:highlight w:val="none"/>
            </w:rPr>
            <w:fldChar w:fldCharType="end"/>
          </w:r>
          <w:r>
            <w:rPr>
              <w:rFonts w:hint="eastAsia" w:ascii="宋体" w:hAnsi="宋体" w:cs="宋体"/>
              <w:bCs/>
              <w:color w:val="auto"/>
              <w:sz w:val="28"/>
              <w:szCs w:val="72"/>
              <w:highlight w:val="none"/>
            </w:rPr>
            <w:fldChar w:fldCharType="end"/>
          </w:r>
        </w:p>
        <w:p w14:paraId="7E7402F1">
          <w:pPr>
            <w:pStyle w:val="36"/>
            <w:shd w:val="clear"/>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"_Toc1462963273" </w:instrText>
          </w:r>
          <w:r>
            <w:rPr>
              <w:color w:val="auto"/>
              <w:highlight w:val="none"/>
            </w:rPr>
            <w:fldChar w:fldCharType="separate"/>
          </w:r>
          <w:r>
            <w:rPr>
              <w:rFonts w:hint="eastAsia" w:ascii="宋体" w:hAnsi="宋体" w:cs="宋体"/>
              <w:bCs/>
              <w:color w:val="auto"/>
              <w:sz w:val="28"/>
              <w:szCs w:val="72"/>
              <w:highlight w:val="none"/>
            </w:rPr>
            <w:t>第六章 投标文件格式附件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_Toc1462963273 \h </w:instrText>
          </w:r>
          <w:r>
            <w:rPr>
              <w:color w:val="auto"/>
              <w:sz w:val="28"/>
              <w:szCs w:val="28"/>
              <w:highlight w:val="none"/>
            </w:rPr>
            <w:fldChar w:fldCharType="separate"/>
          </w:r>
          <w:r>
            <w:rPr>
              <w:color w:val="auto"/>
              <w:sz w:val="28"/>
              <w:szCs w:val="28"/>
              <w:highlight w:val="none"/>
            </w:rPr>
            <w:t>50</w:t>
          </w:r>
          <w:r>
            <w:rPr>
              <w:color w:val="auto"/>
              <w:sz w:val="28"/>
              <w:szCs w:val="28"/>
              <w:highlight w:val="none"/>
            </w:rPr>
            <w:fldChar w:fldCharType="end"/>
          </w:r>
          <w:r>
            <w:rPr>
              <w:color w:val="auto"/>
              <w:sz w:val="28"/>
              <w:szCs w:val="28"/>
              <w:highlight w:val="none"/>
            </w:rPr>
            <w:fldChar w:fldCharType="end"/>
          </w:r>
        </w:p>
        <w:p w14:paraId="35E16248">
          <w:pPr>
            <w:pStyle w:val="36"/>
            <w:shd w:val="clear"/>
            <w:tabs>
              <w:tab w:val="right" w:leader="dot" w:pos="8300"/>
            </w:tabs>
            <w:rPr>
              <w:color w:val="auto"/>
              <w:highlight w:val="none"/>
            </w:rPr>
          </w:pPr>
        </w:p>
        <w:p w14:paraId="4747AB26">
          <w:pPr>
            <w:shd w:val="clear"/>
            <w:spacing w:line="360" w:lineRule="auto"/>
            <w:rPr>
              <w:rFonts w:ascii="宋体" w:hAnsi="宋体" w:cs="宋体"/>
              <w:color w:val="auto"/>
              <w:sz w:val="24"/>
              <w:szCs w:val="32"/>
              <w:highlight w:val="none"/>
            </w:rPr>
          </w:pPr>
          <w:r>
            <w:rPr>
              <w:rFonts w:ascii="宋体" w:hAnsi="宋体" w:cs="宋体"/>
              <w:color w:val="auto"/>
              <w:szCs w:val="32"/>
              <w:highlight w:val="none"/>
            </w:rPr>
            <w:fldChar w:fldCharType="end"/>
          </w:r>
        </w:p>
      </w:sdtContent>
    </w:sdt>
    <w:p w14:paraId="0FBF9106">
      <w:pPr>
        <w:shd w:val="clear"/>
        <w:spacing w:line="360" w:lineRule="auto"/>
        <w:rPr>
          <w:rFonts w:ascii="宋体" w:hAnsi="宋体" w:cs="宋体"/>
          <w:color w:val="auto"/>
          <w:sz w:val="24"/>
          <w:szCs w:val="32"/>
          <w:highlight w:val="none"/>
        </w:rPr>
      </w:pPr>
    </w:p>
    <w:p w14:paraId="3A3F0D1C">
      <w:pPr>
        <w:shd w:val="clear"/>
        <w:spacing w:line="360" w:lineRule="auto"/>
        <w:rPr>
          <w:rFonts w:ascii="宋体" w:hAnsi="宋体" w:cs="宋体"/>
          <w:color w:val="auto"/>
          <w:sz w:val="24"/>
          <w:szCs w:val="32"/>
          <w:highlight w:val="none"/>
        </w:rPr>
      </w:pPr>
    </w:p>
    <w:p w14:paraId="0BB9A8A3">
      <w:pPr>
        <w:shd w:val="clear"/>
        <w:spacing w:line="360" w:lineRule="auto"/>
        <w:rPr>
          <w:rFonts w:ascii="宋体" w:hAnsi="宋体" w:cs="宋体"/>
          <w:color w:val="auto"/>
          <w:sz w:val="24"/>
          <w:szCs w:val="32"/>
          <w:highlight w:val="none"/>
        </w:rPr>
      </w:pPr>
    </w:p>
    <w:p w14:paraId="09AB9272">
      <w:pPr>
        <w:shd w:val="clear"/>
        <w:spacing w:line="360" w:lineRule="auto"/>
        <w:rPr>
          <w:rFonts w:ascii="宋体" w:hAnsi="宋体" w:cs="宋体"/>
          <w:color w:val="auto"/>
          <w:sz w:val="24"/>
          <w:szCs w:val="32"/>
          <w:highlight w:val="none"/>
        </w:rPr>
      </w:pPr>
    </w:p>
    <w:p w14:paraId="682A25B0">
      <w:pPr>
        <w:shd w:val="clear"/>
        <w:spacing w:line="360" w:lineRule="auto"/>
        <w:rPr>
          <w:rFonts w:ascii="宋体" w:hAnsi="宋体" w:cs="宋体"/>
          <w:color w:val="auto"/>
          <w:sz w:val="24"/>
          <w:szCs w:val="32"/>
          <w:highlight w:val="none"/>
        </w:rPr>
      </w:pPr>
    </w:p>
    <w:p w14:paraId="31B68B55">
      <w:pPr>
        <w:shd w:val="clear"/>
        <w:spacing w:line="360" w:lineRule="auto"/>
        <w:rPr>
          <w:rFonts w:ascii="宋体" w:hAnsi="宋体" w:cs="宋体"/>
          <w:color w:val="auto"/>
          <w:sz w:val="24"/>
          <w:szCs w:val="32"/>
          <w:highlight w:val="none"/>
        </w:rPr>
      </w:pPr>
    </w:p>
    <w:p w14:paraId="587F3FD6">
      <w:pPr>
        <w:shd w:val="clear"/>
        <w:spacing w:line="360" w:lineRule="auto"/>
        <w:rPr>
          <w:rFonts w:ascii="宋体" w:hAnsi="宋体" w:cs="宋体"/>
          <w:color w:val="auto"/>
          <w:sz w:val="24"/>
          <w:szCs w:val="32"/>
          <w:highlight w:val="none"/>
        </w:rPr>
      </w:pPr>
    </w:p>
    <w:p w14:paraId="1185A7C6">
      <w:pPr>
        <w:shd w:val="clear"/>
        <w:spacing w:line="360" w:lineRule="auto"/>
        <w:rPr>
          <w:rFonts w:ascii="宋体" w:hAnsi="宋体" w:cs="宋体"/>
          <w:color w:val="auto"/>
          <w:sz w:val="24"/>
          <w:szCs w:val="32"/>
          <w:highlight w:val="none"/>
        </w:rPr>
      </w:pPr>
    </w:p>
    <w:p w14:paraId="7E0F5B3A">
      <w:pPr>
        <w:shd w:val="clear"/>
        <w:spacing w:line="360" w:lineRule="auto"/>
        <w:rPr>
          <w:rFonts w:ascii="宋体" w:hAnsi="宋体" w:cs="宋体"/>
          <w:color w:val="auto"/>
          <w:sz w:val="24"/>
          <w:szCs w:val="32"/>
          <w:highlight w:val="none"/>
        </w:rPr>
      </w:pPr>
    </w:p>
    <w:p w14:paraId="543873E5">
      <w:pPr>
        <w:shd w:val="clear"/>
        <w:spacing w:line="360" w:lineRule="auto"/>
        <w:rPr>
          <w:rFonts w:ascii="宋体" w:hAnsi="宋体" w:cs="宋体"/>
          <w:color w:val="auto"/>
          <w:sz w:val="24"/>
          <w:szCs w:val="32"/>
          <w:highlight w:val="none"/>
        </w:rPr>
      </w:pPr>
    </w:p>
    <w:p w14:paraId="234BCC65">
      <w:pPr>
        <w:shd w:val="clear"/>
        <w:rPr>
          <w:rFonts w:ascii="宋体" w:hAnsi="宋体" w:cs="宋体"/>
          <w:b/>
          <w:bCs/>
          <w:color w:val="auto"/>
          <w:sz w:val="36"/>
          <w:szCs w:val="44"/>
          <w:highlight w:val="none"/>
        </w:rPr>
      </w:pPr>
      <w:bookmarkStart w:id="0" w:name="_Toc24169"/>
      <w:r>
        <w:rPr>
          <w:rFonts w:hint="eastAsia" w:ascii="宋体" w:hAnsi="宋体" w:cs="宋体"/>
          <w:b/>
          <w:bCs/>
          <w:color w:val="auto"/>
          <w:sz w:val="36"/>
          <w:szCs w:val="44"/>
          <w:highlight w:val="none"/>
        </w:rPr>
        <w:br w:type="page"/>
      </w:r>
    </w:p>
    <w:p w14:paraId="0A16E15A">
      <w:pPr>
        <w:shd w:val="clear"/>
        <w:spacing w:line="360" w:lineRule="auto"/>
        <w:jc w:val="center"/>
        <w:outlineLvl w:val="0"/>
        <w:rPr>
          <w:rFonts w:ascii="宋体" w:hAnsi="宋体" w:cs="宋体"/>
          <w:b/>
          <w:bCs/>
          <w:color w:val="auto"/>
          <w:sz w:val="36"/>
          <w:szCs w:val="44"/>
          <w:highlight w:val="none"/>
        </w:rPr>
      </w:pPr>
      <w:bookmarkStart w:id="1" w:name="_Toc1962391020"/>
      <w:bookmarkStart w:id="2" w:name="_Toc2009"/>
      <w:r>
        <w:rPr>
          <w:rFonts w:hint="eastAsia" w:ascii="宋体" w:hAnsi="宋体" w:cs="宋体"/>
          <w:b/>
          <w:bCs/>
          <w:color w:val="auto"/>
          <w:sz w:val="36"/>
          <w:szCs w:val="44"/>
          <w:highlight w:val="none"/>
        </w:rPr>
        <w:t>第一章 公开招标采购公告</w:t>
      </w:r>
      <w:bookmarkEnd w:id="0"/>
      <w:bookmarkEnd w:id="1"/>
      <w:bookmarkEnd w:id="2"/>
    </w:p>
    <w:p w14:paraId="2C6ED06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台州学院</w:t>
      </w:r>
      <w:r>
        <w:rPr>
          <w:rFonts w:hint="eastAsia" w:ascii="宋体" w:hAnsi="宋体" w:cs="宋体"/>
          <w:color w:val="auto"/>
          <w:sz w:val="24"/>
          <w:szCs w:val="32"/>
          <w:highlight w:val="none"/>
        </w:rPr>
        <w:t>委托，现就其</w:t>
      </w:r>
      <w:r>
        <w:rPr>
          <w:rFonts w:hint="eastAsia" w:ascii="宋体" w:hAnsi="宋体" w:cs="宋体"/>
          <w:b/>
          <w:bCs/>
          <w:color w:val="FF0000"/>
          <w:sz w:val="24"/>
          <w:szCs w:val="32"/>
          <w:highlight w:val="none"/>
          <w:lang w:eastAsia="zh-CN"/>
        </w:rPr>
        <w:t>台州学院电能管理平台建设（二期）项目</w:t>
      </w:r>
      <w:r>
        <w:rPr>
          <w:rFonts w:hint="eastAsia" w:ascii="宋体" w:hAnsi="宋体" w:cs="宋体"/>
          <w:color w:val="auto"/>
          <w:sz w:val="24"/>
          <w:szCs w:val="32"/>
          <w:highlight w:val="none"/>
        </w:rPr>
        <w:t>进行公开招标采购，欢迎合格供应商前来投标。</w:t>
      </w:r>
    </w:p>
    <w:p w14:paraId="69BF1F92">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一、项目编号：</w:t>
      </w:r>
      <w:bookmarkStart w:id="3" w:name="OLE_LINK19"/>
      <w:r>
        <w:rPr>
          <w:rFonts w:hint="eastAsia" w:ascii="宋体" w:hAnsi="宋体" w:cs="宋体"/>
          <w:color w:val="auto"/>
          <w:sz w:val="24"/>
          <w:szCs w:val="32"/>
          <w:highlight w:val="none"/>
          <w:lang w:eastAsia="zh-CN"/>
        </w:rPr>
        <w:t>ZJWS2025-JJ215</w:t>
      </w:r>
      <w:bookmarkEnd w:id="3"/>
      <w:r>
        <w:rPr>
          <w:rFonts w:hint="eastAsia" w:ascii="宋体" w:hAnsi="宋体" w:cs="宋体"/>
          <w:color w:val="auto"/>
          <w:sz w:val="24"/>
          <w:szCs w:val="32"/>
          <w:highlight w:val="none"/>
        </w:rPr>
        <w:t>。</w:t>
      </w:r>
    </w:p>
    <w:p w14:paraId="6D0FDEB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p w14:paraId="46758FB0">
      <w:pPr>
        <w:shd w:val="clear"/>
        <w:tabs>
          <w:tab w:val="left" w:pos="8280"/>
        </w:tabs>
        <w:autoSpaceDE w:val="0"/>
        <w:autoSpaceDN w:val="0"/>
        <w:adjustRightInd w:val="0"/>
        <w:spacing w:line="360" w:lineRule="auto"/>
        <w:ind w:right="25" w:firstLine="2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本次招标共</w:t>
      </w:r>
      <w:r>
        <w:rPr>
          <w:rFonts w:hint="eastAsia" w:asciiTheme="minorEastAsia" w:hAnsiTheme="minorEastAsia" w:eastAsiaTheme="minorEastAsia"/>
          <w:color w:val="auto"/>
          <w:sz w:val="24"/>
          <w:highlight w:val="none"/>
          <w:lang w:val="en-US" w:eastAsia="zh-CN"/>
        </w:rPr>
        <w:t>一</w:t>
      </w:r>
      <w:r>
        <w:rPr>
          <w:rFonts w:hint="eastAsia" w:asciiTheme="minorEastAsia" w:hAnsiTheme="minorEastAsia" w:eastAsiaTheme="minorEastAsia"/>
          <w:color w:val="auto"/>
          <w:sz w:val="24"/>
          <w:highlight w:val="none"/>
        </w:rPr>
        <w:t>个标段，具体内容如下表：</w:t>
      </w:r>
    </w:p>
    <w:tbl>
      <w:tblPr>
        <w:tblStyle w:val="26"/>
        <w:tblW w:w="55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722"/>
        <w:gridCol w:w="1134"/>
        <w:gridCol w:w="482"/>
        <w:gridCol w:w="482"/>
        <w:gridCol w:w="893"/>
        <w:gridCol w:w="953"/>
        <w:gridCol w:w="1457"/>
        <w:gridCol w:w="1570"/>
      </w:tblGrid>
      <w:tr w14:paraId="3789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371" w:type="pct"/>
            <w:shd w:val="clear" w:color="auto" w:fill="E7E6E6" w:themeFill="background2"/>
            <w:vAlign w:val="center"/>
          </w:tcPr>
          <w:p w14:paraId="31EFC58E">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标段号</w:t>
            </w:r>
          </w:p>
        </w:tc>
        <w:tc>
          <w:tcPr>
            <w:tcW w:w="916" w:type="pct"/>
            <w:shd w:val="clear" w:color="auto" w:fill="E7E6E6" w:themeFill="background2"/>
            <w:vAlign w:val="center"/>
          </w:tcPr>
          <w:p w14:paraId="748F47AB">
            <w:pPr>
              <w:shd w:val="clear"/>
              <w:tabs>
                <w:tab w:val="left" w:pos="8280"/>
              </w:tabs>
              <w:autoSpaceDE w:val="0"/>
              <w:autoSpaceDN w:val="0"/>
              <w:adjustRightInd w:val="0"/>
              <w:spacing w:line="360" w:lineRule="auto"/>
              <w:ind w:right="25" w:firstLine="120" w:firstLine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603" w:type="pct"/>
            <w:shd w:val="clear" w:color="auto" w:fill="E7E6E6" w:themeFill="background2"/>
            <w:vAlign w:val="center"/>
          </w:tcPr>
          <w:p w14:paraId="4EBC4A76">
            <w:pPr>
              <w:shd w:val="clea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w:t>
            </w:r>
          </w:p>
        </w:tc>
        <w:tc>
          <w:tcPr>
            <w:tcW w:w="256" w:type="pct"/>
            <w:shd w:val="clear" w:color="auto" w:fill="E7E6E6" w:themeFill="background2"/>
            <w:vAlign w:val="center"/>
          </w:tcPr>
          <w:p w14:paraId="3166B4C5">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256" w:type="pct"/>
            <w:shd w:val="clear" w:color="auto" w:fill="E7E6E6" w:themeFill="background2"/>
            <w:vAlign w:val="center"/>
          </w:tcPr>
          <w:p w14:paraId="5B5913CC">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475" w:type="pct"/>
            <w:shd w:val="clear" w:color="auto" w:fill="E7E6E6" w:themeFill="background2"/>
            <w:vAlign w:val="center"/>
          </w:tcPr>
          <w:p w14:paraId="0A759EBA">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预算（万元）</w:t>
            </w:r>
          </w:p>
        </w:tc>
        <w:tc>
          <w:tcPr>
            <w:tcW w:w="507" w:type="pct"/>
            <w:shd w:val="clear" w:color="auto" w:fill="E7E6E6" w:themeFill="background2"/>
            <w:vAlign w:val="center"/>
          </w:tcPr>
          <w:p w14:paraId="731A7574">
            <w:pPr>
              <w:shd w:val="clear"/>
              <w:tabs>
                <w:tab w:val="left" w:pos="8280"/>
              </w:tabs>
              <w:autoSpaceDE w:val="0"/>
              <w:autoSpaceDN w:val="0"/>
              <w:adjustRightInd w:val="0"/>
              <w:spacing w:line="360" w:lineRule="auto"/>
              <w:ind w:right="25"/>
              <w:jc w:val="cente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最高</w:t>
            </w:r>
          </w:p>
          <w:p w14:paraId="55FD7425">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限价</w:t>
            </w:r>
          </w:p>
        </w:tc>
        <w:tc>
          <w:tcPr>
            <w:tcW w:w="775" w:type="pct"/>
            <w:shd w:val="clear" w:color="auto" w:fill="E7E6E6" w:themeFill="background2"/>
            <w:vAlign w:val="center"/>
          </w:tcPr>
          <w:p w14:paraId="28A3B262">
            <w:pPr>
              <w:shd w:val="clear"/>
              <w:tabs>
                <w:tab w:val="left" w:pos="8280"/>
              </w:tabs>
              <w:autoSpaceDE w:val="0"/>
              <w:autoSpaceDN w:val="0"/>
              <w:adjustRightInd w:val="0"/>
              <w:spacing w:line="360" w:lineRule="auto"/>
              <w:ind w:right="25" w:firstLine="24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交货期</w:t>
            </w:r>
          </w:p>
          <w:p w14:paraId="47A1B5ED">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（合同签订后几天内）</w:t>
            </w:r>
          </w:p>
        </w:tc>
        <w:tc>
          <w:tcPr>
            <w:tcW w:w="835" w:type="pct"/>
            <w:shd w:val="clear" w:color="auto" w:fill="E7E6E6" w:themeFill="background2"/>
            <w:vAlign w:val="center"/>
          </w:tcPr>
          <w:p w14:paraId="0B296497">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交货地点</w:t>
            </w:r>
          </w:p>
        </w:tc>
      </w:tr>
      <w:tr w14:paraId="1F2B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371" w:type="pct"/>
            <w:vAlign w:val="center"/>
          </w:tcPr>
          <w:p w14:paraId="06E66563">
            <w:pPr>
              <w:shd w:val="clear"/>
              <w:tabs>
                <w:tab w:val="left" w:pos="8280"/>
              </w:tabs>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16" w:type="pct"/>
            <w:vAlign w:val="center"/>
          </w:tcPr>
          <w:p w14:paraId="301819C5">
            <w:pPr>
              <w:widowControl/>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台州学院电能管理平台建设（二期）项目</w:t>
            </w:r>
          </w:p>
        </w:tc>
        <w:tc>
          <w:tcPr>
            <w:tcW w:w="603" w:type="pct"/>
            <w:vAlign w:val="center"/>
          </w:tcPr>
          <w:p w14:paraId="396D85C9">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详见技术需求</w:t>
            </w:r>
          </w:p>
        </w:tc>
        <w:tc>
          <w:tcPr>
            <w:tcW w:w="256" w:type="pct"/>
            <w:vAlign w:val="center"/>
          </w:tcPr>
          <w:p w14:paraId="6F284C59">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6" w:type="pct"/>
            <w:vAlign w:val="center"/>
          </w:tcPr>
          <w:p w14:paraId="2B288AF6">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475" w:type="pct"/>
            <w:vAlign w:val="center"/>
          </w:tcPr>
          <w:p w14:paraId="19B8414D">
            <w:pPr>
              <w:shd w:val="clear"/>
              <w:tabs>
                <w:tab w:val="left" w:pos="8280"/>
              </w:tabs>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190</w:t>
            </w:r>
          </w:p>
        </w:tc>
        <w:tc>
          <w:tcPr>
            <w:tcW w:w="507" w:type="pct"/>
            <w:vAlign w:val="center"/>
          </w:tcPr>
          <w:p w14:paraId="0B749C7C">
            <w:pPr>
              <w:shd w:val="clear"/>
              <w:tabs>
                <w:tab w:val="left" w:pos="8280"/>
              </w:tabs>
              <w:autoSpaceDE w:val="0"/>
              <w:autoSpaceDN w:val="0"/>
              <w:adjustRightIn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175</w:t>
            </w:r>
          </w:p>
        </w:tc>
        <w:tc>
          <w:tcPr>
            <w:tcW w:w="775" w:type="pct"/>
            <w:vAlign w:val="center"/>
          </w:tcPr>
          <w:p w14:paraId="1A314CCF">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日历天</w:t>
            </w:r>
          </w:p>
        </w:tc>
        <w:tc>
          <w:tcPr>
            <w:tcW w:w="835" w:type="pct"/>
            <w:vAlign w:val="center"/>
          </w:tcPr>
          <w:p w14:paraId="6B300A70">
            <w:pPr>
              <w:shd w:val="clear"/>
              <w:tabs>
                <w:tab w:val="left" w:pos="8280"/>
              </w:tabs>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台州学院椒江校区</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临海校区招标人指定地点</w:t>
            </w:r>
          </w:p>
        </w:tc>
      </w:tr>
    </w:tbl>
    <w:p w14:paraId="7C0B171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2B4C7F5A">
      <w:pPr>
        <w:pStyle w:val="46"/>
        <w:shd w:val="clear"/>
        <w:adjustRightInd w:val="0"/>
        <w:snapToGrid w:val="0"/>
        <w:spacing w:before="0" w:line="360" w:lineRule="auto"/>
        <w:ind w:left="102" w:right="102" w:firstLine="480"/>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szCs w:val="24"/>
          <w:highlight w:val="none"/>
        </w:rPr>
        <w:t>（一）符合《中华人民共和国政府采购法》第二十二条规定的投标人资格条</w:t>
      </w:r>
      <w:r>
        <w:rPr>
          <w:rFonts w:hint="eastAsia" w:ascii="宋体" w:hAnsi="宋体" w:eastAsia="宋体" w:cs="宋体"/>
          <w:color w:val="auto"/>
          <w:sz w:val="24"/>
          <w:szCs w:val="24"/>
          <w:highlight w:val="none"/>
        </w:rPr>
        <w:t>件；</w:t>
      </w:r>
    </w:p>
    <w:p w14:paraId="5B006F05">
      <w:pPr>
        <w:pStyle w:val="46"/>
        <w:shd w:val="clear"/>
        <w:adjustRightInd w:val="0"/>
        <w:snapToGrid w:val="0"/>
        <w:spacing w:before="0" w:line="360" w:lineRule="auto"/>
        <w:ind w:left="102" w:right="102"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w:t>
      </w:r>
    </w:p>
    <w:p w14:paraId="69467F0E">
      <w:pPr>
        <w:pStyle w:val="46"/>
        <w:shd w:val="clear"/>
        <w:adjustRightInd w:val="0"/>
        <w:snapToGrid w:val="0"/>
        <w:spacing w:before="0" w:line="360" w:lineRule="auto"/>
        <w:ind w:left="102" w:right="102"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）落实政府采购政策需满足的资格要求：</w:t>
      </w:r>
      <w:r>
        <w:rPr>
          <w:rFonts w:hint="eastAsia" w:ascii="宋体" w:hAnsi="宋体" w:eastAsia="宋体" w:cs="宋体"/>
          <w:color w:val="auto"/>
          <w:sz w:val="24"/>
          <w:szCs w:val="24"/>
          <w:highlight w:val="none"/>
          <w:lang w:val="en-US" w:eastAsia="zh-CN"/>
        </w:rPr>
        <w:t>无；</w:t>
      </w:r>
    </w:p>
    <w:p w14:paraId="2FED12AB">
      <w:pPr>
        <w:pStyle w:val="46"/>
        <w:shd w:val="clear"/>
        <w:adjustRightInd w:val="0"/>
        <w:snapToGrid w:val="0"/>
        <w:spacing w:before="0" w:line="360" w:lineRule="auto"/>
        <w:ind w:left="102" w:right="102"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本项目供应商特定条件：</w:t>
      </w:r>
      <w:r>
        <w:rPr>
          <w:rFonts w:hint="eastAsia" w:ascii="宋体" w:hAnsi="宋体" w:eastAsia="宋体" w:cs="宋体"/>
          <w:color w:val="auto"/>
          <w:sz w:val="24"/>
          <w:szCs w:val="24"/>
          <w:highlight w:val="none"/>
          <w:lang w:val="en-US" w:eastAsia="zh-CN"/>
        </w:rPr>
        <w:t>无；</w:t>
      </w:r>
    </w:p>
    <w:p w14:paraId="4CFBCDAC">
      <w:pPr>
        <w:pStyle w:val="46"/>
        <w:shd w:val="clear"/>
        <w:adjustRightInd w:val="0"/>
        <w:snapToGrid w:val="0"/>
        <w:spacing w:before="0" w:line="360" w:lineRule="auto"/>
        <w:ind w:left="102" w:right="102" w:firstLine="48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五</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本项目不接受联合体投标。</w:t>
      </w:r>
    </w:p>
    <w:p w14:paraId="1D9F8A5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49D14DF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7933C99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2FF2EA1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3C7C3E4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61EEB5A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6FA241DF">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74C34E2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sz w:val="24"/>
          <w:szCs w:val="32"/>
          <w:highlight w:val="none"/>
          <w:lang w:val="en-US" w:eastAsia="zh-CN"/>
        </w:rPr>
        <w:t>95763</w:t>
      </w:r>
      <w:r>
        <w:rPr>
          <w:rFonts w:hint="eastAsia" w:ascii="宋体" w:hAnsi="宋体" w:cs="宋体"/>
          <w:color w:val="auto"/>
          <w:sz w:val="24"/>
          <w:szCs w:val="32"/>
          <w:highlight w:val="none"/>
        </w:rPr>
        <w:t>。</w:t>
      </w:r>
    </w:p>
    <w:p w14:paraId="67D7928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2.投标人通过政采云平台电子投标工具制作投标文件，电子投标工具请供应商自行前往浙江政府采购网下载并安装</w:t>
      </w:r>
      <w:r>
        <w:rPr>
          <w:rFonts w:ascii="宋体" w:hAnsi="宋体" w:eastAsia="宋体" w:cs="宋体"/>
          <w:color w:val="auto"/>
          <w:sz w:val="24"/>
          <w:szCs w:val="24"/>
          <w:highlight w:val="none"/>
        </w:rPr>
        <w:t>（下载网址：https://zfcg.czt.zj.gov.cn/luban/detail?parentId=600030&amp;articleId=ZoGATzO%2FwUdM7eXAIXLAyg%3D%3D&amp;utm=luban.luban-PC-37000.979-pc-websitegroup-zhejiang-secondPage-front.1.58e482b00f1311eea8dfcb72d7241801）</w:t>
      </w:r>
      <w:r>
        <w:rPr>
          <w:rFonts w:hint="eastAsia" w:ascii="宋体" w:hAnsi="宋体" w:cs="宋体"/>
          <w:color w:val="auto"/>
          <w:sz w:val="24"/>
          <w:szCs w:val="32"/>
          <w:highlight w:val="none"/>
        </w:rPr>
        <w:t>。</w:t>
      </w:r>
    </w:p>
    <w:p w14:paraId="4F5054A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3.投标人应在开标前完成CA数字证书办理</w:t>
      </w:r>
      <w:r>
        <w:rPr>
          <w:rFonts w:ascii="宋体" w:hAnsi="宋体" w:eastAsia="宋体" w:cs="宋体"/>
          <w:color w:val="auto"/>
          <w:sz w:val="24"/>
          <w:szCs w:val="24"/>
          <w:highlight w:val="none"/>
        </w:rPr>
        <w:t>（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sz w:val="24"/>
          <w:szCs w:val="32"/>
          <w:highlight w:val="none"/>
        </w:rPr>
        <w:t>。</w:t>
      </w:r>
    </w:p>
    <w:p w14:paraId="52FBBEA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14:paraId="6E5A56B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5.投标文件的组成、份数、密封、效力</w:t>
      </w:r>
    </w:p>
    <w:p w14:paraId="264AE6E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本项目实行电子投标，供应商应准备电子投标文件、以介质（U盘）存储的数据电文形式、纸质备份投标文件三类：</w:t>
      </w:r>
    </w:p>
    <w:p w14:paraId="79857AD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5.1电子投标文件，按政采云平台项目采购--电子招投标操作指南及本招标文件要求编制。</w:t>
      </w:r>
    </w:p>
    <w:p w14:paraId="101560A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5.2纸质备份投标文件以纸质文件的形式编制，按资格及商务技术文件、报价文件分别编制并单独装订成册，</w:t>
      </w:r>
      <w:r>
        <w:rPr>
          <w:rFonts w:hint="eastAsia" w:ascii="宋体" w:hAnsi="宋体" w:cs="宋体"/>
          <w:b/>
          <w:bCs/>
          <w:color w:val="auto"/>
          <w:sz w:val="24"/>
          <w:szCs w:val="32"/>
          <w:highlight w:val="none"/>
        </w:rPr>
        <w:t>数量均为2份（一正一副）</w:t>
      </w:r>
      <w:r>
        <w:rPr>
          <w:rFonts w:hint="eastAsia" w:ascii="宋体" w:hAnsi="宋体" w:cs="宋体"/>
          <w:color w:val="auto"/>
          <w:sz w:val="24"/>
          <w:szCs w:val="32"/>
          <w:highlight w:val="none"/>
        </w:rPr>
        <w:t>。资格及商务技术文件、报价文件须分别密封封装，资格及商务技术文件、报价文件未分别密封的投标文件将为无效。</w:t>
      </w:r>
    </w:p>
    <w:p w14:paraId="1382278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5.3投标供应商在“政府采购云平台”完成“电子加密投标文件”的上传递交后，需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4144A4C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①在投标截止时间前送交到开标地点；</w:t>
      </w:r>
    </w:p>
    <w:p w14:paraId="7DB1331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②采用邮寄方式（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14:paraId="6B9B65B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77586AB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5.5</w:t>
      </w:r>
      <w:r>
        <w:rPr>
          <w:rFonts w:hint="eastAsia" w:ascii="宋体" w:hAnsi="宋体" w:cs="宋体"/>
          <w:color w:val="auto"/>
          <w:sz w:val="24"/>
          <w:szCs w:val="32"/>
          <w:highlight w:val="none"/>
        </w:rPr>
        <w:t>投标文件启用顺序和效力：投标文件的启用，按先后顺位分别为电子投标文件、以介质（U盘）存储的数据电文形式的备份投标文件。</w:t>
      </w:r>
    </w:p>
    <w:p w14:paraId="647B0F7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5.6▲未传输递交电子投标文件的，投标无效。</w:t>
      </w:r>
    </w:p>
    <w:p w14:paraId="62A678E5">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24</w:t>
      </w:r>
      <w:r>
        <w:rPr>
          <w:rFonts w:hint="eastAsia" w:ascii="宋体" w:hAnsi="宋体" w:cs="宋体"/>
          <w:color w:val="auto"/>
          <w:sz w:val="24"/>
          <w:szCs w:val="32"/>
          <w:highlight w:val="none"/>
          <w:lang w:eastAsia="zh-CN"/>
        </w:rPr>
        <w:t>日 上午09:00</w:t>
      </w:r>
      <w:r>
        <w:rPr>
          <w:rFonts w:hint="eastAsia" w:ascii="宋体" w:hAnsi="宋体" w:cs="宋体"/>
          <w:color w:val="auto"/>
          <w:sz w:val="24"/>
          <w:szCs w:val="32"/>
          <w:highlight w:val="none"/>
        </w:rPr>
        <w:t>。</w:t>
      </w:r>
    </w:p>
    <w:p w14:paraId="74963D56">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七、投标及开标地址：</w:t>
      </w:r>
      <w:r>
        <w:rPr>
          <w:rFonts w:hint="eastAsia" w:ascii="宋体" w:hAnsi="宋体" w:cs="宋体"/>
          <w:color w:val="auto"/>
          <w:sz w:val="24"/>
          <w:highlight w:val="none"/>
          <w:lang w:eastAsia="zh-CN"/>
        </w:rPr>
        <w:t>椒江区市府大道777号民泰大楼3楼一号开标室B场地</w:t>
      </w:r>
      <w:r>
        <w:rPr>
          <w:rFonts w:hint="eastAsia" w:ascii="宋体" w:hAnsi="宋体" w:cs="宋体"/>
          <w:color w:val="auto"/>
          <w:sz w:val="24"/>
          <w:highlight w:val="none"/>
          <w:lang w:eastAsia="zh-Hans"/>
        </w:rPr>
        <w:t>。</w:t>
      </w:r>
    </w:p>
    <w:p w14:paraId="1F9DF6CA">
      <w:pPr>
        <w:shd w:val="clear"/>
        <w:spacing w:line="360" w:lineRule="auto"/>
        <w:ind w:firstLine="482" w:firstLineChars="200"/>
        <w:outlineLvl w:val="0"/>
        <w:rPr>
          <w:rFonts w:hint="eastAsia" w:ascii="宋体" w:hAnsi="宋体" w:cs="宋体"/>
          <w:b/>
          <w:bCs/>
          <w:color w:val="auto"/>
          <w:sz w:val="24"/>
          <w:szCs w:val="32"/>
          <w:highlight w:val="none"/>
        </w:rPr>
      </w:pPr>
      <w:bookmarkStart w:id="4" w:name="_Toc24566"/>
      <w:bookmarkStart w:id="5" w:name="_Toc852022514"/>
      <w:bookmarkStart w:id="6" w:name="_Toc11247"/>
      <w:r>
        <w:rPr>
          <w:rFonts w:hint="eastAsia" w:ascii="宋体" w:hAnsi="宋体" w:cs="宋体"/>
          <w:b/>
          <w:bCs/>
          <w:color w:val="auto"/>
          <w:sz w:val="24"/>
          <w:szCs w:val="32"/>
          <w:highlight w:val="none"/>
        </w:rPr>
        <w:t>八、相关注意事项：</w:t>
      </w:r>
      <w:bookmarkEnd w:id="4"/>
      <w:bookmarkEnd w:id="5"/>
      <w:bookmarkEnd w:id="6"/>
    </w:p>
    <w:p w14:paraId="18FD08BF">
      <w:pPr>
        <w:shd w:val="clear"/>
        <w:spacing w:line="360" w:lineRule="auto"/>
        <w:ind w:firstLine="480" w:firstLineChars="200"/>
        <w:outlineLvl w:val="0"/>
        <w:rPr>
          <w:rFonts w:ascii="宋体" w:hAnsi="宋体" w:cs="宋体"/>
          <w:b/>
          <w:bCs/>
          <w:color w:val="auto"/>
          <w:sz w:val="24"/>
          <w:szCs w:val="32"/>
          <w:highlight w:val="none"/>
        </w:rPr>
      </w:pPr>
      <w:r>
        <w:rPr>
          <w:rFonts w:hint="eastAsia" w:ascii="宋体" w:hAnsi="宋体" w:cs="宋体"/>
          <w:b w:val="0"/>
          <w:bCs w:val="0"/>
          <w:color w:val="auto"/>
          <w:sz w:val="24"/>
          <w:szCs w:val="32"/>
          <w:highlight w:val="none"/>
        </w:rPr>
        <w:t>1.</w:t>
      </w:r>
      <w:r>
        <w:rPr>
          <w:rFonts w:hint="eastAsia" w:ascii="宋体" w:hAnsi="宋体" w:cs="宋体"/>
          <w:b w:val="0"/>
          <w:bCs w:val="0"/>
          <w:color w:val="auto"/>
          <w:sz w:val="24"/>
          <w:highlight w:val="none"/>
        </w:rPr>
        <w:t>本文件公告期限为</w:t>
      </w:r>
      <w:r>
        <w:rPr>
          <w:rFonts w:ascii="宋体" w:hAnsi="宋体" w:cs="宋体"/>
          <w:b w:val="0"/>
          <w:bCs w:val="0"/>
          <w:color w:val="auto"/>
          <w:sz w:val="24"/>
          <w:highlight w:val="none"/>
        </w:rPr>
        <w:t>5</w:t>
      </w:r>
      <w:r>
        <w:rPr>
          <w:rFonts w:hint="eastAsia" w:ascii="宋体" w:hAnsi="宋体" w:cs="宋体"/>
          <w:b w:val="0"/>
          <w:bCs w:val="0"/>
          <w:color w:val="auto"/>
          <w:sz w:val="24"/>
          <w:highlight w:val="none"/>
        </w:rPr>
        <w:t>个工作日。供应商认为采购文件使自己的权益受到损害的，可以自获取采购文件之日或者采购文件公告期限届满之日起7个工作日内，以书面形式</w:t>
      </w:r>
      <w:r>
        <w:rPr>
          <w:rFonts w:hint="eastAsia" w:ascii="宋体" w:hAnsi="宋体" w:cs="宋体"/>
          <w:b w:val="0"/>
          <w:bCs w:val="0"/>
          <w:color w:val="auto"/>
          <w:sz w:val="24"/>
          <w:highlight w:val="none"/>
          <w:lang w:eastAsia="zh-Hans"/>
        </w:rPr>
        <w:t>一次性</w:t>
      </w:r>
      <w:r>
        <w:rPr>
          <w:rFonts w:hint="eastAsia" w:ascii="宋体" w:hAnsi="宋体" w:cs="宋体"/>
          <w:b w:val="0"/>
          <w:bCs w:val="0"/>
          <w:color w:val="auto"/>
          <w:sz w:val="24"/>
          <w:highlight w:val="none"/>
        </w:rPr>
        <w:t>向采购人和采购代理机构提出质疑。供应商认为采购过程、中</w:t>
      </w:r>
      <w:r>
        <w:rPr>
          <w:rFonts w:hint="eastAsia" w:ascii="宋体" w:hAnsi="宋体" w:cs="宋体"/>
          <w:color w:val="auto"/>
          <w:sz w:val="24"/>
          <w:highlight w:val="none"/>
        </w:rPr>
        <w:t>标或者成交结果使自己的权益受到损害的，可以在知道或者应知其权益受到损害之日起7个工作日内，以书面形式一次性针对同一环节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16935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3AFFCE6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4DE66AF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2）查询渠道：“信用中国”（www.creditchina.gov.cn）、“中国政府采购网”（www.ccgp.gov.cn）、“浙江政府采购网</w:t>
      </w:r>
      <w:r>
        <w:rPr>
          <w:rFonts w:hint="default"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p>
    <w:p w14:paraId="62D857E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3）信用信息查询记录和证据留存具体方式：采购代理机构经办人和监督人员将查询网页打印与其他采购相关文件一并保存；</w:t>
      </w:r>
    </w:p>
    <w:p w14:paraId="1895900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2000DBA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、政府采购严重违法失信行为记录名单或浙江政府采购网曝光台中尚在行政处罚期内的。</w:t>
      </w:r>
    </w:p>
    <w:p w14:paraId="41D36A2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4.开标时间后30分钟内供应商须携带CA自备电脑登录“政采云”平台，用“项目采购-开标评标”功能解密投标文件，投标人未按时解密或解密失败的，其上传的电子投标文件自动失效。</w:t>
      </w:r>
    </w:p>
    <w:p w14:paraId="4144A26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43B60280">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355105E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潘麒锋</w:t>
      </w:r>
      <w:r>
        <w:rPr>
          <w:rFonts w:hint="eastAsia" w:ascii="宋体" w:hAnsi="宋体" w:cs="宋体"/>
          <w:color w:val="auto"/>
          <w:sz w:val="24"/>
          <w:highlight w:val="none"/>
        </w:rPr>
        <w:t>；联系电话：0576-88781913；</w:t>
      </w:r>
    </w:p>
    <w:p w14:paraId="7D40360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地址：杭州市拱墅区白石路318号中国（杭州）人力资源服务产业园北楼512室；</w:t>
      </w:r>
    </w:p>
    <w:p w14:paraId="5EEE346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接收供应商质疑联系人：</w:t>
      </w:r>
      <w:r>
        <w:rPr>
          <w:rFonts w:hint="eastAsia" w:ascii="宋体" w:hAnsi="宋体" w:cs="宋体"/>
          <w:color w:val="auto"/>
          <w:sz w:val="24"/>
          <w:highlight w:val="none"/>
          <w:lang w:eastAsia="zh-Hans"/>
        </w:rPr>
        <w:t>徐少媚</w:t>
      </w:r>
      <w:r>
        <w:rPr>
          <w:rFonts w:hint="eastAsia" w:ascii="宋体" w:hAnsi="宋体" w:cs="宋体"/>
          <w:color w:val="auto"/>
          <w:sz w:val="24"/>
          <w:highlight w:val="none"/>
        </w:rPr>
        <w:t>；联系电话：0576-88785265。</w:t>
      </w:r>
    </w:p>
    <w:p w14:paraId="30E2B581">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2.采购人：</w:t>
      </w:r>
    </w:p>
    <w:p w14:paraId="50AD5AF8">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采购人名称：台州学院</w:t>
      </w:r>
    </w:p>
    <w:p w14:paraId="604DDB8A">
      <w:pPr>
        <w:shd w:val="clear"/>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联系人：梁老师；联系电话：0576-88660897；</w:t>
      </w:r>
    </w:p>
    <w:p w14:paraId="29CA3F0D">
      <w:pPr>
        <w:shd w:val="clear"/>
        <w:snapToGrid w:val="0"/>
        <w:spacing w:line="360" w:lineRule="auto"/>
        <w:ind w:firstLine="480" w:firstLineChars="200"/>
        <w:rPr>
          <w:rFonts w:ascii="宋体" w:hAnsi="宋体" w:cs="宋体"/>
          <w:color w:val="auto"/>
          <w:spacing w:val="20"/>
          <w:sz w:val="24"/>
          <w:highlight w:val="none"/>
        </w:rPr>
      </w:pPr>
      <w:r>
        <w:rPr>
          <w:rFonts w:hint="eastAsia" w:ascii="宋体" w:hAnsi="宋体" w:cs="宋体"/>
          <w:color w:val="auto"/>
          <w:sz w:val="24"/>
          <w:highlight w:val="none"/>
        </w:rPr>
        <w:t>质疑接收人</w:t>
      </w:r>
      <w:r>
        <w:rPr>
          <w:rFonts w:hint="eastAsia" w:ascii="宋体" w:hAnsi="宋体" w:cs="宋体"/>
          <w:color w:val="auto"/>
          <w:spacing w:val="20"/>
          <w:sz w:val="24"/>
          <w:highlight w:val="none"/>
        </w:rPr>
        <w:t>：</w:t>
      </w:r>
      <w:r>
        <w:rPr>
          <w:rFonts w:hint="eastAsia" w:ascii="宋体" w:hAnsi="宋体" w:cs="宋体"/>
          <w:color w:val="auto"/>
          <w:spacing w:val="20"/>
          <w:sz w:val="24"/>
          <w:highlight w:val="none"/>
          <w:lang w:val="en-US" w:eastAsia="zh-Hans"/>
        </w:rPr>
        <w:t>吴</w:t>
      </w:r>
      <w:r>
        <w:rPr>
          <w:rFonts w:hint="eastAsia" w:ascii="宋体" w:hAnsi="宋体" w:cs="宋体"/>
          <w:color w:val="auto"/>
          <w:spacing w:val="20"/>
          <w:sz w:val="24"/>
          <w:highlight w:val="none"/>
        </w:rPr>
        <w:t>老师；联系方式：</w:t>
      </w:r>
      <w:r>
        <w:rPr>
          <w:rFonts w:hint="eastAsia" w:ascii="宋体" w:hAnsi="宋体" w:cs="宋体"/>
          <w:color w:val="auto"/>
          <w:sz w:val="24"/>
          <w:highlight w:val="none"/>
        </w:rPr>
        <w:t>0576-88660896；</w:t>
      </w:r>
      <w:r>
        <w:rPr>
          <w:rFonts w:hint="eastAsia" w:ascii="宋体" w:hAnsi="宋体" w:cs="宋体"/>
          <w:color w:val="auto"/>
          <w:spacing w:val="20"/>
          <w:sz w:val="24"/>
          <w:highlight w:val="none"/>
        </w:rPr>
        <w:t xml:space="preserve"> </w:t>
      </w:r>
    </w:p>
    <w:p w14:paraId="2F34BBB2">
      <w:pPr>
        <w:shd w:val="clear"/>
        <w:snapToGrid w:val="0"/>
        <w:spacing w:line="360" w:lineRule="auto"/>
        <w:ind w:firstLine="560" w:firstLineChars="200"/>
        <w:rPr>
          <w:rFonts w:ascii="宋体" w:hAnsi="宋体" w:cs="宋体"/>
          <w:color w:val="auto"/>
          <w:sz w:val="24"/>
          <w:highlight w:val="none"/>
        </w:rPr>
      </w:pPr>
      <w:r>
        <w:rPr>
          <w:rFonts w:hint="eastAsia" w:ascii="宋体" w:hAnsi="宋体" w:cs="宋体"/>
          <w:color w:val="auto"/>
          <w:spacing w:val="20"/>
          <w:sz w:val="24"/>
          <w:highlight w:val="none"/>
        </w:rPr>
        <w:t>地址：</w:t>
      </w:r>
      <w:r>
        <w:rPr>
          <w:rFonts w:hint="eastAsia" w:ascii="宋体" w:hAnsi="宋体" w:cs="宋体"/>
          <w:color w:val="auto"/>
          <w:sz w:val="24"/>
          <w:highlight w:val="none"/>
        </w:rPr>
        <w:t>浙江省台州市椒江区市府大道1139号。</w:t>
      </w:r>
    </w:p>
    <w:p w14:paraId="2E5988D3">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647BF66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联系人：陈</w:t>
      </w:r>
      <w:r>
        <w:rPr>
          <w:rFonts w:hint="eastAsia" w:ascii="宋体" w:hAnsi="宋体" w:cs="宋体"/>
          <w:color w:val="auto"/>
          <w:sz w:val="24"/>
          <w:szCs w:val="32"/>
          <w:highlight w:val="none"/>
          <w:lang w:val="en-US" w:eastAsia="zh-CN"/>
        </w:rPr>
        <w:t>工</w:t>
      </w:r>
      <w:r>
        <w:rPr>
          <w:rFonts w:hint="eastAsia" w:ascii="宋体" w:hAnsi="宋体" w:cs="宋体"/>
          <w:color w:val="auto"/>
          <w:sz w:val="24"/>
          <w:szCs w:val="32"/>
          <w:highlight w:val="none"/>
        </w:rPr>
        <w:t>；监督投诉电话：0576-88206705；</w:t>
      </w:r>
    </w:p>
    <w:p w14:paraId="5947AFE4">
      <w:pPr>
        <w:pStyle w:val="25"/>
        <w:shd w:val="clear"/>
        <w:ind w:left="0" w:leftChars="0" w:firstLine="480" w:firstLineChars="200"/>
        <w:rPr>
          <w:rFonts w:ascii="宋体" w:hAnsi="宋体" w:cs="宋体"/>
          <w:color w:val="auto"/>
          <w:sz w:val="24"/>
          <w:szCs w:val="32"/>
          <w:highlight w:val="none"/>
          <w:lang w:eastAsia="zh-Hans"/>
        </w:rPr>
      </w:pPr>
      <w:r>
        <w:rPr>
          <w:rFonts w:hint="eastAsia" w:ascii="宋体" w:hAnsi="宋体" w:cs="宋体"/>
          <w:color w:val="auto"/>
          <w:sz w:val="24"/>
          <w:szCs w:val="32"/>
          <w:highlight w:val="none"/>
        </w:rPr>
        <w:t>联系人：</w:t>
      </w:r>
      <w:r>
        <w:rPr>
          <w:rFonts w:hint="eastAsia" w:ascii="宋体" w:hAnsi="宋体" w:cs="宋体"/>
          <w:color w:val="auto"/>
          <w:sz w:val="24"/>
          <w:szCs w:val="32"/>
          <w:highlight w:val="none"/>
          <w:lang w:eastAsia="zh-Hans"/>
        </w:rPr>
        <w:t>李工</w:t>
      </w:r>
      <w:r>
        <w:rPr>
          <w:rFonts w:hint="eastAsia" w:ascii="宋体" w:hAnsi="宋体" w:cs="宋体"/>
          <w:color w:val="auto"/>
          <w:sz w:val="24"/>
          <w:szCs w:val="32"/>
          <w:highlight w:val="none"/>
        </w:rPr>
        <w:t>；监督投诉电话：0576-882067</w:t>
      </w:r>
      <w:r>
        <w:rPr>
          <w:rFonts w:ascii="宋体" w:hAnsi="宋体" w:cs="宋体"/>
          <w:color w:val="auto"/>
          <w:sz w:val="24"/>
          <w:szCs w:val="32"/>
          <w:highlight w:val="none"/>
        </w:rPr>
        <w:t>31</w:t>
      </w:r>
      <w:r>
        <w:rPr>
          <w:rFonts w:hint="eastAsia" w:ascii="宋体" w:hAnsi="宋体" w:cs="宋体"/>
          <w:color w:val="auto"/>
          <w:sz w:val="24"/>
          <w:szCs w:val="32"/>
          <w:highlight w:val="none"/>
        </w:rPr>
        <w:t>；</w:t>
      </w:r>
    </w:p>
    <w:p w14:paraId="5527CBEC">
      <w:pPr>
        <w:pStyle w:val="25"/>
        <w:shd w:val="clear"/>
        <w:ind w:left="0" w:leftChars="0" w:firstLine="480" w:firstLineChars="200"/>
        <w:rPr>
          <w:rFonts w:ascii="宋体" w:hAnsi="宋体" w:cs="宋体"/>
          <w:color w:val="auto"/>
          <w:highlight w:val="none"/>
        </w:rPr>
      </w:pPr>
      <w:r>
        <w:rPr>
          <w:rFonts w:hint="eastAsia" w:ascii="宋体" w:hAnsi="宋体" w:cs="宋体"/>
          <w:color w:val="auto"/>
          <w:sz w:val="24"/>
          <w:szCs w:val="32"/>
          <w:highlight w:val="none"/>
        </w:rPr>
        <w:t>地址：台州市椒江区纬一路66号天元大厦。</w:t>
      </w:r>
    </w:p>
    <w:p w14:paraId="17A51F7F">
      <w:pPr>
        <w:shd w:val="clea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6"/>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14:paraId="4A52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6DEC887">
            <w:pPr>
              <w:shd w:val="clea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579" w:type="dxa"/>
            <w:vAlign w:val="center"/>
          </w:tcPr>
          <w:p w14:paraId="64537048">
            <w:pPr>
              <w:shd w:val="clea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821" w:type="dxa"/>
            <w:vAlign w:val="center"/>
          </w:tcPr>
          <w:p w14:paraId="6D48B04A">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303" w:type="dxa"/>
            <w:vAlign w:val="center"/>
          </w:tcPr>
          <w:p w14:paraId="290B7FBD">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3F2E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8DF9448">
            <w:pPr>
              <w:shd w:val="clea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579" w:type="dxa"/>
            <w:vAlign w:val="center"/>
          </w:tcPr>
          <w:p w14:paraId="73FF8CC4">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61015243">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卢嘉诚</w:t>
            </w:r>
          </w:p>
        </w:tc>
        <w:tc>
          <w:tcPr>
            <w:tcW w:w="2303" w:type="dxa"/>
            <w:vAlign w:val="center"/>
          </w:tcPr>
          <w:p w14:paraId="7282BA32">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13867658508</w:t>
            </w:r>
          </w:p>
        </w:tc>
      </w:tr>
      <w:tr w14:paraId="56D1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20006AC">
            <w:pPr>
              <w:shd w:val="clea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579" w:type="dxa"/>
            <w:vAlign w:val="center"/>
          </w:tcPr>
          <w:p w14:paraId="6B2FA616">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7439AAF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龚盛</w:t>
            </w:r>
          </w:p>
        </w:tc>
        <w:tc>
          <w:tcPr>
            <w:tcW w:w="2303" w:type="dxa"/>
            <w:vAlign w:val="center"/>
          </w:tcPr>
          <w:p w14:paraId="1B4EB22A">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15858682216</w:t>
            </w:r>
          </w:p>
        </w:tc>
      </w:tr>
      <w:tr w14:paraId="0C22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FE13656">
            <w:pPr>
              <w:shd w:val="clea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579" w:type="dxa"/>
            <w:vAlign w:val="center"/>
          </w:tcPr>
          <w:p w14:paraId="2F44F47C">
            <w:pPr>
              <w:shd w:val="clear"/>
              <w:jc w:val="center"/>
              <w:rPr>
                <w:rFonts w:ascii="宋体" w:hAnsi="宋体" w:cs="宋体"/>
                <w:color w:val="auto"/>
                <w:sz w:val="24"/>
                <w:highlight w:val="none"/>
              </w:rPr>
            </w:pPr>
            <w:r>
              <w:rPr>
                <w:rFonts w:hint="eastAsia" w:ascii="宋体" w:hAnsi="宋体" w:cs="宋体"/>
                <w:color w:val="auto"/>
                <w:sz w:val="24"/>
                <w:highlight w:val="none"/>
              </w:rPr>
              <w:t>3.8%起</w:t>
            </w:r>
          </w:p>
        </w:tc>
        <w:tc>
          <w:tcPr>
            <w:tcW w:w="1821" w:type="dxa"/>
            <w:vAlign w:val="center"/>
          </w:tcPr>
          <w:p w14:paraId="0FEC04D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梅晶晶</w:t>
            </w:r>
          </w:p>
        </w:tc>
        <w:tc>
          <w:tcPr>
            <w:tcW w:w="2303" w:type="dxa"/>
            <w:vAlign w:val="center"/>
          </w:tcPr>
          <w:p w14:paraId="35E70CE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88525339</w:t>
            </w:r>
          </w:p>
          <w:p w14:paraId="0D0F9E1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13736585303</w:t>
            </w:r>
          </w:p>
        </w:tc>
      </w:tr>
      <w:tr w14:paraId="46AD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7C0E5EF4">
            <w:pPr>
              <w:shd w:val="clea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579" w:type="dxa"/>
            <w:vAlign w:val="center"/>
          </w:tcPr>
          <w:p w14:paraId="20658C4E">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14:paraId="660D0ABA">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王海</w:t>
            </w:r>
          </w:p>
        </w:tc>
        <w:tc>
          <w:tcPr>
            <w:tcW w:w="2303" w:type="dxa"/>
            <w:vAlign w:val="center"/>
          </w:tcPr>
          <w:p w14:paraId="1F87EF88">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13857677798</w:t>
            </w:r>
          </w:p>
        </w:tc>
      </w:tr>
      <w:tr w14:paraId="52F1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167B4487">
            <w:pPr>
              <w:shd w:val="clea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579" w:type="dxa"/>
            <w:vAlign w:val="center"/>
          </w:tcPr>
          <w:p w14:paraId="6F38DC9B">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585B2971">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王渊</w:t>
            </w:r>
          </w:p>
        </w:tc>
        <w:tc>
          <w:tcPr>
            <w:tcW w:w="2303" w:type="dxa"/>
            <w:vAlign w:val="center"/>
          </w:tcPr>
          <w:p w14:paraId="4005538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13616676319</w:t>
            </w:r>
          </w:p>
        </w:tc>
      </w:tr>
      <w:tr w14:paraId="3066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4A903DE4">
            <w:pPr>
              <w:shd w:val="clea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579" w:type="dxa"/>
            <w:vAlign w:val="center"/>
          </w:tcPr>
          <w:p w14:paraId="2073DBA3">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73104FE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孙瑞华</w:t>
            </w:r>
          </w:p>
        </w:tc>
        <w:tc>
          <w:tcPr>
            <w:tcW w:w="2303" w:type="dxa"/>
            <w:vAlign w:val="center"/>
          </w:tcPr>
          <w:p w14:paraId="6E86350D">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13857688081</w:t>
            </w:r>
          </w:p>
        </w:tc>
      </w:tr>
      <w:tr w14:paraId="0B4C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FF7753B">
            <w:pPr>
              <w:shd w:val="clea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579" w:type="dxa"/>
            <w:vAlign w:val="center"/>
          </w:tcPr>
          <w:p w14:paraId="341A9568">
            <w:pPr>
              <w:shd w:val="clea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821" w:type="dxa"/>
            <w:vAlign w:val="center"/>
          </w:tcPr>
          <w:p w14:paraId="1EF127E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周翔宇</w:t>
            </w:r>
          </w:p>
        </w:tc>
        <w:tc>
          <w:tcPr>
            <w:tcW w:w="2303" w:type="dxa"/>
            <w:vAlign w:val="center"/>
          </w:tcPr>
          <w:p w14:paraId="0CC1F4D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13867697018</w:t>
            </w:r>
          </w:p>
        </w:tc>
      </w:tr>
      <w:tr w14:paraId="3A5F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2F14CCA">
            <w:pPr>
              <w:shd w:val="clea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579" w:type="dxa"/>
            <w:vAlign w:val="center"/>
          </w:tcPr>
          <w:p w14:paraId="15862398">
            <w:pPr>
              <w:shd w:val="clea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821" w:type="dxa"/>
            <w:vAlign w:val="center"/>
          </w:tcPr>
          <w:p w14:paraId="7569AD57">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王海玲</w:t>
            </w:r>
          </w:p>
        </w:tc>
        <w:tc>
          <w:tcPr>
            <w:tcW w:w="2303" w:type="dxa"/>
            <w:vAlign w:val="center"/>
          </w:tcPr>
          <w:p w14:paraId="661C4A79">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13566413827</w:t>
            </w:r>
          </w:p>
        </w:tc>
      </w:tr>
      <w:tr w14:paraId="466F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437DDB63">
            <w:pPr>
              <w:shd w:val="clea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579" w:type="dxa"/>
            <w:vAlign w:val="center"/>
          </w:tcPr>
          <w:p w14:paraId="1404D8A3">
            <w:pPr>
              <w:shd w:val="clea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821" w:type="dxa"/>
            <w:vAlign w:val="center"/>
          </w:tcPr>
          <w:p w14:paraId="389D793A">
            <w:pPr>
              <w:shd w:val="clea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303" w:type="dxa"/>
            <w:vAlign w:val="center"/>
          </w:tcPr>
          <w:p w14:paraId="3DC4DF43">
            <w:pPr>
              <w:shd w:val="clear"/>
              <w:jc w:val="center"/>
              <w:rPr>
                <w:rFonts w:ascii="宋体" w:hAnsi="宋体" w:cs="宋体"/>
                <w:color w:val="auto"/>
                <w:sz w:val="24"/>
                <w:highlight w:val="none"/>
              </w:rPr>
            </w:pPr>
            <w:r>
              <w:rPr>
                <w:rFonts w:hint="eastAsia" w:ascii="宋体" w:hAnsi="宋体" w:cs="宋体"/>
                <w:color w:val="auto"/>
                <w:sz w:val="24"/>
                <w:highlight w:val="none"/>
              </w:rPr>
              <w:t>81880185</w:t>
            </w:r>
          </w:p>
          <w:p w14:paraId="06724605">
            <w:pPr>
              <w:shd w:val="clear"/>
              <w:jc w:val="center"/>
              <w:rPr>
                <w:rFonts w:ascii="宋体" w:hAnsi="宋体" w:cs="宋体"/>
                <w:color w:val="auto"/>
                <w:sz w:val="24"/>
                <w:highlight w:val="none"/>
              </w:rPr>
            </w:pPr>
            <w:r>
              <w:rPr>
                <w:rFonts w:hint="eastAsia" w:ascii="宋体" w:hAnsi="宋体" w:cs="宋体"/>
                <w:color w:val="auto"/>
                <w:sz w:val="24"/>
                <w:highlight w:val="none"/>
              </w:rPr>
              <w:t>13606681262</w:t>
            </w:r>
          </w:p>
        </w:tc>
      </w:tr>
      <w:tr w14:paraId="133C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7EA4545">
            <w:pPr>
              <w:shd w:val="clea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579" w:type="dxa"/>
            <w:vAlign w:val="center"/>
          </w:tcPr>
          <w:p w14:paraId="1075BDD2">
            <w:pPr>
              <w:shd w:val="clea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821" w:type="dxa"/>
            <w:vAlign w:val="center"/>
          </w:tcPr>
          <w:p w14:paraId="3076727D">
            <w:pPr>
              <w:shd w:val="clea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303" w:type="dxa"/>
            <w:vAlign w:val="center"/>
          </w:tcPr>
          <w:p w14:paraId="071F4FB6">
            <w:pPr>
              <w:shd w:val="clear"/>
              <w:jc w:val="center"/>
              <w:rPr>
                <w:rFonts w:ascii="宋体" w:hAnsi="宋体" w:cs="宋体"/>
                <w:color w:val="auto"/>
                <w:sz w:val="24"/>
                <w:highlight w:val="none"/>
              </w:rPr>
            </w:pPr>
            <w:r>
              <w:rPr>
                <w:rFonts w:hint="eastAsia" w:ascii="宋体" w:hAnsi="宋体" w:cs="宋体"/>
                <w:color w:val="auto"/>
                <w:sz w:val="24"/>
                <w:highlight w:val="none"/>
              </w:rPr>
              <w:t>13586052161</w:t>
            </w:r>
          </w:p>
        </w:tc>
      </w:tr>
      <w:tr w14:paraId="3135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4C522E05">
            <w:pPr>
              <w:shd w:val="clea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579" w:type="dxa"/>
            <w:vAlign w:val="center"/>
          </w:tcPr>
          <w:p w14:paraId="356FCACE">
            <w:pPr>
              <w:shd w:val="clear"/>
              <w:jc w:val="center"/>
              <w:rPr>
                <w:rFonts w:ascii="宋体" w:hAnsi="宋体" w:cs="宋体"/>
                <w:color w:val="auto"/>
                <w:sz w:val="24"/>
                <w:highlight w:val="none"/>
              </w:rPr>
            </w:pPr>
            <w:r>
              <w:rPr>
                <w:rFonts w:hint="eastAsia" w:ascii="宋体" w:hAnsi="宋体" w:cs="宋体"/>
                <w:color w:val="auto"/>
                <w:sz w:val="24"/>
                <w:highlight w:val="none"/>
              </w:rPr>
              <w:t>4.5%起</w:t>
            </w:r>
          </w:p>
        </w:tc>
        <w:tc>
          <w:tcPr>
            <w:tcW w:w="1821" w:type="dxa"/>
            <w:vAlign w:val="center"/>
          </w:tcPr>
          <w:p w14:paraId="299EE000">
            <w:pPr>
              <w:shd w:val="clea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303" w:type="dxa"/>
            <w:vAlign w:val="center"/>
          </w:tcPr>
          <w:p w14:paraId="1F7DBEEE">
            <w:pPr>
              <w:shd w:val="clear"/>
              <w:jc w:val="center"/>
              <w:rPr>
                <w:rFonts w:ascii="宋体" w:hAnsi="宋体" w:cs="宋体"/>
                <w:color w:val="auto"/>
                <w:sz w:val="24"/>
                <w:highlight w:val="none"/>
              </w:rPr>
            </w:pPr>
            <w:r>
              <w:rPr>
                <w:rFonts w:hint="eastAsia" w:ascii="宋体" w:hAnsi="宋体" w:cs="宋体"/>
                <w:color w:val="auto"/>
                <w:sz w:val="24"/>
                <w:highlight w:val="none"/>
              </w:rPr>
              <w:t>81871518</w:t>
            </w:r>
          </w:p>
          <w:p w14:paraId="3EB24060">
            <w:pPr>
              <w:shd w:val="clear"/>
              <w:jc w:val="center"/>
              <w:rPr>
                <w:rFonts w:ascii="宋体" w:hAnsi="宋体" w:cs="宋体"/>
                <w:color w:val="auto"/>
                <w:sz w:val="24"/>
                <w:highlight w:val="none"/>
              </w:rPr>
            </w:pPr>
            <w:r>
              <w:rPr>
                <w:rFonts w:hint="eastAsia" w:ascii="宋体" w:hAnsi="宋体" w:cs="宋体"/>
                <w:color w:val="auto"/>
                <w:sz w:val="24"/>
                <w:highlight w:val="none"/>
              </w:rPr>
              <w:t>13736252233</w:t>
            </w:r>
          </w:p>
        </w:tc>
      </w:tr>
      <w:tr w14:paraId="2C87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801EEF9">
            <w:pPr>
              <w:shd w:val="clea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579" w:type="dxa"/>
            <w:vAlign w:val="center"/>
          </w:tcPr>
          <w:p w14:paraId="3534889F">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14:paraId="1AB444DB">
            <w:pPr>
              <w:shd w:val="clea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303" w:type="dxa"/>
            <w:vAlign w:val="center"/>
          </w:tcPr>
          <w:p w14:paraId="7913343E">
            <w:pPr>
              <w:shd w:val="clear"/>
              <w:jc w:val="center"/>
              <w:rPr>
                <w:rFonts w:ascii="宋体" w:hAnsi="宋体" w:cs="宋体"/>
                <w:color w:val="auto"/>
                <w:sz w:val="24"/>
                <w:highlight w:val="none"/>
              </w:rPr>
            </w:pPr>
            <w:r>
              <w:rPr>
                <w:rFonts w:hint="eastAsia" w:ascii="宋体" w:hAnsi="宋体" w:cs="宋体"/>
                <w:color w:val="auto"/>
                <w:sz w:val="24"/>
                <w:highlight w:val="none"/>
              </w:rPr>
              <w:t>13306869100</w:t>
            </w:r>
          </w:p>
        </w:tc>
      </w:tr>
      <w:tr w14:paraId="24F5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70E5ED0A">
            <w:pPr>
              <w:shd w:val="clea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579" w:type="dxa"/>
            <w:vAlign w:val="center"/>
          </w:tcPr>
          <w:p w14:paraId="5360F7BA">
            <w:pPr>
              <w:shd w:val="clear"/>
              <w:jc w:val="center"/>
              <w:rPr>
                <w:rFonts w:ascii="宋体" w:hAnsi="宋体" w:cs="宋体"/>
                <w:color w:val="auto"/>
                <w:sz w:val="24"/>
                <w:highlight w:val="none"/>
              </w:rPr>
            </w:pPr>
            <w:r>
              <w:rPr>
                <w:rFonts w:hint="eastAsia" w:ascii="宋体" w:hAnsi="宋体" w:cs="宋体"/>
                <w:color w:val="auto"/>
                <w:sz w:val="24"/>
                <w:highlight w:val="none"/>
              </w:rPr>
              <w:t>5.8%起</w:t>
            </w:r>
          </w:p>
        </w:tc>
        <w:tc>
          <w:tcPr>
            <w:tcW w:w="1821" w:type="dxa"/>
            <w:vAlign w:val="center"/>
          </w:tcPr>
          <w:p w14:paraId="78696553">
            <w:pPr>
              <w:shd w:val="clea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303" w:type="dxa"/>
            <w:vAlign w:val="center"/>
          </w:tcPr>
          <w:p w14:paraId="68BBB614">
            <w:pPr>
              <w:shd w:val="clear"/>
              <w:jc w:val="center"/>
              <w:rPr>
                <w:rFonts w:ascii="宋体" w:hAnsi="宋体" w:cs="宋体"/>
                <w:color w:val="auto"/>
                <w:sz w:val="24"/>
                <w:highlight w:val="none"/>
              </w:rPr>
            </w:pPr>
            <w:r>
              <w:rPr>
                <w:rFonts w:hint="eastAsia" w:ascii="宋体" w:hAnsi="宋体" w:cs="宋体"/>
                <w:color w:val="auto"/>
                <w:sz w:val="24"/>
                <w:highlight w:val="none"/>
              </w:rPr>
              <w:t>13857699669</w:t>
            </w:r>
          </w:p>
        </w:tc>
      </w:tr>
      <w:tr w14:paraId="67DA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7436419">
            <w:pPr>
              <w:shd w:val="clea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579" w:type="dxa"/>
            <w:vAlign w:val="center"/>
          </w:tcPr>
          <w:p w14:paraId="6BED7F2B">
            <w:pPr>
              <w:shd w:val="clear"/>
              <w:jc w:val="center"/>
              <w:rPr>
                <w:rFonts w:ascii="宋体" w:hAnsi="宋体" w:cs="宋体"/>
                <w:color w:val="auto"/>
                <w:sz w:val="24"/>
                <w:highlight w:val="none"/>
              </w:rPr>
            </w:pPr>
            <w:r>
              <w:rPr>
                <w:rFonts w:hint="eastAsia" w:ascii="宋体" w:hAnsi="宋体" w:cs="宋体"/>
                <w:color w:val="auto"/>
                <w:sz w:val="24"/>
                <w:highlight w:val="none"/>
              </w:rPr>
              <w:t>5.1%起</w:t>
            </w:r>
          </w:p>
        </w:tc>
        <w:tc>
          <w:tcPr>
            <w:tcW w:w="1821" w:type="dxa"/>
            <w:vAlign w:val="center"/>
          </w:tcPr>
          <w:p w14:paraId="3430A48C">
            <w:pPr>
              <w:shd w:val="clea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303" w:type="dxa"/>
            <w:vAlign w:val="center"/>
          </w:tcPr>
          <w:p w14:paraId="25590593">
            <w:pPr>
              <w:shd w:val="clear"/>
              <w:jc w:val="center"/>
              <w:rPr>
                <w:rFonts w:ascii="宋体" w:hAnsi="宋体" w:cs="宋体"/>
                <w:color w:val="auto"/>
                <w:sz w:val="24"/>
                <w:highlight w:val="none"/>
              </w:rPr>
            </w:pPr>
            <w:r>
              <w:rPr>
                <w:rFonts w:hint="eastAsia" w:ascii="宋体" w:hAnsi="宋体" w:cs="宋体"/>
                <w:color w:val="auto"/>
                <w:sz w:val="24"/>
                <w:highlight w:val="none"/>
              </w:rPr>
              <w:t>15958633119</w:t>
            </w:r>
          </w:p>
        </w:tc>
      </w:tr>
      <w:tr w14:paraId="4EA0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0A85B368">
            <w:pPr>
              <w:shd w:val="clea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579" w:type="dxa"/>
            <w:vAlign w:val="center"/>
          </w:tcPr>
          <w:p w14:paraId="79C4FCBB">
            <w:pPr>
              <w:shd w:val="clea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821" w:type="dxa"/>
            <w:vAlign w:val="center"/>
          </w:tcPr>
          <w:p w14:paraId="37AB43E8">
            <w:pPr>
              <w:shd w:val="clea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303" w:type="dxa"/>
            <w:vAlign w:val="center"/>
          </w:tcPr>
          <w:p w14:paraId="0FBBCCDA">
            <w:pPr>
              <w:shd w:val="clear"/>
              <w:jc w:val="center"/>
              <w:rPr>
                <w:rFonts w:ascii="宋体" w:hAnsi="宋体" w:cs="宋体"/>
                <w:color w:val="auto"/>
                <w:sz w:val="24"/>
                <w:highlight w:val="none"/>
              </w:rPr>
            </w:pPr>
            <w:r>
              <w:rPr>
                <w:rFonts w:hint="eastAsia" w:ascii="宋体" w:hAnsi="宋体" w:cs="宋体"/>
                <w:color w:val="auto"/>
                <w:sz w:val="24"/>
                <w:highlight w:val="none"/>
              </w:rPr>
              <w:t>15824005475</w:t>
            </w:r>
          </w:p>
        </w:tc>
      </w:tr>
      <w:tr w14:paraId="3E2E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186E3AE7">
            <w:pPr>
              <w:shd w:val="clea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579" w:type="dxa"/>
            <w:vAlign w:val="center"/>
          </w:tcPr>
          <w:p w14:paraId="0E1E0CCA">
            <w:pPr>
              <w:shd w:val="clea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821" w:type="dxa"/>
            <w:vAlign w:val="center"/>
          </w:tcPr>
          <w:p w14:paraId="18A1138C">
            <w:pPr>
              <w:shd w:val="clea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303" w:type="dxa"/>
            <w:vAlign w:val="center"/>
          </w:tcPr>
          <w:p w14:paraId="16C016B6">
            <w:pPr>
              <w:shd w:val="clear"/>
              <w:jc w:val="center"/>
              <w:rPr>
                <w:rFonts w:ascii="宋体" w:hAnsi="宋体" w:cs="宋体"/>
                <w:color w:val="auto"/>
                <w:sz w:val="24"/>
                <w:highlight w:val="none"/>
              </w:rPr>
            </w:pPr>
            <w:r>
              <w:rPr>
                <w:rFonts w:hint="eastAsia" w:ascii="宋体" w:hAnsi="宋体" w:cs="宋体"/>
                <w:color w:val="auto"/>
                <w:sz w:val="24"/>
                <w:highlight w:val="none"/>
              </w:rPr>
              <w:t>15906861025</w:t>
            </w:r>
          </w:p>
        </w:tc>
      </w:tr>
      <w:tr w14:paraId="4A36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58A1571E">
            <w:pPr>
              <w:shd w:val="clea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579" w:type="dxa"/>
            <w:vAlign w:val="center"/>
          </w:tcPr>
          <w:p w14:paraId="0E88BB38">
            <w:pPr>
              <w:shd w:val="clea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821" w:type="dxa"/>
            <w:vAlign w:val="center"/>
          </w:tcPr>
          <w:p w14:paraId="28D8D865">
            <w:pPr>
              <w:shd w:val="clea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303" w:type="dxa"/>
            <w:vAlign w:val="center"/>
          </w:tcPr>
          <w:p w14:paraId="548C494C">
            <w:pPr>
              <w:shd w:val="clear"/>
              <w:jc w:val="center"/>
              <w:rPr>
                <w:rFonts w:ascii="宋体" w:hAnsi="宋体" w:cs="宋体"/>
                <w:color w:val="auto"/>
                <w:sz w:val="24"/>
                <w:highlight w:val="none"/>
              </w:rPr>
            </w:pPr>
            <w:r>
              <w:rPr>
                <w:rFonts w:hint="eastAsia" w:ascii="宋体" w:hAnsi="宋体" w:cs="宋体"/>
                <w:color w:val="auto"/>
                <w:sz w:val="24"/>
                <w:highlight w:val="none"/>
              </w:rPr>
              <w:t>13566627207</w:t>
            </w:r>
          </w:p>
        </w:tc>
      </w:tr>
      <w:tr w14:paraId="764A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3B452D0D">
            <w:pPr>
              <w:shd w:val="clea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579" w:type="dxa"/>
            <w:vAlign w:val="center"/>
          </w:tcPr>
          <w:p w14:paraId="1D0684BB">
            <w:pPr>
              <w:shd w:val="clea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821" w:type="dxa"/>
            <w:vAlign w:val="center"/>
          </w:tcPr>
          <w:p w14:paraId="4675AC6B">
            <w:pPr>
              <w:shd w:val="clea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303" w:type="dxa"/>
            <w:vAlign w:val="center"/>
          </w:tcPr>
          <w:p w14:paraId="1C257A57">
            <w:pPr>
              <w:shd w:val="clear"/>
              <w:jc w:val="center"/>
              <w:rPr>
                <w:rFonts w:ascii="宋体" w:hAnsi="宋体" w:cs="宋体"/>
                <w:color w:val="auto"/>
                <w:sz w:val="24"/>
                <w:highlight w:val="none"/>
              </w:rPr>
            </w:pPr>
            <w:r>
              <w:rPr>
                <w:rFonts w:hint="eastAsia" w:ascii="宋体" w:hAnsi="宋体" w:cs="宋体"/>
                <w:color w:val="auto"/>
                <w:sz w:val="24"/>
                <w:highlight w:val="none"/>
              </w:rPr>
              <w:t>81886670</w:t>
            </w:r>
          </w:p>
          <w:p w14:paraId="469EA979">
            <w:pPr>
              <w:shd w:val="clear"/>
              <w:jc w:val="center"/>
              <w:rPr>
                <w:rFonts w:ascii="宋体" w:hAnsi="宋体" w:cs="宋体"/>
                <w:color w:val="auto"/>
                <w:sz w:val="24"/>
                <w:highlight w:val="none"/>
              </w:rPr>
            </w:pPr>
            <w:r>
              <w:rPr>
                <w:rFonts w:hint="eastAsia" w:ascii="宋体" w:hAnsi="宋体" w:cs="宋体"/>
                <w:color w:val="auto"/>
                <w:sz w:val="24"/>
                <w:highlight w:val="none"/>
              </w:rPr>
              <w:t>15968661569</w:t>
            </w:r>
          </w:p>
        </w:tc>
      </w:tr>
      <w:tr w14:paraId="475D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6961E1E3">
            <w:pPr>
              <w:shd w:val="clea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579" w:type="dxa"/>
            <w:vAlign w:val="center"/>
          </w:tcPr>
          <w:p w14:paraId="5530FE6C">
            <w:pPr>
              <w:shd w:val="clear"/>
              <w:jc w:val="center"/>
              <w:rPr>
                <w:rFonts w:ascii="宋体" w:hAnsi="宋体" w:cs="宋体"/>
                <w:color w:val="auto"/>
                <w:sz w:val="24"/>
                <w:highlight w:val="none"/>
              </w:rPr>
            </w:pPr>
            <w:r>
              <w:rPr>
                <w:rFonts w:hint="eastAsia" w:ascii="宋体" w:hAnsi="宋体" w:cs="宋体"/>
                <w:color w:val="auto"/>
                <w:sz w:val="24"/>
                <w:highlight w:val="none"/>
              </w:rPr>
              <w:t>5.6%起</w:t>
            </w:r>
          </w:p>
        </w:tc>
        <w:tc>
          <w:tcPr>
            <w:tcW w:w="1821" w:type="dxa"/>
            <w:vAlign w:val="center"/>
          </w:tcPr>
          <w:p w14:paraId="3DB6F49F">
            <w:pPr>
              <w:shd w:val="clea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303" w:type="dxa"/>
            <w:vAlign w:val="center"/>
          </w:tcPr>
          <w:p w14:paraId="773D48D6">
            <w:pPr>
              <w:shd w:val="clear"/>
              <w:jc w:val="center"/>
              <w:rPr>
                <w:rFonts w:ascii="宋体" w:hAnsi="宋体" w:cs="宋体"/>
                <w:color w:val="auto"/>
                <w:sz w:val="24"/>
                <w:highlight w:val="none"/>
              </w:rPr>
            </w:pPr>
            <w:r>
              <w:rPr>
                <w:rFonts w:hint="eastAsia" w:ascii="宋体" w:hAnsi="宋体" w:cs="宋体"/>
                <w:color w:val="auto"/>
                <w:sz w:val="24"/>
                <w:highlight w:val="none"/>
              </w:rPr>
              <w:t>15858624999</w:t>
            </w:r>
          </w:p>
        </w:tc>
      </w:tr>
      <w:tr w14:paraId="1A4F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11" w:type="dxa"/>
            <w:vAlign w:val="center"/>
          </w:tcPr>
          <w:p w14:paraId="136DE737">
            <w:pPr>
              <w:shd w:val="clea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579" w:type="dxa"/>
            <w:vAlign w:val="center"/>
          </w:tcPr>
          <w:p w14:paraId="3A7B99DA">
            <w:pPr>
              <w:shd w:val="clea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821" w:type="dxa"/>
            <w:vAlign w:val="center"/>
          </w:tcPr>
          <w:p w14:paraId="265B5ADF">
            <w:pPr>
              <w:shd w:val="clea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303" w:type="dxa"/>
            <w:vAlign w:val="center"/>
          </w:tcPr>
          <w:p w14:paraId="2426D70E">
            <w:pPr>
              <w:shd w:val="clear"/>
              <w:jc w:val="center"/>
              <w:rPr>
                <w:rFonts w:ascii="宋体" w:hAnsi="宋体" w:cs="宋体"/>
                <w:color w:val="auto"/>
                <w:sz w:val="24"/>
                <w:highlight w:val="none"/>
              </w:rPr>
            </w:pPr>
            <w:r>
              <w:rPr>
                <w:rFonts w:hint="eastAsia" w:ascii="宋体" w:hAnsi="宋体" w:cs="宋体"/>
                <w:color w:val="auto"/>
                <w:sz w:val="24"/>
                <w:highlight w:val="none"/>
              </w:rPr>
              <w:t>81888982</w:t>
            </w:r>
          </w:p>
          <w:p w14:paraId="5CE6C031">
            <w:pPr>
              <w:shd w:val="clear"/>
              <w:jc w:val="center"/>
              <w:rPr>
                <w:rFonts w:ascii="宋体" w:hAnsi="宋体" w:cs="宋体"/>
                <w:color w:val="auto"/>
                <w:sz w:val="24"/>
                <w:highlight w:val="none"/>
              </w:rPr>
            </w:pPr>
            <w:r>
              <w:rPr>
                <w:rFonts w:hint="eastAsia" w:ascii="宋体" w:hAnsi="宋体" w:cs="宋体"/>
                <w:color w:val="auto"/>
                <w:sz w:val="24"/>
                <w:highlight w:val="none"/>
              </w:rPr>
              <w:t>18957683735</w:t>
            </w:r>
          </w:p>
        </w:tc>
      </w:tr>
    </w:tbl>
    <w:p w14:paraId="6D27A7E6">
      <w:pPr>
        <w:shd w:val="clear"/>
        <w:jc w:val="center"/>
        <w:outlineLvl w:val="1"/>
        <w:rPr>
          <w:color w:val="auto"/>
          <w:sz w:val="32"/>
          <w:szCs w:val="32"/>
          <w:highlight w:val="none"/>
        </w:rPr>
      </w:pPr>
      <w:bookmarkStart w:id="7" w:name="_Toc521434602"/>
      <w:r>
        <w:rPr>
          <w:rFonts w:hint="eastAsia"/>
          <w:color w:val="auto"/>
          <w:sz w:val="32"/>
          <w:szCs w:val="32"/>
          <w:highlight w:val="none"/>
        </w:rPr>
        <w:t>合同履约保函联系方式</w:t>
      </w:r>
      <w:bookmarkEnd w:id="7"/>
    </w:p>
    <w:tbl>
      <w:tblPr>
        <w:tblStyle w:val="27"/>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14:paraId="2EA616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7" w:hRule="atLeast"/>
        </w:trPr>
        <w:tc>
          <w:tcPr>
            <w:tcW w:w="3365" w:type="dxa"/>
            <w:vAlign w:val="center"/>
          </w:tcPr>
          <w:p w14:paraId="4F062D42">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629" w:type="dxa"/>
            <w:vAlign w:val="center"/>
          </w:tcPr>
          <w:p w14:paraId="5D3974AA">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983" w:type="dxa"/>
            <w:vAlign w:val="center"/>
          </w:tcPr>
          <w:p w14:paraId="5877784A">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14:paraId="3DB51B99">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6A5E79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743E28E7">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29" w:type="dxa"/>
            <w:vAlign w:val="center"/>
          </w:tcPr>
          <w:p w14:paraId="577E65BF">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14:paraId="045609C4">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14:paraId="6CCBC707">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4BD1E2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1D13DAE8">
            <w:pPr>
              <w:shd w:val="clea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29" w:type="dxa"/>
            <w:vAlign w:val="center"/>
          </w:tcPr>
          <w:p w14:paraId="6F5E3B31">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983" w:type="dxa"/>
            <w:vAlign w:val="center"/>
          </w:tcPr>
          <w:p w14:paraId="0CBBD8B8">
            <w:pPr>
              <w:shd w:val="clea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536" w:type="dxa"/>
            <w:vAlign w:val="center"/>
          </w:tcPr>
          <w:p w14:paraId="39A58DED">
            <w:pPr>
              <w:shd w:val="clear"/>
              <w:jc w:val="center"/>
              <w:rPr>
                <w:rFonts w:ascii="宋体" w:hAnsi="宋体" w:cs="宋体"/>
                <w:color w:val="auto"/>
                <w:sz w:val="24"/>
                <w:highlight w:val="none"/>
              </w:rPr>
            </w:pPr>
            <w:r>
              <w:rPr>
                <w:rFonts w:hint="eastAsia" w:ascii="宋体" w:hAnsi="宋体" w:cs="宋体"/>
                <w:color w:val="auto"/>
                <w:sz w:val="24"/>
                <w:highlight w:val="none"/>
              </w:rPr>
              <w:t>13750668184</w:t>
            </w:r>
          </w:p>
        </w:tc>
      </w:tr>
      <w:tr w14:paraId="6FB420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18B244E2">
            <w:pPr>
              <w:shd w:val="clea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29" w:type="dxa"/>
            <w:vAlign w:val="center"/>
          </w:tcPr>
          <w:p w14:paraId="55AB11F6">
            <w:pPr>
              <w:shd w:val="clea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983" w:type="dxa"/>
            <w:vAlign w:val="center"/>
          </w:tcPr>
          <w:p w14:paraId="53486FAD">
            <w:pPr>
              <w:shd w:val="clea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536" w:type="dxa"/>
            <w:vAlign w:val="center"/>
          </w:tcPr>
          <w:p w14:paraId="12925617">
            <w:pPr>
              <w:shd w:val="clea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14:paraId="07B4E3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28BB64C4">
            <w:pPr>
              <w:shd w:val="clea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29" w:type="dxa"/>
            <w:vAlign w:val="center"/>
          </w:tcPr>
          <w:p w14:paraId="4C57F8D1">
            <w:pPr>
              <w:shd w:val="clea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983" w:type="dxa"/>
            <w:vAlign w:val="center"/>
          </w:tcPr>
          <w:p w14:paraId="171828F5">
            <w:pPr>
              <w:shd w:val="clea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536" w:type="dxa"/>
            <w:vAlign w:val="center"/>
          </w:tcPr>
          <w:p w14:paraId="5F3B0749">
            <w:pPr>
              <w:shd w:val="clea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14:paraId="16BFC1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6C175670">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629" w:type="dxa"/>
            <w:vAlign w:val="center"/>
          </w:tcPr>
          <w:p w14:paraId="4622816F">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983" w:type="dxa"/>
            <w:vAlign w:val="center"/>
          </w:tcPr>
          <w:p w14:paraId="693F49D7">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14:paraId="265CB7CF">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013550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316FDD90">
            <w:pPr>
              <w:shd w:val="clea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29" w:type="dxa"/>
            <w:vAlign w:val="center"/>
          </w:tcPr>
          <w:p w14:paraId="642E5597">
            <w:pPr>
              <w:shd w:val="clea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983" w:type="dxa"/>
            <w:vAlign w:val="center"/>
          </w:tcPr>
          <w:p w14:paraId="32A162A9">
            <w:pPr>
              <w:shd w:val="clea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536" w:type="dxa"/>
            <w:vAlign w:val="center"/>
          </w:tcPr>
          <w:p w14:paraId="623CEF88">
            <w:pPr>
              <w:shd w:val="clear"/>
              <w:jc w:val="center"/>
              <w:rPr>
                <w:rFonts w:ascii="宋体" w:hAnsi="宋体" w:cs="宋体"/>
                <w:color w:val="auto"/>
                <w:sz w:val="24"/>
                <w:highlight w:val="none"/>
              </w:rPr>
            </w:pPr>
            <w:r>
              <w:rPr>
                <w:rFonts w:hint="eastAsia" w:ascii="宋体" w:hAnsi="宋体" w:cs="宋体"/>
                <w:color w:val="auto"/>
                <w:sz w:val="24"/>
                <w:highlight w:val="none"/>
              </w:rPr>
              <w:t>13858600221</w:t>
            </w:r>
          </w:p>
        </w:tc>
      </w:tr>
      <w:tr w14:paraId="0D9E33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4" w:hRule="atLeast"/>
        </w:trPr>
        <w:tc>
          <w:tcPr>
            <w:tcW w:w="3365" w:type="dxa"/>
            <w:vAlign w:val="center"/>
          </w:tcPr>
          <w:p w14:paraId="44B5FB34">
            <w:pPr>
              <w:shd w:val="clea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29" w:type="dxa"/>
            <w:vAlign w:val="center"/>
          </w:tcPr>
          <w:p w14:paraId="7187D04A">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983" w:type="dxa"/>
            <w:vAlign w:val="center"/>
          </w:tcPr>
          <w:p w14:paraId="28DD75CE">
            <w:pPr>
              <w:shd w:val="clea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536" w:type="dxa"/>
            <w:vAlign w:val="center"/>
          </w:tcPr>
          <w:p w14:paraId="06A0D456">
            <w:pPr>
              <w:shd w:val="clear"/>
              <w:jc w:val="center"/>
              <w:rPr>
                <w:rFonts w:ascii="宋体" w:hAnsi="宋体" w:cs="宋体"/>
                <w:color w:val="auto"/>
                <w:sz w:val="24"/>
                <w:highlight w:val="none"/>
              </w:rPr>
            </w:pPr>
            <w:r>
              <w:rPr>
                <w:rFonts w:hint="eastAsia" w:ascii="宋体" w:hAnsi="宋体" w:cs="宋体"/>
                <w:color w:val="auto"/>
                <w:sz w:val="24"/>
                <w:highlight w:val="none"/>
              </w:rPr>
              <w:t>13515769179</w:t>
            </w:r>
          </w:p>
        </w:tc>
      </w:tr>
      <w:tr w14:paraId="63E8D4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4" w:hRule="atLeast"/>
        </w:trPr>
        <w:tc>
          <w:tcPr>
            <w:tcW w:w="3365" w:type="dxa"/>
            <w:vAlign w:val="center"/>
          </w:tcPr>
          <w:p w14:paraId="750392FD">
            <w:pPr>
              <w:shd w:val="clea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29" w:type="dxa"/>
            <w:vAlign w:val="center"/>
          </w:tcPr>
          <w:p w14:paraId="6360E56A">
            <w:pPr>
              <w:shd w:val="clea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983" w:type="dxa"/>
            <w:vAlign w:val="center"/>
          </w:tcPr>
          <w:p w14:paraId="0D415421">
            <w:pPr>
              <w:shd w:val="clea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536" w:type="dxa"/>
            <w:vAlign w:val="center"/>
          </w:tcPr>
          <w:p w14:paraId="28F87031">
            <w:pPr>
              <w:shd w:val="clea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14:paraId="73EEE6BE">
      <w:pPr>
        <w:shd w:val="clear"/>
        <w:ind w:firstLine="3220" w:firstLineChars="1150"/>
        <w:outlineLvl w:val="1"/>
        <w:rPr>
          <w:rFonts w:ascii="宋体" w:hAnsi="宋体" w:cs="宋体"/>
          <w:color w:val="auto"/>
          <w:sz w:val="28"/>
          <w:szCs w:val="28"/>
          <w:highlight w:val="none"/>
        </w:rPr>
      </w:pPr>
      <w:bookmarkStart w:id="8" w:name="_Toc2018076054"/>
      <w:r>
        <w:rPr>
          <w:rFonts w:hint="eastAsia" w:ascii="宋体" w:hAnsi="宋体" w:cs="宋体"/>
          <w:color w:val="auto"/>
          <w:sz w:val="28"/>
          <w:szCs w:val="28"/>
          <w:highlight w:val="none"/>
        </w:rPr>
        <w:t>预付款保函联系方式</w:t>
      </w:r>
      <w:bookmarkEnd w:id="8"/>
    </w:p>
    <w:tbl>
      <w:tblPr>
        <w:tblStyle w:val="27"/>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14:paraId="5C222D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607" w:type="dxa"/>
            <w:vAlign w:val="center"/>
          </w:tcPr>
          <w:p w14:paraId="42BCE150">
            <w:pPr>
              <w:shd w:val="clea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09" w:type="dxa"/>
            <w:vAlign w:val="center"/>
          </w:tcPr>
          <w:p w14:paraId="51660F1F">
            <w:pPr>
              <w:shd w:val="clea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64" w:type="dxa"/>
            <w:vAlign w:val="center"/>
          </w:tcPr>
          <w:p w14:paraId="4B017B32">
            <w:pPr>
              <w:shd w:val="clea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36" w:type="dxa"/>
            <w:vAlign w:val="center"/>
          </w:tcPr>
          <w:p w14:paraId="5116E2C8">
            <w:pPr>
              <w:shd w:val="clea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35C75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3607" w:type="dxa"/>
            <w:vAlign w:val="center"/>
          </w:tcPr>
          <w:p w14:paraId="67188DA4">
            <w:pPr>
              <w:shd w:val="clea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09" w:type="dxa"/>
            <w:vAlign w:val="center"/>
          </w:tcPr>
          <w:p w14:paraId="4B0A8697">
            <w:pPr>
              <w:shd w:val="clea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64" w:type="dxa"/>
            <w:vAlign w:val="center"/>
          </w:tcPr>
          <w:p w14:paraId="46D3E370">
            <w:pPr>
              <w:shd w:val="clea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36" w:type="dxa"/>
            <w:vAlign w:val="center"/>
          </w:tcPr>
          <w:p w14:paraId="040ABE8C">
            <w:pPr>
              <w:shd w:val="clear"/>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4E218D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 w:hRule="atLeast"/>
        </w:trPr>
        <w:tc>
          <w:tcPr>
            <w:tcW w:w="3607" w:type="dxa"/>
            <w:vAlign w:val="center"/>
          </w:tcPr>
          <w:p w14:paraId="26F713F6">
            <w:pPr>
              <w:shd w:val="clea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09" w:type="dxa"/>
            <w:vAlign w:val="center"/>
          </w:tcPr>
          <w:p w14:paraId="7CB58997">
            <w:pPr>
              <w:shd w:val="clea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64" w:type="dxa"/>
            <w:vAlign w:val="center"/>
          </w:tcPr>
          <w:p w14:paraId="53C70893">
            <w:pPr>
              <w:shd w:val="clea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36" w:type="dxa"/>
            <w:vAlign w:val="center"/>
          </w:tcPr>
          <w:p w14:paraId="5ACAE330">
            <w:pPr>
              <w:shd w:val="clear"/>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6158D2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607" w:type="dxa"/>
            <w:vAlign w:val="center"/>
          </w:tcPr>
          <w:p w14:paraId="6E70E4EC">
            <w:pPr>
              <w:shd w:val="clea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09" w:type="dxa"/>
            <w:vAlign w:val="center"/>
          </w:tcPr>
          <w:p w14:paraId="6884B73B">
            <w:pPr>
              <w:shd w:val="clea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64" w:type="dxa"/>
            <w:vAlign w:val="center"/>
          </w:tcPr>
          <w:p w14:paraId="1696710D">
            <w:pPr>
              <w:shd w:val="clea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36" w:type="dxa"/>
            <w:vAlign w:val="center"/>
          </w:tcPr>
          <w:p w14:paraId="719202FF">
            <w:pPr>
              <w:shd w:val="clea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14:paraId="403F6F6E">
      <w:pPr>
        <w:shd w:val="clear"/>
        <w:spacing w:line="360" w:lineRule="auto"/>
        <w:jc w:val="right"/>
        <w:rPr>
          <w:rFonts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14:paraId="71CA1E67">
      <w:pPr>
        <w:shd w:val="clear"/>
        <w:spacing w:line="360" w:lineRule="auto"/>
        <w:ind w:firstLine="6240" w:firstLineChars="2600"/>
        <w:rPr>
          <w:rFonts w:ascii="宋体" w:hAnsi="宋体" w:cs="宋体"/>
          <w:color w:val="auto"/>
          <w:sz w:val="24"/>
          <w:szCs w:val="32"/>
          <w:highlight w:val="none"/>
        </w:rPr>
      </w:pPr>
      <w:r>
        <w:rPr>
          <w:rFonts w:hint="eastAsia" w:ascii="宋体" w:hAnsi="宋体" w:cs="宋体"/>
          <w:color w:val="auto"/>
          <w:sz w:val="24"/>
          <w:szCs w:val="32"/>
          <w:highlight w:val="none"/>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月</w:t>
      </w:r>
    </w:p>
    <w:p w14:paraId="10291BAD">
      <w:pPr>
        <w:shd w:val="clear"/>
        <w:rPr>
          <w:rFonts w:ascii="宋体" w:hAnsi="宋体" w:cs="宋体"/>
          <w:b/>
          <w:bCs/>
          <w:color w:val="auto"/>
          <w:sz w:val="36"/>
          <w:szCs w:val="44"/>
          <w:highlight w:val="none"/>
        </w:rPr>
      </w:pPr>
      <w:bookmarkStart w:id="9" w:name="_Toc17094"/>
      <w:bookmarkStart w:id="10" w:name="_Toc23118"/>
      <w:r>
        <w:rPr>
          <w:rFonts w:hint="eastAsia" w:ascii="宋体" w:hAnsi="宋体" w:cs="宋体"/>
          <w:b/>
          <w:bCs/>
          <w:color w:val="auto"/>
          <w:sz w:val="36"/>
          <w:szCs w:val="44"/>
          <w:highlight w:val="none"/>
        </w:rPr>
        <w:br w:type="page"/>
      </w:r>
      <w:bookmarkStart w:id="180" w:name="_GoBack"/>
      <w:bookmarkEnd w:id="180"/>
    </w:p>
    <w:p w14:paraId="722B9FDA">
      <w:pPr>
        <w:shd w:val="clear"/>
        <w:spacing w:line="360" w:lineRule="auto"/>
        <w:jc w:val="center"/>
        <w:outlineLvl w:val="0"/>
        <w:rPr>
          <w:rFonts w:ascii="宋体" w:hAnsi="宋体" w:cs="宋体"/>
          <w:b/>
          <w:bCs/>
          <w:color w:val="auto"/>
          <w:sz w:val="36"/>
          <w:szCs w:val="44"/>
          <w:highlight w:val="none"/>
        </w:rPr>
      </w:pPr>
      <w:bookmarkStart w:id="11" w:name="_Toc447518860"/>
      <w:r>
        <w:rPr>
          <w:rFonts w:hint="eastAsia" w:ascii="宋体" w:hAnsi="宋体" w:cs="宋体"/>
          <w:b/>
          <w:bCs/>
          <w:color w:val="auto"/>
          <w:sz w:val="36"/>
          <w:szCs w:val="44"/>
          <w:highlight w:val="none"/>
        </w:rPr>
        <w:t>第二章 投标人须知</w:t>
      </w:r>
      <w:bookmarkEnd w:id="9"/>
      <w:bookmarkEnd w:id="10"/>
      <w:bookmarkEnd w:id="11"/>
    </w:p>
    <w:p w14:paraId="56BC3B2B">
      <w:pPr>
        <w:shd w:val="clear"/>
        <w:spacing w:line="360" w:lineRule="auto"/>
        <w:jc w:val="center"/>
        <w:outlineLvl w:val="1"/>
        <w:rPr>
          <w:rFonts w:ascii="宋体" w:hAnsi="宋体" w:cs="宋体"/>
          <w:b/>
          <w:bCs/>
          <w:color w:val="auto"/>
          <w:sz w:val="24"/>
          <w:szCs w:val="32"/>
          <w:highlight w:val="none"/>
        </w:rPr>
      </w:pPr>
      <w:bookmarkStart w:id="12" w:name="_Toc961748226"/>
      <w:bookmarkStart w:id="13" w:name="_Toc17272"/>
      <w:r>
        <w:rPr>
          <w:rFonts w:hint="eastAsia" w:ascii="宋体" w:hAnsi="宋体" w:cs="宋体"/>
          <w:b/>
          <w:bCs/>
          <w:color w:val="auto"/>
          <w:sz w:val="24"/>
          <w:szCs w:val="32"/>
          <w:highlight w:val="none"/>
        </w:rPr>
        <w:t>前附表</w:t>
      </w:r>
      <w:bookmarkEnd w:id="12"/>
      <w:bookmarkEnd w:id="13"/>
    </w:p>
    <w:tbl>
      <w:tblPr>
        <w:tblStyle w:val="26"/>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17"/>
        <w:gridCol w:w="6935"/>
      </w:tblGrid>
      <w:tr w14:paraId="4F2A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4523E8C">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17" w:type="dxa"/>
            <w:vAlign w:val="center"/>
          </w:tcPr>
          <w:p w14:paraId="58EC0C91">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    目</w:t>
            </w:r>
          </w:p>
        </w:tc>
        <w:tc>
          <w:tcPr>
            <w:tcW w:w="6935" w:type="dxa"/>
            <w:vAlign w:val="center"/>
          </w:tcPr>
          <w:p w14:paraId="390580CC">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内                 容</w:t>
            </w:r>
          </w:p>
        </w:tc>
      </w:tr>
      <w:tr w14:paraId="6ACC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3592BF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17" w:type="dxa"/>
            <w:vAlign w:val="center"/>
          </w:tcPr>
          <w:p w14:paraId="3D6B534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935" w:type="dxa"/>
            <w:vAlign w:val="center"/>
          </w:tcPr>
          <w:p w14:paraId="6753281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7267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6" w:type="dxa"/>
            <w:vAlign w:val="center"/>
          </w:tcPr>
          <w:p w14:paraId="09B43AF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17" w:type="dxa"/>
            <w:vAlign w:val="center"/>
          </w:tcPr>
          <w:p w14:paraId="43C44BAD">
            <w:pPr>
              <w:shd w:val="clea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935" w:type="dxa"/>
            <w:vAlign w:val="center"/>
          </w:tcPr>
          <w:p w14:paraId="5E4DEF45">
            <w:pPr>
              <w:shd w:val="clear"/>
              <w:spacing w:line="360" w:lineRule="auto"/>
              <w:rPr>
                <w:rFonts w:hint="default" w:ascii="宋体" w:hAnsi="宋体" w:cs="宋体"/>
                <w:color w:val="auto"/>
                <w:sz w:val="24"/>
                <w:highlight w:val="none"/>
                <w:lang w:val="en-US"/>
              </w:rPr>
            </w:pPr>
            <w:r>
              <w:rPr>
                <w:rFonts w:hint="default" w:cs="Times New Roman" w:asciiTheme="minorEastAsia" w:hAnsiTheme="minorEastAsia" w:eastAsiaTheme="minorEastAsia"/>
                <w:color w:val="auto"/>
                <w:sz w:val="24"/>
                <w:szCs w:val="24"/>
                <w:highlight w:val="none"/>
              </w:rPr>
              <w:t>不组织，各投标单位根据自己需要，自行前往勘察现场和周围环境，所产生的费用由投标单位自理</w:t>
            </w:r>
            <w:r>
              <w:rPr>
                <w:rFonts w:hint="eastAsia" w:cs="Times New Roman"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现场勘查联系人：龚老师，联系电话：13566868963。</w:t>
            </w:r>
          </w:p>
        </w:tc>
      </w:tr>
      <w:tr w14:paraId="7490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6" w:type="dxa"/>
            <w:vAlign w:val="center"/>
          </w:tcPr>
          <w:p w14:paraId="14202D7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17" w:type="dxa"/>
            <w:vAlign w:val="center"/>
          </w:tcPr>
          <w:p w14:paraId="22E053C1">
            <w:pPr>
              <w:shd w:val="clea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投标文件的组成、份数、效力</w:t>
            </w:r>
          </w:p>
        </w:tc>
        <w:tc>
          <w:tcPr>
            <w:tcW w:w="6935" w:type="dxa"/>
            <w:vAlign w:val="center"/>
          </w:tcPr>
          <w:p w14:paraId="0B418F1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本项目实行电子投标，供应商应准备电子投标文件、以介质（U盘）存储的数据电文形式的备份投标文件、纸质备份投标文件三类：</w:t>
            </w:r>
          </w:p>
          <w:p w14:paraId="161803F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00403A7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29F29C4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3.纸质备份投标文件以纸质文件的形式编制，按资格及商务技术文件、报价文件分别编制并单独装订成册，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。资格及商务技术文件、报价文件须分别密封封装，未分别密封的投标文件将为无效。</w:t>
            </w:r>
          </w:p>
          <w:p w14:paraId="190F1EB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14:paraId="77D7B88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5.▲未传输递交电子投标文件的，投标无效。未按规定提供相应的备份投标文件，造成项目开评标活动无法进行下去的，投标无效。</w:t>
            </w:r>
          </w:p>
        </w:tc>
      </w:tr>
      <w:tr w14:paraId="2A16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C02A62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17" w:type="dxa"/>
            <w:vAlign w:val="center"/>
          </w:tcPr>
          <w:p w14:paraId="55C1513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935" w:type="dxa"/>
            <w:vAlign w:val="center"/>
          </w:tcPr>
          <w:p w14:paraId="3ABA5F0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0A14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56" w:type="dxa"/>
            <w:vAlign w:val="center"/>
          </w:tcPr>
          <w:p w14:paraId="5C5B3D5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17" w:type="dxa"/>
            <w:vAlign w:val="center"/>
          </w:tcPr>
          <w:p w14:paraId="3F6048E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投标文件递交</w:t>
            </w:r>
          </w:p>
        </w:tc>
        <w:tc>
          <w:tcPr>
            <w:tcW w:w="6935" w:type="dxa"/>
            <w:vAlign w:val="center"/>
          </w:tcPr>
          <w:p w14:paraId="36CDA7F9">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24</w:t>
            </w:r>
            <w:r>
              <w:rPr>
                <w:rFonts w:hint="eastAsia" w:ascii="宋体" w:hAnsi="宋体" w:cs="宋体"/>
                <w:color w:val="auto"/>
                <w:sz w:val="24"/>
                <w:szCs w:val="32"/>
                <w:highlight w:val="none"/>
                <w:lang w:eastAsia="zh-CN"/>
              </w:rPr>
              <w:t xml:space="preserve">日 上午09:00 </w:t>
            </w:r>
          </w:p>
          <w:p w14:paraId="7431C14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5B7D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14:paraId="20A84B4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17" w:type="dxa"/>
            <w:vAlign w:val="center"/>
          </w:tcPr>
          <w:p w14:paraId="2A3FD4A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935" w:type="dxa"/>
            <w:vAlign w:val="center"/>
          </w:tcPr>
          <w:p w14:paraId="63FC8946">
            <w:pPr>
              <w:shd w:val="clear"/>
              <w:spacing w:line="360" w:lineRule="auto"/>
              <w:rPr>
                <w:rFonts w:hint="eastAsia" w:ascii="宋体" w:hAnsi="宋体" w:eastAsia="宋体" w:cs="宋体"/>
                <w:color w:val="auto"/>
                <w:sz w:val="24"/>
                <w:szCs w:val="32"/>
                <w:highlight w:val="none"/>
                <w:lang w:eastAsia="zh-CN"/>
              </w:rPr>
            </w:pPr>
            <w:r>
              <w:rPr>
                <w:rFonts w:hint="eastAsia" w:ascii="宋体" w:hAnsi="宋体" w:cs="宋体"/>
                <w:color w:val="auto"/>
                <w:sz w:val="24"/>
                <w:highlight w:val="none"/>
                <w:lang w:val="en-US" w:eastAsia="zh-CN"/>
              </w:rPr>
              <w:t>开标</w:t>
            </w:r>
            <w:r>
              <w:rPr>
                <w:rFonts w:hint="eastAsia" w:ascii="宋体" w:hAnsi="宋体" w:cs="宋体"/>
                <w:color w:val="auto"/>
                <w:sz w:val="24"/>
                <w:highlight w:val="none"/>
              </w:rPr>
              <w:t>时间：北京时间</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lang w:eastAsia="zh-CN"/>
              </w:rPr>
              <w:t>年</w:t>
            </w:r>
            <w:r>
              <w:rPr>
                <w:rFonts w:hint="eastAsia" w:ascii="宋体" w:hAnsi="宋体" w:cs="宋体"/>
                <w:color w:val="auto"/>
                <w:sz w:val="24"/>
                <w:szCs w:val="32"/>
                <w:highlight w:val="none"/>
                <w:lang w:val="en-US" w:eastAsia="zh-CN"/>
              </w:rPr>
              <w:t>07</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24</w:t>
            </w:r>
            <w:r>
              <w:rPr>
                <w:rFonts w:hint="eastAsia" w:ascii="宋体" w:hAnsi="宋体" w:cs="宋体"/>
                <w:color w:val="auto"/>
                <w:sz w:val="24"/>
                <w:szCs w:val="32"/>
                <w:highlight w:val="none"/>
                <w:lang w:eastAsia="zh-CN"/>
              </w:rPr>
              <w:t xml:space="preserve">日 上午09:00  </w:t>
            </w:r>
          </w:p>
          <w:p w14:paraId="712886E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highlight w:val="none"/>
                <w:lang w:eastAsia="zh-CN"/>
              </w:rPr>
              <w:t>椒江区市府大道777号民泰大楼3楼一号开标室B场地</w:t>
            </w:r>
            <w:r>
              <w:rPr>
                <w:rFonts w:hint="eastAsia" w:ascii="宋体" w:hAnsi="宋体" w:cs="宋体"/>
                <w:color w:val="auto"/>
                <w:sz w:val="24"/>
                <w:highlight w:val="none"/>
                <w:lang w:eastAsia="zh-Hans"/>
              </w:rPr>
              <w:t>。</w:t>
            </w:r>
          </w:p>
        </w:tc>
      </w:tr>
      <w:tr w14:paraId="3F1D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56" w:type="dxa"/>
            <w:vAlign w:val="center"/>
          </w:tcPr>
          <w:p w14:paraId="016C43B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17" w:type="dxa"/>
            <w:vAlign w:val="center"/>
          </w:tcPr>
          <w:p w14:paraId="48CBCBD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935" w:type="dxa"/>
            <w:vAlign w:val="center"/>
          </w:tcPr>
          <w:p w14:paraId="6EA6233C">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1A0B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56" w:type="dxa"/>
            <w:vAlign w:val="center"/>
          </w:tcPr>
          <w:p w14:paraId="30AAEE3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17" w:type="dxa"/>
            <w:vAlign w:val="center"/>
          </w:tcPr>
          <w:p w14:paraId="6F805E6B">
            <w:pPr>
              <w:shd w:val="clea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935" w:type="dxa"/>
            <w:vAlign w:val="center"/>
          </w:tcPr>
          <w:p w14:paraId="066B4636">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5931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9D5E76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17" w:type="dxa"/>
            <w:vAlign w:val="center"/>
          </w:tcPr>
          <w:p w14:paraId="5994F1C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样品及演示</w:t>
            </w:r>
          </w:p>
        </w:tc>
        <w:tc>
          <w:tcPr>
            <w:tcW w:w="6935" w:type="dxa"/>
            <w:vAlign w:val="center"/>
          </w:tcPr>
          <w:p w14:paraId="2D9C6407">
            <w:pPr>
              <w:shd w:val="clea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无样品；</w:t>
            </w:r>
          </w:p>
          <w:p w14:paraId="66A76C1F">
            <w:pPr>
              <w:pStyle w:val="25"/>
              <w:shd w:val="clear"/>
              <w:spacing w:line="360" w:lineRule="auto"/>
              <w:ind w:left="0" w:leftChars="0" w:firstLine="0" w:firstLineChars="0"/>
              <w:rPr>
                <w:rFonts w:hint="default" w:eastAsia="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演示要求如下：注：提供视频演示的各投标人将需演示的部分自行演示并录制成视频制作在 U 盘中，录制视频时长</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0分钟以内，录制的视频必须为MP4格式（若视频为其他格式导致评审中不能正常播放的，责任自负），U盘须装入密封袋，在投标截止时间前用密封袋包装好注明项目名称和投标人名称快递到招标代理机构处。未提供演示演示，此项不得分。评委观看演示视频按招标文件评分项进行评分。</w:t>
            </w:r>
          </w:p>
        </w:tc>
      </w:tr>
      <w:tr w14:paraId="06E3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531267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17" w:type="dxa"/>
            <w:tcBorders>
              <w:top w:val="single" w:color="auto" w:sz="4" w:space="0"/>
              <w:left w:val="single" w:color="auto" w:sz="4" w:space="0"/>
              <w:bottom w:val="single" w:color="auto" w:sz="4" w:space="0"/>
              <w:right w:val="single" w:color="auto" w:sz="4" w:space="0"/>
            </w:tcBorders>
            <w:vAlign w:val="center"/>
          </w:tcPr>
          <w:p w14:paraId="5813B88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节能环保</w:t>
            </w:r>
          </w:p>
        </w:tc>
        <w:tc>
          <w:tcPr>
            <w:tcW w:w="6935" w:type="dxa"/>
            <w:tcBorders>
              <w:top w:val="single" w:color="auto" w:sz="4" w:space="0"/>
              <w:left w:val="single" w:color="auto" w:sz="4" w:space="0"/>
              <w:bottom w:val="single" w:color="auto" w:sz="4" w:space="0"/>
              <w:right w:val="single" w:color="auto" w:sz="4" w:space="0"/>
            </w:tcBorders>
            <w:vAlign w:val="center"/>
          </w:tcPr>
          <w:p w14:paraId="1507D65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符合国家相关法律规定。</w:t>
            </w:r>
          </w:p>
        </w:tc>
      </w:tr>
      <w:tr w14:paraId="6D63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7E7C63C7">
            <w:pPr>
              <w:shd w:val="clear"/>
              <w:spacing w:line="360" w:lineRule="auto"/>
              <w:jc w:val="center"/>
              <w:rPr>
                <w:rFonts w:hint="default" w:ascii="宋体" w:hAnsi="宋体" w:eastAsia="宋体" w:cs="宋体"/>
                <w:color w:val="auto"/>
                <w:kern w:val="2"/>
                <w:sz w:val="24"/>
                <w:szCs w:val="24"/>
                <w:highlight w:val="none"/>
                <w:lang w:eastAsia="zh-CN" w:bidi="ar-SA"/>
              </w:rPr>
            </w:pPr>
            <w:r>
              <w:rPr>
                <w:rFonts w:hint="eastAsia" w:ascii="宋体" w:hAnsi="宋体" w:cs="宋体"/>
                <w:color w:val="auto"/>
                <w:sz w:val="24"/>
                <w:szCs w:val="24"/>
                <w:highlight w:val="none"/>
              </w:rPr>
              <w:t>1</w:t>
            </w:r>
            <w:r>
              <w:rPr>
                <w:rFonts w:hint="default" w:ascii="宋体" w:hAnsi="宋体" w:cs="宋体"/>
                <w:color w:val="auto"/>
                <w:sz w:val="24"/>
                <w:szCs w:val="24"/>
                <w:highlight w:val="none"/>
              </w:rPr>
              <w:t>1</w:t>
            </w:r>
          </w:p>
        </w:tc>
        <w:tc>
          <w:tcPr>
            <w:tcW w:w="1517" w:type="dxa"/>
            <w:tcBorders>
              <w:top w:val="single" w:color="auto" w:sz="4" w:space="0"/>
              <w:left w:val="single" w:color="auto" w:sz="4" w:space="0"/>
              <w:bottom w:val="single" w:color="auto" w:sz="4" w:space="0"/>
              <w:right w:val="single" w:color="auto" w:sz="4" w:space="0"/>
            </w:tcBorders>
            <w:vAlign w:val="center"/>
          </w:tcPr>
          <w:p w14:paraId="3F032EAC">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是否进口</w:t>
            </w:r>
          </w:p>
        </w:tc>
        <w:tc>
          <w:tcPr>
            <w:tcW w:w="6935" w:type="dxa"/>
            <w:tcBorders>
              <w:top w:val="single" w:color="auto" w:sz="4" w:space="0"/>
              <w:left w:val="single" w:color="auto" w:sz="4" w:space="0"/>
              <w:bottom w:val="single" w:color="auto" w:sz="4" w:space="0"/>
              <w:right w:val="single" w:color="auto" w:sz="4" w:space="0"/>
            </w:tcBorders>
            <w:vAlign w:val="center"/>
          </w:tcPr>
          <w:p w14:paraId="48FF37F9">
            <w:pPr>
              <w:shd w:val="clear"/>
              <w:spacing w:line="360" w:lineRule="auto"/>
              <w:rPr>
                <w:rFonts w:hint="eastAsia"/>
                <w:color w:val="auto"/>
                <w:sz w:val="24"/>
                <w:szCs w:val="24"/>
                <w:highlight w:val="none"/>
              </w:rPr>
            </w:pPr>
            <w:r>
              <w:rPr>
                <w:rFonts w:hint="eastAsia" w:ascii="宋体" w:hAnsi="宋体" w:cs="宋体"/>
                <w:color w:val="auto"/>
                <w:sz w:val="24"/>
                <w:szCs w:val="24"/>
                <w:highlight w:val="none"/>
                <w:lang w:eastAsia="zh-CN"/>
              </w:rPr>
              <w:t>□</w:t>
            </w:r>
            <w:r>
              <w:rPr>
                <w:rFonts w:hint="eastAsia"/>
                <w:color w:val="auto"/>
                <w:sz w:val="24"/>
                <w:szCs w:val="24"/>
                <w:highlight w:val="none"/>
              </w:rPr>
              <w:t>允许进口</w:t>
            </w:r>
          </w:p>
          <w:p w14:paraId="7C3198DB">
            <w:pPr>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24"/>
                <w:szCs w:val="24"/>
                <w:highlight w:val="none"/>
              </w:rPr>
              <w:sym w:font="Wingdings 2" w:char="0052"/>
            </w:r>
            <w:r>
              <w:rPr>
                <w:rFonts w:hint="eastAsia"/>
                <w:color w:val="auto"/>
                <w:sz w:val="24"/>
                <w:szCs w:val="24"/>
                <w:highlight w:val="none"/>
              </w:rPr>
              <w:t>不允许进口</w:t>
            </w:r>
          </w:p>
        </w:tc>
      </w:tr>
      <w:tr w14:paraId="1F38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restart"/>
            <w:tcBorders>
              <w:top w:val="single" w:color="auto" w:sz="4" w:space="0"/>
              <w:left w:val="single" w:color="auto" w:sz="4" w:space="0"/>
              <w:right w:val="single" w:color="auto" w:sz="4" w:space="0"/>
            </w:tcBorders>
            <w:vAlign w:val="center"/>
          </w:tcPr>
          <w:p w14:paraId="1A3D922C">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517" w:type="dxa"/>
            <w:tcBorders>
              <w:top w:val="single" w:color="auto" w:sz="4" w:space="0"/>
              <w:left w:val="single" w:color="auto" w:sz="4" w:space="0"/>
              <w:bottom w:val="single" w:color="auto" w:sz="4" w:space="0"/>
              <w:right w:val="single" w:color="auto" w:sz="4" w:space="0"/>
            </w:tcBorders>
            <w:vAlign w:val="center"/>
          </w:tcPr>
          <w:p w14:paraId="63256601">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是否专门面向中小微企业采购</w:t>
            </w:r>
          </w:p>
        </w:tc>
        <w:tc>
          <w:tcPr>
            <w:tcW w:w="6935" w:type="dxa"/>
            <w:tcBorders>
              <w:top w:val="single" w:color="auto" w:sz="4" w:space="0"/>
              <w:left w:val="single" w:color="auto" w:sz="4" w:space="0"/>
              <w:bottom w:val="single" w:color="auto" w:sz="4" w:space="0"/>
              <w:right w:val="single" w:color="auto" w:sz="4" w:space="0"/>
            </w:tcBorders>
            <w:vAlign w:val="center"/>
          </w:tcPr>
          <w:p w14:paraId="0E8F709A">
            <w:pPr>
              <w:shd w:val="clear"/>
              <w:spacing w:line="360" w:lineRule="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□是</w:t>
            </w:r>
          </w:p>
          <w:p w14:paraId="643412F0">
            <w:pPr>
              <w:shd w:val="clea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☑否</w:t>
            </w:r>
          </w:p>
        </w:tc>
      </w:tr>
      <w:tr w14:paraId="6F39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56" w:type="dxa"/>
            <w:vMerge w:val="continue"/>
            <w:tcBorders>
              <w:left w:val="single" w:color="auto" w:sz="4" w:space="0"/>
              <w:bottom w:val="single" w:color="auto" w:sz="4" w:space="0"/>
              <w:right w:val="single" w:color="auto" w:sz="4" w:space="0"/>
            </w:tcBorders>
            <w:vAlign w:val="center"/>
          </w:tcPr>
          <w:p w14:paraId="248E6914">
            <w:pPr>
              <w:shd w:val="clear"/>
              <w:spacing w:line="360" w:lineRule="auto"/>
              <w:rPr>
                <w:color w:val="auto"/>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5E22D2AE">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w:t>
            </w:r>
          </w:p>
        </w:tc>
        <w:tc>
          <w:tcPr>
            <w:tcW w:w="6935" w:type="dxa"/>
            <w:tcBorders>
              <w:top w:val="single" w:color="auto" w:sz="4" w:space="0"/>
              <w:left w:val="single" w:color="auto" w:sz="4" w:space="0"/>
              <w:bottom w:val="single" w:color="auto" w:sz="4" w:space="0"/>
              <w:right w:val="single" w:color="auto" w:sz="4" w:space="0"/>
            </w:tcBorders>
            <w:vAlign w:val="center"/>
          </w:tcPr>
          <w:p w14:paraId="23916814">
            <w:pPr>
              <w:shd w:val="clea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所属行</w:t>
            </w:r>
            <w:r>
              <w:rPr>
                <w:rFonts w:hint="eastAsia" w:ascii="Times New Roman" w:hAnsi="Times New Roman" w:eastAsia="宋体" w:cs="Times New Roman"/>
                <w:color w:val="auto"/>
                <w:sz w:val="24"/>
                <w:szCs w:val="24"/>
                <w:highlight w:val="none"/>
                <w:shd w:val="clear"/>
              </w:rPr>
              <w:t>业：</w:t>
            </w:r>
            <w:r>
              <w:rPr>
                <w:rFonts w:hint="eastAsia" w:cs="Times New Roman"/>
                <w:color w:val="auto"/>
                <w:sz w:val="24"/>
                <w:szCs w:val="24"/>
                <w:highlight w:val="none"/>
                <w:shd w:val="clear"/>
                <w:lang w:val="en-US" w:eastAsia="zh-CN"/>
              </w:rPr>
              <w:t>工业</w:t>
            </w:r>
          </w:p>
        </w:tc>
      </w:tr>
      <w:tr w14:paraId="4C39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608FAB2A">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517" w:type="dxa"/>
            <w:tcBorders>
              <w:top w:val="single" w:color="auto" w:sz="4" w:space="0"/>
              <w:left w:val="single" w:color="auto" w:sz="4" w:space="0"/>
              <w:bottom w:val="single" w:color="auto" w:sz="4" w:space="0"/>
              <w:right w:val="single" w:color="auto" w:sz="4" w:space="0"/>
            </w:tcBorders>
            <w:vAlign w:val="center"/>
          </w:tcPr>
          <w:p w14:paraId="1A3A808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935" w:type="dxa"/>
            <w:tcBorders>
              <w:top w:val="single" w:color="auto" w:sz="4" w:space="0"/>
              <w:left w:val="single" w:color="auto" w:sz="4" w:space="0"/>
              <w:bottom w:val="single" w:color="auto" w:sz="4" w:space="0"/>
              <w:right w:val="single" w:color="auto" w:sz="4" w:space="0"/>
            </w:tcBorders>
            <w:vAlign w:val="center"/>
          </w:tcPr>
          <w:p w14:paraId="59F71A7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本招标文件解释权属于采购人和浙江五石中正工程咨询有限公司。</w:t>
            </w:r>
          </w:p>
        </w:tc>
      </w:tr>
      <w:tr w14:paraId="1097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72C39559">
            <w:pPr>
              <w:shd w:val="clea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517" w:type="dxa"/>
            <w:tcBorders>
              <w:top w:val="single" w:color="auto" w:sz="4" w:space="0"/>
              <w:left w:val="single" w:color="auto" w:sz="4" w:space="0"/>
              <w:bottom w:val="single" w:color="auto" w:sz="4" w:space="0"/>
              <w:right w:val="single" w:color="auto" w:sz="4" w:space="0"/>
            </w:tcBorders>
            <w:vAlign w:val="center"/>
          </w:tcPr>
          <w:p w14:paraId="10FFB5D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其他说明</w:t>
            </w:r>
          </w:p>
        </w:tc>
        <w:tc>
          <w:tcPr>
            <w:tcW w:w="6935" w:type="dxa"/>
            <w:tcBorders>
              <w:top w:val="single" w:color="auto" w:sz="4" w:space="0"/>
              <w:left w:val="single" w:color="auto" w:sz="4" w:space="0"/>
              <w:bottom w:val="single" w:color="auto" w:sz="4" w:space="0"/>
              <w:right w:val="single" w:color="auto" w:sz="4" w:space="0"/>
            </w:tcBorders>
            <w:vAlign w:val="center"/>
          </w:tcPr>
          <w:p w14:paraId="7D6EACD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商务技术文件开启后30分钟内，供应商通过邮件形式将经授权代表签署的《</w:t>
            </w:r>
            <w:r>
              <w:rPr>
                <w:rFonts w:hint="eastAsia" w:ascii="宋体" w:hAnsi="宋体" w:cs="宋体"/>
                <w:color w:val="auto"/>
                <w:sz w:val="24"/>
                <w:highlight w:val="none"/>
                <w:lang w:val="en-GB"/>
              </w:rPr>
              <w:t>政府采购活动确认声明书</w:t>
            </w:r>
            <w:r>
              <w:rPr>
                <w:rFonts w:hint="eastAsia" w:ascii="宋体" w:hAnsi="宋体" w:cs="宋体"/>
                <w:color w:val="auto"/>
                <w:sz w:val="24"/>
                <w:highlight w:val="none"/>
              </w:rPr>
              <w:t>》扫描件发至代理机构邮箱（邮箱地址：</w:t>
            </w:r>
            <w:r>
              <w:rPr>
                <w:rFonts w:hint="eastAsia" w:ascii="宋体" w:hAnsi="宋体" w:cs="宋体"/>
                <w:color w:val="auto"/>
                <w:sz w:val="24"/>
                <w:highlight w:val="none"/>
              </w:rPr>
              <w:fldChar w:fldCharType="begin"/>
            </w:r>
            <w:r>
              <w:rPr>
                <w:rFonts w:ascii="宋体" w:hAnsi="宋体" w:cs="宋体"/>
                <w:color w:val="auto"/>
                <w:sz w:val="24"/>
                <w:highlight w:val="none"/>
              </w:rPr>
              <w:instrText xml:space="preserve"> HYPERLINK "mailto:303054329@qq.com）；"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GB"/>
              </w:rPr>
              <w:t>zjwstz@163.com</w:t>
            </w:r>
            <w:r>
              <w:rPr>
                <w:rFonts w:hint="eastAsia" w:ascii="宋体" w:hAnsi="宋体" w:cs="宋体"/>
                <w:color w:val="auto"/>
                <w:sz w:val="24"/>
                <w:highlight w:val="none"/>
              </w:rPr>
              <w:t>）；</w:t>
            </w:r>
            <w:r>
              <w:rPr>
                <w:rFonts w:hint="eastAsia" w:ascii="宋体" w:hAnsi="宋体" w:cs="宋体"/>
                <w:color w:val="auto"/>
                <w:sz w:val="24"/>
                <w:highlight w:val="none"/>
              </w:rPr>
              <w:fldChar w:fldCharType="end"/>
            </w:r>
            <w:r>
              <w:rPr>
                <w:rFonts w:hint="eastAsia" w:ascii="宋体" w:hAnsi="宋体" w:cs="宋体"/>
                <w:color w:val="auto"/>
                <w:sz w:val="24"/>
                <w:highlight w:val="none"/>
              </w:rPr>
              <w:t>不填写或未按规定发出邮件的，视同默认不存在确认声明书中的相关违规情形。</w:t>
            </w:r>
          </w:p>
        </w:tc>
      </w:tr>
    </w:tbl>
    <w:p w14:paraId="77F1A71B">
      <w:pPr>
        <w:shd w:val="clear"/>
        <w:spacing w:line="360" w:lineRule="auto"/>
        <w:outlineLvl w:val="1"/>
        <w:rPr>
          <w:rFonts w:ascii="宋体" w:hAnsi="宋体" w:cs="宋体"/>
          <w:b/>
          <w:bCs/>
          <w:color w:val="auto"/>
          <w:sz w:val="24"/>
          <w:szCs w:val="32"/>
          <w:highlight w:val="none"/>
        </w:rPr>
      </w:pPr>
      <w:bookmarkStart w:id="14" w:name="_Toc7832"/>
      <w:bookmarkStart w:id="15" w:name="_Toc2140507060"/>
      <w:r>
        <w:rPr>
          <w:rFonts w:hint="eastAsia" w:ascii="宋体" w:hAnsi="宋体" w:cs="宋体"/>
          <w:b/>
          <w:bCs/>
          <w:color w:val="auto"/>
          <w:sz w:val="24"/>
          <w:szCs w:val="32"/>
          <w:highlight w:val="none"/>
        </w:rPr>
        <w:t>一、总  则</w:t>
      </w:r>
      <w:bookmarkEnd w:id="14"/>
      <w:bookmarkEnd w:id="15"/>
    </w:p>
    <w:p w14:paraId="6C5B8BB3">
      <w:pPr>
        <w:shd w:val="clear"/>
        <w:spacing w:line="360" w:lineRule="auto"/>
        <w:ind w:firstLine="482" w:firstLineChars="200"/>
        <w:outlineLvl w:val="2"/>
        <w:rPr>
          <w:rFonts w:ascii="宋体" w:hAnsi="宋体" w:cs="宋体"/>
          <w:b/>
          <w:bCs/>
          <w:color w:val="auto"/>
          <w:sz w:val="24"/>
          <w:szCs w:val="32"/>
          <w:highlight w:val="none"/>
        </w:rPr>
      </w:pPr>
      <w:bookmarkStart w:id="16" w:name="_Toc856102876"/>
      <w:bookmarkStart w:id="17" w:name="_Toc12047"/>
      <w:r>
        <w:rPr>
          <w:rFonts w:hint="eastAsia" w:ascii="宋体" w:hAnsi="宋体" w:cs="宋体"/>
          <w:b/>
          <w:bCs/>
          <w:color w:val="auto"/>
          <w:sz w:val="24"/>
          <w:szCs w:val="32"/>
          <w:highlight w:val="none"/>
        </w:rPr>
        <w:t>（一） 适用范围</w:t>
      </w:r>
      <w:bookmarkEnd w:id="16"/>
      <w:bookmarkEnd w:id="17"/>
    </w:p>
    <w:p w14:paraId="41B3437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17040B1C">
      <w:pPr>
        <w:shd w:val="clear"/>
        <w:spacing w:line="360" w:lineRule="auto"/>
        <w:ind w:firstLine="482" w:firstLineChars="200"/>
        <w:outlineLvl w:val="2"/>
        <w:rPr>
          <w:rFonts w:ascii="宋体" w:hAnsi="宋体" w:cs="宋体"/>
          <w:b/>
          <w:bCs/>
          <w:color w:val="auto"/>
          <w:sz w:val="24"/>
          <w:szCs w:val="32"/>
          <w:highlight w:val="none"/>
        </w:rPr>
      </w:pPr>
      <w:bookmarkStart w:id="18" w:name="_Toc10006"/>
      <w:bookmarkStart w:id="19" w:name="_Toc380602032"/>
      <w:r>
        <w:rPr>
          <w:rFonts w:hint="eastAsia" w:ascii="宋体" w:hAnsi="宋体" w:cs="宋体"/>
          <w:b/>
          <w:bCs/>
          <w:color w:val="auto"/>
          <w:sz w:val="24"/>
          <w:szCs w:val="32"/>
          <w:highlight w:val="none"/>
        </w:rPr>
        <w:t>（二）定义</w:t>
      </w:r>
      <w:bookmarkEnd w:id="18"/>
      <w:bookmarkEnd w:id="19"/>
    </w:p>
    <w:p w14:paraId="13FED91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4BC4C13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3F4DAE1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2292AA9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417B180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6D3BD2E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44E8272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48071284">
      <w:pPr>
        <w:shd w:val="clear"/>
        <w:spacing w:line="360" w:lineRule="auto"/>
        <w:ind w:firstLine="482" w:firstLineChars="200"/>
        <w:outlineLvl w:val="2"/>
        <w:rPr>
          <w:rFonts w:ascii="宋体" w:hAnsi="宋体" w:cs="宋体"/>
          <w:b/>
          <w:bCs/>
          <w:color w:val="auto"/>
          <w:sz w:val="24"/>
          <w:szCs w:val="32"/>
          <w:highlight w:val="none"/>
        </w:rPr>
      </w:pPr>
      <w:bookmarkStart w:id="20" w:name="_Toc1572051058"/>
      <w:bookmarkStart w:id="21" w:name="_Toc21998"/>
      <w:r>
        <w:rPr>
          <w:rFonts w:hint="eastAsia" w:ascii="宋体" w:hAnsi="宋体" w:cs="宋体"/>
          <w:b/>
          <w:bCs/>
          <w:color w:val="auto"/>
          <w:sz w:val="24"/>
          <w:szCs w:val="32"/>
          <w:highlight w:val="none"/>
        </w:rPr>
        <w:t>（三）投标费用</w:t>
      </w:r>
      <w:bookmarkEnd w:id="20"/>
      <w:bookmarkEnd w:id="21"/>
    </w:p>
    <w:p w14:paraId="0DDF051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757AAAF0">
      <w:pPr>
        <w:shd w:val="clear"/>
        <w:spacing w:line="360" w:lineRule="auto"/>
        <w:ind w:firstLine="482" w:firstLineChars="200"/>
        <w:outlineLvl w:val="2"/>
        <w:rPr>
          <w:rFonts w:ascii="宋体" w:hAnsi="宋体" w:cs="宋体"/>
          <w:b/>
          <w:bCs/>
          <w:color w:val="auto"/>
          <w:sz w:val="24"/>
          <w:szCs w:val="32"/>
          <w:highlight w:val="none"/>
        </w:rPr>
      </w:pPr>
      <w:bookmarkStart w:id="22" w:name="_Toc970822765"/>
      <w:bookmarkStart w:id="23" w:name="_Toc2827"/>
      <w:r>
        <w:rPr>
          <w:rFonts w:hint="eastAsia" w:ascii="宋体" w:hAnsi="宋体" w:cs="宋体"/>
          <w:b/>
          <w:bCs/>
          <w:color w:val="auto"/>
          <w:sz w:val="24"/>
          <w:szCs w:val="32"/>
          <w:highlight w:val="none"/>
        </w:rPr>
        <w:t>（四）特别说明</w:t>
      </w:r>
      <w:bookmarkEnd w:id="22"/>
      <w:bookmarkEnd w:id="23"/>
    </w:p>
    <w:p w14:paraId="55021885">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1.投标人投标所使用的资格、信誉、荣誉、业绩与企业认证必须为本法人所拥有。投标人投标所使用的采购项目实施人员必须为本法人员工（指本法人或控股公司正式员工）。</w:t>
      </w:r>
    </w:p>
    <w:p w14:paraId="46D8F3E3">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448C5A2E">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A841EC6">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1127BAD3">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5.为采购项目提供整体设计、规范编制或者项目管理、监理、检测等服务的供应商，不得再参加该采购项目的其他采购活动。</w:t>
      </w:r>
    </w:p>
    <w:p w14:paraId="78F79743">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6.投标文件格式中的表格式样可以根据项目差别做适当调整，但应当保持表格样式基本形态不变。</w:t>
      </w:r>
    </w:p>
    <w:p w14:paraId="36CB9A3C">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7.单位负责人为同一人或者存在直接控股、管理关系的不同供应商，不得参加同一合同项下的政府采购活动。</w:t>
      </w:r>
    </w:p>
    <w:p w14:paraId="61CC8637">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8.本项目不允许分包</w:t>
      </w:r>
      <w:r>
        <w:rPr>
          <w:rFonts w:hint="eastAsia" w:ascii="宋体" w:hAnsi="宋体" w:cs="宋体"/>
          <w:color w:val="auto"/>
          <w:sz w:val="24"/>
          <w:highlight w:val="none"/>
        </w:rPr>
        <w:t>。</w:t>
      </w:r>
    </w:p>
    <w:p w14:paraId="77D01C22">
      <w:pPr>
        <w:shd w:val="clear"/>
        <w:spacing w:line="360" w:lineRule="auto"/>
        <w:outlineLvl w:val="1"/>
        <w:rPr>
          <w:rFonts w:ascii="宋体" w:hAnsi="宋体" w:cs="宋体"/>
          <w:b/>
          <w:bCs/>
          <w:color w:val="auto"/>
          <w:sz w:val="24"/>
          <w:szCs w:val="32"/>
          <w:highlight w:val="none"/>
        </w:rPr>
      </w:pPr>
      <w:bookmarkStart w:id="24" w:name="_Toc21369"/>
      <w:bookmarkStart w:id="25" w:name="_Toc37461449"/>
      <w:r>
        <w:rPr>
          <w:rFonts w:hint="eastAsia" w:ascii="宋体" w:hAnsi="宋体" w:cs="宋体"/>
          <w:b/>
          <w:bCs/>
          <w:color w:val="auto"/>
          <w:sz w:val="24"/>
          <w:szCs w:val="32"/>
          <w:highlight w:val="none"/>
        </w:rPr>
        <w:t>二、招标文件</w:t>
      </w:r>
      <w:bookmarkEnd w:id="24"/>
      <w:bookmarkEnd w:id="25"/>
    </w:p>
    <w:p w14:paraId="01679DB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611F3D6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5340BC5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5B57E35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6A48CEEE">
      <w:pPr>
        <w:shd w:val="clear"/>
        <w:spacing w:line="360" w:lineRule="auto"/>
        <w:outlineLvl w:val="1"/>
        <w:rPr>
          <w:rFonts w:ascii="宋体" w:hAnsi="宋体" w:cs="宋体"/>
          <w:b/>
          <w:bCs/>
          <w:color w:val="auto"/>
          <w:sz w:val="24"/>
          <w:szCs w:val="32"/>
          <w:highlight w:val="none"/>
        </w:rPr>
      </w:pPr>
      <w:bookmarkStart w:id="26" w:name="_Toc401864772"/>
      <w:bookmarkStart w:id="27" w:name="_Toc31951"/>
      <w:r>
        <w:rPr>
          <w:rFonts w:hint="eastAsia" w:ascii="宋体" w:hAnsi="宋体" w:cs="宋体"/>
          <w:b/>
          <w:bCs/>
          <w:color w:val="auto"/>
          <w:sz w:val="24"/>
          <w:szCs w:val="32"/>
          <w:highlight w:val="none"/>
        </w:rPr>
        <w:t>三、投标文件</w:t>
      </w:r>
      <w:bookmarkEnd w:id="26"/>
      <w:bookmarkEnd w:id="27"/>
    </w:p>
    <w:p w14:paraId="7C598C23">
      <w:pPr>
        <w:shd w:val="clear"/>
        <w:spacing w:line="360" w:lineRule="auto"/>
        <w:ind w:firstLine="482" w:firstLineChars="200"/>
        <w:outlineLvl w:val="2"/>
        <w:rPr>
          <w:rFonts w:ascii="宋体" w:hAnsi="宋体" w:cs="宋体"/>
          <w:b/>
          <w:bCs/>
          <w:color w:val="auto"/>
          <w:sz w:val="24"/>
          <w:szCs w:val="32"/>
          <w:highlight w:val="none"/>
        </w:rPr>
      </w:pPr>
      <w:bookmarkStart w:id="28" w:name="_Toc305153189"/>
      <w:bookmarkStart w:id="29" w:name="_Toc2849"/>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bookmarkEnd w:id="28"/>
      <w:bookmarkEnd w:id="29"/>
    </w:p>
    <w:p w14:paraId="7832F1AA">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r>
        <w:rPr>
          <w:rFonts w:hint="eastAsia" w:ascii="宋体" w:hAnsi="宋体" w:cs="宋体"/>
          <w:color w:val="auto"/>
          <w:sz w:val="24"/>
          <w:szCs w:val="32"/>
          <w:highlight w:val="none"/>
          <w:lang w:val="zh-CN"/>
        </w:rPr>
        <w:t>】</w:t>
      </w:r>
    </w:p>
    <w:p w14:paraId="57AD83F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1.资格及商务技术文件的组成</w:t>
      </w:r>
    </w:p>
    <w:p w14:paraId="0FE46D7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资格及商务技术文件由资格证明文件、商务与技术文件两部分内容组成。</w:t>
      </w:r>
    </w:p>
    <w:p w14:paraId="25555461">
      <w:pPr>
        <w:shd w:val="clear"/>
        <w:spacing w:line="360" w:lineRule="auto"/>
        <w:ind w:firstLine="482" w:firstLineChars="200"/>
        <w:rPr>
          <w:rFonts w:ascii="宋体" w:hAnsi="宋体" w:cs="宋体"/>
          <w:b/>
          <w:bCs/>
          <w:color w:val="auto"/>
          <w:sz w:val="24"/>
          <w:szCs w:val="32"/>
          <w:highlight w:val="none"/>
        </w:rPr>
      </w:pPr>
      <w:bookmarkStart w:id="30" w:name="OLE_LINK13"/>
      <w:r>
        <w:rPr>
          <w:rFonts w:hint="eastAsia" w:ascii="宋体" w:hAnsi="宋体" w:cs="宋体"/>
          <w:b/>
          <w:bCs/>
          <w:color w:val="auto"/>
          <w:sz w:val="24"/>
          <w:szCs w:val="32"/>
          <w:highlight w:val="none"/>
        </w:rPr>
        <w:t>第一部分 资格证明文件的组成：</w:t>
      </w:r>
    </w:p>
    <w:p w14:paraId="08FA79A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14:paraId="16091BB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（2）授权委托书（法定代表人亲自办理投标事宜的，则无需提交本证明书)；</w:t>
      </w:r>
    </w:p>
    <w:p w14:paraId="28C1EAC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3A12E71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（4）财务状况报告，依法缴纳税收和社会保障资金的相关材料；</w:t>
      </w:r>
    </w:p>
    <w:p w14:paraId="0DEAFB1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（5）具备履行合同所必需的设备和专业技术能力的证明材料；</w:t>
      </w:r>
    </w:p>
    <w:p w14:paraId="1C6AA6D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default" w:ascii="宋体" w:hAnsi="宋体" w:cs="宋体"/>
          <w:color w:val="auto"/>
          <w:sz w:val="24"/>
          <w:szCs w:val="32"/>
          <w:highlight w:val="none"/>
        </w:rPr>
        <w:t>6</w:t>
      </w:r>
      <w:r>
        <w:rPr>
          <w:rFonts w:hint="eastAsia" w:ascii="宋体" w:hAnsi="宋体" w:cs="宋体"/>
          <w:color w:val="auto"/>
          <w:sz w:val="24"/>
          <w:szCs w:val="32"/>
          <w:highlight w:val="none"/>
        </w:rPr>
        <w:t>）提供采购公告中符合供应商特定条件的有效资质证书复印件（投标供应商特定条件中有要求的必须提供），以及需要说明的其他资料；</w:t>
      </w:r>
    </w:p>
    <w:bookmarkEnd w:id="30"/>
    <w:p w14:paraId="3E0C922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第二部分 商务与技术文件的组成：</w:t>
      </w:r>
    </w:p>
    <w:p w14:paraId="1AE6A23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（1）供应商基本情况；</w:t>
      </w:r>
    </w:p>
    <w:p w14:paraId="2C2052C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（2）供货清单（不涉及价格）；</w:t>
      </w:r>
    </w:p>
    <w:p w14:paraId="67D7F042">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（3）商务及技术响应表；</w:t>
      </w:r>
    </w:p>
    <w:p w14:paraId="2D5CCD8D">
      <w:pPr>
        <w:shd w:val="clea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对接和开放承诺函；</w:t>
      </w:r>
    </w:p>
    <w:p w14:paraId="0EF3CBAF">
      <w:pPr>
        <w:shd w:val="clear"/>
        <w:snapToGrid w:val="0"/>
        <w:spacing w:line="360" w:lineRule="auto"/>
        <w:ind w:firstLine="480" w:firstLineChars="200"/>
        <w:rPr>
          <w:rFonts w:ascii="宋体" w:hAnsi="宋体" w:cs="宋体"/>
          <w:color w:val="auto"/>
          <w:kern w:val="0"/>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）其余内容根据评标办法自拟；</w:t>
      </w:r>
    </w:p>
    <w:p w14:paraId="3FDF16F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3422C63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w:t>
      </w:r>
      <w:r>
        <w:rPr>
          <w:rFonts w:hint="default" w:ascii="宋体" w:hAnsi="宋体" w:cs="宋体"/>
          <w:color w:val="auto"/>
          <w:sz w:val="24"/>
          <w:szCs w:val="32"/>
          <w:highlight w:val="none"/>
        </w:rPr>
        <w:t>、</w:t>
      </w:r>
      <w:r>
        <w:rPr>
          <w:rFonts w:hint="eastAsia" w:ascii="宋体" w:hAnsi="宋体" w:cs="宋体"/>
          <w:color w:val="auto"/>
          <w:sz w:val="24"/>
          <w:szCs w:val="32"/>
          <w:highlight w:val="none"/>
        </w:rPr>
        <w:t>中小企业声明函以及投标人认为其他需要说明的内容组成。</w:t>
      </w:r>
    </w:p>
    <w:p w14:paraId="1C94525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384AC830">
      <w:pPr>
        <w:numPr>
          <w:ilvl w:val="0"/>
          <w:numId w:val="0"/>
        </w:numPr>
        <w:shd w:val="clear"/>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kern w:val="0"/>
          <w:sz w:val="24"/>
          <w:highlight w:val="none"/>
          <w:lang w:val="zh-CN"/>
        </w:rPr>
        <w:t>投标报价</w:t>
      </w:r>
      <w:r>
        <w:rPr>
          <w:rFonts w:hint="eastAsia" w:ascii="宋体" w:hAnsi="宋体" w:cs="宋体"/>
          <w:color w:val="auto"/>
          <w:sz w:val="24"/>
          <w:szCs w:val="24"/>
          <w:highlight w:val="none"/>
          <w:lang w:val="zh-CN"/>
        </w:rPr>
        <w:t>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14:paraId="2C0EB12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4</w:t>
      </w:r>
      <w:r>
        <w:rPr>
          <w:rFonts w:hint="eastAsia" w:ascii="宋体" w:hAnsi="宋体" w:cs="宋体"/>
          <w:color w:val="auto"/>
          <w:sz w:val="24"/>
          <w:szCs w:val="32"/>
          <w:highlight w:val="none"/>
        </w:rPr>
        <w:t>）相关报价单需打印或用不退色的墨水填写， 投标报价单不得涂改和增删，如有错漏必须修改，修改处须由同一签署人签字或盖章。由于字迹模糊或表达不清引起的后果由投标人负责。</w:t>
      </w:r>
    </w:p>
    <w:p w14:paraId="5433023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5</w:t>
      </w:r>
      <w:r>
        <w:rPr>
          <w:rFonts w:hint="eastAsia" w:ascii="宋体" w:hAnsi="宋体" w:cs="宋体"/>
          <w:color w:val="auto"/>
          <w:sz w:val="24"/>
          <w:szCs w:val="32"/>
          <w:highlight w:val="none"/>
        </w:rPr>
        <w:t>）投标报价应按招标文件中相关附表格式填写。</w:t>
      </w:r>
    </w:p>
    <w:p w14:paraId="4EFCBD79">
      <w:pPr>
        <w:shd w:val="clear"/>
        <w:spacing w:line="360" w:lineRule="auto"/>
        <w:ind w:firstLine="482" w:firstLineChars="200"/>
        <w:outlineLvl w:val="2"/>
        <w:rPr>
          <w:rFonts w:ascii="宋体" w:hAnsi="宋体" w:cs="宋体"/>
          <w:b/>
          <w:bCs/>
          <w:color w:val="auto"/>
          <w:sz w:val="24"/>
          <w:szCs w:val="32"/>
          <w:highlight w:val="none"/>
        </w:rPr>
      </w:pPr>
      <w:bookmarkStart w:id="31" w:name="_Toc518698487"/>
      <w:bookmarkStart w:id="32" w:name="_Toc19104"/>
      <w:r>
        <w:rPr>
          <w:rFonts w:hint="eastAsia" w:ascii="宋体" w:hAnsi="宋体" w:cs="宋体"/>
          <w:b/>
          <w:bCs/>
          <w:color w:val="auto"/>
          <w:sz w:val="24"/>
          <w:szCs w:val="32"/>
          <w:highlight w:val="none"/>
        </w:rPr>
        <w:t>（二）投标文件的制作、封装及递交要求</w:t>
      </w:r>
      <w:bookmarkEnd w:id="31"/>
      <w:bookmarkEnd w:id="32"/>
    </w:p>
    <w:p w14:paraId="1BA8DEDA">
      <w:pPr>
        <w:pStyle w:val="37"/>
        <w:shd w:val="clear"/>
        <w:snapToGrid w:val="0"/>
        <w:spacing w:before="0"/>
        <w:ind w:firstLine="482"/>
        <w:outlineLvl w:val="0"/>
        <w:rPr>
          <w:rFonts w:ascii="宋体" w:hAnsi="宋体" w:cs="宋体"/>
          <w:b/>
          <w:bCs/>
          <w:color w:val="auto"/>
          <w:szCs w:val="24"/>
          <w:highlight w:val="none"/>
          <w:lang w:val="en-GB"/>
        </w:rPr>
      </w:pPr>
      <w:bookmarkStart w:id="33" w:name="_Toc14690"/>
      <w:bookmarkStart w:id="34" w:name="_Toc28786"/>
      <w:bookmarkStart w:id="35" w:name="_Toc1129347836"/>
      <w:r>
        <w:rPr>
          <w:rFonts w:hint="eastAsia" w:ascii="宋体" w:hAnsi="宋体" w:cs="宋体"/>
          <w:b/>
          <w:bCs/>
          <w:color w:val="auto"/>
          <w:szCs w:val="24"/>
          <w:highlight w:val="none"/>
        </w:rPr>
        <w:t xml:space="preserve">1. </w:t>
      </w:r>
      <w:r>
        <w:rPr>
          <w:rFonts w:hint="eastAsia" w:ascii="宋体" w:hAnsi="宋体" w:cs="宋体"/>
          <w:b/>
          <w:bCs/>
          <w:color w:val="auto"/>
          <w:szCs w:val="24"/>
          <w:highlight w:val="none"/>
          <w:lang w:val="en-GB"/>
        </w:rPr>
        <w:t>投标文件的编制</w:t>
      </w:r>
      <w:bookmarkEnd w:id="33"/>
      <w:bookmarkEnd w:id="34"/>
      <w:bookmarkEnd w:id="35"/>
    </w:p>
    <w:p w14:paraId="3E38EAD0">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.1本项目通过“政府采购云平台（www.zcygov.cn）”实行在线投标响应（电子投标）。投标人应通过“政采云电子交易客户端”，并按照本招标文件和“政府采购云平台”的要求编制并加密投标文件。</w:t>
      </w:r>
    </w:p>
    <w:p w14:paraId="118E89B1">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1.2投标人应当按照本章节 “投标文件组成”规定的内容及顺序在“政采云电子交易客户端”编制投标文件。其中</w:t>
      </w:r>
      <w:r>
        <w:rPr>
          <w:rFonts w:hint="eastAsia" w:ascii="宋体" w:hAnsi="宋体" w:cs="宋体"/>
          <w:color w:val="auto"/>
          <w:sz w:val="24"/>
          <w:highlight w:val="none"/>
        </w:rPr>
        <w:t>资格及商务技术文件</w:t>
      </w:r>
      <w:r>
        <w:rPr>
          <w:rFonts w:hint="eastAsia" w:ascii="宋体" w:hAnsi="宋体" w:cs="宋体"/>
          <w:color w:val="auto"/>
          <w:sz w:val="24"/>
          <w:highlight w:val="none"/>
          <w:lang w:val="en-GB"/>
        </w:rPr>
        <w:t>中不得出现本项目投标报价，如因投标人原因提前泄露投标报价，是投标人的责任。</w:t>
      </w:r>
    </w:p>
    <w:p w14:paraId="3856ECFF">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zh-CN"/>
        </w:rPr>
        <w:t>1.3投标文件分为</w:t>
      </w:r>
      <w:r>
        <w:rPr>
          <w:rFonts w:hint="eastAsia" w:ascii="宋体" w:hAnsi="宋体" w:cs="宋体"/>
          <w:color w:val="auto"/>
          <w:sz w:val="24"/>
          <w:highlight w:val="none"/>
        </w:rPr>
        <w:t>资格及商务技术文件、报价文件二部分</w:t>
      </w:r>
      <w:r>
        <w:rPr>
          <w:rFonts w:hint="eastAsia" w:ascii="宋体" w:hAnsi="宋体" w:cs="宋体"/>
          <w:color w:val="auto"/>
          <w:sz w:val="24"/>
          <w:highlight w:val="none"/>
          <w:lang w:val="zh-CN"/>
        </w:rPr>
        <w:t>。各投标人在编制投标文件时请按照采购文件第六部分规定的格式进行，</w:t>
      </w:r>
      <w:r>
        <w:rPr>
          <w:rFonts w:hint="eastAsia" w:ascii="宋体" w:hAnsi="宋体" w:cs="宋体"/>
          <w:color w:val="auto"/>
          <w:sz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454A572E">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1.4《投标文件》内容不完整、</w:t>
      </w:r>
      <w:r>
        <w:rPr>
          <w:rFonts w:hint="eastAsia" w:ascii="宋体" w:hAnsi="宋体" w:cs="宋体"/>
          <w:color w:val="auto"/>
          <w:sz w:val="24"/>
          <w:highlight w:val="none"/>
          <w:lang w:val="zh-CN"/>
        </w:rPr>
        <w:t>混乱的编排导致投标文件被误读或评标委员会查找不到有效文件是投标人的责任。</w:t>
      </w:r>
      <w:r>
        <w:rPr>
          <w:rFonts w:hint="eastAsia" w:ascii="宋体" w:hAnsi="宋体" w:cs="宋体"/>
          <w:color w:val="auto"/>
          <w:sz w:val="24"/>
          <w:highlight w:val="none"/>
          <w:lang w:val="en-GB"/>
        </w:rPr>
        <w:t>《投标文件》因字迹潦草或表达不清所引起的后果由投标人负责。</w:t>
      </w:r>
    </w:p>
    <w:p w14:paraId="1AB5935F">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2.提供纸质投标文件要求：见《前附表》</w:t>
      </w:r>
    </w:p>
    <w:p w14:paraId="7F100880">
      <w:pPr>
        <w:shd w:val="clear"/>
        <w:snapToGrid w:val="0"/>
        <w:spacing w:line="360" w:lineRule="auto"/>
        <w:ind w:firstLine="482" w:firstLineChars="200"/>
        <w:rPr>
          <w:rFonts w:ascii="宋体" w:hAnsi="宋体" w:cs="宋体"/>
          <w:b/>
          <w:bCs/>
          <w:color w:val="auto"/>
          <w:sz w:val="24"/>
          <w:highlight w:val="none"/>
          <w:lang w:val="en-GB"/>
        </w:rPr>
      </w:pPr>
      <w:r>
        <w:rPr>
          <w:rFonts w:hint="eastAsia" w:ascii="宋体" w:hAnsi="宋体" w:cs="宋体"/>
          <w:b/>
          <w:bCs/>
          <w:color w:val="auto"/>
          <w:sz w:val="24"/>
          <w:highlight w:val="none"/>
          <w:lang w:val="en-GB"/>
        </w:rPr>
        <w:t>3.投标文件的签章</w:t>
      </w:r>
    </w:p>
    <w:p w14:paraId="25BEDA3A">
      <w:pPr>
        <w:pStyle w:val="37"/>
        <w:shd w:val="clear"/>
        <w:snapToGrid w:val="0"/>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文件按照采购文件第六部分格式要求进行签署、盖章。投标人的投标文件未按照采购文件要求签署、盖章的，其投标无效；其中电子投标文件中所须加盖公章部分均采用CA签章，并根据《政府采购项目电子交易管理操作指南-供应商》及本招标文件规定的格式和顺序编制电子投标文件并进行关联定位。</w:t>
      </w:r>
    </w:p>
    <w:p w14:paraId="647ED72A">
      <w:pPr>
        <w:pStyle w:val="13"/>
        <w:shd w:val="clear"/>
        <w:spacing w:line="360" w:lineRule="auto"/>
        <w:ind w:firstLine="482" w:firstLineChars="200"/>
        <w:rPr>
          <w:rFonts w:hAnsi="宋体" w:cs="宋体"/>
          <w:b/>
          <w:bCs/>
          <w:color w:val="auto"/>
          <w:sz w:val="24"/>
          <w:highlight w:val="none"/>
          <w:lang w:val="en-GB"/>
        </w:rPr>
      </w:pPr>
      <w:r>
        <w:rPr>
          <w:rFonts w:hint="eastAsia" w:hAnsi="宋体" w:cs="宋体"/>
          <w:b/>
          <w:bCs/>
          <w:color w:val="auto"/>
          <w:sz w:val="24"/>
          <w:highlight w:val="none"/>
          <w:lang w:val="en-GB"/>
        </w:rPr>
        <w:t>4. 备份投标文件的密封与标志</w:t>
      </w:r>
    </w:p>
    <w:p w14:paraId="68D8915F">
      <w:pPr>
        <w:pStyle w:val="37"/>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4.1备份投标文件须密封包装。没有密封包装的投标文件，将被拒收。</w:t>
      </w:r>
    </w:p>
    <w:p w14:paraId="17396105">
      <w:pPr>
        <w:shd w:val="clear"/>
        <w:snapToGrid w:val="0"/>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4.2备份投标文件包装封面物应写明项目名称、投标人名称(联合体投标的，包装物封面需注明联合体投标，并注明联合体成员各方的名称和联合体协议中约定的牵头人的名称)。</w:t>
      </w:r>
    </w:p>
    <w:p w14:paraId="492D0E8D">
      <w:pPr>
        <w:pStyle w:val="37"/>
        <w:shd w:val="clear"/>
        <w:spacing w:before="0"/>
        <w:ind w:firstLine="482"/>
        <w:rPr>
          <w:rFonts w:ascii="宋体" w:hAnsi="宋体" w:cs="宋体"/>
          <w:b/>
          <w:bCs/>
          <w:color w:val="auto"/>
          <w:szCs w:val="24"/>
          <w:highlight w:val="none"/>
          <w:lang w:val="en-GB"/>
        </w:rPr>
      </w:pPr>
      <w:r>
        <w:rPr>
          <w:rFonts w:hint="eastAsia" w:ascii="宋体" w:hAnsi="宋体" w:cs="宋体"/>
          <w:b/>
          <w:bCs/>
          <w:color w:val="auto"/>
          <w:szCs w:val="24"/>
          <w:highlight w:val="none"/>
          <w:lang w:val="en-GB"/>
        </w:rPr>
        <w:t>5. 投标文件的上传和递交</w:t>
      </w:r>
    </w:p>
    <w:p w14:paraId="40E22786">
      <w:pPr>
        <w:pStyle w:val="37"/>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5.1“投标文件”的上传、递交：见《前附表》。未传输递交电子投标文件的，投标无效。</w:t>
      </w:r>
    </w:p>
    <w:p w14:paraId="2858053D">
      <w:pPr>
        <w:pStyle w:val="37"/>
        <w:shd w:val="clear"/>
        <w:spacing w:before="0"/>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2</w:t>
      </w:r>
      <w:r>
        <w:rPr>
          <w:rFonts w:hint="eastAsia" w:ascii="宋体" w:hAnsi="宋体" w:cs="宋体"/>
          <w:color w:val="auto"/>
          <w:szCs w:val="24"/>
          <w:highlight w:val="none"/>
          <w:lang w:val="en-GB"/>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14:paraId="538DD306">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5.</w:t>
      </w:r>
      <w:r>
        <w:rPr>
          <w:rFonts w:hint="eastAsia" w:ascii="宋体" w:hAnsi="宋体" w:cs="宋体"/>
          <w:color w:val="auto"/>
          <w:szCs w:val="24"/>
          <w:highlight w:val="none"/>
        </w:rPr>
        <w:t>3</w:t>
      </w:r>
      <w:r>
        <w:rPr>
          <w:rFonts w:hint="eastAsia" w:ascii="宋体" w:hAnsi="宋体" w:cs="宋体"/>
          <w:color w:val="auto"/>
          <w:szCs w:val="24"/>
          <w:highlight w:val="none"/>
          <w:lang w:val="en-GB"/>
        </w:rPr>
        <w:t>投标文件的备选方案</w:t>
      </w:r>
    </w:p>
    <w:p w14:paraId="1A932C6D">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投标人不得递交任何的投标备选（替代）方案，否则其投标文件将作无效标处理。与“电子加密投标文件”同时生成的“备份投标文件”不是投标备选（替代）方案。</w:t>
      </w:r>
    </w:p>
    <w:p w14:paraId="06A4C446">
      <w:pPr>
        <w:pStyle w:val="13"/>
        <w:shd w:val="clear"/>
        <w:spacing w:line="360" w:lineRule="auto"/>
        <w:ind w:firstLine="480" w:firstLineChars="200"/>
        <w:rPr>
          <w:rFonts w:hAnsi="宋体" w:cs="宋体"/>
          <w:color w:val="auto"/>
          <w:sz w:val="24"/>
          <w:highlight w:val="none"/>
          <w:lang w:val="en-GB"/>
        </w:rPr>
      </w:pPr>
      <w:r>
        <w:rPr>
          <w:rFonts w:hint="eastAsia" w:hAnsi="宋体" w:cs="宋体"/>
          <w:color w:val="auto"/>
          <w:sz w:val="24"/>
          <w:highlight w:val="none"/>
          <w:lang w:val="en-GB"/>
        </w:rPr>
        <w:t>6. 投标文件的补充、修改、撤回</w:t>
      </w:r>
    </w:p>
    <w:p w14:paraId="612C39CB">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6.1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8766290">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lang w:val="en-GB"/>
        </w:rPr>
        <w:t>6.</w:t>
      </w:r>
      <w:r>
        <w:rPr>
          <w:rFonts w:hint="eastAsia" w:ascii="宋体" w:hAnsi="宋体" w:cs="宋体"/>
          <w:color w:val="auto"/>
          <w:szCs w:val="24"/>
          <w:highlight w:val="none"/>
        </w:rPr>
        <w:t>2</w:t>
      </w:r>
      <w:r>
        <w:rPr>
          <w:rFonts w:hint="eastAsia" w:ascii="宋体" w:hAnsi="宋体" w:cs="宋体"/>
          <w:color w:val="auto"/>
          <w:szCs w:val="24"/>
          <w:highlight w:val="none"/>
          <w:lang w:val="en-GB"/>
        </w:rPr>
        <w:t>投标截止时间后，投标供应商不得撤回、修改投标文件。</w:t>
      </w:r>
    </w:p>
    <w:p w14:paraId="67C13977">
      <w:pPr>
        <w:pStyle w:val="37"/>
        <w:shd w:val="clear"/>
        <w:ind w:firstLine="480"/>
        <w:rPr>
          <w:rFonts w:ascii="宋体" w:hAnsi="宋体" w:cs="宋体"/>
          <w:color w:val="auto"/>
          <w:szCs w:val="24"/>
          <w:highlight w:val="none"/>
          <w:lang w:val="en-GB"/>
        </w:rPr>
      </w:pPr>
      <w:r>
        <w:rPr>
          <w:rFonts w:hint="eastAsia" w:ascii="宋体" w:hAnsi="宋体" w:cs="宋体"/>
          <w:color w:val="auto"/>
          <w:szCs w:val="24"/>
          <w:highlight w:val="none"/>
        </w:rPr>
        <w:t>6.3</w:t>
      </w:r>
      <w:r>
        <w:rPr>
          <w:rFonts w:hint="eastAsia" w:ascii="宋体" w:hAnsi="宋体" w:cs="宋体"/>
          <w:color w:val="auto"/>
          <w:szCs w:val="24"/>
          <w:highlight w:val="none"/>
          <w:lang w:val="en-GB"/>
        </w:rPr>
        <w:t>在开标后规定的投标有效期内，投标人不能撤销投标文件。</w:t>
      </w:r>
    </w:p>
    <w:p w14:paraId="3B491635">
      <w:pPr>
        <w:shd w:val="clear"/>
        <w:spacing w:line="360" w:lineRule="auto"/>
        <w:ind w:firstLine="482" w:firstLineChars="200"/>
        <w:outlineLvl w:val="2"/>
        <w:rPr>
          <w:rFonts w:ascii="宋体" w:hAnsi="宋体" w:cs="宋体"/>
          <w:b/>
          <w:bCs/>
          <w:color w:val="auto"/>
          <w:sz w:val="24"/>
          <w:szCs w:val="32"/>
          <w:highlight w:val="none"/>
        </w:rPr>
      </w:pPr>
      <w:bookmarkStart w:id="36" w:name="_Toc1488607466"/>
      <w:bookmarkStart w:id="37" w:name="_Toc9979"/>
      <w:r>
        <w:rPr>
          <w:rFonts w:hint="eastAsia" w:ascii="宋体" w:hAnsi="宋体" w:cs="宋体"/>
          <w:b/>
          <w:bCs/>
          <w:color w:val="auto"/>
          <w:sz w:val="24"/>
          <w:szCs w:val="32"/>
          <w:highlight w:val="none"/>
        </w:rPr>
        <w:t>（三）投标文件的有效期</w:t>
      </w:r>
      <w:bookmarkEnd w:id="36"/>
      <w:bookmarkEnd w:id="37"/>
    </w:p>
    <w:p w14:paraId="3C3C5DF5">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s="宋体"/>
          <w:color w:val="auto"/>
          <w:sz w:val="24"/>
          <w:highlight w:val="none"/>
          <w:lang w:val="en-GB"/>
        </w:rPr>
        <w:t>自投标截止日起90天投标文件应保持有效。有效期不足的投标文件将被拒绝。</w:t>
      </w:r>
    </w:p>
    <w:p w14:paraId="716B0E23">
      <w:pPr>
        <w:shd w:val="clear"/>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在特殊情况下，采购人可与投标人协商延长投标文件的有效期，这种要求和答复均以书面形式进行。</w:t>
      </w:r>
    </w:p>
    <w:p w14:paraId="7460186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3.中标人的投标文件自开标之日起至合同履行完毕均应保持有效。</w:t>
      </w:r>
    </w:p>
    <w:p w14:paraId="3E2BE0CE">
      <w:pPr>
        <w:shd w:val="clear"/>
        <w:spacing w:line="360" w:lineRule="auto"/>
        <w:ind w:firstLine="482" w:firstLineChars="200"/>
        <w:outlineLvl w:val="1"/>
        <w:rPr>
          <w:rFonts w:ascii="宋体" w:hAnsi="宋体" w:cs="宋体"/>
          <w:color w:val="auto"/>
          <w:sz w:val="24"/>
          <w:highlight w:val="none"/>
        </w:rPr>
      </w:pPr>
      <w:bookmarkStart w:id="38" w:name="_Toc19605"/>
      <w:bookmarkStart w:id="39" w:name="_Toc841193512"/>
      <w:r>
        <w:rPr>
          <w:rFonts w:hint="eastAsia" w:ascii="宋体" w:hAnsi="宋体" w:cs="宋体"/>
          <w:b/>
          <w:bCs/>
          <w:color w:val="auto"/>
          <w:sz w:val="24"/>
          <w:szCs w:val="32"/>
          <w:highlight w:val="none"/>
        </w:rPr>
        <w:t>四、开标</w:t>
      </w:r>
      <w:bookmarkEnd w:id="38"/>
      <w:bookmarkEnd w:id="39"/>
    </w:p>
    <w:p w14:paraId="58D9CC5C">
      <w:pPr>
        <w:shd w:val="clear"/>
        <w:spacing w:line="360" w:lineRule="auto"/>
        <w:ind w:firstLine="480" w:firstLineChars="200"/>
        <w:outlineLvl w:val="2"/>
        <w:rPr>
          <w:rFonts w:ascii="宋体" w:hAnsi="宋体" w:cs="宋体"/>
          <w:color w:val="auto"/>
          <w:sz w:val="24"/>
          <w:highlight w:val="none"/>
        </w:rPr>
      </w:pPr>
      <w:bookmarkStart w:id="40" w:name="_Toc1054507983"/>
      <w:bookmarkStart w:id="41" w:name="_Toc31897"/>
      <w:r>
        <w:rPr>
          <w:rFonts w:hint="eastAsia" w:ascii="宋体" w:hAnsi="宋体" w:cs="宋体"/>
          <w:color w:val="auto"/>
          <w:sz w:val="24"/>
          <w:highlight w:val="none"/>
        </w:rPr>
        <w:t>（一）开标事项</w:t>
      </w:r>
      <w:bookmarkEnd w:id="40"/>
      <w:bookmarkEnd w:id="41"/>
    </w:p>
    <w:p w14:paraId="0C988D2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采购组织机构在“招标公告”规定的时间和地点公开开标，本次招标采用先评审商务资格和技术服务方案，后公开并评审报价的办法实施。</w:t>
      </w:r>
    </w:p>
    <w:p w14:paraId="6D54DBB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4B5F869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6BFD1A4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48EB746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062669A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（4）病毒导致不能进行正常操作的； </w:t>
      </w:r>
    </w:p>
    <w:p w14:paraId="7CC9C4E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4D463CC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2CC782F">
      <w:pPr>
        <w:shd w:val="clear"/>
        <w:spacing w:line="360" w:lineRule="auto"/>
        <w:ind w:firstLine="480" w:firstLineChars="200"/>
        <w:outlineLvl w:val="2"/>
        <w:rPr>
          <w:rFonts w:ascii="宋体" w:hAnsi="宋体" w:cs="宋体"/>
          <w:color w:val="auto"/>
          <w:sz w:val="24"/>
          <w:highlight w:val="none"/>
        </w:rPr>
      </w:pPr>
      <w:bookmarkStart w:id="42" w:name="_Toc21701"/>
      <w:bookmarkStart w:id="43" w:name="_Toc2080615237"/>
      <w:r>
        <w:rPr>
          <w:rFonts w:hint="eastAsia" w:ascii="宋体" w:hAnsi="宋体" w:cs="宋体"/>
          <w:color w:val="auto"/>
          <w:sz w:val="24"/>
          <w:highlight w:val="none"/>
        </w:rPr>
        <w:t>（二） 开标程序</w:t>
      </w:r>
      <w:bookmarkEnd w:id="42"/>
      <w:bookmarkEnd w:id="43"/>
    </w:p>
    <w:p w14:paraId="2DD9047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2F82203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3D19100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5F1AD66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4F17E84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04FFE61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6.资格及商务技术文件评审；</w:t>
      </w:r>
    </w:p>
    <w:p w14:paraId="41F8B4C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3AD1C2F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77328A2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6FF2EFD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30C77CA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1CA8F4D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22FE585E">
      <w:pPr>
        <w:shd w:val="clear"/>
        <w:spacing w:line="360" w:lineRule="auto"/>
        <w:ind w:firstLine="482" w:firstLineChars="200"/>
        <w:outlineLvl w:val="1"/>
        <w:rPr>
          <w:rFonts w:ascii="宋体" w:hAnsi="宋体" w:cs="宋体"/>
          <w:b/>
          <w:bCs/>
          <w:color w:val="auto"/>
          <w:sz w:val="24"/>
          <w:szCs w:val="32"/>
          <w:highlight w:val="none"/>
        </w:rPr>
      </w:pPr>
      <w:bookmarkStart w:id="44" w:name="_Toc1424064158"/>
      <w:bookmarkStart w:id="45" w:name="_Toc29579"/>
      <w:r>
        <w:rPr>
          <w:rFonts w:hint="eastAsia" w:ascii="宋体" w:hAnsi="宋体" w:cs="宋体"/>
          <w:b/>
          <w:bCs/>
          <w:color w:val="auto"/>
          <w:sz w:val="24"/>
          <w:szCs w:val="32"/>
          <w:highlight w:val="none"/>
        </w:rPr>
        <w:t>五、评标</w:t>
      </w:r>
      <w:bookmarkEnd w:id="44"/>
      <w:bookmarkEnd w:id="45"/>
    </w:p>
    <w:p w14:paraId="04BE6772">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本项目采用电子评审方法，评标的依据为招标文件和投标文件。</w:t>
      </w:r>
    </w:p>
    <w:p w14:paraId="1C703E18">
      <w:pPr>
        <w:shd w:val="clear"/>
        <w:spacing w:line="360" w:lineRule="auto"/>
        <w:ind w:firstLine="482" w:firstLineChars="200"/>
        <w:outlineLvl w:val="2"/>
        <w:rPr>
          <w:rFonts w:ascii="宋体" w:hAnsi="宋体" w:cs="宋体"/>
          <w:b/>
          <w:bCs/>
          <w:color w:val="auto"/>
          <w:sz w:val="24"/>
          <w:szCs w:val="32"/>
          <w:highlight w:val="none"/>
        </w:rPr>
      </w:pPr>
      <w:bookmarkStart w:id="46" w:name="_Toc541057691"/>
      <w:bookmarkStart w:id="47" w:name="_Toc16776"/>
      <w:r>
        <w:rPr>
          <w:rFonts w:hint="eastAsia" w:ascii="宋体" w:hAnsi="宋体" w:cs="宋体"/>
          <w:b/>
          <w:bCs/>
          <w:color w:val="auto"/>
          <w:sz w:val="24"/>
          <w:szCs w:val="32"/>
          <w:highlight w:val="none"/>
        </w:rPr>
        <w:t>（一）组建评标委员会</w:t>
      </w:r>
      <w:bookmarkEnd w:id="46"/>
      <w:bookmarkEnd w:id="47"/>
    </w:p>
    <w:p w14:paraId="4091B15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08D21DCE">
      <w:pPr>
        <w:shd w:val="clear"/>
        <w:spacing w:line="360" w:lineRule="auto"/>
        <w:ind w:firstLine="482" w:firstLineChars="200"/>
        <w:outlineLvl w:val="2"/>
        <w:rPr>
          <w:rFonts w:ascii="宋体" w:hAnsi="宋体" w:cs="宋体"/>
          <w:b/>
          <w:bCs/>
          <w:color w:val="auto"/>
          <w:sz w:val="24"/>
          <w:szCs w:val="32"/>
          <w:highlight w:val="none"/>
        </w:rPr>
      </w:pPr>
      <w:bookmarkStart w:id="48" w:name="_Toc1110851239"/>
      <w:bookmarkStart w:id="49" w:name="_Toc14351"/>
      <w:r>
        <w:rPr>
          <w:rFonts w:hint="eastAsia" w:ascii="宋体" w:hAnsi="宋体" w:cs="宋体"/>
          <w:b/>
          <w:bCs/>
          <w:color w:val="auto"/>
          <w:sz w:val="24"/>
          <w:szCs w:val="32"/>
          <w:highlight w:val="none"/>
        </w:rPr>
        <w:t>（二）评标程序</w:t>
      </w:r>
      <w:bookmarkEnd w:id="48"/>
      <w:bookmarkEnd w:id="49"/>
    </w:p>
    <w:p w14:paraId="0A9767B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13A6B17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公开招标采购项目开标结束后，采购人或者采购组织机构应当依法对投标人的资格进行审查，对审查发现无效的进行必要的询标，结束后公布无效投标的投标人名单、投标无效的原因。</w:t>
      </w:r>
    </w:p>
    <w:p w14:paraId="2DA1B8D5">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272F5E6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4153EF0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170DD6A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（1）对于投标文件中含义不明确、同类问题表述不一致或者有明显文字和计算错误的内容，评标委员会应当以书面形式要求投标人作出必要的澄清、说明或者补正。</w:t>
      </w:r>
    </w:p>
    <w:p w14:paraId="3C4B0DF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14:paraId="518F950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（3）评标时，评标委员会各成员应当独立对每个投标人的投标文件进行评价，并汇总每个投标人的得分。</w:t>
      </w:r>
    </w:p>
    <w:p w14:paraId="143069F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0FD717F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（1）评标委员会对报价文件进行复核，对于系统计算出的价格分及总得分进行确认；</w:t>
      </w:r>
    </w:p>
    <w:p w14:paraId="6DBF7D0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（2）评标委员会应当按照招标文件中规定的评标方法和标准，对符合性审查合格的投标文件进行商务和技术评估，综合比较与评价。</w:t>
      </w:r>
    </w:p>
    <w:p w14:paraId="71A50EA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（3）评标委员会按评标原则及得分情况编写评审报告。</w:t>
      </w:r>
    </w:p>
    <w:p w14:paraId="5A9D44ED">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0F3E81B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采购组织机构对评标委员会评审专家进行评价。</w:t>
      </w:r>
    </w:p>
    <w:p w14:paraId="4EF61A3D">
      <w:pPr>
        <w:shd w:val="clear"/>
        <w:spacing w:line="360" w:lineRule="auto"/>
        <w:ind w:firstLine="482" w:firstLineChars="200"/>
        <w:outlineLvl w:val="2"/>
        <w:rPr>
          <w:rFonts w:ascii="宋体" w:hAnsi="宋体" w:cs="宋体"/>
          <w:b/>
          <w:bCs/>
          <w:color w:val="auto"/>
          <w:sz w:val="24"/>
          <w:szCs w:val="32"/>
          <w:highlight w:val="none"/>
        </w:rPr>
      </w:pPr>
      <w:bookmarkStart w:id="50" w:name="_Toc21685"/>
      <w:bookmarkStart w:id="51" w:name="_Toc2001430502"/>
      <w:r>
        <w:rPr>
          <w:rFonts w:hint="eastAsia" w:ascii="宋体" w:hAnsi="宋体" w:cs="宋体"/>
          <w:b/>
          <w:bCs/>
          <w:color w:val="auto"/>
          <w:sz w:val="24"/>
          <w:szCs w:val="32"/>
          <w:highlight w:val="none"/>
        </w:rPr>
        <w:t>（三）澄清问题的形式</w:t>
      </w:r>
      <w:bookmarkEnd w:id="50"/>
      <w:bookmarkEnd w:id="51"/>
    </w:p>
    <w:p w14:paraId="572F1B5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投标人的澄清、说明或者补正应当采用书面形式，并加盖公章或者由法定代理人或其授权的代表签字，并不得超出投标文件的范围或者改变投标文件的实质性内容。</w:t>
      </w:r>
    </w:p>
    <w:p w14:paraId="30153A80">
      <w:pPr>
        <w:shd w:val="clear"/>
        <w:spacing w:line="360" w:lineRule="auto"/>
        <w:ind w:firstLine="482" w:firstLineChars="200"/>
        <w:outlineLvl w:val="2"/>
        <w:rPr>
          <w:rFonts w:ascii="宋体" w:hAnsi="宋体" w:cs="宋体"/>
          <w:b/>
          <w:bCs/>
          <w:color w:val="auto"/>
          <w:sz w:val="24"/>
          <w:szCs w:val="32"/>
          <w:highlight w:val="none"/>
        </w:rPr>
      </w:pPr>
      <w:bookmarkStart w:id="52" w:name="_Toc2006084153"/>
      <w:bookmarkStart w:id="53" w:name="_Toc22787"/>
      <w:r>
        <w:rPr>
          <w:rFonts w:hint="eastAsia" w:ascii="宋体" w:hAnsi="宋体" w:cs="宋体"/>
          <w:b/>
          <w:bCs/>
          <w:color w:val="auto"/>
          <w:sz w:val="24"/>
          <w:szCs w:val="32"/>
          <w:highlight w:val="none"/>
        </w:rPr>
        <w:t>（四）错误修正</w:t>
      </w:r>
      <w:bookmarkEnd w:id="52"/>
      <w:bookmarkEnd w:id="53"/>
    </w:p>
    <w:p w14:paraId="1C01160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4A3405E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szCs w:val="32"/>
          <w:highlight w:val="none"/>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auto"/>
          <w:sz w:val="24"/>
          <w:highlight w:val="none"/>
        </w:rPr>
        <w:t>；</w:t>
      </w:r>
    </w:p>
    <w:p w14:paraId="237DD43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68E6368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31D70AB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2C2F0B3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2E683C44">
      <w:pPr>
        <w:shd w:val="clear"/>
        <w:spacing w:line="360" w:lineRule="auto"/>
        <w:ind w:firstLine="482" w:firstLineChars="200"/>
        <w:outlineLvl w:val="2"/>
        <w:rPr>
          <w:rFonts w:ascii="宋体" w:hAnsi="宋体" w:cs="宋体"/>
          <w:b/>
          <w:bCs/>
          <w:color w:val="auto"/>
          <w:sz w:val="24"/>
          <w:szCs w:val="32"/>
          <w:highlight w:val="none"/>
        </w:rPr>
      </w:pPr>
      <w:bookmarkStart w:id="54" w:name="_Toc27779"/>
      <w:bookmarkStart w:id="55" w:name="_Toc763101571"/>
      <w:r>
        <w:rPr>
          <w:rFonts w:hint="eastAsia" w:ascii="宋体" w:hAnsi="宋体" w:cs="宋体"/>
          <w:b/>
          <w:bCs/>
          <w:color w:val="auto"/>
          <w:sz w:val="24"/>
          <w:szCs w:val="32"/>
          <w:highlight w:val="none"/>
        </w:rPr>
        <w:t>（五）投标人存在下列情况之一的，投标无效</w:t>
      </w:r>
      <w:bookmarkEnd w:id="54"/>
      <w:bookmarkEnd w:id="55"/>
    </w:p>
    <w:p w14:paraId="744EEAE8">
      <w:pPr>
        <w:shd w:val="clear"/>
        <w:spacing w:line="360" w:lineRule="auto"/>
        <w:ind w:firstLine="480" w:firstLineChars="200"/>
        <w:rPr>
          <w:rFonts w:ascii="宋体" w:hAnsi="宋体" w:cs="宋体"/>
          <w:color w:val="auto"/>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14:paraId="01F0ECE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2.资格及商务技术文件跟报价文件出现混装或在</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highlight w:val="none"/>
        </w:rPr>
        <w:t>资格及商务技术文件</w:t>
      </w:r>
      <w:r>
        <w:rPr>
          <w:rFonts w:hint="eastAsia" w:ascii="宋体" w:hAnsi="宋体" w:cs="宋体"/>
          <w:color w:val="auto"/>
          <w:sz w:val="24"/>
          <w:szCs w:val="32"/>
          <w:highlight w:val="none"/>
        </w:rPr>
        <w:t>中的投标货物出现重大偏差的；</w:t>
      </w:r>
    </w:p>
    <w:p w14:paraId="3F88FF4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0A9C424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3B5A4EF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53AF08E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65CE9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54017FCE">
      <w:pPr>
        <w:shd w:val="clear"/>
        <w:spacing w:line="360" w:lineRule="auto"/>
        <w:ind w:firstLine="480" w:firstLineChars="200"/>
        <w:rPr>
          <w:color w:val="auto"/>
          <w:highlight w:val="none"/>
        </w:rPr>
      </w:pPr>
      <w:r>
        <w:rPr>
          <w:rFonts w:hint="eastAsia" w:ascii="宋体" w:hAnsi="宋体" w:cs="宋体"/>
          <w:color w:val="auto"/>
          <w:sz w:val="24"/>
          <w:szCs w:val="32"/>
          <w:highlight w:val="none"/>
        </w:rPr>
        <w:t>8</w:t>
      </w:r>
      <w:bookmarkStart w:id="56" w:name="_Hlk37146609"/>
      <w:r>
        <w:rPr>
          <w:rFonts w:hint="eastAsia" w:ascii="宋体" w:hAnsi="宋体" w:cs="宋体"/>
          <w:color w:val="auto"/>
          <w:sz w:val="24"/>
          <w:szCs w:val="32"/>
          <w:highlight w:val="none"/>
        </w:rPr>
        <w:t>.</w:t>
      </w:r>
      <w:bookmarkEnd w:id="56"/>
      <w:r>
        <w:rPr>
          <w:rFonts w:hint="eastAsia" w:ascii="宋体" w:hAnsi="宋体" w:cs="宋体"/>
          <w:color w:val="auto"/>
          <w:sz w:val="24"/>
          <w:szCs w:val="32"/>
          <w:highlight w:val="none"/>
          <w:lang w:val="en-US" w:eastAsia="zh-CN"/>
        </w:rPr>
        <w:t>承诺质保期低于3年的。</w:t>
      </w:r>
    </w:p>
    <w:p w14:paraId="69DC435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.投标参数未如实填写，完全复制粘贴招标参数的。</w:t>
      </w:r>
    </w:p>
    <w:p w14:paraId="4423993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rPr>
        <w:t>.投标文件提供虚假材料的。</w:t>
      </w:r>
    </w:p>
    <w:p w14:paraId="6A52320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.不符合中华人民共和国财政部令第87号《政府采购货物和服务招标投标管理办法》第三十七条情形之一的，视为投标人串通投标，其投标无效，并移送采购监管部门：</w:t>
      </w:r>
    </w:p>
    <w:p w14:paraId="417BC31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w:t>
      </w:r>
    </w:p>
    <w:p w14:paraId="6FF4C08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0C4E6F5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7848E4E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3592E6D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64A5F34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.不符合法律、法规和招标文件中规定的其他实质性要求的（招标文件</w:t>
      </w:r>
    </w:p>
    <w:p w14:paraId="08FB7BC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中打“▲”内容及被拒绝的条款）。</w:t>
      </w:r>
    </w:p>
    <w:p w14:paraId="7B31790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14:paraId="7F02A040">
      <w:pPr>
        <w:shd w:val="clear"/>
        <w:spacing w:line="360" w:lineRule="auto"/>
        <w:ind w:firstLine="482" w:firstLineChars="200"/>
        <w:outlineLvl w:val="2"/>
        <w:rPr>
          <w:rFonts w:ascii="宋体" w:hAnsi="宋体" w:cs="宋体"/>
          <w:b/>
          <w:bCs/>
          <w:color w:val="auto"/>
          <w:sz w:val="24"/>
          <w:szCs w:val="32"/>
          <w:highlight w:val="none"/>
        </w:rPr>
      </w:pPr>
      <w:bookmarkStart w:id="57" w:name="_Toc822"/>
      <w:bookmarkStart w:id="58" w:name="_Toc675763913"/>
      <w:r>
        <w:rPr>
          <w:rFonts w:hint="eastAsia" w:ascii="宋体" w:hAnsi="宋体" w:cs="宋体"/>
          <w:b/>
          <w:bCs/>
          <w:color w:val="auto"/>
          <w:sz w:val="24"/>
          <w:szCs w:val="32"/>
          <w:highlight w:val="none"/>
        </w:rPr>
        <w:t>（六）有下列情况之一的，本次招标作为废标处理</w:t>
      </w:r>
      <w:bookmarkEnd w:id="57"/>
      <w:bookmarkEnd w:id="58"/>
    </w:p>
    <w:p w14:paraId="5B4ED10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1.出现影响采购公正的违法、违规行为的；</w:t>
      </w:r>
    </w:p>
    <w:p w14:paraId="2BA873C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2.评标委员会发现招标文件存在歧义、重大缺陷导致评标工作无法进行，或者招标文件内容违反国家有关强制性规定的； </w:t>
      </w:r>
    </w:p>
    <w:p w14:paraId="454CE47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3.因重大变故，采购任务取消的；</w:t>
      </w:r>
    </w:p>
    <w:p w14:paraId="5EDC645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4.法律、法规和招标文件规定的其他导致评标结果无效的。</w:t>
      </w:r>
    </w:p>
    <w:p w14:paraId="71336C3F">
      <w:pPr>
        <w:shd w:val="clear"/>
        <w:spacing w:line="360" w:lineRule="auto"/>
        <w:ind w:firstLine="482" w:firstLineChars="200"/>
        <w:outlineLvl w:val="2"/>
        <w:rPr>
          <w:rFonts w:ascii="宋体" w:hAnsi="宋体" w:cs="宋体"/>
          <w:b/>
          <w:bCs/>
          <w:color w:val="auto"/>
          <w:sz w:val="24"/>
          <w:szCs w:val="32"/>
          <w:highlight w:val="none"/>
        </w:rPr>
      </w:pPr>
      <w:bookmarkStart w:id="59" w:name="_Toc29751"/>
      <w:bookmarkStart w:id="60" w:name="_Toc1670560455"/>
      <w:r>
        <w:rPr>
          <w:rFonts w:hint="eastAsia" w:ascii="宋体" w:hAnsi="宋体" w:cs="宋体"/>
          <w:b/>
          <w:bCs/>
          <w:color w:val="auto"/>
          <w:sz w:val="24"/>
          <w:szCs w:val="32"/>
          <w:highlight w:val="none"/>
        </w:rPr>
        <w:t>（七）评标原则和评标办法</w:t>
      </w:r>
      <w:bookmarkEnd w:id="59"/>
      <w:bookmarkEnd w:id="60"/>
    </w:p>
    <w:p w14:paraId="4D3E2D6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DC2DF3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2.评标办法。具体评标内容及评分标准等详见《第三章：评标方法及评分标准》。</w:t>
      </w:r>
    </w:p>
    <w:p w14:paraId="6F0DE13F">
      <w:pPr>
        <w:shd w:val="clear"/>
        <w:spacing w:line="360" w:lineRule="auto"/>
        <w:ind w:firstLine="482" w:firstLineChars="200"/>
        <w:outlineLvl w:val="2"/>
        <w:rPr>
          <w:rFonts w:ascii="宋体" w:hAnsi="宋体" w:cs="宋体"/>
          <w:b/>
          <w:bCs/>
          <w:color w:val="auto"/>
          <w:sz w:val="24"/>
          <w:szCs w:val="32"/>
          <w:highlight w:val="none"/>
        </w:rPr>
      </w:pPr>
      <w:bookmarkStart w:id="61" w:name="_Toc18394"/>
      <w:bookmarkStart w:id="62" w:name="_Toc908366307"/>
      <w:r>
        <w:rPr>
          <w:rFonts w:hint="eastAsia" w:ascii="宋体" w:hAnsi="宋体" w:cs="宋体"/>
          <w:b/>
          <w:bCs/>
          <w:color w:val="auto"/>
          <w:sz w:val="24"/>
          <w:szCs w:val="32"/>
          <w:highlight w:val="none"/>
        </w:rPr>
        <w:t>（八）评标过程的监控</w:t>
      </w:r>
      <w:bookmarkEnd w:id="61"/>
      <w:bookmarkEnd w:id="62"/>
    </w:p>
    <w:p w14:paraId="76D4846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本项目评标过程实行全程录音、录像监控，政府采购监管部门视情进行现场监督，投标人在评标过程中所进行的试图影响评标结果的不公正活动，可能导致其投标被拒绝。</w:t>
      </w:r>
    </w:p>
    <w:p w14:paraId="118CACBE">
      <w:pPr>
        <w:shd w:val="clear"/>
        <w:spacing w:line="360" w:lineRule="auto"/>
        <w:ind w:firstLine="482" w:firstLineChars="200"/>
        <w:outlineLvl w:val="1"/>
        <w:rPr>
          <w:rFonts w:ascii="宋体" w:hAnsi="宋体" w:cs="宋体"/>
          <w:b/>
          <w:bCs/>
          <w:color w:val="auto"/>
          <w:sz w:val="24"/>
          <w:szCs w:val="32"/>
          <w:highlight w:val="none"/>
        </w:rPr>
      </w:pPr>
      <w:bookmarkStart w:id="63" w:name="_Toc18224"/>
      <w:bookmarkStart w:id="64" w:name="_Toc451275226"/>
      <w:r>
        <w:rPr>
          <w:rFonts w:hint="eastAsia" w:ascii="宋体" w:hAnsi="宋体" w:cs="宋体"/>
          <w:b/>
          <w:bCs/>
          <w:color w:val="auto"/>
          <w:sz w:val="24"/>
          <w:szCs w:val="32"/>
          <w:highlight w:val="none"/>
        </w:rPr>
        <w:t>六、定标</w:t>
      </w:r>
      <w:bookmarkEnd w:id="63"/>
      <w:bookmarkEnd w:id="64"/>
    </w:p>
    <w:p w14:paraId="307D12E1">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确定中标人。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31A716B4">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发布中标结果公告。中标结果将自中标人确定之日起2个工作日内在省级以上财政部门指定的媒体及相关网站公告。如发现中标人资格无效或其放弃中标资格，则按本次评标供应商得分排序结果依次替补或重新组织。</w:t>
      </w:r>
    </w:p>
    <w:p w14:paraId="0396C348">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34548377">
      <w:pPr>
        <w:pStyle w:val="22"/>
        <w:shd w:val="clear"/>
        <w:spacing w:before="0" w:beforeAutospacing="0" w:after="0" w:afterAutospacing="0" w:line="360" w:lineRule="auto"/>
        <w:ind w:firstLine="480" w:firstLineChars="200"/>
        <w:jc w:val="both"/>
        <w:rPr>
          <w:rFonts w:cs="宋体"/>
          <w:color w:val="auto"/>
          <w:highlight w:val="none"/>
        </w:rPr>
      </w:pPr>
      <w:r>
        <w:rPr>
          <w:rFonts w:hint="eastAsia" w:cs="宋体"/>
          <w:color w:val="auto"/>
          <w:highlight w:val="none"/>
        </w:rPr>
        <w:t>4.中标人在中标公告发出5日内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427C311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color w:val="auto"/>
          <w:sz w:val="24"/>
          <w:szCs w:val="24"/>
          <w:highlight w:val="none"/>
        </w:rPr>
      </w:pPr>
      <w:r>
        <w:rPr>
          <w:rFonts w:hint="eastAsia" w:ascii="宋体" w:hAnsi="宋体" w:cs="宋体"/>
          <w:color w:val="auto"/>
          <w:sz w:val="24"/>
          <w:highlight w:val="none"/>
        </w:rPr>
        <w:t>5.招标代理费：</w:t>
      </w:r>
      <w:r>
        <w:rPr>
          <w:rFonts w:hint="eastAsia" w:ascii="宋体" w:hAnsi="宋体" w:eastAsia="宋体" w:cs="宋体"/>
          <w:color w:val="auto"/>
          <w:sz w:val="24"/>
          <w:szCs w:val="24"/>
          <w:highlight w:val="none"/>
        </w:rPr>
        <w:t>招标代理服务收费采用差额定率累进计费方式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收费标准</w:t>
      </w:r>
      <w:r>
        <w:rPr>
          <w:rFonts w:hint="eastAsia" w:ascii="宋体" w:hAnsi="宋体" w:eastAsia="宋体" w:cs="宋体"/>
          <w:color w:val="auto"/>
          <w:sz w:val="24"/>
          <w:szCs w:val="24"/>
          <w:highlight w:val="none"/>
          <w:lang w:val="en-US" w:eastAsia="zh-CN"/>
        </w:rPr>
        <w:t>根据中标金额</w:t>
      </w:r>
      <w:r>
        <w:rPr>
          <w:rFonts w:hint="eastAsia" w:ascii="宋体" w:hAnsi="宋体" w:eastAsia="宋体" w:cs="宋体"/>
          <w:color w:val="auto"/>
          <w:sz w:val="24"/>
          <w:szCs w:val="24"/>
          <w:highlight w:val="none"/>
        </w:rPr>
        <w:t>按照下列表格中</w:t>
      </w:r>
      <w:r>
        <w:rPr>
          <w:rFonts w:hint="eastAsia" w:ascii="宋体" w:hAnsi="宋体" w:eastAsia="宋体" w:cs="宋体"/>
          <w:b/>
          <w:bCs/>
          <w:color w:val="auto"/>
          <w:sz w:val="24"/>
          <w:szCs w:val="24"/>
          <w:highlight w:val="none"/>
          <w:u w:val="single"/>
        </w:rPr>
        <w:t>货物招标</w:t>
      </w:r>
      <w:r>
        <w:rPr>
          <w:rFonts w:hint="eastAsia" w:ascii="宋体" w:hAnsi="宋体" w:eastAsia="宋体" w:cs="宋体"/>
          <w:color w:val="auto"/>
          <w:sz w:val="24"/>
          <w:szCs w:val="24"/>
          <w:highlight w:val="none"/>
        </w:rPr>
        <w:t>类别</w:t>
      </w:r>
      <w:r>
        <w:rPr>
          <w:rFonts w:hint="eastAsia" w:ascii="宋体" w:hAnsi="宋体" w:eastAsia="宋体" w:cs="宋体"/>
          <w:color w:val="auto"/>
          <w:sz w:val="24"/>
          <w:szCs w:val="24"/>
          <w:highlight w:val="none"/>
          <w:lang w:val="en-US" w:eastAsia="zh-CN"/>
        </w:rPr>
        <w:t>费率的39.8%计算，</w:t>
      </w:r>
      <w:r>
        <w:rPr>
          <w:rFonts w:hint="eastAsia" w:ascii="宋体" w:hAnsi="宋体" w:eastAsia="宋体" w:cs="宋体"/>
          <w:color w:val="auto"/>
          <w:sz w:val="24"/>
          <w:szCs w:val="24"/>
          <w:highlight w:val="none"/>
        </w:rPr>
        <w:t>向中标单位收取招标代理费，该费用中标人须在中标公告发出5日内一次性付清。（户名：浙江五石中正工程咨询有限公司台州分公司</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开户行：浙江泰隆商业银行营业部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账号：99990000201000003135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行号：313345010221）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财务联系电话：0571-88271625。</w:t>
      </w:r>
    </w:p>
    <w:tbl>
      <w:tblPr>
        <w:tblStyle w:val="26"/>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14:paraId="18B9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773D80AC">
            <w:pPr>
              <w:shd w:val="clear"/>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vAlign w:val="center"/>
          </w:tcPr>
          <w:p w14:paraId="2CEB6B96">
            <w:pPr>
              <w:shd w:val="clear"/>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vAlign w:val="center"/>
          </w:tcPr>
          <w:p w14:paraId="36EC54F6">
            <w:pPr>
              <w:shd w:val="clear"/>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vAlign w:val="center"/>
          </w:tcPr>
          <w:p w14:paraId="4F16180F">
            <w:pPr>
              <w:shd w:val="clear"/>
              <w:jc w:val="center"/>
              <w:rPr>
                <w:rFonts w:ascii="宋体" w:hAnsi="宋体" w:cs="宋体"/>
                <w:color w:val="auto"/>
                <w:sz w:val="24"/>
                <w:highlight w:val="none"/>
              </w:rPr>
            </w:pPr>
            <w:r>
              <w:rPr>
                <w:rFonts w:hint="eastAsia" w:ascii="宋体" w:hAnsi="宋体" w:cs="宋体"/>
                <w:color w:val="auto"/>
                <w:sz w:val="24"/>
                <w:highlight w:val="none"/>
              </w:rPr>
              <w:t>工程招标</w:t>
            </w:r>
          </w:p>
        </w:tc>
      </w:tr>
      <w:tr w14:paraId="7DA8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1D838AD2">
            <w:pPr>
              <w:shd w:val="clea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vAlign w:val="center"/>
          </w:tcPr>
          <w:p w14:paraId="615F5DFA">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vAlign w:val="center"/>
          </w:tcPr>
          <w:p w14:paraId="772E085D">
            <w:pPr>
              <w:shd w:val="clear"/>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vAlign w:val="center"/>
          </w:tcPr>
          <w:p w14:paraId="3774790A">
            <w:pPr>
              <w:shd w:val="clear"/>
              <w:jc w:val="center"/>
              <w:rPr>
                <w:rFonts w:ascii="宋体" w:hAnsi="宋体" w:cs="宋体"/>
                <w:color w:val="auto"/>
                <w:sz w:val="24"/>
                <w:highlight w:val="none"/>
              </w:rPr>
            </w:pPr>
            <w:r>
              <w:rPr>
                <w:rFonts w:hint="eastAsia" w:ascii="宋体" w:hAnsi="宋体" w:cs="宋体"/>
                <w:color w:val="auto"/>
                <w:sz w:val="24"/>
                <w:highlight w:val="none"/>
              </w:rPr>
              <w:t>1.00%</w:t>
            </w:r>
          </w:p>
        </w:tc>
      </w:tr>
      <w:tr w14:paraId="546B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763EC4AC">
            <w:pPr>
              <w:shd w:val="clea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vAlign w:val="center"/>
          </w:tcPr>
          <w:p w14:paraId="0FFDD1B0">
            <w:pPr>
              <w:shd w:val="clear"/>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vAlign w:val="center"/>
          </w:tcPr>
          <w:p w14:paraId="1ADAB624">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vAlign w:val="center"/>
          </w:tcPr>
          <w:p w14:paraId="34DDE593">
            <w:pPr>
              <w:shd w:val="clear"/>
              <w:jc w:val="center"/>
              <w:rPr>
                <w:rFonts w:ascii="宋体" w:hAnsi="宋体" w:cs="宋体"/>
                <w:color w:val="auto"/>
                <w:sz w:val="24"/>
                <w:highlight w:val="none"/>
              </w:rPr>
            </w:pPr>
            <w:r>
              <w:rPr>
                <w:rFonts w:hint="eastAsia" w:ascii="宋体" w:hAnsi="宋体" w:cs="宋体"/>
                <w:color w:val="auto"/>
                <w:sz w:val="24"/>
                <w:highlight w:val="none"/>
              </w:rPr>
              <w:t>0.70%</w:t>
            </w:r>
          </w:p>
        </w:tc>
      </w:tr>
      <w:tr w14:paraId="72C5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14:paraId="0CFBF1A2">
            <w:pPr>
              <w:shd w:val="clear"/>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vAlign w:val="center"/>
          </w:tcPr>
          <w:p w14:paraId="69B2D848">
            <w:pPr>
              <w:shd w:val="clear"/>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vAlign w:val="center"/>
          </w:tcPr>
          <w:p w14:paraId="32040842">
            <w:pPr>
              <w:shd w:val="clear"/>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vAlign w:val="center"/>
          </w:tcPr>
          <w:p w14:paraId="35EF8D98">
            <w:pPr>
              <w:shd w:val="clear"/>
              <w:jc w:val="center"/>
              <w:rPr>
                <w:rFonts w:ascii="宋体" w:hAnsi="宋体" w:cs="宋体"/>
                <w:color w:val="auto"/>
                <w:sz w:val="24"/>
                <w:highlight w:val="none"/>
              </w:rPr>
            </w:pPr>
            <w:r>
              <w:rPr>
                <w:rFonts w:hint="eastAsia" w:ascii="宋体" w:hAnsi="宋体" w:cs="宋体"/>
                <w:color w:val="auto"/>
                <w:sz w:val="24"/>
                <w:highlight w:val="none"/>
              </w:rPr>
              <w:t>0.55%</w:t>
            </w:r>
          </w:p>
        </w:tc>
      </w:tr>
      <w:tr w14:paraId="4F97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40923DE7">
            <w:pPr>
              <w:shd w:val="clear"/>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vAlign w:val="center"/>
          </w:tcPr>
          <w:p w14:paraId="4F8E9A09">
            <w:pPr>
              <w:shd w:val="clear"/>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vAlign w:val="center"/>
          </w:tcPr>
          <w:p w14:paraId="027DA109">
            <w:pPr>
              <w:shd w:val="clear"/>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vAlign w:val="center"/>
          </w:tcPr>
          <w:p w14:paraId="72858540">
            <w:pPr>
              <w:shd w:val="clear"/>
              <w:jc w:val="center"/>
              <w:rPr>
                <w:rFonts w:ascii="宋体" w:hAnsi="宋体" w:cs="宋体"/>
                <w:color w:val="auto"/>
                <w:sz w:val="24"/>
                <w:highlight w:val="none"/>
              </w:rPr>
            </w:pPr>
            <w:r>
              <w:rPr>
                <w:rFonts w:hint="eastAsia" w:ascii="宋体" w:hAnsi="宋体" w:cs="宋体"/>
                <w:color w:val="auto"/>
                <w:sz w:val="24"/>
                <w:highlight w:val="none"/>
              </w:rPr>
              <w:t>0.35%</w:t>
            </w:r>
          </w:p>
        </w:tc>
      </w:tr>
    </w:tbl>
    <w:p w14:paraId="70DA0267">
      <w:pPr>
        <w:shd w:val="clear"/>
        <w:spacing w:line="360" w:lineRule="auto"/>
        <w:ind w:firstLine="482" w:firstLineChars="200"/>
        <w:outlineLvl w:val="1"/>
        <w:rPr>
          <w:rFonts w:ascii="宋体" w:hAnsi="宋体" w:cs="宋体"/>
          <w:b/>
          <w:bCs/>
          <w:color w:val="auto"/>
          <w:sz w:val="24"/>
          <w:szCs w:val="32"/>
          <w:highlight w:val="none"/>
        </w:rPr>
      </w:pPr>
      <w:bookmarkStart w:id="65" w:name="_Toc20450"/>
      <w:bookmarkStart w:id="66" w:name="_Toc1817965825"/>
      <w:r>
        <w:rPr>
          <w:rFonts w:hint="eastAsia" w:ascii="宋体" w:hAnsi="宋体" w:cs="宋体"/>
          <w:b/>
          <w:bCs/>
          <w:color w:val="auto"/>
          <w:sz w:val="24"/>
          <w:szCs w:val="32"/>
          <w:highlight w:val="none"/>
        </w:rPr>
        <w:t>七、合同签订及公告</w:t>
      </w:r>
      <w:bookmarkEnd w:id="65"/>
      <w:bookmarkEnd w:id="66"/>
    </w:p>
    <w:p w14:paraId="59CB658A">
      <w:pPr>
        <w:shd w:val="clear"/>
        <w:spacing w:line="360" w:lineRule="auto"/>
        <w:ind w:firstLine="482" w:firstLineChars="200"/>
        <w:outlineLvl w:val="2"/>
        <w:rPr>
          <w:rFonts w:ascii="宋体" w:hAnsi="宋体" w:cs="宋体"/>
          <w:b/>
          <w:bCs/>
          <w:color w:val="auto"/>
          <w:sz w:val="24"/>
          <w:szCs w:val="32"/>
          <w:highlight w:val="none"/>
        </w:rPr>
      </w:pPr>
      <w:bookmarkStart w:id="67" w:name="_Toc350"/>
      <w:bookmarkStart w:id="68" w:name="_Toc154291259"/>
      <w:r>
        <w:rPr>
          <w:rFonts w:hint="eastAsia" w:ascii="宋体" w:hAnsi="宋体" w:cs="宋体"/>
          <w:b/>
          <w:bCs/>
          <w:color w:val="auto"/>
          <w:sz w:val="24"/>
          <w:szCs w:val="32"/>
          <w:highlight w:val="none"/>
        </w:rPr>
        <w:t>（一）签订合同</w:t>
      </w:r>
      <w:bookmarkEnd w:id="67"/>
      <w:bookmarkEnd w:id="68"/>
    </w:p>
    <w:p w14:paraId="16A3414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1.采购人应当自中标通知书发出之日起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日内，按照招标文件和中标人投标文件的规定，与中标人签订书面合同。所签订的合同不得对招标文件确定的事项和中标人投标文件作实质性修改。</w:t>
      </w:r>
    </w:p>
    <w:p w14:paraId="3C5C041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2.采购人不得向中标人提出任何不合理的要求作为签订合同的条件。</w:t>
      </w:r>
    </w:p>
    <w:p w14:paraId="1981AA0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3.中标人无故拖延、拒签合同的,取消中标资格。</w:t>
      </w:r>
    </w:p>
    <w:p w14:paraId="5A70C77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5464F87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5.询问或者质疑事项可能影响中标结果的，采购人应当暂停签订合同，已经签订合同的，应当中止履行合同（中标结果的质疑期为中标结果公告期限届满之日起七个工作日）。</w:t>
      </w:r>
    </w:p>
    <w:p w14:paraId="0B0BE226">
      <w:pPr>
        <w:shd w:val="clear"/>
        <w:spacing w:line="360" w:lineRule="auto"/>
        <w:ind w:firstLine="482" w:firstLineChars="200"/>
        <w:outlineLvl w:val="2"/>
        <w:rPr>
          <w:rFonts w:ascii="宋体" w:hAnsi="宋体" w:cs="宋体"/>
          <w:b/>
          <w:bCs/>
          <w:color w:val="auto"/>
          <w:sz w:val="24"/>
          <w:szCs w:val="32"/>
          <w:highlight w:val="none"/>
        </w:rPr>
      </w:pPr>
      <w:bookmarkStart w:id="69" w:name="_Toc11039"/>
      <w:bookmarkStart w:id="70" w:name="_Toc1160428084"/>
      <w:r>
        <w:rPr>
          <w:rFonts w:hint="eastAsia" w:ascii="宋体" w:hAnsi="宋体" w:cs="宋体"/>
          <w:b/>
          <w:bCs/>
          <w:color w:val="auto"/>
          <w:sz w:val="24"/>
          <w:szCs w:val="32"/>
          <w:highlight w:val="none"/>
        </w:rPr>
        <w:t>（二）合同公告及备案</w:t>
      </w:r>
      <w:bookmarkEnd w:id="69"/>
      <w:bookmarkEnd w:id="70"/>
    </w:p>
    <w:p w14:paraId="3C8B2AC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1.采购人应当自政府采购合同签订之日起2个工作日内，在省级以上财政部门指定的政府采购信息发布媒体及相关网站上公告。</w:t>
      </w:r>
    </w:p>
    <w:p w14:paraId="00B5DFA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2.采购人应当自政府采购合同签订之日起7个工作日内，将政府采购合同副本报同级人民政府财政部门备案以及采购组织机构存档。</w:t>
      </w:r>
    </w:p>
    <w:p w14:paraId="3F8F20D8">
      <w:pPr>
        <w:shd w:val="clear"/>
        <w:rPr>
          <w:rFonts w:hint="eastAsia" w:ascii="宋体" w:hAnsi="宋体" w:cs="宋体"/>
          <w:b/>
          <w:bCs/>
          <w:color w:val="auto"/>
          <w:sz w:val="36"/>
          <w:szCs w:val="44"/>
          <w:highlight w:val="none"/>
        </w:rPr>
      </w:pPr>
      <w:bookmarkStart w:id="71" w:name="_Toc20587"/>
      <w:bookmarkStart w:id="72" w:name="_Toc2015809381"/>
      <w:bookmarkStart w:id="73" w:name="_Toc14362"/>
      <w:r>
        <w:rPr>
          <w:rFonts w:hint="eastAsia" w:ascii="宋体" w:hAnsi="宋体" w:cs="宋体"/>
          <w:b/>
          <w:bCs/>
          <w:color w:val="auto"/>
          <w:sz w:val="36"/>
          <w:szCs w:val="44"/>
          <w:highlight w:val="none"/>
        </w:rPr>
        <w:br w:type="page"/>
      </w:r>
    </w:p>
    <w:p w14:paraId="58519133">
      <w:pPr>
        <w:shd w:val="clear"/>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bookmarkEnd w:id="71"/>
      <w:bookmarkEnd w:id="72"/>
      <w:bookmarkEnd w:id="73"/>
    </w:p>
    <w:p w14:paraId="7C88796F">
      <w:pPr>
        <w:shd w:val="clear"/>
        <w:autoSpaceDE w:val="0"/>
        <w:autoSpaceDN w:val="0"/>
        <w:spacing w:line="360" w:lineRule="auto"/>
        <w:ind w:firstLine="480" w:firstLineChars="200"/>
        <w:rPr>
          <w:rFonts w:ascii="宋体" w:hAnsi="宋体" w:cs="宋体"/>
          <w:b/>
          <w:i/>
          <w:color w:val="auto"/>
          <w:kern w:val="0"/>
          <w:sz w:val="24"/>
          <w:highlight w:val="none"/>
        </w:rPr>
      </w:pPr>
      <w:r>
        <w:rPr>
          <w:rFonts w:hint="eastAsia" w:ascii="宋体" w:hAnsi="宋体" w:cs="宋体"/>
          <w:color w:val="auto"/>
          <w:kern w:val="0"/>
          <w:sz w:val="24"/>
          <w:highlight w:val="none"/>
        </w:rPr>
        <w:t>一、采购组织机构将组织评标委员会，对投标人提供的投标文件进行综合评审。</w:t>
      </w:r>
    </w:p>
    <w:p w14:paraId="54E101A6">
      <w:pPr>
        <w:shd w:val="clea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二、本次招标项目的评标方法为综合评分法，总计100分，其中资格及</w:t>
      </w:r>
      <w:r>
        <w:rPr>
          <w:rFonts w:hint="eastAsia" w:ascii="宋体" w:hAnsi="宋体" w:cs="宋体"/>
          <w:bCs/>
          <w:color w:val="auto"/>
          <w:sz w:val="24"/>
          <w:highlight w:val="none"/>
          <w:lang w:val="zh-CN"/>
        </w:rPr>
        <w:t>商务技术文件分值</w:t>
      </w:r>
      <w:r>
        <w:rPr>
          <w:rFonts w:hint="default" w:ascii="宋体" w:hAnsi="宋体" w:cs="宋体"/>
          <w:bCs/>
          <w:color w:val="auto"/>
          <w:sz w:val="24"/>
          <w:highlight w:val="none"/>
        </w:rPr>
        <w:t>70</w:t>
      </w:r>
      <w:r>
        <w:rPr>
          <w:rFonts w:hint="eastAsia" w:ascii="宋体" w:hAnsi="宋体" w:cs="宋体"/>
          <w:bCs/>
          <w:color w:val="auto"/>
          <w:sz w:val="24"/>
          <w:highlight w:val="none"/>
          <w:lang w:val="zh-CN"/>
        </w:rPr>
        <w:t>分，投标报价分值</w:t>
      </w:r>
      <w:r>
        <w:rPr>
          <w:rFonts w:hint="default" w:ascii="宋体" w:hAnsi="宋体" w:cs="宋体"/>
          <w:bCs/>
          <w:color w:val="auto"/>
          <w:sz w:val="24"/>
          <w:highlight w:val="none"/>
        </w:rPr>
        <w:t>30</w:t>
      </w:r>
      <w:r>
        <w:rPr>
          <w:rFonts w:hint="eastAsia" w:ascii="宋体" w:hAnsi="宋体" w:cs="宋体"/>
          <w:bCs/>
          <w:color w:val="auto"/>
          <w:sz w:val="24"/>
          <w:highlight w:val="none"/>
          <w:lang w:val="zh-CN"/>
        </w:rPr>
        <w:t>分</w:t>
      </w:r>
      <w:r>
        <w:rPr>
          <w:rFonts w:hint="eastAsia" w:ascii="宋体" w:hAnsi="宋体" w:cs="宋体"/>
          <w:color w:val="auto"/>
          <w:sz w:val="24"/>
          <w:highlight w:val="none"/>
        </w:rPr>
        <w:t>。评标标准按评分细化条款及分值进行评审。</w:t>
      </w:r>
    </w:p>
    <w:p w14:paraId="42689DDB">
      <w:pPr>
        <w:shd w:val="clear"/>
        <w:autoSpaceDE w:val="0"/>
        <w:autoSpaceDN w:val="0"/>
        <w:adjustRightInd w:val="0"/>
        <w:spacing w:line="360" w:lineRule="auto"/>
        <w:ind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商务技术文件中的客观分由评标委员会讨论后统一打分；其余在规定的分值内单独评定打分</w:t>
      </w:r>
      <w:r>
        <w:rPr>
          <w:rFonts w:hint="eastAsia" w:ascii="宋体" w:hAnsi="宋体" w:cs="宋体"/>
          <w:color w:val="auto"/>
          <w:sz w:val="24"/>
          <w:highlight w:val="none"/>
        </w:rPr>
        <w:t>（小数点后保留1位）</w:t>
      </w:r>
      <w:r>
        <w:rPr>
          <w:rFonts w:hint="eastAsia" w:ascii="宋体" w:hAnsi="宋体" w:cs="宋体"/>
          <w:bCs/>
          <w:color w:val="auto"/>
          <w:sz w:val="24"/>
          <w:highlight w:val="none"/>
          <w:lang w:val="zh-CN"/>
        </w:rPr>
        <w:t>。</w:t>
      </w:r>
    </w:p>
    <w:p w14:paraId="4DA49EB5">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w:t>
      </w: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w:t>
      </w:r>
      <w:r>
        <w:rPr>
          <w:rFonts w:hint="eastAsia" w:ascii="宋体" w:hAnsi="宋体" w:cs="宋体"/>
          <w:color w:val="auto"/>
          <w:sz w:val="24"/>
          <w:highlight w:val="none"/>
        </w:rPr>
        <w:t>（小数点后保留2位）</w:t>
      </w:r>
      <w:r>
        <w:rPr>
          <w:rFonts w:hint="eastAsia" w:ascii="宋体" w:hAnsi="宋体" w:cs="宋体"/>
          <w:bCs/>
          <w:color w:val="auto"/>
          <w:sz w:val="24"/>
          <w:highlight w:val="none"/>
          <w:lang w:val="zh-CN"/>
        </w:rPr>
        <w:t>，计算公式为：</w:t>
      </w:r>
    </w:p>
    <w:p w14:paraId="3A7753A7">
      <w:pPr>
        <w:shd w:val="clear"/>
        <w:autoSpaceDE w:val="0"/>
        <w:autoSpaceDN w:val="0"/>
        <w:adjustRightInd w:val="0"/>
        <w:spacing w:line="360" w:lineRule="auto"/>
        <w:ind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w:t>
      </w:r>
      <w:r>
        <w:rPr>
          <w:rFonts w:hint="eastAsia" w:ascii="宋体" w:hAnsi="宋体" w:cs="宋体"/>
          <w:bCs/>
          <w:color w:val="auto"/>
          <w:sz w:val="24"/>
          <w:highlight w:val="none"/>
          <w:lang w:val="zh-CN"/>
        </w:rPr>
        <w:t>=评标委员会所有成员评分合计数/评标委员会组成人员数。</w:t>
      </w:r>
    </w:p>
    <w:p w14:paraId="2764C430">
      <w:pPr>
        <w:shd w:val="clea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w:t>
      </w:r>
      <w:r>
        <w:rPr>
          <w:rFonts w:hint="eastAsia" w:ascii="宋体" w:hAnsi="宋体" w:cs="宋体"/>
          <w:color w:val="auto"/>
          <w:sz w:val="24"/>
          <w:highlight w:val="none"/>
          <w:lang w:val="zh-CN"/>
        </w:rPr>
        <w:t>投标报价得分采用低价优先法计算</w:t>
      </w:r>
      <w:r>
        <w:rPr>
          <w:rFonts w:hint="eastAsia" w:ascii="宋体" w:hAnsi="宋体" w:cs="宋体"/>
          <w:color w:val="auto"/>
          <w:sz w:val="24"/>
          <w:highlight w:val="none"/>
        </w:rPr>
        <w:t>（小数点后保留2位）</w:t>
      </w:r>
      <w:r>
        <w:rPr>
          <w:rFonts w:hint="eastAsia" w:ascii="宋体" w:hAnsi="宋体" w:cs="宋体"/>
          <w:color w:val="auto"/>
          <w:sz w:val="24"/>
          <w:highlight w:val="none"/>
          <w:lang w:val="zh-CN"/>
        </w:rPr>
        <w:t>，即满足招标文件要求且投标价格最低的投标报价为评标基准价，其报价得满分。其他投标人的投标报价得分按下列公式计算：</w:t>
      </w:r>
    </w:p>
    <w:p w14:paraId="6766AC70">
      <w:pPr>
        <w:shd w:val="clea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投标报价得分=(评标基准价／投标报价)×</w:t>
      </w:r>
      <w:r>
        <w:rPr>
          <w:rFonts w:hint="default" w:ascii="宋体" w:hAnsi="宋体" w:cs="宋体"/>
          <w:color w:val="auto"/>
          <w:sz w:val="24"/>
          <w:highlight w:val="none"/>
          <w:u w:val="single"/>
        </w:rPr>
        <w:t>30</w:t>
      </w:r>
      <w:r>
        <w:rPr>
          <w:rFonts w:hint="eastAsia" w:ascii="宋体" w:hAnsi="宋体" w:cs="宋体"/>
          <w:color w:val="auto"/>
          <w:sz w:val="24"/>
          <w:highlight w:val="none"/>
          <w:u w:val="single"/>
        </w:rPr>
        <w:t>%×100 。</w:t>
      </w:r>
    </w:p>
    <w:p w14:paraId="73717CD2">
      <w:pPr>
        <w:shd w:val="clea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（四）投标人综合得分＝资格及</w:t>
      </w:r>
      <w:r>
        <w:rPr>
          <w:rFonts w:hint="eastAsia" w:ascii="宋体" w:hAnsi="宋体" w:cs="宋体"/>
          <w:bCs/>
          <w:color w:val="auto"/>
          <w:sz w:val="24"/>
          <w:highlight w:val="none"/>
          <w:lang w:val="zh-CN"/>
        </w:rPr>
        <w:t>商务技术文件</w:t>
      </w:r>
      <w:r>
        <w:rPr>
          <w:rFonts w:hint="eastAsia" w:ascii="宋体" w:hAnsi="宋体" w:cs="宋体"/>
          <w:color w:val="auto"/>
          <w:sz w:val="24"/>
          <w:highlight w:val="none"/>
        </w:rPr>
        <w:t>得分＋投标报价得分。</w:t>
      </w:r>
    </w:p>
    <w:p w14:paraId="6F562340">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（五）政府采购政策及优惠：</w:t>
      </w:r>
    </w:p>
    <w:p w14:paraId="24D9DFDD">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34D4069F">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zh-CN"/>
        </w:rPr>
        <w:t>%的扣除，用扣除后的价格参加评审。</w:t>
      </w:r>
    </w:p>
    <w:p w14:paraId="42A10A44">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组成联合体或者接受分包的小微企业与联合体内其他企业、分包企业之间存在直接控股、管理关系的，不享受价格扣除优惠政策。</w:t>
      </w:r>
    </w:p>
    <w:p w14:paraId="7925B5FB">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以联合体形式参加政府采购活动，联合体各方均为中小企业的，联合体视同中小企业。其中，联合体各方均为小微企业的，联合体视同小微企业。</w:t>
      </w:r>
    </w:p>
    <w:p w14:paraId="6B02E4F4">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投标文件中须同时出具《政府采购促进中小企业发展管理办法》【财库（2020）46号】规定的《中小企业声明函》，否则不得享受价格扣除。</w:t>
      </w:r>
    </w:p>
    <w:p w14:paraId="6A3359BB">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本项目对符合规定的小微企业（含小型企业）报价给予10%的扣除。</w:t>
      </w:r>
    </w:p>
    <w:p w14:paraId="7F1AB909">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（2）根据《关于政府采购支持监狱企业发展有关问题的通知》（财库[2014]68号）的规定，供应商如为监狱企业且所投产品为小型或微型企业生产的，其投标报价扣除10%后参与评审。</w:t>
      </w:r>
    </w:p>
    <w:p w14:paraId="1CD1DB66">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投标文件中须同时提供：供应商的省级以上监狱管理局、戒毒管理局（含新疆生产建设兵团）出具的属于监狱企业的证明文件，未提供完整证明材料的，投标报价不予扣减。</w:t>
      </w:r>
    </w:p>
    <w:p w14:paraId="1B58306A">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04362345">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享受政府采购支持政策的残疾人福利性单位应当同时满足以下条件：</w:t>
      </w:r>
    </w:p>
    <w:p w14:paraId="24ED5A6E">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①安置的残疾人占本单位在职职工人数的比例不低于25%（含25%），并且安置的残疾人人数不少于10人（含10人）；</w:t>
      </w:r>
    </w:p>
    <w:p w14:paraId="078C13CC">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②依法与安置的每位残疾人签订了一年以上（含一年）的劳动合同或服务协议；</w:t>
      </w:r>
    </w:p>
    <w:p w14:paraId="120F74AB">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③为安置的每位残疾人按月足额缴纳了基本养老保险、基本医疗保险、失业保险、工伤保险和生育保险等社会保险费；</w:t>
      </w:r>
    </w:p>
    <w:p w14:paraId="742E1A67">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④通过银行等金融机构向安置的每位残疾人，按月支付了不低于单位所在区县适用的经省级人民政府批准的月最低工资标准的工资；</w:t>
      </w:r>
    </w:p>
    <w:p w14:paraId="23DF8FEB">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⑤提供本单位制造的货物、承担的工程或者服务（以下简称产品），或者提供其他残疾人福利性单位制造的货物（不包括使用非残疾人福利性单位注册商标的货物）。</w:t>
      </w:r>
    </w:p>
    <w:p w14:paraId="0CEC6D13">
      <w:pPr>
        <w:shd w:val="clear"/>
        <w:autoSpaceDE w:val="0"/>
        <w:autoSpaceDN w:val="0"/>
        <w:adjustRightInd w:val="0"/>
        <w:spacing w:line="360" w:lineRule="auto"/>
        <w:ind w:right="85"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D3DE5EB">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注：得分以系统计算为准，保留2位小数。</w:t>
      </w:r>
    </w:p>
    <w:p w14:paraId="15EFB1F6">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5023E502">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四、如综合得分相同，投标报价低者为先；如综合得分且投标报价相同的，货物类采购项目以技术性能得分较高者为先，服务类采购项目以实力信誉及业绩得分较高者为先。</w:t>
      </w:r>
    </w:p>
    <w:p w14:paraId="586B8D77">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36ECAE88">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六、本次评分具体分值细化条款如下表：</w:t>
      </w:r>
    </w:p>
    <w:p w14:paraId="1714D56B">
      <w:pPr>
        <w:shd w:val="clear"/>
        <w:rPr>
          <w:rFonts w:ascii="宋体" w:hAnsi="宋体" w:cs="宋体"/>
          <w:b/>
          <w:bCs/>
          <w:color w:val="auto"/>
          <w:sz w:val="24"/>
          <w:highlight w:val="none"/>
        </w:rPr>
      </w:pPr>
      <w:bookmarkStart w:id="74" w:name="_Toc8522"/>
      <w:bookmarkStart w:id="75" w:name="_Toc5439"/>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74"/>
        <w:gridCol w:w="5976"/>
        <w:gridCol w:w="514"/>
        <w:gridCol w:w="600"/>
      </w:tblGrid>
      <w:tr w14:paraId="342D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58" w:type="dxa"/>
            <w:vAlign w:val="center"/>
          </w:tcPr>
          <w:p w14:paraId="744B55C9">
            <w:pPr>
              <w:keepNext w:val="0"/>
              <w:keepLines w:val="0"/>
              <w:pageBreakBefore w:val="0"/>
              <w:widowControl/>
              <w:shd w:val="clear"/>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b/>
                <w:color w:val="auto"/>
                <w:kern w:val="0"/>
                <w:sz w:val="24"/>
                <w:szCs w:val="24"/>
                <w:highlight w:val="none"/>
              </w:rPr>
            </w:pPr>
            <w:bookmarkStart w:id="76" w:name="_Toc1006251395"/>
            <w:r>
              <w:rPr>
                <w:rFonts w:hint="eastAsia" w:asciiTheme="minorEastAsia" w:hAnsiTheme="minorEastAsia" w:eastAsiaTheme="minorEastAsia" w:cstheme="minorEastAsia"/>
                <w:b/>
                <w:color w:val="auto"/>
                <w:kern w:val="0"/>
                <w:sz w:val="24"/>
                <w:szCs w:val="24"/>
                <w:highlight w:val="none"/>
              </w:rPr>
              <w:t>评审</w:t>
            </w:r>
          </w:p>
          <w:p w14:paraId="13E79BB0">
            <w:pPr>
              <w:keepNext w:val="0"/>
              <w:keepLines w:val="0"/>
              <w:pageBreakBefore w:val="0"/>
              <w:widowControl/>
              <w:shd w:val="clear"/>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b/>
                <w:color w:val="auto"/>
                <w:kern w:val="0"/>
                <w:sz w:val="24"/>
                <w:szCs w:val="24"/>
                <w:highlight w:val="none"/>
              </w:rPr>
              <w:t>内容</w:t>
            </w:r>
          </w:p>
        </w:tc>
        <w:tc>
          <w:tcPr>
            <w:tcW w:w="6750" w:type="dxa"/>
            <w:gridSpan w:val="2"/>
            <w:vAlign w:val="center"/>
          </w:tcPr>
          <w:p w14:paraId="5637D901">
            <w:pPr>
              <w:keepNext w:val="0"/>
              <w:keepLines w:val="0"/>
              <w:pageBreakBefore w:val="0"/>
              <w:widowControl/>
              <w:shd w:val="clear"/>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b/>
                <w:color w:val="auto"/>
                <w:kern w:val="0"/>
                <w:sz w:val="24"/>
                <w:szCs w:val="24"/>
                <w:highlight w:val="none"/>
              </w:rPr>
              <w:t>评分标准</w:t>
            </w:r>
          </w:p>
        </w:tc>
        <w:tc>
          <w:tcPr>
            <w:tcW w:w="514" w:type="dxa"/>
            <w:vAlign w:val="center"/>
          </w:tcPr>
          <w:p w14:paraId="40C6C3A2">
            <w:pPr>
              <w:keepNext w:val="0"/>
              <w:keepLines w:val="0"/>
              <w:pageBreakBefore w:val="0"/>
              <w:widowControl/>
              <w:shd w:val="clear"/>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b/>
                <w:color w:val="auto"/>
                <w:kern w:val="0"/>
                <w:sz w:val="24"/>
                <w:szCs w:val="24"/>
                <w:highlight w:val="none"/>
              </w:rPr>
              <w:t>分值</w:t>
            </w:r>
          </w:p>
        </w:tc>
        <w:tc>
          <w:tcPr>
            <w:tcW w:w="600" w:type="dxa"/>
            <w:vAlign w:val="center"/>
          </w:tcPr>
          <w:p w14:paraId="2A65E9FB">
            <w:pPr>
              <w:keepNext w:val="0"/>
              <w:keepLines w:val="0"/>
              <w:pageBreakBefore w:val="0"/>
              <w:widowControl/>
              <w:shd w:val="clear"/>
              <w:kinsoku/>
              <w:wordWrap/>
              <w:overflowPunct/>
              <w:topLinePunct w:val="0"/>
              <w:autoSpaceDE w:val="0"/>
              <w:autoSpaceDN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b/>
                <w:color w:val="auto"/>
                <w:kern w:val="0"/>
                <w:sz w:val="24"/>
                <w:szCs w:val="24"/>
                <w:highlight w:val="none"/>
              </w:rPr>
              <w:t>评审因素</w:t>
            </w:r>
          </w:p>
        </w:tc>
      </w:tr>
      <w:tr w14:paraId="0861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restart"/>
            <w:vAlign w:val="center"/>
          </w:tcPr>
          <w:p w14:paraId="59CD6DEE">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商务技术分</w:t>
            </w:r>
          </w:p>
          <w:p w14:paraId="2E901F35">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kern w:val="0"/>
                <w:sz w:val="24"/>
                <w:szCs w:val="24"/>
                <w:highlight w:val="none"/>
              </w:rPr>
              <w:t>70分</w:t>
            </w:r>
          </w:p>
        </w:tc>
        <w:tc>
          <w:tcPr>
            <w:tcW w:w="774" w:type="dxa"/>
            <w:vAlign w:val="center"/>
          </w:tcPr>
          <w:p w14:paraId="067DE658">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技术指标响应情况（</w:t>
            </w:r>
            <w:r>
              <w:rPr>
                <w:rFonts w:hint="eastAsia" w:asciiTheme="minorEastAsia" w:hAnsiTheme="minorEastAsia" w:eastAsiaTheme="minorEastAsia" w:cstheme="minorEastAsia"/>
                <w:color w:val="auto"/>
                <w:kern w:val="0"/>
                <w:sz w:val="24"/>
                <w:szCs w:val="24"/>
                <w:highlight w:val="none"/>
                <w:lang w:val="en-US" w:eastAsia="zh-CN"/>
              </w:rPr>
              <w:t>30</w:t>
            </w:r>
            <w:r>
              <w:rPr>
                <w:rFonts w:hint="eastAsia" w:asciiTheme="minorEastAsia" w:hAnsiTheme="minorEastAsia" w:eastAsiaTheme="minorEastAsia" w:cstheme="minorEastAsia"/>
                <w:color w:val="auto"/>
                <w:kern w:val="0"/>
                <w:sz w:val="24"/>
                <w:szCs w:val="24"/>
                <w:highlight w:val="none"/>
              </w:rPr>
              <w:t>分）</w:t>
            </w:r>
          </w:p>
        </w:tc>
        <w:tc>
          <w:tcPr>
            <w:tcW w:w="5976" w:type="dxa"/>
            <w:vAlign w:val="center"/>
          </w:tcPr>
          <w:p w14:paraId="22331776">
            <w:pPr>
              <w:keepNext w:val="0"/>
              <w:keepLines w:val="0"/>
              <w:pageBreakBefore w:val="0"/>
              <w:widowControl/>
              <w:numPr>
                <w:ilvl w:val="-1"/>
                <w:numId w:val="0"/>
              </w:numPr>
              <w:shd w:val="clear" w:color="auto" w:fill="auto"/>
              <w:kinsoku/>
              <w:wordWrap/>
              <w:overflowPunct/>
              <w:topLinePunct w:val="0"/>
              <w:bidi w:val="0"/>
              <w:adjustRightInd/>
              <w:snapToGrid/>
              <w:spacing w:line="360" w:lineRule="auto"/>
              <w:ind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评审投标人对“主要设备技术需求表”中的技术指标响应情况。</w:t>
            </w:r>
          </w:p>
          <w:p w14:paraId="0495F79B">
            <w:pPr>
              <w:keepNext w:val="0"/>
              <w:keepLines w:val="0"/>
              <w:pageBreakBefore w:val="0"/>
              <w:widowControl/>
              <w:numPr>
                <w:ilvl w:val="-1"/>
                <w:numId w:val="0"/>
              </w:numPr>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 对标记“▲”的必须实质性满足的技术参数响应情况进行评审。</w:t>
            </w:r>
            <w:r>
              <w:rPr>
                <w:rFonts w:hint="eastAsia" w:asciiTheme="minorEastAsia" w:hAnsiTheme="minorEastAsia" w:eastAsiaTheme="minorEastAsia" w:cstheme="minorEastAsia"/>
                <w:b w:val="0"/>
                <w:bCs w:val="0"/>
                <w:color w:val="auto"/>
                <w:sz w:val="24"/>
                <w:szCs w:val="24"/>
                <w:highlight w:val="none"/>
                <w:lang w:val="en-US" w:eastAsia="zh-CN"/>
              </w:rPr>
              <w:t>该类技术参数须全部实质性满足，且投标人须按要求提供承诺函，否则投标人的投标将被拒绝，其投标无效，不再进行评审。</w:t>
            </w:r>
          </w:p>
          <w:p w14:paraId="54239A12">
            <w:pPr>
              <w:keepNext w:val="0"/>
              <w:keepLines w:val="0"/>
              <w:pageBreakBefore w:val="0"/>
              <w:widowControl/>
              <w:numPr>
                <w:ilvl w:val="-1"/>
                <w:numId w:val="0"/>
              </w:numPr>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 对标记“●”的关键技术参数响应情况进行评审。若存在负偏离，每负偏离一条扣2分。</w:t>
            </w:r>
          </w:p>
          <w:p w14:paraId="6E07D656">
            <w:pPr>
              <w:keepNext w:val="0"/>
              <w:keepLines w:val="0"/>
              <w:pageBreakBefore w:val="0"/>
              <w:widowControl/>
              <w:numPr>
                <w:ilvl w:val="-1"/>
                <w:numId w:val="0"/>
              </w:numPr>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 对标注“★”的重要技术参数响应情况进行评审。若存在负偏离，每负偏离一条扣1分。</w:t>
            </w:r>
          </w:p>
          <w:p w14:paraId="1CD71602">
            <w:pPr>
              <w:keepNext w:val="0"/>
              <w:keepLines w:val="0"/>
              <w:pageBreakBefore w:val="0"/>
              <w:widowControl/>
              <w:numPr>
                <w:ilvl w:val="-1"/>
                <w:numId w:val="0"/>
              </w:numPr>
              <w:shd w:val="clear" w:color="auto" w:fill="auto"/>
              <w:kinsoku/>
              <w:wordWrap/>
              <w:overflowPunct/>
              <w:topLinePunct w:val="0"/>
              <w:bidi w:val="0"/>
              <w:adjustRightInd/>
              <w:snapToGrid/>
              <w:spacing w:line="360" w:lineRule="auto"/>
              <w:ind w:firstLine="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 对未标注“▲”、“●”、“★”等特殊标记的一般技术参数响应情况进行评审。若存在负偏离，每负偏离一条扣0.5分。</w:t>
            </w:r>
          </w:p>
          <w:p w14:paraId="1FD31E11">
            <w:pPr>
              <w:keepNext w:val="0"/>
              <w:keepLines w:val="0"/>
              <w:pageBreakBefore w:val="0"/>
              <w:widowControl/>
              <w:numPr>
                <w:ilvl w:val="-1"/>
                <w:numId w:val="0"/>
              </w:numPr>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rPr>
              <w:t>技术指标响应情况</w:t>
            </w:r>
            <w:r>
              <w:rPr>
                <w:rFonts w:hint="eastAsia" w:asciiTheme="minorEastAsia" w:hAnsiTheme="minorEastAsia" w:eastAsiaTheme="minorEastAsia" w:cstheme="minorEastAsia"/>
                <w:b/>
                <w:bCs/>
                <w:color w:val="auto"/>
                <w:sz w:val="24"/>
                <w:szCs w:val="24"/>
                <w:highlight w:val="none"/>
                <w:lang w:val="en-US" w:eastAsia="zh-CN"/>
              </w:rPr>
              <w:t>评审扣至0分为止。</w:t>
            </w:r>
          </w:p>
          <w:p w14:paraId="67CC539A">
            <w:pPr>
              <w:keepNext w:val="0"/>
              <w:keepLines w:val="0"/>
              <w:pageBreakBefore w:val="0"/>
              <w:widowControl/>
              <w:numPr>
                <w:ilvl w:val="-1"/>
                <w:numId w:val="0"/>
              </w:numPr>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对技术指标的响应，</w:t>
            </w:r>
            <w:r>
              <w:rPr>
                <w:rFonts w:hint="eastAsia" w:asciiTheme="minorEastAsia" w:hAnsiTheme="minorEastAsia" w:eastAsiaTheme="minorEastAsia" w:cstheme="minorEastAsia"/>
                <w:b w:val="0"/>
                <w:bCs w:val="0"/>
                <w:color w:val="auto"/>
                <w:sz w:val="24"/>
                <w:szCs w:val="24"/>
                <w:highlight w:val="none"/>
                <w:lang w:val="en-US" w:eastAsia="zh-CN"/>
              </w:rPr>
              <w:t>投标人须按要求提供相关证明材料：</w:t>
            </w:r>
          </w:p>
          <w:p w14:paraId="3C3A7AA2">
            <w:pPr>
              <w:keepNext w:val="0"/>
              <w:keepLines w:val="0"/>
              <w:pageBreakBefore w:val="0"/>
              <w:widowControl/>
              <w:numPr>
                <w:ilvl w:val="-1"/>
                <w:numId w:val="0"/>
              </w:numPr>
              <w:shd w:val="clear" w:color="auto" w:fill="auto"/>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A.招标文件软硬件功能参数，注明须提供检测报告的，投标人必须提供正规检测机构出具的检测报告，</w:t>
            </w:r>
            <w:r>
              <w:rPr>
                <w:rFonts w:hint="eastAsia" w:asciiTheme="minorEastAsia" w:hAnsiTheme="minorEastAsia" w:eastAsiaTheme="minorEastAsia" w:cstheme="minorEastAsia"/>
                <w:color w:val="auto"/>
                <w:sz w:val="24"/>
                <w:szCs w:val="24"/>
                <w:highlight w:val="none"/>
                <w:lang w:val="en-US" w:eastAsia="zh-CN"/>
              </w:rPr>
              <w:t>且能在国家市场监督管理总局“全国认证认可信息公共服务平台-检验检测报告编号查询”（http://cx.cnca.cn/CertECloud/qts/qts/qtsPage）查询，不能查询或查询无效的，视为负偏离</w:t>
            </w:r>
            <w:r>
              <w:rPr>
                <w:rFonts w:hint="eastAsia" w:asciiTheme="minorEastAsia" w:hAnsiTheme="minorEastAsia" w:eastAsiaTheme="minorEastAsia" w:cstheme="minorEastAsia"/>
                <w:b w:val="0"/>
                <w:bCs w:val="0"/>
                <w:color w:val="auto"/>
                <w:sz w:val="24"/>
                <w:szCs w:val="24"/>
                <w:highlight w:val="none"/>
                <w:lang w:val="en-US" w:eastAsia="zh-CN"/>
              </w:rPr>
              <w:t>。</w:t>
            </w:r>
          </w:p>
          <w:p w14:paraId="574E6D49">
            <w:pPr>
              <w:keepNext w:val="0"/>
              <w:keepLines w:val="0"/>
              <w:pageBreakBefore w:val="0"/>
              <w:widowControl/>
              <w:numPr>
                <w:ilvl w:val="-1"/>
                <w:numId w:val="0"/>
              </w:numPr>
              <w:shd w:val="clear" w:color="auto" w:fill="auto"/>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正规检测机构指检测机构具备CMA（中国计量认证）或CNAS（国际互认）资质。</w:t>
            </w:r>
          </w:p>
          <w:p w14:paraId="0CBF8E11">
            <w:pPr>
              <w:keepNext w:val="0"/>
              <w:keepLines w:val="0"/>
              <w:pageBreakBefore w:val="0"/>
              <w:widowControl/>
              <w:numPr>
                <w:ilvl w:val="-1"/>
                <w:numId w:val="0"/>
              </w:numPr>
              <w:shd w:val="clear" w:color="auto" w:fill="auto"/>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B.</w:t>
            </w:r>
            <w:r>
              <w:rPr>
                <w:rFonts w:hint="eastAsia" w:asciiTheme="minorEastAsia" w:hAnsiTheme="minorEastAsia" w:eastAsiaTheme="minorEastAsia" w:cstheme="minorEastAsia"/>
                <w:b w:val="0"/>
                <w:bCs w:val="0"/>
                <w:color w:val="auto"/>
                <w:sz w:val="24"/>
                <w:szCs w:val="24"/>
                <w:highlight w:val="none"/>
                <w:lang w:val="en-US" w:eastAsia="zh-CN"/>
              </w:rPr>
              <w:t>未注明须提供检测报告的，投标人可提供检测报告，也可提供证书、功能截图</w:t>
            </w:r>
            <w:r>
              <w:rPr>
                <w:rFonts w:hint="eastAsia" w:asciiTheme="minorEastAsia" w:hAnsiTheme="minorEastAsia" w:eastAsiaTheme="minorEastAsia" w:cstheme="minorEastAsia"/>
                <w:color w:val="auto"/>
                <w:sz w:val="24"/>
                <w:highlight w:val="none"/>
              </w:rPr>
              <w:t>（并附软件链接、账号、密码备查）</w:t>
            </w:r>
            <w:r>
              <w:rPr>
                <w:rFonts w:hint="eastAsia" w:asciiTheme="minorEastAsia" w:hAnsiTheme="minorEastAsia" w:eastAsiaTheme="minorEastAsia" w:cstheme="minorEastAsia"/>
                <w:b w:val="0"/>
                <w:bCs w:val="0"/>
                <w:color w:val="auto"/>
                <w:sz w:val="24"/>
                <w:szCs w:val="24"/>
                <w:highlight w:val="none"/>
                <w:lang w:val="en-US" w:eastAsia="zh-CN"/>
              </w:rPr>
              <w:t>、照片等其他材料证明。未提供或提供的材料不足以证明的，响应无效。</w:t>
            </w:r>
          </w:p>
        </w:tc>
        <w:tc>
          <w:tcPr>
            <w:tcW w:w="514" w:type="dxa"/>
            <w:vAlign w:val="center"/>
          </w:tcPr>
          <w:p w14:paraId="4061B86B">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30</w:t>
            </w:r>
          </w:p>
        </w:tc>
        <w:tc>
          <w:tcPr>
            <w:tcW w:w="600" w:type="dxa"/>
            <w:vAlign w:val="center"/>
          </w:tcPr>
          <w:p w14:paraId="0C2F25CB">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val="en-US" w:eastAsia="zh-CN"/>
              </w:rPr>
              <w:t>客观评审</w:t>
            </w:r>
          </w:p>
        </w:tc>
      </w:tr>
      <w:tr w14:paraId="7EA2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14:paraId="71FFCCAD">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Align w:val="center"/>
          </w:tcPr>
          <w:p w14:paraId="0BA1D541">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.建设</w:t>
            </w:r>
            <w:r>
              <w:rPr>
                <w:rFonts w:hint="eastAsia" w:asciiTheme="minorEastAsia" w:hAnsiTheme="minorEastAsia" w:eastAsiaTheme="minorEastAsia" w:cstheme="minorEastAsia"/>
                <w:color w:val="auto"/>
                <w:kern w:val="0"/>
                <w:sz w:val="24"/>
                <w:szCs w:val="24"/>
                <w:highlight w:val="none"/>
              </w:rPr>
              <w:t>方案（</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tc>
        <w:tc>
          <w:tcPr>
            <w:tcW w:w="5976" w:type="dxa"/>
            <w:vAlign w:val="center"/>
          </w:tcPr>
          <w:p w14:paraId="778D36A5">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评审投标人项目具体建设方案的针对性、有效性。</w:t>
            </w:r>
          </w:p>
          <w:p w14:paraId="3A87A992">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投标人自行通过对项目需求的理解以及对项目情况的调研，结合本项目建设需求，提出详细的项目系统建设方案（包括整体架构设计、系统部署、系统升级扩展，功能实现等）：</w:t>
            </w:r>
          </w:p>
          <w:p w14:paraId="4A8E1D8E">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建设方案内容齐全，基本覆盖本项目需求，方案编制思路清晰，针对性有效性强，符合项目开展需求的得4-5分；</w:t>
            </w:r>
          </w:p>
          <w:p w14:paraId="6FAC0C1B">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实施方案内容齐全，覆盖本项目大部分需求，方案编制存在瑕疵，针对性有效性一般，但基本可以保障项目开展的得2-3.9分；</w:t>
            </w:r>
          </w:p>
          <w:p w14:paraId="1C8DD591">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实施方案内容不齐全，覆盖本项目部分需求，针对性有效性弱，方案编制存在缺陷无法保障项目顺利开展的得0.1-1.9分；</w:t>
            </w:r>
          </w:p>
          <w:p w14:paraId="3D495F27">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val="en-US" w:eastAsia="zh-CN"/>
              </w:rPr>
              <w:t>未提供任何建设方案的得0分。</w:t>
            </w:r>
          </w:p>
        </w:tc>
        <w:tc>
          <w:tcPr>
            <w:tcW w:w="514" w:type="dxa"/>
            <w:vAlign w:val="center"/>
          </w:tcPr>
          <w:p w14:paraId="738F1700">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5</w:t>
            </w:r>
          </w:p>
        </w:tc>
        <w:tc>
          <w:tcPr>
            <w:tcW w:w="600" w:type="dxa"/>
            <w:vAlign w:val="center"/>
          </w:tcPr>
          <w:p w14:paraId="241943ED">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val="en-US" w:eastAsia="zh-CN"/>
              </w:rPr>
              <w:t>主观评审</w:t>
            </w:r>
          </w:p>
        </w:tc>
      </w:tr>
      <w:tr w14:paraId="6B11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14:paraId="72A88338">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Align w:val="center"/>
          </w:tcPr>
          <w:p w14:paraId="47414B63">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.无缝对接方案（3分）</w:t>
            </w:r>
          </w:p>
        </w:tc>
        <w:tc>
          <w:tcPr>
            <w:tcW w:w="5976" w:type="dxa"/>
            <w:vAlign w:val="center"/>
          </w:tcPr>
          <w:p w14:paraId="388186F5">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实现和采购人现有电能管理平台无缝对接的方案：投标人根据对采购人项目建设和需求的了解情况，提出有效的对接方案。需包含对</w:t>
            </w:r>
            <w:bookmarkStart w:id="77" w:name="OLE_LINK2"/>
            <w:r>
              <w:rPr>
                <w:rFonts w:hint="eastAsia" w:asciiTheme="minorEastAsia" w:hAnsiTheme="minorEastAsia" w:eastAsiaTheme="minorEastAsia" w:cstheme="minorEastAsia"/>
                <w:color w:val="auto"/>
                <w:sz w:val="24"/>
                <w:szCs w:val="24"/>
                <w:highlight w:val="none"/>
                <w:lang w:val="en-US" w:eastAsia="zh-CN"/>
              </w:rPr>
              <w:t>采购人</w:t>
            </w:r>
            <w:bookmarkEnd w:id="77"/>
            <w:r>
              <w:rPr>
                <w:rFonts w:hint="eastAsia" w:asciiTheme="minorEastAsia" w:hAnsiTheme="minorEastAsia" w:eastAsiaTheme="minorEastAsia" w:cstheme="minorEastAsia"/>
                <w:color w:val="auto"/>
                <w:sz w:val="24"/>
                <w:szCs w:val="24"/>
                <w:highlight w:val="none"/>
                <w:lang w:val="en-US" w:eastAsia="zh-CN"/>
              </w:rPr>
              <w:t>现有电能管理平台建设情况和管理范围、与采购人现有系统对接所需的接口信息的了解、与本项目建设需求的符合程度等内容。</w:t>
            </w:r>
          </w:p>
          <w:p w14:paraId="0B2247BC">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对接方案内容齐全，熟悉招标人项目建设、需求、接口等相关情况，能实现全部对接要求的，得2-3分；</w:t>
            </w:r>
          </w:p>
          <w:p w14:paraId="5090A649">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对接方案内容齐全，基本熟悉招标人项目建设、需求、接口等相关情况，基本能实现对接要求的，得1-1.9分；</w:t>
            </w:r>
          </w:p>
          <w:p w14:paraId="2E30B201">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对接方案内容不全，对招标人项目建设、需求、接口等相关情况熟悉程度一般，能部分实现对接要求的，得0.1-0.9分；</w:t>
            </w:r>
          </w:p>
          <w:p w14:paraId="4AE352F2">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未提供任何对接方案的，得0分。</w:t>
            </w:r>
          </w:p>
        </w:tc>
        <w:tc>
          <w:tcPr>
            <w:tcW w:w="514" w:type="dxa"/>
            <w:vAlign w:val="center"/>
          </w:tcPr>
          <w:p w14:paraId="51CB832A">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w:t>
            </w:r>
          </w:p>
        </w:tc>
        <w:tc>
          <w:tcPr>
            <w:tcW w:w="600" w:type="dxa"/>
            <w:vAlign w:val="center"/>
          </w:tcPr>
          <w:p w14:paraId="3C5C7A00">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主观评审</w:t>
            </w:r>
          </w:p>
        </w:tc>
      </w:tr>
      <w:tr w14:paraId="5E44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14:paraId="72982C91">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Align w:val="center"/>
          </w:tcPr>
          <w:p w14:paraId="2DBFD5BB">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施工方案（</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p>
        </w:tc>
        <w:tc>
          <w:tcPr>
            <w:tcW w:w="5976" w:type="dxa"/>
            <w:vAlign w:val="center"/>
          </w:tcPr>
          <w:p w14:paraId="209F0FF1">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评审投标人项目具体施工方案的针对性、有效性。</w:t>
            </w:r>
          </w:p>
          <w:p w14:paraId="571B45C0">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投标人结合本项目建设要求以及建设内容，提出详细的项目施工方案（包括：供货及运输仓储、施工组织设计及人员配置、施工进度安排、人员安全保护等）：</w:t>
            </w:r>
          </w:p>
          <w:p w14:paraId="6DB4CAA9">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施工方案内容齐全、描述完整详细、内容清晰、符合项目实际情况，针对性有效性强，可以保障项目后续实施的得4-5分；</w:t>
            </w:r>
          </w:p>
          <w:p w14:paraId="322973C3">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施工方案内容存在缺漏、方案存在瑕疵、基本符合项目开展要求，针对性有效性一般，基本可以保障项目后续实施的得2-3.9分；</w:t>
            </w:r>
          </w:p>
          <w:p w14:paraId="28619DF7">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施工方案内容混乱、方案存在缺陷、不能适应项目需求，针对性有效性弱，无法保障项目后续实施的得0.1-1.9分；</w:t>
            </w:r>
          </w:p>
          <w:p w14:paraId="7B105F8E">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val="en-US" w:eastAsia="zh-CN"/>
              </w:rPr>
              <w:t>未提供任何施工方案的得0分。</w:t>
            </w:r>
          </w:p>
        </w:tc>
        <w:tc>
          <w:tcPr>
            <w:tcW w:w="514" w:type="dxa"/>
            <w:vAlign w:val="center"/>
          </w:tcPr>
          <w:p w14:paraId="6A76616E">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5</w:t>
            </w:r>
          </w:p>
        </w:tc>
        <w:tc>
          <w:tcPr>
            <w:tcW w:w="600" w:type="dxa"/>
            <w:vAlign w:val="center"/>
          </w:tcPr>
          <w:p w14:paraId="04F2BA7C">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val="en-US" w:eastAsia="zh-CN"/>
              </w:rPr>
              <w:t>主观评审</w:t>
            </w:r>
          </w:p>
        </w:tc>
      </w:tr>
      <w:tr w14:paraId="016A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14:paraId="3BFF66DC">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Align w:val="center"/>
          </w:tcPr>
          <w:p w14:paraId="321F2197">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讲解演  示（13 分）</w:t>
            </w:r>
          </w:p>
        </w:tc>
        <w:tc>
          <w:tcPr>
            <w:tcW w:w="5976" w:type="dxa"/>
            <w:vAlign w:val="center"/>
          </w:tcPr>
          <w:p w14:paraId="0E97E770">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根据供应商对本项目</w:t>
            </w:r>
            <w:bookmarkStart w:id="78" w:name="OLE_LINK14"/>
            <w:r>
              <w:rPr>
                <w:rFonts w:hint="eastAsia" w:asciiTheme="minorEastAsia" w:hAnsiTheme="minorEastAsia" w:eastAsiaTheme="minorEastAsia" w:cstheme="minorEastAsia"/>
                <w:color w:val="auto"/>
                <w:sz w:val="24"/>
                <w:szCs w:val="24"/>
                <w:highlight w:val="none"/>
                <w:lang w:val="en-US" w:eastAsia="zh-CN"/>
              </w:rPr>
              <w:t>能耗管理系统软件功能模块演示</w:t>
            </w:r>
            <w:bookmarkEnd w:id="78"/>
            <w:r>
              <w:rPr>
                <w:rFonts w:hint="eastAsia" w:asciiTheme="minorEastAsia" w:hAnsiTheme="minorEastAsia" w:eastAsiaTheme="minorEastAsia" w:cstheme="minorEastAsia"/>
                <w:color w:val="auto"/>
                <w:sz w:val="24"/>
                <w:szCs w:val="24"/>
                <w:highlight w:val="none"/>
                <w:lang w:val="en-US" w:eastAsia="zh-CN"/>
              </w:rPr>
              <w:t>情况进行打分（要求演示内容符合以下技术指标要求，若未能符合的作扣分处理）：</w:t>
            </w:r>
          </w:p>
          <w:p w14:paraId="5ECCFCD9">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5.1可构建用电设备拓扑关系，可查看设备组合关系，实现上下级设备用电平衡监测，并支持预设虚拟表计功能；完全符合要求的得2分，部分符合要求的得1分，不符合要求的得0分</w:t>
            </w:r>
          </w:p>
          <w:p w14:paraId="3EAE7701">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5.2可设置各用能空间、组织、设备每个时段（日、周、月、年）用能限额，可实现超额告警，并记录超额用能情况（包含超额用能时间、超额用量）；完全符合要求的得1分，</w:t>
            </w:r>
          </w:p>
          <w:p w14:paraId="3EBCDFCD">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部分符合要求的得0.5分，不符合要求的得0分</w:t>
            </w:r>
          </w:p>
          <w:p w14:paraId="346F5B1D">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5.3通过日历形式配置合理用能时间，通过建筑用途、组织、设备等维度批量设置合理用能时间；完全符合要求的得2分，部分符合要求的得1分，不符合要求的得0分</w:t>
            </w:r>
          </w:p>
          <w:p w14:paraId="5954DB96">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5.4通过能耗趋势图、能耗列表、能耗日历、能耗热力图等形式，展示各用能空间的能耗数据（如：空间能耗、分项能耗、用途能耗）；完全符合要求的得1分，部分符合要求的得0.5分，不符合要求的得0分</w:t>
            </w:r>
          </w:p>
          <w:p w14:paraId="37B60DEA">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5.5通过可视化能源流向图，体现用能统计异常（如：设备离线、表计缺失等）；完全符合要求的得2分，部分符合要求的得1分，不符合要求的得0分</w:t>
            </w:r>
          </w:p>
          <w:p w14:paraId="4903557A">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5.6通过能耗日历/能耗热力图模块查看每个小时的用能情况（包含合理及非合理用能情况、总用能等信息）；完全符合要求的得2分，部分符合要求的得1分，不符合要求的得0分</w:t>
            </w:r>
          </w:p>
          <w:p w14:paraId="423D7395">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5.7数据报表支持表头自定义，多样化报表导出；完全符合要求的得1分，部分符合要求的得0.5分，不符合要求的得0分</w:t>
            </w:r>
          </w:p>
          <w:p w14:paraId="6949E982">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5.8可生成不同时间段（日/周/月/年）的能耗数据对比（同比、环比、昼夜对比、自定义等），且支持导出;完全符合要求的得2分，部分符合要求的得1分，不符合要求的得0分</w:t>
            </w:r>
          </w:p>
          <w:p w14:paraId="1BF589DD">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注：本项目不进行现场演示，供应商需自行录制演示视频，具体要求见“投标人须知-前附表“样品及演示”部分。</w:t>
            </w:r>
          </w:p>
        </w:tc>
        <w:tc>
          <w:tcPr>
            <w:tcW w:w="514" w:type="dxa"/>
            <w:vAlign w:val="center"/>
          </w:tcPr>
          <w:p w14:paraId="18F92566">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bCs/>
                <w:color w:val="auto"/>
                <w:kern w:val="0"/>
                <w:sz w:val="24"/>
                <w:szCs w:val="24"/>
                <w:highlight w:val="no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13</w:t>
            </w:r>
          </w:p>
        </w:tc>
        <w:tc>
          <w:tcPr>
            <w:tcW w:w="600" w:type="dxa"/>
            <w:vAlign w:val="center"/>
          </w:tcPr>
          <w:p w14:paraId="1AB9D019">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客观评审</w:t>
            </w:r>
          </w:p>
        </w:tc>
      </w:tr>
      <w:tr w14:paraId="611F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14:paraId="451566EE">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Merge w:val="restart"/>
            <w:vAlign w:val="center"/>
          </w:tcPr>
          <w:p w14:paraId="4611F071">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售后服务</w:t>
            </w:r>
          </w:p>
          <w:p w14:paraId="2336D4A5">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分）</w:t>
            </w:r>
          </w:p>
        </w:tc>
        <w:tc>
          <w:tcPr>
            <w:tcW w:w="5976" w:type="dxa"/>
            <w:vAlign w:val="center"/>
          </w:tcPr>
          <w:p w14:paraId="3B92511B">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6.1质保期</w:t>
            </w:r>
          </w:p>
          <w:p w14:paraId="42AA189C">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根据投标人承诺的质保期进行评审：</w:t>
            </w:r>
          </w:p>
          <w:p w14:paraId="49AA64B2">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整体质保期在3年的基础上，每延长一年得1分，最多得3分，延长时间不满一年的不计分。</w:t>
            </w:r>
          </w:p>
          <w:p w14:paraId="180894C3">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lang w:val="en-US" w:eastAsia="zh-CN"/>
              </w:rPr>
              <w:t>注：当有投标人承诺的质保期少于3年时，该投标人的投标将被拒绝，其投标无效，不再进行评审。</w:t>
            </w:r>
          </w:p>
        </w:tc>
        <w:tc>
          <w:tcPr>
            <w:tcW w:w="514" w:type="dxa"/>
            <w:vAlign w:val="center"/>
          </w:tcPr>
          <w:p w14:paraId="37AFAD70">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w:t>
            </w:r>
          </w:p>
        </w:tc>
        <w:tc>
          <w:tcPr>
            <w:tcW w:w="600" w:type="dxa"/>
            <w:vAlign w:val="center"/>
          </w:tcPr>
          <w:p w14:paraId="33664E4E">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客观评审</w:t>
            </w:r>
          </w:p>
        </w:tc>
      </w:tr>
      <w:tr w14:paraId="6064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6" w:hRule="atLeast"/>
        </w:trPr>
        <w:tc>
          <w:tcPr>
            <w:tcW w:w="658" w:type="dxa"/>
            <w:vMerge w:val="continue"/>
            <w:vAlign w:val="center"/>
          </w:tcPr>
          <w:p w14:paraId="77A2298B">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Merge w:val="continue"/>
            <w:vAlign w:val="center"/>
          </w:tcPr>
          <w:p w14:paraId="76524157">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5976" w:type="dxa"/>
            <w:vAlign w:val="center"/>
          </w:tcPr>
          <w:p w14:paraId="69A8A49A">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6.2售后服务方案</w:t>
            </w:r>
          </w:p>
          <w:p w14:paraId="0FC9D572">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评审投标人售后服务方案的针对性、有效性。</w:t>
            </w:r>
          </w:p>
          <w:p w14:paraId="5FD81140">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投标人结合本项目的实际情况提供售后服务方案（包括：详细的售后服务标准、响应时间、问题解决时间、备品备件准备方案等）。</w:t>
            </w:r>
          </w:p>
          <w:p w14:paraId="3944A640">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售后服务方案详细科学符合招标文件需求，响应时间、问题解决时间承诺优于招标文件需求，备品备件齐全、准备充分的得2-3分；</w:t>
            </w:r>
          </w:p>
          <w:p w14:paraId="5D776542">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售后服务方案基本满足招标文件需求，响应时间、问题解决时间承诺满足招标文件需求，备品备件准备数量适中的得1-1.9分；</w:t>
            </w:r>
          </w:p>
          <w:p w14:paraId="24272B85">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售后服务方案内容混乱、不满足招标文件需求，响应时间、问题解决时间承诺不满足招标文件需求，备品备件准备不足的得0.1-0.9分。</w:t>
            </w:r>
          </w:p>
          <w:p w14:paraId="42FCBBD2">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未提供任何售后服务方案的得0分。</w:t>
            </w:r>
          </w:p>
          <w:p w14:paraId="13EBD334">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注：投标人需在投标文件中提供相关证明材料予以佐证其方案的真实性，若证明材料不充分导致无法对真实性作出判定时，本项最高按0.9分计。</w:t>
            </w:r>
          </w:p>
        </w:tc>
        <w:tc>
          <w:tcPr>
            <w:tcW w:w="514" w:type="dxa"/>
            <w:vAlign w:val="center"/>
          </w:tcPr>
          <w:p w14:paraId="7682A29D">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w:t>
            </w:r>
          </w:p>
        </w:tc>
        <w:tc>
          <w:tcPr>
            <w:tcW w:w="600" w:type="dxa"/>
            <w:vAlign w:val="center"/>
          </w:tcPr>
          <w:p w14:paraId="0E6AD812">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主观评审</w:t>
            </w:r>
          </w:p>
        </w:tc>
      </w:tr>
      <w:tr w14:paraId="5EF7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14:paraId="4FF3D3C0">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Align w:val="center"/>
          </w:tcPr>
          <w:p w14:paraId="4FAB0C4D">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培训方案（2分）</w:t>
            </w:r>
          </w:p>
        </w:tc>
        <w:tc>
          <w:tcPr>
            <w:tcW w:w="5976" w:type="dxa"/>
            <w:vAlign w:val="center"/>
          </w:tcPr>
          <w:p w14:paraId="4F826E1D">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评审投标人培训方案的针对性、有效性。</w:t>
            </w:r>
          </w:p>
          <w:p w14:paraId="450CBBCC">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投标人结合本项目的实际情况提供售后服务方案（包括：培训周期、培训时长、培训地点安排等。）</w:t>
            </w:r>
          </w:p>
          <w:p w14:paraId="4EA0A339">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培训方案内容完整、详尽、培训周期及时长安排灵活、培训地点安排方便于招标人的得1-2分；</w:t>
            </w:r>
          </w:p>
          <w:p w14:paraId="4A0D74E1">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培训方案内容存在缺项、培训周期、时长安排、培训地点安排不便于招标人的得0.1-0.9分；</w:t>
            </w:r>
          </w:p>
          <w:p w14:paraId="1A11D418">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val="en-US" w:eastAsia="zh-CN"/>
              </w:rPr>
              <w:t>未提供任何培训方案的得0分。</w:t>
            </w:r>
          </w:p>
        </w:tc>
        <w:tc>
          <w:tcPr>
            <w:tcW w:w="514" w:type="dxa"/>
            <w:vAlign w:val="center"/>
          </w:tcPr>
          <w:p w14:paraId="2F0DEA0E">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2</w:t>
            </w:r>
          </w:p>
        </w:tc>
        <w:tc>
          <w:tcPr>
            <w:tcW w:w="600" w:type="dxa"/>
            <w:vAlign w:val="center"/>
          </w:tcPr>
          <w:p w14:paraId="6F2A8A85">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主观评审</w:t>
            </w:r>
          </w:p>
        </w:tc>
      </w:tr>
      <w:tr w14:paraId="3D68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58" w:type="dxa"/>
            <w:vMerge w:val="continue"/>
            <w:vAlign w:val="center"/>
          </w:tcPr>
          <w:p w14:paraId="4B3AAE33">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Align w:val="center"/>
          </w:tcPr>
          <w:p w14:paraId="2CEE93CE">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8.成功案例</w:t>
            </w:r>
          </w:p>
          <w:p w14:paraId="32BD3E05">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p>
        </w:tc>
        <w:tc>
          <w:tcPr>
            <w:tcW w:w="5976" w:type="dxa"/>
            <w:vAlign w:val="center"/>
          </w:tcPr>
          <w:p w14:paraId="53F515CE">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投标人（或其用于投标本项目的</w:t>
            </w:r>
            <w:bookmarkStart w:id="79" w:name="OLE_LINK16"/>
            <w:r>
              <w:rPr>
                <w:rFonts w:hint="eastAsia" w:asciiTheme="minorEastAsia" w:hAnsiTheme="minorEastAsia" w:eastAsiaTheme="minorEastAsia" w:cstheme="minorEastAsia"/>
                <w:color w:val="auto"/>
                <w:sz w:val="24"/>
                <w:szCs w:val="24"/>
                <w:highlight w:val="none"/>
                <w:lang w:val="en-US" w:eastAsia="zh-CN"/>
              </w:rPr>
              <w:t>分布式三相无线空调控制器、</w:t>
            </w:r>
            <w:bookmarkStart w:id="80" w:name="OLE_LINK15"/>
            <w:r>
              <w:rPr>
                <w:rFonts w:hint="eastAsia" w:asciiTheme="minorEastAsia" w:hAnsiTheme="minorEastAsia" w:eastAsiaTheme="minorEastAsia" w:cstheme="minorEastAsia"/>
                <w:color w:val="auto"/>
                <w:sz w:val="24"/>
                <w:szCs w:val="24"/>
                <w:highlight w:val="none"/>
                <w:lang w:val="en-US" w:eastAsia="zh-CN"/>
              </w:rPr>
              <w:t>能耗管理系统软件</w:t>
            </w:r>
            <w:bookmarkEnd w:id="79"/>
            <w:bookmarkEnd w:id="80"/>
            <w:r>
              <w:rPr>
                <w:rFonts w:hint="eastAsia" w:asciiTheme="minorEastAsia" w:hAnsiTheme="minorEastAsia" w:eastAsiaTheme="minorEastAsia" w:cstheme="minorEastAsia"/>
                <w:color w:val="auto"/>
                <w:sz w:val="24"/>
                <w:szCs w:val="24"/>
                <w:highlight w:val="none"/>
                <w:lang w:val="en-US" w:eastAsia="zh-CN"/>
              </w:rPr>
              <w:t>的制造商）。</w:t>
            </w:r>
          </w:p>
          <w:p w14:paraId="6CE25DD2">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自2020年1月1日以来（以合同签订时间为准），中标智慧能源管理相关项目的，每提供1份合同得0.5分，最高得3分。</w:t>
            </w:r>
          </w:p>
          <w:p w14:paraId="14F0CBEF">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下列各类合同均不计分：</w:t>
            </w:r>
          </w:p>
          <w:p w14:paraId="1C10693A">
            <w:pPr>
              <w:keepNext w:val="0"/>
              <w:keepLines w:val="0"/>
              <w:pageBreakBefore w:val="0"/>
              <w:widowControl/>
              <w:numPr>
                <w:ilvl w:val="0"/>
                <w:numId w:val="3"/>
              </w:numPr>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空调控制器（或智慧能源管理软件）非核心商品（或服务）；</w:t>
            </w:r>
          </w:p>
          <w:p w14:paraId="2529E2E7">
            <w:pPr>
              <w:keepNext w:val="0"/>
              <w:keepLines w:val="0"/>
              <w:pageBreakBefore w:val="0"/>
              <w:widowControl/>
              <w:numPr>
                <w:ilvl w:val="0"/>
                <w:numId w:val="3"/>
              </w:numPr>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维保服务；</w:t>
            </w:r>
          </w:p>
          <w:p w14:paraId="7718705C">
            <w:pPr>
              <w:keepNext w:val="0"/>
              <w:keepLines w:val="0"/>
              <w:pageBreakBefore w:val="0"/>
              <w:widowControl/>
              <w:numPr>
                <w:ilvl w:val="0"/>
                <w:numId w:val="3"/>
              </w:numPr>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合同中未写明签订时间；</w:t>
            </w:r>
          </w:p>
          <w:p w14:paraId="5AEB1CB9">
            <w:pPr>
              <w:keepNext w:val="0"/>
              <w:keepLines w:val="0"/>
              <w:pageBreakBefore w:val="0"/>
              <w:widowControl/>
              <w:numPr>
                <w:ilvl w:val="0"/>
                <w:numId w:val="3"/>
              </w:numPr>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合同未加盖签约双方公章或合同专用章；</w:t>
            </w:r>
          </w:p>
          <w:p w14:paraId="5328402F">
            <w:pPr>
              <w:keepNext w:val="0"/>
              <w:keepLines w:val="0"/>
              <w:pageBreakBefore w:val="0"/>
              <w:widowControl/>
              <w:numPr>
                <w:ilvl w:val="0"/>
                <w:numId w:val="3"/>
              </w:numPr>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val="en-US" w:eastAsia="zh-CN"/>
              </w:rPr>
              <w:t>合同不完整。</w:t>
            </w:r>
          </w:p>
        </w:tc>
        <w:tc>
          <w:tcPr>
            <w:tcW w:w="514" w:type="dxa"/>
            <w:vAlign w:val="center"/>
          </w:tcPr>
          <w:p w14:paraId="18A80D32">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w:t>
            </w:r>
          </w:p>
        </w:tc>
        <w:tc>
          <w:tcPr>
            <w:tcW w:w="600" w:type="dxa"/>
            <w:vAlign w:val="center"/>
          </w:tcPr>
          <w:p w14:paraId="1CBCC59D">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客观评审</w:t>
            </w:r>
          </w:p>
        </w:tc>
      </w:tr>
      <w:tr w14:paraId="50D1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14:paraId="0D3D3951">
            <w:pPr>
              <w:keepNext w:val="0"/>
              <w:keepLines w:val="0"/>
              <w:pageBreakBefore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vertAlign w:val="baseline"/>
              </w:rPr>
            </w:pPr>
          </w:p>
        </w:tc>
        <w:tc>
          <w:tcPr>
            <w:tcW w:w="774" w:type="dxa"/>
            <w:vAlign w:val="center"/>
          </w:tcPr>
          <w:p w14:paraId="078912AC">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9.产品、服务、管理体系认证（3分）</w:t>
            </w:r>
          </w:p>
        </w:tc>
        <w:tc>
          <w:tcPr>
            <w:tcW w:w="5976" w:type="dxa"/>
            <w:vAlign w:val="center"/>
          </w:tcPr>
          <w:p w14:paraId="5C2296FA">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投标人（或其用于投标本项目的分布式三相无线空调控制器、能耗管理系统软件的制造商）获得国家三大认证的情况。</w:t>
            </w:r>
          </w:p>
          <w:p w14:paraId="08DE699B">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获得国家产品、服务、管理体系三大认证的，每提供一本认证证书得0.5分，最高得3分。</w:t>
            </w:r>
          </w:p>
          <w:p w14:paraId="0C6E82DD">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投标人提供的证书须能在国家市场监督管理总局“全国认证认可信息公共服务平台”</w:t>
            </w:r>
          </w:p>
          <w:p w14:paraId="398A2A30">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（http://cx.cnca.cn/CertECloud/index/index/page</w:t>
            </w:r>
          </w:p>
          <w:p w14:paraId="0CAC63E0">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）查询，不能查询或查询无效的，不计分。</w:t>
            </w:r>
          </w:p>
          <w:p w14:paraId="4313607F">
            <w:pPr>
              <w:keepNext w:val="0"/>
              <w:keepLines w:val="0"/>
              <w:pageBreakBefore w:val="0"/>
              <w:widowControl/>
              <w:shd w:val="clea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注：投标人须提供证书扫描件并加盖公章，未提供的不计分。</w:t>
            </w:r>
          </w:p>
        </w:tc>
        <w:tc>
          <w:tcPr>
            <w:tcW w:w="514" w:type="dxa"/>
            <w:vAlign w:val="center"/>
          </w:tcPr>
          <w:p w14:paraId="700A0DC2">
            <w:pPr>
              <w:keepNext w:val="0"/>
              <w:keepLines w:val="0"/>
              <w:pageBreakBefore w:val="0"/>
              <w:widowControl/>
              <w:shd w:val="clear"/>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Cs/>
                <w:color w:val="auto"/>
                <w:kern w:val="0"/>
                <w:sz w:val="24"/>
                <w:szCs w:val="24"/>
                <w:highlight w:val="none"/>
                <w:lang w:val="en-US" w:eastAsia="zh-CN"/>
              </w:rPr>
              <w:t>3</w:t>
            </w:r>
          </w:p>
        </w:tc>
        <w:tc>
          <w:tcPr>
            <w:tcW w:w="600" w:type="dxa"/>
            <w:vAlign w:val="center"/>
          </w:tcPr>
          <w:p w14:paraId="6DEEE354">
            <w:pPr>
              <w:keepNext w:val="0"/>
              <w:keepLines w:val="0"/>
              <w:pageBreakBefore w:val="0"/>
              <w:widowControl/>
              <w:suppressLineNumbers w:val="0"/>
              <w:shd w:val="clear" w:color="auto" w:fill="auto"/>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客观评审</w:t>
            </w:r>
          </w:p>
        </w:tc>
      </w:tr>
    </w:tbl>
    <w:p w14:paraId="0F450D2A">
      <w:pPr>
        <w:numPr>
          <w:ilvl w:val="0"/>
          <w:numId w:val="4"/>
        </w:numPr>
        <w:shd w:val="clear"/>
        <w:spacing w:line="360" w:lineRule="auto"/>
        <w:jc w:val="center"/>
        <w:outlineLvl w:val="0"/>
        <w:rPr>
          <w:rFonts w:ascii="宋体" w:hAnsi="宋体" w:cs="宋体"/>
          <w:b/>
          <w:bCs/>
          <w:color w:val="auto"/>
          <w:sz w:val="36"/>
          <w:szCs w:val="44"/>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26A1376A">
      <w:pPr>
        <w:numPr>
          <w:ilvl w:val="0"/>
          <w:numId w:val="4"/>
        </w:numPr>
        <w:shd w:val="clea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公开招标需求</w:t>
      </w:r>
      <w:bookmarkEnd w:id="74"/>
      <w:bookmarkEnd w:id="75"/>
      <w:bookmarkEnd w:id="76"/>
    </w:p>
    <w:p w14:paraId="688B5F99">
      <w:pPr>
        <w:numPr>
          <w:ilvl w:val="0"/>
          <w:numId w:val="0"/>
        </w:numPr>
        <w:shd w:val="clear"/>
        <w:tabs>
          <w:tab w:val="left" w:pos="8280"/>
        </w:tabs>
        <w:autoSpaceDE w:val="0"/>
        <w:autoSpaceDN w:val="0"/>
        <w:adjustRightInd w:val="0"/>
        <w:spacing w:line="360" w:lineRule="auto"/>
        <w:ind w:left="0" w:leftChars="0" w:right="25" w:rightChars="0" w:firstLine="420" w:firstLineChars="0"/>
        <w:rPr>
          <w:rFonts w:hint="eastAsia" w:ascii="宋体" w:hAnsi="宋体" w:eastAsia="宋体" w:cs="宋体"/>
          <w:color w:val="auto"/>
          <w:sz w:val="24"/>
          <w:szCs w:val="24"/>
          <w:highlight w:val="none"/>
        </w:rPr>
      </w:pPr>
      <w:bookmarkStart w:id="81" w:name="_Toc14683560"/>
      <w:bookmarkStart w:id="82" w:name="_Toc518311552"/>
      <w:bookmarkStart w:id="83" w:name="_Toc518381563"/>
      <w:bookmarkStart w:id="84" w:name="_Toc202235414"/>
      <w:bookmarkStart w:id="85" w:name="_Toc525627245"/>
      <w:r>
        <w:rPr>
          <w:rFonts w:hint="eastAsia" w:ascii="宋体" w:hAnsi="宋体" w:eastAsia="宋体" w:cs="宋体"/>
          <w:color w:val="auto"/>
          <w:kern w:val="2"/>
          <w:sz w:val="24"/>
          <w:szCs w:val="24"/>
          <w:lang w:val="en-US" w:eastAsia="zh-CN" w:bidi="ar-SA"/>
        </w:rPr>
        <w:t>一、</w:t>
      </w:r>
      <w:r>
        <w:rPr>
          <w:rFonts w:hint="eastAsia" w:ascii="宋体" w:hAnsi="宋体" w:eastAsia="宋体" w:cs="宋体"/>
          <w:b/>
          <w:color w:val="auto"/>
          <w:sz w:val="24"/>
          <w:szCs w:val="24"/>
          <w:highlight w:val="none"/>
        </w:rPr>
        <w:t>招标项目一览表</w:t>
      </w:r>
    </w:p>
    <w:p w14:paraId="6C732303">
      <w:pPr>
        <w:shd w:val="clear"/>
        <w:tabs>
          <w:tab w:val="left" w:pos="8280"/>
        </w:tabs>
        <w:autoSpaceDE w:val="0"/>
        <w:autoSpaceDN w:val="0"/>
        <w:adjustRightInd w:val="0"/>
        <w:spacing w:line="360" w:lineRule="auto"/>
        <w:ind w:right="25" w:firstLine="2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本次招标共</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个标段，具体内容如下表：</w:t>
      </w:r>
    </w:p>
    <w:tbl>
      <w:tblPr>
        <w:tblStyle w:val="26"/>
        <w:tblW w:w="55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722"/>
        <w:gridCol w:w="1134"/>
        <w:gridCol w:w="482"/>
        <w:gridCol w:w="482"/>
        <w:gridCol w:w="972"/>
        <w:gridCol w:w="874"/>
        <w:gridCol w:w="1457"/>
        <w:gridCol w:w="1570"/>
      </w:tblGrid>
      <w:tr w14:paraId="1821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371" w:type="pct"/>
            <w:shd w:val="clear" w:color="auto" w:fill="E7E6E6" w:themeFill="background2"/>
            <w:vAlign w:val="center"/>
          </w:tcPr>
          <w:p w14:paraId="425DF9F7">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标段号</w:t>
            </w:r>
          </w:p>
        </w:tc>
        <w:tc>
          <w:tcPr>
            <w:tcW w:w="916" w:type="pct"/>
            <w:shd w:val="clear" w:color="auto" w:fill="E7E6E6" w:themeFill="background2"/>
            <w:vAlign w:val="center"/>
          </w:tcPr>
          <w:p w14:paraId="7B579D55">
            <w:pPr>
              <w:shd w:val="clear"/>
              <w:tabs>
                <w:tab w:val="left" w:pos="8280"/>
              </w:tabs>
              <w:autoSpaceDE w:val="0"/>
              <w:autoSpaceDN w:val="0"/>
              <w:adjustRightInd w:val="0"/>
              <w:spacing w:line="360" w:lineRule="auto"/>
              <w:ind w:right="25" w:firstLine="120" w:firstLine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603" w:type="pct"/>
            <w:shd w:val="clear" w:color="auto" w:fill="E7E6E6" w:themeFill="background2"/>
            <w:vAlign w:val="center"/>
          </w:tcPr>
          <w:p w14:paraId="6409D7D8">
            <w:pPr>
              <w:shd w:val="clear"/>
              <w:tabs>
                <w:tab w:val="left" w:pos="8280"/>
              </w:tabs>
              <w:autoSpaceDE w:val="0"/>
              <w:autoSpaceDN w:val="0"/>
              <w:adjustRightInd w:val="0"/>
              <w:spacing w:line="360" w:lineRule="auto"/>
              <w:ind w:right="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w:t>
            </w:r>
          </w:p>
        </w:tc>
        <w:tc>
          <w:tcPr>
            <w:tcW w:w="256" w:type="pct"/>
            <w:shd w:val="clear" w:color="auto" w:fill="E7E6E6" w:themeFill="background2"/>
            <w:vAlign w:val="center"/>
          </w:tcPr>
          <w:p w14:paraId="7276809D">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256" w:type="pct"/>
            <w:shd w:val="clear" w:color="auto" w:fill="E7E6E6" w:themeFill="background2"/>
            <w:vAlign w:val="center"/>
          </w:tcPr>
          <w:p w14:paraId="3DC376A3">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517" w:type="pct"/>
            <w:shd w:val="clear" w:color="auto" w:fill="E7E6E6" w:themeFill="background2"/>
            <w:vAlign w:val="center"/>
          </w:tcPr>
          <w:p w14:paraId="6C886346">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预算（万元）</w:t>
            </w:r>
          </w:p>
        </w:tc>
        <w:tc>
          <w:tcPr>
            <w:tcW w:w="465" w:type="pct"/>
            <w:shd w:val="clear" w:color="auto" w:fill="E7E6E6" w:themeFill="background2"/>
            <w:vAlign w:val="center"/>
          </w:tcPr>
          <w:p w14:paraId="2B645DF7">
            <w:pPr>
              <w:shd w:val="clear"/>
              <w:tabs>
                <w:tab w:val="left" w:pos="8280"/>
              </w:tabs>
              <w:autoSpaceDE w:val="0"/>
              <w:autoSpaceDN w:val="0"/>
              <w:adjustRightInd w:val="0"/>
              <w:spacing w:line="360" w:lineRule="auto"/>
              <w:ind w:right="25"/>
              <w:jc w:val="cente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最高</w:t>
            </w:r>
          </w:p>
          <w:p w14:paraId="0BAE0F74">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限价</w:t>
            </w:r>
          </w:p>
        </w:tc>
        <w:tc>
          <w:tcPr>
            <w:tcW w:w="775" w:type="pct"/>
            <w:shd w:val="clear" w:color="auto" w:fill="E7E6E6" w:themeFill="background2"/>
            <w:vAlign w:val="center"/>
          </w:tcPr>
          <w:p w14:paraId="0AEAD835">
            <w:pPr>
              <w:shd w:val="clear"/>
              <w:tabs>
                <w:tab w:val="left" w:pos="8280"/>
              </w:tabs>
              <w:autoSpaceDE w:val="0"/>
              <w:autoSpaceDN w:val="0"/>
              <w:adjustRightInd w:val="0"/>
              <w:spacing w:line="360" w:lineRule="auto"/>
              <w:ind w:right="25" w:firstLine="24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交货期</w:t>
            </w:r>
          </w:p>
          <w:p w14:paraId="2F0F8088">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（合同签订后几天内）</w:t>
            </w:r>
          </w:p>
        </w:tc>
        <w:tc>
          <w:tcPr>
            <w:tcW w:w="835" w:type="pct"/>
            <w:shd w:val="clear" w:color="auto" w:fill="E7E6E6" w:themeFill="background2"/>
            <w:vAlign w:val="center"/>
          </w:tcPr>
          <w:p w14:paraId="01EBECD3">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交货地点</w:t>
            </w:r>
          </w:p>
        </w:tc>
      </w:tr>
      <w:tr w14:paraId="2E51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371" w:type="pct"/>
            <w:vAlign w:val="center"/>
          </w:tcPr>
          <w:p w14:paraId="09A7F13D">
            <w:pPr>
              <w:shd w:val="clear"/>
              <w:tabs>
                <w:tab w:val="left" w:pos="8280"/>
              </w:tabs>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16" w:type="pct"/>
            <w:vAlign w:val="center"/>
          </w:tcPr>
          <w:p w14:paraId="5724A3E2">
            <w:pPr>
              <w:widowControl/>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台州学院电能管理平台建设（二期）项目</w:t>
            </w:r>
          </w:p>
        </w:tc>
        <w:tc>
          <w:tcPr>
            <w:tcW w:w="603" w:type="pct"/>
            <w:vAlign w:val="center"/>
          </w:tcPr>
          <w:p w14:paraId="2766F7AF">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详见技术需求</w:t>
            </w:r>
          </w:p>
        </w:tc>
        <w:tc>
          <w:tcPr>
            <w:tcW w:w="256" w:type="pct"/>
            <w:vAlign w:val="center"/>
          </w:tcPr>
          <w:p w14:paraId="4C896FCD">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6" w:type="pct"/>
            <w:vAlign w:val="center"/>
          </w:tcPr>
          <w:p w14:paraId="1E732D1C">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w:t>
            </w:r>
          </w:p>
        </w:tc>
        <w:tc>
          <w:tcPr>
            <w:tcW w:w="517" w:type="pct"/>
            <w:vAlign w:val="center"/>
          </w:tcPr>
          <w:p w14:paraId="29A5F9FD">
            <w:pPr>
              <w:shd w:val="clear"/>
              <w:tabs>
                <w:tab w:val="left" w:pos="8280"/>
              </w:tabs>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190</w:t>
            </w:r>
          </w:p>
        </w:tc>
        <w:tc>
          <w:tcPr>
            <w:tcW w:w="465" w:type="pct"/>
            <w:vAlign w:val="center"/>
          </w:tcPr>
          <w:p w14:paraId="33DFB6F8">
            <w:pPr>
              <w:shd w:val="clear"/>
              <w:tabs>
                <w:tab w:val="left" w:pos="8280"/>
              </w:tabs>
              <w:autoSpaceDE w:val="0"/>
              <w:autoSpaceDN w:val="0"/>
              <w:adjustRightInd w:val="0"/>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175</w:t>
            </w:r>
          </w:p>
        </w:tc>
        <w:tc>
          <w:tcPr>
            <w:tcW w:w="775" w:type="pct"/>
            <w:vAlign w:val="center"/>
          </w:tcPr>
          <w:p w14:paraId="1903B37A">
            <w:pPr>
              <w:widowControl/>
              <w:shd w:val="clea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日历天</w:t>
            </w:r>
          </w:p>
        </w:tc>
        <w:tc>
          <w:tcPr>
            <w:tcW w:w="835" w:type="pct"/>
            <w:vAlign w:val="center"/>
          </w:tcPr>
          <w:p w14:paraId="0611E647">
            <w:pPr>
              <w:shd w:val="clear"/>
              <w:tabs>
                <w:tab w:val="left" w:pos="8280"/>
              </w:tabs>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台州学院椒江校区</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临海校区招标人指定地点</w:t>
            </w:r>
          </w:p>
        </w:tc>
      </w:tr>
    </w:tbl>
    <w:p w14:paraId="1D0A6D35">
      <w:pPr>
        <w:numPr>
          <w:ilvl w:val="0"/>
          <w:numId w:val="0"/>
        </w:numPr>
        <w:shd w:val="clear"/>
        <w:tabs>
          <w:tab w:val="left" w:pos="8280"/>
        </w:tabs>
        <w:autoSpaceDE w:val="0"/>
        <w:autoSpaceDN w:val="0"/>
        <w:adjustRightInd w:val="0"/>
        <w:spacing w:line="360" w:lineRule="auto"/>
        <w:ind w:right="25" w:rightChars="0" w:firstLine="241" w:firstLineChars="1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lang w:val="en-US" w:eastAsia="zh-CN" w:bidi="ar-SA"/>
        </w:rPr>
        <w:t>二、</w:t>
      </w:r>
      <w:r>
        <w:rPr>
          <w:rFonts w:hint="eastAsia" w:ascii="宋体" w:hAnsi="宋体" w:eastAsia="宋体" w:cs="宋体"/>
          <w:b/>
          <w:color w:val="auto"/>
          <w:sz w:val="24"/>
          <w:szCs w:val="24"/>
          <w:highlight w:val="none"/>
          <w:lang w:val="en-US" w:eastAsia="zh-CN"/>
        </w:rPr>
        <w:t>项目基本需求及设备清单</w:t>
      </w:r>
    </w:p>
    <w:p w14:paraId="5D42DD19">
      <w:pPr>
        <w:pStyle w:val="18"/>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通过在招标人椒江校区2号、3号教学楼安装空调控制器、照明控制模块，椒江校区各配电房安装远传电表，临海校区1号、2号、3号教学楼及A1-A</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大阶梯教室安装空调控制器，并接入原有电能管理平台，实现在原有电能管理平台上统一进行空调、照明智慧控制，耗电实时统计的目的。具体安装地点以招标人最终实际确认为准。</w:t>
      </w:r>
    </w:p>
    <w:p w14:paraId="55CD01B2">
      <w:pPr>
        <w:pStyle w:val="20"/>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标段一：台州学院电能管理平台建设（二期）项目设备清单</w:t>
      </w:r>
    </w:p>
    <w:tbl>
      <w:tblPr>
        <w:tblStyle w:val="60"/>
        <w:tblW w:w="93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24"/>
        <w:gridCol w:w="2008"/>
        <w:gridCol w:w="24"/>
        <w:gridCol w:w="1672"/>
        <w:gridCol w:w="890"/>
        <w:gridCol w:w="924"/>
        <w:gridCol w:w="1284"/>
        <w:gridCol w:w="1759"/>
      </w:tblGrid>
      <w:tr w14:paraId="50149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blHeader/>
          <w:jc w:val="center"/>
        </w:trPr>
        <w:tc>
          <w:tcPr>
            <w:tcW w:w="745" w:type="dxa"/>
            <w:gridSpan w:val="2"/>
            <w:shd w:val="clear" w:color="auto" w:fill="EEECE1"/>
            <w:vAlign w:val="center"/>
          </w:tcPr>
          <w:p w14:paraId="75CF1643">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序号</w:t>
            </w:r>
          </w:p>
        </w:tc>
        <w:tc>
          <w:tcPr>
            <w:tcW w:w="2032" w:type="dxa"/>
            <w:gridSpan w:val="2"/>
            <w:shd w:val="clear" w:color="auto" w:fill="EEECE1"/>
            <w:vAlign w:val="center"/>
          </w:tcPr>
          <w:p w14:paraId="5489899C">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设备名称</w:t>
            </w:r>
          </w:p>
        </w:tc>
        <w:tc>
          <w:tcPr>
            <w:tcW w:w="1672" w:type="dxa"/>
            <w:shd w:val="clear" w:color="auto" w:fill="EEECE1"/>
            <w:vAlign w:val="center"/>
          </w:tcPr>
          <w:p w14:paraId="33AEE7D0">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规格型号</w:t>
            </w:r>
          </w:p>
        </w:tc>
        <w:tc>
          <w:tcPr>
            <w:tcW w:w="890" w:type="dxa"/>
            <w:shd w:val="clear" w:color="auto" w:fill="EEECE1"/>
            <w:vAlign w:val="center"/>
          </w:tcPr>
          <w:p w14:paraId="4EC59004">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数量</w:t>
            </w:r>
          </w:p>
        </w:tc>
        <w:tc>
          <w:tcPr>
            <w:tcW w:w="924" w:type="dxa"/>
            <w:shd w:val="clear" w:color="auto" w:fill="EEECE1"/>
            <w:vAlign w:val="center"/>
          </w:tcPr>
          <w:p w14:paraId="357A8541">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单位</w:t>
            </w:r>
          </w:p>
        </w:tc>
        <w:tc>
          <w:tcPr>
            <w:tcW w:w="1284" w:type="dxa"/>
            <w:shd w:val="clear" w:color="auto" w:fill="EEECE1"/>
            <w:vAlign w:val="center"/>
          </w:tcPr>
          <w:p w14:paraId="6F714280">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bCs/>
                <w:color w:val="auto"/>
                <w:spacing w:val="-5"/>
                <w:sz w:val="24"/>
                <w:szCs w:val="24"/>
                <w:highlight w:val="none"/>
                <w:lang w:val="en-US" w:eastAsia="zh-CN"/>
              </w:rPr>
            </w:pPr>
            <w:r>
              <w:rPr>
                <w:rFonts w:hint="eastAsia" w:asciiTheme="minorEastAsia" w:hAnsiTheme="minorEastAsia" w:eastAsiaTheme="minorEastAsia" w:cstheme="minorEastAsia"/>
                <w:b/>
                <w:bCs/>
                <w:color w:val="auto"/>
                <w:spacing w:val="-5"/>
                <w:sz w:val="24"/>
                <w:szCs w:val="24"/>
                <w:highlight w:val="none"/>
                <w:lang w:val="en-US" w:eastAsia="zh-CN"/>
              </w:rPr>
              <w:t>是否</w:t>
            </w:r>
          </w:p>
          <w:p w14:paraId="2E958E61">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bCs/>
                <w:color w:val="auto"/>
                <w:spacing w:val="-5"/>
                <w:sz w:val="24"/>
                <w:szCs w:val="24"/>
                <w:highlight w:val="none"/>
                <w:lang w:val="en-US" w:eastAsia="zh-CN"/>
              </w:rPr>
            </w:pPr>
            <w:r>
              <w:rPr>
                <w:rFonts w:hint="eastAsia" w:asciiTheme="minorEastAsia" w:hAnsiTheme="minorEastAsia" w:eastAsiaTheme="minorEastAsia" w:cstheme="minorEastAsia"/>
                <w:b/>
                <w:bCs/>
                <w:color w:val="auto"/>
                <w:spacing w:val="-5"/>
                <w:sz w:val="24"/>
                <w:szCs w:val="24"/>
                <w:highlight w:val="none"/>
                <w:lang w:val="en-US" w:eastAsia="zh-CN"/>
              </w:rPr>
              <w:t>核心产品</w:t>
            </w:r>
          </w:p>
        </w:tc>
        <w:tc>
          <w:tcPr>
            <w:tcW w:w="1759" w:type="dxa"/>
            <w:shd w:val="clear" w:color="auto" w:fill="EEECE1"/>
            <w:vAlign w:val="center"/>
          </w:tcPr>
          <w:p w14:paraId="551398CC">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rPr>
              <w:t>备注</w:t>
            </w:r>
          </w:p>
        </w:tc>
      </w:tr>
      <w:tr w14:paraId="0A78A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7547" w:type="dxa"/>
            <w:gridSpan w:val="8"/>
            <w:vAlign w:val="top"/>
          </w:tcPr>
          <w:p w14:paraId="388CECBC">
            <w:pPr>
              <w:pStyle w:val="59"/>
              <w:spacing w:before="124" w:line="220" w:lineRule="auto"/>
              <w:jc w:val="center"/>
              <w:rPr>
                <w:rFonts w:hint="eastAsia" w:asciiTheme="minorEastAsia" w:hAnsiTheme="minorEastAsia" w:eastAsiaTheme="minorEastAsia" w:cstheme="minorEastAsia"/>
                <w:color w:val="auto"/>
                <w:sz w:val="24"/>
                <w:szCs w:val="24"/>
                <w:highlight w:val="none"/>
              </w:rPr>
            </w:pPr>
            <w:bookmarkStart w:id="86" w:name="OLE_LINK3"/>
            <w:r>
              <w:rPr>
                <w:rFonts w:hint="eastAsia" w:asciiTheme="minorEastAsia" w:hAnsiTheme="minorEastAsia" w:eastAsiaTheme="minorEastAsia" w:cstheme="minorEastAsia"/>
                <w:b/>
                <w:bCs/>
                <w:color w:val="auto"/>
                <w:spacing w:val="-5"/>
                <w:sz w:val="24"/>
                <w:szCs w:val="24"/>
                <w:highlight w:val="none"/>
                <w:lang w:val="en-US" w:eastAsia="zh-CN"/>
              </w:rPr>
              <w:t>一、</w:t>
            </w:r>
            <w:r>
              <w:rPr>
                <w:rFonts w:hint="eastAsia" w:asciiTheme="minorEastAsia" w:hAnsiTheme="minorEastAsia" w:eastAsiaTheme="minorEastAsia" w:cstheme="minorEastAsia"/>
                <w:b/>
                <w:bCs/>
                <w:color w:val="auto"/>
                <w:spacing w:val="-5"/>
                <w:sz w:val="24"/>
                <w:szCs w:val="24"/>
                <w:highlight w:val="none"/>
              </w:rPr>
              <w:t>空调控制</w:t>
            </w:r>
            <w:bookmarkEnd w:id="86"/>
          </w:p>
        </w:tc>
        <w:tc>
          <w:tcPr>
            <w:tcW w:w="1759" w:type="dxa"/>
            <w:vAlign w:val="top"/>
          </w:tcPr>
          <w:p w14:paraId="74547873">
            <w:pPr>
              <w:pStyle w:val="59"/>
              <w:spacing w:before="124" w:line="220" w:lineRule="auto"/>
              <w:jc w:val="center"/>
              <w:rPr>
                <w:rFonts w:hint="eastAsia" w:asciiTheme="minorEastAsia" w:hAnsiTheme="minorEastAsia" w:eastAsiaTheme="minorEastAsia" w:cstheme="minorEastAsia"/>
                <w:b/>
                <w:bCs/>
                <w:color w:val="auto"/>
                <w:spacing w:val="-5"/>
                <w:sz w:val="24"/>
                <w:szCs w:val="24"/>
                <w:highlight w:val="none"/>
                <w:lang w:val="en-US" w:eastAsia="zh-CN"/>
              </w:rPr>
            </w:pPr>
          </w:p>
        </w:tc>
      </w:tr>
      <w:tr w14:paraId="48234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745" w:type="dxa"/>
            <w:gridSpan w:val="2"/>
            <w:vAlign w:val="top"/>
          </w:tcPr>
          <w:p w14:paraId="537DE7CD">
            <w:pPr>
              <w:spacing w:before="280" w:line="188" w:lineRule="auto"/>
              <w:ind w:left="3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032" w:type="dxa"/>
            <w:gridSpan w:val="2"/>
            <w:vAlign w:val="top"/>
          </w:tcPr>
          <w:p w14:paraId="1B85C6BD">
            <w:pPr>
              <w:pStyle w:val="59"/>
              <w:spacing w:before="88" w:line="261" w:lineRule="auto"/>
              <w:ind w:left="601" w:right="175" w:hanging="419"/>
              <w:rPr>
                <w:rFonts w:hint="eastAsia" w:asciiTheme="minorEastAsia" w:hAnsiTheme="minorEastAsia" w:eastAsiaTheme="minorEastAsia" w:cstheme="minorEastAsia"/>
                <w:color w:val="auto"/>
                <w:sz w:val="24"/>
                <w:szCs w:val="24"/>
                <w:highlight w:val="none"/>
              </w:rPr>
            </w:pPr>
            <w:bookmarkStart w:id="87" w:name="OLE_LINK6"/>
            <w:r>
              <w:rPr>
                <w:rFonts w:hint="eastAsia" w:asciiTheme="minorEastAsia" w:hAnsiTheme="minorEastAsia" w:eastAsiaTheme="minorEastAsia" w:cstheme="minorEastAsia"/>
                <w:color w:val="auto"/>
                <w:spacing w:val="-2"/>
                <w:sz w:val="24"/>
                <w:szCs w:val="24"/>
                <w:highlight w:val="none"/>
              </w:rPr>
              <w:t>分布式三相无线空调控制器</w:t>
            </w:r>
            <w:bookmarkEnd w:id="87"/>
          </w:p>
        </w:tc>
        <w:tc>
          <w:tcPr>
            <w:tcW w:w="1672" w:type="dxa"/>
            <w:vAlign w:val="top"/>
          </w:tcPr>
          <w:p w14:paraId="722C2FC4">
            <w:pPr>
              <w:pStyle w:val="59"/>
              <w:spacing w:before="243"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7CA5F3D4">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141</w:t>
            </w:r>
          </w:p>
        </w:tc>
        <w:tc>
          <w:tcPr>
            <w:tcW w:w="924" w:type="dxa"/>
            <w:vAlign w:val="top"/>
          </w:tcPr>
          <w:p w14:paraId="56ADAB90">
            <w:pPr>
              <w:pStyle w:val="59"/>
              <w:spacing w:before="243" w:line="222" w:lineRule="auto"/>
              <w:ind w:left="27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1284" w:type="dxa"/>
            <w:vAlign w:val="center"/>
          </w:tcPr>
          <w:p w14:paraId="3A2D6A79">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是</w:t>
            </w:r>
          </w:p>
        </w:tc>
        <w:tc>
          <w:tcPr>
            <w:tcW w:w="1759" w:type="dxa"/>
            <w:vMerge w:val="restart"/>
            <w:tcMar>
              <w:top w:w="0" w:type="dxa"/>
              <w:left w:w="57" w:type="dxa"/>
              <w:bottom w:w="0" w:type="dxa"/>
              <w:right w:w="57" w:type="dxa"/>
            </w:tcMar>
            <w:vAlign w:val="center"/>
          </w:tcPr>
          <w:p w14:paraId="1C12E87B">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含</w:t>
            </w:r>
            <w:r>
              <w:rPr>
                <w:rFonts w:hint="eastAsia" w:asciiTheme="minorEastAsia" w:hAnsiTheme="minorEastAsia" w:eastAsiaTheme="minorEastAsia" w:cstheme="minorEastAsia"/>
                <w:color w:val="auto"/>
                <w:sz w:val="24"/>
                <w:szCs w:val="24"/>
                <w:highlight w:val="none"/>
                <w:lang w:val="en-US" w:eastAsia="zh-CN"/>
              </w:rPr>
              <w:t>设备</w:t>
            </w:r>
            <w:r>
              <w:rPr>
                <w:rFonts w:hint="eastAsia" w:asciiTheme="minorEastAsia" w:hAnsiTheme="minorEastAsia" w:eastAsiaTheme="minorEastAsia" w:cstheme="minorEastAsia"/>
                <w:color w:val="auto"/>
                <w:sz w:val="24"/>
                <w:szCs w:val="24"/>
                <w:highlight w:val="none"/>
              </w:rPr>
              <w:t>安装调试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管线</w:t>
            </w:r>
            <w:r>
              <w:rPr>
                <w:rFonts w:hint="eastAsia" w:asciiTheme="minorEastAsia" w:hAnsiTheme="minorEastAsia" w:eastAsiaTheme="minorEastAsia" w:cstheme="minorEastAsia"/>
                <w:color w:val="auto"/>
                <w:sz w:val="24"/>
                <w:szCs w:val="24"/>
                <w:highlight w:val="none"/>
              </w:rPr>
              <w:t>敷设施工</w:t>
            </w:r>
            <w:r>
              <w:rPr>
                <w:rFonts w:hint="eastAsia" w:asciiTheme="minorEastAsia" w:hAnsiTheme="minorEastAsia" w:eastAsiaTheme="minorEastAsia" w:cstheme="minorEastAsia"/>
                <w:color w:val="auto"/>
                <w:sz w:val="24"/>
                <w:szCs w:val="24"/>
                <w:highlight w:val="none"/>
                <w:lang w:eastAsia="zh-CN"/>
              </w:rPr>
              <w:t>。</w:t>
            </w:r>
          </w:p>
          <w:p w14:paraId="5F4ACC41">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2.要求空调控制器与协调器无线连接，协调器与网关485线有线连接</w:t>
            </w:r>
            <w:r>
              <w:rPr>
                <w:rFonts w:hint="eastAsia" w:asciiTheme="minorEastAsia" w:hAnsiTheme="minorEastAsia" w:eastAsiaTheme="minorEastAsia" w:cstheme="minorEastAsia"/>
                <w:color w:val="auto"/>
                <w:sz w:val="24"/>
                <w:szCs w:val="24"/>
                <w:highlight w:val="none"/>
              </w:rPr>
              <w:t>。</w:t>
            </w:r>
          </w:p>
        </w:tc>
      </w:tr>
      <w:tr w14:paraId="38F2C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45" w:type="dxa"/>
            <w:gridSpan w:val="2"/>
            <w:vAlign w:val="top"/>
          </w:tcPr>
          <w:p w14:paraId="13550F43">
            <w:pPr>
              <w:spacing w:before="280" w:line="188" w:lineRule="auto"/>
              <w:ind w:left="3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032" w:type="dxa"/>
            <w:gridSpan w:val="2"/>
            <w:vAlign w:val="top"/>
          </w:tcPr>
          <w:p w14:paraId="65D56A8A">
            <w:pPr>
              <w:pStyle w:val="59"/>
              <w:spacing w:before="244" w:line="220" w:lineRule="auto"/>
              <w:ind w:left="18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智能暖通控制网关</w:t>
            </w:r>
          </w:p>
        </w:tc>
        <w:tc>
          <w:tcPr>
            <w:tcW w:w="1672" w:type="dxa"/>
            <w:vAlign w:val="top"/>
          </w:tcPr>
          <w:p w14:paraId="19573D43">
            <w:pPr>
              <w:pStyle w:val="59"/>
              <w:spacing w:before="243"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4EF33539">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5</w:t>
            </w:r>
          </w:p>
        </w:tc>
        <w:tc>
          <w:tcPr>
            <w:tcW w:w="924" w:type="dxa"/>
            <w:vAlign w:val="top"/>
          </w:tcPr>
          <w:p w14:paraId="6B14DCCF">
            <w:pPr>
              <w:pStyle w:val="59"/>
              <w:spacing w:before="243" w:line="222" w:lineRule="auto"/>
              <w:ind w:left="27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1284" w:type="dxa"/>
            <w:vAlign w:val="center"/>
          </w:tcPr>
          <w:p w14:paraId="618D5801">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是</w:t>
            </w:r>
          </w:p>
        </w:tc>
        <w:tc>
          <w:tcPr>
            <w:tcW w:w="1759" w:type="dxa"/>
            <w:vMerge w:val="continue"/>
            <w:vAlign w:val="top"/>
          </w:tcPr>
          <w:p w14:paraId="11FE3981">
            <w:pPr>
              <w:rPr>
                <w:rFonts w:hint="eastAsia" w:asciiTheme="minorEastAsia" w:hAnsiTheme="minorEastAsia" w:eastAsiaTheme="minorEastAsia" w:cstheme="minorEastAsia"/>
                <w:color w:val="auto"/>
                <w:sz w:val="24"/>
                <w:szCs w:val="24"/>
                <w:highlight w:val="none"/>
              </w:rPr>
            </w:pPr>
          </w:p>
        </w:tc>
      </w:tr>
      <w:tr w14:paraId="75BD7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745" w:type="dxa"/>
            <w:gridSpan w:val="2"/>
            <w:vAlign w:val="top"/>
          </w:tcPr>
          <w:p w14:paraId="1F11D73C">
            <w:pPr>
              <w:spacing w:before="282" w:line="188" w:lineRule="auto"/>
              <w:ind w:left="32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032" w:type="dxa"/>
            <w:gridSpan w:val="2"/>
            <w:vAlign w:val="top"/>
          </w:tcPr>
          <w:p w14:paraId="6AB86FD4">
            <w:pPr>
              <w:pStyle w:val="59"/>
              <w:spacing w:before="245" w:line="220" w:lineRule="auto"/>
              <w:ind w:left="29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空调无线协调器</w:t>
            </w:r>
          </w:p>
        </w:tc>
        <w:tc>
          <w:tcPr>
            <w:tcW w:w="1672" w:type="dxa"/>
            <w:vAlign w:val="top"/>
          </w:tcPr>
          <w:p w14:paraId="242CA2AC">
            <w:pPr>
              <w:pStyle w:val="59"/>
              <w:spacing w:before="245"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7276769F">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45</w:t>
            </w:r>
          </w:p>
        </w:tc>
        <w:tc>
          <w:tcPr>
            <w:tcW w:w="924" w:type="dxa"/>
            <w:vAlign w:val="top"/>
          </w:tcPr>
          <w:p w14:paraId="0EAEDC8E">
            <w:pPr>
              <w:pStyle w:val="59"/>
              <w:spacing w:before="245" w:line="222" w:lineRule="auto"/>
              <w:ind w:left="27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1284" w:type="dxa"/>
            <w:vAlign w:val="center"/>
          </w:tcPr>
          <w:p w14:paraId="3C1278C7">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lang w:val="en-US" w:eastAsia="zh-CN"/>
              </w:rPr>
            </w:pPr>
            <w:bookmarkStart w:id="88" w:name="OLE_LINK11"/>
            <w:r>
              <w:rPr>
                <w:rFonts w:hint="eastAsia" w:asciiTheme="minorEastAsia" w:hAnsiTheme="minorEastAsia" w:eastAsiaTheme="minorEastAsia" w:cstheme="minorEastAsia"/>
                <w:color w:val="auto"/>
                <w:sz w:val="24"/>
                <w:szCs w:val="24"/>
                <w:highlight w:val="none"/>
                <w:lang w:val="en-US" w:eastAsia="zh-CN"/>
              </w:rPr>
              <w:t>否</w:t>
            </w:r>
            <w:bookmarkEnd w:id="88"/>
          </w:p>
        </w:tc>
        <w:tc>
          <w:tcPr>
            <w:tcW w:w="1759" w:type="dxa"/>
            <w:vMerge w:val="continue"/>
            <w:vAlign w:val="top"/>
          </w:tcPr>
          <w:p w14:paraId="075B6FEA">
            <w:pPr>
              <w:rPr>
                <w:rFonts w:hint="eastAsia" w:asciiTheme="minorEastAsia" w:hAnsiTheme="minorEastAsia" w:eastAsiaTheme="minorEastAsia" w:cstheme="minorEastAsia"/>
                <w:color w:val="auto"/>
                <w:sz w:val="24"/>
                <w:szCs w:val="24"/>
                <w:highlight w:val="none"/>
              </w:rPr>
            </w:pPr>
          </w:p>
        </w:tc>
      </w:tr>
      <w:tr w14:paraId="65CF7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745" w:type="dxa"/>
            <w:gridSpan w:val="2"/>
            <w:vAlign w:val="top"/>
          </w:tcPr>
          <w:p w14:paraId="09DE2634">
            <w:pPr>
              <w:spacing w:before="281" w:line="188" w:lineRule="auto"/>
              <w:ind w:left="32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032" w:type="dxa"/>
            <w:gridSpan w:val="2"/>
            <w:vAlign w:val="top"/>
          </w:tcPr>
          <w:p w14:paraId="71358A4C">
            <w:pPr>
              <w:pStyle w:val="59"/>
              <w:spacing w:before="244" w:line="219" w:lineRule="auto"/>
              <w:ind w:left="49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数据采集箱</w:t>
            </w:r>
          </w:p>
        </w:tc>
        <w:tc>
          <w:tcPr>
            <w:tcW w:w="1672" w:type="dxa"/>
            <w:vAlign w:val="top"/>
          </w:tcPr>
          <w:p w14:paraId="4550AD77">
            <w:pPr>
              <w:pStyle w:val="59"/>
              <w:spacing w:before="244"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08D06E04">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5</w:t>
            </w:r>
          </w:p>
        </w:tc>
        <w:tc>
          <w:tcPr>
            <w:tcW w:w="924" w:type="dxa"/>
            <w:vAlign w:val="top"/>
          </w:tcPr>
          <w:p w14:paraId="1028FEAF">
            <w:pPr>
              <w:pStyle w:val="59"/>
              <w:spacing w:before="245" w:line="220" w:lineRule="auto"/>
              <w:ind w:left="25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1284" w:type="dxa"/>
            <w:vAlign w:val="center"/>
          </w:tcPr>
          <w:p w14:paraId="4D1B52C0">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bookmarkStart w:id="89" w:name="OLE_LINK12"/>
            <w:r>
              <w:rPr>
                <w:rFonts w:hint="eastAsia" w:asciiTheme="minorEastAsia" w:hAnsiTheme="minorEastAsia" w:eastAsiaTheme="minorEastAsia" w:cstheme="minorEastAsia"/>
                <w:color w:val="auto"/>
                <w:sz w:val="24"/>
                <w:szCs w:val="24"/>
                <w:highlight w:val="none"/>
                <w:lang w:val="en-US" w:eastAsia="zh-CN"/>
              </w:rPr>
              <w:t>否</w:t>
            </w:r>
            <w:bookmarkEnd w:id="89"/>
          </w:p>
        </w:tc>
        <w:tc>
          <w:tcPr>
            <w:tcW w:w="1759" w:type="dxa"/>
            <w:vMerge w:val="continue"/>
            <w:vAlign w:val="top"/>
          </w:tcPr>
          <w:p w14:paraId="40D046C0">
            <w:pPr>
              <w:rPr>
                <w:rFonts w:hint="eastAsia" w:asciiTheme="minorEastAsia" w:hAnsiTheme="minorEastAsia" w:eastAsiaTheme="minorEastAsia" w:cstheme="minorEastAsia"/>
                <w:color w:val="auto"/>
                <w:sz w:val="24"/>
                <w:szCs w:val="24"/>
                <w:highlight w:val="none"/>
              </w:rPr>
            </w:pPr>
          </w:p>
        </w:tc>
      </w:tr>
      <w:tr w14:paraId="00889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7547" w:type="dxa"/>
            <w:gridSpan w:val="8"/>
            <w:vAlign w:val="center"/>
          </w:tcPr>
          <w:p w14:paraId="4DF569C6">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lang w:val="en-US" w:eastAsia="zh-CN"/>
              </w:rPr>
              <w:t>二、</w:t>
            </w:r>
            <w:r>
              <w:rPr>
                <w:rFonts w:hint="eastAsia" w:asciiTheme="minorEastAsia" w:hAnsiTheme="minorEastAsia" w:eastAsiaTheme="minorEastAsia" w:cstheme="minorEastAsia"/>
                <w:b/>
                <w:bCs/>
                <w:color w:val="auto"/>
                <w:spacing w:val="-4"/>
                <w:sz w:val="24"/>
                <w:szCs w:val="24"/>
                <w:highlight w:val="none"/>
              </w:rPr>
              <w:t>智能照明</w:t>
            </w:r>
          </w:p>
        </w:tc>
        <w:tc>
          <w:tcPr>
            <w:tcW w:w="1759" w:type="dxa"/>
            <w:vAlign w:val="top"/>
          </w:tcPr>
          <w:p w14:paraId="35AC8C54">
            <w:pPr>
              <w:pStyle w:val="59"/>
              <w:spacing w:before="145" w:line="220" w:lineRule="auto"/>
              <w:jc w:val="center"/>
              <w:rPr>
                <w:rFonts w:hint="eastAsia" w:asciiTheme="minorEastAsia" w:hAnsiTheme="minorEastAsia" w:eastAsiaTheme="minorEastAsia" w:cstheme="minorEastAsia"/>
                <w:b/>
                <w:bCs/>
                <w:color w:val="auto"/>
                <w:spacing w:val="-4"/>
                <w:sz w:val="24"/>
                <w:szCs w:val="24"/>
                <w:highlight w:val="none"/>
                <w:lang w:val="en-US" w:eastAsia="zh-CN"/>
              </w:rPr>
            </w:pPr>
          </w:p>
        </w:tc>
      </w:tr>
      <w:tr w14:paraId="09B72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745" w:type="dxa"/>
            <w:gridSpan w:val="2"/>
            <w:vAlign w:val="top"/>
          </w:tcPr>
          <w:p w14:paraId="443C0BB3">
            <w:pPr>
              <w:spacing w:before="286" w:line="185" w:lineRule="auto"/>
              <w:ind w:left="32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2032" w:type="dxa"/>
            <w:gridSpan w:val="2"/>
            <w:vAlign w:val="top"/>
          </w:tcPr>
          <w:p w14:paraId="2CDF392C">
            <w:pPr>
              <w:pStyle w:val="59"/>
              <w:spacing w:before="246" w:line="220" w:lineRule="auto"/>
              <w:ind w:left="18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智能照明开关模块</w:t>
            </w:r>
          </w:p>
        </w:tc>
        <w:tc>
          <w:tcPr>
            <w:tcW w:w="1672" w:type="dxa"/>
            <w:vAlign w:val="top"/>
          </w:tcPr>
          <w:p w14:paraId="0B0B8A82">
            <w:pPr>
              <w:pStyle w:val="59"/>
              <w:spacing w:before="246"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11A71AEA">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92</w:t>
            </w:r>
          </w:p>
        </w:tc>
        <w:tc>
          <w:tcPr>
            <w:tcW w:w="924" w:type="dxa"/>
            <w:vAlign w:val="top"/>
          </w:tcPr>
          <w:p w14:paraId="4C68C2E4">
            <w:pPr>
              <w:pStyle w:val="59"/>
              <w:spacing w:before="246" w:line="222" w:lineRule="auto"/>
              <w:ind w:left="27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1284" w:type="dxa"/>
            <w:vAlign w:val="center"/>
          </w:tcPr>
          <w:p w14:paraId="5CD7228C">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bookmarkStart w:id="90" w:name="OLE_LINK8"/>
            <w:r>
              <w:rPr>
                <w:rFonts w:hint="eastAsia" w:asciiTheme="minorEastAsia" w:hAnsiTheme="minorEastAsia" w:eastAsiaTheme="minorEastAsia" w:cstheme="minorEastAsia"/>
                <w:color w:val="auto"/>
                <w:sz w:val="24"/>
                <w:szCs w:val="24"/>
                <w:highlight w:val="none"/>
                <w:lang w:val="en-US" w:eastAsia="zh-CN"/>
              </w:rPr>
              <w:t>是</w:t>
            </w:r>
            <w:bookmarkEnd w:id="90"/>
          </w:p>
        </w:tc>
        <w:tc>
          <w:tcPr>
            <w:tcW w:w="1759" w:type="dxa"/>
            <w:vMerge w:val="restart"/>
            <w:tcMar>
              <w:top w:w="0" w:type="dxa"/>
              <w:left w:w="57" w:type="dxa"/>
              <w:bottom w:w="0" w:type="dxa"/>
              <w:right w:w="57" w:type="dxa"/>
            </w:tcMar>
            <w:vAlign w:val="center"/>
          </w:tcPr>
          <w:p w14:paraId="5DFDC91E">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含</w:t>
            </w:r>
            <w:r>
              <w:rPr>
                <w:rFonts w:hint="eastAsia" w:asciiTheme="minorEastAsia" w:hAnsiTheme="minorEastAsia" w:eastAsiaTheme="minorEastAsia" w:cstheme="minorEastAsia"/>
                <w:color w:val="auto"/>
                <w:sz w:val="24"/>
                <w:szCs w:val="24"/>
                <w:highlight w:val="none"/>
                <w:lang w:val="en-US" w:eastAsia="zh-CN"/>
              </w:rPr>
              <w:t>设备</w:t>
            </w:r>
            <w:r>
              <w:rPr>
                <w:rFonts w:hint="eastAsia" w:asciiTheme="minorEastAsia" w:hAnsiTheme="minorEastAsia" w:eastAsiaTheme="minorEastAsia" w:cstheme="minorEastAsia"/>
                <w:color w:val="auto"/>
                <w:sz w:val="24"/>
                <w:szCs w:val="24"/>
                <w:highlight w:val="none"/>
              </w:rPr>
              <w:t>安装调试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管线</w:t>
            </w:r>
            <w:r>
              <w:rPr>
                <w:rFonts w:hint="eastAsia" w:asciiTheme="minorEastAsia" w:hAnsiTheme="minorEastAsia" w:eastAsiaTheme="minorEastAsia" w:cstheme="minorEastAsia"/>
                <w:color w:val="auto"/>
                <w:sz w:val="24"/>
                <w:szCs w:val="24"/>
                <w:highlight w:val="none"/>
              </w:rPr>
              <w:t>敷设施工。</w:t>
            </w:r>
          </w:p>
        </w:tc>
      </w:tr>
      <w:tr w14:paraId="6333D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745" w:type="dxa"/>
            <w:gridSpan w:val="2"/>
            <w:vAlign w:val="top"/>
          </w:tcPr>
          <w:p w14:paraId="65B81279">
            <w:pPr>
              <w:spacing w:before="282" w:line="188" w:lineRule="auto"/>
              <w:ind w:left="33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2032" w:type="dxa"/>
            <w:gridSpan w:val="2"/>
            <w:vAlign w:val="top"/>
          </w:tcPr>
          <w:p w14:paraId="59C5ACC3">
            <w:pPr>
              <w:pStyle w:val="59"/>
              <w:spacing w:before="246" w:line="219" w:lineRule="auto"/>
              <w:ind w:left="20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照明控制面板</w:t>
            </w:r>
          </w:p>
        </w:tc>
        <w:tc>
          <w:tcPr>
            <w:tcW w:w="1672" w:type="dxa"/>
            <w:vAlign w:val="top"/>
          </w:tcPr>
          <w:p w14:paraId="34694C6A">
            <w:pPr>
              <w:pStyle w:val="59"/>
              <w:spacing w:before="245"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28E52360">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157</w:t>
            </w:r>
          </w:p>
        </w:tc>
        <w:tc>
          <w:tcPr>
            <w:tcW w:w="924" w:type="dxa"/>
            <w:vAlign w:val="top"/>
          </w:tcPr>
          <w:p w14:paraId="07F27003">
            <w:pPr>
              <w:pStyle w:val="59"/>
              <w:spacing w:before="246" w:line="222" w:lineRule="auto"/>
              <w:ind w:left="27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1284" w:type="dxa"/>
            <w:vAlign w:val="center"/>
          </w:tcPr>
          <w:p w14:paraId="1393365A">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否</w:t>
            </w:r>
          </w:p>
        </w:tc>
        <w:tc>
          <w:tcPr>
            <w:tcW w:w="1759" w:type="dxa"/>
            <w:vMerge w:val="continue"/>
            <w:tcMar>
              <w:top w:w="0" w:type="dxa"/>
              <w:left w:w="57" w:type="dxa"/>
              <w:bottom w:w="0" w:type="dxa"/>
              <w:right w:w="57" w:type="dxa"/>
            </w:tcMar>
            <w:vAlign w:val="top"/>
          </w:tcPr>
          <w:p w14:paraId="577F1A8E">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heme="minorEastAsia" w:hAnsiTheme="minorEastAsia" w:eastAsiaTheme="minorEastAsia" w:cstheme="minorEastAsia"/>
                <w:color w:val="auto"/>
                <w:sz w:val="24"/>
                <w:szCs w:val="24"/>
                <w:highlight w:val="none"/>
              </w:rPr>
            </w:pPr>
          </w:p>
        </w:tc>
      </w:tr>
      <w:tr w14:paraId="04E52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745" w:type="dxa"/>
            <w:gridSpan w:val="2"/>
            <w:vAlign w:val="top"/>
          </w:tcPr>
          <w:p w14:paraId="149EACB2">
            <w:pPr>
              <w:spacing w:before="280" w:line="188" w:lineRule="auto"/>
              <w:ind w:left="32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2032" w:type="dxa"/>
            <w:gridSpan w:val="2"/>
            <w:vAlign w:val="top"/>
          </w:tcPr>
          <w:p w14:paraId="32C12B85">
            <w:pPr>
              <w:pStyle w:val="59"/>
              <w:spacing w:before="244" w:line="220" w:lineRule="auto"/>
              <w:ind w:left="70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配电箱</w:t>
            </w:r>
          </w:p>
        </w:tc>
        <w:tc>
          <w:tcPr>
            <w:tcW w:w="1672" w:type="dxa"/>
            <w:vAlign w:val="top"/>
          </w:tcPr>
          <w:p w14:paraId="516B44E6">
            <w:pPr>
              <w:pStyle w:val="59"/>
              <w:spacing w:before="243"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096F1393">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92</w:t>
            </w:r>
          </w:p>
        </w:tc>
        <w:tc>
          <w:tcPr>
            <w:tcW w:w="924" w:type="dxa"/>
            <w:vAlign w:val="top"/>
          </w:tcPr>
          <w:p w14:paraId="69288545">
            <w:pPr>
              <w:pStyle w:val="59"/>
              <w:spacing w:before="244" w:line="220" w:lineRule="auto"/>
              <w:ind w:left="2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1284" w:type="dxa"/>
            <w:vAlign w:val="center"/>
          </w:tcPr>
          <w:p w14:paraId="49EA379E">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否</w:t>
            </w:r>
          </w:p>
        </w:tc>
        <w:tc>
          <w:tcPr>
            <w:tcW w:w="1759" w:type="dxa"/>
            <w:vMerge w:val="continue"/>
            <w:tcMar>
              <w:top w:w="0" w:type="dxa"/>
              <w:left w:w="57" w:type="dxa"/>
              <w:bottom w:w="0" w:type="dxa"/>
              <w:right w:w="57" w:type="dxa"/>
            </w:tcMar>
            <w:vAlign w:val="top"/>
          </w:tcPr>
          <w:p w14:paraId="6DA731E8">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heme="minorEastAsia" w:hAnsiTheme="minorEastAsia" w:eastAsiaTheme="minorEastAsia" w:cstheme="minorEastAsia"/>
                <w:color w:val="auto"/>
                <w:sz w:val="24"/>
                <w:szCs w:val="24"/>
                <w:highlight w:val="none"/>
              </w:rPr>
            </w:pPr>
          </w:p>
        </w:tc>
      </w:tr>
      <w:tr w14:paraId="52CDE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45" w:type="dxa"/>
            <w:gridSpan w:val="2"/>
            <w:vAlign w:val="top"/>
          </w:tcPr>
          <w:p w14:paraId="462EF1B8">
            <w:pPr>
              <w:spacing w:before="280" w:line="188" w:lineRule="auto"/>
              <w:ind w:left="326" w:left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2032" w:type="dxa"/>
            <w:gridSpan w:val="2"/>
            <w:vAlign w:val="top"/>
          </w:tcPr>
          <w:p w14:paraId="3F06D6CB">
            <w:pPr>
              <w:pStyle w:val="59"/>
              <w:spacing w:before="241" w:line="220" w:lineRule="auto"/>
              <w:ind w:left="18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智能照明控制网关</w:t>
            </w:r>
          </w:p>
        </w:tc>
        <w:tc>
          <w:tcPr>
            <w:tcW w:w="1672" w:type="dxa"/>
            <w:vAlign w:val="top"/>
          </w:tcPr>
          <w:p w14:paraId="714A10DD">
            <w:pPr>
              <w:pStyle w:val="59"/>
              <w:spacing w:before="241"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424F959C">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24" w:type="dxa"/>
            <w:vAlign w:val="top"/>
          </w:tcPr>
          <w:p w14:paraId="7AB4B7DC">
            <w:pPr>
              <w:pStyle w:val="59"/>
              <w:spacing w:before="241" w:line="222" w:lineRule="auto"/>
              <w:ind w:left="27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1284" w:type="dxa"/>
            <w:vAlign w:val="center"/>
          </w:tcPr>
          <w:p w14:paraId="7EF75F56">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是</w:t>
            </w:r>
          </w:p>
        </w:tc>
        <w:tc>
          <w:tcPr>
            <w:tcW w:w="1759" w:type="dxa"/>
            <w:vMerge w:val="continue"/>
            <w:tcMar>
              <w:top w:w="0" w:type="dxa"/>
              <w:left w:w="57" w:type="dxa"/>
              <w:bottom w:w="0" w:type="dxa"/>
              <w:right w:w="57" w:type="dxa"/>
            </w:tcMar>
            <w:vAlign w:val="top"/>
          </w:tcPr>
          <w:p w14:paraId="40A80231">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heme="minorEastAsia" w:hAnsiTheme="minorEastAsia" w:eastAsiaTheme="minorEastAsia" w:cstheme="minorEastAsia"/>
                <w:color w:val="auto"/>
                <w:sz w:val="24"/>
                <w:szCs w:val="24"/>
                <w:highlight w:val="none"/>
              </w:rPr>
            </w:pPr>
          </w:p>
        </w:tc>
      </w:tr>
      <w:tr w14:paraId="79D44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745" w:type="dxa"/>
            <w:gridSpan w:val="2"/>
            <w:vAlign w:val="top"/>
          </w:tcPr>
          <w:p w14:paraId="609981E0">
            <w:pPr>
              <w:spacing w:before="278" w:line="188" w:lineRule="auto"/>
              <w:ind w:left="289" w:left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val="en-US" w:eastAsia="zh-CN"/>
              </w:rPr>
              <w:t>9</w:t>
            </w:r>
          </w:p>
        </w:tc>
        <w:tc>
          <w:tcPr>
            <w:tcW w:w="2032" w:type="dxa"/>
            <w:gridSpan w:val="2"/>
            <w:vAlign w:val="top"/>
          </w:tcPr>
          <w:p w14:paraId="12730378">
            <w:pPr>
              <w:pStyle w:val="59"/>
              <w:spacing w:before="243" w:line="219" w:lineRule="auto"/>
              <w:ind w:left="49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数据采集箱</w:t>
            </w:r>
          </w:p>
        </w:tc>
        <w:tc>
          <w:tcPr>
            <w:tcW w:w="1672" w:type="dxa"/>
            <w:vAlign w:val="top"/>
          </w:tcPr>
          <w:p w14:paraId="141985D9">
            <w:pPr>
              <w:pStyle w:val="59"/>
              <w:spacing w:before="243"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62B1FE2C">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924" w:type="dxa"/>
            <w:vAlign w:val="top"/>
          </w:tcPr>
          <w:p w14:paraId="3ABC4795">
            <w:pPr>
              <w:pStyle w:val="59"/>
              <w:spacing w:before="243" w:line="220" w:lineRule="auto"/>
              <w:ind w:left="25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1284" w:type="dxa"/>
            <w:vAlign w:val="center"/>
          </w:tcPr>
          <w:p w14:paraId="4D58AFF0">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否</w:t>
            </w:r>
          </w:p>
        </w:tc>
        <w:tc>
          <w:tcPr>
            <w:tcW w:w="1759" w:type="dxa"/>
            <w:vMerge w:val="continue"/>
            <w:tcMar>
              <w:top w:w="0" w:type="dxa"/>
              <w:left w:w="57" w:type="dxa"/>
              <w:bottom w:w="0" w:type="dxa"/>
              <w:right w:w="57" w:type="dxa"/>
            </w:tcMar>
            <w:vAlign w:val="top"/>
          </w:tcPr>
          <w:p w14:paraId="3DA35BAF">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heme="minorEastAsia" w:hAnsiTheme="minorEastAsia" w:eastAsiaTheme="minorEastAsia" w:cstheme="minorEastAsia"/>
                <w:color w:val="auto"/>
                <w:sz w:val="24"/>
                <w:szCs w:val="24"/>
                <w:highlight w:val="none"/>
              </w:rPr>
            </w:pPr>
          </w:p>
        </w:tc>
      </w:tr>
      <w:tr w14:paraId="6F094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7547" w:type="dxa"/>
            <w:gridSpan w:val="8"/>
            <w:vAlign w:val="center"/>
          </w:tcPr>
          <w:p w14:paraId="4C633872">
            <w:pPr>
              <w:pStyle w:val="5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lang w:val="en-US" w:eastAsia="zh-CN"/>
              </w:rPr>
              <w:t>三、</w:t>
            </w:r>
            <w:r>
              <w:rPr>
                <w:rFonts w:hint="eastAsia" w:asciiTheme="minorEastAsia" w:hAnsiTheme="minorEastAsia" w:eastAsiaTheme="minorEastAsia" w:cstheme="minorEastAsia"/>
                <w:b/>
                <w:bCs/>
                <w:color w:val="auto"/>
                <w:spacing w:val="-5"/>
                <w:sz w:val="24"/>
                <w:szCs w:val="24"/>
                <w:highlight w:val="none"/>
              </w:rPr>
              <w:t>能耗监测</w:t>
            </w:r>
          </w:p>
        </w:tc>
        <w:tc>
          <w:tcPr>
            <w:tcW w:w="1759" w:type="dxa"/>
            <w:tcMar>
              <w:top w:w="0" w:type="dxa"/>
              <w:left w:w="57" w:type="dxa"/>
              <w:bottom w:w="0" w:type="dxa"/>
              <w:right w:w="57" w:type="dxa"/>
            </w:tcMar>
            <w:vAlign w:val="top"/>
          </w:tcPr>
          <w:p w14:paraId="3FA9ABC2">
            <w:pPr>
              <w:pStyle w:val="59"/>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Theme="minorEastAsia" w:hAnsiTheme="minorEastAsia" w:eastAsiaTheme="minorEastAsia" w:cstheme="minorEastAsia"/>
                <w:b/>
                <w:bCs/>
                <w:color w:val="auto"/>
                <w:spacing w:val="-5"/>
                <w:sz w:val="24"/>
                <w:szCs w:val="24"/>
                <w:highlight w:val="none"/>
                <w:lang w:val="en-US" w:eastAsia="zh-CN"/>
              </w:rPr>
            </w:pPr>
          </w:p>
        </w:tc>
      </w:tr>
      <w:tr w14:paraId="583C8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721" w:type="dxa"/>
            <w:vAlign w:val="top"/>
          </w:tcPr>
          <w:p w14:paraId="324D36D5">
            <w:pPr>
              <w:spacing w:before="283" w:line="188" w:lineRule="auto"/>
              <w:ind w:left="26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10</w:t>
            </w:r>
          </w:p>
        </w:tc>
        <w:tc>
          <w:tcPr>
            <w:tcW w:w="2032" w:type="dxa"/>
            <w:gridSpan w:val="2"/>
            <w:vAlign w:val="top"/>
          </w:tcPr>
          <w:p w14:paraId="57C59F61">
            <w:pPr>
              <w:pStyle w:val="59"/>
              <w:spacing w:before="91" w:line="261" w:lineRule="auto"/>
              <w:ind w:left="314" w:right="115" w:hanging="20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4G三相智能电表（含</w:t>
            </w:r>
            <w:r>
              <w:rPr>
                <w:rFonts w:hint="eastAsia" w:asciiTheme="minorEastAsia" w:hAnsiTheme="minorEastAsia" w:eastAsiaTheme="minorEastAsia" w:cstheme="minorEastAsia"/>
                <w:color w:val="auto"/>
                <w:spacing w:val="-4"/>
                <w:sz w:val="24"/>
                <w:szCs w:val="24"/>
                <w:highlight w:val="none"/>
                <w:lang w:val="en-US" w:eastAsia="zh-CN"/>
              </w:rPr>
              <w:t>质保期内</w:t>
            </w:r>
            <w:r>
              <w:rPr>
                <w:rFonts w:hint="eastAsia" w:asciiTheme="minorEastAsia" w:hAnsiTheme="minorEastAsia" w:eastAsiaTheme="minorEastAsia" w:cstheme="minorEastAsia"/>
                <w:color w:val="auto"/>
                <w:spacing w:val="-4"/>
                <w:sz w:val="24"/>
                <w:szCs w:val="24"/>
                <w:highlight w:val="none"/>
              </w:rPr>
              <w:t>通信流量）</w:t>
            </w:r>
          </w:p>
        </w:tc>
        <w:tc>
          <w:tcPr>
            <w:tcW w:w="1696" w:type="dxa"/>
            <w:gridSpan w:val="2"/>
            <w:vAlign w:val="top"/>
          </w:tcPr>
          <w:p w14:paraId="35512030">
            <w:pPr>
              <w:pStyle w:val="59"/>
              <w:spacing w:before="246"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top"/>
          </w:tcPr>
          <w:p w14:paraId="5BAC163F">
            <w:pPr>
              <w:pStyle w:val="59"/>
              <w:spacing w:before="282" w:line="181" w:lineRule="auto"/>
              <w:ind w:left="21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37</w:t>
            </w:r>
          </w:p>
        </w:tc>
        <w:tc>
          <w:tcPr>
            <w:tcW w:w="924" w:type="dxa"/>
            <w:vAlign w:val="top"/>
          </w:tcPr>
          <w:p w14:paraId="6C72F21B">
            <w:pPr>
              <w:pStyle w:val="59"/>
              <w:spacing w:before="247" w:line="222" w:lineRule="auto"/>
              <w:ind w:left="27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w:t>
            </w:r>
          </w:p>
        </w:tc>
        <w:tc>
          <w:tcPr>
            <w:tcW w:w="1284" w:type="dxa"/>
            <w:vAlign w:val="center"/>
          </w:tcPr>
          <w:p w14:paraId="03BC5AD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否</w:t>
            </w:r>
          </w:p>
        </w:tc>
        <w:tc>
          <w:tcPr>
            <w:tcW w:w="1759" w:type="dxa"/>
            <w:vMerge w:val="restart"/>
            <w:tcMar>
              <w:top w:w="0" w:type="dxa"/>
              <w:left w:w="57" w:type="dxa"/>
              <w:bottom w:w="0" w:type="dxa"/>
              <w:right w:w="57" w:type="dxa"/>
            </w:tcMar>
            <w:vAlign w:val="center"/>
          </w:tcPr>
          <w:p w14:paraId="2B797FBE">
            <w:pPr>
              <w:keepNext w:val="0"/>
              <w:keepLines w:val="0"/>
              <w:pageBreakBefore w:val="0"/>
              <w:widowControl w:val="0"/>
              <w:kinsoku/>
              <w:wordWrap/>
              <w:overflowPunct/>
              <w:topLinePunct w:val="0"/>
              <w:autoSpaceDE/>
              <w:autoSpaceDN/>
              <w:bidi w:val="0"/>
              <w:adjustRightInd/>
              <w:snapToGrid/>
              <w:spacing w:after="157" w:afterLines="50" w:line="24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含</w:t>
            </w:r>
            <w:r>
              <w:rPr>
                <w:rFonts w:hint="eastAsia" w:asciiTheme="minorEastAsia" w:hAnsiTheme="minorEastAsia" w:eastAsiaTheme="minorEastAsia" w:cstheme="minorEastAsia"/>
                <w:color w:val="auto"/>
                <w:sz w:val="24"/>
                <w:szCs w:val="24"/>
                <w:highlight w:val="none"/>
                <w:lang w:val="en-US" w:eastAsia="zh-CN"/>
              </w:rPr>
              <w:t>设备</w:t>
            </w:r>
            <w:r>
              <w:rPr>
                <w:rFonts w:hint="eastAsia" w:asciiTheme="minorEastAsia" w:hAnsiTheme="minorEastAsia" w:eastAsiaTheme="minorEastAsia" w:cstheme="minorEastAsia"/>
                <w:color w:val="auto"/>
                <w:sz w:val="24"/>
                <w:szCs w:val="24"/>
                <w:highlight w:val="none"/>
              </w:rPr>
              <w:t>安装调试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管线</w:t>
            </w:r>
            <w:r>
              <w:rPr>
                <w:rFonts w:hint="eastAsia" w:asciiTheme="minorEastAsia" w:hAnsiTheme="minorEastAsia" w:eastAsiaTheme="minorEastAsia" w:cstheme="minorEastAsia"/>
                <w:color w:val="auto"/>
                <w:sz w:val="24"/>
                <w:szCs w:val="24"/>
                <w:highlight w:val="none"/>
              </w:rPr>
              <w:t>敷设施工。</w:t>
            </w:r>
          </w:p>
        </w:tc>
      </w:tr>
      <w:tr w14:paraId="324C7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21" w:type="dxa"/>
            <w:vAlign w:val="top"/>
          </w:tcPr>
          <w:p w14:paraId="3D8ED646">
            <w:pPr>
              <w:spacing w:before="283" w:line="188" w:lineRule="auto"/>
              <w:ind w:left="26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11</w:t>
            </w:r>
          </w:p>
        </w:tc>
        <w:tc>
          <w:tcPr>
            <w:tcW w:w="2032" w:type="dxa"/>
            <w:gridSpan w:val="2"/>
            <w:vAlign w:val="top"/>
          </w:tcPr>
          <w:p w14:paraId="5D97E24C">
            <w:pPr>
              <w:pStyle w:val="59"/>
              <w:spacing w:before="246" w:line="224" w:lineRule="auto"/>
              <w:ind w:left="70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互感器</w:t>
            </w:r>
          </w:p>
        </w:tc>
        <w:tc>
          <w:tcPr>
            <w:tcW w:w="1696" w:type="dxa"/>
            <w:gridSpan w:val="2"/>
            <w:vAlign w:val="top"/>
          </w:tcPr>
          <w:p w14:paraId="0DD6C84B">
            <w:pPr>
              <w:pStyle w:val="59"/>
              <w:spacing w:before="246" w:line="220" w:lineRule="auto"/>
              <w:ind w:left="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top"/>
          </w:tcPr>
          <w:p w14:paraId="26CD6697">
            <w:pPr>
              <w:pStyle w:val="59"/>
              <w:spacing w:before="282" w:line="181" w:lineRule="auto"/>
              <w:ind w:left="21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37</w:t>
            </w:r>
          </w:p>
        </w:tc>
        <w:tc>
          <w:tcPr>
            <w:tcW w:w="924" w:type="dxa"/>
            <w:vAlign w:val="top"/>
          </w:tcPr>
          <w:p w14:paraId="18E4A1A5">
            <w:pPr>
              <w:pStyle w:val="59"/>
              <w:spacing w:before="246" w:line="220" w:lineRule="auto"/>
              <w:ind w:left="25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套</w:t>
            </w:r>
          </w:p>
        </w:tc>
        <w:tc>
          <w:tcPr>
            <w:tcW w:w="1284" w:type="dxa"/>
            <w:vAlign w:val="center"/>
          </w:tcPr>
          <w:p w14:paraId="5E15558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否</w:t>
            </w:r>
          </w:p>
        </w:tc>
        <w:tc>
          <w:tcPr>
            <w:tcW w:w="1759" w:type="dxa"/>
            <w:vMerge w:val="continue"/>
            <w:vAlign w:val="top"/>
          </w:tcPr>
          <w:p w14:paraId="0929F28B">
            <w:pPr>
              <w:rPr>
                <w:rFonts w:hint="eastAsia" w:asciiTheme="minorEastAsia" w:hAnsiTheme="minorEastAsia" w:eastAsiaTheme="minorEastAsia" w:cstheme="minorEastAsia"/>
                <w:color w:val="auto"/>
                <w:sz w:val="24"/>
                <w:szCs w:val="24"/>
                <w:highlight w:val="none"/>
              </w:rPr>
            </w:pPr>
          </w:p>
        </w:tc>
      </w:tr>
      <w:tr w14:paraId="522D0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9306" w:type="dxa"/>
            <w:gridSpan w:val="9"/>
            <w:vAlign w:val="center"/>
          </w:tcPr>
          <w:p w14:paraId="29A4A40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b/>
                <w:bCs/>
                <w:color w:val="auto"/>
                <w:spacing w:val="-5"/>
                <w:sz w:val="24"/>
                <w:szCs w:val="24"/>
                <w:highlight w:val="none"/>
                <w:lang w:val="en-US" w:eastAsia="zh-CN"/>
              </w:rPr>
            </w:pPr>
            <w:bookmarkStart w:id="91" w:name="OLE_LINK5"/>
          </w:p>
          <w:p w14:paraId="1DE3E65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5"/>
                <w:sz w:val="24"/>
                <w:szCs w:val="24"/>
                <w:highlight w:val="none"/>
                <w:lang w:val="en-US" w:eastAsia="zh-CN"/>
              </w:rPr>
              <w:t>四、</w:t>
            </w:r>
            <w:r>
              <w:rPr>
                <w:rFonts w:hint="eastAsia" w:asciiTheme="minorEastAsia" w:hAnsiTheme="minorEastAsia" w:eastAsiaTheme="minorEastAsia" w:cstheme="minorEastAsia"/>
                <w:b/>
                <w:bCs/>
                <w:color w:val="auto"/>
                <w:spacing w:val="-5"/>
                <w:sz w:val="24"/>
                <w:szCs w:val="24"/>
                <w:highlight w:val="none"/>
              </w:rPr>
              <w:t>管理平台</w:t>
            </w:r>
          </w:p>
        </w:tc>
      </w:tr>
      <w:tr w14:paraId="2BF19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721" w:type="dxa"/>
            <w:vAlign w:val="center"/>
          </w:tcPr>
          <w:p w14:paraId="5D39E009">
            <w:pPr>
              <w:spacing w:before="285" w:line="188" w:lineRule="auto"/>
              <w:ind w:left="269" w:leftChars="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pacing w:val="-1"/>
                <w:sz w:val="24"/>
                <w:szCs w:val="24"/>
                <w:highlight w:val="none"/>
                <w:lang w:val="en-US" w:eastAsia="zh-CN"/>
              </w:rPr>
              <w:t>12</w:t>
            </w:r>
          </w:p>
        </w:tc>
        <w:tc>
          <w:tcPr>
            <w:tcW w:w="2032" w:type="dxa"/>
            <w:gridSpan w:val="2"/>
            <w:vAlign w:val="center"/>
          </w:tcPr>
          <w:p w14:paraId="60DAA671">
            <w:pPr>
              <w:pStyle w:val="59"/>
              <w:spacing w:before="93" w:line="261" w:lineRule="auto"/>
              <w:ind w:right="175" w:rightChars="0"/>
              <w:jc w:val="center"/>
              <w:rPr>
                <w:rFonts w:hint="eastAsia" w:asciiTheme="minorEastAsia" w:hAnsiTheme="minorEastAsia" w:eastAsiaTheme="minorEastAsia" w:cstheme="minorEastAsia"/>
                <w:color w:val="auto"/>
                <w:kern w:val="2"/>
                <w:sz w:val="24"/>
                <w:szCs w:val="24"/>
                <w:highlight w:val="none"/>
                <w:lang w:val="en-US" w:eastAsia="en-US" w:bidi="ar-SA"/>
              </w:rPr>
            </w:pPr>
            <w:r>
              <w:rPr>
                <w:rFonts w:hint="eastAsia" w:asciiTheme="minorEastAsia" w:hAnsiTheme="minorEastAsia" w:eastAsiaTheme="minorEastAsia" w:cstheme="minorEastAsia"/>
                <w:color w:val="auto"/>
                <w:spacing w:val="-2"/>
                <w:sz w:val="24"/>
                <w:szCs w:val="24"/>
                <w:highlight w:val="none"/>
                <w:lang w:eastAsia="zh-CN"/>
              </w:rPr>
              <w:t>电能管理平台</w:t>
            </w:r>
            <w:r>
              <w:rPr>
                <w:rFonts w:hint="eastAsia" w:asciiTheme="minorEastAsia" w:hAnsiTheme="minorEastAsia" w:eastAsiaTheme="minorEastAsia" w:cstheme="minorEastAsia"/>
                <w:color w:val="auto"/>
                <w:spacing w:val="-2"/>
                <w:sz w:val="24"/>
                <w:szCs w:val="24"/>
                <w:highlight w:val="none"/>
              </w:rPr>
              <w:t>扩建及对接</w:t>
            </w:r>
          </w:p>
        </w:tc>
        <w:tc>
          <w:tcPr>
            <w:tcW w:w="1696" w:type="dxa"/>
            <w:gridSpan w:val="2"/>
            <w:vAlign w:val="center"/>
          </w:tcPr>
          <w:p w14:paraId="51105274">
            <w:pPr>
              <w:pStyle w:val="59"/>
              <w:spacing w:before="248" w:line="220" w:lineRule="auto"/>
              <w:ind w:left="213" w:leftChars="0"/>
              <w:jc w:val="both"/>
              <w:rPr>
                <w:rFonts w:hint="eastAsia" w:asciiTheme="minorEastAsia" w:hAnsiTheme="minorEastAsia" w:eastAsiaTheme="minorEastAsia" w:cstheme="minorEastAsia"/>
                <w:color w:val="auto"/>
                <w:kern w:val="2"/>
                <w:sz w:val="24"/>
                <w:szCs w:val="24"/>
                <w:highlight w:val="none"/>
                <w:lang w:val="en-US" w:eastAsia="en-US" w:bidi="ar-SA"/>
              </w:rPr>
            </w:pPr>
            <w:r>
              <w:rPr>
                <w:rFonts w:hint="eastAsia" w:asciiTheme="minorEastAsia" w:hAnsiTheme="minorEastAsia" w:eastAsiaTheme="minorEastAsia" w:cstheme="minorEastAsia"/>
                <w:color w:val="auto"/>
                <w:spacing w:val="-2"/>
                <w:sz w:val="24"/>
                <w:szCs w:val="24"/>
                <w:highlight w:val="none"/>
              </w:rPr>
              <w:t>详见技术需求</w:t>
            </w:r>
          </w:p>
        </w:tc>
        <w:tc>
          <w:tcPr>
            <w:tcW w:w="890" w:type="dxa"/>
            <w:vAlign w:val="center"/>
          </w:tcPr>
          <w:p w14:paraId="18357B0E">
            <w:pPr>
              <w:pStyle w:val="59"/>
              <w:spacing w:before="284" w:line="181" w:lineRule="auto"/>
              <w:ind w:left="269" w:leftChars="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w:t>
            </w:r>
          </w:p>
        </w:tc>
        <w:tc>
          <w:tcPr>
            <w:tcW w:w="924" w:type="dxa"/>
            <w:vAlign w:val="center"/>
          </w:tcPr>
          <w:p w14:paraId="37AA54E3">
            <w:pPr>
              <w:pStyle w:val="59"/>
              <w:spacing w:before="249" w:line="220" w:lineRule="auto"/>
              <w:ind w:left="260" w:leftChars="0"/>
              <w:jc w:val="both"/>
              <w:rPr>
                <w:rFonts w:hint="eastAsia" w:asciiTheme="minorEastAsia" w:hAnsiTheme="minorEastAsia" w:eastAsiaTheme="minorEastAsia" w:cstheme="minorEastAsia"/>
                <w:color w:val="auto"/>
                <w:kern w:val="2"/>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rPr>
              <w:t>项</w:t>
            </w:r>
          </w:p>
        </w:tc>
        <w:tc>
          <w:tcPr>
            <w:tcW w:w="1284" w:type="dxa"/>
            <w:vAlign w:val="center"/>
          </w:tcPr>
          <w:p w14:paraId="23A0895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否</w:t>
            </w:r>
          </w:p>
        </w:tc>
        <w:tc>
          <w:tcPr>
            <w:tcW w:w="1759" w:type="dxa"/>
            <w:vAlign w:val="top"/>
          </w:tcPr>
          <w:p w14:paraId="7EC34F2B">
            <w:pPr>
              <w:rPr>
                <w:rFonts w:hint="eastAsia" w:asciiTheme="minorEastAsia" w:hAnsiTheme="minorEastAsia" w:eastAsiaTheme="minorEastAsia" w:cstheme="minorEastAsia"/>
                <w:color w:val="auto"/>
                <w:sz w:val="24"/>
                <w:szCs w:val="24"/>
                <w:highlight w:val="none"/>
              </w:rPr>
            </w:pPr>
          </w:p>
        </w:tc>
      </w:tr>
      <w:bookmarkEnd w:id="91"/>
    </w:tbl>
    <w:p w14:paraId="74D829BA">
      <w:pPr>
        <w:spacing w:line="360" w:lineRule="auto"/>
        <w:rPr>
          <w:rFonts w:hint="eastAsia" w:ascii="宋体" w:hAnsi="宋体" w:eastAsia="宋体" w:cs="宋体"/>
          <w:color w:val="auto"/>
          <w:sz w:val="24"/>
          <w:szCs w:val="24"/>
          <w:highlight w:val="none"/>
        </w:rPr>
      </w:pPr>
    </w:p>
    <w:p w14:paraId="047543D6">
      <w:pPr>
        <w:shd w:val="clear"/>
        <w:tabs>
          <w:tab w:val="left" w:pos="8280"/>
        </w:tabs>
        <w:autoSpaceDE w:val="0"/>
        <w:autoSpaceDN w:val="0"/>
        <w:adjustRightInd w:val="0"/>
        <w:spacing w:line="360" w:lineRule="auto"/>
        <w:ind w:right="25"/>
        <w:rPr>
          <w:rFonts w:hint="eastAsia" w:ascii="宋体" w:hAnsi="宋体" w:eastAsia="宋体" w:cs="宋体"/>
          <w:color w:val="auto"/>
          <w:sz w:val="24"/>
          <w:szCs w:val="24"/>
          <w:highlight w:val="none"/>
        </w:rPr>
      </w:pPr>
    </w:p>
    <w:p w14:paraId="6699710F">
      <w:pPr>
        <w:widowControl/>
        <w:shd w:val="clear"/>
        <w:spacing w:line="360" w:lineRule="auto"/>
        <w:jc w:val="left"/>
        <w:rPr>
          <w:rFonts w:hint="eastAsia" w:ascii="宋体" w:hAnsi="宋体" w:eastAsia="宋体" w:cs="宋体"/>
          <w:b/>
          <w:color w:val="auto"/>
          <w:sz w:val="24"/>
          <w:szCs w:val="24"/>
          <w:highlight w:val="none"/>
        </w:rPr>
        <w:sectPr>
          <w:pgSz w:w="11906" w:h="16838"/>
          <w:pgMar w:top="1440" w:right="1800" w:bottom="1440" w:left="1800" w:header="851" w:footer="992" w:gutter="0"/>
          <w:pgNumType w:fmt="decimal"/>
          <w:cols w:space="425" w:num="1"/>
          <w:docGrid w:type="lines" w:linePitch="312" w:charSpace="0"/>
        </w:sectPr>
      </w:pPr>
    </w:p>
    <w:p w14:paraId="2B5DA58A">
      <w:pPr>
        <w:numPr>
          <w:ilvl w:val="0"/>
          <w:numId w:val="0"/>
        </w:numPr>
        <w:shd w:val="clear"/>
        <w:tabs>
          <w:tab w:val="left" w:pos="8280"/>
        </w:tabs>
        <w:autoSpaceDE w:val="0"/>
        <w:autoSpaceDN w:val="0"/>
        <w:adjustRightInd w:val="0"/>
        <w:spacing w:line="360" w:lineRule="auto"/>
        <w:ind w:left="0" w:leftChars="0" w:right="25" w:rightChars="0" w:firstLine="42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lang w:val="en-US" w:eastAsia="zh-CN" w:bidi="ar-SA"/>
        </w:rPr>
        <w:t>三、</w:t>
      </w:r>
      <w:r>
        <w:rPr>
          <w:rFonts w:hint="eastAsia" w:ascii="宋体" w:hAnsi="宋体" w:eastAsia="宋体" w:cs="宋体"/>
          <w:b/>
          <w:bCs/>
          <w:color w:val="auto"/>
          <w:sz w:val="24"/>
          <w:szCs w:val="24"/>
          <w:highlight w:val="none"/>
        </w:rPr>
        <w:t>技术需求</w:t>
      </w:r>
    </w:p>
    <w:p w14:paraId="47FA890B">
      <w:pPr>
        <w:pStyle w:val="22"/>
        <w:widowControl/>
        <w:numPr>
          <w:ilvl w:val="0"/>
          <w:numId w:val="5"/>
        </w:numPr>
        <w:shd w:val="clear"/>
        <w:spacing w:beforeLines="0" w:beforeAutospacing="0" w:afterLines="0" w:afterAutospacing="0" w:line="360" w:lineRule="auto"/>
        <w:ind w:firstLine="482"/>
        <w:rPr>
          <w:rFonts w:hint="eastAsia" w:ascii="宋体" w:hAnsi="宋体" w:eastAsia="宋体" w:cs="宋体"/>
          <w:b/>
          <w:bCs/>
          <w:color w:val="auto"/>
          <w:sz w:val="24"/>
          <w:szCs w:val="24"/>
          <w:highlight w:val="none"/>
        </w:rPr>
      </w:pPr>
      <w:bookmarkStart w:id="92" w:name="_Toc177870557"/>
      <w:r>
        <w:rPr>
          <w:rFonts w:hint="eastAsia" w:ascii="宋体" w:hAnsi="宋体" w:eastAsia="宋体" w:cs="宋体"/>
          <w:b/>
          <w:bCs/>
          <w:color w:val="auto"/>
          <w:sz w:val="24"/>
          <w:szCs w:val="24"/>
          <w:highlight w:val="none"/>
        </w:rPr>
        <w:t>主要设备技术需求表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966"/>
        <w:gridCol w:w="5679"/>
      </w:tblGrid>
      <w:tr w14:paraId="01B8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72" w:type="dxa"/>
            <w:vAlign w:val="top"/>
          </w:tcPr>
          <w:p w14:paraId="0BCBA5EB">
            <w:pPr>
              <w:pStyle w:val="59"/>
              <w:spacing w:before="68" w:line="360" w:lineRule="auto"/>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序号</w:t>
            </w:r>
          </w:p>
        </w:tc>
        <w:tc>
          <w:tcPr>
            <w:tcW w:w="1968" w:type="dxa"/>
            <w:vAlign w:val="top"/>
          </w:tcPr>
          <w:p w14:paraId="5B0FE4DC">
            <w:pPr>
              <w:pStyle w:val="59"/>
              <w:spacing w:before="68" w:line="360" w:lineRule="auto"/>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设备名称</w:t>
            </w:r>
          </w:p>
        </w:tc>
        <w:tc>
          <w:tcPr>
            <w:tcW w:w="5682" w:type="dxa"/>
            <w:vAlign w:val="top"/>
          </w:tcPr>
          <w:p w14:paraId="202F7948">
            <w:pPr>
              <w:pStyle w:val="59"/>
              <w:spacing w:before="68" w:line="360" w:lineRule="auto"/>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技术参数</w:t>
            </w:r>
          </w:p>
        </w:tc>
      </w:tr>
      <w:tr w14:paraId="0260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top"/>
          </w:tcPr>
          <w:p w14:paraId="46E4B2E3">
            <w:pPr>
              <w:pStyle w:val="59"/>
              <w:spacing w:before="63" w:line="360" w:lineRule="auto"/>
              <w:ind w:left="115" w:leftChars="0"/>
              <w:jc w:val="center"/>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5"/>
                <w:sz w:val="24"/>
                <w:szCs w:val="24"/>
                <w:highlight w:val="none"/>
                <w:lang w:val="en-US" w:eastAsia="zh-CN"/>
              </w:rPr>
              <w:t>一、</w:t>
            </w:r>
            <w:r>
              <w:rPr>
                <w:rFonts w:hint="eastAsia" w:ascii="宋体" w:hAnsi="宋体" w:eastAsia="宋体" w:cs="宋体"/>
                <w:b/>
                <w:bCs/>
                <w:color w:val="auto"/>
                <w:spacing w:val="5"/>
                <w:sz w:val="24"/>
                <w:szCs w:val="24"/>
                <w:highlight w:val="none"/>
              </w:rPr>
              <w:t>空调控制</w:t>
            </w:r>
          </w:p>
        </w:tc>
      </w:tr>
      <w:tr w14:paraId="6615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14:paraId="0994F572">
            <w:pPr>
              <w:spacing w:line="360" w:lineRule="auto"/>
              <w:jc w:val="center"/>
              <w:rPr>
                <w:rFonts w:hint="eastAsia" w:ascii="宋体" w:hAnsi="宋体" w:eastAsia="宋体" w:cs="宋体"/>
                <w:color w:val="auto"/>
                <w:sz w:val="24"/>
                <w:szCs w:val="24"/>
                <w:highlight w:val="none"/>
              </w:rPr>
            </w:pPr>
          </w:p>
          <w:p w14:paraId="1399B3FA">
            <w:pPr>
              <w:spacing w:line="360" w:lineRule="auto"/>
              <w:jc w:val="center"/>
              <w:rPr>
                <w:rFonts w:hint="eastAsia" w:ascii="宋体" w:hAnsi="宋体" w:eastAsia="宋体" w:cs="宋体"/>
                <w:color w:val="auto"/>
                <w:sz w:val="24"/>
                <w:szCs w:val="24"/>
                <w:highlight w:val="none"/>
              </w:rPr>
            </w:pPr>
          </w:p>
          <w:p w14:paraId="2516DAB2">
            <w:pPr>
              <w:spacing w:line="360" w:lineRule="auto"/>
              <w:jc w:val="center"/>
              <w:rPr>
                <w:rFonts w:hint="eastAsia" w:ascii="宋体" w:hAnsi="宋体" w:eastAsia="宋体" w:cs="宋体"/>
                <w:color w:val="auto"/>
                <w:sz w:val="24"/>
                <w:szCs w:val="24"/>
                <w:highlight w:val="none"/>
              </w:rPr>
            </w:pPr>
          </w:p>
          <w:p w14:paraId="12ACD305">
            <w:pPr>
              <w:spacing w:line="360" w:lineRule="auto"/>
              <w:jc w:val="center"/>
              <w:rPr>
                <w:rFonts w:hint="eastAsia" w:ascii="宋体" w:hAnsi="宋体" w:eastAsia="宋体" w:cs="宋体"/>
                <w:color w:val="auto"/>
                <w:sz w:val="24"/>
                <w:szCs w:val="24"/>
                <w:highlight w:val="none"/>
              </w:rPr>
            </w:pPr>
          </w:p>
          <w:p w14:paraId="7661448B">
            <w:pPr>
              <w:spacing w:line="360" w:lineRule="auto"/>
              <w:jc w:val="center"/>
              <w:rPr>
                <w:rFonts w:hint="eastAsia" w:ascii="宋体" w:hAnsi="宋体" w:eastAsia="宋体" w:cs="宋体"/>
                <w:color w:val="auto"/>
                <w:sz w:val="24"/>
                <w:szCs w:val="24"/>
                <w:highlight w:val="none"/>
              </w:rPr>
            </w:pPr>
          </w:p>
          <w:p w14:paraId="27A0FBFF">
            <w:pPr>
              <w:spacing w:line="360" w:lineRule="auto"/>
              <w:jc w:val="center"/>
              <w:rPr>
                <w:rFonts w:hint="eastAsia" w:ascii="宋体" w:hAnsi="宋体" w:eastAsia="宋体" w:cs="宋体"/>
                <w:color w:val="auto"/>
                <w:sz w:val="24"/>
                <w:szCs w:val="24"/>
                <w:highlight w:val="none"/>
              </w:rPr>
            </w:pPr>
          </w:p>
          <w:p w14:paraId="6B856DA3">
            <w:pPr>
              <w:spacing w:line="360" w:lineRule="auto"/>
              <w:jc w:val="center"/>
              <w:rPr>
                <w:rFonts w:hint="eastAsia" w:ascii="宋体" w:hAnsi="宋体" w:eastAsia="宋体" w:cs="宋体"/>
                <w:color w:val="auto"/>
                <w:sz w:val="24"/>
                <w:szCs w:val="24"/>
                <w:highlight w:val="none"/>
              </w:rPr>
            </w:pPr>
          </w:p>
          <w:p w14:paraId="567A78D8">
            <w:pPr>
              <w:spacing w:line="360" w:lineRule="auto"/>
              <w:jc w:val="center"/>
              <w:rPr>
                <w:rFonts w:hint="eastAsia" w:ascii="宋体" w:hAnsi="宋体" w:eastAsia="宋体" w:cs="宋体"/>
                <w:color w:val="auto"/>
                <w:sz w:val="24"/>
                <w:szCs w:val="24"/>
                <w:highlight w:val="none"/>
              </w:rPr>
            </w:pPr>
          </w:p>
          <w:p w14:paraId="7004EE0A">
            <w:pPr>
              <w:pStyle w:val="59"/>
              <w:spacing w:before="69"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z w:val="24"/>
                <w:szCs w:val="24"/>
                <w:highlight w:val="none"/>
              </w:rPr>
              <w:t>1</w:t>
            </w:r>
          </w:p>
        </w:tc>
        <w:tc>
          <w:tcPr>
            <w:tcW w:w="1968" w:type="dxa"/>
            <w:vAlign w:val="top"/>
          </w:tcPr>
          <w:p w14:paraId="372E5B4E">
            <w:pPr>
              <w:spacing w:line="360" w:lineRule="auto"/>
              <w:rPr>
                <w:rFonts w:hint="eastAsia" w:ascii="宋体" w:hAnsi="宋体" w:eastAsia="宋体" w:cs="宋体"/>
                <w:color w:val="auto"/>
                <w:sz w:val="24"/>
                <w:szCs w:val="24"/>
                <w:highlight w:val="none"/>
              </w:rPr>
            </w:pPr>
          </w:p>
          <w:p w14:paraId="43B84B1D">
            <w:pPr>
              <w:spacing w:line="360" w:lineRule="auto"/>
              <w:rPr>
                <w:rFonts w:hint="eastAsia" w:ascii="宋体" w:hAnsi="宋体" w:eastAsia="宋体" w:cs="宋体"/>
                <w:color w:val="auto"/>
                <w:sz w:val="24"/>
                <w:szCs w:val="24"/>
                <w:highlight w:val="none"/>
              </w:rPr>
            </w:pPr>
          </w:p>
          <w:p w14:paraId="1B4F3EA6">
            <w:pPr>
              <w:spacing w:line="360" w:lineRule="auto"/>
              <w:rPr>
                <w:rFonts w:hint="eastAsia" w:ascii="宋体" w:hAnsi="宋体" w:eastAsia="宋体" w:cs="宋体"/>
                <w:color w:val="auto"/>
                <w:sz w:val="24"/>
                <w:szCs w:val="24"/>
                <w:highlight w:val="none"/>
              </w:rPr>
            </w:pPr>
          </w:p>
          <w:p w14:paraId="714579B2">
            <w:pPr>
              <w:spacing w:line="360" w:lineRule="auto"/>
              <w:rPr>
                <w:rFonts w:hint="eastAsia" w:ascii="宋体" w:hAnsi="宋体" w:eastAsia="宋体" w:cs="宋体"/>
                <w:color w:val="auto"/>
                <w:sz w:val="24"/>
                <w:szCs w:val="24"/>
                <w:highlight w:val="none"/>
              </w:rPr>
            </w:pPr>
          </w:p>
          <w:p w14:paraId="5F981B06">
            <w:pPr>
              <w:spacing w:line="360" w:lineRule="auto"/>
              <w:rPr>
                <w:rFonts w:hint="eastAsia" w:ascii="宋体" w:hAnsi="宋体" w:eastAsia="宋体" w:cs="宋体"/>
                <w:color w:val="auto"/>
                <w:sz w:val="24"/>
                <w:szCs w:val="24"/>
                <w:highlight w:val="none"/>
              </w:rPr>
            </w:pPr>
          </w:p>
          <w:p w14:paraId="1BE5867D">
            <w:pPr>
              <w:spacing w:line="360" w:lineRule="auto"/>
              <w:rPr>
                <w:rFonts w:hint="eastAsia" w:ascii="宋体" w:hAnsi="宋体" w:eastAsia="宋体" w:cs="宋体"/>
                <w:color w:val="auto"/>
                <w:sz w:val="24"/>
                <w:szCs w:val="24"/>
                <w:highlight w:val="none"/>
              </w:rPr>
            </w:pPr>
          </w:p>
          <w:p w14:paraId="78F27E0E">
            <w:pPr>
              <w:spacing w:line="360" w:lineRule="auto"/>
              <w:rPr>
                <w:rFonts w:hint="eastAsia" w:ascii="宋体" w:hAnsi="宋体" w:eastAsia="宋体" w:cs="宋体"/>
                <w:color w:val="auto"/>
                <w:sz w:val="24"/>
                <w:szCs w:val="24"/>
                <w:highlight w:val="none"/>
              </w:rPr>
            </w:pPr>
          </w:p>
          <w:p w14:paraId="66F6BAAA">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8"/>
                <w:sz w:val="24"/>
                <w:szCs w:val="24"/>
                <w:highlight w:val="none"/>
              </w:rPr>
              <w:t>分布式三相</w:t>
            </w:r>
            <w:r>
              <w:rPr>
                <w:rFonts w:hint="eastAsia" w:ascii="宋体" w:hAnsi="宋体" w:eastAsia="宋体" w:cs="宋体"/>
                <w:color w:val="auto"/>
                <w:spacing w:val="6"/>
                <w:sz w:val="24"/>
                <w:szCs w:val="24"/>
                <w:highlight w:val="none"/>
              </w:rPr>
              <w:t>无线</w:t>
            </w:r>
            <w:r>
              <w:rPr>
                <w:rFonts w:hint="eastAsia" w:ascii="宋体" w:hAnsi="宋体" w:eastAsia="宋体" w:cs="宋体"/>
                <w:color w:val="auto"/>
                <w:spacing w:val="8"/>
                <w:sz w:val="24"/>
                <w:szCs w:val="24"/>
                <w:highlight w:val="none"/>
              </w:rPr>
              <w:t>空调</w:t>
            </w:r>
            <w:r>
              <w:rPr>
                <w:rFonts w:hint="eastAsia" w:ascii="宋体" w:hAnsi="宋体" w:eastAsia="宋体" w:cs="宋体"/>
                <w:color w:val="auto"/>
                <w:spacing w:val="7"/>
                <w:sz w:val="24"/>
                <w:szCs w:val="24"/>
                <w:highlight w:val="none"/>
              </w:rPr>
              <w:t>控制器</w:t>
            </w:r>
          </w:p>
        </w:tc>
        <w:tc>
          <w:tcPr>
            <w:tcW w:w="5682" w:type="dxa"/>
            <w:vAlign w:val="top"/>
          </w:tcPr>
          <w:p w14:paraId="25605B61">
            <w:pPr>
              <w:pStyle w:val="59"/>
              <w:numPr>
                <w:ilvl w:val="0"/>
                <w:numId w:val="6"/>
              </w:numPr>
              <w:spacing w:before="53" w:line="360" w:lineRule="auto"/>
              <w:ind w:left="0" w:leftChars="0" w:firstLine="420" w:firstLineChars="0"/>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lang w:val="en-US" w:eastAsia="zh-CN"/>
              </w:rPr>
              <w:t>关键参数</w:t>
            </w:r>
          </w:p>
          <w:p w14:paraId="4948C444">
            <w:pPr>
              <w:pStyle w:val="59"/>
              <w:numPr>
                <w:ilvl w:val="0"/>
                <w:numId w:val="7"/>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lang w:val="en-US" w:eastAsia="zh-CN"/>
              </w:rPr>
              <w:t>设备整体性：单个产品，</w:t>
            </w:r>
            <w:r>
              <w:rPr>
                <w:rFonts w:hint="eastAsia" w:ascii="宋体" w:hAnsi="宋体" w:eastAsia="宋体" w:cs="宋体"/>
                <w:color w:val="auto"/>
                <w:spacing w:val="-1"/>
                <w:sz w:val="24"/>
                <w:szCs w:val="24"/>
                <w:highlight w:val="none"/>
                <w:lang w:eastAsia="zh-CN"/>
              </w:rPr>
              <w:t>不允许</w:t>
            </w:r>
            <w:r>
              <w:rPr>
                <w:rFonts w:hint="eastAsia" w:ascii="宋体" w:hAnsi="宋体" w:eastAsia="宋体" w:cs="宋体"/>
                <w:color w:val="auto"/>
                <w:spacing w:val="-1"/>
                <w:sz w:val="24"/>
                <w:szCs w:val="24"/>
                <w:highlight w:val="none"/>
                <w:lang w:val="en-US" w:eastAsia="zh-CN"/>
              </w:rPr>
              <w:t>为</w:t>
            </w:r>
            <w:r>
              <w:rPr>
                <w:rFonts w:hint="eastAsia" w:ascii="宋体" w:hAnsi="宋体" w:eastAsia="宋体" w:cs="宋体"/>
                <w:color w:val="auto"/>
                <w:spacing w:val="-1"/>
                <w:sz w:val="24"/>
                <w:szCs w:val="24"/>
                <w:highlight w:val="none"/>
                <w:lang w:eastAsia="zh-CN"/>
              </w:rPr>
              <w:t>两个或两个以上</w:t>
            </w:r>
            <w:r>
              <w:rPr>
                <w:rFonts w:hint="eastAsia" w:ascii="宋体" w:hAnsi="宋体" w:eastAsia="宋体" w:cs="宋体"/>
                <w:color w:val="auto"/>
                <w:spacing w:val="-1"/>
                <w:sz w:val="24"/>
                <w:szCs w:val="24"/>
                <w:highlight w:val="none"/>
                <w:lang w:val="en-US" w:eastAsia="zh-CN"/>
              </w:rPr>
              <w:t>产品的</w:t>
            </w:r>
            <w:r>
              <w:rPr>
                <w:rFonts w:hint="eastAsia" w:ascii="宋体" w:hAnsi="宋体" w:eastAsia="宋体" w:cs="宋体"/>
                <w:color w:val="auto"/>
                <w:spacing w:val="-1"/>
                <w:sz w:val="24"/>
                <w:szCs w:val="24"/>
                <w:highlight w:val="none"/>
                <w:lang w:eastAsia="zh-CN"/>
              </w:rPr>
              <w:t>组合。</w:t>
            </w:r>
          </w:p>
          <w:p w14:paraId="3BA4C167">
            <w:pPr>
              <w:pStyle w:val="59"/>
              <w:numPr>
                <w:ilvl w:val="0"/>
                <w:numId w:val="7"/>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lang w:val="en-US" w:eastAsia="zh-CN"/>
              </w:rPr>
              <w:t>具备</w:t>
            </w:r>
            <w:r>
              <w:rPr>
                <w:rFonts w:hint="eastAsia" w:ascii="宋体" w:hAnsi="宋体" w:eastAsia="宋体" w:cs="宋体"/>
                <w:color w:val="auto"/>
                <w:sz w:val="24"/>
                <w:szCs w:val="24"/>
                <w:highlight w:val="none"/>
              </w:rPr>
              <w:t>远程通断</w:t>
            </w:r>
            <w:r>
              <w:rPr>
                <w:rFonts w:hint="eastAsia" w:ascii="宋体" w:hAnsi="宋体" w:eastAsia="宋体" w:cs="宋体"/>
                <w:color w:val="auto"/>
                <w:sz w:val="24"/>
                <w:szCs w:val="24"/>
                <w:highlight w:val="none"/>
                <w:lang w:val="en-US" w:eastAsia="zh-CN"/>
              </w:rPr>
              <w:t>空调</w:t>
            </w:r>
            <w:r>
              <w:rPr>
                <w:rFonts w:hint="eastAsia" w:ascii="宋体" w:hAnsi="宋体" w:eastAsia="宋体" w:cs="宋体"/>
                <w:color w:val="auto"/>
                <w:sz w:val="24"/>
                <w:szCs w:val="24"/>
                <w:highlight w:val="none"/>
              </w:rPr>
              <w:t>电源功能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且以</w:t>
            </w:r>
            <w:r>
              <w:rPr>
                <w:rFonts w:hint="eastAsia" w:ascii="宋体" w:hAnsi="宋体" w:eastAsia="宋体" w:cs="宋体"/>
                <w:color w:val="auto"/>
                <w:spacing w:val="-1"/>
                <w:sz w:val="24"/>
                <w:szCs w:val="24"/>
                <w:highlight w:val="none"/>
              </w:rPr>
              <w:t>内置</w:t>
            </w:r>
            <w:r>
              <w:rPr>
                <w:rFonts w:hint="eastAsia" w:ascii="宋体" w:hAnsi="宋体" w:eastAsia="宋体" w:cs="宋体"/>
                <w:b w:val="0"/>
                <w:bCs w:val="0"/>
                <w:color w:val="auto"/>
                <w:spacing w:val="-1"/>
                <w:sz w:val="24"/>
                <w:szCs w:val="24"/>
                <w:highlight w:val="none"/>
              </w:rPr>
              <w:t>交流接触器</w:t>
            </w:r>
            <w:r>
              <w:rPr>
                <w:rFonts w:hint="eastAsia" w:ascii="宋体" w:hAnsi="宋体" w:eastAsia="宋体" w:cs="宋体"/>
                <w:color w:val="auto"/>
                <w:spacing w:val="-1"/>
                <w:sz w:val="24"/>
                <w:szCs w:val="24"/>
                <w:highlight w:val="none"/>
              </w:rPr>
              <w:t>实现通断电</w:t>
            </w:r>
            <w:r>
              <w:rPr>
                <w:rFonts w:hint="eastAsia" w:ascii="宋体" w:hAnsi="宋体" w:eastAsia="宋体" w:cs="宋体"/>
                <w:color w:val="auto"/>
                <w:spacing w:val="-1"/>
                <w:sz w:val="24"/>
                <w:szCs w:val="24"/>
                <w:highlight w:val="none"/>
                <w:lang w:eastAsia="zh-CN"/>
              </w:rPr>
              <w:t>。</w:t>
            </w:r>
          </w:p>
          <w:p w14:paraId="618311D0">
            <w:pPr>
              <w:pStyle w:val="59"/>
              <w:numPr>
                <w:ilvl w:val="0"/>
                <w:numId w:val="7"/>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lang w:val="en-US" w:eastAsia="zh-CN"/>
              </w:rPr>
              <w:t>远程</w:t>
            </w:r>
            <w:r>
              <w:rPr>
                <w:rFonts w:hint="eastAsia" w:ascii="宋体" w:hAnsi="宋体" w:eastAsia="宋体" w:cs="宋体"/>
                <w:color w:val="auto"/>
                <w:spacing w:val="-6"/>
                <w:sz w:val="24"/>
                <w:szCs w:val="24"/>
                <w:highlight w:val="none"/>
              </w:rPr>
              <w:t>控制</w:t>
            </w:r>
            <w:r>
              <w:rPr>
                <w:rFonts w:hint="eastAsia" w:ascii="宋体" w:hAnsi="宋体" w:eastAsia="宋体" w:cs="宋体"/>
                <w:color w:val="auto"/>
                <w:spacing w:val="-6"/>
                <w:sz w:val="24"/>
                <w:szCs w:val="24"/>
                <w:highlight w:val="none"/>
                <w:lang w:val="en-US" w:eastAsia="zh-CN"/>
              </w:rPr>
              <w:t>空调功能</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lang w:val="en-US" w:eastAsia="zh-CN"/>
              </w:rPr>
              <w:t>可</w:t>
            </w:r>
            <w:r>
              <w:rPr>
                <w:rFonts w:hint="eastAsia" w:ascii="宋体" w:hAnsi="宋体" w:eastAsia="宋体" w:cs="宋体"/>
                <w:color w:val="auto"/>
                <w:spacing w:val="-3"/>
                <w:sz w:val="24"/>
                <w:szCs w:val="24"/>
                <w:highlight w:val="none"/>
                <w:lang w:eastAsia="zh-CN"/>
              </w:rPr>
              <w:t>远程实时对空调进行开关机、温度、模式、风速控制等控制。</w:t>
            </w:r>
            <w:r>
              <w:rPr>
                <w:rFonts w:hint="eastAsia" w:ascii="宋体" w:hAnsi="宋体" w:eastAsia="宋体" w:cs="宋体"/>
                <w:color w:val="auto"/>
                <w:spacing w:val="-6"/>
                <w:sz w:val="24"/>
                <w:szCs w:val="24"/>
                <w:highlight w:val="none"/>
              </w:rPr>
              <w:t>配置远程红外码库，</w:t>
            </w:r>
            <w:r>
              <w:rPr>
                <w:rFonts w:hint="eastAsia" w:ascii="宋体" w:hAnsi="宋体" w:eastAsia="宋体" w:cs="宋体"/>
                <w:color w:val="auto"/>
                <w:spacing w:val="-7"/>
                <w:sz w:val="24"/>
                <w:szCs w:val="24"/>
                <w:highlight w:val="none"/>
              </w:rPr>
              <w:t>支持批量下发</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支持红外学习功能、红外学习编码，具备大功率红外发射模</w:t>
            </w:r>
            <w:r>
              <w:rPr>
                <w:rFonts w:hint="eastAsia" w:ascii="宋体" w:hAnsi="宋体" w:eastAsia="宋体" w:cs="宋体"/>
                <w:color w:val="auto"/>
                <w:spacing w:val="-2"/>
                <w:sz w:val="24"/>
                <w:szCs w:val="24"/>
                <w:highlight w:val="none"/>
              </w:rPr>
              <w:t>块全向控制，并可支持扩展远距离红外延长线点对点</w:t>
            </w:r>
            <w:r>
              <w:rPr>
                <w:rFonts w:hint="eastAsia" w:ascii="宋体" w:hAnsi="宋体" w:eastAsia="宋体" w:cs="宋体"/>
                <w:color w:val="auto"/>
                <w:spacing w:val="-3"/>
                <w:sz w:val="24"/>
                <w:szCs w:val="24"/>
                <w:highlight w:val="none"/>
              </w:rPr>
              <w:t>控制</w:t>
            </w:r>
            <w:r>
              <w:rPr>
                <w:rFonts w:hint="eastAsia" w:ascii="宋体" w:hAnsi="宋体" w:eastAsia="宋体" w:cs="宋体"/>
                <w:color w:val="auto"/>
                <w:spacing w:val="-3"/>
                <w:sz w:val="24"/>
                <w:szCs w:val="24"/>
                <w:highlight w:val="none"/>
                <w:lang w:eastAsia="zh-CN"/>
              </w:rPr>
              <w:t>。</w:t>
            </w:r>
          </w:p>
          <w:p w14:paraId="2C409B53">
            <w:pPr>
              <w:pStyle w:val="59"/>
              <w:numPr>
                <w:ilvl w:val="0"/>
                <w:numId w:val="7"/>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●智能</w:t>
            </w:r>
            <w:r>
              <w:rPr>
                <w:rFonts w:hint="eastAsia" w:ascii="宋体" w:hAnsi="宋体" w:eastAsia="宋体" w:cs="宋体"/>
                <w:color w:val="auto"/>
                <w:spacing w:val="-1"/>
                <w:sz w:val="24"/>
                <w:szCs w:val="24"/>
                <w:highlight w:val="none"/>
              </w:rPr>
              <w:t>监</w:t>
            </w:r>
            <w:r>
              <w:rPr>
                <w:rFonts w:hint="eastAsia" w:ascii="宋体" w:hAnsi="宋体" w:eastAsia="宋体" w:cs="宋体"/>
                <w:color w:val="auto"/>
                <w:spacing w:val="-1"/>
                <w:sz w:val="24"/>
                <w:szCs w:val="24"/>
                <w:highlight w:val="none"/>
                <w:lang w:val="en-US" w:eastAsia="zh-CN"/>
              </w:rPr>
              <w:t>测功能</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可以监测</w:t>
            </w:r>
            <w:r>
              <w:rPr>
                <w:rFonts w:hint="eastAsia" w:ascii="宋体" w:hAnsi="宋体" w:eastAsia="宋体" w:cs="宋体"/>
                <w:color w:val="auto"/>
                <w:spacing w:val="-1"/>
                <w:sz w:val="24"/>
                <w:szCs w:val="24"/>
                <w:highlight w:val="none"/>
              </w:rPr>
              <w:t>空调开关机状态、环境温度湿度、空调电压与电流</w:t>
            </w:r>
            <w:r>
              <w:rPr>
                <w:rFonts w:hint="eastAsia" w:ascii="宋体" w:hAnsi="宋体" w:eastAsia="宋体" w:cs="宋体"/>
                <w:color w:val="auto"/>
                <w:spacing w:val="-2"/>
                <w:sz w:val="24"/>
                <w:szCs w:val="24"/>
                <w:highlight w:val="none"/>
              </w:rPr>
              <w:t>、空调功率与用电量</w:t>
            </w:r>
            <w:r>
              <w:rPr>
                <w:rFonts w:hint="eastAsia" w:ascii="宋体" w:hAnsi="宋体" w:eastAsia="宋体" w:cs="宋体"/>
                <w:color w:val="auto"/>
                <w:spacing w:val="-2"/>
                <w:sz w:val="24"/>
                <w:szCs w:val="24"/>
                <w:highlight w:val="none"/>
                <w:lang w:val="en-US" w:eastAsia="zh-CN"/>
              </w:rPr>
              <w:t>等。</w:t>
            </w:r>
          </w:p>
          <w:p w14:paraId="16C6FBC3">
            <w:pPr>
              <w:pStyle w:val="59"/>
              <w:numPr>
                <w:ilvl w:val="0"/>
                <w:numId w:val="6"/>
              </w:numPr>
              <w:spacing w:before="53" w:line="360" w:lineRule="auto"/>
              <w:ind w:left="0" w:leftChars="0" w:firstLine="420" w:firstLineChars="0"/>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lang w:val="en-US" w:eastAsia="zh-CN"/>
              </w:rPr>
              <w:t>重要参数</w:t>
            </w:r>
          </w:p>
          <w:p w14:paraId="18D81E8F">
            <w:pPr>
              <w:pStyle w:val="59"/>
              <w:numPr>
                <w:ilvl w:val="0"/>
                <w:numId w:val="8"/>
              </w:numPr>
              <w:spacing w:before="39" w:line="360" w:lineRule="auto"/>
              <w:ind w:left="454" w:leftChars="0" w:hanging="454" w:firstLineChars="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lang w:val="en-US" w:eastAsia="zh-CN"/>
              </w:rPr>
              <w:t>红外、强制断电联动功能：支持先发送红外指令关闭空调后切断空调电源。</w:t>
            </w:r>
          </w:p>
          <w:p w14:paraId="7630C865">
            <w:pPr>
              <w:pStyle w:val="59"/>
              <w:numPr>
                <w:ilvl w:val="0"/>
                <w:numId w:val="8"/>
              </w:numPr>
              <w:spacing w:before="39" w:line="360" w:lineRule="auto"/>
              <w:ind w:left="454" w:leftChars="0" w:hanging="454" w:firstLineChars="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智能策略</w:t>
            </w:r>
            <w:r>
              <w:rPr>
                <w:rFonts w:hint="eastAsia" w:ascii="宋体" w:hAnsi="宋体" w:eastAsia="宋体" w:cs="宋体"/>
                <w:color w:val="auto"/>
                <w:sz w:val="24"/>
                <w:szCs w:val="24"/>
                <w:highlight w:val="none"/>
                <w:lang w:val="en-US" w:eastAsia="zh-CN"/>
              </w:rPr>
              <w:t>控制功能：配合管理软件平台设定的策略</w:t>
            </w:r>
            <w:r>
              <w:rPr>
                <w:rFonts w:hint="eastAsia" w:ascii="宋体" w:hAnsi="宋体" w:eastAsia="宋体" w:cs="宋体"/>
                <w:color w:val="auto"/>
                <w:sz w:val="24"/>
                <w:szCs w:val="24"/>
                <w:highlight w:val="none"/>
              </w:rPr>
              <w:t>，能够实现定时开关机、自动调温、限定温度等智能</w:t>
            </w:r>
            <w:r>
              <w:rPr>
                <w:rFonts w:hint="eastAsia" w:ascii="宋体" w:hAnsi="宋体" w:eastAsia="宋体" w:cs="宋体"/>
                <w:color w:val="auto"/>
                <w:sz w:val="24"/>
                <w:szCs w:val="24"/>
                <w:highlight w:val="none"/>
                <w:lang w:val="en-US" w:eastAsia="zh-CN"/>
              </w:rPr>
              <w:t>控制。</w:t>
            </w:r>
          </w:p>
          <w:p w14:paraId="497AD700">
            <w:pPr>
              <w:pStyle w:val="59"/>
              <w:numPr>
                <w:ilvl w:val="0"/>
                <w:numId w:val="8"/>
              </w:numPr>
              <w:spacing w:before="39" w:line="360" w:lineRule="auto"/>
              <w:ind w:left="454" w:leftChars="0" w:hanging="454" w:firstLineChars="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5"/>
                <w:sz w:val="24"/>
                <w:szCs w:val="24"/>
                <w:highlight w:val="none"/>
              </w:rPr>
              <w:t>通讯方式：具备</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Lora</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5"/>
                <w:sz w:val="24"/>
                <w:szCs w:val="24"/>
                <w:highlight w:val="none"/>
              </w:rPr>
              <w:t>、4G</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5"/>
                <w:sz w:val="24"/>
                <w:szCs w:val="24"/>
                <w:highlight w:val="none"/>
              </w:rPr>
              <w:t>等</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5"/>
                <w:sz w:val="24"/>
                <w:szCs w:val="24"/>
                <w:highlight w:val="none"/>
              </w:rPr>
              <w:t>2种及以上</w:t>
            </w:r>
            <w:r>
              <w:rPr>
                <w:rFonts w:hint="eastAsia" w:ascii="宋体" w:hAnsi="宋体" w:eastAsia="宋体" w:cs="宋体"/>
                <w:color w:val="auto"/>
                <w:spacing w:val="-5"/>
                <w:sz w:val="24"/>
                <w:szCs w:val="24"/>
                <w:highlight w:val="none"/>
                <w:lang w:val="en-US" w:eastAsia="zh-CN"/>
              </w:rPr>
              <w:t>无线</w:t>
            </w:r>
            <w:r>
              <w:rPr>
                <w:rFonts w:hint="eastAsia" w:ascii="宋体" w:hAnsi="宋体" w:eastAsia="宋体" w:cs="宋体"/>
                <w:color w:val="auto"/>
                <w:spacing w:val="-5"/>
                <w:sz w:val="24"/>
                <w:szCs w:val="24"/>
                <w:highlight w:val="none"/>
              </w:rPr>
              <w:t>通信方式</w:t>
            </w:r>
            <w:r>
              <w:rPr>
                <w:rFonts w:hint="eastAsia" w:ascii="宋体" w:hAnsi="宋体" w:eastAsia="宋体" w:cs="宋体"/>
                <w:color w:val="auto"/>
                <w:spacing w:val="-5"/>
                <w:sz w:val="24"/>
                <w:szCs w:val="24"/>
                <w:highlight w:val="none"/>
                <w:lang w:eastAsia="zh-CN"/>
              </w:rPr>
              <w:t>。</w:t>
            </w:r>
          </w:p>
          <w:p w14:paraId="65C55794">
            <w:pPr>
              <w:pStyle w:val="59"/>
              <w:numPr>
                <w:ilvl w:val="0"/>
                <w:numId w:val="7"/>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尺寸：在</w:t>
            </w:r>
            <w:r>
              <w:rPr>
                <w:rFonts w:hint="eastAsia" w:ascii="宋体" w:hAnsi="宋体" w:eastAsia="宋体" w:cs="宋体"/>
                <w:color w:val="auto"/>
                <w:sz w:val="24"/>
                <w:szCs w:val="24"/>
                <w:highlight w:val="none"/>
                <w:lang w:val="en-US" w:eastAsia="zh-CN"/>
              </w:rPr>
              <w:t>160*80*40mm~210*130*80mm之间</w:t>
            </w:r>
            <w:r>
              <w:rPr>
                <w:rFonts w:hint="eastAsia" w:ascii="宋体" w:hAnsi="宋体" w:eastAsia="宋体" w:cs="宋体"/>
                <w:color w:val="auto"/>
                <w:spacing w:val="-1"/>
                <w:sz w:val="24"/>
                <w:szCs w:val="24"/>
                <w:highlight w:val="none"/>
                <w:lang w:val="en-US" w:eastAsia="zh-CN"/>
              </w:rPr>
              <w:t>且满足现场安装需要（投标人自行踏勘确认）</w:t>
            </w:r>
            <w:r>
              <w:rPr>
                <w:rFonts w:hint="eastAsia" w:ascii="宋体" w:hAnsi="宋体" w:eastAsia="宋体" w:cs="宋体"/>
                <w:color w:val="auto"/>
                <w:spacing w:val="-1"/>
                <w:sz w:val="24"/>
                <w:szCs w:val="24"/>
                <w:highlight w:val="none"/>
                <w:lang w:eastAsia="zh-CN"/>
              </w:rPr>
              <w:t>。</w:t>
            </w:r>
          </w:p>
          <w:p w14:paraId="37760E4F">
            <w:pPr>
              <w:pStyle w:val="59"/>
              <w:numPr>
                <w:ilvl w:val="0"/>
                <w:numId w:val="8"/>
              </w:numPr>
              <w:spacing w:before="39" w:line="360" w:lineRule="auto"/>
              <w:ind w:left="454" w:leftChars="0" w:hanging="454" w:firstLineChars="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lang w:val="en-US" w:eastAsia="zh-CN"/>
              </w:rPr>
              <w:t>固件升级：支持对设备固件进行升级。</w:t>
            </w:r>
          </w:p>
          <w:p w14:paraId="405BBDA7">
            <w:pPr>
              <w:pStyle w:val="59"/>
              <w:numPr>
                <w:ilvl w:val="0"/>
                <w:numId w:val="8"/>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z w:val="24"/>
                <w:szCs w:val="24"/>
                <w:highlight w:val="none"/>
              </w:rPr>
              <w:t>GB/T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13729-2019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5.5.2/6.2.4交流工频输入量基本误差试验（电流测量准确度检验、电压测量准确</w:t>
            </w:r>
            <w:r>
              <w:rPr>
                <w:rFonts w:hint="eastAsia" w:ascii="宋体" w:hAnsi="宋体" w:eastAsia="宋体" w:cs="宋体"/>
                <w:color w:val="auto"/>
                <w:spacing w:val="-1"/>
                <w:sz w:val="24"/>
                <w:szCs w:val="24"/>
                <w:highlight w:val="none"/>
              </w:rPr>
              <w:t>度检验、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有功功率测量准确度检验、有功电度测量准确度检验</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eastAsia="zh-CN"/>
              </w:rPr>
              <w:t>。</w:t>
            </w:r>
          </w:p>
          <w:p w14:paraId="7C985FEB">
            <w:pPr>
              <w:pStyle w:val="59"/>
              <w:numPr>
                <w:ilvl w:val="0"/>
                <w:numId w:val="0"/>
              </w:numPr>
              <w:spacing w:before="39" w:line="360" w:lineRule="auto"/>
              <w:ind w:leftChars="0" w:firstLine="49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1"/>
                <w:sz w:val="24"/>
                <w:szCs w:val="24"/>
                <w:highlight w:val="none"/>
              </w:rPr>
              <w:t>需提供相应的检测报告）</w:t>
            </w:r>
          </w:p>
          <w:p w14:paraId="662732D8">
            <w:pPr>
              <w:pStyle w:val="59"/>
              <w:numPr>
                <w:ilvl w:val="0"/>
                <w:numId w:val="8"/>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★通过</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z w:val="24"/>
                <w:szCs w:val="24"/>
                <w:highlight w:val="none"/>
              </w:rPr>
              <w:t>GB</w:t>
            </w:r>
            <w:r>
              <w:rPr>
                <w:rFonts w:hint="eastAsia" w:ascii="宋体" w:hAnsi="宋体" w:eastAsia="宋体" w:cs="宋体"/>
                <w:color w:val="auto"/>
                <w:spacing w:val="7"/>
                <w:sz w:val="24"/>
                <w:szCs w:val="24"/>
                <w:highlight w:val="none"/>
              </w:rPr>
              <w:t>/T</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7"/>
                <w:sz w:val="24"/>
                <w:szCs w:val="24"/>
                <w:highlight w:val="none"/>
              </w:rPr>
              <w:t>17626.2-2018电磁兼容试验和测量技术静电放电抗扰度试</w:t>
            </w:r>
            <w:r>
              <w:rPr>
                <w:rFonts w:hint="eastAsia" w:ascii="宋体" w:hAnsi="宋体" w:eastAsia="宋体" w:cs="宋体"/>
                <w:color w:val="auto"/>
                <w:spacing w:val="6"/>
                <w:sz w:val="24"/>
                <w:szCs w:val="24"/>
                <w:highlight w:val="none"/>
              </w:rPr>
              <w:t>验</w:t>
            </w:r>
            <w:r>
              <w:rPr>
                <w:rFonts w:hint="eastAsia" w:ascii="宋体" w:hAnsi="宋体" w:eastAsia="宋体" w:cs="宋体"/>
                <w:color w:val="auto"/>
                <w:spacing w:val="6"/>
                <w:sz w:val="24"/>
                <w:szCs w:val="24"/>
                <w:highlight w:val="none"/>
                <w:lang w:eastAsia="zh-CN"/>
              </w:rPr>
              <w:t>。</w:t>
            </w:r>
          </w:p>
          <w:p w14:paraId="5FD29A67">
            <w:pPr>
              <w:pStyle w:val="59"/>
              <w:numPr>
                <w:ilvl w:val="0"/>
                <w:numId w:val="0"/>
              </w:numPr>
              <w:spacing w:before="39" w:line="360" w:lineRule="auto"/>
              <w:ind w:leftChars="0" w:firstLine="42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6"/>
                <w:sz w:val="24"/>
                <w:szCs w:val="24"/>
                <w:highlight w:val="none"/>
              </w:rPr>
              <w:t>需提供相应的检测报告）</w:t>
            </w:r>
          </w:p>
          <w:p w14:paraId="488555BC">
            <w:pPr>
              <w:pStyle w:val="59"/>
              <w:numPr>
                <w:ilvl w:val="0"/>
                <w:numId w:val="8"/>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★通过</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z w:val="24"/>
                <w:szCs w:val="24"/>
                <w:highlight w:val="none"/>
              </w:rPr>
              <w:t>GB</w:t>
            </w:r>
            <w:r>
              <w:rPr>
                <w:rFonts w:hint="eastAsia" w:ascii="宋体" w:hAnsi="宋体" w:eastAsia="宋体" w:cs="宋体"/>
                <w:color w:val="auto"/>
                <w:spacing w:val="8"/>
                <w:sz w:val="24"/>
                <w:szCs w:val="24"/>
                <w:highlight w:val="none"/>
              </w:rPr>
              <w:t>/T 17626.3-2016电磁兼容试验和测量技</w:t>
            </w:r>
            <w:r>
              <w:rPr>
                <w:rFonts w:hint="eastAsia" w:ascii="宋体" w:hAnsi="宋体" w:eastAsia="宋体" w:cs="宋体"/>
                <w:color w:val="auto"/>
                <w:spacing w:val="7"/>
                <w:sz w:val="24"/>
                <w:szCs w:val="24"/>
                <w:highlight w:val="none"/>
              </w:rPr>
              <w:t>术射频电磁场辐射抗扰度试验</w:t>
            </w:r>
            <w:r>
              <w:rPr>
                <w:rFonts w:hint="eastAsia" w:ascii="宋体" w:hAnsi="宋体" w:eastAsia="宋体" w:cs="宋体"/>
                <w:color w:val="auto"/>
                <w:spacing w:val="-10"/>
                <w:sz w:val="24"/>
                <w:szCs w:val="24"/>
                <w:highlight w:val="none"/>
                <w:lang w:eastAsia="zh-CN"/>
              </w:rPr>
              <w:t>。</w:t>
            </w:r>
          </w:p>
          <w:p w14:paraId="07C141F6">
            <w:pPr>
              <w:pStyle w:val="59"/>
              <w:numPr>
                <w:ilvl w:val="0"/>
                <w:numId w:val="0"/>
              </w:numPr>
              <w:spacing w:before="39" w:line="360" w:lineRule="auto"/>
              <w:ind w:leftChars="0" w:firstLine="4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需提供相应的检测</w:t>
            </w:r>
            <w:r>
              <w:rPr>
                <w:rFonts w:hint="eastAsia" w:ascii="宋体" w:hAnsi="宋体" w:eastAsia="宋体" w:cs="宋体"/>
                <w:color w:val="auto"/>
                <w:sz w:val="24"/>
                <w:szCs w:val="24"/>
                <w:highlight w:val="none"/>
              </w:rPr>
              <w:t>报告）</w:t>
            </w:r>
          </w:p>
          <w:p w14:paraId="6BD36EE6">
            <w:pPr>
              <w:pStyle w:val="59"/>
              <w:numPr>
                <w:ilvl w:val="0"/>
                <w:numId w:val="8"/>
              </w:numPr>
              <w:spacing w:before="39" w:line="360" w:lineRule="auto"/>
              <w:ind w:left="454" w:leftChars="0" w:hanging="454" w:firstLine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通过</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z w:val="24"/>
                <w:szCs w:val="24"/>
                <w:highlight w:val="none"/>
              </w:rPr>
              <w:t>GB</w:t>
            </w:r>
            <w:r>
              <w:rPr>
                <w:rFonts w:hint="eastAsia" w:ascii="宋体" w:hAnsi="宋体" w:eastAsia="宋体" w:cs="宋体"/>
                <w:color w:val="auto"/>
                <w:spacing w:val="8"/>
                <w:sz w:val="24"/>
                <w:szCs w:val="24"/>
                <w:highlight w:val="none"/>
              </w:rPr>
              <w:t>/T 17626.4-2008电磁兼容试验和</w:t>
            </w:r>
            <w:r>
              <w:rPr>
                <w:rFonts w:hint="eastAsia" w:ascii="宋体" w:hAnsi="宋体" w:eastAsia="宋体" w:cs="宋体"/>
                <w:color w:val="auto"/>
                <w:spacing w:val="7"/>
                <w:sz w:val="24"/>
                <w:szCs w:val="24"/>
                <w:highlight w:val="none"/>
              </w:rPr>
              <w:t>测量技术电快速瞬变脉冲群抗扰度试验</w:t>
            </w:r>
            <w:r>
              <w:rPr>
                <w:rFonts w:hint="eastAsia" w:ascii="宋体" w:hAnsi="宋体" w:eastAsia="宋体" w:cs="宋体"/>
                <w:color w:val="auto"/>
                <w:spacing w:val="-20"/>
                <w:sz w:val="24"/>
                <w:szCs w:val="24"/>
                <w:highlight w:val="none"/>
                <w:lang w:eastAsia="zh-CN"/>
              </w:rPr>
              <w:t>。</w:t>
            </w:r>
          </w:p>
          <w:p w14:paraId="257EAB51">
            <w:pPr>
              <w:pStyle w:val="59"/>
              <w:numPr>
                <w:ilvl w:val="0"/>
                <w:numId w:val="0"/>
              </w:numPr>
              <w:spacing w:before="39" w:line="360" w:lineRule="auto"/>
              <w:ind w:leftChars="0" w:firstLine="400"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7"/>
                <w:sz w:val="24"/>
                <w:szCs w:val="24"/>
                <w:highlight w:val="none"/>
              </w:rPr>
              <w:t>需提供相应的检</w:t>
            </w:r>
            <w:r>
              <w:rPr>
                <w:rFonts w:hint="eastAsia" w:ascii="宋体" w:hAnsi="宋体" w:eastAsia="宋体" w:cs="宋体"/>
                <w:color w:val="auto"/>
                <w:spacing w:val="2"/>
                <w:sz w:val="24"/>
                <w:szCs w:val="24"/>
                <w:highlight w:val="none"/>
              </w:rPr>
              <w:t>测报告）</w:t>
            </w:r>
          </w:p>
          <w:p w14:paraId="29C580E5">
            <w:pPr>
              <w:pStyle w:val="59"/>
              <w:numPr>
                <w:ilvl w:val="0"/>
                <w:numId w:val="8"/>
              </w:numPr>
              <w:spacing w:before="39" w:line="360" w:lineRule="auto"/>
              <w:ind w:left="454" w:leftChars="0" w:hanging="454" w:firstLine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2"/>
                <w:sz w:val="24"/>
                <w:szCs w:val="24"/>
                <w:highlight w:val="none"/>
              </w:rPr>
              <w:t>设备具有有效的产品责任险。（需提供有效期内的保险单据）。</w:t>
            </w:r>
          </w:p>
          <w:p w14:paraId="0C01FEAE">
            <w:pPr>
              <w:pStyle w:val="59"/>
              <w:numPr>
                <w:ilvl w:val="0"/>
                <w:numId w:val="6"/>
              </w:numPr>
              <w:spacing w:before="53" w:line="360" w:lineRule="auto"/>
              <w:ind w:left="0" w:leftChars="0" w:firstLine="420" w:firstLineChars="0"/>
              <w:rPr>
                <w:rFonts w:hint="eastAsia" w:ascii="宋体" w:hAnsi="宋体" w:eastAsia="宋体" w:cs="宋体"/>
                <w:b/>
                <w:bCs/>
                <w:color w:val="auto"/>
                <w:spacing w:val="-5"/>
                <w:sz w:val="24"/>
                <w:szCs w:val="24"/>
                <w:highlight w:val="none"/>
                <w:lang w:eastAsia="zh-CN"/>
              </w:rPr>
            </w:pPr>
            <w:r>
              <w:rPr>
                <w:rFonts w:hint="eastAsia" w:ascii="宋体" w:hAnsi="宋体" w:eastAsia="宋体" w:cs="宋体"/>
                <w:b/>
                <w:bCs/>
                <w:color w:val="auto"/>
                <w:spacing w:val="-5"/>
                <w:sz w:val="24"/>
                <w:szCs w:val="24"/>
                <w:highlight w:val="none"/>
                <w:lang w:val="en-US" w:eastAsia="zh-CN"/>
              </w:rPr>
              <w:t>一般参数</w:t>
            </w:r>
          </w:p>
          <w:p w14:paraId="018859A2">
            <w:pPr>
              <w:pStyle w:val="59"/>
              <w:numPr>
                <w:ilvl w:val="0"/>
                <w:numId w:val="9"/>
              </w:numPr>
              <w:spacing w:before="39" w:line="360" w:lineRule="auto"/>
              <w:ind w:left="454" w:leftChars="0" w:hanging="454" w:firstLineChars="0"/>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供电电压：380V。</w:t>
            </w:r>
          </w:p>
          <w:p w14:paraId="1BE3545C">
            <w:pPr>
              <w:pStyle w:val="59"/>
              <w:numPr>
                <w:ilvl w:val="0"/>
                <w:numId w:val="9"/>
              </w:numPr>
              <w:spacing w:before="39" w:line="360" w:lineRule="auto"/>
              <w:ind w:left="454" w:leftChars="0" w:hanging="454" w:firstLineChars="0"/>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lang w:val="en-US" w:eastAsia="zh-CN"/>
              </w:rPr>
              <w:t>外壳材质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ABS塑料防火外壳。</w:t>
            </w:r>
          </w:p>
          <w:p w14:paraId="7D7C2693">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过载能力：1.2 倍量程可持续，瞬间（&lt;200ms）电流 1.5 倍，电压 1.5 倍不损坏</w:t>
            </w:r>
            <w:r>
              <w:rPr>
                <w:rFonts w:hint="eastAsia" w:ascii="宋体" w:hAnsi="宋体" w:eastAsia="宋体" w:cs="宋体"/>
                <w:color w:val="auto"/>
                <w:spacing w:val="-5"/>
                <w:sz w:val="24"/>
                <w:szCs w:val="24"/>
                <w:highlight w:val="none"/>
                <w:lang w:eastAsia="zh-CN"/>
              </w:rPr>
              <w:t>。</w:t>
            </w:r>
          </w:p>
          <w:p w14:paraId="5B6C143F">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频率：AC5~55HZ</w:t>
            </w:r>
            <w:r>
              <w:rPr>
                <w:rFonts w:hint="eastAsia" w:ascii="宋体" w:hAnsi="宋体" w:eastAsia="宋体" w:cs="宋体"/>
                <w:color w:val="auto"/>
                <w:spacing w:val="-5"/>
                <w:sz w:val="24"/>
                <w:szCs w:val="24"/>
                <w:highlight w:val="none"/>
                <w:lang w:eastAsia="zh-CN"/>
              </w:rPr>
              <w:t>。</w:t>
            </w:r>
          </w:p>
          <w:p w14:paraId="045C3E84">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产品内置高精度计量芯片和计量模块，计量指标符合最小电能变量不超过 0.01kwh、最小功率变量</w:t>
            </w:r>
            <w:r>
              <w:rPr>
                <w:rFonts w:hint="eastAsia" w:ascii="宋体" w:hAnsi="宋体" w:eastAsia="宋体" w:cs="宋体"/>
                <w:color w:val="auto"/>
                <w:spacing w:val="-5"/>
                <w:sz w:val="24"/>
                <w:szCs w:val="24"/>
                <w:highlight w:val="none"/>
                <w:lang w:val="en-US" w:eastAsia="zh-CN"/>
              </w:rPr>
              <w:t>不</w:t>
            </w:r>
            <w:r>
              <w:rPr>
                <w:rFonts w:hint="eastAsia" w:ascii="宋体" w:hAnsi="宋体" w:eastAsia="宋体" w:cs="宋体"/>
                <w:color w:val="auto"/>
                <w:spacing w:val="-5"/>
                <w:sz w:val="24"/>
                <w:szCs w:val="24"/>
                <w:highlight w:val="none"/>
              </w:rPr>
              <w:t>超过0.01w</w:t>
            </w:r>
            <w:r>
              <w:rPr>
                <w:rFonts w:hint="eastAsia" w:ascii="宋体" w:hAnsi="宋体" w:eastAsia="宋体" w:cs="宋体"/>
                <w:color w:val="auto"/>
                <w:spacing w:val="-5"/>
                <w:sz w:val="24"/>
                <w:szCs w:val="24"/>
                <w:highlight w:val="none"/>
                <w:lang w:eastAsia="zh-CN"/>
              </w:rPr>
              <w:t>。</w:t>
            </w:r>
          </w:p>
          <w:p w14:paraId="5018B3FE">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电能存储：kwh，不少于 8 位整数，不少于2 位小数</w:t>
            </w:r>
            <w:r>
              <w:rPr>
                <w:rFonts w:hint="eastAsia" w:ascii="宋体" w:hAnsi="宋体" w:eastAsia="宋体" w:cs="宋体"/>
                <w:color w:val="auto"/>
                <w:spacing w:val="-5"/>
                <w:sz w:val="24"/>
                <w:szCs w:val="24"/>
                <w:highlight w:val="none"/>
                <w:lang w:eastAsia="zh-CN"/>
              </w:rPr>
              <w:t>。</w:t>
            </w:r>
          </w:p>
          <w:p w14:paraId="170D8F5D">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产品配备有温度传感器，温度测量范围：</w:t>
            </w:r>
            <w:r>
              <w:rPr>
                <w:rFonts w:hint="eastAsia" w:ascii="宋体" w:hAnsi="宋体" w:eastAsia="宋体" w:cs="宋体"/>
                <w:color w:val="auto"/>
                <w:spacing w:val="-5"/>
                <w:sz w:val="24"/>
                <w:szCs w:val="24"/>
                <w:highlight w:val="none"/>
                <w:lang w:val="en-US" w:eastAsia="zh-CN"/>
              </w:rPr>
              <w:t>优于</w:t>
            </w:r>
            <w:r>
              <w:rPr>
                <w:rFonts w:hint="eastAsia" w:ascii="宋体" w:hAnsi="宋体" w:eastAsia="宋体" w:cs="宋体"/>
                <w:color w:val="auto"/>
                <w:spacing w:val="-5"/>
                <w:sz w:val="24"/>
                <w:szCs w:val="24"/>
                <w:highlight w:val="none"/>
              </w:rPr>
              <w:t>0℃~</w:t>
            </w:r>
            <w:r>
              <w:rPr>
                <w:rFonts w:hint="eastAsia" w:ascii="宋体" w:hAnsi="宋体" w:eastAsia="宋体" w:cs="宋体"/>
                <w:color w:val="auto"/>
                <w:spacing w:val="-5"/>
                <w:sz w:val="24"/>
                <w:szCs w:val="24"/>
                <w:highlight w:val="none"/>
                <w:lang w:val="en-US" w:eastAsia="zh-CN"/>
              </w:rPr>
              <w:t>4</w:t>
            </w:r>
            <w:r>
              <w:rPr>
                <w:rFonts w:hint="eastAsia" w:ascii="宋体" w:hAnsi="宋体" w:eastAsia="宋体" w:cs="宋体"/>
                <w:color w:val="auto"/>
                <w:spacing w:val="-5"/>
                <w:sz w:val="24"/>
                <w:szCs w:val="24"/>
                <w:highlight w:val="none"/>
              </w:rPr>
              <w:t>0℃</w:t>
            </w:r>
            <w:r>
              <w:rPr>
                <w:rFonts w:hint="eastAsia" w:ascii="宋体" w:hAnsi="宋体" w:eastAsia="宋体" w:cs="宋体"/>
                <w:color w:val="auto"/>
                <w:spacing w:val="-5"/>
                <w:sz w:val="24"/>
                <w:szCs w:val="24"/>
                <w:highlight w:val="none"/>
                <w:lang w:eastAsia="zh-CN"/>
              </w:rPr>
              <w:t>。</w:t>
            </w:r>
          </w:p>
          <w:p w14:paraId="30E5F5CD">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耐压等级：不低于 AC3000Vrms</w:t>
            </w:r>
            <w:r>
              <w:rPr>
                <w:rFonts w:hint="eastAsia" w:ascii="宋体" w:hAnsi="宋体" w:eastAsia="宋体" w:cs="宋体"/>
                <w:color w:val="auto"/>
                <w:spacing w:val="-5"/>
                <w:sz w:val="24"/>
                <w:szCs w:val="24"/>
                <w:highlight w:val="none"/>
                <w:lang w:eastAsia="zh-CN"/>
              </w:rPr>
              <w:t>。</w:t>
            </w:r>
          </w:p>
          <w:p w14:paraId="6C4803EF">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无线传输速率：不低于10Mbps</w:t>
            </w:r>
            <w:r>
              <w:rPr>
                <w:rFonts w:hint="eastAsia" w:ascii="宋体" w:hAnsi="宋体" w:eastAsia="宋体" w:cs="宋体"/>
                <w:color w:val="auto"/>
                <w:spacing w:val="-5"/>
                <w:sz w:val="24"/>
                <w:szCs w:val="24"/>
                <w:highlight w:val="none"/>
                <w:lang w:eastAsia="zh-CN"/>
              </w:rPr>
              <w:t>。</w:t>
            </w:r>
          </w:p>
          <w:p w14:paraId="4A6DCA28">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电流测量范围：0~16A；互感器 0~60A</w:t>
            </w:r>
            <w:r>
              <w:rPr>
                <w:rFonts w:hint="eastAsia" w:ascii="宋体" w:hAnsi="宋体" w:eastAsia="宋体" w:cs="宋体"/>
                <w:color w:val="auto"/>
                <w:spacing w:val="-5"/>
                <w:sz w:val="24"/>
                <w:szCs w:val="24"/>
                <w:highlight w:val="none"/>
                <w:lang w:eastAsia="zh-CN"/>
              </w:rPr>
              <w:t>。</w:t>
            </w:r>
          </w:p>
          <w:p w14:paraId="577974F2">
            <w:pPr>
              <w:pStyle w:val="59"/>
              <w:numPr>
                <w:ilvl w:val="0"/>
                <w:numId w:val="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产品精度：电压、电流、有功功率、有功电能：1 级，温度误差±1℃</w:t>
            </w:r>
            <w:r>
              <w:rPr>
                <w:rFonts w:hint="eastAsia" w:ascii="宋体" w:hAnsi="宋体" w:eastAsia="宋体" w:cs="宋体"/>
                <w:color w:val="auto"/>
                <w:spacing w:val="-5"/>
                <w:sz w:val="24"/>
                <w:szCs w:val="24"/>
                <w:highlight w:val="none"/>
                <w:lang w:eastAsia="zh-CN"/>
              </w:rPr>
              <w:t>。</w:t>
            </w:r>
          </w:p>
          <w:p w14:paraId="149BE8AF">
            <w:pPr>
              <w:pStyle w:val="59"/>
              <w:numPr>
                <w:ilvl w:val="0"/>
                <w:numId w:val="9"/>
              </w:numPr>
              <w:spacing w:before="39" w:line="360" w:lineRule="auto"/>
              <w:ind w:left="454" w:leftChars="0" w:hanging="454" w:firstLineChars="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5"/>
                <w:sz w:val="24"/>
                <w:szCs w:val="24"/>
                <w:highlight w:val="none"/>
              </w:rPr>
              <w:t>绝缘：输出、输入和电源对外壳&gt;5MΩ</w:t>
            </w:r>
            <w:r>
              <w:rPr>
                <w:rFonts w:hint="eastAsia" w:ascii="宋体" w:hAnsi="宋体" w:eastAsia="宋体" w:cs="宋体"/>
                <w:color w:val="auto"/>
                <w:spacing w:val="-5"/>
                <w:sz w:val="24"/>
                <w:szCs w:val="24"/>
                <w:highlight w:val="none"/>
                <w:lang w:eastAsia="zh-CN"/>
              </w:rPr>
              <w:t>。</w:t>
            </w:r>
          </w:p>
        </w:tc>
      </w:tr>
      <w:tr w14:paraId="05AD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14:paraId="2561A5F7">
            <w:pPr>
              <w:spacing w:line="360" w:lineRule="auto"/>
              <w:jc w:val="center"/>
              <w:rPr>
                <w:rFonts w:hint="eastAsia" w:ascii="宋体" w:hAnsi="宋体" w:eastAsia="宋体" w:cs="宋体"/>
                <w:color w:val="auto"/>
                <w:sz w:val="24"/>
                <w:szCs w:val="24"/>
                <w:highlight w:val="none"/>
              </w:rPr>
            </w:pPr>
          </w:p>
          <w:p w14:paraId="14F08B78">
            <w:pPr>
              <w:spacing w:line="360" w:lineRule="auto"/>
              <w:jc w:val="center"/>
              <w:rPr>
                <w:rFonts w:hint="eastAsia" w:ascii="宋体" w:hAnsi="宋体" w:eastAsia="宋体" w:cs="宋体"/>
                <w:color w:val="auto"/>
                <w:sz w:val="24"/>
                <w:szCs w:val="24"/>
                <w:highlight w:val="none"/>
              </w:rPr>
            </w:pPr>
          </w:p>
          <w:p w14:paraId="3D4965A3">
            <w:pPr>
              <w:spacing w:line="360" w:lineRule="auto"/>
              <w:jc w:val="center"/>
              <w:rPr>
                <w:rFonts w:hint="eastAsia" w:ascii="宋体" w:hAnsi="宋体" w:eastAsia="宋体" w:cs="宋体"/>
                <w:color w:val="auto"/>
                <w:sz w:val="24"/>
                <w:szCs w:val="24"/>
                <w:highlight w:val="none"/>
              </w:rPr>
            </w:pPr>
          </w:p>
          <w:p w14:paraId="34E3B9FC">
            <w:pPr>
              <w:spacing w:line="360" w:lineRule="auto"/>
              <w:jc w:val="center"/>
              <w:rPr>
                <w:rFonts w:hint="eastAsia" w:ascii="宋体" w:hAnsi="宋体" w:eastAsia="宋体" w:cs="宋体"/>
                <w:color w:val="auto"/>
                <w:sz w:val="24"/>
                <w:szCs w:val="24"/>
                <w:highlight w:val="none"/>
              </w:rPr>
            </w:pPr>
          </w:p>
          <w:p w14:paraId="6945C273">
            <w:pPr>
              <w:spacing w:line="360" w:lineRule="auto"/>
              <w:jc w:val="center"/>
              <w:rPr>
                <w:rFonts w:hint="eastAsia" w:ascii="宋体" w:hAnsi="宋体" w:eastAsia="宋体" w:cs="宋体"/>
                <w:color w:val="auto"/>
                <w:sz w:val="24"/>
                <w:szCs w:val="24"/>
                <w:highlight w:val="none"/>
              </w:rPr>
            </w:pPr>
          </w:p>
          <w:p w14:paraId="4E8BC769">
            <w:pPr>
              <w:spacing w:line="360" w:lineRule="auto"/>
              <w:jc w:val="center"/>
              <w:rPr>
                <w:rFonts w:hint="eastAsia" w:ascii="宋体" w:hAnsi="宋体" w:eastAsia="宋体" w:cs="宋体"/>
                <w:color w:val="auto"/>
                <w:sz w:val="24"/>
                <w:szCs w:val="24"/>
                <w:highlight w:val="none"/>
              </w:rPr>
            </w:pPr>
          </w:p>
          <w:p w14:paraId="5F940A31">
            <w:pPr>
              <w:pStyle w:val="59"/>
              <w:spacing w:before="69"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z w:val="24"/>
                <w:szCs w:val="24"/>
                <w:highlight w:val="none"/>
              </w:rPr>
              <w:t>2</w:t>
            </w:r>
          </w:p>
        </w:tc>
        <w:tc>
          <w:tcPr>
            <w:tcW w:w="1968" w:type="dxa"/>
            <w:vAlign w:val="top"/>
          </w:tcPr>
          <w:p w14:paraId="28B80A14">
            <w:pPr>
              <w:spacing w:line="360" w:lineRule="auto"/>
              <w:rPr>
                <w:rFonts w:hint="eastAsia" w:ascii="宋体" w:hAnsi="宋体" w:eastAsia="宋体" w:cs="宋体"/>
                <w:color w:val="auto"/>
                <w:sz w:val="24"/>
                <w:szCs w:val="24"/>
                <w:highlight w:val="none"/>
              </w:rPr>
            </w:pPr>
          </w:p>
          <w:p w14:paraId="631BAF1C">
            <w:pPr>
              <w:spacing w:line="360" w:lineRule="auto"/>
              <w:rPr>
                <w:rFonts w:hint="eastAsia" w:ascii="宋体" w:hAnsi="宋体" w:eastAsia="宋体" w:cs="宋体"/>
                <w:color w:val="auto"/>
                <w:sz w:val="24"/>
                <w:szCs w:val="24"/>
                <w:highlight w:val="none"/>
              </w:rPr>
            </w:pPr>
          </w:p>
          <w:p w14:paraId="030AE36B">
            <w:pPr>
              <w:spacing w:line="360" w:lineRule="auto"/>
              <w:rPr>
                <w:rFonts w:hint="eastAsia" w:ascii="宋体" w:hAnsi="宋体" w:eastAsia="宋体" w:cs="宋体"/>
                <w:color w:val="auto"/>
                <w:sz w:val="24"/>
                <w:szCs w:val="24"/>
                <w:highlight w:val="none"/>
              </w:rPr>
            </w:pPr>
          </w:p>
          <w:p w14:paraId="3B3181E7">
            <w:pPr>
              <w:spacing w:line="360" w:lineRule="auto"/>
              <w:rPr>
                <w:rFonts w:hint="eastAsia" w:ascii="宋体" w:hAnsi="宋体" w:eastAsia="宋体" w:cs="宋体"/>
                <w:color w:val="auto"/>
                <w:sz w:val="24"/>
                <w:szCs w:val="24"/>
                <w:highlight w:val="none"/>
              </w:rPr>
            </w:pPr>
          </w:p>
          <w:p w14:paraId="78D4FE66">
            <w:pPr>
              <w:spacing w:line="360" w:lineRule="auto"/>
              <w:rPr>
                <w:rFonts w:hint="eastAsia" w:ascii="宋体" w:hAnsi="宋体" w:eastAsia="宋体" w:cs="宋体"/>
                <w:color w:val="auto"/>
                <w:sz w:val="24"/>
                <w:szCs w:val="24"/>
                <w:highlight w:val="none"/>
              </w:rPr>
            </w:pPr>
          </w:p>
          <w:p w14:paraId="25511D21">
            <w:pPr>
              <w:spacing w:line="360" w:lineRule="auto"/>
              <w:rPr>
                <w:rFonts w:hint="eastAsia" w:ascii="宋体" w:hAnsi="宋体" w:eastAsia="宋体" w:cs="宋体"/>
                <w:color w:val="auto"/>
                <w:sz w:val="24"/>
                <w:szCs w:val="24"/>
                <w:highlight w:val="none"/>
              </w:rPr>
            </w:pPr>
          </w:p>
          <w:p w14:paraId="00B4A5D0">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8"/>
                <w:sz w:val="24"/>
                <w:szCs w:val="24"/>
                <w:highlight w:val="none"/>
              </w:rPr>
              <w:t>智能暖通</w:t>
            </w:r>
            <w:r>
              <w:rPr>
                <w:rFonts w:hint="eastAsia" w:ascii="宋体" w:hAnsi="宋体" w:eastAsia="宋体" w:cs="宋体"/>
                <w:color w:val="auto"/>
                <w:spacing w:val="6"/>
                <w:sz w:val="24"/>
                <w:szCs w:val="24"/>
                <w:highlight w:val="none"/>
              </w:rPr>
              <w:t>控制</w:t>
            </w:r>
            <w:r>
              <w:rPr>
                <w:rFonts w:hint="eastAsia" w:ascii="宋体" w:hAnsi="宋体" w:eastAsia="宋体" w:cs="宋体"/>
                <w:color w:val="auto"/>
                <w:spacing w:val="8"/>
                <w:sz w:val="24"/>
                <w:szCs w:val="24"/>
                <w:highlight w:val="none"/>
              </w:rPr>
              <w:t>网关</w:t>
            </w:r>
          </w:p>
        </w:tc>
        <w:tc>
          <w:tcPr>
            <w:tcW w:w="5682" w:type="dxa"/>
            <w:vAlign w:val="top"/>
          </w:tcPr>
          <w:p w14:paraId="60669B30">
            <w:pPr>
              <w:pStyle w:val="59"/>
              <w:numPr>
                <w:ilvl w:val="0"/>
                <w:numId w:val="10"/>
              </w:numPr>
              <w:spacing w:before="53" w:line="360" w:lineRule="auto"/>
              <w:ind w:left="0" w:leftChars="0" w:firstLine="420" w:firstLineChars="0"/>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lang w:val="en-US" w:eastAsia="zh-CN"/>
              </w:rPr>
              <w:t>关键参数</w:t>
            </w:r>
          </w:p>
          <w:p w14:paraId="2E8CB51B">
            <w:pPr>
              <w:pStyle w:val="59"/>
              <w:numPr>
                <w:ilvl w:val="0"/>
                <w:numId w:val="11"/>
              </w:numPr>
              <w:spacing w:before="39" w:line="360" w:lineRule="auto"/>
              <w:ind w:left="454" w:leftChars="0" w:hanging="454" w:firstLineChars="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lang w:val="en-US" w:eastAsia="zh-CN"/>
              </w:rPr>
              <w:t>电源</w:t>
            </w:r>
            <w:r>
              <w:rPr>
                <w:rFonts w:hint="eastAsia" w:ascii="宋体" w:hAnsi="宋体" w:eastAsia="宋体" w:cs="宋体"/>
                <w:color w:val="auto"/>
                <w:spacing w:val="7"/>
                <w:sz w:val="24"/>
                <w:szCs w:val="24"/>
                <w:highlight w:val="none"/>
                <w:lang w:val="en-US" w:eastAsia="zh-CN"/>
              </w:rPr>
              <w:t>安全性</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输入电源</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pacing w:val="-5"/>
                <w:sz w:val="24"/>
                <w:szCs w:val="24"/>
                <w:highlight w:val="none"/>
                <w:lang w:val="en-US" w:eastAsia="zh-CN"/>
              </w:rPr>
              <w:t>超过</w:t>
            </w:r>
            <w:r>
              <w:rPr>
                <w:rFonts w:hint="eastAsia" w:ascii="宋体" w:hAnsi="宋体" w:eastAsia="宋体" w:cs="宋体"/>
                <w:color w:val="auto"/>
                <w:sz w:val="24"/>
                <w:szCs w:val="24"/>
                <w:highlight w:val="none"/>
                <w:lang w:val="en-US" w:eastAsia="zh-CN"/>
              </w:rPr>
              <w:t>24v</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具备</w:t>
            </w:r>
            <w:r>
              <w:rPr>
                <w:rFonts w:hint="eastAsia" w:ascii="宋体" w:hAnsi="宋体" w:eastAsia="宋体" w:cs="宋体"/>
                <w:color w:val="auto"/>
                <w:spacing w:val="7"/>
                <w:sz w:val="24"/>
                <w:szCs w:val="24"/>
                <w:highlight w:val="none"/>
              </w:rPr>
              <w:t>极性反接和过</w:t>
            </w:r>
            <w:r>
              <w:rPr>
                <w:rFonts w:hint="eastAsia" w:ascii="宋体" w:hAnsi="宋体" w:eastAsia="宋体" w:cs="宋体"/>
                <w:color w:val="auto"/>
                <w:spacing w:val="6"/>
                <w:sz w:val="24"/>
                <w:szCs w:val="24"/>
                <w:highlight w:val="none"/>
              </w:rPr>
              <w:t>流保护</w:t>
            </w:r>
            <w:r>
              <w:rPr>
                <w:rFonts w:hint="eastAsia" w:ascii="宋体" w:hAnsi="宋体" w:eastAsia="宋体" w:cs="宋体"/>
                <w:color w:val="auto"/>
                <w:spacing w:val="6"/>
                <w:sz w:val="24"/>
                <w:szCs w:val="24"/>
                <w:highlight w:val="none"/>
                <w:lang w:val="en-US" w:eastAsia="zh-CN"/>
              </w:rPr>
              <w:t>功能。</w:t>
            </w:r>
          </w:p>
          <w:p w14:paraId="71D7022F">
            <w:pPr>
              <w:pStyle w:val="59"/>
              <w:numPr>
                <w:ilvl w:val="0"/>
                <w:numId w:val="11"/>
              </w:numPr>
              <w:spacing w:before="39" w:line="360" w:lineRule="auto"/>
              <w:ind w:left="454" w:leftChars="0" w:hanging="454" w:firstLineChars="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
                <w:sz w:val="24"/>
                <w:szCs w:val="24"/>
                <w:highlight w:val="none"/>
                <w:lang w:eastAsia="zh-CN"/>
              </w:rPr>
              <w:t>支持网页端协议配置。</w:t>
            </w:r>
          </w:p>
          <w:p w14:paraId="75AEC513">
            <w:pPr>
              <w:pStyle w:val="59"/>
              <w:numPr>
                <w:ilvl w:val="0"/>
                <w:numId w:val="11"/>
              </w:numPr>
              <w:spacing w:before="39" w:line="360" w:lineRule="auto"/>
              <w:ind w:left="454" w:leftChars="0" w:hanging="454" w:firstLineChars="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
                <w:sz w:val="24"/>
                <w:szCs w:val="24"/>
                <w:highlight w:val="none"/>
                <w:lang w:eastAsia="zh-CN"/>
              </w:rPr>
              <w:t>支持低代码平台驱动在线编写，支持JS脚本在线编写设备协议。</w:t>
            </w:r>
          </w:p>
          <w:p w14:paraId="78F415E2">
            <w:pPr>
              <w:pStyle w:val="59"/>
              <w:numPr>
                <w:ilvl w:val="0"/>
                <w:numId w:val="1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
                <w:sz w:val="24"/>
                <w:szCs w:val="24"/>
                <w:highlight w:val="none"/>
                <w:lang w:eastAsia="zh-CN"/>
              </w:rPr>
              <w:t>支持MQTT数据传输，支持远程OTA固件更新，具备远程编程、管理与数据存储功能。</w:t>
            </w:r>
          </w:p>
          <w:p w14:paraId="1B1ECA6C">
            <w:pPr>
              <w:pStyle w:val="59"/>
              <w:numPr>
                <w:ilvl w:val="0"/>
                <w:numId w:val="1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●TF卡座：支持TF卡扩展，最大支持不低于128GB</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支持离线存储、断点续传，保持数据完整性</w:t>
            </w:r>
            <w:r>
              <w:rPr>
                <w:rFonts w:hint="eastAsia" w:ascii="宋体" w:hAnsi="宋体" w:eastAsia="宋体" w:cs="宋体"/>
                <w:color w:val="auto"/>
                <w:spacing w:val="-5"/>
                <w:sz w:val="24"/>
                <w:szCs w:val="24"/>
                <w:highlight w:val="none"/>
                <w:lang w:eastAsia="zh-CN"/>
              </w:rPr>
              <w:t>。</w:t>
            </w:r>
          </w:p>
          <w:p w14:paraId="7F1982AA">
            <w:pPr>
              <w:pStyle w:val="59"/>
              <w:numPr>
                <w:ilvl w:val="0"/>
                <w:numId w:val="10"/>
              </w:numPr>
              <w:spacing w:before="53" w:line="360" w:lineRule="auto"/>
              <w:ind w:left="0" w:leftChars="0" w:firstLine="420" w:firstLineChars="0"/>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重要参数</w:t>
            </w:r>
          </w:p>
          <w:p w14:paraId="3F8F2DBB">
            <w:pPr>
              <w:pStyle w:val="59"/>
              <w:numPr>
                <w:ilvl w:val="0"/>
                <w:numId w:val="12"/>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
                <w:sz w:val="24"/>
                <w:szCs w:val="24"/>
                <w:highlight w:val="none"/>
                <w:lang w:eastAsia="zh-CN"/>
              </w:rPr>
              <w:t>外部接口：不少于2个1000Mbps实时工业以太网协议端口，不少于1个USB2.0端口，不少于4个485接口。</w:t>
            </w:r>
          </w:p>
          <w:p w14:paraId="4CFE03D0">
            <w:pPr>
              <w:pStyle w:val="59"/>
              <w:numPr>
                <w:ilvl w:val="0"/>
                <w:numId w:val="12"/>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
                <w:sz w:val="24"/>
                <w:szCs w:val="24"/>
                <w:highlight w:val="none"/>
                <w:lang w:eastAsia="zh-CN"/>
              </w:rPr>
              <w:t>支持非标准仪表协议的定制，支持常规DLT645-2007电表，DLT645-1997电表，MODBUS多功能电表，CJ/T-188水电表协议，支持MODBUS空气开关，MODBUS照明控制模块，485照明控制面板等协议设备接入，支持多种工业协议。</w:t>
            </w:r>
          </w:p>
          <w:p w14:paraId="31748EF9">
            <w:pPr>
              <w:pStyle w:val="59"/>
              <w:numPr>
                <w:ilvl w:val="0"/>
                <w:numId w:val="12"/>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★内置算</w:t>
            </w:r>
            <w:r>
              <w:rPr>
                <w:rFonts w:hint="eastAsia" w:ascii="宋体" w:hAnsi="宋体" w:eastAsia="宋体" w:cs="宋体"/>
                <w:color w:val="auto"/>
                <w:spacing w:val="8"/>
                <w:sz w:val="24"/>
                <w:szCs w:val="24"/>
                <w:highlight w:val="none"/>
              </w:rPr>
              <w:t>法支持限额策略分析，能耗合理使用分析，能系统支持智能场景</w:t>
            </w:r>
            <w:r>
              <w:rPr>
                <w:rFonts w:hint="eastAsia" w:ascii="宋体" w:hAnsi="宋体" w:eastAsia="宋体" w:cs="宋体"/>
                <w:color w:val="auto"/>
                <w:spacing w:val="7"/>
                <w:sz w:val="24"/>
                <w:szCs w:val="24"/>
                <w:highlight w:val="none"/>
              </w:rPr>
              <w:t>，智能联动控制，智能照明，逻辑</w:t>
            </w:r>
            <w:r>
              <w:rPr>
                <w:rFonts w:hint="eastAsia" w:ascii="宋体" w:hAnsi="宋体" w:eastAsia="宋体" w:cs="宋体"/>
                <w:color w:val="auto"/>
                <w:spacing w:val="8"/>
                <w:sz w:val="24"/>
                <w:szCs w:val="24"/>
                <w:highlight w:val="none"/>
              </w:rPr>
              <w:t>控制模块等设备功能</w:t>
            </w:r>
            <w:r>
              <w:rPr>
                <w:rFonts w:hint="eastAsia" w:ascii="宋体" w:hAnsi="宋体" w:eastAsia="宋体" w:cs="宋体"/>
                <w:color w:val="auto"/>
                <w:spacing w:val="8"/>
                <w:sz w:val="24"/>
                <w:szCs w:val="24"/>
                <w:highlight w:val="none"/>
                <w:lang w:eastAsia="zh-CN"/>
              </w:rPr>
              <w:t>。</w:t>
            </w:r>
          </w:p>
          <w:p w14:paraId="34F1B391">
            <w:pPr>
              <w:pStyle w:val="59"/>
              <w:numPr>
                <w:ilvl w:val="0"/>
                <w:numId w:val="12"/>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通过GB/T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14048.1-2012&lt;低压开关设备和控制设备&gt;标准检测</w:t>
            </w:r>
            <w:r>
              <w:rPr>
                <w:rFonts w:hint="eastAsia" w:ascii="宋体" w:hAnsi="宋体" w:eastAsia="宋体" w:cs="宋体"/>
                <w:color w:val="auto"/>
                <w:spacing w:val="-5"/>
                <w:sz w:val="24"/>
                <w:szCs w:val="24"/>
                <w:highlight w:val="none"/>
                <w:lang w:eastAsia="zh-CN"/>
              </w:rPr>
              <w:t>。</w:t>
            </w:r>
          </w:p>
          <w:p w14:paraId="072A30DD">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（需提供相应检测报告）</w:t>
            </w:r>
          </w:p>
          <w:p w14:paraId="2583197E">
            <w:pPr>
              <w:pStyle w:val="59"/>
              <w:numPr>
                <w:ilvl w:val="0"/>
                <w:numId w:val="12"/>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★通过GB/T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5169.11-2017、GB/T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5169.21-2017&lt;电工电子产品着火危险试验&gt;标准检测</w:t>
            </w:r>
            <w:r>
              <w:rPr>
                <w:rFonts w:hint="eastAsia" w:ascii="宋体" w:hAnsi="宋体" w:eastAsia="宋体" w:cs="宋体"/>
                <w:color w:val="auto"/>
                <w:spacing w:val="-5"/>
                <w:sz w:val="24"/>
                <w:szCs w:val="24"/>
                <w:highlight w:val="none"/>
                <w:lang w:eastAsia="zh-CN"/>
              </w:rPr>
              <w:t>。</w:t>
            </w:r>
          </w:p>
          <w:p w14:paraId="7B933FC3">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（需提供相应检测报告）</w:t>
            </w:r>
          </w:p>
          <w:p w14:paraId="6F7D7726">
            <w:pPr>
              <w:pStyle w:val="59"/>
              <w:numPr>
                <w:ilvl w:val="0"/>
                <w:numId w:val="12"/>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★通过GB/T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17626.2-2018&lt;静电放电抗扰度&gt;标准检测（静电放电抗扰度4kV接触放电）</w:t>
            </w:r>
            <w:r>
              <w:rPr>
                <w:rFonts w:hint="eastAsia" w:ascii="宋体" w:hAnsi="宋体" w:eastAsia="宋体" w:cs="宋体"/>
                <w:color w:val="auto"/>
                <w:spacing w:val="-5"/>
                <w:sz w:val="24"/>
                <w:szCs w:val="24"/>
                <w:highlight w:val="none"/>
                <w:lang w:eastAsia="zh-CN"/>
              </w:rPr>
              <w:t>。</w:t>
            </w:r>
          </w:p>
          <w:p w14:paraId="15AC77BC">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（需提供相应检测报告）</w:t>
            </w:r>
          </w:p>
          <w:p w14:paraId="1AD4991B">
            <w:pPr>
              <w:pStyle w:val="59"/>
              <w:numPr>
                <w:ilvl w:val="0"/>
                <w:numId w:val="12"/>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★通过GB/T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17626.3-2016《电磁兼容试验和测量技术射频电磁场辐射抗扰度试验》</w:t>
            </w:r>
            <w:r>
              <w:rPr>
                <w:rFonts w:hint="eastAsia" w:ascii="宋体" w:hAnsi="宋体" w:eastAsia="宋体" w:cs="宋体"/>
                <w:color w:val="auto"/>
                <w:spacing w:val="-5"/>
                <w:sz w:val="24"/>
                <w:szCs w:val="24"/>
                <w:highlight w:val="none"/>
                <w:lang w:eastAsia="zh-CN"/>
              </w:rPr>
              <w:t>。</w:t>
            </w:r>
          </w:p>
          <w:p w14:paraId="4E167EB0">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（需提供相应检测报告）</w:t>
            </w:r>
          </w:p>
          <w:p w14:paraId="5C1AE90A">
            <w:pPr>
              <w:pStyle w:val="59"/>
              <w:numPr>
                <w:ilvl w:val="0"/>
                <w:numId w:val="12"/>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★通过GB/T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17626.4-2018&lt;电快速瞬变脉冲群抗扰度&gt;标准检测（电快速瞬变脉冲群抗扰度1.0kV试验电压）</w:t>
            </w:r>
            <w:r>
              <w:rPr>
                <w:rFonts w:hint="eastAsia" w:ascii="宋体" w:hAnsi="宋体" w:eastAsia="宋体" w:cs="宋体"/>
                <w:color w:val="auto"/>
                <w:spacing w:val="-5"/>
                <w:sz w:val="24"/>
                <w:szCs w:val="24"/>
                <w:highlight w:val="none"/>
                <w:lang w:eastAsia="zh-CN"/>
              </w:rPr>
              <w:t>。</w:t>
            </w:r>
          </w:p>
          <w:p w14:paraId="0D72349C">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（需提供相应检测报告）</w:t>
            </w:r>
          </w:p>
          <w:p w14:paraId="79A403FE">
            <w:pPr>
              <w:pStyle w:val="59"/>
              <w:numPr>
                <w:ilvl w:val="0"/>
                <w:numId w:val="12"/>
              </w:numPr>
              <w:spacing w:before="39" w:line="360" w:lineRule="auto"/>
              <w:ind w:left="454" w:leftChars="0" w:hanging="454" w:firstLineChars="0"/>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rPr>
              <w:t>★通过GB/T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17626.5-2019&lt;浪涌抗扰度&gt;标准检测（浪涌抗扰度1.0kV试验电压）</w:t>
            </w:r>
            <w:r>
              <w:rPr>
                <w:rFonts w:hint="eastAsia" w:ascii="宋体" w:hAnsi="宋体" w:eastAsia="宋体" w:cs="宋体"/>
                <w:color w:val="auto"/>
                <w:spacing w:val="-5"/>
                <w:sz w:val="24"/>
                <w:szCs w:val="24"/>
                <w:highlight w:val="none"/>
                <w:lang w:eastAsia="zh-CN"/>
              </w:rPr>
              <w:t>。</w:t>
            </w:r>
          </w:p>
          <w:p w14:paraId="0FE0978F">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rPr>
              <w:t>（需提供相应检测报告）</w:t>
            </w:r>
          </w:p>
          <w:p w14:paraId="7BA0B531">
            <w:pPr>
              <w:pStyle w:val="59"/>
              <w:numPr>
                <w:ilvl w:val="0"/>
                <w:numId w:val="10"/>
              </w:numPr>
              <w:spacing w:before="53" w:line="360" w:lineRule="auto"/>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lang w:val="en-US" w:eastAsia="zh-CN"/>
              </w:rPr>
              <w:t>一般参数</w:t>
            </w:r>
          </w:p>
          <w:p w14:paraId="5B3184A7">
            <w:pPr>
              <w:pStyle w:val="59"/>
              <w:numPr>
                <w:ilvl w:val="0"/>
                <w:numId w:val="13"/>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CPU：不低于Cortex-A55双核+Cortex-M33。</w:t>
            </w:r>
          </w:p>
          <w:p w14:paraId="48C897FF">
            <w:pPr>
              <w:pStyle w:val="59"/>
              <w:numPr>
                <w:ilvl w:val="0"/>
                <w:numId w:val="13"/>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存储：内存不低于1GB，闪存不低于8GB。</w:t>
            </w:r>
          </w:p>
          <w:p w14:paraId="3AA46E82">
            <w:pPr>
              <w:pStyle w:val="59"/>
              <w:numPr>
                <w:ilvl w:val="0"/>
                <w:numId w:val="13"/>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Console</w:t>
            </w:r>
            <w:r>
              <w:rPr>
                <w:rFonts w:hint="eastAsia" w:ascii="宋体" w:hAnsi="宋体" w:eastAsia="宋体" w:cs="宋体"/>
                <w:color w:val="auto"/>
                <w:spacing w:val="6"/>
                <w:sz w:val="24"/>
                <w:szCs w:val="24"/>
                <w:highlight w:val="none"/>
              </w:rPr>
              <w:t>端口：</w:t>
            </w:r>
            <w:r>
              <w:rPr>
                <w:rFonts w:hint="eastAsia" w:ascii="宋体" w:hAnsi="宋体" w:eastAsia="宋体" w:cs="宋体"/>
                <w:color w:val="auto"/>
                <w:sz w:val="24"/>
                <w:szCs w:val="24"/>
                <w:highlight w:val="none"/>
              </w:rPr>
              <w:t>MICRO</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USB</w:t>
            </w:r>
            <w:r>
              <w:rPr>
                <w:rFonts w:hint="eastAsia" w:ascii="宋体" w:hAnsi="宋体" w:eastAsia="宋体" w:cs="宋体"/>
                <w:color w:val="auto"/>
                <w:spacing w:val="6"/>
                <w:sz w:val="24"/>
                <w:szCs w:val="24"/>
                <w:highlight w:val="none"/>
              </w:rPr>
              <w:t>接口形态</w:t>
            </w:r>
            <w:r>
              <w:rPr>
                <w:rFonts w:hint="eastAsia" w:ascii="宋体" w:hAnsi="宋体" w:eastAsia="宋体" w:cs="宋体"/>
                <w:color w:val="auto"/>
                <w:spacing w:val="6"/>
                <w:sz w:val="24"/>
                <w:szCs w:val="24"/>
                <w:highlight w:val="none"/>
                <w:lang w:eastAsia="zh-CN"/>
              </w:rPr>
              <w:t>。</w:t>
            </w:r>
          </w:p>
          <w:p w14:paraId="08E756CF">
            <w:pPr>
              <w:pStyle w:val="59"/>
              <w:numPr>
                <w:ilvl w:val="0"/>
                <w:numId w:val="13"/>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机械特性安装方式:导轨</w:t>
            </w:r>
            <w:r>
              <w:rPr>
                <w:rFonts w:hint="eastAsia" w:ascii="宋体" w:hAnsi="宋体" w:eastAsia="宋体" w:cs="宋体"/>
                <w:color w:val="auto"/>
                <w:spacing w:val="-5"/>
                <w:sz w:val="24"/>
                <w:szCs w:val="24"/>
                <w:highlight w:val="none"/>
                <w:lang w:eastAsia="zh-CN"/>
              </w:rPr>
              <w:t>。</w:t>
            </w:r>
          </w:p>
          <w:p w14:paraId="66C4948A">
            <w:pPr>
              <w:pStyle w:val="59"/>
              <w:numPr>
                <w:ilvl w:val="0"/>
                <w:numId w:val="13"/>
              </w:numPr>
              <w:spacing w:before="39" w:line="360" w:lineRule="auto"/>
              <w:ind w:left="454" w:leftChars="0" w:hanging="454" w:firstLineChars="0"/>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rPr>
              <w:t>外壳：金属结构</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尺寸50*20*10mm~130*85*35mm且满足现场安装需要（投标人自行踏勘确认）。</w:t>
            </w:r>
          </w:p>
          <w:p w14:paraId="1EF114EB">
            <w:pPr>
              <w:pStyle w:val="59"/>
              <w:numPr>
                <w:ilvl w:val="0"/>
                <w:numId w:val="13"/>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实时时钟:内置实时时钟（RTC）,纽扣电池供电</w:t>
            </w:r>
            <w:r>
              <w:rPr>
                <w:rFonts w:hint="eastAsia" w:ascii="宋体" w:hAnsi="宋体" w:eastAsia="宋体" w:cs="宋体"/>
                <w:color w:val="auto"/>
                <w:spacing w:val="-5"/>
                <w:sz w:val="24"/>
                <w:szCs w:val="24"/>
                <w:highlight w:val="none"/>
                <w:lang w:eastAsia="zh-CN"/>
              </w:rPr>
              <w:t>。</w:t>
            </w:r>
          </w:p>
          <w:p w14:paraId="69A9EB2A">
            <w:pPr>
              <w:pStyle w:val="59"/>
              <w:numPr>
                <w:ilvl w:val="0"/>
                <w:numId w:val="13"/>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指示灯：LEDPOWER,STATUS，RJ45信号指示灯</w:t>
            </w:r>
            <w:r>
              <w:rPr>
                <w:rFonts w:hint="eastAsia" w:ascii="宋体" w:hAnsi="宋体" w:eastAsia="宋体" w:cs="宋体"/>
                <w:color w:val="auto"/>
                <w:spacing w:val="-5"/>
                <w:sz w:val="24"/>
                <w:szCs w:val="24"/>
                <w:highlight w:val="none"/>
                <w:lang w:eastAsia="zh-CN"/>
              </w:rPr>
              <w:t>。</w:t>
            </w:r>
          </w:p>
          <w:p w14:paraId="158DE2AB">
            <w:pPr>
              <w:pStyle w:val="59"/>
              <w:numPr>
                <w:ilvl w:val="0"/>
                <w:numId w:val="13"/>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IP应用</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Ping</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DHCP</w:t>
            </w:r>
            <w:r>
              <w:rPr>
                <w:rFonts w:hint="eastAsia" w:ascii="宋体" w:hAnsi="宋体" w:eastAsia="宋体" w:cs="宋体"/>
                <w:color w:val="auto"/>
                <w:spacing w:val="11"/>
                <w:sz w:val="24"/>
                <w:szCs w:val="24"/>
                <w:highlight w:val="none"/>
              </w:rPr>
              <w:t>服务器/中继/客户端、</w:t>
            </w:r>
            <w:r>
              <w:rPr>
                <w:rFonts w:hint="eastAsia" w:ascii="宋体" w:hAnsi="宋体" w:eastAsia="宋体" w:cs="宋体"/>
                <w:color w:val="auto"/>
                <w:sz w:val="24"/>
                <w:szCs w:val="24"/>
                <w:highlight w:val="none"/>
              </w:rPr>
              <w:t>Telnet</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SSH</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HTTP</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HTTPS</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FTP</w:t>
            </w:r>
            <w:r>
              <w:rPr>
                <w:rFonts w:hint="eastAsia" w:ascii="宋体" w:hAnsi="宋体" w:eastAsia="宋体" w:cs="宋体"/>
                <w:color w:val="auto"/>
                <w:spacing w:val="11"/>
                <w:sz w:val="24"/>
                <w:szCs w:val="24"/>
                <w:highlight w:val="none"/>
                <w:lang w:eastAsia="zh-CN"/>
              </w:rPr>
              <w:t>。</w:t>
            </w:r>
          </w:p>
          <w:p w14:paraId="4EFC89F8">
            <w:pPr>
              <w:pStyle w:val="59"/>
              <w:numPr>
                <w:ilvl w:val="0"/>
                <w:numId w:val="13"/>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恢复</w:t>
            </w:r>
            <w:r>
              <w:rPr>
                <w:rFonts w:hint="eastAsia" w:ascii="宋体" w:hAnsi="宋体" w:eastAsia="宋体" w:cs="宋体"/>
                <w:color w:val="auto"/>
                <w:spacing w:val="-5"/>
                <w:sz w:val="24"/>
                <w:szCs w:val="24"/>
                <w:highlight w:val="none"/>
              </w:rPr>
              <w:t>功能</w:t>
            </w:r>
            <w:r>
              <w:rPr>
                <w:rFonts w:hint="eastAsia" w:ascii="宋体" w:hAnsi="宋体" w:eastAsia="宋体" w:cs="宋体"/>
                <w:color w:val="auto"/>
                <w:spacing w:val="6"/>
                <w:sz w:val="24"/>
                <w:szCs w:val="24"/>
                <w:highlight w:val="none"/>
              </w:rPr>
              <w:t>：链路在线检测发送心跳包检测，断线自动连接</w:t>
            </w:r>
            <w:r>
              <w:rPr>
                <w:rFonts w:hint="eastAsia" w:ascii="宋体" w:hAnsi="宋体" w:eastAsia="宋体" w:cs="宋体"/>
                <w:color w:val="auto"/>
                <w:spacing w:val="6"/>
                <w:sz w:val="24"/>
                <w:szCs w:val="24"/>
                <w:highlight w:val="none"/>
                <w:lang w:eastAsia="zh-CN"/>
              </w:rPr>
              <w:t>。</w:t>
            </w:r>
          </w:p>
          <w:p w14:paraId="181CEFB9">
            <w:pPr>
              <w:pStyle w:val="59"/>
              <w:numPr>
                <w:ilvl w:val="0"/>
                <w:numId w:val="13"/>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内嵌看门狗，设备运行自检技术，设备运行故障自修复</w:t>
            </w:r>
            <w:r>
              <w:rPr>
                <w:rFonts w:hint="eastAsia" w:ascii="宋体" w:hAnsi="宋体" w:eastAsia="宋体" w:cs="宋体"/>
                <w:color w:val="auto"/>
                <w:spacing w:val="-5"/>
                <w:sz w:val="24"/>
                <w:szCs w:val="24"/>
                <w:highlight w:val="none"/>
                <w:lang w:eastAsia="zh-CN"/>
              </w:rPr>
              <w:t>。</w:t>
            </w:r>
          </w:p>
          <w:p w14:paraId="3E8C7493">
            <w:pPr>
              <w:pStyle w:val="59"/>
              <w:numPr>
                <w:ilvl w:val="0"/>
                <w:numId w:val="13"/>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安全特性：支持MD5、SHA256加密算法、开放系统、共享密钥，设备恢复出厂设置后在登录界面给出修改密码提示</w:t>
            </w:r>
            <w:r>
              <w:rPr>
                <w:rFonts w:hint="eastAsia" w:ascii="宋体" w:hAnsi="宋体" w:eastAsia="宋体" w:cs="宋体"/>
                <w:color w:val="auto"/>
                <w:spacing w:val="-5"/>
                <w:sz w:val="24"/>
                <w:szCs w:val="24"/>
                <w:highlight w:val="none"/>
                <w:lang w:eastAsia="zh-CN"/>
              </w:rPr>
              <w:t>。</w:t>
            </w:r>
          </w:p>
          <w:p w14:paraId="0171681B">
            <w:pPr>
              <w:pStyle w:val="59"/>
              <w:numPr>
                <w:ilvl w:val="0"/>
                <w:numId w:val="13"/>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配置方式：本地或远程HTTP、HTTPS、Telnet、SSH方式</w:t>
            </w:r>
            <w:r>
              <w:rPr>
                <w:rFonts w:hint="eastAsia" w:ascii="宋体" w:hAnsi="宋体" w:eastAsia="宋体" w:cs="宋体"/>
                <w:color w:val="auto"/>
                <w:spacing w:val="-5"/>
                <w:sz w:val="24"/>
                <w:szCs w:val="24"/>
                <w:highlight w:val="none"/>
                <w:lang w:eastAsia="zh-CN"/>
              </w:rPr>
              <w:t>。</w:t>
            </w:r>
          </w:p>
          <w:p w14:paraId="1A04884A">
            <w:pPr>
              <w:pStyle w:val="59"/>
              <w:numPr>
                <w:ilvl w:val="0"/>
                <w:numId w:val="13"/>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升级方式：本地或远程WEB</w:t>
            </w:r>
            <w:r>
              <w:rPr>
                <w:rFonts w:hint="eastAsia" w:ascii="宋体" w:hAnsi="宋体" w:eastAsia="宋体" w:cs="宋体"/>
                <w:color w:val="auto"/>
                <w:spacing w:val="-5"/>
                <w:sz w:val="24"/>
                <w:szCs w:val="24"/>
                <w:highlight w:val="none"/>
                <w:lang w:eastAsia="zh-CN"/>
              </w:rPr>
              <w:t>。</w:t>
            </w:r>
          </w:p>
          <w:p w14:paraId="7C230FEE">
            <w:pPr>
              <w:pStyle w:val="59"/>
              <w:numPr>
                <w:ilvl w:val="0"/>
                <w:numId w:val="13"/>
              </w:numPr>
              <w:spacing w:before="39" w:line="360" w:lineRule="auto"/>
              <w:ind w:left="454" w:leftChars="0" w:hanging="454" w:firstLine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5"/>
                <w:sz w:val="24"/>
                <w:szCs w:val="24"/>
                <w:highlight w:val="none"/>
              </w:rPr>
              <w:t>内部可拓展接口：CAN-Bus2路，ADC2路12位，SD卡接口1路（复用），I2C3路（复用），PWM8路（复用），SPI2路，GPIO40路（复用）</w:t>
            </w:r>
            <w:r>
              <w:rPr>
                <w:rFonts w:hint="eastAsia" w:ascii="宋体" w:hAnsi="宋体" w:eastAsia="宋体" w:cs="宋体"/>
                <w:color w:val="auto"/>
                <w:spacing w:val="-5"/>
                <w:sz w:val="24"/>
                <w:szCs w:val="24"/>
                <w:highlight w:val="none"/>
                <w:lang w:eastAsia="zh-CN"/>
              </w:rPr>
              <w:t>。</w:t>
            </w:r>
          </w:p>
        </w:tc>
      </w:tr>
      <w:tr w14:paraId="66D2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72" w:type="dxa"/>
            <w:vAlign w:val="top"/>
          </w:tcPr>
          <w:p w14:paraId="6520E71B">
            <w:pPr>
              <w:spacing w:line="360" w:lineRule="auto"/>
              <w:jc w:val="center"/>
              <w:rPr>
                <w:rFonts w:hint="eastAsia" w:ascii="宋体" w:hAnsi="宋体" w:eastAsia="宋体" w:cs="宋体"/>
                <w:color w:val="auto"/>
                <w:sz w:val="24"/>
                <w:szCs w:val="24"/>
                <w:highlight w:val="none"/>
              </w:rPr>
            </w:pPr>
          </w:p>
          <w:p w14:paraId="700D12A0">
            <w:pPr>
              <w:spacing w:line="360" w:lineRule="auto"/>
              <w:jc w:val="center"/>
              <w:rPr>
                <w:rFonts w:hint="eastAsia" w:ascii="宋体" w:hAnsi="宋体" w:eastAsia="宋体" w:cs="宋体"/>
                <w:color w:val="auto"/>
                <w:sz w:val="24"/>
                <w:szCs w:val="24"/>
                <w:highlight w:val="none"/>
              </w:rPr>
            </w:pPr>
          </w:p>
          <w:p w14:paraId="33383703">
            <w:pPr>
              <w:spacing w:line="360" w:lineRule="auto"/>
              <w:jc w:val="center"/>
              <w:rPr>
                <w:rFonts w:hint="eastAsia" w:ascii="宋体" w:hAnsi="宋体" w:eastAsia="宋体" w:cs="宋体"/>
                <w:color w:val="auto"/>
                <w:sz w:val="24"/>
                <w:szCs w:val="24"/>
                <w:highlight w:val="none"/>
              </w:rPr>
            </w:pPr>
          </w:p>
          <w:p w14:paraId="7187AA18">
            <w:pPr>
              <w:spacing w:line="360" w:lineRule="auto"/>
              <w:jc w:val="center"/>
              <w:rPr>
                <w:rFonts w:hint="eastAsia" w:ascii="宋体" w:hAnsi="宋体" w:eastAsia="宋体" w:cs="宋体"/>
                <w:color w:val="auto"/>
                <w:sz w:val="24"/>
                <w:szCs w:val="24"/>
                <w:highlight w:val="none"/>
              </w:rPr>
            </w:pPr>
          </w:p>
          <w:p w14:paraId="1D11E024">
            <w:pPr>
              <w:spacing w:line="360" w:lineRule="auto"/>
              <w:jc w:val="center"/>
              <w:rPr>
                <w:rFonts w:hint="eastAsia" w:ascii="宋体" w:hAnsi="宋体" w:eastAsia="宋体" w:cs="宋体"/>
                <w:color w:val="auto"/>
                <w:sz w:val="24"/>
                <w:szCs w:val="24"/>
                <w:highlight w:val="none"/>
              </w:rPr>
            </w:pPr>
          </w:p>
          <w:p w14:paraId="02EC6EBB">
            <w:pPr>
              <w:spacing w:line="360" w:lineRule="auto"/>
              <w:jc w:val="center"/>
              <w:rPr>
                <w:rFonts w:hint="eastAsia" w:ascii="宋体" w:hAnsi="宋体" w:eastAsia="宋体" w:cs="宋体"/>
                <w:color w:val="auto"/>
                <w:sz w:val="24"/>
                <w:szCs w:val="24"/>
                <w:highlight w:val="none"/>
              </w:rPr>
            </w:pPr>
          </w:p>
          <w:p w14:paraId="4BA01AAC">
            <w:pPr>
              <w:spacing w:line="360" w:lineRule="auto"/>
              <w:jc w:val="center"/>
              <w:rPr>
                <w:rFonts w:hint="eastAsia" w:ascii="宋体" w:hAnsi="宋体" w:eastAsia="宋体" w:cs="宋体"/>
                <w:color w:val="auto"/>
                <w:sz w:val="24"/>
                <w:szCs w:val="24"/>
                <w:highlight w:val="none"/>
              </w:rPr>
            </w:pPr>
          </w:p>
          <w:p w14:paraId="69451924">
            <w:pPr>
              <w:spacing w:line="360" w:lineRule="auto"/>
              <w:jc w:val="center"/>
              <w:rPr>
                <w:rFonts w:hint="eastAsia" w:ascii="宋体" w:hAnsi="宋体" w:eastAsia="宋体" w:cs="宋体"/>
                <w:color w:val="auto"/>
                <w:sz w:val="24"/>
                <w:szCs w:val="24"/>
                <w:highlight w:val="none"/>
              </w:rPr>
            </w:pPr>
          </w:p>
          <w:p w14:paraId="4A9C6791">
            <w:pPr>
              <w:pStyle w:val="59"/>
              <w:spacing w:before="69"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z w:val="24"/>
                <w:szCs w:val="24"/>
                <w:highlight w:val="none"/>
              </w:rPr>
              <w:t>3</w:t>
            </w:r>
          </w:p>
        </w:tc>
        <w:tc>
          <w:tcPr>
            <w:tcW w:w="1968" w:type="dxa"/>
            <w:vAlign w:val="top"/>
          </w:tcPr>
          <w:p w14:paraId="4D278B85">
            <w:pPr>
              <w:spacing w:line="360" w:lineRule="auto"/>
              <w:rPr>
                <w:rFonts w:hint="eastAsia" w:ascii="宋体" w:hAnsi="宋体" w:eastAsia="宋体" w:cs="宋体"/>
                <w:color w:val="auto"/>
                <w:sz w:val="24"/>
                <w:szCs w:val="24"/>
                <w:highlight w:val="none"/>
              </w:rPr>
            </w:pPr>
          </w:p>
          <w:p w14:paraId="3A8218C3">
            <w:pPr>
              <w:spacing w:line="360" w:lineRule="auto"/>
              <w:rPr>
                <w:rFonts w:hint="eastAsia" w:ascii="宋体" w:hAnsi="宋体" w:eastAsia="宋体" w:cs="宋体"/>
                <w:color w:val="auto"/>
                <w:sz w:val="24"/>
                <w:szCs w:val="24"/>
                <w:highlight w:val="none"/>
              </w:rPr>
            </w:pPr>
          </w:p>
          <w:p w14:paraId="2D5AD59D">
            <w:pPr>
              <w:spacing w:line="360" w:lineRule="auto"/>
              <w:rPr>
                <w:rFonts w:hint="eastAsia" w:ascii="宋体" w:hAnsi="宋体" w:eastAsia="宋体" w:cs="宋体"/>
                <w:color w:val="auto"/>
                <w:sz w:val="24"/>
                <w:szCs w:val="24"/>
                <w:highlight w:val="none"/>
              </w:rPr>
            </w:pPr>
          </w:p>
          <w:p w14:paraId="36E10300">
            <w:pPr>
              <w:spacing w:line="360" w:lineRule="auto"/>
              <w:rPr>
                <w:rFonts w:hint="eastAsia" w:ascii="宋体" w:hAnsi="宋体" w:eastAsia="宋体" w:cs="宋体"/>
                <w:color w:val="auto"/>
                <w:sz w:val="24"/>
                <w:szCs w:val="24"/>
                <w:highlight w:val="none"/>
              </w:rPr>
            </w:pPr>
          </w:p>
          <w:p w14:paraId="036F5D2E">
            <w:pPr>
              <w:spacing w:line="360" w:lineRule="auto"/>
              <w:rPr>
                <w:rFonts w:hint="eastAsia" w:ascii="宋体" w:hAnsi="宋体" w:eastAsia="宋体" w:cs="宋体"/>
                <w:color w:val="auto"/>
                <w:sz w:val="24"/>
                <w:szCs w:val="24"/>
                <w:highlight w:val="none"/>
              </w:rPr>
            </w:pPr>
          </w:p>
          <w:p w14:paraId="559477C3">
            <w:pPr>
              <w:spacing w:line="360" w:lineRule="auto"/>
              <w:rPr>
                <w:rFonts w:hint="eastAsia" w:ascii="宋体" w:hAnsi="宋体" w:eastAsia="宋体" w:cs="宋体"/>
                <w:color w:val="auto"/>
                <w:sz w:val="24"/>
                <w:szCs w:val="24"/>
                <w:highlight w:val="none"/>
              </w:rPr>
            </w:pPr>
          </w:p>
          <w:p w14:paraId="4E0E3BA3">
            <w:pPr>
              <w:spacing w:line="360" w:lineRule="auto"/>
              <w:rPr>
                <w:rFonts w:hint="eastAsia" w:ascii="宋体" w:hAnsi="宋体" w:eastAsia="宋体" w:cs="宋体"/>
                <w:color w:val="auto"/>
                <w:sz w:val="24"/>
                <w:szCs w:val="24"/>
                <w:highlight w:val="none"/>
              </w:rPr>
            </w:pPr>
          </w:p>
          <w:p w14:paraId="47F4BBCF">
            <w:pPr>
              <w:spacing w:line="360" w:lineRule="auto"/>
              <w:rPr>
                <w:rFonts w:hint="eastAsia" w:ascii="宋体" w:hAnsi="宋体" w:eastAsia="宋体" w:cs="宋体"/>
                <w:color w:val="auto"/>
                <w:sz w:val="24"/>
                <w:szCs w:val="24"/>
                <w:highlight w:val="none"/>
              </w:rPr>
            </w:pPr>
          </w:p>
          <w:p w14:paraId="0EC3DB19">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7"/>
                <w:sz w:val="24"/>
                <w:szCs w:val="24"/>
                <w:highlight w:val="none"/>
              </w:rPr>
              <w:t>空调无线</w:t>
            </w:r>
            <w:r>
              <w:rPr>
                <w:rFonts w:hint="eastAsia" w:ascii="宋体" w:hAnsi="宋体" w:eastAsia="宋体" w:cs="宋体"/>
                <w:color w:val="auto"/>
                <w:spacing w:val="6"/>
                <w:sz w:val="24"/>
                <w:szCs w:val="24"/>
                <w:highlight w:val="none"/>
              </w:rPr>
              <w:t>协调</w:t>
            </w:r>
            <w:r>
              <w:rPr>
                <w:rFonts w:hint="eastAsia" w:ascii="宋体" w:hAnsi="宋体" w:eastAsia="宋体" w:cs="宋体"/>
                <w:color w:val="auto"/>
                <w:spacing w:val="7"/>
                <w:sz w:val="24"/>
                <w:szCs w:val="24"/>
                <w:highlight w:val="none"/>
              </w:rPr>
              <w:t>器</w:t>
            </w:r>
          </w:p>
        </w:tc>
        <w:tc>
          <w:tcPr>
            <w:tcW w:w="5682" w:type="dxa"/>
            <w:vAlign w:val="top"/>
          </w:tcPr>
          <w:p w14:paraId="4CD64B61">
            <w:pPr>
              <w:pStyle w:val="59"/>
              <w:numPr>
                <w:ilvl w:val="0"/>
                <w:numId w:val="14"/>
              </w:numPr>
              <w:spacing w:before="53" w:line="360" w:lineRule="auto"/>
              <w:ind w:left="0" w:leftChars="0" w:firstLine="420" w:firstLineChars="0"/>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lang w:val="en-US" w:eastAsia="zh-CN"/>
              </w:rPr>
              <w:t>关键参数</w:t>
            </w:r>
          </w:p>
          <w:p w14:paraId="60D4C307">
            <w:pPr>
              <w:pStyle w:val="59"/>
              <w:numPr>
                <w:ilvl w:val="0"/>
                <w:numId w:val="15"/>
              </w:numPr>
              <w:spacing w:before="39" w:line="360" w:lineRule="auto"/>
              <w:ind w:left="454" w:leftChars="0" w:hanging="454" w:firstLineChars="0"/>
              <w:rPr>
                <w:rFonts w:hint="eastAsia" w:ascii="宋体" w:hAnsi="宋体" w:eastAsia="宋体" w:cs="宋体"/>
                <w:b/>
                <w:bCs/>
                <w:color w:val="auto"/>
                <w:spacing w:val="-5"/>
                <w:sz w:val="24"/>
                <w:szCs w:val="24"/>
                <w:highlight w:val="none"/>
                <w:lang w:eastAsia="zh-CN"/>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
                <w:sz w:val="24"/>
                <w:szCs w:val="24"/>
                <w:highlight w:val="none"/>
              </w:rPr>
              <w:t>支持lora通信，可一台对多台通信</w:t>
            </w:r>
            <w:r>
              <w:rPr>
                <w:rFonts w:hint="eastAsia" w:ascii="宋体" w:hAnsi="宋体" w:eastAsia="宋体" w:cs="宋体"/>
                <w:color w:val="auto"/>
                <w:spacing w:val="6"/>
                <w:sz w:val="24"/>
                <w:szCs w:val="24"/>
                <w:highlight w:val="none"/>
                <w:lang w:eastAsia="zh-CN"/>
              </w:rPr>
              <w:t>。</w:t>
            </w:r>
          </w:p>
          <w:p w14:paraId="294A3D15">
            <w:pPr>
              <w:pStyle w:val="59"/>
              <w:numPr>
                <w:ilvl w:val="0"/>
                <w:numId w:val="14"/>
              </w:numPr>
              <w:spacing w:before="53" w:line="360" w:lineRule="auto"/>
              <w:ind w:left="0" w:leftChars="0" w:firstLine="420" w:firstLineChars="0"/>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重要参数</w:t>
            </w:r>
          </w:p>
          <w:p w14:paraId="462DAF8D">
            <w:pPr>
              <w:pStyle w:val="59"/>
              <w:numPr>
                <w:ilvl w:val="0"/>
                <w:numId w:val="16"/>
              </w:numPr>
              <w:spacing w:before="39" w:line="360" w:lineRule="auto"/>
              <w:ind w:left="454" w:leftChars="0" w:hanging="454"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rPr>
              <w:t>工作电压：</w:t>
            </w:r>
            <w:r>
              <w:rPr>
                <w:rFonts w:hint="eastAsia" w:ascii="宋体" w:hAnsi="宋体" w:eastAsia="宋体" w:cs="宋体"/>
                <w:color w:val="auto"/>
                <w:spacing w:val="5"/>
                <w:sz w:val="24"/>
                <w:szCs w:val="24"/>
                <w:highlight w:val="none"/>
                <w:lang w:val="en-US" w:eastAsia="zh-CN"/>
              </w:rPr>
              <w:t>不超过24V。</w:t>
            </w:r>
          </w:p>
          <w:p w14:paraId="6B26CAF5">
            <w:pPr>
              <w:pStyle w:val="59"/>
              <w:numPr>
                <w:ilvl w:val="0"/>
                <w:numId w:val="16"/>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★通过</w:t>
            </w:r>
            <w:r>
              <w:rPr>
                <w:rFonts w:hint="eastAsia" w:ascii="宋体" w:hAnsi="宋体" w:eastAsia="宋体" w:cs="宋体"/>
                <w:color w:val="auto"/>
                <w:spacing w:val="5"/>
                <w:sz w:val="24"/>
                <w:szCs w:val="24"/>
                <w:highlight w:val="none"/>
              </w:rPr>
              <w:t>GB</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4943.1-2022《音视频、信息技术和通信技术设备第1部分：安全要求》标准检</w:t>
            </w:r>
            <w:r>
              <w:rPr>
                <w:rFonts w:hint="eastAsia" w:ascii="宋体" w:hAnsi="宋体" w:eastAsia="宋体" w:cs="宋体"/>
                <w:color w:val="auto"/>
                <w:spacing w:val="5"/>
                <w:sz w:val="24"/>
                <w:szCs w:val="24"/>
                <w:highlight w:val="none"/>
                <w:lang w:eastAsia="zh-CN"/>
              </w:rPr>
              <w:t>。</w:t>
            </w:r>
          </w:p>
          <w:p w14:paraId="67A2062C">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（需提供相应的检测报告）</w:t>
            </w:r>
          </w:p>
          <w:p w14:paraId="1EE73EB8">
            <w:pPr>
              <w:pStyle w:val="59"/>
              <w:numPr>
                <w:ilvl w:val="0"/>
                <w:numId w:val="16"/>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★通过GB/T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9254.1-2021《信息技术设备、多媒体设备和接收机电磁兼容第1部分：发射要求》</w:t>
            </w:r>
            <w:r>
              <w:rPr>
                <w:rFonts w:hint="eastAsia" w:ascii="宋体" w:hAnsi="宋体" w:eastAsia="宋体" w:cs="宋体"/>
                <w:color w:val="auto"/>
                <w:spacing w:val="5"/>
                <w:sz w:val="24"/>
                <w:szCs w:val="24"/>
                <w:highlight w:val="none"/>
                <w:lang w:eastAsia="zh-CN"/>
              </w:rPr>
              <w:t>。</w:t>
            </w:r>
          </w:p>
          <w:p w14:paraId="7CF6074E">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（需提供相应的检测报告）</w:t>
            </w:r>
          </w:p>
          <w:p w14:paraId="1B0F5A5A">
            <w:pPr>
              <w:pStyle w:val="59"/>
              <w:numPr>
                <w:ilvl w:val="0"/>
                <w:numId w:val="16"/>
              </w:numPr>
              <w:spacing w:before="39" w:line="360" w:lineRule="auto"/>
              <w:ind w:left="454" w:leftChars="0" w:hanging="454"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rPr>
              <w:t>★通过GB/T</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9</w:t>
            </w:r>
            <w:r>
              <w:rPr>
                <w:rFonts w:hint="eastAsia" w:ascii="宋体" w:hAnsi="宋体" w:eastAsia="宋体" w:cs="宋体"/>
                <w:color w:val="auto"/>
                <w:spacing w:val="6"/>
                <w:sz w:val="24"/>
                <w:szCs w:val="24"/>
                <w:highlight w:val="none"/>
              </w:rPr>
              <w:t>254.2-2021《信息技术设备、多媒体设备和接收机电磁兼容第2部分：抗扰度要求》</w:t>
            </w:r>
            <w:r>
              <w:rPr>
                <w:rFonts w:hint="eastAsia" w:ascii="宋体" w:hAnsi="宋体" w:eastAsia="宋体" w:cs="宋体"/>
                <w:color w:val="auto"/>
                <w:spacing w:val="6"/>
                <w:sz w:val="24"/>
                <w:szCs w:val="24"/>
                <w:highlight w:val="none"/>
                <w:lang w:eastAsia="zh-CN"/>
              </w:rPr>
              <w:t>。</w:t>
            </w:r>
          </w:p>
          <w:p w14:paraId="32077F75">
            <w:pPr>
              <w:pStyle w:val="59"/>
              <w:numPr>
                <w:ilvl w:val="0"/>
                <w:numId w:val="0"/>
              </w:numPr>
              <w:spacing w:before="39" w:line="360" w:lineRule="auto"/>
              <w:ind w:leftChars="0" w:firstLine="460" w:firstLineChars="200"/>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rPr>
              <w:t>（需提供相应的检测报告）</w:t>
            </w:r>
          </w:p>
          <w:p w14:paraId="4D9660EC">
            <w:pPr>
              <w:pStyle w:val="59"/>
              <w:numPr>
                <w:ilvl w:val="0"/>
                <w:numId w:val="14"/>
              </w:numPr>
              <w:spacing w:before="53" w:line="360" w:lineRule="auto"/>
              <w:ind w:left="0" w:leftChars="0" w:firstLine="420" w:firstLineChars="0"/>
              <w:rPr>
                <w:rFonts w:hint="eastAsia" w:ascii="宋体" w:hAnsi="宋体" w:eastAsia="宋体" w:cs="宋体"/>
                <w:b/>
                <w:bCs/>
                <w:color w:val="auto"/>
                <w:spacing w:val="-5"/>
                <w:sz w:val="24"/>
                <w:szCs w:val="24"/>
                <w:highlight w:val="none"/>
                <w:lang w:eastAsia="zh-CN"/>
              </w:rPr>
            </w:pPr>
            <w:r>
              <w:rPr>
                <w:rFonts w:hint="eastAsia" w:ascii="宋体" w:hAnsi="宋体" w:eastAsia="宋体" w:cs="宋体"/>
                <w:b/>
                <w:bCs/>
                <w:color w:val="auto"/>
                <w:spacing w:val="-5"/>
                <w:sz w:val="24"/>
                <w:szCs w:val="24"/>
                <w:highlight w:val="none"/>
                <w:lang w:val="en-US" w:eastAsia="zh-CN"/>
              </w:rPr>
              <w:t>一般参数</w:t>
            </w:r>
          </w:p>
          <w:p w14:paraId="26613B38">
            <w:pPr>
              <w:pStyle w:val="59"/>
              <w:numPr>
                <w:ilvl w:val="0"/>
                <w:numId w:val="17"/>
              </w:numPr>
              <w:spacing w:before="39" w:line="360" w:lineRule="auto"/>
              <w:ind w:left="454" w:leftChars="0" w:hanging="454" w:firstLineChars="0"/>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rPr>
              <w:t>信道-CH：1-64可调</w:t>
            </w:r>
            <w:r>
              <w:rPr>
                <w:rFonts w:hint="eastAsia" w:ascii="宋体" w:hAnsi="宋体" w:eastAsia="宋体" w:cs="宋体"/>
                <w:color w:val="auto"/>
                <w:spacing w:val="-5"/>
                <w:sz w:val="24"/>
                <w:szCs w:val="24"/>
                <w:highlight w:val="none"/>
                <w:lang w:eastAsia="zh-CN"/>
              </w:rPr>
              <w:t>。</w:t>
            </w:r>
          </w:p>
          <w:p w14:paraId="29E47760">
            <w:pPr>
              <w:pStyle w:val="59"/>
              <w:numPr>
                <w:ilvl w:val="0"/>
                <w:numId w:val="17"/>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工作电流：发射电流（典型值）110mA-3.3V；接收电流（典型值）8mA-3.3V；休眠电流（典型值）2.5μA-3.3V</w:t>
            </w:r>
            <w:r>
              <w:rPr>
                <w:rFonts w:hint="eastAsia" w:ascii="宋体" w:hAnsi="宋体" w:eastAsia="宋体" w:cs="宋体"/>
                <w:color w:val="auto"/>
                <w:spacing w:val="-5"/>
                <w:sz w:val="24"/>
                <w:szCs w:val="24"/>
                <w:highlight w:val="none"/>
                <w:lang w:eastAsia="zh-CN"/>
              </w:rPr>
              <w:t>。</w:t>
            </w:r>
          </w:p>
          <w:p w14:paraId="1D8D667E">
            <w:pPr>
              <w:pStyle w:val="59"/>
              <w:numPr>
                <w:ilvl w:val="0"/>
                <w:numId w:val="17"/>
              </w:numPr>
              <w:spacing w:before="39" w:line="360" w:lineRule="auto"/>
              <w:ind w:left="454" w:leftChars="0" w:hanging="454" w:firstLineChars="0"/>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5"/>
                <w:sz w:val="24"/>
                <w:szCs w:val="24"/>
                <w:highlight w:val="none"/>
              </w:rPr>
              <w:t>数据接口：不少于1路RS485总线通讯，不少于1路Type-C调试接口</w:t>
            </w:r>
            <w:r>
              <w:rPr>
                <w:rFonts w:hint="eastAsia" w:ascii="宋体" w:hAnsi="宋体" w:eastAsia="宋体" w:cs="宋体"/>
                <w:color w:val="auto"/>
                <w:spacing w:val="-5"/>
                <w:sz w:val="24"/>
                <w:szCs w:val="24"/>
                <w:highlight w:val="none"/>
                <w:lang w:eastAsia="zh-CN"/>
              </w:rPr>
              <w:t>。</w:t>
            </w:r>
          </w:p>
        </w:tc>
      </w:tr>
      <w:tr w14:paraId="53C7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14:paraId="0FBDC8C9">
            <w:pPr>
              <w:pStyle w:val="59"/>
              <w:spacing w:before="69"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z w:val="24"/>
                <w:szCs w:val="24"/>
                <w:highlight w:val="none"/>
              </w:rPr>
              <w:t>4</w:t>
            </w:r>
          </w:p>
        </w:tc>
        <w:tc>
          <w:tcPr>
            <w:tcW w:w="1968" w:type="dxa"/>
            <w:vAlign w:val="center"/>
          </w:tcPr>
          <w:p w14:paraId="502F66DB">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7"/>
                <w:sz w:val="24"/>
                <w:szCs w:val="24"/>
                <w:highlight w:val="none"/>
              </w:rPr>
              <w:t>数据采集箱</w:t>
            </w:r>
          </w:p>
        </w:tc>
        <w:tc>
          <w:tcPr>
            <w:tcW w:w="5682" w:type="dxa"/>
            <w:vAlign w:val="center"/>
          </w:tcPr>
          <w:p w14:paraId="7A95243E">
            <w:pPr>
              <w:pStyle w:val="59"/>
              <w:numPr>
                <w:ilvl w:val="0"/>
                <w:numId w:val="0"/>
              </w:numPr>
              <w:spacing w:before="39" w:line="360" w:lineRule="auto"/>
              <w:ind w:leftChars="0"/>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6"/>
                <w:sz w:val="24"/>
                <w:szCs w:val="24"/>
                <w:highlight w:val="none"/>
              </w:rPr>
              <w:t>定制，用于布设智能网关，含供电模块及其他电气附件；尺寸</w:t>
            </w:r>
            <w:r>
              <w:rPr>
                <w:rFonts w:hint="eastAsia" w:ascii="宋体" w:hAnsi="宋体" w:eastAsia="宋体" w:cs="宋体"/>
                <w:color w:val="auto"/>
                <w:spacing w:val="-5"/>
                <w:sz w:val="24"/>
                <w:szCs w:val="24"/>
                <w:highlight w:val="none"/>
                <w:lang w:val="en-US" w:eastAsia="zh-CN"/>
              </w:rPr>
              <w:t>满足现场安装需要（投标人自行踏勘确认）</w:t>
            </w:r>
            <w:r>
              <w:rPr>
                <w:rFonts w:hint="eastAsia" w:ascii="宋体" w:hAnsi="宋体" w:eastAsia="宋体" w:cs="宋体"/>
                <w:strike w:val="0"/>
                <w:dstrike w:val="0"/>
                <w:color w:val="auto"/>
                <w:spacing w:val="6"/>
                <w:sz w:val="24"/>
                <w:szCs w:val="24"/>
                <w:highlight w:val="none"/>
                <w:lang w:val="en-US" w:eastAsia="zh-CN"/>
              </w:rPr>
              <w:t>。</w:t>
            </w:r>
          </w:p>
        </w:tc>
      </w:tr>
      <w:tr w14:paraId="1D71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76A74340">
            <w:pPr>
              <w:spacing w:line="360" w:lineRule="auto"/>
              <w:jc w:val="center"/>
              <w:rPr>
                <w:rFonts w:hint="eastAsia" w:ascii="宋体" w:hAnsi="宋体" w:eastAsia="宋体" w:cs="宋体"/>
                <w:color w:val="auto"/>
                <w:sz w:val="24"/>
                <w:szCs w:val="24"/>
                <w:highlight w:val="none"/>
              </w:rPr>
            </w:pPr>
          </w:p>
          <w:p w14:paraId="740A1FD4">
            <w:pPr>
              <w:pStyle w:val="59"/>
              <w:spacing w:before="69" w:line="360" w:lineRule="auto"/>
              <w:jc w:val="center"/>
              <w:rPr>
                <w:rFonts w:hint="eastAsia" w:ascii="宋体" w:hAnsi="宋体" w:eastAsia="宋体" w:cs="宋体"/>
                <w:b/>
                <w:color w:val="auto"/>
                <w:sz w:val="24"/>
                <w:szCs w:val="24"/>
                <w:highlight w:val="none"/>
                <w:vertAlign w:val="baseline"/>
              </w:rPr>
            </w:pPr>
          </w:p>
          <w:p w14:paraId="7BC97509">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b w:val="0"/>
                <w:bCs/>
                <w:color w:val="auto"/>
                <w:sz w:val="24"/>
                <w:highlight w:val="none"/>
                <w:vertAlign w:val="baseline"/>
                <w:lang w:val="en-US" w:eastAsia="zh-CN"/>
              </w:rPr>
              <w:t>其他要求</w:t>
            </w:r>
          </w:p>
        </w:tc>
        <w:tc>
          <w:tcPr>
            <w:tcW w:w="5682" w:type="dxa"/>
            <w:vAlign w:val="center"/>
          </w:tcPr>
          <w:p w14:paraId="53C8F9E7">
            <w:pPr>
              <w:pStyle w:val="59"/>
              <w:spacing w:before="53" w:line="259" w:lineRule="auto"/>
              <w:ind w:right="195"/>
              <w:jc w:val="both"/>
              <w:rPr>
                <w:rFonts w:hint="eastAsia" w:ascii="宋体" w:hAnsi="宋体" w:eastAsia="宋体" w:cs="宋体"/>
                <w:color w:val="auto"/>
                <w:spacing w:val="6"/>
                <w:sz w:val="24"/>
                <w:szCs w:val="24"/>
                <w:highlight w:val="none"/>
              </w:rPr>
            </w:pPr>
            <w:r>
              <w:rPr>
                <w:color w:val="auto"/>
                <w:spacing w:val="7"/>
                <w:sz w:val="24"/>
                <w:szCs w:val="24"/>
                <w:highlight w:val="none"/>
              </w:rPr>
              <w:t>管线及辅材</w:t>
            </w:r>
            <w:r>
              <w:rPr>
                <w:rFonts w:hint="eastAsia"/>
                <w:color w:val="auto"/>
                <w:spacing w:val="7"/>
                <w:sz w:val="24"/>
                <w:szCs w:val="24"/>
                <w:highlight w:val="none"/>
                <w:lang w:eastAsia="zh-CN"/>
              </w:rPr>
              <w:t>：</w:t>
            </w:r>
          </w:p>
          <w:p w14:paraId="649484E2">
            <w:pPr>
              <w:pStyle w:val="59"/>
              <w:spacing w:before="53" w:line="360" w:lineRule="auto"/>
              <w:ind w:right="195"/>
              <w:jc w:val="left"/>
              <w:rPr>
                <w:rFonts w:hint="eastAsia" w:ascii="宋体" w:hAnsi="宋体" w:eastAsia="宋体" w:cs="宋体"/>
                <w:color w:val="auto"/>
                <w:sz w:val="24"/>
                <w:szCs w:val="24"/>
                <w:highlight w:val="none"/>
              </w:rPr>
            </w:pPr>
            <w:r>
              <w:rPr>
                <w:rFonts w:hint="eastAsia"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包含通信线（</w:t>
            </w:r>
            <w:r>
              <w:rPr>
                <w:rFonts w:hint="eastAsia" w:ascii="宋体" w:hAnsi="宋体" w:eastAsia="宋体" w:cs="宋体"/>
                <w:color w:val="auto"/>
                <w:sz w:val="24"/>
                <w:szCs w:val="24"/>
                <w:highlight w:val="none"/>
              </w:rPr>
              <w:t>RVSP</w:t>
            </w:r>
            <w:r>
              <w:rPr>
                <w:rFonts w:hint="eastAsia" w:ascii="宋体" w:hAnsi="宋体" w:eastAsia="宋体" w:cs="宋体"/>
                <w:color w:val="auto"/>
                <w:spacing w:val="6"/>
                <w:sz w:val="24"/>
                <w:szCs w:val="24"/>
                <w:highlight w:val="none"/>
              </w:rPr>
              <w:t>4*1.5，约</w:t>
            </w:r>
            <w:r>
              <w:rPr>
                <w:rFonts w:hint="eastAsia" w:ascii="宋体" w:hAnsi="宋体" w:eastAsia="宋体" w:cs="宋体"/>
                <w:color w:val="auto"/>
                <w:spacing w:val="6"/>
                <w:sz w:val="24"/>
                <w:szCs w:val="24"/>
                <w:highlight w:val="none"/>
                <w:lang w:val="en-US" w:eastAsia="zh-CN"/>
              </w:rPr>
              <w:t>63</w:t>
            </w:r>
            <w:r>
              <w:rPr>
                <w:rFonts w:hint="eastAsia" w:ascii="宋体" w:hAnsi="宋体" w:eastAsia="宋体" w:cs="宋体"/>
                <w:color w:val="auto"/>
                <w:spacing w:val="6"/>
                <w:sz w:val="24"/>
                <w:szCs w:val="24"/>
                <w:highlight w:val="none"/>
              </w:rPr>
              <w:t>00米）、电源线（</w:t>
            </w:r>
            <w:r>
              <w:rPr>
                <w:rFonts w:hint="eastAsia" w:ascii="宋体" w:hAnsi="宋体" w:eastAsia="宋体" w:cs="宋体"/>
                <w:color w:val="auto"/>
                <w:sz w:val="24"/>
                <w:szCs w:val="24"/>
                <w:highlight w:val="none"/>
              </w:rPr>
              <w:t>RVV</w:t>
            </w:r>
            <w:r>
              <w:rPr>
                <w:rFonts w:hint="eastAsia" w:ascii="宋体" w:hAnsi="宋体" w:eastAsia="宋体" w:cs="宋体"/>
                <w:color w:val="auto"/>
                <w:spacing w:val="6"/>
                <w:sz w:val="24"/>
                <w:szCs w:val="24"/>
                <w:highlight w:val="none"/>
              </w:rPr>
              <w:t>3*2.5，约</w:t>
            </w:r>
            <w:r>
              <w:rPr>
                <w:rFonts w:hint="eastAsia" w:ascii="宋体" w:hAnsi="宋体" w:eastAsia="宋体" w:cs="宋体"/>
                <w:color w:val="auto"/>
                <w:spacing w:val="6"/>
                <w:sz w:val="24"/>
                <w:szCs w:val="24"/>
                <w:highlight w:val="none"/>
                <w:lang w:val="en-US" w:eastAsia="zh-CN"/>
              </w:rPr>
              <w:t>750</w:t>
            </w:r>
            <w:r>
              <w:rPr>
                <w:rFonts w:hint="eastAsia" w:ascii="宋体" w:hAnsi="宋体" w:eastAsia="宋体" w:cs="宋体"/>
                <w:color w:val="auto"/>
                <w:spacing w:val="6"/>
                <w:sz w:val="24"/>
                <w:szCs w:val="24"/>
                <w:highlight w:val="none"/>
              </w:rPr>
              <w:t>米）、网线（</w:t>
            </w:r>
            <w:r>
              <w:rPr>
                <w:rFonts w:hint="eastAsia" w:ascii="宋体" w:hAnsi="宋体" w:eastAsia="宋体" w:cs="宋体"/>
                <w:color w:val="auto"/>
                <w:sz w:val="24"/>
                <w:szCs w:val="24"/>
                <w:highlight w:val="none"/>
              </w:rPr>
              <w:t>CAT</w:t>
            </w:r>
            <w:r>
              <w:rPr>
                <w:rFonts w:hint="eastAsia" w:ascii="宋体" w:hAnsi="宋体" w:eastAsia="宋体" w:cs="宋体"/>
                <w:color w:val="auto"/>
                <w:spacing w:val="6"/>
                <w:sz w:val="24"/>
                <w:szCs w:val="24"/>
                <w:highlight w:val="none"/>
              </w:rPr>
              <w:t>6，约</w:t>
            </w:r>
            <w:r>
              <w:rPr>
                <w:rFonts w:hint="eastAsia" w:ascii="宋体" w:hAnsi="宋体" w:eastAsia="宋体" w:cs="宋体"/>
                <w:color w:val="auto"/>
                <w:spacing w:val="6"/>
                <w:sz w:val="24"/>
                <w:szCs w:val="24"/>
                <w:highlight w:val="none"/>
                <w:lang w:val="en-US" w:eastAsia="zh-CN"/>
              </w:rPr>
              <w:t>750</w:t>
            </w:r>
            <w:r>
              <w:rPr>
                <w:rFonts w:hint="eastAsia" w:ascii="宋体" w:hAnsi="宋体" w:eastAsia="宋体" w:cs="宋体"/>
                <w:color w:val="auto"/>
                <w:spacing w:val="6"/>
                <w:sz w:val="24"/>
                <w:szCs w:val="24"/>
                <w:highlight w:val="none"/>
              </w:rPr>
              <w:t>米）、</w:t>
            </w:r>
            <w:r>
              <w:rPr>
                <w:rFonts w:hint="eastAsia" w:ascii="宋体" w:hAnsi="宋体" w:eastAsia="宋体" w:cs="宋体"/>
                <w:color w:val="auto"/>
                <w:sz w:val="24"/>
                <w:szCs w:val="24"/>
                <w:highlight w:val="none"/>
              </w:rPr>
              <w:t>PVC</w:t>
            </w:r>
            <w:r>
              <w:rPr>
                <w:rFonts w:hint="eastAsia" w:ascii="宋体" w:hAnsi="宋体" w:eastAsia="宋体" w:cs="宋体"/>
                <w:color w:val="auto"/>
                <w:spacing w:val="6"/>
                <w:sz w:val="24"/>
                <w:szCs w:val="24"/>
                <w:highlight w:val="none"/>
              </w:rPr>
              <w:t>管/</w:t>
            </w:r>
            <w:r>
              <w:rPr>
                <w:rFonts w:hint="eastAsia" w:ascii="宋体" w:hAnsi="宋体" w:eastAsia="宋体" w:cs="宋体"/>
                <w:color w:val="auto"/>
                <w:spacing w:val="2"/>
                <w:sz w:val="24"/>
                <w:szCs w:val="24"/>
                <w:highlight w:val="none"/>
              </w:rPr>
              <w:t>线槽（约</w:t>
            </w:r>
            <w:r>
              <w:rPr>
                <w:rFonts w:hint="eastAsia" w:ascii="宋体" w:hAnsi="宋体" w:eastAsia="宋体" w:cs="宋体"/>
                <w:color w:val="auto"/>
                <w:spacing w:val="2"/>
                <w:sz w:val="24"/>
                <w:szCs w:val="24"/>
                <w:highlight w:val="none"/>
                <w:lang w:val="en-US" w:eastAsia="zh-CN"/>
              </w:rPr>
              <w:t>550</w:t>
            </w:r>
            <w:r>
              <w:rPr>
                <w:rFonts w:hint="eastAsia" w:ascii="宋体" w:hAnsi="宋体" w:eastAsia="宋体" w:cs="宋体"/>
                <w:color w:val="auto"/>
                <w:spacing w:val="2"/>
                <w:sz w:val="24"/>
                <w:szCs w:val="24"/>
                <w:highlight w:val="none"/>
              </w:rPr>
              <w:t>米</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5"/>
                <w:sz w:val="24"/>
                <w:szCs w:val="24"/>
                <w:highlight w:val="none"/>
                <w:lang w:val="en-US" w:eastAsia="zh-CN"/>
              </w:rPr>
              <w:t>非吊顶内需使用线槽</w:t>
            </w:r>
            <w:r>
              <w:rPr>
                <w:rFonts w:hint="eastAsia" w:ascii="宋体" w:hAnsi="宋体" w:eastAsia="宋体" w:cs="宋体"/>
                <w:color w:val="auto"/>
                <w:spacing w:val="2"/>
                <w:sz w:val="24"/>
                <w:szCs w:val="24"/>
                <w:highlight w:val="none"/>
              </w:rPr>
              <w:t>）等材料；</w:t>
            </w:r>
          </w:p>
          <w:p w14:paraId="7F873ACD">
            <w:pPr>
              <w:pStyle w:val="59"/>
              <w:spacing w:before="33" w:line="360" w:lineRule="auto"/>
              <w:jc w:val="center"/>
              <w:rPr>
                <w:rFonts w:hint="eastAsia" w:ascii="宋体" w:hAnsi="宋体" w:eastAsia="宋体" w:cs="宋体"/>
                <w:b/>
                <w:color w:val="auto"/>
                <w:sz w:val="24"/>
                <w:szCs w:val="24"/>
                <w:highlight w:val="none"/>
                <w:vertAlign w:val="baseline"/>
              </w:rPr>
            </w:pPr>
            <w:r>
              <w:rPr>
                <w:rFonts w:hint="eastAsia"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管线辅材所需数量以本项目规范施工现场实际需要为准，实际所需数量的增减不调整合同价，投标单位投标时结</w:t>
            </w:r>
            <w:r>
              <w:rPr>
                <w:rFonts w:hint="eastAsia" w:ascii="宋体" w:hAnsi="宋体" w:eastAsia="宋体" w:cs="宋体"/>
                <w:color w:val="auto"/>
                <w:spacing w:val="7"/>
                <w:sz w:val="24"/>
                <w:szCs w:val="24"/>
                <w:highlight w:val="none"/>
              </w:rPr>
              <w:t>合实际情况综合考虑。</w:t>
            </w:r>
          </w:p>
        </w:tc>
      </w:tr>
      <w:tr w14:paraId="69BD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6AC0C27C">
            <w:pPr>
              <w:spacing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b/>
                <w:bCs/>
                <w:color w:val="auto"/>
                <w:spacing w:val="6"/>
                <w:sz w:val="24"/>
                <w:szCs w:val="24"/>
                <w:highlight w:val="none"/>
                <w:lang w:val="en-US" w:eastAsia="zh-CN"/>
              </w:rPr>
              <w:t>二、</w:t>
            </w:r>
            <w:r>
              <w:rPr>
                <w:rFonts w:hint="eastAsia" w:ascii="宋体" w:hAnsi="宋体" w:eastAsia="宋体" w:cs="宋体"/>
                <w:b/>
                <w:bCs/>
                <w:color w:val="auto"/>
                <w:spacing w:val="6"/>
                <w:sz w:val="24"/>
                <w:szCs w:val="24"/>
                <w:highlight w:val="none"/>
              </w:rPr>
              <w:t>智能照明</w:t>
            </w:r>
          </w:p>
        </w:tc>
      </w:tr>
      <w:tr w14:paraId="3F0E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14:paraId="4A58B233">
            <w:pPr>
              <w:spacing w:line="360" w:lineRule="auto"/>
              <w:jc w:val="center"/>
              <w:rPr>
                <w:rFonts w:hint="eastAsia" w:ascii="宋体" w:hAnsi="宋体" w:eastAsia="宋体" w:cs="宋体"/>
                <w:color w:val="auto"/>
                <w:sz w:val="24"/>
                <w:szCs w:val="24"/>
                <w:highlight w:val="none"/>
              </w:rPr>
            </w:pPr>
          </w:p>
          <w:p w14:paraId="1CC3FC0F">
            <w:pPr>
              <w:spacing w:line="360" w:lineRule="auto"/>
              <w:jc w:val="center"/>
              <w:rPr>
                <w:rFonts w:hint="eastAsia" w:ascii="宋体" w:hAnsi="宋体" w:eastAsia="宋体" w:cs="宋体"/>
                <w:color w:val="auto"/>
                <w:sz w:val="24"/>
                <w:szCs w:val="24"/>
                <w:highlight w:val="none"/>
              </w:rPr>
            </w:pPr>
          </w:p>
          <w:p w14:paraId="09550DCA">
            <w:pPr>
              <w:spacing w:line="360" w:lineRule="auto"/>
              <w:jc w:val="center"/>
              <w:rPr>
                <w:rFonts w:hint="eastAsia" w:ascii="宋体" w:hAnsi="宋体" w:eastAsia="宋体" w:cs="宋体"/>
                <w:color w:val="auto"/>
                <w:sz w:val="24"/>
                <w:szCs w:val="24"/>
                <w:highlight w:val="none"/>
              </w:rPr>
            </w:pPr>
          </w:p>
          <w:p w14:paraId="5B282ABB">
            <w:pPr>
              <w:spacing w:line="360" w:lineRule="auto"/>
              <w:jc w:val="center"/>
              <w:rPr>
                <w:rFonts w:hint="eastAsia" w:ascii="宋体" w:hAnsi="宋体" w:eastAsia="宋体" w:cs="宋体"/>
                <w:color w:val="auto"/>
                <w:sz w:val="24"/>
                <w:szCs w:val="24"/>
                <w:highlight w:val="none"/>
              </w:rPr>
            </w:pPr>
          </w:p>
          <w:p w14:paraId="66C5C5C8">
            <w:pPr>
              <w:spacing w:line="360" w:lineRule="auto"/>
              <w:jc w:val="center"/>
              <w:rPr>
                <w:rFonts w:hint="eastAsia" w:ascii="宋体" w:hAnsi="宋体" w:eastAsia="宋体" w:cs="宋体"/>
                <w:color w:val="auto"/>
                <w:sz w:val="24"/>
                <w:szCs w:val="24"/>
                <w:highlight w:val="none"/>
              </w:rPr>
            </w:pPr>
          </w:p>
          <w:p w14:paraId="6D6DDDB5">
            <w:pPr>
              <w:spacing w:line="360" w:lineRule="auto"/>
              <w:jc w:val="center"/>
              <w:rPr>
                <w:rFonts w:hint="eastAsia" w:ascii="宋体" w:hAnsi="宋体" w:eastAsia="宋体" w:cs="宋体"/>
                <w:color w:val="auto"/>
                <w:sz w:val="24"/>
                <w:szCs w:val="24"/>
                <w:highlight w:val="none"/>
              </w:rPr>
            </w:pPr>
          </w:p>
          <w:p w14:paraId="47FBD5CE">
            <w:pPr>
              <w:spacing w:line="360" w:lineRule="auto"/>
              <w:jc w:val="center"/>
              <w:rPr>
                <w:rFonts w:hint="eastAsia" w:ascii="宋体" w:hAnsi="宋体" w:eastAsia="宋体" w:cs="宋体"/>
                <w:color w:val="auto"/>
                <w:sz w:val="24"/>
                <w:szCs w:val="24"/>
                <w:highlight w:val="none"/>
              </w:rPr>
            </w:pPr>
          </w:p>
          <w:p w14:paraId="0243E227">
            <w:pPr>
              <w:spacing w:line="360" w:lineRule="auto"/>
              <w:jc w:val="center"/>
              <w:rPr>
                <w:rFonts w:hint="eastAsia" w:ascii="宋体" w:hAnsi="宋体" w:eastAsia="宋体" w:cs="宋体"/>
                <w:color w:val="auto"/>
                <w:sz w:val="24"/>
                <w:szCs w:val="24"/>
                <w:highlight w:val="none"/>
              </w:rPr>
            </w:pPr>
          </w:p>
          <w:p w14:paraId="299B8495">
            <w:pPr>
              <w:spacing w:line="360" w:lineRule="auto"/>
              <w:jc w:val="center"/>
              <w:rPr>
                <w:rFonts w:hint="eastAsia" w:ascii="宋体" w:hAnsi="宋体" w:eastAsia="宋体" w:cs="宋体"/>
                <w:color w:val="auto"/>
                <w:sz w:val="24"/>
                <w:szCs w:val="24"/>
                <w:highlight w:val="none"/>
              </w:rPr>
            </w:pPr>
          </w:p>
          <w:p w14:paraId="1C273023">
            <w:pPr>
              <w:spacing w:line="360" w:lineRule="auto"/>
              <w:jc w:val="center"/>
              <w:rPr>
                <w:rFonts w:hint="eastAsia" w:ascii="宋体" w:hAnsi="宋体" w:eastAsia="宋体" w:cs="宋体"/>
                <w:color w:val="auto"/>
                <w:sz w:val="24"/>
                <w:szCs w:val="24"/>
                <w:highlight w:val="none"/>
              </w:rPr>
            </w:pPr>
          </w:p>
          <w:p w14:paraId="0BB21908">
            <w:pPr>
              <w:spacing w:line="360" w:lineRule="auto"/>
              <w:jc w:val="center"/>
              <w:rPr>
                <w:rFonts w:hint="eastAsia" w:ascii="宋体" w:hAnsi="宋体" w:eastAsia="宋体" w:cs="宋体"/>
                <w:color w:val="auto"/>
                <w:sz w:val="24"/>
                <w:szCs w:val="24"/>
                <w:highlight w:val="none"/>
              </w:rPr>
            </w:pPr>
          </w:p>
          <w:p w14:paraId="1445B3C5">
            <w:pPr>
              <w:pStyle w:val="59"/>
              <w:spacing w:before="69" w:line="360" w:lineRule="auto"/>
              <w:jc w:val="center"/>
              <w:rPr>
                <w:rFonts w:hint="eastAsia" w:ascii="宋体" w:hAnsi="宋体" w:eastAsia="宋体" w:cs="宋体"/>
                <w:b/>
                <w:color w:val="auto"/>
                <w:sz w:val="24"/>
                <w:szCs w:val="24"/>
                <w:highlight w:val="none"/>
                <w:vertAlign w:val="baseline"/>
                <w:lang w:val="en-US" w:eastAsia="zh-CN"/>
              </w:rPr>
            </w:pPr>
            <w:r>
              <w:rPr>
                <w:rFonts w:hint="eastAsia" w:cs="宋体"/>
                <w:b w:val="0"/>
                <w:bCs/>
                <w:color w:val="auto"/>
                <w:sz w:val="24"/>
                <w:szCs w:val="24"/>
                <w:highlight w:val="none"/>
                <w:vertAlign w:val="baseline"/>
                <w:lang w:val="en-US" w:eastAsia="zh-CN"/>
              </w:rPr>
              <w:t>5</w:t>
            </w:r>
          </w:p>
        </w:tc>
        <w:tc>
          <w:tcPr>
            <w:tcW w:w="1968" w:type="dxa"/>
            <w:vAlign w:val="top"/>
          </w:tcPr>
          <w:p w14:paraId="1142C6C2">
            <w:pPr>
              <w:spacing w:line="360" w:lineRule="auto"/>
              <w:rPr>
                <w:rFonts w:hint="eastAsia" w:ascii="宋体" w:hAnsi="宋体" w:eastAsia="宋体" w:cs="宋体"/>
                <w:color w:val="auto"/>
                <w:sz w:val="24"/>
                <w:szCs w:val="24"/>
                <w:highlight w:val="none"/>
              </w:rPr>
            </w:pPr>
          </w:p>
          <w:p w14:paraId="54E1858E">
            <w:pPr>
              <w:spacing w:line="360" w:lineRule="auto"/>
              <w:rPr>
                <w:rFonts w:hint="eastAsia" w:ascii="宋体" w:hAnsi="宋体" w:eastAsia="宋体" w:cs="宋体"/>
                <w:color w:val="auto"/>
                <w:sz w:val="24"/>
                <w:szCs w:val="24"/>
                <w:highlight w:val="none"/>
              </w:rPr>
            </w:pPr>
          </w:p>
          <w:p w14:paraId="3EDD4E0E">
            <w:pPr>
              <w:spacing w:line="360" w:lineRule="auto"/>
              <w:rPr>
                <w:rFonts w:hint="eastAsia" w:ascii="宋体" w:hAnsi="宋体" w:eastAsia="宋体" w:cs="宋体"/>
                <w:color w:val="auto"/>
                <w:sz w:val="24"/>
                <w:szCs w:val="24"/>
                <w:highlight w:val="none"/>
              </w:rPr>
            </w:pPr>
          </w:p>
          <w:p w14:paraId="75E78825">
            <w:pPr>
              <w:spacing w:line="360" w:lineRule="auto"/>
              <w:rPr>
                <w:rFonts w:hint="eastAsia" w:ascii="宋体" w:hAnsi="宋体" w:eastAsia="宋体" w:cs="宋体"/>
                <w:color w:val="auto"/>
                <w:sz w:val="24"/>
                <w:szCs w:val="24"/>
                <w:highlight w:val="none"/>
              </w:rPr>
            </w:pPr>
          </w:p>
          <w:p w14:paraId="3CF2CD6B">
            <w:pPr>
              <w:spacing w:line="360" w:lineRule="auto"/>
              <w:rPr>
                <w:rFonts w:hint="eastAsia" w:ascii="宋体" w:hAnsi="宋体" w:eastAsia="宋体" w:cs="宋体"/>
                <w:color w:val="auto"/>
                <w:sz w:val="24"/>
                <w:szCs w:val="24"/>
                <w:highlight w:val="none"/>
              </w:rPr>
            </w:pPr>
          </w:p>
          <w:p w14:paraId="27BF7510">
            <w:pPr>
              <w:spacing w:line="360" w:lineRule="auto"/>
              <w:rPr>
                <w:rFonts w:hint="eastAsia" w:ascii="宋体" w:hAnsi="宋体" w:eastAsia="宋体" w:cs="宋体"/>
                <w:color w:val="auto"/>
                <w:sz w:val="24"/>
                <w:szCs w:val="24"/>
                <w:highlight w:val="none"/>
              </w:rPr>
            </w:pPr>
          </w:p>
          <w:p w14:paraId="2E5201B3">
            <w:pPr>
              <w:spacing w:line="360" w:lineRule="auto"/>
              <w:rPr>
                <w:rFonts w:hint="eastAsia" w:ascii="宋体" w:hAnsi="宋体" w:eastAsia="宋体" w:cs="宋体"/>
                <w:color w:val="auto"/>
                <w:sz w:val="24"/>
                <w:szCs w:val="24"/>
                <w:highlight w:val="none"/>
              </w:rPr>
            </w:pPr>
          </w:p>
          <w:p w14:paraId="5E0CFD46">
            <w:pPr>
              <w:spacing w:line="360" w:lineRule="auto"/>
              <w:rPr>
                <w:rFonts w:hint="eastAsia" w:ascii="宋体" w:hAnsi="宋体" w:eastAsia="宋体" w:cs="宋体"/>
                <w:color w:val="auto"/>
                <w:sz w:val="24"/>
                <w:szCs w:val="24"/>
                <w:highlight w:val="none"/>
              </w:rPr>
            </w:pPr>
          </w:p>
          <w:p w14:paraId="23FFC63C">
            <w:pPr>
              <w:spacing w:line="360" w:lineRule="auto"/>
              <w:rPr>
                <w:rFonts w:hint="eastAsia" w:ascii="宋体" w:hAnsi="宋体" w:eastAsia="宋体" w:cs="宋体"/>
                <w:color w:val="auto"/>
                <w:sz w:val="24"/>
                <w:szCs w:val="24"/>
                <w:highlight w:val="none"/>
              </w:rPr>
            </w:pPr>
          </w:p>
          <w:p w14:paraId="4FA4D046">
            <w:pPr>
              <w:spacing w:line="360" w:lineRule="auto"/>
              <w:rPr>
                <w:rFonts w:hint="eastAsia" w:ascii="宋体" w:hAnsi="宋体" w:eastAsia="宋体" w:cs="宋体"/>
                <w:color w:val="auto"/>
                <w:sz w:val="24"/>
                <w:szCs w:val="24"/>
                <w:highlight w:val="none"/>
              </w:rPr>
            </w:pPr>
          </w:p>
          <w:p w14:paraId="44BC0B08">
            <w:pPr>
              <w:spacing w:line="360" w:lineRule="auto"/>
              <w:rPr>
                <w:rFonts w:hint="eastAsia" w:ascii="宋体" w:hAnsi="宋体" w:eastAsia="宋体" w:cs="宋体"/>
                <w:color w:val="auto"/>
                <w:sz w:val="24"/>
                <w:szCs w:val="24"/>
                <w:highlight w:val="none"/>
              </w:rPr>
            </w:pPr>
          </w:p>
          <w:p w14:paraId="7A24739C">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8"/>
                <w:sz w:val="24"/>
                <w:szCs w:val="24"/>
                <w:highlight w:val="none"/>
              </w:rPr>
              <w:t>智能照明</w:t>
            </w:r>
            <w:r>
              <w:rPr>
                <w:rFonts w:hint="eastAsia" w:ascii="宋体" w:hAnsi="宋体" w:eastAsia="宋体" w:cs="宋体"/>
                <w:color w:val="auto"/>
                <w:spacing w:val="6"/>
                <w:sz w:val="24"/>
                <w:szCs w:val="24"/>
                <w:highlight w:val="none"/>
              </w:rPr>
              <w:t>开关</w:t>
            </w:r>
            <w:r>
              <w:rPr>
                <w:rFonts w:hint="eastAsia" w:ascii="宋体" w:hAnsi="宋体" w:eastAsia="宋体" w:cs="宋体"/>
                <w:color w:val="auto"/>
                <w:spacing w:val="8"/>
                <w:sz w:val="24"/>
                <w:szCs w:val="24"/>
                <w:highlight w:val="none"/>
              </w:rPr>
              <w:t>模块</w:t>
            </w:r>
          </w:p>
        </w:tc>
        <w:tc>
          <w:tcPr>
            <w:tcW w:w="5682" w:type="dxa"/>
            <w:vAlign w:val="top"/>
          </w:tcPr>
          <w:p w14:paraId="63237340">
            <w:pPr>
              <w:pStyle w:val="59"/>
              <w:numPr>
                <w:ilvl w:val="0"/>
                <w:numId w:val="18"/>
              </w:numPr>
              <w:spacing w:before="53" w:line="360" w:lineRule="auto"/>
              <w:ind w:left="0" w:leftChars="0" w:firstLine="420" w:firstLineChars="0"/>
              <w:rPr>
                <w:rFonts w:hint="eastAsia" w:ascii="宋体" w:hAnsi="宋体" w:eastAsia="宋体" w:cs="宋体"/>
                <w:b/>
                <w:bCs/>
                <w:color w:val="auto"/>
                <w:spacing w:val="-5"/>
                <w:sz w:val="24"/>
                <w:szCs w:val="24"/>
                <w:highlight w:val="none"/>
              </w:rPr>
            </w:pPr>
            <w:r>
              <w:rPr>
                <w:rFonts w:hint="eastAsia" w:ascii="宋体" w:hAnsi="宋体" w:eastAsia="宋体" w:cs="宋体"/>
                <w:b/>
                <w:bCs/>
                <w:color w:val="auto"/>
                <w:spacing w:val="-5"/>
                <w:sz w:val="24"/>
                <w:szCs w:val="24"/>
                <w:highlight w:val="none"/>
                <w:lang w:val="en-US" w:eastAsia="zh-CN"/>
              </w:rPr>
              <w:t>关键参数</w:t>
            </w:r>
          </w:p>
          <w:p w14:paraId="1370B92C">
            <w:pPr>
              <w:pStyle w:val="59"/>
              <w:numPr>
                <w:ilvl w:val="0"/>
                <w:numId w:val="19"/>
              </w:numPr>
              <w:spacing w:before="39" w:line="360" w:lineRule="auto"/>
              <w:ind w:left="454" w:leftChars="0" w:hanging="454" w:firstLineChars="0"/>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●每开关回路最大电流：不小于16A。</w:t>
            </w:r>
          </w:p>
          <w:p w14:paraId="4A9FC476">
            <w:pPr>
              <w:pStyle w:val="59"/>
              <w:numPr>
                <w:ilvl w:val="0"/>
                <w:numId w:val="19"/>
              </w:numPr>
              <w:spacing w:before="39" w:line="360" w:lineRule="auto"/>
              <w:ind w:left="454" w:leftChars="0" w:hanging="454" w:firstLineChars="0"/>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●所有回路支持单回路用电计量、电压、电流监测。</w:t>
            </w:r>
          </w:p>
          <w:p w14:paraId="57D09991">
            <w:pPr>
              <w:pStyle w:val="59"/>
              <w:numPr>
                <w:ilvl w:val="0"/>
                <w:numId w:val="19"/>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lang w:eastAsia="zh-CN"/>
              </w:rPr>
              <w:t>●可对每个回路的欠压、过压、过流状态进行监测。</w:t>
            </w:r>
          </w:p>
          <w:p w14:paraId="7906C642">
            <w:pPr>
              <w:pStyle w:val="59"/>
              <w:numPr>
                <w:ilvl w:val="0"/>
                <w:numId w:val="18"/>
              </w:numPr>
              <w:spacing w:before="53" w:line="360" w:lineRule="auto"/>
              <w:ind w:left="0" w:leftChars="0" w:firstLine="420" w:firstLineChars="0"/>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重要参数</w:t>
            </w:r>
          </w:p>
          <w:p w14:paraId="739EEFE0">
            <w:pPr>
              <w:pStyle w:val="59"/>
              <w:numPr>
                <w:ilvl w:val="0"/>
                <w:numId w:val="20"/>
              </w:numPr>
              <w:spacing w:before="39" w:line="360" w:lineRule="auto"/>
              <w:ind w:left="454" w:leftChars="0" w:hanging="454" w:firstLineChars="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★每个回路继电器开关可手动控制。</w:t>
            </w:r>
          </w:p>
          <w:p w14:paraId="5D01CE00">
            <w:pPr>
              <w:pStyle w:val="59"/>
              <w:numPr>
                <w:ilvl w:val="0"/>
                <w:numId w:val="20"/>
              </w:numPr>
              <w:spacing w:before="39" w:line="360" w:lineRule="auto"/>
              <w:ind w:left="454" w:leftChars="0" w:hanging="454" w:firstLineChars="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★开关回路：不少于12路，12路照明回路控制单元，磁保持型继电器开关单元。</w:t>
            </w:r>
          </w:p>
          <w:p w14:paraId="15EC8463">
            <w:pPr>
              <w:pStyle w:val="59"/>
              <w:numPr>
                <w:ilvl w:val="0"/>
                <w:numId w:val="20"/>
              </w:numPr>
              <w:spacing w:before="39" w:line="360" w:lineRule="auto"/>
              <w:ind w:left="454" w:leftChars="0" w:hanging="454" w:firstLineChars="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★每个回路具有灯具保护延时和分批开启延时（0-60分钟）。</w:t>
            </w:r>
          </w:p>
          <w:p w14:paraId="49E0C6DD">
            <w:pPr>
              <w:pStyle w:val="59"/>
              <w:numPr>
                <w:ilvl w:val="0"/>
                <w:numId w:val="20"/>
              </w:numPr>
              <w:spacing w:before="39" w:line="360" w:lineRule="auto"/>
              <w:ind w:left="454" w:leftChars="0" w:hanging="454" w:firstLineChars="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★通过GB/T 13729-2019《远动终端设备》标准检测。（需提供相应的检测报告）</w:t>
            </w:r>
          </w:p>
          <w:p w14:paraId="4D8FCC46">
            <w:pPr>
              <w:pStyle w:val="59"/>
              <w:numPr>
                <w:ilvl w:val="0"/>
                <w:numId w:val="20"/>
              </w:numPr>
              <w:spacing w:before="39" w:line="360" w:lineRule="auto"/>
              <w:ind w:left="454" w:leftChars="0" w:hanging="454" w:firstLineChars="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★通讯接口：不少于3路485接口，支持独立协议。</w:t>
            </w:r>
          </w:p>
          <w:p w14:paraId="249CCB23">
            <w:pPr>
              <w:pStyle w:val="59"/>
              <w:numPr>
                <w:ilvl w:val="0"/>
                <w:numId w:val="20"/>
              </w:numPr>
              <w:spacing w:before="39" w:line="360" w:lineRule="auto"/>
              <w:ind w:left="454" w:leftChars="0" w:hanging="454" w:firstLineChars="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★支持外加光照度检测、人体感应等。</w:t>
            </w:r>
          </w:p>
          <w:p w14:paraId="2686F221">
            <w:pPr>
              <w:pStyle w:val="59"/>
              <w:numPr>
                <w:ilvl w:val="0"/>
                <w:numId w:val="18"/>
              </w:numPr>
              <w:spacing w:before="53" w:line="360" w:lineRule="auto"/>
              <w:ind w:left="0" w:leftChars="0" w:firstLine="420" w:firstLineChars="0"/>
              <w:rPr>
                <w:rFonts w:hint="eastAsia" w:ascii="宋体" w:hAnsi="宋体" w:eastAsia="宋体" w:cs="宋体"/>
                <w:b/>
                <w:bCs/>
                <w:color w:val="auto"/>
                <w:spacing w:val="-5"/>
                <w:sz w:val="24"/>
                <w:szCs w:val="24"/>
                <w:highlight w:val="none"/>
                <w:lang w:eastAsia="zh-CN"/>
              </w:rPr>
            </w:pPr>
            <w:r>
              <w:rPr>
                <w:rFonts w:hint="eastAsia" w:ascii="宋体" w:hAnsi="宋体" w:eastAsia="宋体" w:cs="宋体"/>
                <w:b/>
                <w:bCs/>
                <w:color w:val="auto"/>
                <w:spacing w:val="-5"/>
                <w:sz w:val="24"/>
                <w:szCs w:val="24"/>
                <w:highlight w:val="none"/>
                <w:lang w:val="en-US" w:eastAsia="zh-CN"/>
              </w:rPr>
              <w:t>一般参数</w:t>
            </w:r>
          </w:p>
          <w:p w14:paraId="439FC42E">
            <w:pPr>
              <w:pStyle w:val="59"/>
              <w:numPr>
                <w:ilvl w:val="0"/>
                <w:numId w:val="21"/>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自带</w:t>
            </w:r>
            <w:r>
              <w:rPr>
                <w:rFonts w:hint="eastAsia" w:ascii="宋体" w:hAnsi="宋体" w:eastAsia="宋体" w:cs="宋体"/>
                <w:color w:val="auto"/>
                <w:spacing w:val="-5"/>
                <w:sz w:val="24"/>
                <w:szCs w:val="24"/>
                <w:highlight w:val="none"/>
              </w:rPr>
              <w:t>场景</w:t>
            </w:r>
            <w:r>
              <w:rPr>
                <w:rFonts w:hint="eastAsia" w:ascii="宋体" w:hAnsi="宋体" w:eastAsia="宋体" w:cs="宋体"/>
                <w:color w:val="auto"/>
                <w:sz w:val="24"/>
                <w:szCs w:val="24"/>
                <w:highlight w:val="none"/>
              </w:rPr>
              <w:t>控制器，不少于128个场景</w:t>
            </w:r>
            <w:r>
              <w:rPr>
                <w:rFonts w:hint="eastAsia" w:ascii="宋体" w:hAnsi="宋体" w:eastAsia="宋体" w:cs="宋体"/>
                <w:color w:val="auto"/>
                <w:sz w:val="24"/>
                <w:szCs w:val="24"/>
                <w:highlight w:val="none"/>
                <w:lang w:eastAsia="zh-CN"/>
              </w:rPr>
              <w:t>。</w:t>
            </w:r>
          </w:p>
          <w:p w14:paraId="4F9D20A5">
            <w:pPr>
              <w:pStyle w:val="59"/>
              <w:numPr>
                <w:ilvl w:val="0"/>
                <w:numId w:val="21"/>
              </w:numPr>
              <w:spacing w:before="39" w:line="360" w:lineRule="auto"/>
              <w:ind w:left="454" w:leftChars="0" w:hanging="454"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继电器电气寿命：不少于60000次（阻性负载）。</w:t>
            </w:r>
          </w:p>
          <w:p w14:paraId="5C60E871">
            <w:pPr>
              <w:pStyle w:val="59"/>
              <w:numPr>
                <w:ilvl w:val="0"/>
                <w:numId w:val="2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掉电记忆，断电自锁</w:t>
            </w:r>
            <w:r>
              <w:rPr>
                <w:rFonts w:hint="eastAsia" w:ascii="宋体" w:hAnsi="宋体" w:eastAsia="宋体" w:cs="宋体"/>
                <w:color w:val="auto"/>
                <w:spacing w:val="-5"/>
                <w:sz w:val="24"/>
                <w:szCs w:val="24"/>
                <w:highlight w:val="none"/>
                <w:lang w:eastAsia="zh-CN"/>
              </w:rPr>
              <w:t>。</w:t>
            </w:r>
          </w:p>
          <w:p w14:paraId="45360C9C">
            <w:pPr>
              <w:pStyle w:val="59"/>
              <w:numPr>
                <w:ilvl w:val="0"/>
                <w:numId w:val="2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每回路继电器动作次数统计</w:t>
            </w:r>
            <w:r>
              <w:rPr>
                <w:rFonts w:hint="eastAsia" w:ascii="宋体" w:hAnsi="宋体" w:eastAsia="宋体" w:cs="宋体"/>
                <w:color w:val="auto"/>
                <w:spacing w:val="-5"/>
                <w:sz w:val="24"/>
                <w:szCs w:val="24"/>
                <w:highlight w:val="none"/>
                <w:lang w:eastAsia="zh-CN"/>
              </w:rPr>
              <w:t>。</w:t>
            </w:r>
          </w:p>
          <w:p w14:paraId="2199A85C">
            <w:pPr>
              <w:pStyle w:val="59"/>
              <w:numPr>
                <w:ilvl w:val="0"/>
                <w:numId w:val="2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实时反馈回路状态</w:t>
            </w:r>
            <w:r>
              <w:rPr>
                <w:rFonts w:hint="eastAsia" w:ascii="宋体" w:hAnsi="宋体" w:eastAsia="宋体" w:cs="宋体"/>
                <w:color w:val="auto"/>
                <w:spacing w:val="-5"/>
                <w:sz w:val="24"/>
                <w:szCs w:val="24"/>
                <w:highlight w:val="none"/>
                <w:lang w:eastAsia="zh-CN"/>
              </w:rPr>
              <w:t>。</w:t>
            </w:r>
          </w:p>
          <w:p w14:paraId="5756C26C">
            <w:pPr>
              <w:pStyle w:val="59"/>
              <w:numPr>
                <w:ilvl w:val="0"/>
                <w:numId w:val="2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具有远程编程和管理功能</w:t>
            </w:r>
            <w:r>
              <w:rPr>
                <w:rFonts w:hint="eastAsia" w:ascii="宋体" w:hAnsi="宋体" w:eastAsia="宋体" w:cs="宋体"/>
                <w:color w:val="auto"/>
                <w:spacing w:val="-5"/>
                <w:sz w:val="24"/>
                <w:szCs w:val="24"/>
                <w:highlight w:val="none"/>
                <w:lang w:eastAsia="zh-CN"/>
              </w:rPr>
              <w:t>。</w:t>
            </w:r>
          </w:p>
          <w:p w14:paraId="66527C7C">
            <w:pPr>
              <w:pStyle w:val="59"/>
              <w:numPr>
                <w:ilvl w:val="0"/>
                <w:numId w:val="2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设备重启可选择已开的场景或指定的场景</w:t>
            </w:r>
            <w:r>
              <w:rPr>
                <w:rFonts w:hint="eastAsia" w:ascii="宋体" w:hAnsi="宋体" w:eastAsia="宋体" w:cs="宋体"/>
                <w:color w:val="auto"/>
                <w:spacing w:val="-5"/>
                <w:sz w:val="24"/>
                <w:szCs w:val="24"/>
                <w:highlight w:val="none"/>
                <w:lang w:eastAsia="zh-CN"/>
              </w:rPr>
              <w:t>。</w:t>
            </w:r>
          </w:p>
          <w:p w14:paraId="4281B2BD">
            <w:pPr>
              <w:pStyle w:val="59"/>
              <w:numPr>
                <w:ilvl w:val="0"/>
                <w:numId w:val="2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标准35mm导轨式安装结构</w:t>
            </w:r>
            <w:r>
              <w:rPr>
                <w:rFonts w:hint="eastAsia" w:ascii="宋体" w:hAnsi="宋体" w:eastAsia="宋体" w:cs="宋体"/>
                <w:color w:val="auto"/>
                <w:spacing w:val="-5"/>
                <w:sz w:val="24"/>
                <w:szCs w:val="24"/>
                <w:highlight w:val="none"/>
                <w:lang w:eastAsia="zh-CN"/>
              </w:rPr>
              <w:t>。</w:t>
            </w:r>
          </w:p>
          <w:p w14:paraId="64089B00">
            <w:pPr>
              <w:pStyle w:val="59"/>
              <w:numPr>
                <w:ilvl w:val="0"/>
                <w:numId w:val="21"/>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工作电压：AC85~220V</w:t>
            </w:r>
            <w:r>
              <w:rPr>
                <w:rFonts w:hint="eastAsia" w:ascii="宋体" w:hAnsi="宋体" w:eastAsia="宋体" w:cs="宋体"/>
                <w:color w:val="auto"/>
                <w:spacing w:val="-5"/>
                <w:sz w:val="24"/>
                <w:szCs w:val="24"/>
                <w:highlight w:val="none"/>
                <w:lang w:eastAsia="zh-CN"/>
              </w:rPr>
              <w:t>。</w:t>
            </w:r>
          </w:p>
          <w:p w14:paraId="51A55B6A">
            <w:pPr>
              <w:pStyle w:val="59"/>
              <w:numPr>
                <w:ilvl w:val="0"/>
                <w:numId w:val="21"/>
              </w:numPr>
              <w:spacing w:before="39"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5"/>
                <w:sz w:val="24"/>
                <w:szCs w:val="24"/>
                <w:highlight w:val="none"/>
              </w:rPr>
              <w:t>总线输出供电：</w:t>
            </w:r>
            <w:r>
              <w:rPr>
                <w:rFonts w:hint="eastAsia" w:ascii="宋体" w:hAnsi="宋体" w:eastAsia="宋体" w:cs="宋体"/>
                <w:color w:val="auto"/>
                <w:spacing w:val="-5"/>
                <w:sz w:val="24"/>
                <w:szCs w:val="24"/>
                <w:highlight w:val="none"/>
                <w:lang w:val="en-US" w:eastAsia="zh-CN"/>
              </w:rPr>
              <w:t>不超过24V</w:t>
            </w:r>
            <w:r>
              <w:rPr>
                <w:rFonts w:hint="eastAsia" w:ascii="宋体" w:hAnsi="宋体" w:eastAsia="宋体" w:cs="宋体"/>
                <w:color w:val="auto"/>
                <w:spacing w:val="-5"/>
                <w:sz w:val="24"/>
                <w:szCs w:val="24"/>
                <w:highlight w:val="none"/>
                <w:lang w:eastAsia="zh-CN"/>
              </w:rPr>
              <w:t>。</w:t>
            </w:r>
          </w:p>
        </w:tc>
      </w:tr>
      <w:tr w14:paraId="444A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2" w:type="dxa"/>
            <w:vAlign w:val="center"/>
          </w:tcPr>
          <w:p w14:paraId="7464B2D5">
            <w:pPr>
              <w:spacing w:line="360" w:lineRule="auto"/>
              <w:jc w:val="center"/>
              <w:rPr>
                <w:rFonts w:hint="eastAsia" w:ascii="宋体" w:hAnsi="宋体" w:eastAsia="宋体" w:cs="宋体"/>
                <w:b/>
                <w:color w:val="auto"/>
                <w:sz w:val="24"/>
                <w:szCs w:val="24"/>
                <w:highlight w:val="none"/>
                <w:vertAlign w:val="baseline"/>
                <w:lang w:eastAsia="zh-CN"/>
              </w:rPr>
            </w:pPr>
            <w:r>
              <w:rPr>
                <w:rFonts w:hint="eastAsia" w:ascii="宋体" w:hAnsi="宋体" w:cs="宋体"/>
                <w:color w:val="auto"/>
                <w:sz w:val="24"/>
                <w:szCs w:val="24"/>
                <w:highlight w:val="none"/>
                <w:lang w:val="en-US" w:eastAsia="zh-CN"/>
              </w:rPr>
              <w:t>6</w:t>
            </w:r>
          </w:p>
        </w:tc>
        <w:tc>
          <w:tcPr>
            <w:tcW w:w="1968" w:type="dxa"/>
            <w:vAlign w:val="center"/>
          </w:tcPr>
          <w:p w14:paraId="1752876E">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6"/>
                <w:sz w:val="24"/>
                <w:szCs w:val="24"/>
                <w:highlight w:val="none"/>
              </w:rPr>
              <w:t>照明控制面板</w:t>
            </w:r>
          </w:p>
        </w:tc>
        <w:tc>
          <w:tcPr>
            <w:tcW w:w="5682" w:type="dxa"/>
            <w:vAlign w:val="top"/>
          </w:tcPr>
          <w:p w14:paraId="01F74AC2">
            <w:pPr>
              <w:pStyle w:val="59"/>
              <w:numPr>
                <w:ilvl w:val="0"/>
                <w:numId w:val="22"/>
              </w:numPr>
              <w:spacing w:before="53" w:line="360" w:lineRule="auto"/>
              <w:ind w:left="0" w:leftChars="0" w:firstLine="420" w:firstLineChars="0"/>
              <w:rPr>
                <w:rFonts w:hint="eastAsia" w:ascii="宋体" w:hAnsi="宋体" w:eastAsia="宋体" w:cs="宋体"/>
                <w:b/>
                <w:bCs/>
                <w:color w:val="auto"/>
                <w:spacing w:val="-5"/>
                <w:sz w:val="24"/>
                <w:szCs w:val="24"/>
                <w:highlight w:val="none"/>
                <w:lang w:eastAsia="zh-CN"/>
              </w:rPr>
            </w:pPr>
            <w:r>
              <w:rPr>
                <w:rFonts w:hint="eastAsia" w:ascii="宋体" w:hAnsi="宋体" w:eastAsia="宋体" w:cs="宋体"/>
                <w:b/>
                <w:bCs/>
                <w:color w:val="auto"/>
                <w:spacing w:val="-5"/>
                <w:sz w:val="24"/>
                <w:szCs w:val="24"/>
                <w:highlight w:val="none"/>
                <w:lang w:val="en-US" w:eastAsia="zh-CN"/>
              </w:rPr>
              <w:t>重要参数</w:t>
            </w:r>
          </w:p>
          <w:p w14:paraId="176E1354">
            <w:pPr>
              <w:pStyle w:val="59"/>
              <w:numPr>
                <w:ilvl w:val="0"/>
                <w:numId w:val="23"/>
              </w:numPr>
              <w:spacing w:before="39" w:line="360" w:lineRule="auto"/>
              <w:ind w:left="454" w:leftChars="0" w:hanging="454" w:firstLineChars="0"/>
              <w:rPr>
                <w:rFonts w:hint="eastAsia" w:ascii="宋体" w:hAnsi="宋体" w:eastAsia="宋体" w:cs="宋体"/>
                <w:b/>
                <w:bCs/>
                <w:color w:val="auto"/>
                <w:spacing w:val="-5"/>
                <w:sz w:val="24"/>
                <w:szCs w:val="24"/>
                <w:highlight w:val="none"/>
                <w:lang w:eastAsia="zh-CN"/>
              </w:rPr>
            </w:pPr>
            <w:r>
              <w:rPr>
                <w:rFonts w:hint="eastAsia" w:ascii="宋体" w:hAnsi="宋体" w:eastAsia="宋体" w:cs="宋体"/>
                <w:color w:val="auto"/>
                <w:spacing w:val="-5"/>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供电电压：不超过24V。</w:t>
            </w:r>
          </w:p>
          <w:p w14:paraId="376C8043">
            <w:pPr>
              <w:pStyle w:val="59"/>
              <w:numPr>
                <w:ilvl w:val="0"/>
                <w:numId w:val="22"/>
              </w:numPr>
              <w:spacing w:before="53" w:line="360" w:lineRule="auto"/>
              <w:ind w:left="0" w:leftChars="0" w:firstLine="420" w:firstLineChars="0"/>
              <w:rPr>
                <w:rFonts w:hint="eastAsia" w:ascii="宋体" w:hAnsi="宋体" w:eastAsia="宋体" w:cs="宋体"/>
                <w:b/>
                <w:bCs/>
                <w:color w:val="auto"/>
                <w:spacing w:val="-5"/>
                <w:sz w:val="24"/>
                <w:szCs w:val="24"/>
                <w:highlight w:val="none"/>
                <w:lang w:eastAsia="zh-CN"/>
              </w:rPr>
            </w:pPr>
            <w:r>
              <w:rPr>
                <w:rFonts w:hint="eastAsia" w:ascii="宋体" w:hAnsi="宋体" w:eastAsia="宋体" w:cs="宋体"/>
                <w:b/>
                <w:bCs/>
                <w:color w:val="auto"/>
                <w:spacing w:val="-5"/>
                <w:sz w:val="24"/>
                <w:szCs w:val="24"/>
                <w:highlight w:val="none"/>
                <w:lang w:val="en-US" w:eastAsia="zh-CN"/>
              </w:rPr>
              <w:t>一般参数</w:t>
            </w:r>
          </w:p>
          <w:p w14:paraId="7B4DFF5C">
            <w:pPr>
              <w:pStyle w:val="59"/>
              <w:numPr>
                <w:ilvl w:val="0"/>
                <w:numId w:val="24"/>
              </w:numPr>
              <w:spacing w:before="39" w:line="360" w:lineRule="auto"/>
              <w:ind w:left="454" w:leftChars="0" w:hanging="454" w:firstLineChars="0"/>
              <w:rPr>
                <w:rFonts w:hint="eastAsia" w:ascii="宋体" w:hAnsi="宋体" w:eastAsia="宋体" w:cs="宋体"/>
                <w:color w:val="auto"/>
                <w:spacing w:val="-5"/>
                <w:sz w:val="24"/>
                <w:szCs w:val="24"/>
                <w:highlight w:val="none"/>
              </w:rPr>
            </w:pPr>
            <w:r>
              <w:rPr>
                <w:rFonts w:hint="eastAsia" w:ascii="宋体" w:hAnsi="宋体" w:eastAsia="宋体" w:cs="宋体"/>
                <w:color w:val="auto"/>
                <w:spacing w:val="6"/>
                <w:sz w:val="24"/>
                <w:szCs w:val="24"/>
                <w:highlight w:val="none"/>
              </w:rPr>
              <w:t>按</w:t>
            </w:r>
            <w:r>
              <w:rPr>
                <w:rFonts w:hint="eastAsia" w:ascii="宋体" w:hAnsi="宋体" w:eastAsia="宋体" w:cs="宋体"/>
                <w:color w:val="auto"/>
                <w:spacing w:val="-5"/>
                <w:sz w:val="24"/>
                <w:szCs w:val="24"/>
                <w:highlight w:val="none"/>
              </w:rPr>
              <w:t>键数：</w:t>
            </w:r>
            <w:r>
              <w:rPr>
                <w:rFonts w:hint="eastAsia" w:ascii="宋体" w:hAnsi="宋体" w:eastAsia="宋体" w:cs="宋体"/>
                <w:color w:val="auto"/>
                <w:spacing w:val="-5"/>
                <w:sz w:val="24"/>
                <w:szCs w:val="24"/>
                <w:highlight w:val="none"/>
                <w:lang w:val="en-US" w:eastAsia="zh-CN"/>
              </w:rPr>
              <w:t>不少于</w:t>
            </w:r>
            <w:r>
              <w:rPr>
                <w:rFonts w:hint="eastAsia" w:ascii="宋体" w:hAnsi="宋体" w:eastAsia="宋体" w:cs="宋体"/>
                <w:color w:val="auto"/>
                <w:spacing w:val="-5"/>
                <w:sz w:val="24"/>
                <w:szCs w:val="24"/>
                <w:highlight w:val="none"/>
              </w:rPr>
              <w:t>8</w:t>
            </w:r>
            <w:r>
              <w:rPr>
                <w:rFonts w:hint="eastAsia" w:ascii="宋体" w:hAnsi="宋体" w:eastAsia="宋体" w:cs="宋体"/>
                <w:color w:val="auto"/>
                <w:spacing w:val="-5"/>
                <w:sz w:val="24"/>
                <w:szCs w:val="24"/>
                <w:highlight w:val="none"/>
                <w:lang w:eastAsia="zh-CN"/>
              </w:rPr>
              <w:t>。</w:t>
            </w:r>
          </w:p>
          <w:p w14:paraId="7F30192A">
            <w:pPr>
              <w:pStyle w:val="59"/>
              <w:numPr>
                <w:ilvl w:val="0"/>
                <w:numId w:val="24"/>
              </w:numPr>
              <w:spacing w:before="39" w:line="360" w:lineRule="auto"/>
              <w:ind w:left="454" w:leftChars="0" w:hanging="454" w:firstLineChars="0"/>
              <w:rPr>
                <w:rFonts w:hint="eastAsia" w:ascii="宋体" w:hAnsi="宋体" w:eastAsia="宋体" w:cs="宋体"/>
                <w:color w:val="auto"/>
                <w:spacing w:val="6"/>
                <w:sz w:val="24"/>
                <w:szCs w:val="24"/>
                <w:highlight w:val="none"/>
              </w:rPr>
            </w:pPr>
            <w:r>
              <w:rPr>
                <w:rFonts w:hint="eastAsia" w:ascii="宋体" w:hAnsi="宋体" w:eastAsia="宋体" w:cs="宋体"/>
                <w:color w:val="auto"/>
                <w:spacing w:val="-5"/>
                <w:sz w:val="24"/>
                <w:szCs w:val="24"/>
                <w:highlight w:val="none"/>
              </w:rPr>
              <w:t>安装</w:t>
            </w:r>
            <w:r>
              <w:rPr>
                <w:rFonts w:hint="eastAsia" w:ascii="宋体" w:hAnsi="宋体" w:eastAsia="宋体" w:cs="宋体"/>
                <w:color w:val="auto"/>
                <w:spacing w:val="6"/>
                <w:sz w:val="24"/>
                <w:szCs w:val="24"/>
                <w:highlight w:val="none"/>
              </w:rPr>
              <w:t>尺⼨：</w:t>
            </w:r>
            <w:r>
              <w:rPr>
                <w:rFonts w:hint="eastAsia" w:ascii="宋体" w:hAnsi="宋体" w:eastAsia="宋体" w:cs="宋体"/>
                <w:color w:val="auto"/>
                <w:spacing w:val="6"/>
                <w:sz w:val="24"/>
                <w:szCs w:val="24"/>
                <w:highlight w:val="none"/>
                <w:lang w:val="en-US" w:eastAsia="zh-CN"/>
              </w:rPr>
              <w:t>86mm</w:t>
            </w:r>
            <w:r>
              <w:rPr>
                <w:rFonts w:hint="eastAsia" w:ascii="宋体" w:hAnsi="宋体" w:eastAsia="宋体" w:cs="宋体"/>
                <w:color w:val="auto"/>
                <w:spacing w:val="6"/>
                <w:sz w:val="24"/>
                <w:szCs w:val="24"/>
                <w:highlight w:val="none"/>
              </w:rPr>
              <w:t>×86mm。</w:t>
            </w:r>
          </w:p>
          <w:p w14:paraId="64095E2C">
            <w:pPr>
              <w:pStyle w:val="59"/>
              <w:numPr>
                <w:ilvl w:val="0"/>
                <w:numId w:val="24"/>
              </w:numPr>
              <w:spacing w:before="39" w:line="360" w:lineRule="auto"/>
              <w:ind w:left="454" w:leftChars="0" w:hanging="454" w:firstLineChars="0"/>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6"/>
                <w:sz w:val="24"/>
                <w:szCs w:val="24"/>
                <w:highlight w:val="none"/>
              </w:rPr>
              <w:t xml:space="preserve">采用 </w:t>
            </w:r>
            <w:r>
              <w:rPr>
                <w:rFonts w:hint="eastAsia" w:ascii="宋体" w:hAnsi="宋体" w:eastAsia="宋体" w:cs="宋体"/>
                <w:color w:val="auto"/>
                <w:spacing w:val="-5"/>
                <w:sz w:val="24"/>
                <w:szCs w:val="24"/>
                <w:highlight w:val="none"/>
              </w:rPr>
              <w:t xml:space="preserve">RS485 </w:t>
            </w:r>
            <w:r>
              <w:rPr>
                <w:rFonts w:hint="eastAsia" w:ascii="宋体" w:hAnsi="宋体" w:eastAsia="宋体" w:cs="宋体"/>
                <w:color w:val="auto"/>
                <w:spacing w:val="6"/>
                <w:sz w:val="24"/>
                <w:szCs w:val="24"/>
                <w:highlight w:val="none"/>
              </w:rPr>
              <w:t>总线</w:t>
            </w:r>
            <w:r>
              <w:rPr>
                <w:rFonts w:hint="eastAsia" w:ascii="宋体" w:hAnsi="宋体" w:eastAsia="宋体" w:cs="宋体"/>
                <w:color w:val="auto"/>
                <w:spacing w:val="-5"/>
                <w:sz w:val="24"/>
                <w:szCs w:val="24"/>
                <w:highlight w:val="none"/>
              </w:rPr>
              <w:t>方式</w:t>
            </w:r>
            <w:r>
              <w:rPr>
                <w:rFonts w:hint="eastAsia" w:ascii="宋体" w:hAnsi="宋体" w:eastAsia="宋体" w:cs="宋体"/>
                <w:color w:val="auto"/>
                <w:spacing w:val="6"/>
                <w:sz w:val="24"/>
                <w:szCs w:val="24"/>
                <w:highlight w:val="none"/>
              </w:rPr>
              <w:t>通讯。</w:t>
            </w:r>
          </w:p>
        </w:tc>
      </w:tr>
      <w:tr w14:paraId="3C83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14:paraId="01D31CDA">
            <w:pPr>
              <w:pStyle w:val="59"/>
              <w:spacing w:before="69" w:line="360" w:lineRule="auto"/>
              <w:jc w:val="center"/>
              <w:rPr>
                <w:rFonts w:hint="eastAsia" w:ascii="宋体" w:hAnsi="宋体" w:eastAsia="宋体" w:cs="宋体"/>
                <w:b/>
                <w:color w:val="auto"/>
                <w:sz w:val="24"/>
                <w:szCs w:val="24"/>
                <w:highlight w:val="none"/>
                <w:vertAlign w:val="baseline"/>
                <w:lang w:eastAsia="zh-CN"/>
              </w:rPr>
            </w:pPr>
            <w:r>
              <w:rPr>
                <w:rFonts w:hint="eastAsia" w:cs="宋体"/>
                <w:color w:val="auto"/>
                <w:sz w:val="24"/>
                <w:szCs w:val="24"/>
                <w:highlight w:val="none"/>
                <w:lang w:val="en-US" w:eastAsia="zh-CN"/>
              </w:rPr>
              <w:t>7</w:t>
            </w:r>
          </w:p>
        </w:tc>
        <w:tc>
          <w:tcPr>
            <w:tcW w:w="1968" w:type="dxa"/>
            <w:vAlign w:val="top"/>
          </w:tcPr>
          <w:p w14:paraId="11A6E200">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6"/>
                <w:sz w:val="24"/>
                <w:szCs w:val="24"/>
                <w:highlight w:val="none"/>
              </w:rPr>
              <w:t>配电箱</w:t>
            </w:r>
          </w:p>
        </w:tc>
        <w:tc>
          <w:tcPr>
            <w:tcW w:w="5682" w:type="dxa"/>
            <w:vAlign w:val="top"/>
          </w:tcPr>
          <w:p w14:paraId="6896541F">
            <w:pPr>
              <w:pStyle w:val="59"/>
              <w:spacing w:before="53" w:line="360" w:lineRule="auto"/>
              <w:ind w:right="195"/>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6"/>
                <w:sz w:val="24"/>
                <w:szCs w:val="24"/>
                <w:highlight w:val="none"/>
              </w:rPr>
              <w:t>定制，用于断路器、智能照明开关模块，含其他电气附件。</w:t>
            </w:r>
          </w:p>
        </w:tc>
      </w:tr>
      <w:tr w14:paraId="5A26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14:paraId="33578585">
            <w:pPr>
              <w:pStyle w:val="59"/>
              <w:spacing w:before="69" w:line="360" w:lineRule="auto"/>
              <w:jc w:val="center"/>
              <w:rPr>
                <w:rFonts w:hint="eastAsia" w:ascii="宋体" w:hAnsi="宋体" w:eastAsia="宋体" w:cs="宋体"/>
                <w:b/>
                <w:color w:val="auto"/>
                <w:sz w:val="24"/>
                <w:szCs w:val="24"/>
                <w:highlight w:val="none"/>
                <w:vertAlign w:val="baseline"/>
                <w:lang w:eastAsia="zh-CN"/>
              </w:rPr>
            </w:pPr>
            <w:r>
              <w:rPr>
                <w:rFonts w:hint="eastAsia" w:cs="宋体"/>
                <w:color w:val="auto"/>
                <w:spacing w:val="-4"/>
                <w:sz w:val="24"/>
                <w:szCs w:val="24"/>
                <w:highlight w:val="none"/>
                <w:lang w:val="en-US" w:eastAsia="zh-CN"/>
              </w:rPr>
              <w:t>8</w:t>
            </w:r>
          </w:p>
        </w:tc>
        <w:tc>
          <w:tcPr>
            <w:tcW w:w="1968" w:type="dxa"/>
            <w:vAlign w:val="top"/>
          </w:tcPr>
          <w:p w14:paraId="4A40B73C">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8"/>
                <w:sz w:val="24"/>
                <w:szCs w:val="24"/>
                <w:highlight w:val="none"/>
              </w:rPr>
              <w:t>智能</w:t>
            </w:r>
            <w:r>
              <w:rPr>
                <w:rFonts w:hint="eastAsia" w:ascii="宋体" w:hAnsi="宋体" w:eastAsia="宋体" w:cs="宋体"/>
                <w:color w:val="auto"/>
                <w:spacing w:val="6"/>
                <w:sz w:val="24"/>
                <w:szCs w:val="24"/>
                <w:highlight w:val="none"/>
              </w:rPr>
              <w:t>照明控制</w:t>
            </w:r>
            <w:r>
              <w:rPr>
                <w:rFonts w:hint="eastAsia" w:ascii="宋体" w:hAnsi="宋体" w:eastAsia="宋体" w:cs="宋体"/>
                <w:color w:val="auto"/>
                <w:spacing w:val="8"/>
                <w:sz w:val="24"/>
                <w:szCs w:val="24"/>
                <w:highlight w:val="none"/>
              </w:rPr>
              <w:t>网关</w:t>
            </w:r>
          </w:p>
        </w:tc>
        <w:tc>
          <w:tcPr>
            <w:tcW w:w="5682" w:type="dxa"/>
            <w:vAlign w:val="top"/>
          </w:tcPr>
          <w:p w14:paraId="5F073B48">
            <w:pPr>
              <w:pStyle w:val="59"/>
              <w:numPr>
                <w:ilvl w:val="0"/>
                <w:numId w:val="0"/>
              </w:numPr>
              <w:spacing w:before="39" w:line="360" w:lineRule="auto"/>
              <w:ind w:leftChars="0"/>
              <w:rPr>
                <w:rFonts w:hint="eastAsia" w:ascii="宋体" w:hAnsi="宋体" w:eastAsia="宋体" w:cs="宋体"/>
                <w:b/>
                <w:color w:val="auto"/>
                <w:sz w:val="24"/>
                <w:szCs w:val="24"/>
                <w:highlight w:val="none"/>
                <w:vertAlign w:val="baseline"/>
              </w:rPr>
            </w:pPr>
            <w:r>
              <w:rPr>
                <w:rFonts w:hint="eastAsia" w:ascii="宋体" w:hAnsi="宋体" w:eastAsia="宋体" w:cs="宋体"/>
                <w:b/>
                <w:bCs/>
                <w:color w:val="auto"/>
                <w:spacing w:val="6"/>
                <w:sz w:val="24"/>
                <w:szCs w:val="24"/>
                <w:highlight w:val="none"/>
                <w:lang w:val="en-US" w:eastAsia="zh-CN"/>
              </w:rPr>
              <w:t>本项目使用相同的网关，参数要求与</w:t>
            </w:r>
            <w:r>
              <w:rPr>
                <w:rFonts w:hint="eastAsia" w:ascii="宋体" w:hAnsi="宋体" w:eastAsia="宋体" w:cs="宋体"/>
                <w:b/>
                <w:bCs/>
                <w:color w:val="auto"/>
                <w:spacing w:val="8"/>
                <w:sz w:val="24"/>
                <w:szCs w:val="24"/>
                <w:highlight w:val="none"/>
              </w:rPr>
              <w:t>智能暖通</w:t>
            </w:r>
            <w:r>
              <w:rPr>
                <w:rFonts w:hint="eastAsia" w:ascii="宋体" w:hAnsi="宋体" w:eastAsia="宋体" w:cs="宋体"/>
                <w:b/>
                <w:bCs/>
                <w:color w:val="auto"/>
                <w:spacing w:val="6"/>
                <w:sz w:val="24"/>
                <w:szCs w:val="24"/>
                <w:highlight w:val="none"/>
              </w:rPr>
              <w:t>控制</w:t>
            </w:r>
            <w:r>
              <w:rPr>
                <w:rFonts w:hint="eastAsia" w:ascii="宋体" w:hAnsi="宋体" w:eastAsia="宋体" w:cs="宋体"/>
                <w:b/>
                <w:bCs/>
                <w:color w:val="auto"/>
                <w:spacing w:val="8"/>
                <w:sz w:val="24"/>
                <w:szCs w:val="24"/>
                <w:highlight w:val="none"/>
              </w:rPr>
              <w:t>网关</w:t>
            </w:r>
            <w:r>
              <w:rPr>
                <w:rFonts w:hint="eastAsia" w:ascii="宋体" w:hAnsi="宋体" w:eastAsia="宋体" w:cs="宋体"/>
                <w:b/>
                <w:bCs/>
                <w:color w:val="auto"/>
                <w:spacing w:val="8"/>
                <w:sz w:val="24"/>
                <w:szCs w:val="24"/>
                <w:highlight w:val="none"/>
                <w:lang w:val="en-US" w:eastAsia="zh-CN"/>
              </w:rPr>
              <w:t>相同</w:t>
            </w:r>
            <w:r>
              <w:rPr>
                <w:rFonts w:hint="eastAsia" w:ascii="宋体" w:hAnsi="宋体" w:eastAsia="宋体" w:cs="宋体"/>
                <w:b/>
                <w:bCs/>
                <w:color w:val="auto"/>
                <w:spacing w:val="8"/>
                <w:sz w:val="24"/>
                <w:szCs w:val="24"/>
                <w:highlight w:val="none"/>
                <w:lang w:eastAsia="zh-CN"/>
              </w:rPr>
              <w:t>，</w:t>
            </w:r>
            <w:r>
              <w:rPr>
                <w:rFonts w:hint="eastAsia" w:ascii="宋体" w:hAnsi="宋体" w:eastAsia="宋体" w:cs="宋体"/>
                <w:b/>
                <w:bCs/>
                <w:color w:val="auto"/>
                <w:spacing w:val="8"/>
                <w:sz w:val="24"/>
                <w:szCs w:val="24"/>
                <w:highlight w:val="none"/>
                <w:lang w:val="en-US" w:eastAsia="zh-CN"/>
              </w:rPr>
              <w:t>不另行评审。</w:t>
            </w:r>
          </w:p>
        </w:tc>
      </w:tr>
      <w:tr w14:paraId="26F5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14:paraId="3F389CE3">
            <w:pPr>
              <w:pStyle w:val="59"/>
              <w:spacing w:before="69" w:line="360" w:lineRule="auto"/>
              <w:jc w:val="center"/>
              <w:rPr>
                <w:rFonts w:hint="eastAsia" w:ascii="宋体" w:hAnsi="宋体" w:eastAsia="宋体" w:cs="宋体"/>
                <w:b/>
                <w:color w:val="auto"/>
                <w:sz w:val="24"/>
                <w:szCs w:val="24"/>
                <w:highlight w:val="none"/>
                <w:vertAlign w:val="baseline"/>
                <w:lang w:val="en-US" w:eastAsia="zh-CN"/>
              </w:rPr>
            </w:pPr>
            <w:r>
              <w:rPr>
                <w:rFonts w:hint="eastAsia" w:cs="宋体"/>
                <w:color w:val="auto"/>
                <w:spacing w:val="-4"/>
                <w:sz w:val="24"/>
                <w:szCs w:val="24"/>
                <w:highlight w:val="none"/>
                <w:lang w:val="en-US" w:eastAsia="zh-CN"/>
              </w:rPr>
              <w:t>9</w:t>
            </w:r>
          </w:p>
        </w:tc>
        <w:tc>
          <w:tcPr>
            <w:tcW w:w="1968" w:type="dxa"/>
            <w:vAlign w:val="top"/>
          </w:tcPr>
          <w:p w14:paraId="2E9FF782">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7"/>
                <w:sz w:val="24"/>
                <w:szCs w:val="24"/>
                <w:highlight w:val="none"/>
              </w:rPr>
              <w:t>数据</w:t>
            </w:r>
            <w:r>
              <w:rPr>
                <w:rFonts w:hint="eastAsia" w:ascii="宋体" w:hAnsi="宋体" w:eastAsia="宋体" w:cs="宋体"/>
                <w:color w:val="auto"/>
                <w:spacing w:val="6"/>
                <w:sz w:val="24"/>
                <w:szCs w:val="24"/>
                <w:highlight w:val="none"/>
              </w:rPr>
              <w:t>采集</w:t>
            </w:r>
            <w:r>
              <w:rPr>
                <w:rFonts w:hint="eastAsia" w:ascii="宋体" w:hAnsi="宋体" w:eastAsia="宋体" w:cs="宋体"/>
                <w:color w:val="auto"/>
                <w:spacing w:val="7"/>
                <w:sz w:val="24"/>
                <w:szCs w:val="24"/>
                <w:highlight w:val="none"/>
              </w:rPr>
              <w:t>箱</w:t>
            </w:r>
          </w:p>
        </w:tc>
        <w:tc>
          <w:tcPr>
            <w:tcW w:w="5682" w:type="dxa"/>
            <w:vAlign w:val="top"/>
          </w:tcPr>
          <w:p w14:paraId="4F5DC5D0">
            <w:pPr>
              <w:keepNext w:val="0"/>
              <w:keepLines w:val="0"/>
              <w:widowControl/>
              <w:suppressLineNumbers w:val="0"/>
              <w:spacing w:line="360" w:lineRule="auto"/>
              <w:jc w:val="left"/>
              <w:rPr>
                <w:rFonts w:hint="eastAsia" w:ascii="宋体" w:hAnsi="宋体" w:eastAsia="宋体" w:cs="宋体"/>
                <w:b/>
                <w:color w:val="auto"/>
                <w:sz w:val="24"/>
                <w:szCs w:val="24"/>
                <w:highlight w:val="none"/>
                <w:vertAlign w:val="baseline"/>
              </w:rPr>
            </w:pPr>
            <w:r>
              <w:rPr>
                <w:rFonts w:hint="eastAsia" w:ascii="宋体" w:hAnsi="宋体" w:eastAsia="宋体" w:cs="宋体"/>
                <w:b/>
                <w:bCs/>
                <w:color w:val="auto"/>
                <w:spacing w:val="6"/>
                <w:sz w:val="24"/>
                <w:szCs w:val="24"/>
                <w:highlight w:val="none"/>
                <w:lang w:val="en-US" w:eastAsia="zh-CN"/>
              </w:rPr>
              <w:t>本项目使用相同的数据采集箱，参数要求与</w:t>
            </w:r>
            <w:r>
              <w:rPr>
                <w:rFonts w:hint="eastAsia" w:ascii="宋体" w:hAnsi="宋体" w:eastAsia="宋体" w:cs="宋体"/>
                <w:b/>
                <w:bCs/>
                <w:color w:val="auto"/>
                <w:spacing w:val="5"/>
                <w:sz w:val="24"/>
                <w:szCs w:val="24"/>
                <w:highlight w:val="none"/>
              </w:rPr>
              <w:t>空调控制部分</w:t>
            </w:r>
            <w:r>
              <w:rPr>
                <w:rFonts w:hint="eastAsia" w:ascii="宋体" w:hAnsi="宋体" w:eastAsia="宋体" w:cs="宋体"/>
                <w:b/>
                <w:bCs/>
                <w:color w:val="auto"/>
                <w:spacing w:val="5"/>
                <w:sz w:val="24"/>
                <w:szCs w:val="24"/>
                <w:highlight w:val="none"/>
                <w:lang w:val="en-US" w:eastAsia="zh-CN"/>
              </w:rPr>
              <w:t>数据采集箱</w:t>
            </w:r>
            <w:r>
              <w:rPr>
                <w:rFonts w:hint="eastAsia" w:ascii="宋体" w:hAnsi="宋体" w:eastAsia="宋体" w:cs="宋体"/>
                <w:b/>
                <w:bCs/>
                <w:color w:val="auto"/>
                <w:spacing w:val="8"/>
                <w:sz w:val="24"/>
                <w:szCs w:val="24"/>
                <w:highlight w:val="none"/>
                <w:lang w:val="en-US" w:eastAsia="zh-CN"/>
              </w:rPr>
              <w:t>相同</w:t>
            </w:r>
            <w:r>
              <w:rPr>
                <w:rFonts w:hint="eastAsia" w:ascii="宋体" w:hAnsi="宋体" w:eastAsia="宋体" w:cs="宋体"/>
                <w:b/>
                <w:bCs/>
                <w:color w:val="auto"/>
                <w:spacing w:val="8"/>
                <w:sz w:val="24"/>
                <w:szCs w:val="24"/>
                <w:highlight w:val="none"/>
                <w:lang w:eastAsia="zh-CN"/>
              </w:rPr>
              <w:t>，</w:t>
            </w:r>
            <w:r>
              <w:rPr>
                <w:rFonts w:hint="eastAsia" w:ascii="宋体" w:hAnsi="宋体" w:eastAsia="宋体" w:cs="宋体"/>
                <w:b/>
                <w:bCs/>
                <w:color w:val="auto"/>
                <w:spacing w:val="8"/>
                <w:sz w:val="24"/>
                <w:szCs w:val="24"/>
                <w:highlight w:val="none"/>
                <w:lang w:val="en-US" w:eastAsia="zh-CN"/>
              </w:rPr>
              <w:t>不另行评审。</w:t>
            </w:r>
          </w:p>
        </w:tc>
      </w:tr>
      <w:tr w14:paraId="0A00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2840" w:type="dxa"/>
            <w:gridSpan w:val="2"/>
            <w:vAlign w:val="top"/>
          </w:tcPr>
          <w:p w14:paraId="7B1114F7">
            <w:pPr>
              <w:spacing w:line="360" w:lineRule="auto"/>
              <w:jc w:val="center"/>
              <w:rPr>
                <w:rFonts w:hint="eastAsia" w:ascii="宋体" w:hAnsi="宋体" w:eastAsia="宋体" w:cs="宋体"/>
                <w:color w:val="auto"/>
                <w:sz w:val="24"/>
                <w:szCs w:val="24"/>
                <w:highlight w:val="none"/>
              </w:rPr>
            </w:pPr>
          </w:p>
          <w:p w14:paraId="50838427">
            <w:pPr>
              <w:spacing w:line="360" w:lineRule="auto"/>
              <w:jc w:val="center"/>
              <w:rPr>
                <w:rFonts w:hint="eastAsia" w:ascii="宋体" w:hAnsi="宋体" w:eastAsia="宋体" w:cs="宋体"/>
                <w:color w:val="auto"/>
                <w:sz w:val="24"/>
                <w:szCs w:val="24"/>
                <w:highlight w:val="none"/>
              </w:rPr>
            </w:pPr>
          </w:p>
          <w:p w14:paraId="42C837EA">
            <w:pPr>
              <w:pStyle w:val="59"/>
              <w:spacing w:before="69" w:line="360" w:lineRule="auto"/>
              <w:jc w:val="center"/>
              <w:rPr>
                <w:rFonts w:hint="eastAsia" w:ascii="宋体" w:hAnsi="宋体" w:eastAsia="宋体" w:cs="宋体"/>
                <w:b/>
                <w:color w:val="auto"/>
                <w:sz w:val="24"/>
                <w:szCs w:val="24"/>
                <w:highlight w:val="none"/>
                <w:vertAlign w:val="baseline"/>
                <w:lang w:val="en-US" w:eastAsia="zh-CN"/>
              </w:rPr>
            </w:pPr>
          </w:p>
          <w:p w14:paraId="446C4864">
            <w:pPr>
              <w:spacing w:line="360" w:lineRule="auto"/>
              <w:jc w:val="center"/>
              <w:rPr>
                <w:rFonts w:hint="eastAsia" w:ascii="宋体" w:hAnsi="宋体" w:eastAsia="宋体" w:cs="宋体"/>
                <w:color w:val="auto"/>
                <w:sz w:val="24"/>
                <w:szCs w:val="24"/>
                <w:highlight w:val="none"/>
              </w:rPr>
            </w:pPr>
            <w:bookmarkStart w:id="93" w:name="OLE_LINK9"/>
            <w:r>
              <w:rPr>
                <w:rFonts w:hint="eastAsia"/>
                <w:b/>
                <w:color w:val="auto"/>
                <w:sz w:val="21"/>
                <w:szCs w:val="21"/>
                <w:highlight w:val="none"/>
                <w:vertAlign w:val="baseline"/>
                <w:lang w:val="en-US" w:eastAsia="zh-CN"/>
              </w:rPr>
              <w:t>其他要求</w:t>
            </w:r>
            <w:bookmarkEnd w:id="93"/>
          </w:p>
          <w:p w14:paraId="248AA8CC">
            <w:pPr>
              <w:pStyle w:val="59"/>
              <w:spacing w:before="68" w:line="360" w:lineRule="auto"/>
              <w:jc w:val="center"/>
              <w:rPr>
                <w:rFonts w:hint="eastAsia" w:ascii="宋体" w:hAnsi="宋体" w:eastAsia="宋体" w:cs="宋体"/>
                <w:b/>
                <w:color w:val="auto"/>
                <w:sz w:val="24"/>
                <w:szCs w:val="24"/>
                <w:highlight w:val="none"/>
                <w:vertAlign w:val="baseline"/>
              </w:rPr>
            </w:pPr>
          </w:p>
        </w:tc>
        <w:tc>
          <w:tcPr>
            <w:tcW w:w="5682" w:type="dxa"/>
            <w:vAlign w:val="top"/>
          </w:tcPr>
          <w:p w14:paraId="3D91D31C">
            <w:pPr>
              <w:pStyle w:val="59"/>
              <w:spacing w:before="50" w:line="360" w:lineRule="auto"/>
              <w:ind w:left="117" w:right="50" w:hanging="5"/>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rPr>
              <w:t>管线及辅材</w:t>
            </w:r>
            <w:r>
              <w:rPr>
                <w:rFonts w:hint="eastAsia" w:ascii="宋体" w:hAnsi="宋体" w:eastAsia="宋体" w:cs="宋体"/>
                <w:color w:val="auto"/>
                <w:spacing w:val="7"/>
                <w:sz w:val="24"/>
                <w:szCs w:val="24"/>
                <w:highlight w:val="none"/>
                <w:lang w:eastAsia="zh-CN"/>
              </w:rPr>
              <w:t>：</w:t>
            </w:r>
          </w:p>
          <w:p w14:paraId="21D58357">
            <w:pPr>
              <w:pStyle w:val="59"/>
              <w:spacing w:before="50" w:line="360" w:lineRule="auto"/>
              <w:ind w:left="117" w:right="50" w:hanging="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val="en-US" w:eastAsia="zh-CN"/>
              </w:rPr>
              <w:t>1.</w:t>
            </w:r>
            <w:r>
              <w:rPr>
                <w:rFonts w:hint="eastAsia" w:ascii="宋体" w:hAnsi="宋体" w:eastAsia="宋体" w:cs="宋体"/>
                <w:color w:val="auto"/>
                <w:spacing w:val="5"/>
                <w:sz w:val="24"/>
                <w:szCs w:val="24"/>
                <w:highlight w:val="none"/>
              </w:rPr>
              <w:t>包含通信线（</w:t>
            </w:r>
            <w:r>
              <w:rPr>
                <w:rFonts w:hint="eastAsia" w:ascii="宋体" w:hAnsi="宋体" w:eastAsia="宋体" w:cs="宋体"/>
                <w:color w:val="auto"/>
                <w:sz w:val="24"/>
                <w:szCs w:val="24"/>
                <w:highlight w:val="none"/>
              </w:rPr>
              <w:t>RVSP</w:t>
            </w:r>
            <w:r>
              <w:rPr>
                <w:rFonts w:hint="eastAsia" w:ascii="宋体" w:hAnsi="宋体" w:eastAsia="宋体" w:cs="宋体"/>
                <w:color w:val="auto"/>
                <w:spacing w:val="5"/>
                <w:sz w:val="24"/>
                <w:szCs w:val="24"/>
                <w:highlight w:val="none"/>
              </w:rPr>
              <w:t>4*1.5，</w:t>
            </w:r>
            <w:r>
              <w:rPr>
                <w:rFonts w:hint="eastAsia" w:ascii="宋体" w:hAnsi="宋体" w:eastAsia="宋体" w:cs="宋体"/>
                <w:color w:val="auto"/>
                <w:spacing w:val="5"/>
                <w:sz w:val="24"/>
                <w:szCs w:val="24"/>
                <w:highlight w:val="none"/>
                <w:lang w:val="en-US" w:eastAsia="zh-CN"/>
              </w:rPr>
              <w:t>约</w:t>
            </w:r>
            <w:r>
              <w:rPr>
                <w:rFonts w:hint="eastAsia" w:ascii="宋体" w:hAnsi="宋体" w:eastAsia="宋体" w:cs="宋体"/>
                <w:color w:val="auto"/>
                <w:spacing w:val="5"/>
                <w:sz w:val="24"/>
                <w:szCs w:val="24"/>
                <w:highlight w:val="none"/>
              </w:rPr>
              <w:t>4500</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5"/>
                <w:sz w:val="24"/>
                <w:szCs w:val="24"/>
                <w:highlight w:val="none"/>
              </w:rPr>
              <w:t>米）、电源线（</w:t>
            </w:r>
            <w:r>
              <w:rPr>
                <w:rFonts w:hint="eastAsia" w:ascii="宋体" w:hAnsi="宋体" w:eastAsia="宋体" w:cs="宋体"/>
                <w:color w:val="auto"/>
                <w:sz w:val="24"/>
                <w:szCs w:val="24"/>
                <w:highlight w:val="none"/>
              </w:rPr>
              <w:t>RVV</w:t>
            </w:r>
            <w:r>
              <w:rPr>
                <w:rFonts w:hint="eastAsia" w:ascii="宋体" w:hAnsi="宋体" w:eastAsia="宋体" w:cs="宋体"/>
                <w:color w:val="auto"/>
                <w:spacing w:val="5"/>
                <w:sz w:val="24"/>
                <w:szCs w:val="24"/>
                <w:highlight w:val="none"/>
              </w:rPr>
              <w:t>3*2.5，</w:t>
            </w:r>
            <w:r>
              <w:rPr>
                <w:rFonts w:hint="eastAsia" w:ascii="宋体" w:hAnsi="宋体" w:eastAsia="宋体" w:cs="宋体"/>
                <w:color w:val="auto"/>
                <w:spacing w:val="5"/>
                <w:sz w:val="24"/>
                <w:szCs w:val="24"/>
                <w:highlight w:val="none"/>
                <w:lang w:val="en-US" w:eastAsia="zh-CN"/>
              </w:rPr>
              <w:t>约</w:t>
            </w:r>
            <w:r>
              <w:rPr>
                <w:rFonts w:hint="eastAsia" w:ascii="宋体" w:hAnsi="宋体" w:eastAsia="宋体" w:cs="宋体"/>
                <w:color w:val="auto"/>
                <w:spacing w:val="5"/>
                <w:sz w:val="24"/>
                <w:szCs w:val="24"/>
                <w:highlight w:val="none"/>
              </w:rPr>
              <w:t>200</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5"/>
                <w:sz w:val="24"/>
                <w:szCs w:val="24"/>
                <w:highlight w:val="none"/>
              </w:rPr>
              <w:t>米）、电源线（</w:t>
            </w:r>
            <w:r>
              <w:rPr>
                <w:rFonts w:hint="eastAsia" w:ascii="宋体" w:hAnsi="宋体" w:eastAsia="宋体" w:cs="宋体"/>
                <w:color w:val="auto"/>
                <w:sz w:val="24"/>
                <w:szCs w:val="24"/>
                <w:highlight w:val="none"/>
              </w:rPr>
              <w:t>BV</w:t>
            </w:r>
            <w:r>
              <w:rPr>
                <w:rFonts w:hint="eastAsia" w:ascii="宋体" w:hAnsi="宋体" w:eastAsia="宋体" w:cs="宋体"/>
                <w:color w:val="auto"/>
                <w:spacing w:val="5"/>
                <w:sz w:val="24"/>
                <w:szCs w:val="24"/>
                <w:highlight w:val="none"/>
              </w:rPr>
              <w:t>1.5，</w:t>
            </w:r>
            <w:r>
              <w:rPr>
                <w:rFonts w:hint="eastAsia" w:ascii="宋体" w:hAnsi="宋体" w:eastAsia="宋体" w:cs="宋体"/>
                <w:color w:val="auto"/>
                <w:spacing w:val="5"/>
                <w:sz w:val="24"/>
                <w:szCs w:val="24"/>
                <w:highlight w:val="none"/>
                <w:lang w:val="en-US" w:eastAsia="zh-CN"/>
              </w:rPr>
              <w:t>约</w:t>
            </w:r>
            <w:r>
              <w:rPr>
                <w:rFonts w:hint="eastAsia" w:ascii="宋体" w:hAnsi="宋体" w:eastAsia="宋体" w:cs="宋体"/>
                <w:color w:val="auto"/>
                <w:spacing w:val="4"/>
                <w:sz w:val="24"/>
                <w:szCs w:val="24"/>
                <w:highlight w:val="none"/>
              </w:rPr>
              <w:t>11100</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4"/>
                <w:sz w:val="24"/>
                <w:szCs w:val="24"/>
                <w:highlight w:val="none"/>
              </w:rPr>
              <w:t>米）、网线（</w:t>
            </w:r>
            <w:r>
              <w:rPr>
                <w:rFonts w:hint="eastAsia" w:ascii="宋体" w:hAnsi="宋体" w:eastAsia="宋体" w:cs="宋体"/>
                <w:color w:val="auto"/>
                <w:sz w:val="24"/>
                <w:szCs w:val="24"/>
                <w:highlight w:val="none"/>
              </w:rPr>
              <w:t>CAT</w:t>
            </w:r>
            <w:r>
              <w:rPr>
                <w:rFonts w:hint="eastAsia" w:ascii="宋体" w:hAnsi="宋体" w:eastAsia="宋体" w:cs="宋体"/>
                <w:color w:val="auto"/>
                <w:spacing w:val="4"/>
                <w:sz w:val="24"/>
                <w:szCs w:val="24"/>
                <w:highlight w:val="none"/>
              </w:rPr>
              <w:t>6，</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约</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4"/>
                <w:sz w:val="24"/>
                <w:szCs w:val="24"/>
                <w:highlight w:val="none"/>
              </w:rPr>
              <w:t>200</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4"/>
                <w:sz w:val="24"/>
                <w:szCs w:val="24"/>
                <w:highlight w:val="none"/>
              </w:rPr>
              <w:t>米）、</w:t>
            </w:r>
            <w:r>
              <w:rPr>
                <w:rFonts w:hint="eastAsia" w:ascii="宋体" w:hAnsi="宋体" w:eastAsia="宋体" w:cs="宋体"/>
                <w:color w:val="auto"/>
                <w:sz w:val="24"/>
                <w:szCs w:val="24"/>
                <w:highlight w:val="none"/>
              </w:rPr>
              <w:t>PVC</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4"/>
                <w:sz w:val="24"/>
                <w:szCs w:val="24"/>
                <w:highlight w:val="none"/>
              </w:rPr>
              <w:t>管/线槽（约</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4"/>
                <w:sz w:val="24"/>
                <w:szCs w:val="24"/>
                <w:highlight w:val="none"/>
              </w:rPr>
              <w:t>1850</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4"/>
                <w:sz w:val="24"/>
                <w:szCs w:val="24"/>
                <w:highlight w:val="none"/>
              </w:rPr>
              <w:t>米</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5"/>
                <w:sz w:val="24"/>
                <w:szCs w:val="24"/>
                <w:highlight w:val="none"/>
                <w:lang w:val="en-US" w:eastAsia="zh-CN"/>
              </w:rPr>
              <w:t>非吊顶内需使用线槽</w:t>
            </w:r>
            <w:r>
              <w:rPr>
                <w:rFonts w:hint="eastAsia" w:ascii="宋体" w:hAnsi="宋体" w:eastAsia="宋体" w:cs="宋体"/>
                <w:color w:val="auto"/>
                <w:spacing w:val="4"/>
                <w:sz w:val="24"/>
                <w:szCs w:val="24"/>
                <w:highlight w:val="none"/>
              </w:rPr>
              <w:t>）等材料</w:t>
            </w:r>
            <w:r>
              <w:rPr>
                <w:rFonts w:hint="eastAsia" w:ascii="宋体" w:hAnsi="宋体" w:eastAsia="宋体" w:cs="宋体"/>
                <w:color w:val="auto"/>
                <w:spacing w:val="-61"/>
                <w:sz w:val="24"/>
                <w:szCs w:val="24"/>
                <w:highlight w:val="none"/>
              </w:rPr>
              <w:t xml:space="preserve"> </w:t>
            </w:r>
            <w:r>
              <w:rPr>
                <w:rFonts w:hint="eastAsia" w:ascii="宋体" w:hAnsi="宋体" w:eastAsia="宋体" w:cs="宋体"/>
                <w:color w:val="auto"/>
                <w:spacing w:val="4"/>
                <w:sz w:val="24"/>
                <w:szCs w:val="24"/>
                <w:highlight w:val="none"/>
                <w:lang w:eastAsia="zh-CN"/>
              </w:rPr>
              <w:t>。</w:t>
            </w:r>
          </w:p>
          <w:p w14:paraId="1B79CADE">
            <w:pPr>
              <w:pStyle w:val="59"/>
              <w:spacing w:before="34" w:line="360" w:lineRule="auto"/>
              <w:ind w:left="113" w:leftChars="0" w:right="114" w:rightChars="0" w:firstLine="4" w:firstLineChars="0"/>
              <w:rPr>
                <w:rFonts w:hint="eastAsia" w:ascii="宋体" w:hAnsi="宋体" w:eastAsia="宋体" w:cs="宋体"/>
                <w:b/>
                <w:color w:val="auto"/>
                <w:sz w:val="24"/>
                <w:szCs w:val="24"/>
                <w:highlight w:val="none"/>
                <w:vertAlign w:val="baseline"/>
              </w:rPr>
            </w:pPr>
            <w:r>
              <w:rPr>
                <w:rFonts w:hint="eastAsia"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管线辅材所需数量以本项目规范施工现场实际需要为准，实际所需数量的增减不调整合同价，投标单位投标时结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合实际情况综合考虑。</w:t>
            </w:r>
          </w:p>
        </w:tc>
      </w:tr>
      <w:tr w14:paraId="590D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522" w:type="dxa"/>
            <w:gridSpan w:val="3"/>
          </w:tcPr>
          <w:p w14:paraId="6BFCCAB1">
            <w:pPr>
              <w:spacing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b/>
                <w:bCs/>
                <w:color w:val="auto"/>
                <w:spacing w:val="5"/>
                <w:sz w:val="24"/>
                <w:szCs w:val="24"/>
                <w:highlight w:val="none"/>
                <w:lang w:val="en-US" w:eastAsia="zh-CN"/>
              </w:rPr>
              <w:t>三、</w:t>
            </w:r>
            <w:r>
              <w:rPr>
                <w:rFonts w:hint="eastAsia" w:ascii="宋体" w:hAnsi="宋体" w:eastAsia="宋体" w:cs="宋体"/>
                <w:b/>
                <w:bCs/>
                <w:color w:val="auto"/>
                <w:spacing w:val="5"/>
                <w:sz w:val="24"/>
                <w:szCs w:val="24"/>
                <w:highlight w:val="none"/>
              </w:rPr>
              <w:t>能耗监测</w:t>
            </w:r>
          </w:p>
        </w:tc>
      </w:tr>
      <w:tr w14:paraId="27E7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 w:type="dxa"/>
            <w:vAlign w:val="center"/>
          </w:tcPr>
          <w:p w14:paraId="0ACCB5EE">
            <w:pPr>
              <w:pStyle w:val="59"/>
              <w:spacing w:before="69" w:line="360" w:lineRule="auto"/>
              <w:jc w:val="center"/>
              <w:rPr>
                <w:rFonts w:hint="default" w:ascii="宋体" w:hAnsi="宋体" w:eastAsia="宋体" w:cs="宋体"/>
                <w:b/>
                <w:color w:val="auto"/>
                <w:sz w:val="24"/>
                <w:szCs w:val="24"/>
                <w:highlight w:val="none"/>
                <w:vertAlign w:val="baseline"/>
                <w:lang w:val="en-US" w:eastAsia="zh-CN"/>
              </w:rPr>
            </w:pPr>
            <w:r>
              <w:rPr>
                <w:rFonts w:hint="eastAsia" w:cs="宋体"/>
                <w:color w:val="auto"/>
                <w:sz w:val="24"/>
                <w:szCs w:val="24"/>
                <w:highlight w:val="none"/>
                <w:lang w:val="en-US" w:eastAsia="zh-CN"/>
              </w:rPr>
              <w:t>10</w:t>
            </w:r>
          </w:p>
        </w:tc>
        <w:tc>
          <w:tcPr>
            <w:tcW w:w="1968" w:type="dxa"/>
            <w:vAlign w:val="center"/>
          </w:tcPr>
          <w:p w14:paraId="07E465DB">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7"/>
                <w:sz w:val="24"/>
                <w:szCs w:val="24"/>
                <w:highlight w:val="none"/>
              </w:rPr>
              <w:t>4G</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7"/>
                <w:sz w:val="24"/>
                <w:szCs w:val="24"/>
                <w:highlight w:val="none"/>
              </w:rPr>
              <w:t>三相</w:t>
            </w:r>
            <w:r>
              <w:rPr>
                <w:rFonts w:hint="eastAsia" w:ascii="宋体" w:hAnsi="宋体" w:eastAsia="宋体" w:cs="宋体"/>
                <w:color w:val="auto"/>
                <w:spacing w:val="6"/>
                <w:sz w:val="24"/>
                <w:szCs w:val="24"/>
                <w:highlight w:val="none"/>
              </w:rPr>
              <w:t>智能</w:t>
            </w:r>
            <w:r>
              <w:rPr>
                <w:rFonts w:hint="eastAsia" w:ascii="宋体" w:hAnsi="宋体" w:eastAsia="宋体" w:cs="宋体"/>
                <w:color w:val="auto"/>
                <w:spacing w:val="7"/>
                <w:sz w:val="24"/>
                <w:szCs w:val="24"/>
                <w:highlight w:val="none"/>
              </w:rPr>
              <w:t>电表（含</w:t>
            </w:r>
            <w:r>
              <w:rPr>
                <w:rFonts w:hint="eastAsia" w:ascii="宋体" w:hAnsi="宋体" w:eastAsia="宋体" w:cs="宋体"/>
                <w:color w:val="auto"/>
                <w:sz w:val="24"/>
                <w:szCs w:val="24"/>
                <w:highlight w:val="none"/>
                <w:lang w:val="en-US" w:eastAsia="zh-CN"/>
              </w:rPr>
              <w:t>质保期内</w:t>
            </w:r>
            <w:r>
              <w:rPr>
                <w:rFonts w:hint="eastAsia" w:ascii="宋体" w:hAnsi="宋体" w:eastAsia="宋体" w:cs="宋体"/>
                <w:color w:val="auto"/>
                <w:spacing w:val="3"/>
                <w:sz w:val="24"/>
                <w:szCs w:val="24"/>
                <w:highlight w:val="none"/>
              </w:rPr>
              <w:t>通信流量）</w:t>
            </w:r>
          </w:p>
        </w:tc>
        <w:tc>
          <w:tcPr>
            <w:tcW w:w="5682" w:type="dxa"/>
            <w:vAlign w:val="top"/>
          </w:tcPr>
          <w:p w14:paraId="1254BA11">
            <w:pPr>
              <w:pStyle w:val="59"/>
              <w:numPr>
                <w:ilvl w:val="0"/>
                <w:numId w:val="25"/>
              </w:numPr>
              <w:spacing w:before="53" w:line="360" w:lineRule="auto"/>
              <w:ind w:left="0" w:leftChars="0" w:firstLine="420" w:firstLineChars="0"/>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重要参数</w:t>
            </w:r>
          </w:p>
          <w:p w14:paraId="5C00E222">
            <w:pPr>
              <w:pStyle w:val="59"/>
              <w:numPr>
                <w:ilvl w:val="0"/>
                <w:numId w:val="26"/>
              </w:numPr>
              <w:spacing w:before="39" w:line="360" w:lineRule="auto"/>
              <w:ind w:left="454" w:leftChars="0" w:hanging="454" w:firstLineChars="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color w:val="auto"/>
                <w:spacing w:val="-5"/>
                <w:sz w:val="24"/>
                <w:szCs w:val="24"/>
                <w:highlight w:val="none"/>
              </w:rPr>
              <w:t>★</w:t>
            </w:r>
            <w:r>
              <w:rPr>
                <w:rFonts w:hint="eastAsia" w:ascii="宋体" w:hAnsi="宋体" w:eastAsia="宋体" w:cs="宋体"/>
                <w:b w:val="0"/>
                <w:bCs w:val="0"/>
                <w:i w:val="0"/>
                <w:iCs w:val="0"/>
                <w:color w:val="auto"/>
                <w:kern w:val="0"/>
                <w:sz w:val="24"/>
                <w:szCs w:val="24"/>
                <w:highlight w:val="none"/>
                <w:u w:val="none"/>
                <w:lang w:val="en-US" w:eastAsia="zh-CN" w:bidi="ar"/>
              </w:rPr>
              <w:t>具备CPA证书。提供证书扫描件及查询网址。</w:t>
            </w:r>
          </w:p>
          <w:p w14:paraId="236C6A02">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rPr>
              <w:t>★</w:t>
            </w:r>
            <w:r>
              <w:rPr>
                <w:rFonts w:hint="eastAsia" w:ascii="宋体" w:hAnsi="宋体" w:eastAsia="宋体" w:cs="宋体"/>
                <w:b w:val="0"/>
                <w:bCs w:val="0"/>
                <w:i w:val="0"/>
                <w:iCs w:val="0"/>
                <w:color w:val="auto"/>
                <w:kern w:val="0"/>
                <w:sz w:val="24"/>
                <w:szCs w:val="24"/>
                <w:highlight w:val="none"/>
                <w:u w:val="none"/>
                <w:lang w:val="en-US" w:eastAsia="zh-CN" w:bidi="ar"/>
              </w:rPr>
              <w:t>支持4G</w:t>
            </w:r>
            <w:r>
              <w:rPr>
                <w:rFonts w:hint="eastAsia" w:ascii="宋体" w:hAnsi="宋体" w:eastAsia="宋体" w:cs="宋体"/>
                <w:b w:val="0"/>
                <w:bCs w:val="0"/>
                <w:color w:val="auto"/>
                <w:spacing w:val="6"/>
                <w:sz w:val="24"/>
                <w:szCs w:val="24"/>
                <w:highlight w:val="none"/>
                <w:lang w:val="en-US" w:eastAsia="zh-CN"/>
              </w:rPr>
              <w:t>通信</w:t>
            </w:r>
            <w:r>
              <w:rPr>
                <w:rFonts w:hint="eastAsia" w:ascii="宋体" w:hAnsi="宋体" w:eastAsia="宋体" w:cs="宋体"/>
                <w:b w:val="0"/>
                <w:bCs w:val="0"/>
                <w:i w:val="0"/>
                <w:iCs w:val="0"/>
                <w:color w:val="auto"/>
                <w:kern w:val="0"/>
                <w:sz w:val="24"/>
                <w:szCs w:val="24"/>
                <w:highlight w:val="none"/>
                <w:u w:val="none"/>
                <w:lang w:val="en-US" w:eastAsia="zh-CN" w:bidi="ar"/>
              </w:rPr>
              <w:t>，满足电信、移动、联通全网通的通信制式。</w:t>
            </w:r>
          </w:p>
          <w:p w14:paraId="229BCB1C">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5"/>
                <w:sz w:val="24"/>
                <w:szCs w:val="24"/>
                <w:highlight w:val="none"/>
                <w:lang w:val="en-US" w:eastAsia="zh-CN"/>
              </w:rPr>
            </w:pPr>
            <w:r>
              <w:rPr>
                <w:rFonts w:hint="eastAsia" w:ascii="宋体" w:hAnsi="宋体" w:eastAsia="宋体" w:cs="宋体"/>
                <w:b w:val="0"/>
                <w:bCs w:val="0"/>
                <w:color w:val="auto"/>
                <w:spacing w:val="-5"/>
                <w:sz w:val="24"/>
                <w:szCs w:val="24"/>
                <w:highlight w:val="none"/>
              </w:rPr>
              <w:t>★</w:t>
            </w:r>
            <w:r>
              <w:rPr>
                <w:rFonts w:hint="eastAsia" w:ascii="宋体" w:hAnsi="宋体" w:eastAsia="宋体" w:cs="宋体"/>
                <w:b w:val="0"/>
                <w:bCs w:val="0"/>
                <w:i w:val="0"/>
                <w:iCs w:val="0"/>
                <w:color w:val="auto"/>
                <w:kern w:val="0"/>
                <w:sz w:val="24"/>
                <w:szCs w:val="24"/>
                <w:highlight w:val="none"/>
                <w:u w:val="none"/>
                <w:lang w:val="en-US" w:eastAsia="zh-CN" w:bidi="ar"/>
              </w:rPr>
              <w:t>支持开口或闭口电流互感器，选择开口电流互感器时，电能精度不低于1.0级；选择闭口电流互感器时，电能精度不低于0.5S级。</w:t>
            </w:r>
          </w:p>
          <w:p w14:paraId="385D75DE">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color w:val="auto"/>
                <w:spacing w:val="-5"/>
                <w:sz w:val="24"/>
                <w:szCs w:val="24"/>
                <w:highlight w:val="none"/>
              </w:rPr>
              <w:t>★</w:t>
            </w:r>
            <w:r>
              <w:rPr>
                <w:rFonts w:hint="eastAsia" w:ascii="宋体" w:hAnsi="宋体" w:eastAsia="宋体" w:cs="宋体"/>
                <w:b w:val="0"/>
                <w:bCs w:val="0"/>
                <w:color w:val="auto"/>
                <w:spacing w:val="8"/>
                <w:sz w:val="24"/>
                <w:szCs w:val="24"/>
                <w:highlight w:val="none"/>
              </w:rPr>
              <w:t>支持</w:t>
            </w:r>
            <w:r>
              <w:rPr>
                <w:rFonts w:hint="eastAsia" w:ascii="宋体" w:hAnsi="宋体" w:eastAsia="宋体" w:cs="宋体"/>
                <w:b w:val="0"/>
                <w:bCs w:val="0"/>
                <w:i w:val="0"/>
                <w:iCs w:val="0"/>
                <w:color w:val="auto"/>
                <w:kern w:val="0"/>
                <w:sz w:val="24"/>
                <w:szCs w:val="24"/>
                <w:highlight w:val="none"/>
                <w:u w:val="none"/>
                <w:lang w:val="en-US" w:eastAsia="zh-CN" w:bidi="ar"/>
              </w:rPr>
              <w:t>正向</w:t>
            </w:r>
            <w:r>
              <w:rPr>
                <w:rFonts w:hint="eastAsia" w:ascii="宋体" w:hAnsi="宋体" w:eastAsia="宋体" w:cs="宋体"/>
                <w:b w:val="0"/>
                <w:bCs w:val="0"/>
                <w:color w:val="auto"/>
                <w:spacing w:val="8"/>
                <w:sz w:val="24"/>
                <w:szCs w:val="24"/>
                <w:highlight w:val="none"/>
              </w:rPr>
              <w:t>有功电能、反向有功电能、</w:t>
            </w:r>
            <w:r>
              <w:rPr>
                <w:rFonts w:hint="eastAsia" w:ascii="宋体" w:hAnsi="宋体" w:eastAsia="宋体" w:cs="宋体"/>
                <w:b w:val="0"/>
                <w:bCs w:val="0"/>
                <w:color w:val="auto"/>
                <w:spacing w:val="7"/>
                <w:sz w:val="24"/>
                <w:szCs w:val="24"/>
                <w:highlight w:val="none"/>
              </w:rPr>
              <w:t>有功电能总和、有功电能净值，正向无功电能、</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pacing w:val="8"/>
                <w:sz w:val="24"/>
                <w:szCs w:val="24"/>
                <w:highlight w:val="none"/>
              </w:rPr>
              <w:t>反向无功电能、无功电能总和、无功电能净值等电能数据计量。</w:t>
            </w:r>
          </w:p>
          <w:p w14:paraId="3CC79032">
            <w:pPr>
              <w:pStyle w:val="59"/>
              <w:numPr>
                <w:ilvl w:val="0"/>
                <w:numId w:val="25"/>
              </w:numPr>
              <w:spacing w:before="53" w:line="360" w:lineRule="auto"/>
              <w:ind w:left="0" w:leftChars="0" w:firstLine="420" w:firstLineChars="0"/>
              <w:rPr>
                <w:rFonts w:hint="eastAsia" w:ascii="宋体" w:hAnsi="宋体" w:eastAsia="宋体" w:cs="宋体"/>
                <w:b/>
                <w:bCs/>
                <w:color w:val="auto"/>
                <w:spacing w:val="-5"/>
                <w:sz w:val="24"/>
                <w:szCs w:val="24"/>
                <w:highlight w:val="none"/>
                <w:lang w:eastAsia="zh-CN"/>
              </w:rPr>
            </w:pPr>
            <w:r>
              <w:rPr>
                <w:rFonts w:hint="eastAsia" w:ascii="宋体" w:hAnsi="宋体" w:eastAsia="宋体" w:cs="宋体"/>
                <w:b/>
                <w:bCs/>
                <w:color w:val="auto"/>
                <w:spacing w:val="-5"/>
                <w:sz w:val="24"/>
                <w:szCs w:val="24"/>
                <w:highlight w:val="none"/>
                <w:lang w:val="en-US" w:eastAsia="zh-CN"/>
              </w:rPr>
              <w:t>一般参数</w:t>
            </w:r>
          </w:p>
          <w:p w14:paraId="16FF0607">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至少支持运行、报警、网络、数据、接线等5个状态指示灯。</w:t>
            </w:r>
          </w:p>
          <w:p w14:paraId="686F0E1B">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具备液晶显示功能，并支持液晶背光点亮，方便现场运维。</w:t>
            </w:r>
          </w:p>
          <w:p w14:paraId="0C8850D0">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液晶可显示无线信号强度、基本电量数据、复费率电能，并支持电压电流变比、接线方式等装置参数设置。</w:t>
            </w:r>
          </w:p>
          <w:p w14:paraId="766CE64C">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具备内置后备电源，失电后能够维持终端供电10s以上，保证停电事件主动上报平台。</w:t>
            </w:r>
          </w:p>
          <w:p w14:paraId="4037DED0">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具备带日期和时间的SOE事件记录功能，可以查询装置断电、越限和参数修改等SOE事件，记录个数不少于128条，分辨率1ms，停电不丢失。</w:t>
            </w:r>
          </w:p>
          <w:p w14:paraId="6F59FFE7">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支持电流相序和方向调整功能，当现场端电流接线错误时，可以在不重新调整现场端接线的情况下，使用软件设</w:t>
            </w:r>
            <w:r>
              <w:rPr>
                <w:rFonts w:hint="eastAsia" w:ascii="宋体" w:hAnsi="宋体" w:eastAsia="宋体" w:cs="宋体"/>
                <w:b w:val="0"/>
                <w:bCs w:val="0"/>
                <w:color w:val="auto"/>
                <w:spacing w:val="8"/>
                <w:sz w:val="24"/>
                <w:szCs w:val="24"/>
                <w:highlight w:val="none"/>
                <w:lang w:val="en-US" w:eastAsia="zh-CN"/>
              </w:rPr>
              <w:t>置相序和方向参数，保证三相有功功率正确。</w:t>
            </w:r>
          </w:p>
          <w:p w14:paraId="199D7529">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color w:val="auto"/>
                <w:spacing w:val="8"/>
                <w:sz w:val="24"/>
                <w:szCs w:val="24"/>
                <w:highlight w:val="none"/>
                <w:lang w:val="en-US" w:eastAsia="zh-CN"/>
              </w:rPr>
              <w:t>具备接线诊断功能，至少包括：电压缺相、电流缺相、电压/电流相序诊断、CT极性诊断、</w:t>
            </w:r>
            <w:r>
              <w:rPr>
                <w:rFonts w:hint="eastAsia" w:ascii="宋体" w:hAnsi="宋体" w:eastAsia="宋体" w:cs="宋体"/>
                <w:b w:val="0"/>
                <w:bCs w:val="0"/>
                <w:i w:val="0"/>
                <w:iCs w:val="0"/>
                <w:color w:val="auto"/>
                <w:kern w:val="0"/>
                <w:sz w:val="24"/>
                <w:szCs w:val="24"/>
                <w:highlight w:val="none"/>
                <w:u w:val="none"/>
                <w:lang w:val="en-US" w:eastAsia="zh-CN" w:bidi="ar"/>
              </w:rPr>
              <w:t>三相及有功功率方向诊断功能。</w:t>
            </w:r>
          </w:p>
          <w:p w14:paraId="177F4121">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color w:val="auto"/>
                <w:spacing w:val="8"/>
                <w:sz w:val="24"/>
                <w:szCs w:val="24"/>
                <w:highlight w:val="none"/>
                <w:lang w:val="en-US" w:eastAsia="zh-CN"/>
              </w:rPr>
              <w:t>支持时钟功能，掉电后终端时钟应继续走时。</w:t>
            </w:r>
          </w:p>
          <w:p w14:paraId="5A27C805">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color w:val="auto"/>
                <w:spacing w:val="8"/>
                <w:sz w:val="24"/>
                <w:szCs w:val="24"/>
                <w:highlight w:val="none"/>
                <w:lang w:val="en-US" w:eastAsia="zh-CN"/>
              </w:rPr>
              <w:t>具备实时需量测量和本月/上月最值需量测量功能。</w:t>
            </w:r>
          </w:p>
          <w:p w14:paraId="41854389">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支持参数定时记录功能，可选参数包括全电量数据、2-63次谐波数据，经纬度信息、DIDO状态等。其中定时记录的组数应达到10组，每组条数应达到5000条。</w:t>
            </w:r>
          </w:p>
          <w:p w14:paraId="3AF29F1F">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支持电压暂态功能，可触发电压暂升、暂降和中断。其中电压暂态可产生电能质量事件，条数不少于128条。</w:t>
            </w:r>
          </w:p>
          <w:p w14:paraId="4171E8DC">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支持故障录波功能，可由电压暂态触发。</w:t>
            </w:r>
          </w:p>
          <w:p w14:paraId="30231BF8">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支持断网续传功能，网络故障恢复后，能够对断网期间未上传的数据进行补传；补传的数据条数不低于5000条。</w:t>
            </w:r>
          </w:p>
          <w:p w14:paraId="1CFD699B">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 xml:space="preserve">支持PC端远程批量调试功能：可使用专用软件远程同时修改多台终端的4G通信参数、电压电流变比等所有参数。 </w:t>
            </w:r>
          </w:p>
          <w:p w14:paraId="39DD0BA8">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支持远程批量升级程序的功能，可同时对多台设备程序进行更新。</w:t>
            </w:r>
          </w:p>
          <w:p w14:paraId="38160205">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支持通过4G与微信小程序进行远程通信，能够读取终端数据和设置终端参数。</w:t>
            </w:r>
          </w:p>
          <w:p w14:paraId="5892FF47">
            <w:pPr>
              <w:pStyle w:val="59"/>
              <w:numPr>
                <w:ilvl w:val="0"/>
                <w:numId w:val="26"/>
              </w:numPr>
              <w:spacing w:before="39" w:line="360" w:lineRule="auto"/>
              <w:ind w:left="454" w:leftChars="0" w:hanging="454" w:firstLineChars="0"/>
              <w:rPr>
                <w:rFonts w:hint="eastAsia" w:ascii="宋体" w:hAnsi="宋体" w:eastAsia="宋体" w:cs="宋体"/>
                <w:b w:val="0"/>
                <w:bCs w:val="0"/>
                <w:color w:val="auto"/>
                <w:spacing w:val="8"/>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支持同时与至少三个云平台独立通信；协议可选Modbus、MQTT、104或者其他定制协议。</w:t>
            </w:r>
          </w:p>
        </w:tc>
      </w:tr>
      <w:tr w14:paraId="5D9B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 w:type="dxa"/>
            <w:vAlign w:val="center"/>
          </w:tcPr>
          <w:p w14:paraId="5D4CD299">
            <w:pPr>
              <w:pStyle w:val="59"/>
              <w:spacing w:before="69" w:line="360" w:lineRule="auto"/>
              <w:jc w:val="center"/>
              <w:rPr>
                <w:rFonts w:hint="default" w:ascii="宋体" w:hAnsi="宋体" w:eastAsia="宋体" w:cs="宋体"/>
                <w:b w:val="0"/>
                <w:bCs/>
                <w:color w:val="auto"/>
                <w:sz w:val="24"/>
                <w:szCs w:val="24"/>
                <w:highlight w:val="none"/>
                <w:vertAlign w:val="baseline"/>
                <w:lang w:val="en-US" w:eastAsia="zh-CN"/>
              </w:rPr>
            </w:pPr>
            <w:r>
              <w:rPr>
                <w:rFonts w:hint="eastAsia" w:cs="宋体"/>
                <w:color w:val="auto"/>
                <w:sz w:val="24"/>
                <w:szCs w:val="24"/>
                <w:highlight w:val="none"/>
                <w:lang w:val="en-US" w:eastAsia="zh-CN"/>
              </w:rPr>
              <w:t>11</w:t>
            </w:r>
          </w:p>
        </w:tc>
        <w:tc>
          <w:tcPr>
            <w:tcW w:w="1968" w:type="dxa"/>
            <w:vAlign w:val="center"/>
          </w:tcPr>
          <w:p w14:paraId="3243F83A">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6"/>
                <w:sz w:val="24"/>
                <w:szCs w:val="24"/>
                <w:highlight w:val="none"/>
              </w:rPr>
              <w:t>互感器</w:t>
            </w:r>
          </w:p>
        </w:tc>
        <w:tc>
          <w:tcPr>
            <w:tcW w:w="5682" w:type="dxa"/>
            <w:vAlign w:val="top"/>
          </w:tcPr>
          <w:p w14:paraId="46541E19">
            <w:pPr>
              <w:pStyle w:val="59"/>
              <w:spacing w:before="176" w:line="360" w:lineRule="auto"/>
              <w:ind w:left="114" w:leftChars="0"/>
              <w:rPr>
                <w:rFonts w:hint="eastAsia" w:ascii="宋体" w:hAnsi="宋体" w:eastAsia="宋体" w:cs="宋体"/>
                <w:b w:val="0"/>
                <w:bCs w:val="0"/>
                <w:color w:val="auto"/>
                <w:spacing w:val="6"/>
                <w:sz w:val="24"/>
                <w:szCs w:val="24"/>
                <w:highlight w:val="none"/>
                <w:lang w:val="en-US" w:eastAsia="zh-CN"/>
              </w:rPr>
            </w:pPr>
            <w:r>
              <w:rPr>
                <w:rFonts w:hint="eastAsia" w:ascii="宋体" w:hAnsi="宋体" w:eastAsia="宋体" w:cs="宋体"/>
                <w:b w:val="0"/>
                <w:bCs w:val="0"/>
                <w:color w:val="auto"/>
                <w:spacing w:val="6"/>
                <w:sz w:val="24"/>
                <w:szCs w:val="24"/>
                <w:highlight w:val="none"/>
                <w:lang w:val="en-US" w:eastAsia="zh-CN"/>
              </w:rPr>
              <w:t>在优先考虑不停电施工基础上，原则上利旧，最终结算时根据报价单价和实际使用量计算。需换新时首选开口式互感器。</w:t>
            </w:r>
          </w:p>
          <w:p w14:paraId="5DA4B65D">
            <w:pPr>
              <w:pStyle w:val="59"/>
              <w:numPr>
                <w:ilvl w:val="0"/>
                <w:numId w:val="27"/>
              </w:numPr>
              <w:spacing w:before="53" w:line="360" w:lineRule="auto"/>
              <w:ind w:left="0" w:leftChars="0" w:firstLine="420" w:firstLineChars="0"/>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重要参数</w:t>
            </w:r>
          </w:p>
          <w:p w14:paraId="5C93F55B">
            <w:pPr>
              <w:pStyle w:val="59"/>
              <w:numPr>
                <w:ilvl w:val="0"/>
                <w:numId w:val="28"/>
              </w:numPr>
              <w:spacing w:before="39" w:line="360" w:lineRule="auto"/>
              <w:ind w:left="454" w:leftChars="0" w:hanging="454" w:firstLineChars="0"/>
              <w:rPr>
                <w:rFonts w:hint="eastAsia" w:ascii="宋体" w:hAnsi="宋体" w:eastAsia="宋体" w:cs="宋体"/>
                <w:b w:val="0"/>
                <w:bCs w:val="0"/>
                <w:color w:val="auto"/>
                <w:spacing w:val="6"/>
                <w:sz w:val="24"/>
                <w:szCs w:val="24"/>
                <w:highlight w:val="none"/>
                <w:lang w:val="en-US" w:eastAsia="zh-CN"/>
              </w:rPr>
            </w:pPr>
            <w:r>
              <w:rPr>
                <w:rFonts w:hint="eastAsia" w:ascii="宋体" w:hAnsi="宋体" w:eastAsia="宋体" w:cs="宋体"/>
                <w:b w:val="0"/>
                <w:bCs w:val="0"/>
                <w:color w:val="auto"/>
                <w:spacing w:val="-5"/>
                <w:sz w:val="24"/>
                <w:szCs w:val="24"/>
                <w:highlight w:val="none"/>
              </w:rPr>
              <w:t>★</w:t>
            </w:r>
            <w:r>
              <w:rPr>
                <w:rFonts w:hint="eastAsia" w:ascii="宋体" w:hAnsi="宋体" w:eastAsia="宋体" w:cs="宋体"/>
                <w:b w:val="0"/>
                <w:bCs w:val="0"/>
                <w:color w:val="auto"/>
                <w:spacing w:val="-5"/>
                <w:sz w:val="24"/>
                <w:szCs w:val="24"/>
                <w:highlight w:val="none"/>
                <w:lang w:val="en-US" w:eastAsia="zh-CN"/>
              </w:rPr>
              <w:t>电能精度：</w:t>
            </w:r>
            <w:r>
              <w:rPr>
                <w:rFonts w:hint="eastAsia" w:ascii="宋体" w:hAnsi="宋体" w:eastAsia="宋体" w:cs="宋体"/>
                <w:b w:val="0"/>
                <w:bCs w:val="0"/>
                <w:color w:val="auto"/>
                <w:spacing w:val="6"/>
                <w:sz w:val="24"/>
                <w:szCs w:val="24"/>
                <w:highlight w:val="none"/>
                <w:lang w:val="en-US" w:eastAsia="zh-CN"/>
              </w:rPr>
              <w:t>开口电流互感器，电能精度不低于1.0级；闭口电流互感器，电能精度不低于0.5S级。</w:t>
            </w:r>
          </w:p>
        </w:tc>
      </w:tr>
      <w:tr w14:paraId="5471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40" w:type="dxa"/>
            <w:gridSpan w:val="2"/>
            <w:vAlign w:val="center"/>
          </w:tcPr>
          <w:p w14:paraId="54ECDCA9">
            <w:pPr>
              <w:pStyle w:val="59"/>
              <w:spacing w:before="68" w:line="360" w:lineRule="auto"/>
              <w:jc w:val="center"/>
              <w:rPr>
                <w:rFonts w:hint="eastAsia" w:ascii="宋体" w:hAnsi="宋体" w:eastAsia="宋体" w:cs="宋体"/>
                <w:b/>
                <w:color w:val="auto"/>
                <w:sz w:val="24"/>
                <w:szCs w:val="24"/>
                <w:highlight w:val="none"/>
                <w:vertAlign w:val="baseline"/>
              </w:rPr>
            </w:pPr>
            <w:r>
              <w:rPr>
                <w:rFonts w:hint="eastAsia"/>
                <w:b/>
                <w:color w:val="auto"/>
                <w:sz w:val="21"/>
                <w:szCs w:val="21"/>
                <w:highlight w:val="none"/>
                <w:vertAlign w:val="baseline"/>
                <w:lang w:val="en-US" w:eastAsia="zh-CN"/>
              </w:rPr>
              <w:t>其他要求</w:t>
            </w:r>
          </w:p>
        </w:tc>
        <w:tc>
          <w:tcPr>
            <w:tcW w:w="5682" w:type="dxa"/>
            <w:vAlign w:val="top"/>
          </w:tcPr>
          <w:p w14:paraId="1586B209">
            <w:pPr>
              <w:pStyle w:val="59"/>
              <w:spacing w:before="47" w:line="360" w:lineRule="auto"/>
              <w:ind w:left="112"/>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rPr>
              <w:t>管线及辅材</w:t>
            </w:r>
            <w:r>
              <w:rPr>
                <w:rFonts w:hint="eastAsia" w:ascii="宋体" w:hAnsi="宋体" w:eastAsia="宋体" w:cs="宋体"/>
                <w:color w:val="auto"/>
                <w:spacing w:val="7"/>
                <w:sz w:val="24"/>
                <w:szCs w:val="24"/>
                <w:highlight w:val="none"/>
                <w:lang w:eastAsia="zh-CN"/>
              </w:rPr>
              <w:t>：</w:t>
            </w:r>
          </w:p>
          <w:p w14:paraId="67C6A2B4">
            <w:pPr>
              <w:pStyle w:val="59"/>
              <w:spacing w:before="47" w:line="360"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包含电源线（</w:t>
            </w:r>
            <w:r>
              <w:rPr>
                <w:rFonts w:hint="eastAsia" w:ascii="宋体" w:hAnsi="宋体" w:eastAsia="宋体" w:cs="宋体"/>
                <w:color w:val="auto"/>
                <w:sz w:val="24"/>
                <w:szCs w:val="24"/>
                <w:highlight w:val="none"/>
              </w:rPr>
              <w:t>RVV</w:t>
            </w:r>
            <w:r>
              <w:rPr>
                <w:rFonts w:hint="eastAsia" w:ascii="宋体" w:hAnsi="宋体" w:eastAsia="宋体" w:cs="宋体"/>
                <w:color w:val="auto"/>
                <w:spacing w:val="4"/>
                <w:sz w:val="24"/>
                <w:szCs w:val="24"/>
                <w:highlight w:val="none"/>
              </w:rPr>
              <w:t>4*1.0，约150</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4"/>
                <w:sz w:val="24"/>
                <w:szCs w:val="24"/>
                <w:highlight w:val="none"/>
              </w:rPr>
              <w:t>米）、扎带等材料；</w:t>
            </w:r>
          </w:p>
          <w:p w14:paraId="27295849">
            <w:pPr>
              <w:pStyle w:val="59"/>
              <w:spacing w:before="52" w:line="360" w:lineRule="auto"/>
              <w:ind w:left="113" w:leftChars="0" w:right="114" w:rightChars="0" w:firstLine="4" w:firstLineChars="0"/>
              <w:rPr>
                <w:rFonts w:hint="eastAsia" w:ascii="宋体" w:hAnsi="宋体" w:eastAsia="宋体" w:cs="宋体"/>
                <w:b/>
                <w:color w:val="auto"/>
                <w:sz w:val="24"/>
                <w:szCs w:val="24"/>
                <w:highlight w:val="none"/>
                <w:vertAlign w:val="baseline"/>
              </w:rPr>
            </w:pPr>
            <w:r>
              <w:rPr>
                <w:rFonts w:hint="eastAsia" w:ascii="宋体" w:hAnsi="宋体" w:eastAsia="宋体" w:cs="宋体"/>
                <w:color w:val="auto"/>
                <w:spacing w:val="8"/>
                <w:sz w:val="24"/>
                <w:szCs w:val="24"/>
                <w:highlight w:val="none"/>
              </w:rPr>
              <w:t>管线辅材所需数量以本项目规范施工现场实际需要为准，实际所需数量的增减不调整合同价，投标单位投标时结</w:t>
            </w:r>
            <w:r>
              <w:rPr>
                <w:rFonts w:hint="eastAsia" w:ascii="宋体" w:hAnsi="宋体" w:eastAsia="宋体" w:cs="宋体"/>
                <w:color w:val="auto"/>
                <w:spacing w:val="7"/>
                <w:sz w:val="24"/>
                <w:szCs w:val="24"/>
                <w:highlight w:val="none"/>
              </w:rPr>
              <w:t>合实际情况综合考虑。</w:t>
            </w:r>
          </w:p>
        </w:tc>
      </w:tr>
      <w:tr w14:paraId="44CE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22" w:type="dxa"/>
            <w:gridSpan w:val="3"/>
            <w:vAlign w:val="center"/>
          </w:tcPr>
          <w:p w14:paraId="73999FAF">
            <w:pPr>
              <w:pStyle w:val="59"/>
              <w:spacing w:before="52" w:line="360" w:lineRule="auto"/>
              <w:ind w:left="113" w:leftChars="0" w:right="114" w:rightChars="0" w:firstLine="4" w:firstLineChars="0"/>
              <w:jc w:val="center"/>
              <w:rPr>
                <w:rFonts w:hint="eastAsia" w:ascii="宋体" w:hAnsi="宋体" w:eastAsia="宋体" w:cs="宋体"/>
                <w:color w:val="auto"/>
                <w:spacing w:val="8"/>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t>四、管理软件</w:t>
            </w:r>
          </w:p>
        </w:tc>
      </w:tr>
      <w:tr w14:paraId="7430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 w:type="dxa"/>
            <w:vAlign w:val="center"/>
          </w:tcPr>
          <w:p w14:paraId="5F1732E0">
            <w:pPr>
              <w:pStyle w:val="59"/>
              <w:spacing w:before="69"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2</w:t>
            </w:r>
          </w:p>
        </w:tc>
        <w:tc>
          <w:tcPr>
            <w:tcW w:w="1968" w:type="dxa"/>
            <w:vAlign w:val="center"/>
          </w:tcPr>
          <w:p w14:paraId="340614EB">
            <w:pPr>
              <w:pStyle w:val="59"/>
              <w:numPr>
                <w:ilvl w:val="0"/>
                <w:numId w:val="0"/>
              </w:numPr>
              <w:spacing w:before="68" w:line="360" w:lineRule="auto"/>
              <w:ind w:left="0" w:leftChars="0" w:firstLine="0" w:firstLineChars="0"/>
              <w:jc w:val="center"/>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lang w:val="en-US" w:eastAsia="zh-CN"/>
              </w:rPr>
              <w:t>电能管理平台扩建及对接</w:t>
            </w:r>
          </w:p>
        </w:tc>
        <w:tc>
          <w:tcPr>
            <w:tcW w:w="5682" w:type="dxa"/>
            <w:vAlign w:val="top"/>
          </w:tcPr>
          <w:p w14:paraId="6F8FA965">
            <w:pPr>
              <w:pStyle w:val="59"/>
              <w:numPr>
                <w:ilvl w:val="0"/>
                <w:numId w:val="0"/>
              </w:numPr>
              <w:spacing w:before="50" w:line="360" w:lineRule="auto"/>
              <w:rPr>
                <w:rFonts w:hint="eastAsia" w:ascii="宋体" w:hAnsi="宋体" w:eastAsia="宋体" w:cs="宋体"/>
                <w:b w:val="0"/>
                <w:bCs w:val="0"/>
                <w:snapToGrid w:val="0"/>
                <w:color w:val="auto"/>
                <w:spacing w:val="8"/>
                <w:kern w:val="0"/>
                <w:sz w:val="24"/>
                <w:szCs w:val="24"/>
                <w:highlight w:val="none"/>
                <w:lang w:val="en-US" w:eastAsia="zh-CN" w:bidi="ar-SA"/>
              </w:rPr>
            </w:pPr>
            <w:r>
              <w:rPr>
                <w:rFonts w:hint="eastAsia" w:ascii="宋体" w:hAnsi="宋体" w:eastAsia="宋体" w:cs="宋体"/>
                <w:b w:val="0"/>
                <w:bCs w:val="0"/>
                <w:snapToGrid w:val="0"/>
                <w:color w:val="auto"/>
                <w:spacing w:val="8"/>
                <w:kern w:val="0"/>
                <w:sz w:val="24"/>
                <w:szCs w:val="24"/>
                <w:highlight w:val="none"/>
                <w:lang w:val="en-US" w:eastAsia="zh-CN" w:bidi="ar-SA"/>
              </w:rPr>
              <w:t>在招标人现有电能管理平台基础上扩建及对接，包括以下内容：智能空调管理系统扩建及对接、照明控制管理系统扩建及对接、二维图形化控制扩建及对接、能耗管理系统软件增建。</w:t>
            </w:r>
          </w:p>
          <w:p w14:paraId="331A25E3">
            <w:pPr>
              <w:pStyle w:val="59"/>
              <w:numPr>
                <w:ilvl w:val="0"/>
                <w:numId w:val="0"/>
              </w:numPr>
              <w:spacing w:before="50" w:line="360" w:lineRule="auto"/>
              <w:rPr>
                <w:rFonts w:hint="eastAsia" w:ascii="宋体" w:hAnsi="宋体" w:eastAsia="宋体" w:cs="宋体"/>
                <w:b/>
                <w:bCs/>
                <w:color w:val="auto"/>
                <w:spacing w:val="8"/>
                <w:sz w:val="24"/>
                <w:szCs w:val="24"/>
                <w:highlight w:val="none"/>
                <w:lang w:val="en-US" w:eastAsia="zh-CN"/>
              </w:rPr>
            </w:pPr>
            <w:r>
              <w:rPr>
                <w:rFonts w:hint="eastAsia" w:ascii="宋体" w:hAnsi="宋体" w:eastAsia="宋体" w:cs="宋体"/>
                <w:b/>
                <w:bCs/>
                <w:snapToGrid w:val="0"/>
                <w:color w:val="auto"/>
                <w:spacing w:val="8"/>
                <w:kern w:val="0"/>
                <w:sz w:val="24"/>
                <w:szCs w:val="24"/>
                <w:highlight w:val="none"/>
                <w:lang w:val="en-US" w:eastAsia="zh-CN" w:bidi="ar-SA"/>
              </w:rPr>
              <w:t>1.智能空调管理系统扩建及对接</w:t>
            </w:r>
          </w:p>
          <w:p w14:paraId="69B3D98F">
            <w:pPr>
              <w:pStyle w:val="59"/>
              <w:numPr>
                <w:ilvl w:val="0"/>
                <w:numId w:val="29"/>
              </w:numPr>
              <w:spacing w:before="50" w:line="360" w:lineRule="auto"/>
              <w:ind w:left="425" w:leftChars="0" w:hanging="425" w:firstLineChars="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●与招标人现有电能管理平台、智能空调管理系统实现数据无缝对接，在招标人现有电能管理平台实现本项目空调设备的控制、 管理、能耗计量。</w:t>
            </w:r>
          </w:p>
          <w:p w14:paraId="2C322655">
            <w:pPr>
              <w:pStyle w:val="59"/>
              <w:numPr>
                <w:ilvl w:val="0"/>
                <w:numId w:val="0"/>
              </w:numPr>
              <w:spacing w:before="50" w:line="360" w:lineRule="auto"/>
              <w:ind w:leftChars="0"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（需提供无缝对接方案）</w:t>
            </w:r>
          </w:p>
          <w:p w14:paraId="4A5D0932">
            <w:pPr>
              <w:pStyle w:val="59"/>
              <w:numPr>
                <w:ilvl w:val="0"/>
                <w:numId w:val="29"/>
              </w:numPr>
              <w:spacing w:before="50" w:line="360" w:lineRule="auto"/>
              <w:ind w:left="425" w:leftChars="0" w:hanging="425" w:firstLineChars="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对接后实现对空调运行情况进行多维度节能效益分析（包括：用能量、总运行时长、平均运行时长、时均用量、开机率、环境温度、策略执行情况等），可生成不同策略执行情况下的节能情况对比，且支持节能报告导出。</w:t>
            </w:r>
          </w:p>
          <w:p w14:paraId="27577EBD">
            <w:pPr>
              <w:pStyle w:val="59"/>
              <w:numPr>
                <w:ilvl w:val="0"/>
                <w:numId w:val="29"/>
              </w:numPr>
              <w:spacing w:before="50" w:line="360" w:lineRule="auto"/>
              <w:ind w:left="425" w:leftChars="0" w:hanging="425" w:firstLineChars="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在招标人现有电能管理平台基础上，相应增加智能空调管理系统的接入能力。</w:t>
            </w:r>
          </w:p>
          <w:p w14:paraId="204B2AC3">
            <w:pPr>
              <w:pStyle w:val="59"/>
              <w:numPr>
                <w:ilvl w:val="0"/>
                <w:numId w:val="0"/>
              </w:numPr>
              <w:spacing w:before="68"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2.</w:t>
            </w:r>
            <w:r>
              <w:rPr>
                <w:rFonts w:hint="eastAsia" w:ascii="宋体" w:hAnsi="宋体" w:eastAsia="宋体" w:cs="宋体"/>
                <w:b/>
                <w:bCs/>
                <w:color w:val="auto"/>
                <w:spacing w:val="7"/>
                <w:sz w:val="24"/>
                <w:szCs w:val="24"/>
                <w:highlight w:val="none"/>
                <w:lang w:val="en-US" w:eastAsia="zh-CN"/>
              </w:rPr>
              <w:t>照明控制管理系统扩建及对接</w:t>
            </w:r>
          </w:p>
          <w:p w14:paraId="1DF1C7C4">
            <w:pPr>
              <w:pStyle w:val="59"/>
              <w:numPr>
                <w:ilvl w:val="0"/>
                <w:numId w:val="30"/>
              </w:numPr>
              <w:spacing w:before="50" w:line="360" w:lineRule="auto"/>
              <w:ind w:left="425" w:leftChars="0" w:hanging="425" w:firstLineChars="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●与招标人现有电能管理平台、照明控制管理系统实现数据无缝对接，在招标人现有电能管理平台实现本项目照明设备的控制、 能耗的计量。</w:t>
            </w:r>
          </w:p>
          <w:p w14:paraId="51384E0E">
            <w:pPr>
              <w:pStyle w:val="59"/>
              <w:numPr>
                <w:ilvl w:val="0"/>
                <w:numId w:val="0"/>
              </w:numPr>
              <w:spacing w:before="50" w:line="360" w:lineRule="auto"/>
              <w:ind w:leftChars="0" w:firstLine="512" w:firstLineChars="20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（需提供无缝对接方案）</w:t>
            </w:r>
          </w:p>
          <w:p w14:paraId="601E0F19">
            <w:pPr>
              <w:pStyle w:val="59"/>
              <w:numPr>
                <w:ilvl w:val="0"/>
                <w:numId w:val="30"/>
              </w:numPr>
              <w:spacing w:before="50" w:line="360" w:lineRule="auto"/>
              <w:ind w:left="425" w:leftChars="0" w:hanging="425" w:firstLineChars="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对接后实现设备的用能排名（包括： 能耗排名、运行时长排名、最长持续运行时长排名）</w:t>
            </w:r>
            <w:r>
              <w:rPr>
                <w:rFonts w:hint="eastAsia" w:ascii="宋体" w:hAnsi="宋体" w:eastAsia="宋体" w:cs="宋体"/>
                <w:color w:val="auto"/>
                <w:spacing w:val="7"/>
                <w:sz w:val="24"/>
                <w:szCs w:val="24"/>
                <w:highlight w:val="none"/>
              </w:rPr>
              <w:t>。</w:t>
            </w:r>
          </w:p>
          <w:p w14:paraId="76DF1A47">
            <w:pPr>
              <w:pStyle w:val="59"/>
              <w:numPr>
                <w:ilvl w:val="0"/>
                <w:numId w:val="30"/>
              </w:numPr>
              <w:spacing w:before="50" w:line="360" w:lineRule="auto"/>
              <w:ind w:left="425" w:leftChars="0" w:hanging="425" w:firstLineChars="0"/>
              <w:rPr>
                <w:rFonts w:hint="eastAsia" w:ascii="宋体" w:hAnsi="宋体" w:eastAsia="宋体" w:cs="宋体"/>
                <w:color w:val="auto"/>
                <w:spacing w:val="7"/>
                <w:sz w:val="24"/>
                <w:szCs w:val="24"/>
                <w:highlight w:val="none"/>
              </w:rPr>
            </w:pPr>
            <w:r>
              <w:rPr>
                <w:rFonts w:hint="eastAsia" w:ascii="宋体" w:hAnsi="宋体" w:eastAsia="宋体" w:cs="宋体"/>
                <w:color w:val="auto"/>
                <w:spacing w:val="8"/>
                <w:sz w:val="24"/>
                <w:szCs w:val="24"/>
                <w:highlight w:val="none"/>
                <w:lang w:val="en-US" w:eastAsia="zh-CN"/>
              </w:rPr>
              <w:t>在招标人现有电能管理平台基础上，相应增加照明控制管理系统的接入能力。</w:t>
            </w:r>
          </w:p>
          <w:p w14:paraId="7B386DF9">
            <w:pPr>
              <w:pStyle w:val="59"/>
              <w:spacing w:before="52" w:line="360" w:lineRule="auto"/>
              <w:ind w:right="40"/>
              <w:rPr>
                <w:rFonts w:hint="eastAsia" w:ascii="宋体" w:hAnsi="宋体" w:eastAsia="宋体" w:cs="宋体"/>
                <w:b/>
                <w:bCs/>
                <w:color w:val="auto"/>
                <w:spacing w:val="7"/>
                <w:sz w:val="24"/>
                <w:szCs w:val="24"/>
                <w:highlight w:val="none"/>
                <w:lang w:val="en-US" w:eastAsia="zh-CN"/>
              </w:rPr>
            </w:pPr>
            <w:r>
              <w:rPr>
                <w:rFonts w:hint="eastAsia" w:ascii="宋体" w:hAnsi="宋体" w:eastAsia="宋体" w:cs="宋体"/>
                <w:b/>
                <w:bCs/>
                <w:color w:val="auto"/>
                <w:spacing w:val="7"/>
                <w:sz w:val="24"/>
                <w:szCs w:val="24"/>
                <w:highlight w:val="none"/>
                <w:lang w:val="en-US" w:eastAsia="zh-CN"/>
              </w:rPr>
              <w:t>3.二维图形化控制扩建及对接</w:t>
            </w:r>
          </w:p>
          <w:p w14:paraId="66B85F38">
            <w:pPr>
              <w:pStyle w:val="59"/>
              <w:numPr>
                <w:ilvl w:val="0"/>
                <w:numId w:val="31"/>
              </w:numPr>
              <w:spacing w:before="50" w:line="360" w:lineRule="auto"/>
              <w:ind w:left="425" w:leftChars="0" w:hanging="425" w:firstLineChars="0"/>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在招标人现有电能管理平台基础上，增建本项目涉及建筑（椒江校区2、3号教学楼，临海校区1、2、3号教学楼及A1-A</w:t>
            </w:r>
            <w:r>
              <w:rPr>
                <w:rFonts w:hint="eastAsia" w:cs="宋体"/>
                <w:color w:val="auto"/>
                <w:spacing w:val="8"/>
                <w:sz w:val="24"/>
                <w:szCs w:val="24"/>
                <w:highlight w:val="none"/>
                <w:lang w:val="en-US" w:eastAsia="zh-CN"/>
              </w:rPr>
              <w:t>5</w:t>
            </w:r>
            <w:r>
              <w:rPr>
                <w:rFonts w:hint="eastAsia" w:ascii="宋体" w:hAnsi="宋体" w:eastAsia="宋体" w:cs="宋体"/>
                <w:color w:val="auto"/>
                <w:spacing w:val="8"/>
                <w:sz w:val="24"/>
                <w:szCs w:val="24"/>
                <w:highlight w:val="none"/>
                <w:lang w:val="en-US" w:eastAsia="zh-CN"/>
              </w:rPr>
              <w:t>大阶梯教室）的二维图形化控制。</w:t>
            </w:r>
          </w:p>
          <w:p w14:paraId="77AD31E5">
            <w:pPr>
              <w:pStyle w:val="59"/>
              <w:numPr>
                <w:ilvl w:val="0"/>
                <w:numId w:val="31"/>
              </w:numPr>
              <w:spacing w:before="50" w:line="360" w:lineRule="auto"/>
              <w:ind w:left="425" w:leftChars="0" w:hanging="425" w:firstLineChars="0"/>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val="en-US" w:eastAsia="zh-CN"/>
              </w:rPr>
              <w:t>采用二维图形化显示空调（开关机状态、温度、风速）、照明的设备状态，可直接在二维页面实现设备的基本控制（开、关）</w:t>
            </w:r>
            <w:r>
              <w:rPr>
                <w:rFonts w:hint="eastAsia" w:ascii="宋体" w:hAnsi="宋体" w:eastAsia="宋体" w:cs="宋体"/>
                <w:color w:val="auto"/>
                <w:spacing w:val="8"/>
                <w:sz w:val="24"/>
                <w:szCs w:val="24"/>
                <w:highlight w:val="none"/>
                <w:lang w:eastAsia="zh-CN"/>
              </w:rPr>
              <w:t>。</w:t>
            </w:r>
          </w:p>
          <w:p w14:paraId="6A9EE165">
            <w:pPr>
              <w:pStyle w:val="59"/>
              <w:spacing w:before="52" w:line="360" w:lineRule="auto"/>
              <w:ind w:right="34"/>
              <w:rPr>
                <w:rFonts w:hint="eastAsia" w:ascii="宋体" w:hAnsi="宋体" w:eastAsia="宋体" w:cs="宋体"/>
                <w:b/>
                <w:bCs/>
                <w:color w:val="auto"/>
                <w:spacing w:val="8"/>
                <w:sz w:val="24"/>
                <w:szCs w:val="24"/>
                <w:highlight w:val="none"/>
                <w:lang w:val="en-US" w:eastAsia="zh-CN"/>
              </w:rPr>
            </w:pPr>
            <w:r>
              <w:rPr>
                <w:rFonts w:hint="eastAsia" w:ascii="宋体" w:hAnsi="宋体" w:eastAsia="宋体" w:cs="宋体"/>
                <w:b/>
                <w:bCs/>
                <w:color w:val="auto"/>
                <w:spacing w:val="8"/>
                <w:sz w:val="24"/>
                <w:szCs w:val="24"/>
                <w:highlight w:val="none"/>
                <w:lang w:val="en-US" w:eastAsia="zh-CN"/>
              </w:rPr>
              <w:t>4.</w:t>
            </w:r>
            <w:r>
              <w:rPr>
                <w:rFonts w:hint="eastAsia" w:ascii="宋体" w:hAnsi="宋体" w:eastAsia="宋体" w:cs="宋体"/>
                <w:b/>
                <w:bCs/>
                <w:color w:val="auto"/>
                <w:spacing w:val="9"/>
                <w:sz w:val="24"/>
                <w:szCs w:val="24"/>
                <w:highlight w:val="none"/>
                <w:lang w:val="en-US" w:eastAsia="zh-CN"/>
              </w:rPr>
              <w:t>能耗管理系统软件</w:t>
            </w:r>
          </w:p>
          <w:p w14:paraId="0954D8D6">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●可</w:t>
            </w:r>
            <w:r>
              <w:rPr>
                <w:rFonts w:hint="eastAsia" w:ascii="宋体" w:hAnsi="宋体" w:eastAsia="宋体" w:cs="宋体"/>
                <w:color w:val="auto"/>
                <w:spacing w:val="8"/>
                <w:sz w:val="24"/>
                <w:szCs w:val="24"/>
                <w:highlight w:val="none"/>
                <w:lang w:val="en-US" w:eastAsia="zh-CN"/>
              </w:rPr>
              <w:t>追踪</w:t>
            </w:r>
            <w:r>
              <w:rPr>
                <w:rFonts w:hint="eastAsia" w:ascii="宋体" w:hAnsi="宋体" w:eastAsia="宋体" w:cs="宋体"/>
                <w:color w:val="auto"/>
                <w:spacing w:val="4"/>
                <w:sz w:val="24"/>
                <w:szCs w:val="24"/>
                <w:highlight w:val="none"/>
              </w:rPr>
              <w:t>每个用能空间和组织架构的能耗数据,实现用能分项、能耗用途、下级用能空间等多种形式的可视化能源流向图，可体现统计异常（如：设备离线、表计缺失等）的未知用能数据</w:t>
            </w:r>
            <w:r>
              <w:rPr>
                <w:rFonts w:hint="eastAsia" w:ascii="宋体" w:hAnsi="宋体" w:eastAsia="宋体" w:cs="宋体"/>
                <w:color w:val="auto"/>
                <w:spacing w:val="4"/>
                <w:sz w:val="24"/>
                <w:szCs w:val="24"/>
                <w:highlight w:val="none"/>
                <w:lang w:eastAsia="zh-CN"/>
              </w:rPr>
              <w:t>。</w:t>
            </w:r>
          </w:p>
          <w:p w14:paraId="3F0431D7">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●支持设备回路预设虚拟表计功能，保证设备回路完整性，提供后续设备扩建依据</w:t>
            </w:r>
            <w:r>
              <w:rPr>
                <w:rFonts w:hint="eastAsia" w:ascii="宋体" w:hAnsi="宋体" w:eastAsia="宋体" w:cs="宋体"/>
                <w:color w:val="auto"/>
                <w:spacing w:val="4"/>
                <w:sz w:val="24"/>
                <w:szCs w:val="24"/>
                <w:highlight w:val="none"/>
                <w:lang w:eastAsia="zh-CN"/>
              </w:rPr>
              <w:t>。</w:t>
            </w:r>
          </w:p>
          <w:p w14:paraId="66B8B317">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★可构建用电设备拓扑关系，且支持查看设备组合关系，实现上下级设备用电平衡监测</w:t>
            </w:r>
            <w:r>
              <w:rPr>
                <w:rFonts w:hint="eastAsia" w:ascii="宋体" w:hAnsi="宋体" w:eastAsia="宋体" w:cs="宋体"/>
                <w:color w:val="auto"/>
                <w:spacing w:val="4"/>
                <w:sz w:val="24"/>
                <w:szCs w:val="24"/>
                <w:highlight w:val="none"/>
                <w:lang w:eastAsia="zh-CN"/>
              </w:rPr>
              <w:t>。</w:t>
            </w:r>
          </w:p>
          <w:p w14:paraId="03155EA3">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8"/>
                <w:sz w:val="24"/>
                <w:szCs w:val="24"/>
                <w:highlight w:val="none"/>
                <w:lang w:val="en-US" w:eastAsia="zh-CN"/>
              </w:rPr>
              <w:t>支持</w:t>
            </w:r>
            <w:r>
              <w:rPr>
                <w:rFonts w:hint="eastAsia" w:ascii="宋体" w:hAnsi="宋体" w:eastAsia="宋体" w:cs="宋体"/>
                <w:color w:val="auto"/>
                <w:spacing w:val="4"/>
                <w:sz w:val="24"/>
                <w:szCs w:val="24"/>
                <w:highlight w:val="none"/>
              </w:rPr>
              <w:t>通过能耗趋势图、能耗列表、能耗日历、能耗热力图等形式，展示各用能空间/组织的能耗数据（如：空间能耗、分项能耗、用途能耗）</w:t>
            </w:r>
            <w:r>
              <w:rPr>
                <w:rFonts w:hint="eastAsia" w:ascii="宋体" w:hAnsi="宋体" w:eastAsia="宋体" w:cs="宋体"/>
                <w:color w:val="auto"/>
                <w:spacing w:val="4"/>
                <w:sz w:val="24"/>
                <w:szCs w:val="24"/>
                <w:highlight w:val="none"/>
                <w:lang w:eastAsia="zh-CN"/>
              </w:rPr>
              <w:t>。</w:t>
            </w:r>
          </w:p>
          <w:p w14:paraId="09D3E3A9">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★可</w:t>
            </w:r>
            <w:r>
              <w:rPr>
                <w:rFonts w:hint="eastAsia" w:ascii="宋体" w:hAnsi="宋体" w:eastAsia="宋体" w:cs="宋体"/>
                <w:color w:val="auto"/>
                <w:spacing w:val="8"/>
                <w:sz w:val="24"/>
                <w:szCs w:val="24"/>
                <w:highlight w:val="none"/>
                <w:lang w:val="en-US" w:eastAsia="zh-CN"/>
              </w:rPr>
              <w:t>通过</w:t>
            </w:r>
            <w:r>
              <w:rPr>
                <w:rFonts w:hint="eastAsia" w:ascii="宋体" w:hAnsi="宋体" w:eastAsia="宋体" w:cs="宋体"/>
                <w:color w:val="auto"/>
                <w:spacing w:val="4"/>
                <w:sz w:val="24"/>
                <w:szCs w:val="24"/>
                <w:highlight w:val="none"/>
              </w:rPr>
              <w:t>能耗日历/能耗热力图模块查看每个小时的用能情况（包含合理及非合理用能情况、总用能等信息）</w:t>
            </w:r>
            <w:r>
              <w:rPr>
                <w:rFonts w:hint="eastAsia" w:ascii="宋体" w:hAnsi="宋体" w:eastAsia="宋体" w:cs="宋体"/>
                <w:color w:val="auto"/>
                <w:spacing w:val="4"/>
                <w:sz w:val="24"/>
                <w:szCs w:val="24"/>
                <w:highlight w:val="none"/>
                <w:lang w:eastAsia="zh-CN"/>
              </w:rPr>
              <w:t>。</w:t>
            </w:r>
          </w:p>
          <w:p w14:paraId="15FD71C0">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★可</w:t>
            </w:r>
            <w:r>
              <w:rPr>
                <w:rFonts w:hint="eastAsia" w:ascii="宋体" w:hAnsi="宋体" w:eastAsia="宋体" w:cs="宋体"/>
                <w:color w:val="auto"/>
                <w:spacing w:val="8"/>
                <w:sz w:val="24"/>
                <w:szCs w:val="24"/>
                <w:highlight w:val="none"/>
                <w:lang w:val="en-US" w:eastAsia="zh-CN"/>
              </w:rPr>
              <w:t>设置</w:t>
            </w:r>
            <w:r>
              <w:rPr>
                <w:rFonts w:hint="eastAsia" w:ascii="宋体" w:hAnsi="宋体" w:eastAsia="宋体" w:cs="宋体"/>
                <w:color w:val="auto"/>
                <w:spacing w:val="4"/>
                <w:sz w:val="24"/>
                <w:szCs w:val="24"/>
                <w:highlight w:val="none"/>
              </w:rPr>
              <w:t>各用能空间、组织、设备每个时段（日、周、月、年） 用能限额，可实时追踪用能数据实现超额告警，并可记录超额用能情况（包含超额用能时间、超额用量）</w:t>
            </w:r>
            <w:r>
              <w:rPr>
                <w:rFonts w:hint="eastAsia" w:ascii="宋体" w:hAnsi="宋体" w:eastAsia="宋体" w:cs="宋体"/>
                <w:color w:val="auto"/>
                <w:spacing w:val="4"/>
                <w:sz w:val="24"/>
                <w:szCs w:val="24"/>
                <w:highlight w:val="none"/>
                <w:lang w:eastAsia="zh-CN"/>
              </w:rPr>
              <w:t>。</w:t>
            </w:r>
          </w:p>
          <w:p w14:paraId="6B4F2C51">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★支持通过日历形式配置合理用能时间，支持通过建筑用途、组织、设备等维度批量设置合理用能时间</w:t>
            </w:r>
            <w:r>
              <w:rPr>
                <w:rFonts w:hint="eastAsia" w:ascii="宋体" w:hAnsi="宋体" w:eastAsia="宋体" w:cs="宋体"/>
                <w:color w:val="auto"/>
                <w:spacing w:val="4"/>
                <w:sz w:val="24"/>
                <w:szCs w:val="24"/>
                <w:highlight w:val="none"/>
                <w:lang w:eastAsia="zh-CN"/>
              </w:rPr>
              <w:t>。</w:t>
            </w:r>
          </w:p>
          <w:p w14:paraId="709E3184">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★可生成不同时间段（日/周/月/年）的能耗数据对比（同比、环比、昼夜对比、自定义等），且支持导出。</w:t>
            </w:r>
          </w:p>
          <w:p w14:paraId="7241B34D">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可按组织架构和用能空间树对设备用能情况进行分类管理，对能耗数据、分项能耗数据、用途能耗数据、关联设备数据实现全面统计、查询及分析</w:t>
            </w:r>
            <w:r>
              <w:rPr>
                <w:rFonts w:hint="eastAsia" w:ascii="宋体" w:hAnsi="宋体" w:eastAsia="宋体" w:cs="宋体"/>
                <w:color w:val="auto"/>
                <w:spacing w:val="4"/>
                <w:sz w:val="24"/>
                <w:szCs w:val="24"/>
                <w:highlight w:val="none"/>
                <w:lang w:eastAsia="zh-CN"/>
              </w:rPr>
              <w:t>。</w:t>
            </w:r>
          </w:p>
          <w:p w14:paraId="01F73183">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拥有自定义维度能耗管理功能，用户可自定义能耗管理维度（如：学院维度、区域维度等），支持数据报表导出</w:t>
            </w:r>
            <w:r>
              <w:rPr>
                <w:rFonts w:hint="eastAsia" w:ascii="宋体" w:hAnsi="宋体" w:eastAsia="宋体" w:cs="宋体"/>
                <w:color w:val="auto"/>
                <w:spacing w:val="4"/>
                <w:sz w:val="24"/>
                <w:szCs w:val="24"/>
                <w:highlight w:val="none"/>
                <w:lang w:eastAsia="zh-CN"/>
              </w:rPr>
              <w:t>。</w:t>
            </w:r>
          </w:p>
          <w:p w14:paraId="52DC9D06">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数据</w:t>
            </w:r>
            <w:r>
              <w:rPr>
                <w:rFonts w:hint="eastAsia" w:ascii="宋体" w:hAnsi="宋体" w:eastAsia="宋体" w:cs="宋体"/>
                <w:color w:val="auto"/>
                <w:spacing w:val="8"/>
                <w:sz w:val="24"/>
                <w:szCs w:val="24"/>
                <w:highlight w:val="none"/>
                <w:lang w:val="en-US" w:eastAsia="zh-CN"/>
              </w:rPr>
              <w:t>报表</w:t>
            </w:r>
            <w:r>
              <w:rPr>
                <w:rFonts w:hint="eastAsia" w:ascii="宋体" w:hAnsi="宋体" w:eastAsia="宋体" w:cs="宋体"/>
                <w:color w:val="auto"/>
                <w:spacing w:val="4"/>
                <w:sz w:val="24"/>
                <w:szCs w:val="24"/>
                <w:highlight w:val="none"/>
              </w:rPr>
              <w:t>自定义： 支持表头自定义，多样化报表导出</w:t>
            </w:r>
            <w:r>
              <w:rPr>
                <w:rFonts w:hint="eastAsia" w:ascii="宋体" w:hAnsi="宋体" w:eastAsia="宋体" w:cs="宋体"/>
                <w:color w:val="auto"/>
                <w:spacing w:val="4"/>
                <w:sz w:val="24"/>
                <w:szCs w:val="24"/>
                <w:highlight w:val="none"/>
                <w:lang w:eastAsia="zh-CN"/>
              </w:rPr>
              <w:t>。</w:t>
            </w:r>
          </w:p>
          <w:p w14:paraId="32EA1F9E">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支</w:t>
            </w:r>
            <w:r>
              <w:rPr>
                <w:rFonts w:hint="eastAsia" w:ascii="宋体" w:hAnsi="宋体" w:eastAsia="宋体" w:cs="宋体"/>
                <w:color w:val="auto"/>
                <w:spacing w:val="4"/>
                <w:sz w:val="24"/>
                <w:szCs w:val="24"/>
                <w:highlight w:val="none"/>
              </w:rPr>
              <w:t>持异常用能告警（包含： 超比率、超负荷、非合理用能等）</w:t>
            </w:r>
            <w:r>
              <w:rPr>
                <w:rFonts w:hint="eastAsia" w:ascii="宋体" w:hAnsi="宋体" w:eastAsia="宋体" w:cs="宋体"/>
                <w:color w:val="auto"/>
                <w:spacing w:val="4"/>
                <w:sz w:val="24"/>
                <w:szCs w:val="24"/>
                <w:highlight w:val="none"/>
                <w:lang w:eastAsia="zh-CN"/>
              </w:rPr>
              <w:t>。</w:t>
            </w:r>
          </w:p>
          <w:p w14:paraId="3218DE58">
            <w:pPr>
              <w:pStyle w:val="59"/>
              <w:numPr>
                <w:ilvl w:val="0"/>
                <w:numId w:val="32"/>
              </w:numPr>
              <w:spacing w:before="50" w:line="360" w:lineRule="auto"/>
              <w:ind w:left="454" w:leftChars="0" w:hanging="454" w:firstLineChars="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与</w:t>
            </w:r>
            <w:r>
              <w:rPr>
                <w:rFonts w:hint="eastAsia" w:ascii="宋体" w:hAnsi="宋体" w:eastAsia="宋体" w:cs="宋体"/>
                <w:color w:val="auto"/>
                <w:spacing w:val="4"/>
                <w:sz w:val="24"/>
                <w:szCs w:val="24"/>
                <w:highlight w:val="none"/>
                <w:lang w:eastAsia="zh-CN"/>
              </w:rPr>
              <w:t>招标人</w:t>
            </w:r>
            <w:r>
              <w:rPr>
                <w:rFonts w:hint="eastAsia" w:ascii="宋体" w:hAnsi="宋体" w:eastAsia="宋体" w:cs="宋体"/>
                <w:color w:val="auto"/>
                <w:spacing w:val="4"/>
                <w:sz w:val="24"/>
                <w:szCs w:val="24"/>
                <w:highlight w:val="none"/>
              </w:rPr>
              <w:t>现有</w:t>
            </w:r>
            <w:r>
              <w:rPr>
                <w:rFonts w:hint="eastAsia" w:ascii="宋体" w:hAnsi="宋体" w:eastAsia="宋体" w:cs="宋体"/>
                <w:color w:val="auto"/>
                <w:spacing w:val="4"/>
                <w:sz w:val="24"/>
                <w:szCs w:val="24"/>
                <w:highlight w:val="none"/>
                <w:lang w:eastAsia="zh-CN"/>
              </w:rPr>
              <w:t>电能管理平台</w:t>
            </w:r>
            <w:r>
              <w:rPr>
                <w:rFonts w:hint="eastAsia" w:ascii="宋体" w:hAnsi="宋体" w:eastAsia="宋体" w:cs="宋体"/>
                <w:color w:val="auto"/>
                <w:spacing w:val="4"/>
                <w:sz w:val="24"/>
                <w:szCs w:val="24"/>
                <w:highlight w:val="none"/>
              </w:rPr>
              <w:t>实现数据无缝对接，在</w:t>
            </w:r>
            <w:r>
              <w:rPr>
                <w:rFonts w:hint="eastAsia" w:ascii="宋体" w:hAnsi="宋体" w:eastAsia="宋体" w:cs="宋体"/>
                <w:color w:val="auto"/>
                <w:spacing w:val="4"/>
                <w:sz w:val="24"/>
                <w:szCs w:val="24"/>
                <w:highlight w:val="none"/>
                <w:lang w:eastAsia="zh-CN"/>
              </w:rPr>
              <w:t>招标人</w:t>
            </w:r>
            <w:r>
              <w:rPr>
                <w:rFonts w:hint="eastAsia" w:ascii="宋体" w:hAnsi="宋体" w:eastAsia="宋体" w:cs="宋体"/>
                <w:color w:val="auto"/>
                <w:spacing w:val="4"/>
                <w:sz w:val="24"/>
                <w:szCs w:val="24"/>
                <w:highlight w:val="none"/>
              </w:rPr>
              <w:t>现有</w:t>
            </w:r>
            <w:r>
              <w:rPr>
                <w:rFonts w:hint="eastAsia" w:ascii="宋体" w:hAnsi="宋体" w:eastAsia="宋体" w:cs="宋体"/>
                <w:color w:val="auto"/>
                <w:spacing w:val="4"/>
                <w:sz w:val="24"/>
                <w:szCs w:val="24"/>
                <w:highlight w:val="none"/>
                <w:lang w:eastAsia="zh-CN"/>
              </w:rPr>
              <w:t>电能管理平台</w:t>
            </w:r>
            <w:r>
              <w:rPr>
                <w:rFonts w:hint="eastAsia" w:ascii="宋体" w:hAnsi="宋体" w:eastAsia="宋体" w:cs="宋体"/>
                <w:color w:val="auto"/>
                <w:spacing w:val="4"/>
                <w:sz w:val="24"/>
                <w:szCs w:val="24"/>
                <w:highlight w:val="none"/>
              </w:rPr>
              <w:t>实现本项目能耗数据管理</w:t>
            </w:r>
          </w:p>
          <w:p w14:paraId="0CEF7D1B">
            <w:pPr>
              <w:pStyle w:val="59"/>
              <w:numPr>
                <w:ilvl w:val="0"/>
                <w:numId w:val="0"/>
              </w:numPr>
              <w:spacing w:before="50" w:line="360" w:lineRule="auto"/>
              <w:ind w:leftChars="0" w:firstLine="496"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需</w:t>
            </w:r>
            <w:r>
              <w:rPr>
                <w:rFonts w:hint="eastAsia" w:ascii="宋体" w:hAnsi="宋体" w:eastAsia="宋体" w:cs="宋体"/>
                <w:color w:val="auto"/>
                <w:spacing w:val="4"/>
                <w:sz w:val="24"/>
                <w:szCs w:val="24"/>
                <w:highlight w:val="none"/>
              </w:rPr>
              <w:t>提供无缝对接方案）</w:t>
            </w:r>
            <w:r>
              <w:rPr>
                <w:rFonts w:hint="eastAsia" w:ascii="宋体" w:hAnsi="宋体" w:eastAsia="宋体" w:cs="宋体"/>
                <w:color w:val="auto"/>
                <w:spacing w:val="4"/>
                <w:sz w:val="24"/>
                <w:szCs w:val="24"/>
                <w:highlight w:val="none"/>
                <w:lang w:eastAsia="zh-CN"/>
              </w:rPr>
              <w:t>。</w:t>
            </w:r>
          </w:p>
          <w:p w14:paraId="561CCE75">
            <w:pPr>
              <w:pStyle w:val="59"/>
              <w:numPr>
                <w:ilvl w:val="0"/>
                <w:numId w:val="0"/>
              </w:numPr>
              <w:spacing w:before="68" w:line="360" w:lineRule="auto"/>
              <w:ind w:left="0" w:leftChars="0" w:firstLine="0" w:firstLineChars="0"/>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上述对接、扩建、增建包括</w:t>
            </w:r>
            <w:r>
              <w:rPr>
                <w:rFonts w:hint="eastAsia" w:ascii="宋体" w:hAnsi="宋体" w:eastAsia="宋体" w:cs="宋体"/>
                <w:color w:val="auto"/>
                <w:spacing w:val="8"/>
                <w:sz w:val="24"/>
                <w:szCs w:val="24"/>
                <w:highlight w:val="none"/>
              </w:rPr>
              <w:t>系统数据录入</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功能页面配置等</w:t>
            </w:r>
            <w:r>
              <w:rPr>
                <w:rFonts w:hint="eastAsia" w:ascii="宋体" w:hAnsi="宋体" w:eastAsia="宋体" w:cs="宋体"/>
                <w:color w:val="auto"/>
                <w:spacing w:val="8"/>
                <w:sz w:val="24"/>
                <w:szCs w:val="24"/>
                <w:highlight w:val="none"/>
                <w:lang w:val="en-US" w:eastAsia="zh-CN"/>
              </w:rPr>
              <w:t>为实现项目使用功能所需的所有相关工作</w:t>
            </w:r>
            <w:r>
              <w:rPr>
                <w:rFonts w:hint="eastAsia" w:ascii="宋体" w:hAnsi="宋体" w:eastAsia="宋体" w:cs="宋体"/>
                <w:color w:val="auto"/>
                <w:spacing w:val="8"/>
                <w:sz w:val="24"/>
                <w:szCs w:val="24"/>
                <w:highlight w:val="none"/>
              </w:rPr>
              <w:t>。</w:t>
            </w:r>
          </w:p>
        </w:tc>
      </w:tr>
    </w:tbl>
    <w:p w14:paraId="1383972F">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79B4B735">
      <w:pPr>
        <w:pStyle w:val="53"/>
        <w:numPr>
          <w:ilvl w:val="0"/>
          <w:numId w:val="33"/>
        </w:numPr>
        <w:shd w:val="clea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需求中的技术参数为设备最低要求，供应商可根据自身情况提供优于技术指标要求的设备（需在投标文件中提供相关证明材料，否则不视作优于技术指标。若提供的证明材料与供应商响应不一致的，以证明材料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1874112D">
      <w:pPr>
        <w:pStyle w:val="53"/>
        <w:numPr>
          <w:ilvl w:val="0"/>
          <w:numId w:val="0"/>
        </w:numPr>
        <w:shd w:val="clear"/>
        <w:spacing w:line="360" w:lineRule="auto"/>
        <w:ind w:leftChars="200"/>
        <w:rPr>
          <w:rFonts w:hint="eastAsia" w:ascii="宋体" w:hAnsi="宋体" w:eastAsia="宋体" w:cs="宋体"/>
          <w:color w:val="auto"/>
          <w:sz w:val="24"/>
          <w:szCs w:val="24"/>
          <w:highlight w:val="none"/>
        </w:rPr>
      </w:pPr>
    </w:p>
    <w:bookmarkEnd w:id="92"/>
    <w:p w14:paraId="64EEC3F0">
      <w:pPr>
        <w:pStyle w:val="22"/>
        <w:widowControl/>
        <w:numPr>
          <w:ilvl w:val="0"/>
          <w:numId w:val="5"/>
        </w:numPr>
        <w:shd w:val="clear"/>
        <w:spacing w:beforeLines="0" w:beforeAutospacing="0" w:afterLines="0" w:afterAutospacing="0"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对接和</w:t>
      </w:r>
      <w:r>
        <w:rPr>
          <w:rFonts w:hint="eastAsia" w:ascii="宋体" w:hAnsi="宋体" w:eastAsia="宋体" w:cs="宋体"/>
          <w:b/>
          <w:color w:val="auto"/>
          <w:sz w:val="24"/>
          <w:szCs w:val="24"/>
          <w:highlight w:val="none"/>
          <w:lang w:val="en-US" w:eastAsia="zh-CN"/>
        </w:rPr>
        <w:t>开放承诺</w:t>
      </w:r>
    </w:p>
    <w:p w14:paraId="44629E60">
      <w:pPr>
        <w:pStyle w:val="22"/>
        <w:widowControl/>
        <w:numPr>
          <w:ilvl w:val="0"/>
          <w:numId w:val="34"/>
        </w:numPr>
        <w:shd w:val="clear"/>
        <w:spacing w:beforeLines="0" w:beforeAutospacing="0" w:afterLines="0" w:afterAutospacing="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对接要求</w:t>
      </w:r>
    </w:p>
    <w:p w14:paraId="5B56E8AB">
      <w:pPr>
        <w:pStyle w:val="22"/>
        <w:keepNext w:val="0"/>
        <w:keepLines w:val="0"/>
        <w:pageBreakBefore w:val="0"/>
        <w:widowControl/>
        <w:numPr>
          <w:ilvl w:val="0"/>
          <w:numId w:val="0"/>
        </w:numPr>
        <w:shd w:val="clear"/>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为保证招标人</w:t>
      </w:r>
      <w:r>
        <w:rPr>
          <w:rFonts w:hint="eastAsia" w:ascii="宋体" w:hAnsi="宋体" w:eastAsia="宋体" w:cs="宋体"/>
          <w:color w:val="auto"/>
          <w:sz w:val="24"/>
          <w:szCs w:val="24"/>
          <w:highlight w:val="none"/>
          <w:lang w:val="en-US" w:eastAsia="zh-CN"/>
        </w:rPr>
        <w:t>电能平台</w:t>
      </w:r>
      <w:r>
        <w:rPr>
          <w:rFonts w:hint="eastAsia" w:ascii="宋体" w:hAnsi="宋体" w:eastAsia="宋体" w:cs="宋体"/>
          <w:color w:val="auto"/>
          <w:sz w:val="24"/>
          <w:szCs w:val="24"/>
          <w:highlight w:val="none"/>
        </w:rPr>
        <w:t>管理的统一性和系统数据库的完整性，本次招标项目所包含的所有</w:t>
      </w:r>
      <w:r>
        <w:rPr>
          <w:rFonts w:hint="eastAsia" w:ascii="宋体" w:hAnsi="宋体" w:eastAsia="宋体" w:cs="宋体"/>
          <w:color w:val="auto"/>
          <w:sz w:val="24"/>
          <w:szCs w:val="24"/>
          <w:highlight w:val="none"/>
          <w:lang w:val="en-US" w:eastAsia="zh-CN"/>
        </w:rPr>
        <w:t>软件、</w:t>
      </w:r>
      <w:r>
        <w:rPr>
          <w:rFonts w:hint="eastAsia" w:ascii="宋体" w:hAnsi="宋体" w:eastAsia="宋体" w:cs="宋体"/>
          <w:color w:val="auto"/>
          <w:sz w:val="24"/>
          <w:szCs w:val="24"/>
          <w:highlight w:val="none"/>
        </w:rPr>
        <w:t>硬件设备需接入招标人原有</w:t>
      </w:r>
      <w:r>
        <w:rPr>
          <w:rFonts w:hint="eastAsia" w:ascii="宋体" w:hAnsi="宋体" w:eastAsia="宋体" w:cs="宋体"/>
          <w:color w:val="auto"/>
          <w:sz w:val="24"/>
          <w:szCs w:val="24"/>
          <w:highlight w:val="none"/>
          <w:lang w:val="en-US" w:eastAsia="zh-CN"/>
        </w:rPr>
        <w:t>电能管理平台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并实现无缝对接。</w:t>
      </w:r>
    </w:p>
    <w:tbl>
      <w:tblPr>
        <w:tblStyle w:val="27"/>
        <w:tblpPr w:leftFromText="181" w:rightFromText="181" w:vertAnchor="text" w:horzAnchor="page" w:tblpX="1745" w:tblpY="300"/>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313"/>
        <w:gridCol w:w="7050"/>
      </w:tblGrid>
      <w:tr w14:paraId="4A75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3E9F9854">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313" w:type="dxa"/>
            <w:vAlign w:val="center"/>
          </w:tcPr>
          <w:p w14:paraId="37BF9FF3">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相关项目</w:t>
            </w:r>
          </w:p>
        </w:tc>
        <w:tc>
          <w:tcPr>
            <w:tcW w:w="7050" w:type="dxa"/>
            <w:vAlign w:val="center"/>
          </w:tcPr>
          <w:p w14:paraId="5FC0FA42">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具体要求</w:t>
            </w:r>
          </w:p>
        </w:tc>
      </w:tr>
      <w:tr w14:paraId="6EDF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3E85F73E">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3" w:type="dxa"/>
            <w:vAlign w:val="center"/>
          </w:tcPr>
          <w:p w14:paraId="57ABA66C">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对接方式</w:t>
            </w:r>
          </w:p>
        </w:tc>
        <w:tc>
          <w:tcPr>
            <w:tcW w:w="7050" w:type="dxa"/>
            <w:vAlign w:val="center"/>
          </w:tcPr>
          <w:p w14:paraId="3ECC75B7">
            <w:pPr>
              <w:keepNext w:val="0"/>
              <w:keepLines w:val="0"/>
              <w:pageBreakBefore w:val="0"/>
              <w:numPr>
                <w:ilvl w:val="0"/>
                <w:numId w:val="0"/>
              </w:numPr>
              <w:kinsoku/>
              <w:wordWrap/>
              <w:overflowPunct/>
              <w:topLinePunct w:val="0"/>
              <w:autoSpaceDE/>
              <w:autoSpaceDN/>
              <w:bidi w:val="0"/>
              <w:adjustRightInd/>
              <w:snapToGrid w:val="0"/>
              <w:spacing w:line="360" w:lineRule="auto"/>
              <w:ind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硬件接入，</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开放</w:t>
            </w:r>
            <w:r>
              <w:rPr>
                <w:rFonts w:hint="eastAsia" w:asciiTheme="minorEastAsia" w:hAnsiTheme="minorEastAsia" w:eastAsiaTheme="minorEastAsia" w:cstheme="minorEastAsia"/>
                <w:color w:val="auto"/>
                <w:sz w:val="24"/>
                <w:szCs w:val="24"/>
                <w:highlight w:val="none"/>
                <w:lang w:val="en-US" w:eastAsia="zh-CN"/>
              </w:rPr>
              <w:t>相关的</w:t>
            </w:r>
            <w:r>
              <w:rPr>
                <w:rFonts w:hint="eastAsia" w:asciiTheme="minorEastAsia" w:hAnsiTheme="minorEastAsia" w:eastAsiaTheme="minorEastAsia" w:cstheme="minorEastAsia"/>
                <w:color w:val="auto"/>
                <w:sz w:val="24"/>
                <w:szCs w:val="24"/>
                <w:highlight w:val="none"/>
              </w:rPr>
              <w:t>空调控制器、智能照明开关模块、网关/采集器、智能电表协议。</w:t>
            </w:r>
          </w:p>
        </w:tc>
      </w:tr>
      <w:tr w14:paraId="10FD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769AF07A">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313" w:type="dxa"/>
            <w:vAlign w:val="center"/>
          </w:tcPr>
          <w:p w14:paraId="1187547C">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对接数量</w:t>
            </w:r>
          </w:p>
        </w:tc>
        <w:tc>
          <w:tcPr>
            <w:tcW w:w="7050" w:type="dxa"/>
            <w:vAlign w:val="center"/>
          </w:tcPr>
          <w:p w14:paraId="5D92B10E">
            <w:pPr>
              <w:keepNext w:val="0"/>
              <w:keepLines w:val="0"/>
              <w:pageBreakBefore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本项目采购内容中包含的</w:t>
            </w:r>
            <w:r>
              <w:rPr>
                <w:rFonts w:hint="eastAsia" w:asciiTheme="minorEastAsia" w:hAnsiTheme="minorEastAsia" w:eastAsiaTheme="minorEastAsia" w:cstheme="minorEastAsia"/>
                <w:color w:val="auto"/>
                <w:sz w:val="24"/>
                <w:szCs w:val="24"/>
                <w:highlight w:val="none"/>
                <w:lang w:val="en-US" w:eastAsia="zh-CN"/>
              </w:rPr>
              <w:t>所有数量的</w:t>
            </w:r>
            <w:r>
              <w:rPr>
                <w:rFonts w:hint="eastAsia" w:asciiTheme="minorEastAsia" w:hAnsiTheme="minorEastAsia" w:eastAsiaTheme="minorEastAsia" w:cstheme="minorEastAsia"/>
                <w:color w:val="auto"/>
                <w:sz w:val="24"/>
                <w:szCs w:val="24"/>
                <w:highlight w:val="none"/>
              </w:rPr>
              <w:t>网关、无线空调控制器、智能照明开关模块、4G三相智能电表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管理软件</w:t>
            </w:r>
            <w:r>
              <w:rPr>
                <w:rFonts w:hint="eastAsia" w:asciiTheme="minorEastAsia" w:hAnsiTheme="minorEastAsia" w:eastAsiaTheme="minorEastAsia" w:cstheme="minorEastAsia"/>
                <w:color w:val="auto"/>
                <w:sz w:val="24"/>
                <w:szCs w:val="24"/>
                <w:highlight w:val="none"/>
              </w:rPr>
              <w:t>等均须完成对接。</w:t>
            </w:r>
          </w:p>
        </w:tc>
      </w:tr>
      <w:tr w14:paraId="0605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73" w:type="dxa"/>
            <w:vAlign w:val="center"/>
          </w:tcPr>
          <w:p w14:paraId="5CBFA8A7">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313" w:type="dxa"/>
            <w:vAlign w:val="center"/>
          </w:tcPr>
          <w:p w14:paraId="4156D053">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对接费用</w:t>
            </w:r>
          </w:p>
        </w:tc>
        <w:tc>
          <w:tcPr>
            <w:tcW w:w="7050" w:type="dxa"/>
            <w:vAlign w:val="center"/>
          </w:tcPr>
          <w:p w14:paraId="19155A3F">
            <w:pPr>
              <w:keepNext w:val="0"/>
              <w:keepLines w:val="0"/>
              <w:pageBreakBefore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有。中标人需支付对接方实现对接所需的合理费用。对接所需的所有相关费用投标人应在报价中综合考虑。</w:t>
            </w:r>
          </w:p>
        </w:tc>
      </w:tr>
      <w:tr w14:paraId="7525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3" w:type="dxa"/>
            <w:vAlign w:val="center"/>
          </w:tcPr>
          <w:p w14:paraId="3DCB0E01">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313" w:type="dxa"/>
            <w:vAlign w:val="center"/>
          </w:tcPr>
          <w:p w14:paraId="0E5161A3">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对接标准、对接厂家配合内容</w:t>
            </w:r>
          </w:p>
        </w:tc>
        <w:tc>
          <w:tcPr>
            <w:tcW w:w="7050" w:type="dxa"/>
            <w:vAlign w:val="center"/>
          </w:tcPr>
          <w:p w14:paraId="10232D75">
            <w:pPr>
              <w:keepNext w:val="0"/>
              <w:keepLines w:val="0"/>
              <w:pageBreakBefore w:val="0"/>
              <w:numPr>
                <w:ilvl w:val="0"/>
                <w:numId w:val="35"/>
              </w:numPr>
              <w:kinsoku/>
              <w:wordWrap/>
              <w:overflowPunct/>
              <w:topLinePunct w:val="0"/>
              <w:autoSpaceDE/>
              <w:autoSpaceDN/>
              <w:bidi w:val="0"/>
              <w:adjustRightInd/>
              <w:snapToGrid w:val="0"/>
              <w:spacing w:line="360" w:lineRule="auto"/>
              <w:ind w:left="425" w:leftChars="0" w:hanging="425" w:firstLineChars="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空调控制器接入要求</w:t>
            </w:r>
          </w:p>
          <w:p w14:paraId="0F77CB9E">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实现空调控制器无缝接入招标人原有电能管理平台，在招标人原有电能管理平台实现本项目空调设备的控制、管理、能耗计量。对中标人要求的对接内容如下:</w:t>
            </w:r>
          </w:p>
          <w:p w14:paraId="39A41692">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支持Lora和TCP/IP，开放自定义变量说明，或开放私有协议；</w:t>
            </w:r>
          </w:p>
          <w:p w14:paraId="06A5D469">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支持各类相关控制要求，支持指定的变量组合（可配置），以便一次操作能返回较多的变量信息，满足现有系统实时性操作的需求；</w:t>
            </w:r>
          </w:p>
          <w:p w14:paraId="4F55AFD6">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至少支持以下内容：</w:t>
            </w:r>
          </w:p>
          <w:p w14:paraId="335FC0F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每路变量包含当前示数、实时电压、实时电流、实时功率、开关机状态、累计运行时长、总运行时长、实时电流与阈值的比较结果、室内温度、用能量、合理时间和非合理时间的对比结果参数。</w:t>
            </w:r>
          </w:p>
          <w:p w14:paraId="57A73A20">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非合理时间的管理;设备可以支持接受系统下发的合理时间和非合理时间的设置，可以对于非合理时间实时判断，并能自动策略控制；</w:t>
            </w:r>
          </w:p>
          <w:p w14:paraId="012B3D1A">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支持系统对空调控制器的开机或关机的阈值数据画像值的多值设置（2个以上，更细致的判断开关机状态）；</w:t>
            </w:r>
          </w:p>
          <w:p w14:paraId="6468B7C2">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空调控调制器支持实时数据采集，同时，可以对采集的频次可以通过调试口进行设置；</w:t>
            </w:r>
          </w:p>
          <w:p w14:paraId="5A906D00">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空调控制器具备开关机或通断电的功能，可以在系统里，根据下发的管理策略，自动的开机、关机，或通电、断电，为保障空调不受大电流冲击，在通断电之前，空调控制器能自动提前发送指令对空调进行关机，再执行断电指令。</w:t>
            </w:r>
          </w:p>
          <w:p w14:paraId="75BF2EDF">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红外的发射装置，能够支持在空间较大、窗户较多的房间，也可以通过红外全向无线发射，控制空调，不允许采用有线方式粘贴在空调上，掉落后，导致系统对空调的控制无效。</w:t>
            </w:r>
          </w:p>
          <w:p w14:paraId="2EBBA0B9">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设备具备稳定的在线率，具备自动恢复功能：链路在线检测 发送心跳包检测，断线自动连接；</w:t>
            </w:r>
          </w:p>
          <w:p w14:paraId="73B711E1">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内嵌看门狗，设备运行自检技术，设备运行故障自修复；</w:t>
            </w:r>
          </w:p>
          <w:p w14:paraId="0FBFA63C">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支持上位机对空调控制器的远程OTA升级；</w:t>
            </w:r>
          </w:p>
          <w:p w14:paraId="6F74AA5E">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内置算法支持限额策略分析，能耗合理使用分析，能系统支持智能场景，智能联动控制，逻辑控制模块等设备功能；</w:t>
            </w:r>
          </w:p>
          <w:p w14:paraId="3623BE4B">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 MQTT 数据传输，支持远程 OTA 固件更新，具备远程编程、管理与数据存储功能；</w:t>
            </w:r>
          </w:p>
          <w:p w14:paraId="326B9C73">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空调控制器支持低代码平台驱动在线编写，支持 JS 脚本在线编写设备协议；</w:t>
            </w:r>
          </w:p>
          <w:p w14:paraId="5C60597E">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安全特性要求：支持 MD5、SHA256 加密算法、开放系统、共享密钥，设备恢复出厂设置后在登录界面给出修改密码提示；</w:t>
            </w:r>
          </w:p>
          <w:p w14:paraId="2BF83344">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配置方式具备：本地或远程 HTTP、HTTPS、Telnet、SSH 方式。</w:t>
            </w:r>
          </w:p>
          <w:p w14:paraId="15DDA28C">
            <w:pPr>
              <w:keepNext w:val="0"/>
              <w:keepLines w:val="0"/>
              <w:pageBreakBefore w:val="0"/>
              <w:numPr>
                <w:ilvl w:val="0"/>
                <w:numId w:val="35"/>
              </w:numPr>
              <w:kinsoku/>
              <w:wordWrap/>
              <w:overflowPunct/>
              <w:topLinePunct w:val="0"/>
              <w:autoSpaceDE/>
              <w:autoSpaceDN/>
              <w:bidi w:val="0"/>
              <w:adjustRightInd/>
              <w:snapToGrid w:val="0"/>
              <w:spacing w:line="360" w:lineRule="auto"/>
              <w:ind w:left="425" w:leftChars="0" w:hanging="425" w:firstLineChars="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数据网关接入要求</w:t>
            </w:r>
          </w:p>
          <w:p w14:paraId="0F9DF019">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实现数据网关无缝接入招标人原有电能管理平台，在招标人原有电能管理平台实现本项目照明、空调设备的控制、管理、能耗计量。对中标人要求的对接内容如下:</w:t>
            </w:r>
          </w:p>
          <w:p w14:paraId="4E384978">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公开数据网关/数据采集器接口协议</w:t>
            </w:r>
            <w:r>
              <w:rPr>
                <w:rFonts w:hint="eastAsia" w:asciiTheme="minorEastAsia" w:hAnsiTheme="minorEastAsia" w:eastAsiaTheme="minorEastAsia" w:cstheme="minorEastAsia"/>
                <w:color w:val="auto"/>
                <w:sz w:val="24"/>
                <w:szCs w:val="24"/>
                <w:highlight w:val="none"/>
                <w:lang w:eastAsia="zh-CN"/>
              </w:rPr>
              <w:t>；</w:t>
            </w:r>
          </w:p>
          <w:p w14:paraId="42697DF5">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数据网关/数据采集器上行必须为TCP/IP网络接口，下行串口必须为485串口通讯；</w:t>
            </w:r>
          </w:p>
          <w:p w14:paraId="1643A0FA">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数据网关能承受长时间高强度的通讯，数据网关每分钟向软件提供不少于40K 的数据；</w:t>
            </w:r>
          </w:p>
          <w:p w14:paraId="166C0492">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关能实时对每个空调控制器、照明开关模块的情况进行实时采集，如当前示数、实时电压、实时电流、实时功率、开关机状态、累计运行时长、总运行时长、实时电流与阈值的比较结果、室内温度、用能量、合理时间和非合理时间的对比结果参数；</w:t>
            </w:r>
          </w:p>
          <w:p w14:paraId="61EA0FC9">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网关设备支持离线存储、断点续传，保持数据完整性；</w:t>
            </w:r>
          </w:p>
          <w:p w14:paraId="14A14747">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网关设备具备稳定的在线率，具备自动恢复功能 ：链路在线检测 发送心跳包检测，断线自动连接；</w:t>
            </w:r>
          </w:p>
          <w:p w14:paraId="5C5BECFE">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内嵌看门狗，设备运行自检技术，设备运行故障自修复；</w:t>
            </w:r>
          </w:p>
          <w:p w14:paraId="34732DBB">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 MQTT 数据传输，支持远程 OTA 固件更新，具备远程编程、管理与数据存储功能；</w:t>
            </w:r>
          </w:p>
          <w:p w14:paraId="653963FC">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支持断点续传功能；</w:t>
            </w:r>
          </w:p>
          <w:p w14:paraId="56DDF616">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网关设备支持低代码平台驱动在线编写，通过设置，自动生成驱动代码；</w:t>
            </w:r>
          </w:p>
          <w:p w14:paraId="52E97EFC">
            <w:pPr>
              <w:keepNext w:val="0"/>
              <w:keepLines w:val="0"/>
              <w:pageBreakBefore w:val="0"/>
              <w:numPr>
                <w:ilvl w:val="0"/>
                <w:numId w:val="35"/>
              </w:numPr>
              <w:kinsoku/>
              <w:wordWrap/>
              <w:overflowPunct/>
              <w:topLinePunct w:val="0"/>
              <w:autoSpaceDE/>
              <w:autoSpaceDN/>
              <w:bidi w:val="0"/>
              <w:adjustRightInd/>
              <w:snapToGrid w:val="0"/>
              <w:spacing w:line="360" w:lineRule="auto"/>
              <w:ind w:left="425" w:leftChars="0" w:hanging="425" w:firstLineChars="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智能照明接入要求</w:t>
            </w:r>
          </w:p>
          <w:p w14:paraId="3A39869C">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实现智能照明无缝接入招标人原有电能管理平台，在招标人原有电能管理平台实现本本项目照明设备的控制、管理、能耗计量。对中标人要求的对接内容如下:</w:t>
            </w:r>
          </w:p>
          <w:p w14:paraId="3AAA3150">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支持Modbus协议，开放自定义变量说明，或开放私有协议；</w:t>
            </w:r>
          </w:p>
          <w:p w14:paraId="170F82AC">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支持各类相关控制要求支持指定的变量组合（可配置），以便一次操作能返回较多的变量信息，满足现有系统实时性操作的需求；</w:t>
            </w:r>
          </w:p>
          <w:p w14:paraId="79F17AB3">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支持以下内容的采集信息：</w:t>
            </w:r>
          </w:p>
          <w:p w14:paraId="0102C2BE">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每路变量包含当前示数、实时电压、实时电流、实时功率、实时功率因素、开关状态、累计运行时长、总运行时长、过压过流、每路用能量、合理时间和非合理时间的对比结果参数。</w:t>
            </w:r>
          </w:p>
          <w:p w14:paraId="4B14F38D">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非合理时间的管理;设备可以支持接受系统下发的合理时间和非合理时间的设置，可以对于非合理时间实时判断，并能自动策略控制；</w:t>
            </w:r>
          </w:p>
          <w:p w14:paraId="50FE1979">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支持对每一种照明电路进行计量，并实现实时采集，所有回路支持单回路用电计量、电压、电流监测；可对每个回路的欠压、过压、过流状态进行监测；</w:t>
            </w:r>
          </w:p>
          <w:p w14:paraId="37721EC5">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照明控制器具备掉电记忆，断电自锁；</w:t>
            </w:r>
          </w:p>
          <w:p w14:paraId="273C1E16">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照明控制器具备开关机或通断电的功能，可以在系统里，根据下发的管理策略，自动的开灯、关灯。</w:t>
            </w:r>
          </w:p>
          <w:p w14:paraId="004740F0">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设备具备稳定的在线率，具备自动恢复功能 ：链路在线检测 发送心跳包检测，断线自动连接；</w:t>
            </w:r>
          </w:p>
          <w:p w14:paraId="2C0893CB">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内嵌看门狗，设备运行自检技术，设备运行故障自修复</w:t>
            </w:r>
          </w:p>
          <w:p w14:paraId="2B76251C">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开放关断策略：相应各种关断特征值变量及比较算法说明;</w:t>
            </w:r>
          </w:p>
          <w:p w14:paraId="7551C7F3">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照明控制设备须具备以下要求：每个回路继电器开关可手动控制；每回路继电器动作次数统计；实时反馈回路状态；具有远程编程和管理功能</w:t>
            </w:r>
          </w:p>
          <w:p w14:paraId="3AD297CA">
            <w:pPr>
              <w:keepNext w:val="0"/>
              <w:keepLines w:val="0"/>
              <w:pageBreakBefore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设备重启可选择已开的场景或指定的场景；</w:t>
            </w:r>
          </w:p>
          <w:p w14:paraId="03EEE04A">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内置算法支持限额策略分析，能耗合理使用分析，能系统支持智能场景，智能联动控制，逻辑控制模块等设备功能；</w:t>
            </w:r>
          </w:p>
          <w:p w14:paraId="415CAC1D">
            <w:pPr>
              <w:keepNext w:val="0"/>
              <w:keepLines w:val="0"/>
              <w:pageBreakBefore w:val="0"/>
              <w:numPr>
                <w:ilvl w:val="0"/>
                <w:numId w:val="38"/>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支持远程 OTA 固件更新，具备远程编程、管理与数据存储功能；</w:t>
            </w:r>
          </w:p>
          <w:p w14:paraId="391FA265">
            <w:pPr>
              <w:keepNext w:val="0"/>
              <w:keepLines w:val="0"/>
              <w:pageBreakBefore w:val="0"/>
              <w:numPr>
                <w:ilvl w:val="0"/>
                <w:numId w:val="35"/>
              </w:numPr>
              <w:kinsoku/>
              <w:wordWrap/>
              <w:overflowPunct/>
              <w:topLinePunct w:val="0"/>
              <w:autoSpaceDE/>
              <w:autoSpaceDN/>
              <w:bidi w:val="0"/>
              <w:adjustRightInd/>
              <w:snapToGrid w:val="0"/>
              <w:spacing w:line="360" w:lineRule="auto"/>
              <w:ind w:left="425" w:leftChars="0" w:hanging="425" w:firstLineChars="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能耗监测接入要求</w:t>
            </w:r>
          </w:p>
          <w:p w14:paraId="431D8907">
            <w:pPr>
              <w:pStyle w:val="18"/>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实现能耗监测无缝接入招标人原有电能管理平台，在招标人原有电能管理平台实现对本项目智能电表的能耗计量及管理。对接内容如下:</w:t>
            </w:r>
          </w:p>
          <w:p w14:paraId="46B67030">
            <w:pPr>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开放自定义变量说明，或开放私有协议；</w:t>
            </w:r>
          </w:p>
          <w:p w14:paraId="1169A870">
            <w:pPr>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支持4G 通信；</w:t>
            </w:r>
          </w:p>
          <w:p w14:paraId="634F03F2">
            <w:pPr>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支持正向有功电能、反向有功电能、有功电能总和、有功电能净值，正向无功电能、反向无功电能、无功电能总和、无功电能净值等电能数据计量。</w:t>
            </w:r>
          </w:p>
          <w:p w14:paraId="1C4FD6CC">
            <w:pPr>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可实时追踪用能数据实现超额告警，并可记录超额用能情况（包含超额用能时间、超额用量）；</w:t>
            </w:r>
          </w:p>
          <w:p w14:paraId="577FAFF7">
            <w:pPr>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支持异常用能告警（包含：超比率、超负荷、非合理用能等）；</w:t>
            </w:r>
          </w:p>
          <w:p w14:paraId="0E3557D3">
            <w:pPr>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提供清晰的表计上下级关系，能耗管控平台根据表计上下级的能源数据展现以建筑空间、组织架构、用途的能耗24小时流向。</w:t>
            </w:r>
          </w:p>
          <w:p w14:paraId="3AD5589A">
            <w:pPr>
              <w:keepNext w:val="0"/>
              <w:keepLines w:val="0"/>
              <w:pageBreakBefore w:val="0"/>
              <w:numPr>
                <w:ilvl w:val="0"/>
                <w:numId w:val="35"/>
              </w:numPr>
              <w:kinsoku/>
              <w:wordWrap/>
              <w:overflowPunct/>
              <w:topLinePunct w:val="0"/>
              <w:autoSpaceDE/>
              <w:autoSpaceDN/>
              <w:bidi w:val="0"/>
              <w:adjustRightInd/>
              <w:snapToGrid w:val="0"/>
              <w:spacing w:line="360" w:lineRule="auto"/>
              <w:ind w:left="425" w:leftChars="0" w:hanging="425" w:firstLineChars="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二维图形化控制</w:t>
            </w:r>
          </w:p>
          <w:p w14:paraId="24C98969">
            <w:pPr>
              <w:pStyle w:val="18"/>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在招标人原有电能管理平台上实现二维图形化显示空调（开关机状态、温度、风速）、照明的设备状态，可直接在二维页面实现设备的基本控制（开、关）。</w:t>
            </w:r>
          </w:p>
        </w:tc>
      </w:tr>
    </w:tbl>
    <w:p w14:paraId="3DE6C51C">
      <w:pPr>
        <w:pStyle w:val="22"/>
        <w:keepNext w:val="0"/>
        <w:keepLines w:val="0"/>
        <w:pageBreakBefore w:val="0"/>
        <w:widowControl/>
        <w:numPr>
          <w:ilvl w:val="0"/>
          <w:numId w:val="0"/>
        </w:numPr>
        <w:shd w:val="clear"/>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p>
    <w:p w14:paraId="1E9CF1D5">
      <w:pPr>
        <w:pStyle w:val="22"/>
        <w:widowControl/>
        <w:numPr>
          <w:ilvl w:val="0"/>
          <w:numId w:val="34"/>
        </w:numPr>
        <w:shd w:val="clear"/>
        <w:spacing w:beforeLines="0" w:beforeAutospacing="0" w:afterLines="0" w:afterAutospacing="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对接和开放承诺</w:t>
      </w:r>
    </w:p>
    <w:p w14:paraId="56FBEE7F">
      <w:pPr>
        <w:pStyle w:val="22"/>
        <w:widowControl/>
        <w:numPr>
          <w:ilvl w:val="0"/>
          <w:numId w:val="0"/>
        </w:numPr>
        <w:shd w:val="clear"/>
        <w:spacing w:beforeLines="0" w:beforeAutospacing="0" w:afterLines="0" w:afterAutospacing="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项目建设完成后，投标人可能会因与其他软硬件对接、维护的需要提出其他对接需求。</w:t>
      </w:r>
      <w:r>
        <w:rPr>
          <w:rFonts w:hint="eastAsia" w:ascii="宋体" w:hAnsi="宋体" w:eastAsia="宋体" w:cs="宋体"/>
          <w:b/>
          <w:color w:val="auto"/>
          <w:sz w:val="24"/>
          <w:szCs w:val="24"/>
          <w:highlight w:val="none"/>
        </w:rPr>
        <w:t>投标人和其核心供应商</w:t>
      </w:r>
      <w:r>
        <w:rPr>
          <w:rFonts w:hint="eastAsia" w:ascii="宋体" w:hAnsi="宋体" w:eastAsia="宋体" w:cs="宋体"/>
          <w:color w:val="auto"/>
          <w:sz w:val="24"/>
          <w:szCs w:val="24"/>
          <w:highlight w:val="none"/>
        </w:rPr>
        <w:t>（本项目中指</w:t>
      </w:r>
      <w:bookmarkStart w:id="94" w:name="OLE_LINK17"/>
      <w:r>
        <w:rPr>
          <w:rFonts w:hint="eastAsia" w:ascii="宋体" w:hAnsi="宋体" w:eastAsia="宋体" w:cs="宋体"/>
          <w:color w:val="auto"/>
          <w:sz w:val="24"/>
          <w:szCs w:val="24"/>
          <w:highlight w:val="none"/>
        </w:rPr>
        <w:t>分布式三相无线空调控制器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智能暖通控制网关、智能</w:t>
      </w:r>
      <w:r>
        <w:rPr>
          <w:rFonts w:hint="eastAsia" w:cs="宋体"/>
          <w:color w:val="auto"/>
          <w:sz w:val="24"/>
          <w:szCs w:val="24"/>
          <w:highlight w:val="none"/>
          <w:lang w:val="en-US" w:eastAsia="zh-CN"/>
        </w:rPr>
        <w:t>照明</w:t>
      </w:r>
      <w:r>
        <w:rPr>
          <w:rFonts w:hint="eastAsia" w:ascii="宋体" w:hAnsi="宋体" w:eastAsia="宋体" w:cs="宋体"/>
          <w:color w:val="auto"/>
          <w:sz w:val="24"/>
          <w:szCs w:val="24"/>
          <w:highlight w:val="none"/>
          <w:lang w:val="en-US" w:eastAsia="zh-CN"/>
        </w:rPr>
        <w:t>开关模块</w:t>
      </w:r>
      <w:bookmarkEnd w:id="94"/>
      <w:r>
        <w:rPr>
          <w:rFonts w:hint="eastAsia" w:cs="宋体"/>
          <w:color w:val="auto"/>
          <w:sz w:val="24"/>
          <w:szCs w:val="24"/>
          <w:highlight w:val="none"/>
          <w:lang w:val="en-US" w:eastAsia="zh-CN"/>
        </w:rPr>
        <w:t>、智能照明控制网关</w:t>
      </w:r>
      <w:r>
        <w:rPr>
          <w:rFonts w:hint="eastAsia" w:ascii="宋体" w:hAnsi="宋体" w:eastAsia="宋体" w:cs="宋体"/>
          <w:color w:val="auto"/>
          <w:sz w:val="24"/>
          <w:szCs w:val="24"/>
          <w:highlight w:val="none"/>
        </w:rPr>
        <w:t>的制造商；若为自有产品，则投标人承诺即可）必须承诺，若中标则在后续任何时候根据招标人的要求配合对接并开放所需的所有接口、协议、变量等内容（对接承诺函模板见附件）</w:t>
      </w:r>
      <w:r>
        <w:rPr>
          <w:rFonts w:hint="eastAsia" w:ascii="宋体" w:hAnsi="宋体" w:eastAsia="宋体" w:cs="宋体"/>
          <w:color w:val="auto"/>
          <w:sz w:val="24"/>
          <w:szCs w:val="24"/>
          <w:highlight w:val="none"/>
          <w:lang w:eastAsia="zh-CN"/>
        </w:rPr>
        <w:t>。</w:t>
      </w:r>
    </w:p>
    <w:p w14:paraId="1BEAD150">
      <w:pPr>
        <w:numPr>
          <w:ilvl w:val="0"/>
          <w:numId w:val="0"/>
        </w:numPr>
        <w:shd w:val="clear"/>
        <w:tabs>
          <w:tab w:val="left" w:pos="8280"/>
        </w:tabs>
        <w:autoSpaceDE w:val="0"/>
        <w:autoSpaceDN w:val="0"/>
        <w:adjustRightInd w:val="0"/>
        <w:spacing w:line="360" w:lineRule="auto"/>
        <w:ind w:left="420" w:leftChars="0" w:right="25" w:rightChars="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b/>
          <w:bCs/>
          <w:color w:val="auto"/>
          <w:sz w:val="24"/>
          <w:szCs w:val="24"/>
          <w:highlight w:val="none"/>
        </w:rPr>
        <w:t>商务需求</w:t>
      </w:r>
    </w:p>
    <w:tbl>
      <w:tblPr>
        <w:tblStyle w:val="26"/>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510"/>
      </w:tblGrid>
      <w:tr w14:paraId="0F12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14:paraId="504A431E">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6510" w:type="dxa"/>
            <w:tcBorders>
              <w:top w:val="single" w:color="auto" w:sz="4" w:space="0"/>
              <w:left w:val="single" w:color="auto" w:sz="4" w:space="0"/>
              <w:bottom w:val="single" w:color="auto" w:sz="4" w:space="0"/>
              <w:right w:val="single" w:color="auto" w:sz="4" w:space="0"/>
            </w:tcBorders>
            <w:vAlign w:val="center"/>
          </w:tcPr>
          <w:p w14:paraId="678551B5">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一次性付清剩余款项。</w:t>
            </w:r>
          </w:p>
        </w:tc>
      </w:tr>
      <w:tr w14:paraId="1E58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14:paraId="36D0403A">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质保期及履约保金</w:t>
            </w:r>
          </w:p>
        </w:tc>
        <w:tc>
          <w:tcPr>
            <w:tcW w:w="6510" w:type="dxa"/>
            <w:tcBorders>
              <w:top w:val="single" w:color="auto" w:sz="4" w:space="0"/>
              <w:left w:val="single" w:color="auto" w:sz="4" w:space="0"/>
              <w:bottom w:val="single" w:color="auto" w:sz="4" w:space="0"/>
              <w:right w:val="single" w:color="auto" w:sz="4" w:space="0"/>
            </w:tcBorders>
            <w:vAlign w:val="center"/>
          </w:tcPr>
          <w:p w14:paraId="3118870E">
            <w:pPr>
              <w:pStyle w:val="13"/>
              <w:shd w:val="clear"/>
              <w:snapToGrid w:val="0"/>
              <w:spacing w:before="120" w:after="120"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（1）▲质保期：</w:t>
            </w:r>
            <w:r>
              <w:rPr>
                <w:rFonts w:hint="eastAsia" w:ascii="宋体" w:hAnsi="宋体" w:eastAsia="宋体" w:cs="宋体"/>
                <w:color w:val="auto"/>
                <w:sz w:val="24"/>
                <w:szCs w:val="24"/>
                <w:highlight w:val="none"/>
                <w:lang w:val="en-US" w:eastAsia="zh-CN"/>
              </w:rPr>
              <w:t>不少于</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3</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eastAsia="zh-CN"/>
              </w:rPr>
              <w:t>。</w:t>
            </w:r>
          </w:p>
          <w:p w14:paraId="025E23ED">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（2）履约保证金：本项目不收履约保证金</w:t>
            </w:r>
          </w:p>
        </w:tc>
      </w:tr>
      <w:tr w14:paraId="3A97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208" w:type="dxa"/>
            <w:tcBorders>
              <w:top w:val="single" w:color="auto" w:sz="4" w:space="0"/>
              <w:left w:val="single" w:color="auto" w:sz="4" w:space="0"/>
              <w:bottom w:val="single" w:color="auto" w:sz="4" w:space="0"/>
              <w:right w:val="single" w:color="auto" w:sz="4" w:space="0"/>
            </w:tcBorders>
            <w:vAlign w:val="center"/>
          </w:tcPr>
          <w:p w14:paraId="0BFF2C20">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售后技术服务要求</w:t>
            </w:r>
          </w:p>
        </w:tc>
        <w:tc>
          <w:tcPr>
            <w:tcW w:w="6510" w:type="dxa"/>
            <w:tcBorders>
              <w:top w:val="single" w:color="auto" w:sz="4" w:space="0"/>
              <w:left w:val="single" w:color="auto" w:sz="4" w:space="0"/>
              <w:bottom w:val="single" w:color="auto" w:sz="4" w:space="0"/>
              <w:right w:val="single" w:color="auto" w:sz="4" w:space="0"/>
            </w:tcBorders>
            <w:vAlign w:val="center"/>
          </w:tcPr>
          <w:p w14:paraId="2D39CA7B">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（1）合同生效后，设备制造商（或代理商）对安装设备的工作条件应提出具体要求，并在安装前予以确认。</w:t>
            </w:r>
          </w:p>
          <w:p w14:paraId="731EB738">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（2）提供的产品须为原装正品，相关的配套附件质量优良，数量齐全，并在标书中注明可选配件的价格。</w:t>
            </w:r>
          </w:p>
          <w:p w14:paraId="328C71C0">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（3）设备到达用户指定交货地点后，根据用户的时间安排，设备制造商（或代理商）在接到用户通知后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0天内进行安装调试，直至通过验收。</w:t>
            </w:r>
          </w:p>
          <w:p w14:paraId="7464032E">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（4）设备安装调试合格后，设备制造商（或代理商）负责对用户技术人员（至少2人）进行免费现场培训，培训内容包括设备的性能、原理、操作、保养和维护等，培训日程视实际情况另定。</w:t>
            </w:r>
          </w:p>
          <w:p w14:paraId="289C9F5E">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（5）质保期过后，设备制造商（或代理商）对设备提供终身维修服务，能提供广泛、即时、优惠的技术服务，并提供质量上乘、价格合理的各种配件。</w:t>
            </w:r>
          </w:p>
          <w:p w14:paraId="2C500E69">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国内有维修中心，有专职维修工程师和备品备件库。质保期内如有问题接电后2小时内给与答复，48小时内派员赶赴现场予以解决。质保期外，制造商（或代理商）应在4小时内作出响应，2个工作日内到达用户现场维修，一般故障应在24小时内修复，重大故障应在72小时内修复。</w:t>
            </w:r>
          </w:p>
          <w:p w14:paraId="710E3A30">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（7）设备制造商（或代理商）终身免费提供应用咨询及技术帮助，质保期内，易损件和外购件</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国家质保标准保修，属人为因素酌情收取材料费。质保期外实行有偿服务。</w:t>
            </w:r>
          </w:p>
        </w:tc>
      </w:tr>
      <w:tr w14:paraId="3E74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08" w:type="dxa"/>
            <w:tcBorders>
              <w:top w:val="single" w:color="auto" w:sz="4" w:space="0"/>
              <w:left w:val="single" w:color="auto" w:sz="4" w:space="0"/>
              <w:bottom w:val="single" w:color="auto" w:sz="4" w:space="0"/>
              <w:right w:val="single" w:color="auto" w:sz="4" w:space="0"/>
            </w:tcBorders>
            <w:vAlign w:val="center"/>
          </w:tcPr>
          <w:p w14:paraId="2D507CD8">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p w14:paraId="7F2CD5C4">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及地点</w:t>
            </w:r>
          </w:p>
        </w:tc>
        <w:tc>
          <w:tcPr>
            <w:tcW w:w="6510" w:type="dxa"/>
            <w:tcBorders>
              <w:top w:val="single" w:color="auto" w:sz="4" w:space="0"/>
              <w:left w:val="single" w:color="auto" w:sz="4" w:space="0"/>
              <w:bottom w:val="single" w:color="auto" w:sz="4" w:space="0"/>
              <w:right w:val="single" w:color="auto" w:sz="4" w:space="0"/>
            </w:tcBorders>
          </w:tcPr>
          <w:p w14:paraId="5DA6FDAF">
            <w:pPr>
              <w:pStyle w:val="13"/>
              <w:shd w:val="clear"/>
              <w:snapToGrid w:val="0"/>
              <w:spacing w:before="120" w:after="120"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时间：合同签订后</w:t>
            </w:r>
            <w:r>
              <w:rPr>
                <w:rFonts w:hint="eastAsia" w:hAnsi="宋体" w:cs="宋体"/>
                <w:color w:val="auto"/>
                <w:sz w:val="24"/>
                <w:szCs w:val="24"/>
                <w:highlight w:val="none"/>
                <w:lang w:val="en-US" w:eastAsia="zh-CN"/>
              </w:rPr>
              <w:t>40</w:t>
            </w:r>
            <w:r>
              <w:rPr>
                <w:rFonts w:hint="eastAsia" w:ascii="宋体" w:hAnsi="宋体" w:eastAsia="宋体" w:cs="宋体"/>
                <w:color w:val="auto"/>
                <w:sz w:val="24"/>
                <w:szCs w:val="24"/>
                <w:highlight w:val="none"/>
              </w:rPr>
              <w:t>日历天内交货</w:t>
            </w:r>
          </w:p>
          <w:p w14:paraId="4F1E7403">
            <w:pPr>
              <w:pStyle w:val="13"/>
              <w:shd w:val="clear"/>
              <w:snapToGrid w:val="0"/>
              <w:spacing w:before="120" w:after="120"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地点：台州学院椒江校区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临海校区</w:t>
            </w:r>
          </w:p>
        </w:tc>
      </w:tr>
    </w:tbl>
    <w:p w14:paraId="784A2AEB">
      <w:pPr>
        <w:shd w:val="clear"/>
        <w:spacing w:line="360" w:lineRule="auto"/>
        <w:rPr>
          <w:rFonts w:hint="eastAsia" w:ascii="宋体" w:hAnsi="宋体" w:eastAsia="宋体" w:cs="宋体"/>
          <w:color w:val="auto"/>
          <w:sz w:val="24"/>
          <w:szCs w:val="24"/>
          <w:highlight w:val="none"/>
        </w:rPr>
      </w:pPr>
    </w:p>
    <w:p w14:paraId="757135AD">
      <w:pPr>
        <w:numPr>
          <w:ilvl w:val="0"/>
          <w:numId w:val="0"/>
        </w:numPr>
        <w:shd w:val="clear"/>
        <w:tabs>
          <w:tab w:val="left" w:pos="8280"/>
        </w:tabs>
        <w:autoSpaceDE w:val="0"/>
        <w:autoSpaceDN w:val="0"/>
        <w:adjustRightInd w:val="0"/>
        <w:spacing w:line="360" w:lineRule="auto"/>
        <w:ind w:left="0" w:leftChars="0" w:right="25" w:rightChars="0" w:firstLine="42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lang w:val="en-US" w:eastAsia="zh-CN" w:bidi="ar-SA"/>
        </w:rPr>
        <w:t>四、</w:t>
      </w:r>
      <w:r>
        <w:rPr>
          <w:rFonts w:hint="eastAsia" w:ascii="宋体" w:hAnsi="宋体" w:eastAsia="宋体" w:cs="宋体"/>
          <w:b/>
          <w:bCs/>
          <w:color w:val="auto"/>
          <w:sz w:val="24"/>
          <w:szCs w:val="24"/>
          <w:highlight w:val="none"/>
        </w:rPr>
        <w:t>相关说明</w:t>
      </w:r>
    </w:p>
    <w:p w14:paraId="41B031B3">
      <w:pPr>
        <w:shd w:val="clear"/>
        <w:autoSpaceDE w:val="0"/>
        <w:autoSpaceDN w:val="0"/>
        <w:adjustRightInd w:val="0"/>
        <w:snapToGrid w:val="0"/>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所有设备均采用人民币报价。本项目的成交报价</w:t>
      </w:r>
      <w:r>
        <w:rPr>
          <w:rFonts w:hint="eastAsia" w:ascii="宋体" w:hAnsi="宋体" w:eastAsia="宋体" w:cs="宋体"/>
          <w:b w:val="0"/>
          <w:bCs/>
          <w:color w:val="auto"/>
          <w:sz w:val="24"/>
          <w:szCs w:val="24"/>
          <w:highlight w:val="none"/>
          <w:lang w:val="en-US" w:eastAsia="zh-CN"/>
        </w:rPr>
        <w:t>包含</w:t>
      </w:r>
      <w:r>
        <w:rPr>
          <w:rFonts w:hint="eastAsia" w:ascii="宋体" w:hAnsi="宋体" w:eastAsia="宋体" w:cs="宋体"/>
          <w:b w:val="0"/>
          <w:bCs/>
          <w:color w:val="auto"/>
          <w:sz w:val="24"/>
          <w:szCs w:val="24"/>
          <w:highlight w:val="none"/>
        </w:rPr>
        <w:t>为实现本项目成交、正常运行所需要的一切费用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投标人需在投标时综合考虑，招标人不需在合同款外支付任何额外费用。</w:t>
      </w:r>
    </w:p>
    <w:p w14:paraId="6185BA12">
      <w:pPr>
        <w:shd w:val="clear"/>
        <w:autoSpaceDE w:val="0"/>
        <w:autoSpaceDN w:val="0"/>
        <w:adjustRightInd w:val="0"/>
        <w:snapToGrid w:val="0"/>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实现本项目成交、正常运行所需要的费用</w:t>
      </w:r>
      <w:r>
        <w:rPr>
          <w:rFonts w:hint="eastAsia" w:ascii="宋体" w:hAnsi="宋体" w:eastAsia="宋体" w:cs="宋体"/>
          <w:b w:val="0"/>
          <w:bCs/>
          <w:color w:val="auto"/>
          <w:sz w:val="24"/>
          <w:szCs w:val="24"/>
          <w:highlight w:val="none"/>
          <w:lang w:val="en-US" w:eastAsia="zh-CN"/>
        </w:rPr>
        <w:t>包括但不限于下列费用：</w:t>
      </w:r>
    </w:p>
    <w:p w14:paraId="3BF93C12">
      <w:pPr>
        <w:shd w:val="clea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货款、标准附件、专用工具、包装、运输、装卸、保险、税金、货到就位，安装、调试、培训、保修</w:t>
      </w:r>
      <w:r>
        <w:rPr>
          <w:rFonts w:hint="eastAsia" w:ascii="宋体" w:hAnsi="宋体" w:eastAsia="宋体" w:cs="宋体"/>
          <w:b w:val="0"/>
          <w:bCs/>
          <w:color w:val="auto"/>
          <w:sz w:val="24"/>
          <w:szCs w:val="24"/>
          <w:highlight w:val="none"/>
          <w:lang w:val="en-US" w:eastAsia="zh-CN"/>
        </w:rPr>
        <w:t>等费用；</w:t>
      </w:r>
    </w:p>
    <w:p w14:paraId="05F628A5">
      <w:pPr>
        <w:shd w:val="clea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）与本项目施工相关的墙面、地面、吊顶、线缆等相关</w:t>
      </w:r>
      <w:r>
        <w:rPr>
          <w:rFonts w:hint="eastAsia" w:ascii="宋体" w:hAnsi="宋体" w:eastAsia="宋体" w:cs="宋体"/>
          <w:b w:val="0"/>
          <w:bCs/>
          <w:color w:val="auto"/>
          <w:sz w:val="24"/>
          <w:szCs w:val="24"/>
          <w:highlight w:val="none"/>
          <w:lang w:val="en-US" w:eastAsia="zh-CN"/>
        </w:rPr>
        <w:t>设施</w:t>
      </w:r>
      <w:r>
        <w:rPr>
          <w:rFonts w:hint="eastAsia" w:ascii="宋体" w:hAnsi="宋体" w:eastAsia="宋体" w:cs="宋体"/>
          <w:b w:val="0"/>
          <w:bCs/>
          <w:color w:val="auto"/>
          <w:sz w:val="24"/>
          <w:szCs w:val="24"/>
          <w:highlight w:val="none"/>
          <w:lang w:eastAsia="zh-CN"/>
        </w:rPr>
        <w:t>、设备的恢复、修复，垃圾清运，以及税金、管理费等</w:t>
      </w:r>
      <w:r>
        <w:rPr>
          <w:rFonts w:hint="eastAsia" w:ascii="宋体" w:hAnsi="宋体" w:eastAsia="宋体" w:cs="宋体"/>
          <w:b w:val="0"/>
          <w:bCs/>
          <w:color w:val="auto"/>
          <w:sz w:val="24"/>
          <w:szCs w:val="24"/>
          <w:highlight w:val="none"/>
          <w:lang w:val="en-US" w:eastAsia="zh-CN"/>
        </w:rPr>
        <w:t>；</w:t>
      </w:r>
    </w:p>
    <w:p w14:paraId="0BE8B194">
      <w:pPr>
        <w:shd w:val="clea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与本项目施工相关的</w:t>
      </w:r>
      <w:r>
        <w:rPr>
          <w:rFonts w:hint="eastAsia" w:ascii="宋体" w:hAnsi="宋体" w:eastAsia="宋体" w:cs="宋体"/>
          <w:b w:val="0"/>
          <w:bCs/>
          <w:color w:val="auto"/>
          <w:sz w:val="24"/>
          <w:szCs w:val="24"/>
          <w:highlight w:val="none"/>
          <w:lang w:val="en-US" w:eastAsia="zh-CN"/>
        </w:rPr>
        <w:t>空气开关、配电箱等招标人要求的原有设施的拆除和搬运至指定地点的费用；</w:t>
      </w:r>
    </w:p>
    <w:p w14:paraId="55ECC92D">
      <w:pPr>
        <w:shd w:val="clear"/>
        <w:autoSpaceDE w:val="0"/>
        <w:autoSpaceDN w:val="0"/>
        <w:adjustRightInd w:val="0"/>
        <w:snapToGrid w:val="0"/>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（4）实现本项目软硬件与原有电能管理平台无缝对接所需的费用。</w:t>
      </w:r>
    </w:p>
    <w:p w14:paraId="4AAE1E4C">
      <w:pPr>
        <w:shd w:val="clear"/>
        <w:rPr>
          <w:rFonts w:ascii="宋体" w:hAnsi="宋体"/>
          <w:color w:val="auto"/>
          <w:kern w:val="0"/>
          <w:sz w:val="24"/>
          <w:highlight w:val="none"/>
        </w:rPr>
      </w:pPr>
    </w:p>
    <w:bookmarkEnd w:id="81"/>
    <w:bookmarkEnd w:id="82"/>
    <w:bookmarkEnd w:id="83"/>
    <w:bookmarkEnd w:id="84"/>
    <w:bookmarkEnd w:id="85"/>
    <w:p w14:paraId="729E5315">
      <w:pPr>
        <w:shd w:val="clear"/>
        <w:rPr>
          <w:rFonts w:ascii="黑体" w:hAnsi="黑体" w:eastAsia="黑体"/>
          <w:b/>
          <w:color w:val="auto"/>
          <w:sz w:val="44"/>
          <w:szCs w:val="44"/>
          <w:highlight w:val="none"/>
        </w:rPr>
      </w:pPr>
      <w:bookmarkStart w:id="95" w:name="_Toc958534192"/>
      <w:bookmarkStart w:id="96" w:name="_Toc30339"/>
      <w:bookmarkStart w:id="97" w:name="_Toc24468"/>
      <w:r>
        <w:rPr>
          <w:rFonts w:hint="eastAsia" w:ascii="黑体" w:hAnsi="黑体" w:eastAsia="黑体"/>
          <w:b/>
          <w:color w:val="auto"/>
          <w:sz w:val="44"/>
          <w:szCs w:val="44"/>
          <w:highlight w:val="none"/>
        </w:rPr>
        <w:br w:type="page"/>
      </w:r>
    </w:p>
    <w:p w14:paraId="795A000E">
      <w:pPr>
        <w:numPr>
          <w:ilvl w:val="0"/>
          <w:numId w:val="4"/>
        </w:numPr>
        <w:shd w:val="clear"/>
        <w:spacing w:line="360" w:lineRule="auto"/>
        <w:jc w:val="center"/>
        <w:outlineLvl w:val="0"/>
        <w:rPr>
          <w:rFonts w:ascii="黑体" w:hAnsi="黑体" w:eastAsia="黑体"/>
          <w:b/>
          <w:color w:val="auto"/>
          <w:sz w:val="44"/>
          <w:szCs w:val="44"/>
          <w:highlight w:val="none"/>
        </w:rPr>
      </w:pPr>
      <w:r>
        <w:rPr>
          <w:rFonts w:hint="eastAsia" w:ascii="黑体" w:hAnsi="黑体" w:eastAsia="黑体"/>
          <w:b/>
          <w:color w:val="auto"/>
          <w:sz w:val="44"/>
          <w:szCs w:val="44"/>
          <w:highlight w:val="none"/>
        </w:rPr>
        <w:t>买卖</w:t>
      </w:r>
      <w:r>
        <w:rPr>
          <w:rFonts w:ascii="黑体" w:hAnsi="黑体" w:eastAsia="黑体"/>
          <w:b/>
          <w:color w:val="auto"/>
          <w:sz w:val="44"/>
          <w:szCs w:val="44"/>
          <w:highlight w:val="none"/>
        </w:rPr>
        <w:t>合同</w:t>
      </w:r>
      <w:r>
        <w:rPr>
          <w:rFonts w:hint="eastAsia" w:ascii="黑体" w:hAnsi="黑体" w:eastAsia="黑体"/>
          <w:b/>
          <w:color w:val="auto"/>
          <w:sz w:val="44"/>
          <w:szCs w:val="44"/>
          <w:highlight w:val="none"/>
        </w:rPr>
        <w:t>（参考）</w:t>
      </w:r>
      <w:bookmarkEnd w:id="95"/>
    </w:p>
    <w:p w14:paraId="7058B408">
      <w:pPr>
        <w:keepNext w:val="0"/>
        <w:keepLines w:val="0"/>
        <w:pageBreakBefore w:val="0"/>
        <w:widowControl/>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项目名称：</w:t>
      </w:r>
      <w:r>
        <w:rPr>
          <w:rFonts w:hint="eastAsia" w:ascii="宋体" w:hAnsi="宋体" w:cs="宋体"/>
          <w:bCs/>
          <w:color w:val="auto"/>
          <w:kern w:val="0"/>
          <w:sz w:val="24"/>
          <w:szCs w:val="24"/>
          <w:highlight w:val="none"/>
          <w:lang w:val="en-US" w:eastAsia="zh-CN"/>
        </w:rPr>
        <w:t xml:space="preserve"> </w:t>
      </w:r>
      <w:r>
        <w:rPr>
          <w:rFonts w:hint="eastAsia" w:asciiTheme="minorEastAsia" w:hAnsiTheme="minorEastAsia" w:eastAsiaTheme="minorEastAsia" w:cstheme="minorEastAsia"/>
          <w:bCs/>
          <w:color w:val="auto"/>
          <w:kern w:val="0"/>
          <w:sz w:val="24"/>
          <w:szCs w:val="24"/>
          <w:highlight w:val="none"/>
        </w:rPr>
        <w:t>************</w:t>
      </w:r>
    </w:p>
    <w:p w14:paraId="03DD5542">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项目编号：</w:t>
      </w:r>
      <w:r>
        <w:rPr>
          <w:rFonts w:hint="eastAsia" w:ascii="宋体" w:hAnsi="宋体" w:cs="宋体"/>
          <w:bCs/>
          <w:color w:val="auto"/>
          <w:kern w:val="0"/>
          <w:sz w:val="24"/>
          <w:szCs w:val="24"/>
          <w:highlight w:val="none"/>
          <w:lang w:val="en-US" w:eastAsia="zh-CN"/>
        </w:rPr>
        <w:t xml:space="preserve"> </w:t>
      </w:r>
      <w:r>
        <w:rPr>
          <w:rFonts w:hint="eastAsia" w:asciiTheme="minorEastAsia" w:hAnsiTheme="minorEastAsia" w:eastAsiaTheme="minorEastAsia" w:cstheme="minorEastAsia"/>
          <w:bCs/>
          <w:color w:val="auto"/>
          <w:kern w:val="0"/>
          <w:sz w:val="24"/>
          <w:szCs w:val="24"/>
          <w:highlight w:val="none"/>
        </w:rPr>
        <w:t>************</w:t>
      </w:r>
    </w:p>
    <w:p w14:paraId="4FD6DB9C">
      <w:pPr>
        <w:keepNext w:val="0"/>
        <w:keepLines w:val="0"/>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标段信息：</w:t>
      </w:r>
      <w:r>
        <w:rPr>
          <w:rFonts w:hint="eastAsia" w:ascii="宋体" w:hAnsi="宋体" w:cs="宋体"/>
          <w:bCs/>
          <w:color w:val="auto"/>
          <w:kern w:val="0"/>
          <w:sz w:val="24"/>
          <w:szCs w:val="24"/>
          <w:highlight w:val="none"/>
          <w:lang w:val="en-US" w:eastAsia="zh-CN"/>
        </w:rPr>
        <w:t xml:space="preserve"> </w:t>
      </w:r>
      <w:r>
        <w:rPr>
          <w:rFonts w:hint="eastAsia" w:asciiTheme="minorEastAsia" w:hAnsiTheme="minorEastAsia" w:eastAsiaTheme="minorEastAsia" w:cstheme="minorEastAsia"/>
          <w:bCs/>
          <w:color w:val="auto"/>
          <w:kern w:val="0"/>
          <w:sz w:val="24"/>
          <w:szCs w:val="24"/>
          <w:highlight w:val="none"/>
        </w:rPr>
        <w:t>************</w:t>
      </w:r>
    </w:p>
    <w:p w14:paraId="3135CC96">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甲方</w:t>
      </w:r>
      <w:r>
        <w:rPr>
          <w:rFonts w:hint="eastAsia" w:asciiTheme="minorEastAsia" w:hAnsiTheme="minorEastAsia" w:eastAsiaTheme="minorEastAsia" w:cstheme="minorEastAsia"/>
          <w:bCs/>
          <w:color w:val="auto"/>
          <w:kern w:val="0"/>
          <w:sz w:val="24"/>
          <w:szCs w:val="24"/>
          <w:highlight w:val="none"/>
        </w:rPr>
        <w:t>：（采购人）台州学院</w:t>
      </w:r>
    </w:p>
    <w:p w14:paraId="083FF9D3">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所在地</w:t>
      </w:r>
      <w:r>
        <w:rPr>
          <w:rFonts w:hint="eastAsia" w:asciiTheme="minorEastAsia" w:hAnsiTheme="minorEastAsia" w:eastAsiaTheme="minorEastAsia" w:cstheme="minorEastAsia"/>
          <w:bCs/>
          <w:color w:val="auto"/>
          <w:kern w:val="0"/>
          <w:sz w:val="24"/>
          <w:szCs w:val="24"/>
          <w:highlight w:val="none"/>
        </w:rPr>
        <w:t>：浙江台州</w:t>
      </w:r>
    </w:p>
    <w:p w14:paraId="49DEF798">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 xml:space="preserve">乙方：（中标供应商）************ </w:t>
      </w:r>
    </w:p>
    <w:p w14:paraId="47708D6B">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所在地： ************</w:t>
      </w:r>
    </w:p>
    <w:p w14:paraId="65668153">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甲、乙双方根据台州学院关于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项目公开招标的结果，签署本合同。</w:t>
      </w:r>
    </w:p>
    <w:p w14:paraId="11A070E3">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strike/>
          <w:color w:val="auto"/>
          <w:kern w:val="0"/>
          <w:sz w:val="24"/>
          <w:szCs w:val="24"/>
          <w:highlight w:val="none"/>
        </w:rPr>
      </w:pPr>
      <w:r>
        <w:rPr>
          <w:rStyle w:val="58"/>
          <w:rFonts w:hint="eastAsia" w:asciiTheme="minorEastAsia" w:hAnsiTheme="minorEastAsia" w:eastAsiaTheme="minorEastAsia" w:cstheme="minorEastAsia"/>
          <w:b w:val="0"/>
          <w:bCs w:val="0"/>
          <w:color w:val="auto"/>
          <w:sz w:val="24"/>
          <w:szCs w:val="24"/>
          <w:highlight w:val="none"/>
        </w:rPr>
        <w:t>一、货物内容及合同价格</w:t>
      </w:r>
    </w:p>
    <w:tbl>
      <w:tblPr>
        <w:tblStyle w:val="2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85"/>
        <w:gridCol w:w="1623"/>
        <w:gridCol w:w="1921"/>
        <w:gridCol w:w="850"/>
        <w:gridCol w:w="1134"/>
        <w:gridCol w:w="1134"/>
      </w:tblGrid>
      <w:tr w14:paraId="0CC0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09" w:type="dxa"/>
            <w:noWrap w:val="0"/>
            <w:vAlign w:val="center"/>
          </w:tcPr>
          <w:p w14:paraId="6285057F">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序号</w:t>
            </w:r>
          </w:p>
        </w:tc>
        <w:tc>
          <w:tcPr>
            <w:tcW w:w="1885" w:type="dxa"/>
            <w:noWrap w:val="0"/>
            <w:vAlign w:val="center"/>
          </w:tcPr>
          <w:p w14:paraId="7B784944">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货物名称</w:t>
            </w:r>
          </w:p>
        </w:tc>
        <w:tc>
          <w:tcPr>
            <w:tcW w:w="1623" w:type="dxa"/>
            <w:noWrap w:val="0"/>
            <w:vAlign w:val="center"/>
          </w:tcPr>
          <w:p w14:paraId="0DD22C7E">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品牌、产地</w:t>
            </w:r>
          </w:p>
        </w:tc>
        <w:tc>
          <w:tcPr>
            <w:tcW w:w="1921" w:type="dxa"/>
            <w:noWrap w:val="0"/>
            <w:vAlign w:val="center"/>
          </w:tcPr>
          <w:p w14:paraId="4626C553">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型号规格</w:t>
            </w:r>
          </w:p>
        </w:tc>
        <w:tc>
          <w:tcPr>
            <w:tcW w:w="850" w:type="dxa"/>
            <w:noWrap w:val="0"/>
            <w:vAlign w:val="center"/>
          </w:tcPr>
          <w:p w14:paraId="30857C6F">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数量</w:t>
            </w:r>
          </w:p>
        </w:tc>
        <w:tc>
          <w:tcPr>
            <w:tcW w:w="1134" w:type="dxa"/>
            <w:noWrap w:val="0"/>
            <w:vAlign w:val="center"/>
          </w:tcPr>
          <w:p w14:paraId="390CECC3">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单价（元）</w:t>
            </w:r>
          </w:p>
        </w:tc>
        <w:tc>
          <w:tcPr>
            <w:tcW w:w="1134" w:type="dxa"/>
            <w:noWrap w:val="0"/>
            <w:vAlign w:val="center"/>
          </w:tcPr>
          <w:p w14:paraId="37F8DC4D">
            <w:pPr>
              <w:keepNext w:val="0"/>
              <w:keepLines w:val="0"/>
              <w:pageBreakBefore w:val="0"/>
              <w:shd w:val="clear"/>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总价（元）</w:t>
            </w:r>
          </w:p>
        </w:tc>
      </w:tr>
      <w:tr w14:paraId="29B1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73AD242B">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885" w:type="dxa"/>
            <w:noWrap w:val="0"/>
            <w:vAlign w:val="center"/>
          </w:tcPr>
          <w:p w14:paraId="5A630A89">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623" w:type="dxa"/>
            <w:noWrap w:val="0"/>
            <w:vAlign w:val="center"/>
          </w:tcPr>
          <w:p w14:paraId="6289379B">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921" w:type="dxa"/>
            <w:noWrap w:val="0"/>
            <w:vAlign w:val="center"/>
          </w:tcPr>
          <w:p w14:paraId="3B803C29">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850" w:type="dxa"/>
            <w:noWrap w:val="0"/>
            <w:vAlign w:val="center"/>
          </w:tcPr>
          <w:p w14:paraId="4C50D78E">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noWrap w:val="0"/>
            <w:vAlign w:val="center"/>
          </w:tcPr>
          <w:p w14:paraId="40DE4C66">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tcBorders>
              <w:bottom w:val="single" w:color="auto" w:sz="4" w:space="0"/>
            </w:tcBorders>
            <w:noWrap w:val="0"/>
            <w:vAlign w:val="center"/>
          </w:tcPr>
          <w:p w14:paraId="3C3DC7FA">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r>
      <w:tr w14:paraId="2D77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noWrap w:val="0"/>
            <w:vAlign w:val="center"/>
          </w:tcPr>
          <w:p w14:paraId="76C3387C">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885" w:type="dxa"/>
            <w:noWrap w:val="0"/>
            <w:vAlign w:val="center"/>
          </w:tcPr>
          <w:p w14:paraId="396F22E8">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623" w:type="dxa"/>
            <w:noWrap w:val="0"/>
            <w:vAlign w:val="center"/>
          </w:tcPr>
          <w:p w14:paraId="0477F56F">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921" w:type="dxa"/>
            <w:noWrap w:val="0"/>
            <w:vAlign w:val="center"/>
          </w:tcPr>
          <w:p w14:paraId="5B0A6A8F">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850" w:type="dxa"/>
            <w:noWrap w:val="0"/>
            <w:vAlign w:val="center"/>
          </w:tcPr>
          <w:p w14:paraId="478C7D1C">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noWrap w:val="0"/>
            <w:vAlign w:val="center"/>
          </w:tcPr>
          <w:p w14:paraId="296B93A5">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c>
          <w:tcPr>
            <w:tcW w:w="1134" w:type="dxa"/>
            <w:tcBorders>
              <w:bottom w:val="single" w:color="auto" w:sz="4" w:space="0"/>
            </w:tcBorders>
            <w:noWrap w:val="0"/>
            <w:vAlign w:val="center"/>
          </w:tcPr>
          <w:p w14:paraId="5E5B3747">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r>
      <w:tr w14:paraId="6B32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22" w:type="dxa"/>
            <w:gridSpan w:val="6"/>
            <w:noWrap w:val="0"/>
            <w:vAlign w:val="center"/>
          </w:tcPr>
          <w:p w14:paraId="7482191D">
            <w:pPr>
              <w:keepNext w:val="0"/>
              <w:keepLines w:val="0"/>
              <w:pageBreakBefore w:val="0"/>
              <w:shd w:val="clear"/>
              <w:tabs>
                <w:tab w:val="left" w:pos="18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合计：</w:t>
            </w:r>
          </w:p>
        </w:tc>
        <w:tc>
          <w:tcPr>
            <w:tcW w:w="1134" w:type="dxa"/>
            <w:noWrap w:val="0"/>
            <w:vAlign w:val="center"/>
          </w:tcPr>
          <w:p w14:paraId="1AF29091">
            <w:pPr>
              <w:keepNext w:val="0"/>
              <w:keepLines w:val="0"/>
              <w:pageBreakBefore w:val="0"/>
              <w:shd w:val="clear"/>
              <w:tabs>
                <w:tab w:val="left" w:pos="180"/>
              </w:tabs>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p>
        </w:tc>
      </w:tr>
      <w:tr w14:paraId="5836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56" w:type="dxa"/>
            <w:gridSpan w:val="7"/>
            <w:noWrap w:val="0"/>
            <w:vAlign w:val="center"/>
          </w:tcPr>
          <w:p w14:paraId="1A6A82A3">
            <w:pPr>
              <w:keepNext w:val="0"/>
              <w:keepLines w:val="0"/>
              <w:pageBreakBefore w:val="0"/>
              <w:shd w:val="clear"/>
              <w:tabs>
                <w:tab w:val="left" w:pos="180"/>
              </w:tabs>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合同总价（人民币大写）： </w:t>
            </w:r>
          </w:p>
        </w:tc>
      </w:tr>
    </w:tbl>
    <w:p w14:paraId="57DE1FB9">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注：1.以上货物内容不清楚的详见招标文件或附件清单。</w:t>
      </w:r>
    </w:p>
    <w:p w14:paraId="364ACFC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2.以上合同总价包含货物送达</w:t>
      </w:r>
      <w:r>
        <w:rPr>
          <w:rFonts w:hint="eastAsia" w:asciiTheme="minorEastAsia" w:hAnsiTheme="minorEastAsia" w:eastAsiaTheme="minorEastAsia" w:cstheme="minorEastAsia"/>
          <w:color w:val="auto"/>
          <w:sz w:val="24"/>
          <w:szCs w:val="24"/>
          <w:highlight w:val="none"/>
          <w:lang w:val="en-US" w:eastAsia="zh-CN"/>
        </w:rPr>
        <w:t>甲方或甲方指定地点</w:t>
      </w:r>
      <w:r>
        <w:rPr>
          <w:rFonts w:hint="eastAsia" w:asciiTheme="minorEastAsia" w:hAnsiTheme="minorEastAsia" w:eastAsiaTheme="minorEastAsia" w:cstheme="minorEastAsia"/>
          <w:color w:val="auto"/>
          <w:sz w:val="24"/>
          <w:szCs w:val="24"/>
          <w:highlight w:val="none"/>
        </w:rPr>
        <w:t>并能正常使用所需的一切费用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包括但不限于货物本身价格、运输费、装车费、安装和调试费、保险费等。甲方不再支付上述价款外的其他任何费用</w:t>
      </w:r>
      <w:r>
        <w:rPr>
          <w:rFonts w:hint="eastAsia" w:asciiTheme="minorEastAsia" w:hAnsiTheme="minorEastAsia" w:eastAsiaTheme="minorEastAsia" w:cstheme="minorEastAsia"/>
          <w:color w:val="auto"/>
          <w:sz w:val="24"/>
          <w:szCs w:val="24"/>
          <w:highlight w:val="none"/>
        </w:rPr>
        <w:t>。</w:t>
      </w:r>
    </w:p>
    <w:p w14:paraId="1EC3AB45">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二、技术资料</w:t>
      </w:r>
    </w:p>
    <w:p w14:paraId="36D85E81">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1.乙方应按招标文件规定的时间向甲方提供使用货物的有关技术资料。</w:t>
      </w:r>
    </w:p>
    <w:p w14:paraId="4C5D59E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rPr>
        <w:t>范围</w:t>
      </w:r>
      <w:bookmarkStart w:id="98" w:name="OLE_LINK1"/>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否则由乙方承担全部责任。</w:t>
      </w:r>
      <w:bookmarkEnd w:id="98"/>
    </w:p>
    <w:p w14:paraId="480989DA">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三、知识产权</w:t>
      </w:r>
    </w:p>
    <w:p w14:paraId="4367755B">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乙方应保证所提供的货物或其任何一部分均不会侵犯任何第三方的知识产权。如果任何第三方向甲方提起侵权索赔，乙方应负责与之进行交涉，造成甲方损失的后果均由乙方承担。</w:t>
      </w:r>
    </w:p>
    <w:p w14:paraId="4D69102D">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四、产权担保</w:t>
      </w:r>
    </w:p>
    <w:p w14:paraId="4FE9E70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乙方保证所交付的货物的所有权完全属于乙方且无任何抵押、查封等权利瑕疵，否则由乙方承担全部责任。</w:t>
      </w:r>
    </w:p>
    <w:p w14:paraId="3D2DC449">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五、转包或分包</w:t>
      </w:r>
    </w:p>
    <w:p w14:paraId="59CEFE59">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1.本合同范围的货物，应由乙方直接供应，不得转让他人供应；</w:t>
      </w:r>
    </w:p>
    <w:p w14:paraId="77F5F7C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2.除非得到甲方的书面同意，乙方不得将本合同范围的货物全部或部分分包给他人供应；</w:t>
      </w:r>
    </w:p>
    <w:p w14:paraId="265AA5B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3.如有转让和未经甲方同意的分包行为，甲方有权解除合同，并</w:t>
      </w:r>
      <w:r>
        <w:rPr>
          <w:rFonts w:hint="eastAsia" w:asciiTheme="minorEastAsia" w:hAnsiTheme="minorEastAsia" w:eastAsiaTheme="minorEastAsia" w:cstheme="minorEastAsia"/>
          <w:color w:val="auto"/>
          <w:kern w:val="0"/>
          <w:sz w:val="24"/>
          <w:szCs w:val="24"/>
          <w:highlight w:val="none"/>
          <w:lang w:val="en-US" w:eastAsia="zh-CN"/>
        </w:rPr>
        <w:t>按本合同第十三条的约定</w:t>
      </w:r>
      <w:r>
        <w:rPr>
          <w:rFonts w:hint="eastAsia" w:asciiTheme="minorEastAsia" w:hAnsiTheme="minorEastAsia" w:eastAsiaTheme="minorEastAsia" w:cstheme="minorEastAsia"/>
          <w:color w:val="auto"/>
          <w:kern w:val="0"/>
          <w:sz w:val="24"/>
          <w:szCs w:val="24"/>
          <w:highlight w:val="none"/>
        </w:rPr>
        <w:t>追究乙方的违约责任。</w:t>
      </w:r>
    </w:p>
    <w:p w14:paraId="7ACC8199">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六、质保期</w:t>
      </w:r>
    </w:p>
    <w:p w14:paraId="5DFFD8A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质保期为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p>
    <w:p w14:paraId="39B91553">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val="0"/>
          <w:bCs w:val="0"/>
          <w:color w:val="auto"/>
          <w:sz w:val="24"/>
          <w:szCs w:val="24"/>
          <w:highlight w:val="none"/>
        </w:rPr>
        <w:t>七、交货时间、交货方式及交货地点</w:t>
      </w:r>
    </w:p>
    <w:p w14:paraId="69BB2A2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1.交货时间：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交货；</w:t>
      </w:r>
    </w:p>
    <w:p w14:paraId="63F7446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2.交货方式：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，运费、装卸费</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由乙方负责；</w:t>
      </w:r>
    </w:p>
    <w:p w14:paraId="594835A3">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3.交货地点：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5383659">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八、货款支付</w:t>
      </w:r>
    </w:p>
    <w:p w14:paraId="3E17A3E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付款方式。合同签订后，甲方（台州学院，以下简称甲方）向乙方（中标供应商，以下简称乙方）支付50%的合同款项作为预付款；采购的货物到位后，乙方安装调试完成，经台州学院该项目验收小组组织验收，验收合格后，在乙方票证齐全，且符合甲方付款流程的前提下，甲方一次性付清剩余款项。</w:t>
      </w:r>
      <w:r>
        <w:rPr>
          <w:rFonts w:hint="eastAsia" w:asciiTheme="minorEastAsia" w:hAnsiTheme="minorEastAsia" w:eastAsiaTheme="minorEastAsia" w:cstheme="minorEastAsia"/>
          <w:color w:val="auto"/>
          <w:kern w:val="0"/>
          <w:sz w:val="24"/>
          <w:szCs w:val="24"/>
          <w:highlight w:val="none"/>
          <w:lang w:val="en-US" w:eastAsia="zh-CN"/>
        </w:rPr>
        <w:t>每次付款先开票后付款，</w:t>
      </w:r>
      <w:r>
        <w:rPr>
          <w:rFonts w:hint="eastAsia" w:asciiTheme="minorEastAsia" w:hAnsiTheme="minorEastAsia" w:eastAsiaTheme="minorEastAsia" w:cstheme="minorEastAsia"/>
          <w:color w:val="auto"/>
          <w:kern w:val="0"/>
          <w:sz w:val="24"/>
          <w:szCs w:val="24"/>
          <w:highlight w:val="none"/>
        </w:rPr>
        <w:t>否则甲方有权拒绝付款，不视为违约。开具发票为增值税专用发票。</w:t>
      </w:r>
    </w:p>
    <w:p w14:paraId="145A6F4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2.当采购数量与实际使用数量不一致时，乙方应根据实际使用量供货，合同的最终结算金额按实际使用量乘以成交单价进行计算。</w:t>
      </w:r>
    </w:p>
    <w:p w14:paraId="6442675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3.因进口货物无法办理免税手续的，甲方可以解除该货物的采购合同，并应当及时通知乙方，因此造成的损失由乙方承担。</w:t>
      </w:r>
    </w:p>
    <w:p w14:paraId="6C6EFC8B">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九、税费</w:t>
      </w:r>
    </w:p>
    <w:p w14:paraId="5153FB5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本合同执行中相关的一切税费均由乙方负担。</w:t>
      </w:r>
    </w:p>
    <w:p w14:paraId="09F7DF52">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十、质量保证及售后服务</w:t>
      </w:r>
    </w:p>
    <w:p w14:paraId="2D73AC7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1.乙方应按招标文件规定的货物性能、技术要求、质量标准向甲方提供未经使用的全新原装正品，相关的配套附件质量优良，数量齐全。</w:t>
      </w:r>
    </w:p>
    <w:p w14:paraId="1CB03FF9">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2.乙方提供的货物在质保期内非因人为原因发生故障，乙方应负责免费更换。对达不到技术要求者，根据实际情况，经双方协商，可按以下办法处理：</w:t>
      </w:r>
    </w:p>
    <w:p w14:paraId="21AE4D5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⑴更换：由乙方承担所发生的全部费用。</w:t>
      </w:r>
    </w:p>
    <w:p w14:paraId="1283706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⑵贬值处理：由甲乙双方合议定价。</w:t>
      </w:r>
    </w:p>
    <w:p w14:paraId="308D7224">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⑶退货处理：乙方应退还甲方支付的合同款，同时应承担该货物的直接费用（运输、保险、检验、货款利息及银行手续费等）。</w:t>
      </w:r>
    </w:p>
    <w:p w14:paraId="60238840">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上述三种方式如协商不成，甲方有权直接自行选择上述三项处理方式任一项进行处理，乙方不得异议。</w:t>
      </w:r>
    </w:p>
    <w:p w14:paraId="155EDCD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3.质保期内如在使用过程中发生质量问题，乙方在接到甲方通知后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小时内给与答复，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小时内派员赶赴现场予以解决。否则，应按每次500元支付甲方违约金。同一质量问题，如修理超过3次，甲方有权提出更换商品，乙方必须更换。否则，甲方因此支出的全部费用由乙方承担。质保期外，乙方应在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小时内作出响应，</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个工作日内到达甲方现场维修，一般故障应在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小时内修复，重大故障应在</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小时内修复。</w:t>
      </w:r>
    </w:p>
    <w:p w14:paraId="19C1557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在质保期内，乙方应对货物出现的质量及安全问题负责处理解决并承担一切费用及责任。质保期过后，乙方提供终身维修服务，能提供广泛、即时、优惠的技术服务，并提供质量上乘、价格合理的各种配件。乙方保证供应货物质保期后3年内所需的备品、备件，并给出详细清单（品名、货号、生产厂家、数量、价格等）。</w:t>
      </w:r>
    </w:p>
    <w:p w14:paraId="1B87E8D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5.乙方终身免费提供应用咨询及技术帮助，质保期内，易损件和外购件根据原厂家质保期和国家质保标准保修，因人为因素出现的故障酌情收取材料费</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免收人工费</w:t>
      </w:r>
      <w:r>
        <w:rPr>
          <w:rFonts w:hint="eastAsia" w:asciiTheme="minorEastAsia" w:hAnsiTheme="minorEastAsia" w:eastAsiaTheme="minorEastAsia" w:cstheme="minorEastAsia"/>
          <w:color w:val="auto"/>
          <w:kern w:val="0"/>
          <w:sz w:val="24"/>
          <w:szCs w:val="24"/>
          <w:highlight w:val="none"/>
        </w:rPr>
        <w:t>；质保期外实行有偿服务。</w:t>
      </w:r>
    </w:p>
    <w:p w14:paraId="20420603">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十一、调试和验收</w:t>
      </w:r>
    </w:p>
    <w:p w14:paraId="392A621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1.甲方对乙方提交的货物依据招标文件上的技术规格要求和国家有关质量标准进行现场初步验收，外观、说明书符合招标文件技术要求的，给予签收，初步验收</w:t>
      </w:r>
      <w:r>
        <w:rPr>
          <w:rFonts w:hint="eastAsia" w:asciiTheme="minorEastAsia" w:hAnsiTheme="minorEastAsia" w:eastAsiaTheme="minorEastAsia" w:cstheme="minorEastAsia"/>
          <w:color w:val="auto"/>
          <w:kern w:val="0"/>
          <w:sz w:val="24"/>
          <w:szCs w:val="24"/>
          <w:highlight w:val="none"/>
          <w:lang w:val="en-US" w:eastAsia="zh-CN"/>
        </w:rPr>
        <w:t>不符合约定</w:t>
      </w:r>
      <w:r>
        <w:rPr>
          <w:rFonts w:hint="eastAsia" w:asciiTheme="minorEastAsia" w:hAnsiTheme="minorEastAsia" w:eastAsiaTheme="minorEastAsia" w:cstheme="minorEastAsia"/>
          <w:color w:val="auto"/>
          <w:kern w:val="0"/>
          <w:sz w:val="24"/>
          <w:szCs w:val="24"/>
          <w:highlight w:val="none"/>
        </w:rPr>
        <w:t>的不予签收。</w:t>
      </w:r>
    </w:p>
    <w:p w14:paraId="6575950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2.乙方交货前应对产品做出全面检查和对验收文件进行整理，并列出清单，作为甲方收货验收和使用的技术条件依据，检验的结果应随货物交甲方。</w:t>
      </w:r>
    </w:p>
    <w:p w14:paraId="495B1C99">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3.乙方对安装仪器的实验室工作条件应提出具体要求，并在安装前予以确认。</w:t>
      </w:r>
    </w:p>
    <w:p w14:paraId="2A46A31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4.货物到达甲方指定交货地点后，根据甲方的时间安排，乙方在接到甲方通知后</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天内进行安装调试，直到符合技术要求，甲方才做最终验收。</w:t>
      </w:r>
      <w:r>
        <w:rPr>
          <w:rFonts w:hint="eastAsia" w:asciiTheme="minorEastAsia" w:hAnsiTheme="minorEastAsia" w:eastAsiaTheme="minorEastAsia" w:cstheme="minorEastAsia"/>
          <w:color w:val="auto"/>
          <w:kern w:val="0"/>
          <w:sz w:val="24"/>
          <w:szCs w:val="24"/>
          <w:highlight w:val="none"/>
          <w:lang w:val="en-US" w:eastAsia="zh-CN"/>
        </w:rPr>
        <w:t>乙方施工期间，乙方的人身安全，及因乙方施工造成的甲方及第三方人员的人身安全，全部由乙方负责，与甲方无关。</w:t>
      </w:r>
      <w:r>
        <w:rPr>
          <w:rFonts w:hint="eastAsia" w:asciiTheme="minorEastAsia" w:hAnsiTheme="minorEastAsia" w:eastAsiaTheme="minorEastAsia" w:cstheme="minorEastAsia"/>
          <w:color w:val="auto"/>
          <w:kern w:val="0"/>
          <w:sz w:val="24"/>
          <w:szCs w:val="24"/>
          <w:highlight w:val="none"/>
        </w:rPr>
        <w:t>安装调试合格后，乙方负责对甲方技术人员（至少2人）进行免费现场培训，培训内容包括仪器的性能、原理、操作、保养和维护等，培训日程视实际情况另定。</w:t>
      </w:r>
    </w:p>
    <w:p w14:paraId="349A652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5.对技术复杂的货物，甲方可请国家认可的专业检测机构参与初步验收及最终验收，并由其出具质量检测报告。</w:t>
      </w:r>
    </w:p>
    <w:p w14:paraId="21E5ED54">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6.验收时乙方必须在现场，验收完毕后作出验收结果报告；验收费用由乙方负责。如乙方拒不到场，视为其同意甲方之验收结果并不得异议。</w:t>
      </w:r>
    </w:p>
    <w:p w14:paraId="67A5AA43">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7.因乙方人员在合同履行过程中造成甲方或其自身人身或财产损害，由乙方承担全部责任。</w:t>
      </w:r>
    </w:p>
    <w:p w14:paraId="13D50245">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十二、货物包装、发运及运输</w:t>
      </w:r>
    </w:p>
    <w:p w14:paraId="2C546343">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1.乙方应在货物发运前对其进行满足运输距离、防潮、防震、防锈和防破损装卸等要求包装，以保证货物安全运达甲方指定地点。</w:t>
      </w:r>
    </w:p>
    <w:p w14:paraId="268C1DB4">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2.使用说明书、质量检验证明书、随配附件和工具以及清单一并附于货物内。</w:t>
      </w:r>
    </w:p>
    <w:p w14:paraId="49B4557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3.乙方在货物发运手续办理完毕后24小时内或货到甲方48</w:t>
      </w:r>
      <w:r>
        <w:rPr>
          <w:rFonts w:hint="eastAsia" w:asciiTheme="minorEastAsia" w:hAnsiTheme="minorEastAsia" w:eastAsiaTheme="minorEastAsia" w:cstheme="minorEastAsia"/>
          <w:color w:val="auto"/>
          <w:sz w:val="24"/>
          <w:szCs w:val="24"/>
          <w:highlight w:val="none"/>
        </w:rPr>
        <w:t>小时前通知甲方</w:t>
      </w:r>
      <w:r>
        <w:rPr>
          <w:rFonts w:hint="eastAsia" w:asciiTheme="minorEastAsia" w:hAnsiTheme="minorEastAsia" w:eastAsiaTheme="minorEastAsia" w:cstheme="minorEastAsia"/>
          <w:color w:val="auto"/>
          <w:kern w:val="0"/>
          <w:sz w:val="24"/>
          <w:szCs w:val="24"/>
          <w:highlight w:val="none"/>
        </w:rPr>
        <w:t>，以准备接货。</w:t>
      </w:r>
    </w:p>
    <w:p w14:paraId="3C82837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4.货物在交付甲方前发生的风险均由乙方负责。</w:t>
      </w:r>
    </w:p>
    <w:p w14:paraId="3F2462C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5.货物在约定的交付期限内由乙方送达甲方指定的地点，乙方同时需通知甲方货物已送达，并与甲方工作人员办理交接手续，否则视为未交付。</w:t>
      </w:r>
    </w:p>
    <w:p w14:paraId="20C8C1A3">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十三、违约责任</w:t>
      </w:r>
    </w:p>
    <w:p w14:paraId="15E19482">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1.甲方无正当理由拒收货物的，甲方向乙方偿付拒收货款总值的百分之五违约金。</w:t>
      </w:r>
    </w:p>
    <w:p w14:paraId="08CCDA48">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2.甲方无故逾期验收和办理货款支付手续的,甲方应按逾期付款总额每日万分之五向乙方支付违约金。</w:t>
      </w:r>
    </w:p>
    <w:p w14:paraId="2FD6D09E">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乙方逾期交付货物的，乙方应按逾期交货总额每日千分之六向甲方支付违约金，甲方可直接从待付货款中扣除。乙方逾期超过约定日期10日不能交货的或有其他违约行为的，甲方有权解除合同，预付款返还甲方，并且乙方应向甲方支付合同总价20%的违约金，如造成甲方损失超过违约金的，超出部分由乙方继续承担赔偿责任。</w:t>
      </w:r>
    </w:p>
    <w:p w14:paraId="26190C5C">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乙方所交的货物品种、型号、规格、技术参数、质量不符合合同约定及招标文件规定标准的，甲方有权拒收该货物，乙方愿意更换货物但逾期交货的，按乙方逾期交货处理。乙方拒绝更换货物的，甲方可单方面解除合同，预付款返还甲方，并向甲方支付合同总价20%的违约金，如造成甲方的损失超过违约金的，乙方理应继续承担赔偿责任。</w:t>
      </w:r>
    </w:p>
    <w:p w14:paraId="3A7BC0F4">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5.若发生纠纷，由违约方赔偿守约方因纠纷所支付的费用（包括但不限于律师费、差旅费、诉讼费、保全费、鉴定费、评估费等）。</w:t>
      </w:r>
    </w:p>
    <w:p w14:paraId="711F672A">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十四、不可抗力</w:t>
      </w:r>
    </w:p>
    <w:p w14:paraId="29A9754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1.在合同有效期内，任何一方因不可抗力事件导致不能履行合同，则合同履行期可延长，其延长期与不可抗力影响期相同。</w:t>
      </w:r>
    </w:p>
    <w:p w14:paraId="182EEED9">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2.不可抗力事件发生后，应立即通知对方，并寄送有关权威机构出具的证明。</w:t>
      </w:r>
    </w:p>
    <w:p w14:paraId="2129ADCD">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3.不可抗力事件延续60天以上，双方应通过友好协商，确定是否继续履行合同。</w:t>
      </w:r>
    </w:p>
    <w:p w14:paraId="40023045">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十五、解决合同纠纷方式</w:t>
      </w:r>
    </w:p>
    <w:p w14:paraId="01D408B6">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双方在执行合同中所发生的一切争议，应通过协商解决。如协商不成，依法向甲方所在地人民法院提起诉讼。</w:t>
      </w:r>
    </w:p>
    <w:p w14:paraId="55612EE4">
      <w:pPr>
        <w:pStyle w:val="23"/>
        <w:keepNext w:val="0"/>
        <w:keepLines w:val="0"/>
        <w:pageBreakBefore w:val="0"/>
        <w:shd w:val="clear"/>
        <w:kinsoku/>
        <w:wordWrap/>
        <w:overflowPunct/>
        <w:topLinePunct w:val="0"/>
        <w:autoSpaceDE/>
        <w:autoSpaceDN/>
        <w:bidi w:val="0"/>
        <w:adjustRightInd/>
        <w:spacing w:before="0" w:after="0"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十六、合同生效及其它</w:t>
      </w:r>
    </w:p>
    <w:p w14:paraId="0CF37C5B">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1.合同经双方法定代表人或授权代表签字并加盖单位公章后生效。</w:t>
      </w:r>
    </w:p>
    <w:p w14:paraId="54A077F7">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2.本合同未尽事宜，遵照《民法典》及有关规定执行。</w:t>
      </w:r>
    </w:p>
    <w:p w14:paraId="4C1AE1A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3.本合同一式柒份，甲方执伍份、乙方执贰份。本项目未尽事宜以招标文件、投标文件及澄清文件等为准。</w:t>
      </w:r>
    </w:p>
    <w:p w14:paraId="4C7D36F8">
      <w:pPr>
        <w:keepNext w:val="0"/>
        <w:keepLines w:val="0"/>
        <w:pageBreakBefore w:val="0"/>
        <w:widowControl/>
        <w:shd w:val="clea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p>
    <w:p w14:paraId="2AAD1179">
      <w:pPr>
        <w:keepNext w:val="0"/>
        <w:keepLines w:val="0"/>
        <w:pageBreakBefore w:val="0"/>
        <w:widowControl/>
        <w:shd w:val="clear"/>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p>
    <w:p w14:paraId="5D0CCC2C">
      <w:pPr>
        <w:keepNext w:val="0"/>
        <w:keepLines w:val="0"/>
        <w:pageBreakBefore w:val="0"/>
        <w:shd w:val="clear"/>
        <w:kinsoku/>
        <w:wordWrap/>
        <w:overflowPunct/>
        <w:topLinePunct w:val="0"/>
        <w:autoSpaceDE/>
        <w:autoSpaceDN/>
        <w:bidi w:val="0"/>
        <w:adjustRightInd/>
        <w:spacing w:line="360" w:lineRule="auto"/>
        <w:ind w:left="5880" w:hanging="5880" w:hangingChars="24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甲方（公章）台州学院                  乙方（公章）</w:t>
      </w:r>
    </w:p>
    <w:p w14:paraId="2775ACBB">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                          法定代表人：</w:t>
      </w:r>
    </w:p>
    <w:p w14:paraId="6C10E920">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                          委托代理人：</w:t>
      </w:r>
    </w:p>
    <w:p w14:paraId="3A7C658A">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联系电话：0576-88660896               联系电话：</w:t>
      </w:r>
    </w:p>
    <w:p w14:paraId="72B7FBB0">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开户银行：建行台州市分行              开户银行： </w:t>
      </w:r>
    </w:p>
    <w:p w14:paraId="3497129E">
      <w:pPr>
        <w:keepNext w:val="0"/>
        <w:keepLines w:val="0"/>
        <w:pageBreakBefore w:val="0"/>
        <w:shd w:val="clea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r>
        <w:rPr>
          <w:rFonts w:hint="eastAsia" w:asciiTheme="minorEastAsia" w:hAnsiTheme="minorEastAsia" w:eastAsiaTheme="minorEastAsia" w:cstheme="minorEastAsia"/>
          <w:color w:val="auto"/>
          <w:kern w:val="0"/>
          <w:sz w:val="24"/>
          <w:szCs w:val="24"/>
          <w:highlight w:val="none"/>
        </w:rPr>
        <w:t>33050166350000000852</w:t>
      </w:r>
      <w:r>
        <w:rPr>
          <w:rFonts w:hint="eastAsia" w:asciiTheme="minorEastAsia" w:hAnsiTheme="minorEastAsia" w:eastAsiaTheme="minorEastAsia" w:cstheme="minorEastAsia"/>
          <w:color w:val="auto"/>
          <w:sz w:val="24"/>
          <w:szCs w:val="24"/>
          <w:highlight w:val="none"/>
        </w:rPr>
        <w:t xml:space="preserve">            账号：</w:t>
      </w:r>
    </w:p>
    <w:p w14:paraId="0E4B9EB5">
      <w:pPr>
        <w:keepNext w:val="0"/>
        <w:keepLines w:val="0"/>
        <w:pageBreakBefore w:val="0"/>
        <w:shd w:val="clear"/>
        <w:kinsoku/>
        <w:wordWrap/>
        <w:overflowPunct/>
        <w:topLinePunct w:val="0"/>
        <w:autoSpaceDE/>
        <w:autoSpaceDN/>
        <w:bidi w:val="0"/>
        <w:adjustRightInd/>
        <w:spacing w:line="360" w:lineRule="auto"/>
        <w:ind w:left="3800" w:hanging="3800" w:hangingChars="19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0"/>
          <w:sz w:val="24"/>
          <w:szCs w:val="24"/>
          <w:highlight w:val="none"/>
        </w:rPr>
        <w:t>地址：</w:t>
      </w:r>
      <w:r>
        <w:rPr>
          <w:rFonts w:hint="eastAsia" w:asciiTheme="minorEastAsia" w:hAnsiTheme="minorEastAsia" w:eastAsiaTheme="minorEastAsia" w:cstheme="minorEastAsia"/>
          <w:color w:val="auto"/>
          <w:sz w:val="24"/>
          <w:szCs w:val="24"/>
          <w:highlight w:val="none"/>
        </w:rPr>
        <w:t xml:space="preserve">台州市椒江区市府大道1139号      </w:t>
      </w:r>
      <w:r>
        <w:rPr>
          <w:rFonts w:hint="eastAsia" w:asciiTheme="minorEastAsia" w:hAnsiTheme="minorEastAsia" w:eastAsiaTheme="minorEastAsia" w:cstheme="minorEastAsia"/>
          <w:color w:val="auto"/>
          <w:spacing w:val="-20"/>
          <w:sz w:val="24"/>
          <w:szCs w:val="24"/>
          <w:highlight w:val="none"/>
        </w:rPr>
        <w:t>地址：</w:t>
      </w:r>
    </w:p>
    <w:p w14:paraId="73AF19FE">
      <w:pPr>
        <w:keepNext w:val="0"/>
        <w:keepLines w:val="0"/>
        <w:pageBreakBefore w:val="0"/>
        <w:shd w:val="clear"/>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62C8D9B6">
      <w:pPr>
        <w:shd w:val="clear"/>
        <w:spacing w:line="360" w:lineRule="auto"/>
        <w:jc w:val="right"/>
        <w:rPr>
          <w:rFonts w:ascii="宋体" w:hAnsi="宋体" w:cs="宋体"/>
          <w:color w:val="auto"/>
          <w:sz w:val="24"/>
          <w:highlight w:val="none"/>
        </w:rPr>
      </w:pPr>
      <w:r>
        <w:rPr>
          <w:rFonts w:hint="eastAsia" w:ascii="宋体" w:hAnsi="宋体" w:cs="宋体"/>
          <w:color w:val="auto"/>
          <w:sz w:val="24"/>
          <w:highlight w:val="none"/>
        </w:rPr>
        <w:t>签订时间：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3800E6F4">
      <w:pPr>
        <w:shd w:val="clear"/>
        <w:rPr>
          <w:rFonts w:ascii="仿宋" w:hAnsi="仿宋" w:eastAsia="仿宋"/>
          <w:color w:val="auto"/>
          <w:highlight w:val="none"/>
        </w:rPr>
      </w:pPr>
    </w:p>
    <w:p w14:paraId="0BF583A8">
      <w:pPr>
        <w:shd w:val="clear"/>
        <w:spacing w:line="360" w:lineRule="auto"/>
        <w:jc w:val="center"/>
        <w:rPr>
          <w:rFonts w:ascii="宋体" w:hAnsi="宋体" w:cs="宋体"/>
          <w:b/>
          <w:bCs/>
          <w:color w:val="auto"/>
          <w:sz w:val="36"/>
          <w:szCs w:val="44"/>
          <w:highlight w:val="none"/>
        </w:rPr>
      </w:pPr>
    </w:p>
    <w:p w14:paraId="03C1844C">
      <w:pPr>
        <w:pStyle w:val="34"/>
        <w:shd w:val="clear"/>
        <w:rPr>
          <w:rFonts w:ascii="宋体" w:hAnsi="宋体" w:cs="宋体"/>
          <w:b/>
          <w:bCs/>
          <w:color w:val="auto"/>
          <w:sz w:val="36"/>
          <w:szCs w:val="44"/>
          <w:highlight w:val="none"/>
        </w:rPr>
      </w:pPr>
    </w:p>
    <w:p w14:paraId="47BF5E0D">
      <w:pPr>
        <w:pStyle w:val="8"/>
        <w:shd w:val="clear"/>
        <w:jc w:val="center"/>
        <w:rPr>
          <w:color w:val="auto"/>
          <w:highlight w:val="none"/>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p w14:paraId="7106481E">
      <w:pPr>
        <w:shd w:val="clear"/>
        <w:spacing w:line="360" w:lineRule="auto"/>
        <w:jc w:val="center"/>
        <w:outlineLvl w:val="0"/>
        <w:rPr>
          <w:rFonts w:ascii="宋体" w:hAnsi="宋体" w:cs="宋体"/>
          <w:b/>
          <w:bCs/>
          <w:color w:val="auto"/>
          <w:sz w:val="36"/>
          <w:szCs w:val="44"/>
          <w:highlight w:val="none"/>
        </w:rPr>
      </w:pPr>
      <w:bookmarkStart w:id="99" w:name="_Toc1462963273"/>
      <w:r>
        <w:rPr>
          <w:rFonts w:hint="eastAsia" w:ascii="宋体" w:hAnsi="宋体" w:cs="宋体"/>
          <w:b/>
          <w:bCs/>
          <w:color w:val="auto"/>
          <w:sz w:val="36"/>
          <w:szCs w:val="44"/>
          <w:highlight w:val="none"/>
        </w:rPr>
        <w:t>第六章 投标文件格式附件</w:t>
      </w:r>
      <w:bookmarkEnd w:id="96"/>
      <w:bookmarkEnd w:id="97"/>
      <w:bookmarkEnd w:id="99"/>
    </w:p>
    <w:p w14:paraId="319161F2">
      <w:pPr>
        <w:shd w:val="clear"/>
        <w:outlineLvl w:val="0"/>
        <w:rPr>
          <w:rFonts w:ascii="宋体" w:hAnsi="宋体" w:cs="宋体"/>
          <w:b/>
          <w:color w:val="auto"/>
          <w:kern w:val="0"/>
          <w:sz w:val="28"/>
          <w:szCs w:val="28"/>
          <w:highlight w:val="none"/>
        </w:rPr>
      </w:pPr>
      <w:bookmarkStart w:id="100" w:name="_Toc30432"/>
      <w:bookmarkStart w:id="101" w:name="_Toc12913"/>
      <w:bookmarkStart w:id="102" w:name="_Toc1483454808"/>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100"/>
      <w:bookmarkEnd w:id="101"/>
      <w:bookmarkEnd w:id="102"/>
    </w:p>
    <w:p w14:paraId="2CF520C0">
      <w:pPr>
        <w:shd w:val="clear"/>
        <w:spacing w:line="360" w:lineRule="auto"/>
        <w:rPr>
          <w:rFonts w:ascii="宋体" w:hAnsi="宋体" w:cs="宋体"/>
          <w:b/>
          <w:color w:val="auto"/>
          <w:sz w:val="30"/>
          <w:szCs w:val="30"/>
          <w:highlight w:val="none"/>
        </w:rPr>
      </w:pPr>
    </w:p>
    <w:p w14:paraId="239F2D25">
      <w:pPr>
        <w:shd w:val="clear"/>
        <w:spacing w:line="360" w:lineRule="auto"/>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31B9F3BD">
      <w:pPr>
        <w:shd w:val="clea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7A81D0A0">
      <w:pPr>
        <w:shd w:val="clear"/>
        <w:autoSpaceDE w:val="0"/>
        <w:autoSpaceDN w:val="0"/>
        <w:adjustRightInd w:val="0"/>
        <w:spacing w:line="360" w:lineRule="auto"/>
        <w:jc w:val="center"/>
        <w:rPr>
          <w:rFonts w:ascii="宋体" w:hAnsi="宋体" w:cs="宋体"/>
          <w:color w:val="auto"/>
          <w:sz w:val="84"/>
          <w:szCs w:val="84"/>
          <w:highlight w:val="none"/>
          <w:lang w:val="zh-CN"/>
        </w:rPr>
      </w:pPr>
    </w:p>
    <w:p w14:paraId="522C4A32">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4B6DC3A6">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1D957BDC">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7B391A67">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70217E40">
      <w:pPr>
        <w:shd w:val="clear"/>
        <w:autoSpaceDE w:val="0"/>
        <w:autoSpaceDN w:val="0"/>
        <w:adjustRightInd w:val="0"/>
        <w:spacing w:line="360" w:lineRule="auto"/>
        <w:jc w:val="center"/>
        <w:rPr>
          <w:rFonts w:ascii="宋体" w:hAnsi="宋体" w:cs="宋体"/>
          <w:color w:val="auto"/>
          <w:sz w:val="36"/>
          <w:szCs w:val="36"/>
          <w:highlight w:val="none"/>
        </w:rPr>
      </w:pPr>
    </w:p>
    <w:p w14:paraId="0F68F301">
      <w:pPr>
        <w:shd w:val="clear"/>
        <w:autoSpaceDE w:val="0"/>
        <w:autoSpaceDN w:val="0"/>
        <w:adjustRightInd w:val="0"/>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（资格及商务技术文件）</w:t>
      </w:r>
    </w:p>
    <w:p w14:paraId="5705452F">
      <w:pPr>
        <w:shd w:val="clear"/>
        <w:autoSpaceDE w:val="0"/>
        <w:autoSpaceDN w:val="0"/>
        <w:adjustRightInd w:val="0"/>
        <w:spacing w:line="360" w:lineRule="auto"/>
        <w:rPr>
          <w:rFonts w:ascii="宋体" w:hAnsi="宋体" w:cs="宋体"/>
          <w:color w:val="auto"/>
          <w:sz w:val="36"/>
          <w:szCs w:val="36"/>
          <w:highlight w:val="none"/>
        </w:rPr>
      </w:pPr>
    </w:p>
    <w:p w14:paraId="50DD288A">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投标人全称（公章）：</w:t>
      </w:r>
    </w:p>
    <w:p w14:paraId="42381CE0">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24BE5AE0">
      <w:pPr>
        <w:shd w:val="clea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56DF66C6">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资格及商务技术文件目录</w:t>
      </w:r>
    </w:p>
    <w:p w14:paraId="49FF47A3">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资格证明文件目录</w:t>
      </w:r>
    </w:p>
    <w:p w14:paraId="2203B2AB">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14:paraId="7B8E8C7E">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14:paraId="1955DE39">
      <w:pPr>
        <w:pStyle w:val="25"/>
        <w:shd w:val="clear"/>
        <w:ind w:left="0" w:leftChars="0" w:firstLine="0"/>
        <w:rPr>
          <w:rFonts w:ascii="宋体" w:hAnsi="宋体" w:cs="宋体"/>
          <w:color w:val="auto"/>
          <w:sz w:val="28"/>
          <w:szCs w:val="36"/>
          <w:highlight w:val="none"/>
        </w:rPr>
      </w:pPr>
      <w:r>
        <w:rPr>
          <w:rFonts w:hint="eastAsia" w:ascii="宋体" w:hAnsi="宋体" w:cs="宋体"/>
          <w:color w:val="auto"/>
          <w:sz w:val="28"/>
          <w:szCs w:val="36"/>
          <w:highlight w:val="none"/>
        </w:rPr>
        <w:t xml:space="preserve">   </w:t>
      </w:r>
      <w:r>
        <w:rPr>
          <w:rFonts w:hint="default" w:ascii="宋体" w:hAnsi="宋体" w:cs="宋体"/>
          <w:color w:val="auto"/>
          <w:sz w:val="28"/>
          <w:szCs w:val="36"/>
          <w:highlight w:val="none"/>
        </w:rPr>
        <w:t xml:space="preserve"> 3</w:t>
      </w:r>
      <w:r>
        <w:rPr>
          <w:rFonts w:hint="eastAsia" w:ascii="宋体" w:hAnsi="宋体" w:cs="宋体"/>
          <w:color w:val="auto"/>
          <w:sz w:val="28"/>
          <w:szCs w:val="36"/>
          <w:highlight w:val="none"/>
        </w:rPr>
        <w:t>.法人或者其他组织的营业执照等证明文件，自然人的身份证明；</w:t>
      </w:r>
    </w:p>
    <w:p w14:paraId="62A9052E">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4</w:t>
      </w:r>
      <w:r>
        <w:rPr>
          <w:rFonts w:hint="eastAsia" w:ascii="宋体" w:hAnsi="宋体" w:cs="宋体"/>
          <w:color w:val="auto"/>
          <w:sz w:val="28"/>
          <w:szCs w:val="36"/>
          <w:highlight w:val="none"/>
        </w:rPr>
        <w:t>.财务状况报告，依法缴纳税收和社会保障资金的相关材料；</w:t>
      </w:r>
    </w:p>
    <w:p w14:paraId="787DD149">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5</w:t>
      </w:r>
      <w:r>
        <w:rPr>
          <w:rFonts w:hint="eastAsia" w:ascii="宋体" w:hAnsi="宋体" w:cs="宋体"/>
          <w:color w:val="auto"/>
          <w:sz w:val="28"/>
          <w:szCs w:val="36"/>
          <w:highlight w:val="none"/>
        </w:rPr>
        <w:t>.具备履行合同所必需的设备和专业技术能力的证明材料（根据项目性质提供）；</w:t>
      </w:r>
    </w:p>
    <w:p w14:paraId="5909C3B2">
      <w:pPr>
        <w:shd w:val="clear"/>
        <w:spacing w:line="360" w:lineRule="auto"/>
        <w:ind w:firstLine="560" w:firstLineChars="200"/>
        <w:rPr>
          <w:rFonts w:ascii="宋体" w:hAnsi="宋体" w:cs="宋体"/>
          <w:color w:val="auto"/>
          <w:sz w:val="28"/>
          <w:szCs w:val="36"/>
          <w:highlight w:val="none"/>
        </w:rPr>
      </w:pPr>
      <w:r>
        <w:rPr>
          <w:rFonts w:hint="default" w:ascii="宋体" w:hAnsi="宋体" w:cs="宋体"/>
          <w:color w:val="auto"/>
          <w:sz w:val="28"/>
          <w:szCs w:val="36"/>
          <w:highlight w:val="none"/>
        </w:rPr>
        <w:t>6</w:t>
      </w:r>
      <w:r>
        <w:rPr>
          <w:rFonts w:hint="eastAsia" w:ascii="宋体" w:hAnsi="宋体" w:cs="宋体"/>
          <w:color w:val="auto"/>
          <w:sz w:val="28"/>
          <w:szCs w:val="36"/>
          <w:highlight w:val="none"/>
        </w:rPr>
        <w:t>.</w:t>
      </w:r>
      <w:r>
        <w:rPr>
          <w:rFonts w:hint="eastAsia" w:ascii="宋体" w:hAnsi="宋体" w:cs="宋体"/>
          <w:color w:val="auto"/>
          <w:sz w:val="28"/>
          <w:szCs w:val="36"/>
          <w:highlight w:val="none"/>
          <w:lang w:val="zh-CN"/>
        </w:rPr>
        <w:t>采购公告中符合供应商特定条件的有效资质证书复印件（投标供应商特定条件中有要求的必须提供），以及需要说明的其他资料</w:t>
      </w:r>
      <w:r>
        <w:rPr>
          <w:rFonts w:hint="eastAsia" w:ascii="宋体" w:hAnsi="宋体" w:cs="宋体"/>
          <w:color w:val="auto"/>
          <w:sz w:val="28"/>
          <w:szCs w:val="36"/>
          <w:highlight w:val="none"/>
        </w:rPr>
        <w:t>。</w:t>
      </w:r>
    </w:p>
    <w:p w14:paraId="743C08C9">
      <w:pPr>
        <w:shd w:val="clear"/>
        <w:rPr>
          <w:rFonts w:ascii="宋体" w:hAnsi="宋体" w:cs="宋体"/>
          <w:color w:val="auto"/>
          <w:sz w:val="28"/>
          <w:szCs w:val="36"/>
          <w:highlight w:val="none"/>
        </w:rPr>
      </w:pPr>
      <w:r>
        <w:rPr>
          <w:rFonts w:hint="eastAsia" w:ascii="宋体" w:hAnsi="宋体" w:cs="宋体"/>
          <w:color w:val="auto"/>
          <w:sz w:val="28"/>
          <w:szCs w:val="36"/>
          <w:highlight w:val="none"/>
        </w:rPr>
        <w:br w:type="page"/>
      </w:r>
    </w:p>
    <w:p w14:paraId="3FDB4FCF">
      <w:pPr>
        <w:shd w:val="clear"/>
        <w:spacing w:line="360" w:lineRule="auto"/>
        <w:outlineLvl w:val="0"/>
        <w:rPr>
          <w:rFonts w:ascii="宋体" w:hAnsi="宋体" w:cs="宋体"/>
          <w:b/>
          <w:color w:val="auto"/>
          <w:sz w:val="28"/>
          <w:highlight w:val="none"/>
        </w:rPr>
      </w:pPr>
      <w:bookmarkStart w:id="103" w:name="_Toc23824"/>
      <w:bookmarkStart w:id="104" w:name="_Toc10699"/>
      <w:bookmarkStart w:id="105" w:name="_Toc139816386"/>
      <w:r>
        <w:rPr>
          <w:rFonts w:hint="eastAsia" w:ascii="宋体" w:hAnsi="宋体" w:cs="宋体"/>
          <w:b/>
          <w:color w:val="auto"/>
          <w:sz w:val="28"/>
          <w:highlight w:val="none"/>
        </w:rPr>
        <w:t>附件2</w:t>
      </w:r>
      <w:bookmarkEnd w:id="103"/>
      <w:bookmarkEnd w:id="104"/>
      <w:bookmarkEnd w:id="105"/>
    </w:p>
    <w:p w14:paraId="68ACE344">
      <w:pPr>
        <w:shd w:val="clea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14:paraId="1B94FD8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14:paraId="41722D1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w:t>
      </w:r>
    </w:p>
    <w:p w14:paraId="5EDDF70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lang w:eastAsia="zh-CN"/>
        </w:rPr>
        <w:t>台州学院电能管理平台建设（二期）项目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ZJWS2025-JJ215</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464E0F0E">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70FF5696">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70E4F0D0">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5BD0125B">
      <w:pPr>
        <w:shd w:val="clear"/>
        <w:spacing w:line="400" w:lineRule="exact"/>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产品、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6FD472F">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674E2EAB">
      <w:pPr>
        <w:shd w:val="clear"/>
        <w:spacing w:line="4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39793CAB">
      <w:pPr>
        <w:shd w:val="clear"/>
        <w:spacing w:line="400" w:lineRule="exact"/>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本单位若违反以上承诺，将无条件接受项目主管部门和有关监督管理部门的调查，并愿意承担取消中标资格及限制在本地区参与投标等一切法律责任。</w:t>
      </w:r>
    </w:p>
    <w:p w14:paraId="779A8F04">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678CF5E9">
      <w:pPr>
        <w:shd w:val="clear"/>
        <w:spacing w:line="360" w:lineRule="auto"/>
        <w:ind w:firstLine="4560" w:firstLineChars="19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p>
    <w:p w14:paraId="688220B1">
      <w:pPr>
        <w:shd w:val="clear"/>
        <w:spacing w:line="360" w:lineRule="auto"/>
        <w:ind w:firstLine="4560" w:firstLineChars="1900"/>
        <w:rPr>
          <w:rFonts w:ascii="宋体" w:hAnsi="宋体" w:cs="宋体"/>
          <w:color w:val="auto"/>
          <w:kern w:val="0"/>
          <w:sz w:val="24"/>
          <w:highlight w:val="none"/>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7399B57D">
      <w:pPr>
        <w:shd w:val="clear"/>
        <w:spacing w:line="360" w:lineRule="auto"/>
        <w:outlineLvl w:val="0"/>
        <w:rPr>
          <w:rFonts w:ascii="宋体" w:hAnsi="宋体" w:cs="宋体"/>
          <w:b/>
          <w:color w:val="auto"/>
          <w:sz w:val="28"/>
          <w:highlight w:val="none"/>
        </w:rPr>
      </w:pPr>
      <w:bookmarkStart w:id="106" w:name="_Toc5973"/>
      <w:bookmarkStart w:id="107" w:name="_Toc546889684"/>
      <w:bookmarkStart w:id="108" w:name="_Toc1946"/>
      <w:r>
        <w:rPr>
          <w:rFonts w:hint="eastAsia" w:ascii="宋体" w:hAnsi="宋体" w:cs="宋体"/>
          <w:b/>
          <w:color w:val="auto"/>
          <w:sz w:val="28"/>
          <w:highlight w:val="none"/>
        </w:rPr>
        <w:t>附件3</w:t>
      </w:r>
      <w:bookmarkEnd w:id="106"/>
      <w:bookmarkEnd w:id="107"/>
      <w:bookmarkEnd w:id="108"/>
    </w:p>
    <w:p w14:paraId="3D53ECD2">
      <w:pPr>
        <w:shd w:val="clea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授权委托书</w:t>
      </w:r>
    </w:p>
    <w:p w14:paraId="4F90872B">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w:t>
      </w:r>
    </w:p>
    <w:p w14:paraId="762AEAF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台州学院电能管理平台建设（二期）项目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6C56566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7BFE0D2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2ECDFDD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1D3BB3C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6E57119F">
      <w:pPr>
        <w:shd w:val="clear"/>
        <w:spacing w:line="360" w:lineRule="auto"/>
        <w:ind w:firstLine="480" w:firstLineChars="200"/>
        <w:rPr>
          <w:rFonts w:ascii="宋体" w:hAnsi="宋体" w:cs="宋体"/>
          <w:color w:val="auto"/>
          <w:sz w:val="24"/>
          <w:szCs w:val="32"/>
          <w:highlight w:val="none"/>
        </w:rPr>
      </w:pPr>
    </w:p>
    <w:p w14:paraId="4AEC7B15">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235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487A984E">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5E7AC05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1839643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6B207D2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593B459E">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6A21746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3B77033A">
      <w:pPr>
        <w:shd w:val="clear"/>
        <w:spacing w:line="360" w:lineRule="auto"/>
        <w:rPr>
          <w:rFonts w:ascii="宋体" w:hAnsi="宋体" w:cs="宋体"/>
          <w:b/>
          <w:color w:val="auto"/>
          <w:sz w:val="24"/>
          <w:highlight w:val="none"/>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455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6166EFCE">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19ED41EC">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3F3A333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46B5FBC9">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15497A4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311B953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211696ED">
      <w:pPr>
        <w:shd w:val="clear"/>
        <w:spacing w:line="360" w:lineRule="auto"/>
        <w:rPr>
          <w:rFonts w:ascii="宋体" w:hAnsi="宋体" w:cs="宋体"/>
          <w:b/>
          <w:bCs/>
          <w:color w:val="auto"/>
          <w:sz w:val="28"/>
          <w:szCs w:val="36"/>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r>
        <w:rPr>
          <w:rFonts w:hint="eastAsia" w:ascii="宋体" w:hAnsi="宋体" w:cs="宋体"/>
          <w:color w:val="auto"/>
          <w:sz w:val="24"/>
          <w:szCs w:val="32"/>
          <w:highlight w:val="none"/>
        </w:rPr>
        <w:t>邮政编码：</w:t>
      </w:r>
      <w:bookmarkStart w:id="109" w:name="_Toc31224"/>
      <w:bookmarkStart w:id="110" w:name="_Toc10120"/>
    </w:p>
    <w:p w14:paraId="27E11828">
      <w:pPr>
        <w:shd w:val="clear"/>
        <w:bidi w:val="0"/>
        <w:spacing w:line="360" w:lineRule="auto"/>
        <w:rPr>
          <w:rFonts w:hint="eastAsia" w:ascii="宋体" w:hAnsi="宋体" w:eastAsia="宋体" w:cs="宋体"/>
          <w:color w:val="auto"/>
          <w:sz w:val="24"/>
          <w:szCs w:val="24"/>
          <w:highlight w:val="none"/>
        </w:rPr>
      </w:pPr>
      <w:bookmarkStart w:id="111" w:name="_Toc841115943"/>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 xml:space="preserve">  </w:t>
      </w:r>
      <w:r>
        <w:rPr>
          <w:rFonts w:hint="eastAsia" w:ascii="宋体" w:hAnsi="宋体" w:eastAsia="宋体" w:cs="宋体"/>
          <w:color w:val="auto"/>
          <w:sz w:val="24"/>
          <w:szCs w:val="24"/>
          <w:highlight w:val="none"/>
        </w:rPr>
        <w:t xml:space="preserve">            </w:t>
      </w:r>
    </w:p>
    <w:p w14:paraId="2A1BFEB6">
      <w:pPr>
        <w:shd w:val="clea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有效的法人或者其他组织的营业执照等证明文件（复印件），自然人的身份证明</w:t>
      </w:r>
    </w:p>
    <w:p w14:paraId="3AC5AF22">
      <w:pPr>
        <w:shd w:val="clear"/>
        <w:bidi w:val="0"/>
        <w:spacing w:line="360" w:lineRule="auto"/>
        <w:rPr>
          <w:rFonts w:hint="eastAsia" w:ascii="宋体" w:hAnsi="宋体" w:eastAsia="宋体" w:cs="宋体"/>
          <w:color w:val="auto"/>
          <w:sz w:val="24"/>
          <w:szCs w:val="24"/>
          <w:highlight w:val="none"/>
        </w:rPr>
      </w:pPr>
    </w:p>
    <w:p w14:paraId="0E105D47">
      <w:pPr>
        <w:shd w:val="clear"/>
        <w:bidi w:val="0"/>
        <w:spacing w:line="360" w:lineRule="auto"/>
        <w:rPr>
          <w:rFonts w:hint="eastAsia" w:ascii="宋体" w:hAnsi="宋体" w:eastAsia="宋体" w:cs="宋体"/>
          <w:color w:val="auto"/>
          <w:sz w:val="24"/>
          <w:szCs w:val="24"/>
          <w:highlight w:val="none"/>
        </w:rPr>
      </w:pPr>
    </w:p>
    <w:p w14:paraId="3BA106FE">
      <w:pPr>
        <w:shd w:val="clear"/>
        <w:bidi w:val="0"/>
        <w:spacing w:line="360" w:lineRule="auto"/>
        <w:rPr>
          <w:rFonts w:hint="eastAsia" w:ascii="宋体" w:hAnsi="宋体" w:eastAsia="宋体" w:cs="宋体"/>
          <w:color w:val="auto"/>
          <w:sz w:val="24"/>
          <w:szCs w:val="24"/>
          <w:highlight w:val="none"/>
        </w:rPr>
      </w:pPr>
    </w:p>
    <w:p w14:paraId="4EB8DFC8">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692E9192">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1.如供应商是企业（包括合伙企业），提供在工商部门注册的有效“企业法人营业执照”或“营业执照”；</w:t>
      </w:r>
    </w:p>
    <w:p w14:paraId="723DFE42">
      <w:pPr>
        <w:shd w:val="clear"/>
        <w:bidi w:val="0"/>
        <w:spacing w:line="360" w:lineRule="auto"/>
        <w:outlineLvl w:val="0"/>
        <w:rPr>
          <w:rFonts w:hint="eastAsia" w:ascii="宋体" w:hAnsi="宋体" w:eastAsia="宋体" w:cs="宋体"/>
          <w:color w:val="auto"/>
          <w:sz w:val="24"/>
          <w:szCs w:val="24"/>
          <w:highlight w:val="none"/>
        </w:rPr>
      </w:pPr>
      <w:bookmarkStart w:id="112" w:name="_Toc7820784"/>
      <w:bookmarkStart w:id="113" w:name="_Toc108075702"/>
      <w:bookmarkStart w:id="114" w:name="_Toc1942709689"/>
      <w:bookmarkStart w:id="115" w:name="_Toc215528126"/>
      <w:r>
        <w:rPr>
          <w:rFonts w:hint="eastAsia" w:ascii="宋体" w:hAnsi="宋体" w:eastAsia="宋体" w:cs="宋体"/>
          <w:color w:val="auto"/>
          <w:sz w:val="24"/>
          <w:szCs w:val="24"/>
          <w:highlight w:val="none"/>
        </w:rPr>
        <w:t>2.如供应商是事业单位，提供有效的“事业单位法人证书”；</w:t>
      </w:r>
      <w:bookmarkEnd w:id="112"/>
      <w:bookmarkEnd w:id="113"/>
      <w:bookmarkEnd w:id="114"/>
      <w:bookmarkEnd w:id="115"/>
    </w:p>
    <w:p w14:paraId="50DF604D">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3.如供应商是非企业专业服务机构的，提供执业许可证等证明文件；</w:t>
      </w:r>
    </w:p>
    <w:p w14:paraId="0124D0A6">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4.如供应商是个体工商户，提供有效的“个体工商户营业执照”；</w:t>
      </w:r>
    </w:p>
    <w:p w14:paraId="297CB1EA">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5.如供应商是自然人，提供有效的自然人身份证明。</w:t>
      </w:r>
    </w:p>
    <w:p w14:paraId="57388A08">
      <w:pPr>
        <w:shd w:val="clear"/>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bookmarkStart w:id="116" w:name="_Toc1804641799"/>
      <w:bookmarkStart w:id="117" w:name="_Toc447414221"/>
      <w:bookmarkStart w:id="118" w:name="_Toc780374035"/>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bookmarkEnd w:id="116"/>
      <w:bookmarkEnd w:id="117"/>
      <w:bookmarkEnd w:id="118"/>
    </w:p>
    <w:p w14:paraId="5C8D4BEF">
      <w:pPr>
        <w:shd w:val="clear"/>
        <w:spacing w:line="360" w:lineRule="auto"/>
        <w:jc w:val="center"/>
        <w:rPr>
          <w:rFonts w:hint="eastAsia" w:ascii="宋体" w:hAnsi="宋体" w:eastAsia="宋体" w:cs="宋体"/>
          <w:b/>
          <w:color w:val="auto"/>
          <w:sz w:val="28"/>
          <w:highlight w:val="none"/>
        </w:rPr>
      </w:pPr>
      <w:bookmarkStart w:id="119" w:name="_Toc1063774016"/>
      <w:bookmarkStart w:id="120" w:name="_Toc1703169212"/>
      <w:bookmarkStart w:id="121" w:name="_Toc1350564200"/>
      <w:bookmarkStart w:id="122" w:name="_Toc1723784840"/>
      <w:r>
        <w:rPr>
          <w:rFonts w:hint="eastAsia" w:ascii="宋体" w:hAnsi="宋体" w:eastAsia="宋体" w:cs="宋体"/>
          <w:b/>
          <w:color w:val="auto"/>
          <w:sz w:val="28"/>
          <w:highlight w:val="none"/>
          <w:lang w:val="zh-CN"/>
        </w:rPr>
        <w:t>具备健全的财务会计制度的承诺函</w:t>
      </w:r>
      <w:bookmarkEnd w:id="119"/>
      <w:bookmarkEnd w:id="120"/>
      <w:bookmarkEnd w:id="121"/>
      <w:bookmarkEnd w:id="122"/>
    </w:p>
    <w:p w14:paraId="60021749">
      <w:pPr>
        <w:shd w:val="clear"/>
        <w:bidi w:val="0"/>
        <w:spacing w:line="360" w:lineRule="auto"/>
        <w:rPr>
          <w:rFonts w:hint="eastAsia" w:ascii="宋体" w:hAnsi="宋体" w:eastAsia="宋体" w:cs="宋体"/>
          <w:color w:val="auto"/>
          <w:sz w:val="24"/>
          <w:szCs w:val="24"/>
          <w:highlight w:val="none"/>
        </w:rPr>
      </w:pPr>
    </w:p>
    <w:p w14:paraId="5E12E92A">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浙江五石中正工程咨询有限公司</w:t>
      </w:r>
    </w:p>
    <w:p w14:paraId="6ED9C251">
      <w:pPr>
        <w:shd w:val="clear"/>
        <w:bidi w:val="0"/>
        <w:spacing w:line="360" w:lineRule="auto"/>
        <w:outlineLvl w:val="0"/>
        <w:rPr>
          <w:rFonts w:hint="eastAsia" w:ascii="宋体" w:hAnsi="宋体" w:eastAsia="宋体" w:cs="宋体"/>
          <w:color w:val="auto"/>
          <w:sz w:val="24"/>
          <w:szCs w:val="24"/>
          <w:highlight w:val="none"/>
        </w:rPr>
      </w:pPr>
      <w:bookmarkStart w:id="123" w:name="_Toc2097407850"/>
      <w:r>
        <w:rPr>
          <w:rFonts w:hint="eastAsia" w:ascii="宋体" w:hAnsi="宋体" w:eastAsia="宋体" w:cs="宋体"/>
          <w:color w:val="auto"/>
          <w:sz w:val="24"/>
          <w:szCs w:val="24"/>
          <w:highlight w:val="none"/>
        </w:rPr>
        <w:t>我公司参加</w:t>
      </w:r>
      <w:bookmarkEnd w:id="123"/>
      <w:r>
        <w:rPr>
          <w:rFonts w:hint="eastAsia" w:ascii="宋体" w:hAnsi="宋体" w:cs="宋体"/>
          <w:color w:val="auto"/>
          <w:sz w:val="24"/>
          <w:szCs w:val="24"/>
          <w:highlight w:val="none"/>
          <w:u w:val="single"/>
          <w:lang w:val="en-US" w:eastAsia="zh-CN"/>
        </w:rPr>
        <w:t xml:space="preserve">                   项目，</w:t>
      </w:r>
      <w:r>
        <w:rPr>
          <w:rFonts w:hint="eastAsia" w:ascii="宋体" w:hAnsi="宋体" w:eastAsia="宋体" w:cs="宋体"/>
          <w:color w:val="auto"/>
          <w:sz w:val="24"/>
          <w:szCs w:val="24"/>
          <w:highlight w:val="none"/>
        </w:rPr>
        <w:t>（编号为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）的投标活动，作如下承诺：</w:t>
      </w:r>
    </w:p>
    <w:p w14:paraId="05CFA766">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我公司在参加本项目政府采购活动前，没有处于被责令停产、财产被接管、冻结或破产状态，具有足够的流动资金，有能力履行合同；我公司具有良好的商业信誉和健全的财务会计制度。</w:t>
      </w:r>
    </w:p>
    <w:p w14:paraId="569B81CB">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7BAA5A7C">
      <w:pPr>
        <w:shd w:val="clear"/>
        <w:bidi w:val="0"/>
        <w:spacing w:line="360" w:lineRule="auto"/>
        <w:rPr>
          <w:rFonts w:hint="eastAsia" w:ascii="宋体" w:hAnsi="宋体" w:eastAsia="宋体" w:cs="宋体"/>
          <w:color w:val="auto"/>
          <w:sz w:val="24"/>
          <w:szCs w:val="24"/>
          <w:highlight w:val="none"/>
          <w:lang w:val="zh-CN"/>
        </w:rPr>
      </w:pPr>
    </w:p>
    <w:p w14:paraId="004C3A22">
      <w:pPr>
        <w:shd w:val="clear"/>
        <w:bidi w:val="0"/>
        <w:spacing w:line="360" w:lineRule="auto"/>
        <w:rPr>
          <w:rFonts w:hint="eastAsia" w:ascii="宋体" w:hAnsi="宋体" w:eastAsia="宋体" w:cs="宋体"/>
          <w:color w:val="auto"/>
          <w:sz w:val="24"/>
          <w:szCs w:val="24"/>
          <w:highlight w:val="none"/>
          <w:lang w:val="zh-CN"/>
        </w:rPr>
      </w:pPr>
    </w:p>
    <w:p w14:paraId="57D197DF">
      <w:pPr>
        <w:shd w:val="clear"/>
        <w:bidi w:val="0"/>
        <w:spacing w:line="360" w:lineRule="auto"/>
        <w:rPr>
          <w:rFonts w:hint="eastAsia" w:ascii="宋体" w:hAnsi="宋体" w:eastAsia="宋体" w:cs="宋体"/>
          <w:color w:val="auto"/>
          <w:sz w:val="24"/>
          <w:szCs w:val="24"/>
          <w:highlight w:val="none"/>
          <w:lang w:val="zh-CN"/>
        </w:rPr>
      </w:pPr>
    </w:p>
    <w:p w14:paraId="12133B3B">
      <w:pPr>
        <w:shd w:val="clear"/>
        <w:bidi w:val="0"/>
        <w:spacing w:line="360" w:lineRule="auto"/>
        <w:rPr>
          <w:rFonts w:hint="eastAsia" w:ascii="宋体" w:hAnsi="宋体" w:eastAsia="宋体" w:cs="宋体"/>
          <w:color w:val="auto"/>
          <w:sz w:val="24"/>
          <w:szCs w:val="24"/>
          <w:highlight w:val="none"/>
          <w:lang w:val="zh-CN"/>
        </w:rPr>
      </w:pPr>
    </w:p>
    <w:p w14:paraId="747EF662">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投标人名称(公章)：             </w:t>
      </w:r>
    </w:p>
    <w:p w14:paraId="4DCBE6A4">
      <w:pPr>
        <w:shd w:val="clear"/>
        <w:bidi w:val="0"/>
        <w:spacing w:line="360" w:lineRule="auto"/>
        <w:rPr>
          <w:rFonts w:hint="eastAsia" w:ascii="宋体" w:hAnsi="宋体" w:eastAsia="宋体" w:cs="宋体"/>
          <w:color w:val="auto"/>
          <w:sz w:val="24"/>
          <w:szCs w:val="24"/>
          <w:highlight w:val="none"/>
        </w:rPr>
      </w:pPr>
    </w:p>
    <w:p w14:paraId="0019F9DA">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法定代表人(签字或盖章)或授权委托代理人(签字)：</w:t>
      </w:r>
    </w:p>
    <w:p w14:paraId="009A8AFE">
      <w:pPr>
        <w:shd w:val="clear"/>
        <w:bidi w:val="0"/>
        <w:spacing w:line="360" w:lineRule="auto"/>
        <w:rPr>
          <w:rFonts w:hint="eastAsia" w:ascii="宋体" w:hAnsi="宋体" w:eastAsia="宋体" w:cs="宋体"/>
          <w:color w:val="auto"/>
          <w:sz w:val="24"/>
          <w:szCs w:val="24"/>
          <w:highlight w:val="none"/>
        </w:rPr>
      </w:pPr>
    </w:p>
    <w:p w14:paraId="2C088766">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4F8151BE">
      <w:pPr>
        <w:shd w:val="clear"/>
        <w:bidi w:val="0"/>
        <w:spacing w:line="360" w:lineRule="auto"/>
        <w:rPr>
          <w:rFonts w:hint="eastAsia" w:ascii="宋体" w:hAnsi="宋体" w:eastAsia="宋体" w:cs="宋体"/>
          <w:color w:val="auto"/>
          <w:sz w:val="24"/>
          <w:szCs w:val="24"/>
          <w:highlight w:val="none"/>
        </w:rPr>
      </w:pPr>
    </w:p>
    <w:p w14:paraId="76A15D95">
      <w:pPr>
        <w:shd w:val="clear"/>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bookmarkStart w:id="124" w:name="_Toc1048525637"/>
      <w:bookmarkStart w:id="125" w:name="_Toc1355415221"/>
      <w:bookmarkStart w:id="126" w:name="_Toc30360610"/>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bookmarkEnd w:id="124"/>
      <w:bookmarkEnd w:id="125"/>
      <w:bookmarkEnd w:id="126"/>
    </w:p>
    <w:p w14:paraId="0260FE30">
      <w:pPr>
        <w:shd w:val="clear"/>
        <w:spacing w:line="360" w:lineRule="auto"/>
        <w:jc w:val="center"/>
        <w:rPr>
          <w:rFonts w:hint="eastAsia" w:ascii="宋体" w:hAnsi="宋体" w:eastAsia="宋体" w:cs="宋体"/>
          <w:b/>
          <w:color w:val="auto"/>
          <w:sz w:val="28"/>
          <w:highlight w:val="none"/>
          <w:lang w:val="zh-CN"/>
        </w:rPr>
      </w:pPr>
      <w:bookmarkStart w:id="127" w:name="_Toc1317147931"/>
      <w:bookmarkStart w:id="128" w:name="_Toc319573777"/>
      <w:bookmarkStart w:id="129" w:name="_Toc2104575618"/>
      <w:r>
        <w:rPr>
          <w:rFonts w:hint="eastAsia" w:ascii="宋体" w:hAnsi="宋体" w:eastAsia="宋体" w:cs="宋体"/>
          <w:b/>
          <w:color w:val="auto"/>
          <w:sz w:val="28"/>
          <w:highlight w:val="none"/>
          <w:lang w:val="zh-CN"/>
        </w:rPr>
        <w:t>无税收缴纳、社会保障等方面的失信记录的承诺函</w:t>
      </w:r>
      <w:bookmarkEnd w:id="127"/>
      <w:bookmarkEnd w:id="128"/>
      <w:bookmarkEnd w:id="129"/>
    </w:p>
    <w:p w14:paraId="6AE54CA8">
      <w:pPr>
        <w:shd w:val="clear"/>
        <w:bidi w:val="0"/>
        <w:spacing w:line="360" w:lineRule="auto"/>
        <w:rPr>
          <w:rFonts w:hint="eastAsia" w:ascii="宋体" w:hAnsi="宋体" w:eastAsia="宋体" w:cs="宋体"/>
          <w:color w:val="auto"/>
          <w:sz w:val="24"/>
          <w:szCs w:val="24"/>
          <w:highlight w:val="none"/>
        </w:rPr>
      </w:pPr>
    </w:p>
    <w:p w14:paraId="6E976C1E">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致：浙江五石中正工程咨询有限公司</w:t>
      </w:r>
    </w:p>
    <w:p w14:paraId="3D0655D3">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）的投标活动，作如下承诺：</w:t>
      </w:r>
    </w:p>
    <w:p w14:paraId="3408B7E7">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095E4A9B">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如违反以上承诺，本公司愿承担一切法律责任。</w:t>
      </w:r>
    </w:p>
    <w:p w14:paraId="4A8B48F1">
      <w:pPr>
        <w:shd w:val="clear"/>
        <w:bidi w:val="0"/>
        <w:spacing w:line="360" w:lineRule="auto"/>
        <w:rPr>
          <w:rFonts w:hint="eastAsia" w:ascii="宋体" w:hAnsi="宋体" w:eastAsia="宋体" w:cs="宋体"/>
          <w:color w:val="auto"/>
          <w:sz w:val="24"/>
          <w:szCs w:val="24"/>
          <w:highlight w:val="none"/>
          <w:lang w:val="zh-CN"/>
        </w:rPr>
      </w:pPr>
    </w:p>
    <w:p w14:paraId="5E9EED43">
      <w:pPr>
        <w:shd w:val="clear"/>
        <w:bidi w:val="0"/>
        <w:spacing w:line="360" w:lineRule="auto"/>
        <w:rPr>
          <w:rFonts w:hint="eastAsia" w:ascii="宋体" w:hAnsi="宋体" w:eastAsia="宋体" w:cs="宋体"/>
          <w:color w:val="auto"/>
          <w:sz w:val="24"/>
          <w:szCs w:val="24"/>
          <w:highlight w:val="none"/>
          <w:lang w:val="zh-CN"/>
        </w:rPr>
      </w:pPr>
    </w:p>
    <w:p w14:paraId="7CEB703B">
      <w:pPr>
        <w:shd w:val="clear"/>
        <w:bidi w:val="0"/>
        <w:spacing w:line="360" w:lineRule="auto"/>
        <w:rPr>
          <w:rFonts w:hint="eastAsia" w:ascii="宋体" w:hAnsi="宋体" w:eastAsia="宋体" w:cs="宋体"/>
          <w:color w:val="auto"/>
          <w:sz w:val="24"/>
          <w:szCs w:val="24"/>
          <w:highlight w:val="none"/>
          <w:lang w:val="zh-CN"/>
        </w:rPr>
      </w:pPr>
    </w:p>
    <w:p w14:paraId="2CDB7208">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投标人名称(公章)：             </w:t>
      </w:r>
    </w:p>
    <w:p w14:paraId="5BA2B661">
      <w:pPr>
        <w:shd w:val="clear"/>
        <w:bidi w:val="0"/>
        <w:spacing w:line="360" w:lineRule="auto"/>
        <w:rPr>
          <w:rFonts w:hint="eastAsia" w:ascii="宋体" w:hAnsi="宋体" w:eastAsia="宋体" w:cs="宋体"/>
          <w:color w:val="auto"/>
          <w:sz w:val="24"/>
          <w:szCs w:val="24"/>
          <w:highlight w:val="none"/>
        </w:rPr>
      </w:pPr>
    </w:p>
    <w:p w14:paraId="2688A80A">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法定代表人(签字或盖章)或授权委托代理人(签字)：</w:t>
      </w:r>
    </w:p>
    <w:p w14:paraId="32507E69">
      <w:pPr>
        <w:shd w:val="clear"/>
        <w:bidi w:val="0"/>
        <w:spacing w:line="360" w:lineRule="auto"/>
        <w:rPr>
          <w:rFonts w:hint="eastAsia" w:ascii="宋体" w:hAnsi="宋体" w:eastAsia="宋体" w:cs="宋体"/>
          <w:color w:val="auto"/>
          <w:sz w:val="24"/>
          <w:szCs w:val="24"/>
          <w:highlight w:val="none"/>
        </w:rPr>
      </w:pPr>
    </w:p>
    <w:p w14:paraId="00F8BDA1">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7F52D61E">
      <w:pPr>
        <w:shd w:val="clear"/>
        <w:bidi w:val="0"/>
        <w:spacing w:line="360" w:lineRule="auto"/>
        <w:rPr>
          <w:rFonts w:hint="eastAsia" w:ascii="宋体" w:hAnsi="宋体" w:eastAsia="宋体" w:cs="宋体"/>
          <w:color w:val="auto"/>
          <w:sz w:val="24"/>
          <w:szCs w:val="24"/>
          <w:highlight w:val="none"/>
        </w:rPr>
      </w:pPr>
    </w:p>
    <w:p w14:paraId="10A40868">
      <w:pPr>
        <w:shd w:val="clear"/>
        <w:bidi w:val="0"/>
        <w:spacing w:line="360" w:lineRule="auto"/>
        <w:rPr>
          <w:rFonts w:hint="eastAsia" w:ascii="宋体" w:hAnsi="宋体" w:eastAsia="宋体" w:cs="宋体"/>
          <w:color w:val="auto"/>
          <w:sz w:val="24"/>
          <w:szCs w:val="24"/>
          <w:highlight w:val="none"/>
        </w:rPr>
      </w:pPr>
    </w:p>
    <w:p w14:paraId="51A40946">
      <w:pPr>
        <w:shd w:val="clear"/>
        <w:bidi w:val="0"/>
        <w:spacing w:line="360" w:lineRule="auto"/>
        <w:rPr>
          <w:rFonts w:hint="eastAsia" w:ascii="宋体" w:hAnsi="宋体" w:eastAsia="宋体" w:cs="宋体"/>
          <w:color w:val="auto"/>
          <w:sz w:val="24"/>
          <w:szCs w:val="24"/>
          <w:highlight w:val="none"/>
        </w:rPr>
      </w:pPr>
    </w:p>
    <w:p w14:paraId="21E5EEC7">
      <w:pPr>
        <w:shd w:val="clear"/>
        <w:bidi w:val="0"/>
        <w:spacing w:line="360" w:lineRule="auto"/>
        <w:rPr>
          <w:rFonts w:hint="eastAsia" w:ascii="宋体" w:hAnsi="宋体" w:eastAsia="宋体" w:cs="宋体"/>
          <w:color w:val="auto"/>
          <w:sz w:val="24"/>
          <w:szCs w:val="24"/>
          <w:highlight w:val="none"/>
        </w:rPr>
      </w:pPr>
    </w:p>
    <w:p w14:paraId="4D9F7708">
      <w:pPr>
        <w:shd w:val="clear"/>
        <w:bidi w:val="0"/>
        <w:spacing w:line="360" w:lineRule="auto"/>
        <w:rPr>
          <w:rFonts w:hint="eastAsia" w:ascii="宋体" w:hAnsi="宋体" w:eastAsia="宋体" w:cs="宋体"/>
          <w:color w:val="auto"/>
          <w:sz w:val="24"/>
          <w:szCs w:val="24"/>
          <w:highlight w:val="none"/>
        </w:rPr>
      </w:pPr>
    </w:p>
    <w:p w14:paraId="31E08BC2">
      <w:pPr>
        <w:shd w:val="clear"/>
        <w:bidi w:val="0"/>
        <w:spacing w:line="360" w:lineRule="auto"/>
        <w:rPr>
          <w:rFonts w:hint="eastAsia" w:ascii="宋体" w:hAnsi="宋体" w:eastAsia="宋体" w:cs="宋体"/>
          <w:color w:val="auto"/>
          <w:sz w:val="24"/>
          <w:szCs w:val="24"/>
          <w:highlight w:val="none"/>
        </w:rPr>
      </w:pPr>
    </w:p>
    <w:p w14:paraId="16298D76">
      <w:pPr>
        <w:shd w:val="clear"/>
        <w:bidi w:val="0"/>
        <w:spacing w:line="360" w:lineRule="auto"/>
        <w:rPr>
          <w:rFonts w:hint="eastAsia" w:ascii="宋体" w:hAnsi="宋体" w:eastAsia="宋体" w:cs="宋体"/>
          <w:color w:val="auto"/>
          <w:sz w:val="24"/>
          <w:szCs w:val="24"/>
          <w:highlight w:val="none"/>
        </w:rPr>
      </w:pPr>
    </w:p>
    <w:p w14:paraId="706F7FA6">
      <w:pPr>
        <w:shd w:val="clear"/>
        <w:bidi w:val="0"/>
        <w:spacing w:line="360" w:lineRule="auto"/>
        <w:outlineLvl w:val="0"/>
        <w:rPr>
          <w:rFonts w:hint="eastAsia" w:ascii="宋体" w:hAnsi="宋体" w:eastAsia="宋体" w:cs="宋体"/>
          <w:color w:val="auto"/>
          <w:sz w:val="24"/>
          <w:szCs w:val="24"/>
          <w:highlight w:val="none"/>
        </w:rPr>
      </w:pPr>
      <w:bookmarkStart w:id="130" w:name="_Toc399261989"/>
      <w:bookmarkStart w:id="131" w:name="_Toc219868892"/>
      <w:bookmarkStart w:id="132" w:name="_Toc189669445"/>
      <w:bookmarkStart w:id="133" w:name="_Toc1043843041"/>
    </w:p>
    <w:p w14:paraId="0755AA45">
      <w:pPr>
        <w:shd w:val="clear"/>
        <w:bidi w:val="0"/>
        <w:spacing w:line="360" w:lineRule="auto"/>
        <w:outlineLvl w:val="0"/>
        <w:rPr>
          <w:rFonts w:hint="eastAsia" w:ascii="宋体" w:hAnsi="宋体" w:eastAsia="宋体" w:cs="宋体"/>
          <w:color w:val="auto"/>
          <w:sz w:val="24"/>
          <w:szCs w:val="24"/>
          <w:highlight w:val="none"/>
        </w:rPr>
      </w:pPr>
    </w:p>
    <w:p w14:paraId="7BA9F595">
      <w:pPr>
        <w:shd w:val="clear"/>
        <w:bidi w:val="0"/>
        <w:spacing w:line="360" w:lineRule="auto"/>
        <w:outlineLvl w:val="0"/>
        <w:rPr>
          <w:rFonts w:hint="eastAsia" w:ascii="宋体" w:hAnsi="宋体" w:eastAsia="宋体" w:cs="宋体"/>
          <w:color w:val="auto"/>
          <w:sz w:val="24"/>
          <w:szCs w:val="24"/>
          <w:highlight w:val="none"/>
        </w:rPr>
      </w:pPr>
    </w:p>
    <w:p w14:paraId="0935F417">
      <w:pPr>
        <w:shd w:val="clear"/>
        <w:bidi w:val="0"/>
        <w:spacing w:line="360" w:lineRule="auto"/>
        <w:outlineLvl w:val="0"/>
        <w:rPr>
          <w:rFonts w:hint="eastAsia" w:ascii="宋体" w:hAnsi="宋体" w:eastAsia="宋体" w:cs="宋体"/>
          <w:color w:val="auto"/>
          <w:sz w:val="24"/>
          <w:szCs w:val="24"/>
          <w:highlight w:val="none"/>
        </w:rPr>
      </w:pPr>
    </w:p>
    <w:p w14:paraId="107C6A39">
      <w:pPr>
        <w:shd w:val="clear"/>
        <w:bidi w:val="0"/>
        <w:spacing w:line="360" w:lineRule="auto"/>
        <w:outlineLvl w:val="0"/>
        <w:rPr>
          <w:rFonts w:hint="eastAsia" w:ascii="宋体" w:hAnsi="宋体" w:eastAsia="宋体" w:cs="宋体"/>
          <w:color w:val="auto"/>
          <w:sz w:val="24"/>
          <w:szCs w:val="24"/>
          <w:highlight w:val="none"/>
        </w:rPr>
      </w:pPr>
    </w:p>
    <w:p w14:paraId="08136B71">
      <w:pPr>
        <w:shd w:val="clear"/>
        <w:bidi w:val="0"/>
        <w:spacing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bookmarkEnd w:id="130"/>
      <w:bookmarkEnd w:id="131"/>
      <w:bookmarkEnd w:id="132"/>
      <w:bookmarkEnd w:id="133"/>
    </w:p>
    <w:p w14:paraId="3C047A60">
      <w:pPr>
        <w:shd w:val="clear"/>
        <w:spacing w:line="360" w:lineRule="auto"/>
        <w:jc w:val="center"/>
        <w:rPr>
          <w:rFonts w:hint="eastAsia" w:ascii="宋体" w:hAnsi="宋体" w:eastAsia="宋体" w:cs="宋体"/>
          <w:b/>
          <w:color w:val="auto"/>
          <w:sz w:val="28"/>
          <w:highlight w:val="none"/>
          <w:lang w:val="zh-CN"/>
        </w:rPr>
      </w:pPr>
      <w:bookmarkStart w:id="134" w:name="_Toc1076077744"/>
      <w:bookmarkStart w:id="135" w:name="_Toc908629967"/>
      <w:bookmarkStart w:id="136" w:name="_Toc1657335895"/>
      <w:bookmarkStart w:id="137" w:name="_Toc1664595004"/>
      <w:r>
        <w:rPr>
          <w:rFonts w:hint="eastAsia" w:ascii="宋体" w:hAnsi="宋体" w:eastAsia="宋体" w:cs="宋体"/>
          <w:b/>
          <w:color w:val="auto"/>
          <w:sz w:val="28"/>
          <w:highlight w:val="none"/>
          <w:lang w:val="zh-CN"/>
        </w:rPr>
        <w:t>参加政府采购活动前3年内在经营活动中没有重大违法记录的书面</w:t>
      </w:r>
      <w:bookmarkEnd w:id="134"/>
      <w:bookmarkEnd w:id="135"/>
      <w:bookmarkEnd w:id="136"/>
      <w:bookmarkEnd w:id="137"/>
      <w:r>
        <w:rPr>
          <w:rFonts w:hint="eastAsia" w:ascii="宋体" w:hAnsi="宋体" w:eastAsia="宋体" w:cs="宋体"/>
          <w:b/>
          <w:color w:val="auto"/>
          <w:sz w:val="28"/>
          <w:highlight w:val="none"/>
          <w:lang w:val="zh-CN"/>
        </w:rPr>
        <w:t>声明函</w:t>
      </w:r>
    </w:p>
    <w:p w14:paraId="4F9528CE">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浙江五石中正工程咨询有限公司</w:t>
      </w:r>
    </w:p>
    <w:p w14:paraId="20F6D4EE">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我公司郑重承诺在参加本项目政府采购活动前三年内，在经营活动中     （填写“有”或“没有”，如实填写，如不填写视同未提供本声明函）重大违法记录，重大违法记录是指供应商因违法经营受到刑事处罚或者责令停产停业、吊销许可证或者执照、较大数额罚款等行政处罚。</w:t>
      </w:r>
    </w:p>
    <w:p w14:paraId="63695C56">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以上事项如有虚假或隐瞒，我方愿意承担一切后果和责任。</w:t>
      </w:r>
    </w:p>
    <w:p w14:paraId="7846A00D">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69978E1">
      <w:pPr>
        <w:shd w:val="clear"/>
        <w:bidi w:val="0"/>
        <w:spacing w:line="360" w:lineRule="auto"/>
        <w:rPr>
          <w:rFonts w:hint="eastAsia" w:ascii="宋体" w:hAnsi="宋体" w:eastAsia="宋体" w:cs="宋体"/>
          <w:color w:val="auto"/>
          <w:sz w:val="24"/>
          <w:szCs w:val="24"/>
          <w:highlight w:val="none"/>
        </w:rPr>
      </w:pPr>
    </w:p>
    <w:p w14:paraId="53A31BEC">
      <w:pPr>
        <w:shd w:val="clear"/>
        <w:bidi w:val="0"/>
        <w:spacing w:line="360" w:lineRule="auto"/>
        <w:rPr>
          <w:rFonts w:hint="eastAsia" w:ascii="宋体" w:hAnsi="宋体" w:eastAsia="宋体" w:cs="宋体"/>
          <w:color w:val="auto"/>
          <w:sz w:val="24"/>
          <w:szCs w:val="24"/>
          <w:highlight w:val="none"/>
        </w:rPr>
      </w:pPr>
    </w:p>
    <w:p w14:paraId="3B8CDF6F">
      <w:pPr>
        <w:shd w:val="clear"/>
        <w:bidi w:val="0"/>
        <w:spacing w:line="360" w:lineRule="auto"/>
        <w:rPr>
          <w:rFonts w:hint="eastAsia" w:ascii="宋体" w:hAnsi="宋体" w:eastAsia="宋体" w:cs="宋体"/>
          <w:color w:val="auto"/>
          <w:sz w:val="24"/>
          <w:szCs w:val="24"/>
          <w:highlight w:val="none"/>
        </w:rPr>
      </w:pPr>
    </w:p>
    <w:p w14:paraId="3B0A15CD">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44CEAFB5">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供应商授权代表签字：</w:t>
      </w:r>
    </w:p>
    <w:p w14:paraId="42102607">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10EDE805">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bookmarkEnd w:id="109"/>
    <w:bookmarkEnd w:id="110"/>
    <w:bookmarkEnd w:id="111"/>
    <w:p w14:paraId="5823E6F8">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第二部分 商务与技术文件</w:t>
      </w:r>
      <w:r>
        <w:rPr>
          <w:rFonts w:hint="eastAsia" w:ascii="宋体" w:hAnsi="宋体" w:cs="宋体"/>
          <w:b/>
          <w:bCs/>
          <w:color w:val="auto"/>
          <w:sz w:val="28"/>
          <w:szCs w:val="36"/>
          <w:highlight w:val="none"/>
        </w:rPr>
        <w:t>目录</w:t>
      </w:r>
    </w:p>
    <w:p w14:paraId="2FD26AE9">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（1）供应商基本情况；</w:t>
      </w:r>
    </w:p>
    <w:p w14:paraId="205F7B8A">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（2）供货清单（不涉及价格）；</w:t>
      </w:r>
    </w:p>
    <w:p w14:paraId="629AFAD8">
      <w:pPr>
        <w:shd w:val="clear"/>
        <w:spacing w:line="360" w:lineRule="auto"/>
        <w:ind w:firstLine="560" w:firstLineChars="200"/>
        <w:rPr>
          <w:rFonts w:hint="eastAsia" w:ascii="宋体" w:hAnsi="宋体" w:cs="宋体"/>
          <w:color w:val="auto"/>
          <w:sz w:val="28"/>
          <w:szCs w:val="36"/>
          <w:highlight w:val="none"/>
        </w:rPr>
      </w:pPr>
      <w:r>
        <w:rPr>
          <w:rFonts w:hint="eastAsia" w:ascii="宋体" w:hAnsi="宋体" w:cs="宋体"/>
          <w:color w:val="auto"/>
          <w:sz w:val="28"/>
          <w:szCs w:val="36"/>
          <w:highlight w:val="none"/>
        </w:rPr>
        <w:t>（3）商务及技术响应表；</w:t>
      </w:r>
    </w:p>
    <w:p w14:paraId="66C54629">
      <w:pPr>
        <w:shd w:val="clear"/>
        <w:spacing w:line="360" w:lineRule="auto"/>
        <w:ind w:firstLine="560" w:firstLineChars="200"/>
        <w:rPr>
          <w:rFonts w:hint="eastAsia" w:ascii="宋体" w:hAnsi="宋体" w:eastAsia="宋体" w:cs="宋体"/>
          <w:color w:val="auto"/>
          <w:sz w:val="28"/>
          <w:szCs w:val="36"/>
          <w:highlight w:val="none"/>
          <w:lang w:val="en-US" w:eastAsia="zh-CN"/>
        </w:rPr>
      </w:pPr>
      <w:bookmarkStart w:id="138" w:name="OLE_LINK10"/>
      <w:r>
        <w:rPr>
          <w:rFonts w:hint="eastAsia" w:ascii="宋体" w:hAnsi="宋体" w:cs="宋体"/>
          <w:color w:val="auto"/>
          <w:sz w:val="28"/>
          <w:szCs w:val="36"/>
          <w:highlight w:val="none"/>
        </w:rPr>
        <w:t>（4）</w:t>
      </w:r>
      <w:r>
        <w:rPr>
          <w:rFonts w:hint="eastAsia" w:ascii="宋体" w:hAnsi="宋体" w:eastAsia="宋体" w:cs="宋体"/>
          <w:color w:val="auto"/>
          <w:sz w:val="28"/>
          <w:szCs w:val="36"/>
          <w:highlight w:val="none"/>
          <w:lang w:val="en-US" w:eastAsia="zh-CN"/>
        </w:rPr>
        <w:t>对接和开放承诺函</w:t>
      </w:r>
    </w:p>
    <w:bookmarkEnd w:id="138"/>
    <w:p w14:paraId="37D643AE">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lang w:eastAsia="zh-CN"/>
        </w:rPr>
        <w:t>（</w:t>
      </w:r>
      <w:r>
        <w:rPr>
          <w:rFonts w:hint="eastAsia" w:ascii="宋体" w:hAnsi="宋体" w:cs="宋体"/>
          <w:color w:val="auto"/>
          <w:sz w:val="28"/>
          <w:szCs w:val="36"/>
          <w:highlight w:val="none"/>
          <w:lang w:val="en-US" w:eastAsia="zh-CN"/>
        </w:rPr>
        <w:t>5</w:t>
      </w:r>
      <w:r>
        <w:rPr>
          <w:rFonts w:hint="eastAsia" w:ascii="宋体" w:hAnsi="宋体" w:cs="宋体"/>
          <w:color w:val="auto"/>
          <w:sz w:val="28"/>
          <w:szCs w:val="36"/>
          <w:highlight w:val="none"/>
          <w:lang w:eastAsia="zh-CN"/>
        </w:rPr>
        <w:t>）</w:t>
      </w:r>
      <w:r>
        <w:rPr>
          <w:rFonts w:hint="eastAsia" w:ascii="宋体" w:hAnsi="宋体" w:cs="宋体"/>
          <w:color w:val="auto"/>
          <w:sz w:val="28"/>
          <w:szCs w:val="36"/>
          <w:highlight w:val="none"/>
        </w:rPr>
        <w:t>其余内容根据评标办法自拟；</w:t>
      </w:r>
    </w:p>
    <w:p w14:paraId="011284D3">
      <w:pPr>
        <w:shd w:val="clear"/>
        <w:spacing w:line="360" w:lineRule="auto"/>
        <w:rPr>
          <w:rFonts w:ascii="宋体" w:hAnsi="宋体" w:cs="宋体"/>
          <w:color w:val="auto"/>
          <w:sz w:val="24"/>
          <w:szCs w:val="32"/>
          <w:highlight w:val="none"/>
        </w:rPr>
      </w:pPr>
    </w:p>
    <w:p w14:paraId="3A644EA4">
      <w:pPr>
        <w:shd w:val="clear"/>
        <w:rPr>
          <w:rFonts w:ascii="宋体" w:hAnsi="宋体" w:cs="宋体"/>
          <w:b/>
          <w:bCs/>
          <w:color w:val="auto"/>
          <w:sz w:val="28"/>
          <w:szCs w:val="36"/>
          <w:highlight w:val="none"/>
          <w:lang w:val="zh-CN"/>
        </w:rPr>
      </w:pPr>
      <w:bookmarkStart w:id="139" w:name="_Toc21996"/>
      <w:bookmarkStart w:id="140" w:name="_Toc1898289447"/>
      <w:bookmarkStart w:id="141" w:name="_Toc19677"/>
      <w:r>
        <w:rPr>
          <w:rFonts w:hint="eastAsia" w:ascii="宋体" w:hAnsi="宋体" w:cs="宋体"/>
          <w:b/>
          <w:bCs/>
          <w:color w:val="auto"/>
          <w:sz w:val="28"/>
          <w:szCs w:val="36"/>
          <w:highlight w:val="none"/>
          <w:lang w:val="zh-CN"/>
        </w:rPr>
        <w:br w:type="page"/>
      </w:r>
    </w:p>
    <w:p w14:paraId="3C6B71FD">
      <w:pPr>
        <w:shd w:val="clear"/>
        <w:outlineLvl w:val="0"/>
        <w:rPr>
          <w:rFonts w:hint="eastAsia" w:ascii="宋体" w:hAnsi="宋体" w:eastAsia="宋体" w:cs="宋体"/>
          <w:b/>
          <w:bCs/>
          <w:color w:val="auto"/>
          <w:sz w:val="28"/>
          <w:szCs w:val="36"/>
          <w:highlight w:val="none"/>
          <w:lang w:val="zh-CN" w:eastAsia="zh-CN"/>
        </w:rPr>
      </w:pPr>
      <w:r>
        <w:rPr>
          <w:rFonts w:hint="eastAsia" w:ascii="宋体" w:hAnsi="宋体" w:cs="宋体"/>
          <w:b/>
          <w:bCs/>
          <w:color w:val="auto"/>
          <w:sz w:val="28"/>
          <w:szCs w:val="36"/>
          <w:highlight w:val="none"/>
          <w:lang w:val="zh-CN"/>
        </w:rPr>
        <w:t>附件</w:t>
      </w:r>
      <w:bookmarkEnd w:id="139"/>
      <w:bookmarkEnd w:id="140"/>
      <w:bookmarkEnd w:id="141"/>
      <w:r>
        <w:rPr>
          <w:rFonts w:hint="eastAsia" w:ascii="宋体" w:hAnsi="宋体" w:cs="宋体"/>
          <w:b/>
          <w:bCs/>
          <w:color w:val="auto"/>
          <w:sz w:val="28"/>
          <w:szCs w:val="36"/>
          <w:highlight w:val="none"/>
          <w:lang w:val="en-US" w:eastAsia="zh-CN"/>
        </w:rPr>
        <w:t>8</w:t>
      </w:r>
    </w:p>
    <w:p w14:paraId="78603472">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6"/>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2E26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 w:type="dxa"/>
            <w:shd w:val="clear" w:color="auto" w:fill="auto"/>
            <w:vAlign w:val="center"/>
          </w:tcPr>
          <w:p w14:paraId="6BEB8B7B">
            <w:pPr>
              <w:shd w:val="clear"/>
              <w:jc w:val="center"/>
              <w:rPr>
                <w:rFonts w:ascii="宋体" w:hAnsi="宋体" w:cs="宋体"/>
                <w:color w:val="auto"/>
                <w:sz w:val="24"/>
                <w:highlight w:val="none"/>
              </w:rPr>
            </w:pPr>
            <w:r>
              <w:rPr>
                <w:rFonts w:hint="eastAsia" w:ascii="宋体" w:hAnsi="宋体" w:cs="宋体"/>
                <w:color w:val="auto"/>
                <w:sz w:val="24"/>
                <w:highlight w:val="none"/>
              </w:rPr>
              <w:t>企业名称</w:t>
            </w:r>
          </w:p>
        </w:tc>
        <w:tc>
          <w:tcPr>
            <w:tcW w:w="3765" w:type="dxa"/>
            <w:gridSpan w:val="6"/>
            <w:shd w:val="clear" w:color="auto" w:fill="auto"/>
            <w:vAlign w:val="center"/>
          </w:tcPr>
          <w:p w14:paraId="1481BEB4">
            <w:pPr>
              <w:shd w:val="clear"/>
              <w:jc w:val="center"/>
              <w:rPr>
                <w:rFonts w:ascii="宋体" w:hAnsi="宋体" w:cs="宋体"/>
                <w:color w:val="auto"/>
                <w:sz w:val="24"/>
                <w:highlight w:val="none"/>
              </w:rPr>
            </w:pPr>
          </w:p>
        </w:tc>
        <w:tc>
          <w:tcPr>
            <w:tcW w:w="1560" w:type="dxa"/>
            <w:shd w:val="clear" w:color="auto" w:fill="auto"/>
            <w:vAlign w:val="center"/>
          </w:tcPr>
          <w:p w14:paraId="65C06CB6">
            <w:pPr>
              <w:shd w:val="clear"/>
              <w:jc w:val="center"/>
              <w:rPr>
                <w:rFonts w:ascii="宋体" w:hAnsi="宋体" w:cs="宋体"/>
                <w:color w:val="auto"/>
                <w:sz w:val="24"/>
                <w:highlight w:val="none"/>
              </w:rPr>
            </w:pPr>
            <w:r>
              <w:rPr>
                <w:rFonts w:hint="eastAsia" w:ascii="宋体" w:hAnsi="宋体" w:cs="宋体"/>
                <w:color w:val="auto"/>
                <w:sz w:val="24"/>
                <w:highlight w:val="none"/>
              </w:rPr>
              <w:t>法人代表</w:t>
            </w:r>
          </w:p>
        </w:tc>
        <w:tc>
          <w:tcPr>
            <w:tcW w:w="2608" w:type="dxa"/>
            <w:gridSpan w:val="3"/>
            <w:shd w:val="clear" w:color="auto" w:fill="auto"/>
            <w:vAlign w:val="center"/>
          </w:tcPr>
          <w:p w14:paraId="072287D0">
            <w:pPr>
              <w:shd w:val="clear"/>
              <w:jc w:val="center"/>
              <w:rPr>
                <w:rFonts w:ascii="宋体" w:hAnsi="宋体" w:cs="宋体"/>
                <w:color w:val="auto"/>
                <w:sz w:val="24"/>
                <w:highlight w:val="none"/>
              </w:rPr>
            </w:pPr>
          </w:p>
        </w:tc>
      </w:tr>
      <w:tr w14:paraId="1ACB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0" w:type="dxa"/>
            <w:shd w:val="clear" w:color="auto" w:fill="auto"/>
            <w:vAlign w:val="center"/>
          </w:tcPr>
          <w:p w14:paraId="147B7403">
            <w:pPr>
              <w:shd w:val="clear"/>
              <w:jc w:val="center"/>
              <w:rPr>
                <w:rFonts w:ascii="宋体" w:hAnsi="宋体" w:cs="宋体"/>
                <w:color w:val="auto"/>
                <w:sz w:val="24"/>
                <w:highlight w:val="none"/>
              </w:rPr>
            </w:pPr>
            <w:r>
              <w:rPr>
                <w:rFonts w:hint="eastAsia" w:ascii="宋体" w:hAnsi="宋体" w:cs="宋体"/>
                <w:color w:val="auto"/>
                <w:sz w:val="24"/>
                <w:highlight w:val="none"/>
              </w:rPr>
              <w:t>地址</w:t>
            </w:r>
          </w:p>
        </w:tc>
        <w:tc>
          <w:tcPr>
            <w:tcW w:w="3765" w:type="dxa"/>
            <w:gridSpan w:val="6"/>
            <w:tcBorders>
              <w:bottom w:val="single" w:color="auto" w:sz="4" w:space="0"/>
            </w:tcBorders>
            <w:shd w:val="clear" w:color="auto" w:fill="auto"/>
            <w:vAlign w:val="center"/>
          </w:tcPr>
          <w:p w14:paraId="05A4235D">
            <w:pPr>
              <w:shd w:val="clear"/>
              <w:jc w:val="center"/>
              <w:rPr>
                <w:rFonts w:ascii="宋体" w:hAnsi="宋体" w:cs="宋体"/>
                <w:color w:val="auto"/>
                <w:sz w:val="24"/>
                <w:highlight w:val="none"/>
              </w:rPr>
            </w:pPr>
          </w:p>
        </w:tc>
        <w:tc>
          <w:tcPr>
            <w:tcW w:w="1560" w:type="dxa"/>
            <w:shd w:val="clear" w:color="auto" w:fill="auto"/>
            <w:vAlign w:val="center"/>
          </w:tcPr>
          <w:p w14:paraId="686E3F29">
            <w:pPr>
              <w:shd w:val="clear"/>
              <w:jc w:val="center"/>
              <w:rPr>
                <w:rFonts w:ascii="宋体" w:hAnsi="宋体" w:cs="宋体"/>
                <w:color w:val="auto"/>
                <w:sz w:val="24"/>
                <w:highlight w:val="none"/>
              </w:rPr>
            </w:pPr>
            <w:r>
              <w:rPr>
                <w:rFonts w:hint="eastAsia" w:ascii="宋体" w:hAnsi="宋体" w:cs="宋体"/>
                <w:color w:val="auto"/>
                <w:sz w:val="24"/>
                <w:highlight w:val="none"/>
              </w:rPr>
              <w:t>企业性质</w:t>
            </w:r>
          </w:p>
        </w:tc>
        <w:tc>
          <w:tcPr>
            <w:tcW w:w="2608" w:type="dxa"/>
            <w:gridSpan w:val="3"/>
            <w:shd w:val="clear" w:color="auto" w:fill="auto"/>
            <w:vAlign w:val="center"/>
          </w:tcPr>
          <w:p w14:paraId="082081E5">
            <w:pPr>
              <w:shd w:val="clear"/>
              <w:jc w:val="center"/>
              <w:rPr>
                <w:rFonts w:ascii="宋体" w:hAnsi="宋体" w:cs="宋体"/>
                <w:color w:val="auto"/>
                <w:sz w:val="24"/>
                <w:highlight w:val="none"/>
              </w:rPr>
            </w:pPr>
          </w:p>
        </w:tc>
      </w:tr>
      <w:tr w14:paraId="14F7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80" w:type="dxa"/>
            <w:tcBorders>
              <w:bottom w:val="single" w:color="auto" w:sz="4" w:space="0"/>
            </w:tcBorders>
            <w:shd w:val="clear" w:color="auto" w:fill="auto"/>
            <w:vAlign w:val="center"/>
          </w:tcPr>
          <w:p w14:paraId="64488C9A">
            <w:pPr>
              <w:shd w:val="clear"/>
              <w:jc w:val="center"/>
              <w:rPr>
                <w:rFonts w:ascii="宋体" w:hAnsi="宋体" w:cs="宋体"/>
                <w:color w:val="auto"/>
                <w:sz w:val="24"/>
                <w:highlight w:val="none"/>
              </w:rPr>
            </w:pPr>
            <w:r>
              <w:rPr>
                <w:rFonts w:hint="eastAsia" w:ascii="宋体" w:hAnsi="宋体" w:cs="宋体"/>
                <w:color w:val="auto"/>
                <w:sz w:val="24"/>
                <w:highlight w:val="none"/>
              </w:rPr>
              <w:t>股东姓名</w:t>
            </w:r>
          </w:p>
        </w:tc>
        <w:tc>
          <w:tcPr>
            <w:tcW w:w="690" w:type="dxa"/>
            <w:tcBorders>
              <w:bottom w:val="single" w:color="auto" w:sz="4" w:space="0"/>
            </w:tcBorders>
            <w:shd w:val="clear" w:color="auto" w:fill="auto"/>
            <w:vAlign w:val="center"/>
          </w:tcPr>
          <w:p w14:paraId="78714FE3">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14:paraId="7C2DAEC2">
            <w:pPr>
              <w:shd w:val="clear"/>
              <w:jc w:val="center"/>
              <w:rPr>
                <w:rFonts w:ascii="宋体" w:hAnsi="宋体" w:cs="宋体"/>
                <w:color w:val="auto"/>
                <w:sz w:val="24"/>
                <w:highlight w:val="none"/>
              </w:rPr>
            </w:pPr>
            <w:r>
              <w:rPr>
                <w:rFonts w:hint="eastAsia" w:ascii="宋体" w:hAnsi="宋体" w:cs="宋体"/>
                <w:color w:val="auto"/>
                <w:sz w:val="24"/>
                <w:highlight w:val="none"/>
              </w:rPr>
              <w:t>股权结构（%）</w:t>
            </w:r>
          </w:p>
        </w:tc>
        <w:tc>
          <w:tcPr>
            <w:tcW w:w="2115" w:type="dxa"/>
            <w:gridSpan w:val="3"/>
            <w:tcBorders>
              <w:bottom w:val="single" w:color="auto" w:sz="4" w:space="0"/>
            </w:tcBorders>
            <w:shd w:val="clear" w:color="auto" w:fill="auto"/>
            <w:vAlign w:val="center"/>
          </w:tcPr>
          <w:p w14:paraId="2C177955">
            <w:pPr>
              <w:shd w:val="clear"/>
              <w:jc w:val="center"/>
              <w:rPr>
                <w:rFonts w:ascii="宋体" w:hAnsi="宋体" w:cs="宋体"/>
                <w:color w:val="auto"/>
                <w:sz w:val="24"/>
                <w:highlight w:val="none"/>
              </w:rPr>
            </w:pPr>
          </w:p>
          <w:p w14:paraId="098BFFA7">
            <w:pPr>
              <w:shd w:val="clear"/>
              <w:jc w:val="center"/>
              <w:rPr>
                <w:rFonts w:ascii="宋体" w:hAnsi="宋体" w:cs="宋体"/>
                <w:color w:val="auto"/>
                <w:sz w:val="24"/>
                <w:highlight w:val="none"/>
              </w:rPr>
            </w:pPr>
          </w:p>
        </w:tc>
        <w:tc>
          <w:tcPr>
            <w:tcW w:w="1560" w:type="dxa"/>
            <w:shd w:val="clear" w:color="auto" w:fill="auto"/>
            <w:vAlign w:val="center"/>
          </w:tcPr>
          <w:p w14:paraId="173029F9">
            <w:pPr>
              <w:shd w:val="clear"/>
              <w:jc w:val="center"/>
              <w:rPr>
                <w:rFonts w:ascii="宋体" w:hAnsi="宋体" w:cs="宋体"/>
                <w:color w:val="auto"/>
                <w:sz w:val="24"/>
                <w:highlight w:val="none"/>
              </w:rPr>
            </w:pPr>
            <w:r>
              <w:rPr>
                <w:rFonts w:hint="eastAsia" w:ascii="宋体" w:hAnsi="宋体" w:cs="宋体"/>
                <w:color w:val="auto"/>
                <w:sz w:val="24"/>
                <w:highlight w:val="none"/>
              </w:rPr>
              <w:t>股东关系</w:t>
            </w:r>
          </w:p>
        </w:tc>
        <w:tc>
          <w:tcPr>
            <w:tcW w:w="2608" w:type="dxa"/>
            <w:gridSpan w:val="3"/>
            <w:shd w:val="clear" w:color="auto" w:fill="auto"/>
            <w:vAlign w:val="center"/>
          </w:tcPr>
          <w:p w14:paraId="32C9BBD6">
            <w:pPr>
              <w:shd w:val="clear"/>
              <w:jc w:val="center"/>
              <w:rPr>
                <w:rFonts w:ascii="宋体" w:hAnsi="宋体" w:cs="宋体"/>
                <w:color w:val="auto"/>
                <w:sz w:val="24"/>
                <w:highlight w:val="none"/>
              </w:rPr>
            </w:pPr>
          </w:p>
        </w:tc>
      </w:tr>
      <w:tr w14:paraId="702B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restart"/>
            <w:shd w:val="clear" w:color="auto" w:fill="auto"/>
            <w:vAlign w:val="center"/>
          </w:tcPr>
          <w:p w14:paraId="41CC5A82">
            <w:pPr>
              <w:shd w:val="clear"/>
              <w:jc w:val="center"/>
              <w:rPr>
                <w:rFonts w:ascii="宋体" w:hAnsi="宋体" w:cs="宋体"/>
                <w:color w:val="auto"/>
                <w:sz w:val="24"/>
                <w:highlight w:val="none"/>
              </w:rPr>
            </w:pPr>
            <w:r>
              <w:rPr>
                <w:rFonts w:hint="eastAsia" w:ascii="宋体" w:hAnsi="宋体" w:cs="宋体"/>
                <w:color w:val="auto"/>
                <w:sz w:val="24"/>
                <w:highlight w:val="none"/>
              </w:rPr>
              <w:t>联系人姓名</w:t>
            </w:r>
          </w:p>
        </w:tc>
        <w:tc>
          <w:tcPr>
            <w:tcW w:w="690" w:type="dxa"/>
            <w:vMerge w:val="restart"/>
            <w:tcBorders>
              <w:top w:val="nil"/>
            </w:tcBorders>
            <w:shd w:val="clear" w:color="auto" w:fill="auto"/>
            <w:vAlign w:val="center"/>
          </w:tcPr>
          <w:p w14:paraId="4149F3AC">
            <w:pPr>
              <w:shd w:val="clear"/>
              <w:jc w:val="center"/>
              <w:rPr>
                <w:rFonts w:ascii="宋体" w:hAnsi="宋体" w:cs="宋体"/>
                <w:color w:val="auto"/>
                <w:sz w:val="24"/>
                <w:highlight w:val="none"/>
              </w:rPr>
            </w:pPr>
          </w:p>
        </w:tc>
        <w:tc>
          <w:tcPr>
            <w:tcW w:w="960" w:type="dxa"/>
            <w:gridSpan w:val="2"/>
            <w:tcBorders>
              <w:top w:val="nil"/>
              <w:bottom w:val="single" w:color="auto" w:sz="4" w:space="0"/>
            </w:tcBorders>
            <w:shd w:val="clear" w:color="auto" w:fill="auto"/>
            <w:vAlign w:val="center"/>
          </w:tcPr>
          <w:p w14:paraId="62C3932C">
            <w:pPr>
              <w:shd w:val="clear"/>
              <w:jc w:val="center"/>
              <w:rPr>
                <w:rFonts w:ascii="宋体" w:hAnsi="宋体" w:cs="宋体"/>
                <w:color w:val="auto"/>
                <w:sz w:val="24"/>
                <w:highlight w:val="none"/>
              </w:rPr>
            </w:pPr>
            <w:r>
              <w:rPr>
                <w:rFonts w:hint="eastAsia" w:ascii="宋体" w:hAnsi="宋体" w:cs="宋体"/>
                <w:color w:val="auto"/>
                <w:sz w:val="24"/>
                <w:highlight w:val="none"/>
              </w:rPr>
              <w:t>固定电话</w:t>
            </w:r>
          </w:p>
        </w:tc>
        <w:tc>
          <w:tcPr>
            <w:tcW w:w="2115" w:type="dxa"/>
            <w:gridSpan w:val="3"/>
            <w:tcBorders>
              <w:top w:val="nil"/>
              <w:bottom w:val="single" w:color="auto" w:sz="4" w:space="0"/>
            </w:tcBorders>
            <w:shd w:val="clear" w:color="auto" w:fill="auto"/>
            <w:vAlign w:val="center"/>
          </w:tcPr>
          <w:p w14:paraId="60CC9869">
            <w:pPr>
              <w:shd w:val="clear"/>
              <w:jc w:val="center"/>
              <w:rPr>
                <w:rFonts w:ascii="宋体" w:hAnsi="宋体" w:cs="宋体"/>
                <w:color w:val="auto"/>
                <w:sz w:val="24"/>
                <w:highlight w:val="none"/>
              </w:rPr>
            </w:pPr>
          </w:p>
          <w:p w14:paraId="4107C230">
            <w:pPr>
              <w:shd w:val="clear"/>
              <w:jc w:val="center"/>
              <w:rPr>
                <w:rFonts w:ascii="宋体" w:hAnsi="宋体" w:cs="宋体"/>
                <w:color w:val="auto"/>
                <w:sz w:val="24"/>
                <w:highlight w:val="none"/>
              </w:rPr>
            </w:pPr>
          </w:p>
        </w:tc>
        <w:tc>
          <w:tcPr>
            <w:tcW w:w="1560" w:type="dxa"/>
            <w:vMerge w:val="restart"/>
            <w:shd w:val="clear" w:color="auto" w:fill="auto"/>
            <w:vAlign w:val="center"/>
          </w:tcPr>
          <w:p w14:paraId="40394DE4">
            <w:pPr>
              <w:shd w:val="clea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608" w:type="dxa"/>
            <w:gridSpan w:val="3"/>
            <w:vMerge w:val="restart"/>
            <w:shd w:val="clear" w:color="auto" w:fill="auto"/>
            <w:vAlign w:val="center"/>
          </w:tcPr>
          <w:p w14:paraId="1D8DA7C3">
            <w:pPr>
              <w:shd w:val="clear"/>
              <w:jc w:val="center"/>
              <w:rPr>
                <w:rFonts w:ascii="宋体" w:hAnsi="宋体" w:cs="宋体"/>
                <w:color w:val="auto"/>
                <w:sz w:val="24"/>
                <w:highlight w:val="none"/>
              </w:rPr>
            </w:pPr>
          </w:p>
        </w:tc>
      </w:tr>
      <w:tr w14:paraId="7F09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80" w:type="dxa"/>
            <w:vMerge w:val="continue"/>
            <w:tcBorders>
              <w:bottom w:val="single" w:color="auto" w:sz="4" w:space="0"/>
            </w:tcBorders>
            <w:shd w:val="clear" w:color="auto" w:fill="auto"/>
            <w:vAlign w:val="center"/>
          </w:tcPr>
          <w:p w14:paraId="0AFE7AA1">
            <w:pPr>
              <w:shd w:val="clear"/>
              <w:jc w:val="center"/>
              <w:rPr>
                <w:rFonts w:ascii="宋体" w:hAnsi="宋体" w:cs="宋体"/>
                <w:color w:val="auto"/>
                <w:sz w:val="24"/>
                <w:highlight w:val="none"/>
              </w:rPr>
            </w:pPr>
          </w:p>
        </w:tc>
        <w:tc>
          <w:tcPr>
            <w:tcW w:w="690" w:type="dxa"/>
            <w:vMerge w:val="continue"/>
            <w:tcBorders>
              <w:bottom w:val="single" w:color="auto" w:sz="4" w:space="0"/>
            </w:tcBorders>
            <w:shd w:val="clear" w:color="auto" w:fill="auto"/>
            <w:vAlign w:val="center"/>
          </w:tcPr>
          <w:p w14:paraId="3D621B77">
            <w:pPr>
              <w:shd w:val="clear"/>
              <w:jc w:val="center"/>
              <w:rPr>
                <w:rFonts w:ascii="宋体" w:hAnsi="宋体" w:cs="宋体"/>
                <w:color w:val="auto"/>
                <w:sz w:val="24"/>
                <w:highlight w:val="none"/>
              </w:rPr>
            </w:pPr>
          </w:p>
        </w:tc>
        <w:tc>
          <w:tcPr>
            <w:tcW w:w="960" w:type="dxa"/>
            <w:gridSpan w:val="2"/>
            <w:tcBorders>
              <w:bottom w:val="single" w:color="auto" w:sz="4" w:space="0"/>
            </w:tcBorders>
            <w:shd w:val="clear" w:color="auto" w:fill="auto"/>
            <w:vAlign w:val="center"/>
          </w:tcPr>
          <w:p w14:paraId="02507514">
            <w:pPr>
              <w:shd w:val="clear"/>
              <w:jc w:val="center"/>
              <w:rPr>
                <w:rFonts w:ascii="宋体" w:hAnsi="宋体" w:cs="宋体"/>
                <w:color w:val="auto"/>
                <w:sz w:val="24"/>
                <w:highlight w:val="none"/>
              </w:rPr>
            </w:pPr>
            <w:r>
              <w:rPr>
                <w:rFonts w:hint="eastAsia" w:ascii="宋体" w:hAnsi="宋体" w:cs="宋体"/>
                <w:color w:val="auto"/>
                <w:sz w:val="24"/>
                <w:highlight w:val="none"/>
              </w:rPr>
              <w:t>手机</w:t>
            </w:r>
          </w:p>
        </w:tc>
        <w:tc>
          <w:tcPr>
            <w:tcW w:w="2115" w:type="dxa"/>
            <w:gridSpan w:val="3"/>
            <w:tcBorders>
              <w:bottom w:val="single" w:color="auto" w:sz="4" w:space="0"/>
            </w:tcBorders>
            <w:shd w:val="clear" w:color="auto" w:fill="auto"/>
            <w:vAlign w:val="center"/>
          </w:tcPr>
          <w:p w14:paraId="6CF710F9">
            <w:pPr>
              <w:shd w:val="clear"/>
              <w:jc w:val="center"/>
              <w:rPr>
                <w:rFonts w:ascii="宋体" w:hAnsi="宋体" w:cs="宋体"/>
                <w:color w:val="auto"/>
                <w:sz w:val="24"/>
                <w:highlight w:val="none"/>
              </w:rPr>
            </w:pPr>
          </w:p>
        </w:tc>
        <w:tc>
          <w:tcPr>
            <w:tcW w:w="1560" w:type="dxa"/>
            <w:vMerge w:val="continue"/>
            <w:shd w:val="clear" w:color="auto" w:fill="auto"/>
            <w:vAlign w:val="center"/>
          </w:tcPr>
          <w:p w14:paraId="2C350176">
            <w:pPr>
              <w:shd w:val="clear"/>
              <w:jc w:val="center"/>
              <w:rPr>
                <w:rFonts w:ascii="宋体" w:hAnsi="宋体" w:cs="宋体"/>
                <w:color w:val="auto"/>
                <w:sz w:val="24"/>
                <w:highlight w:val="none"/>
              </w:rPr>
            </w:pPr>
          </w:p>
        </w:tc>
        <w:tc>
          <w:tcPr>
            <w:tcW w:w="2608" w:type="dxa"/>
            <w:gridSpan w:val="3"/>
            <w:vMerge w:val="continue"/>
            <w:shd w:val="clear" w:color="auto" w:fill="auto"/>
            <w:vAlign w:val="center"/>
          </w:tcPr>
          <w:p w14:paraId="62A90C4D">
            <w:pPr>
              <w:shd w:val="clear"/>
              <w:jc w:val="center"/>
              <w:rPr>
                <w:rFonts w:ascii="宋体" w:hAnsi="宋体" w:cs="宋体"/>
                <w:color w:val="auto"/>
                <w:sz w:val="24"/>
                <w:highlight w:val="none"/>
              </w:rPr>
            </w:pPr>
          </w:p>
        </w:tc>
      </w:tr>
      <w:tr w14:paraId="4A5E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80" w:type="dxa"/>
            <w:vMerge w:val="restart"/>
            <w:shd w:val="clear" w:color="auto" w:fill="auto"/>
            <w:vAlign w:val="center"/>
          </w:tcPr>
          <w:p w14:paraId="3B75B6D7">
            <w:pPr>
              <w:shd w:val="clear"/>
              <w:jc w:val="center"/>
              <w:rPr>
                <w:rFonts w:ascii="宋体" w:hAnsi="宋体" w:cs="宋体"/>
                <w:color w:val="auto"/>
                <w:sz w:val="24"/>
                <w:highlight w:val="none"/>
              </w:rPr>
            </w:pPr>
            <w:r>
              <w:rPr>
                <w:rFonts w:hint="eastAsia" w:ascii="宋体" w:hAnsi="宋体" w:cs="宋体"/>
                <w:color w:val="auto"/>
                <w:sz w:val="24"/>
                <w:highlight w:val="none"/>
              </w:rPr>
              <w:t>1.</w:t>
            </w:r>
          </w:p>
          <w:p w14:paraId="2D3BE0A0">
            <w:pPr>
              <w:shd w:val="clear"/>
              <w:jc w:val="center"/>
              <w:rPr>
                <w:rFonts w:ascii="宋体" w:hAnsi="宋体" w:cs="宋体"/>
                <w:color w:val="auto"/>
                <w:sz w:val="24"/>
                <w:highlight w:val="none"/>
              </w:rPr>
            </w:pPr>
            <w:r>
              <w:rPr>
                <w:rFonts w:hint="eastAsia" w:ascii="宋体" w:hAnsi="宋体" w:cs="宋体"/>
                <w:color w:val="auto"/>
                <w:sz w:val="24"/>
                <w:highlight w:val="none"/>
              </w:rPr>
              <w:t>企</w:t>
            </w:r>
          </w:p>
          <w:p w14:paraId="10352A52">
            <w:pPr>
              <w:shd w:val="clear"/>
              <w:jc w:val="center"/>
              <w:rPr>
                <w:rFonts w:ascii="宋体" w:hAnsi="宋体" w:cs="宋体"/>
                <w:color w:val="auto"/>
                <w:sz w:val="24"/>
                <w:highlight w:val="none"/>
              </w:rPr>
            </w:pPr>
            <w:r>
              <w:rPr>
                <w:rFonts w:hint="eastAsia" w:ascii="宋体" w:hAnsi="宋体" w:cs="宋体"/>
                <w:color w:val="auto"/>
                <w:sz w:val="24"/>
                <w:highlight w:val="none"/>
              </w:rPr>
              <w:t>业</w:t>
            </w:r>
          </w:p>
          <w:p w14:paraId="7BFDA918">
            <w:pPr>
              <w:shd w:val="clear"/>
              <w:jc w:val="center"/>
              <w:rPr>
                <w:rFonts w:ascii="宋体" w:hAnsi="宋体" w:cs="宋体"/>
                <w:color w:val="auto"/>
                <w:sz w:val="24"/>
                <w:highlight w:val="none"/>
              </w:rPr>
            </w:pPr>
            <w:r>
              <w:rPr>
                <w:rFonts w:hint="eastAsia" w:ascii="宋体" w:hAnsi="宋体" w:cs="宋体"/>
                <w:color w:val="auto"/>
                <w:sz w:val="24"/>
                <w:highlight w:val="none"/>
              </w:rPr>
              <w:t>概</w:t>
            </w:r>
          </w:p>
          <w:p w14:paraId="48EAA613">
            <w:pPr>
              <w:shd w:val="clear"/>
              <w:jc w:val="center"/>
              <w:rPr>
                <w:rFonts w:ascii="宋体" w:hAnsi="宋体" w:cs="宋体"/>
                <w:color w:val="auto"/>
                <w:sz w:val="24"/>
                <w:highlight w:val="none"/>
              </w:rPr>
            </w:pPr>
            <w:r>
              <w:rPr>
                <w:rFonts w:hint="eastAsia" w:ascii="宋体" w:hAnsi="宋体" w:cs="宋体"/>
                <w:color w:val="auto"/>
                <w:sz w:val="24"/>
                <w:highlight w:val="none"/>
              </w:rPr>
              <w:t>况</w:t>
            </w:r>
          </w:p>
        </w:tc>
        <w:tc>
          <w:tcPr>
            <w:tcW w:w="690" w:type="dxa"/>
            <w:tcBorders>
              <w:top w:val="nil"/>
            </w:tcBorders>
            <w:shd w:val="clear" w:color="auto" w:fill="auto"/>
            <w:vAlign w:val="center"/>
          </w:tcPr>
          <w:p w14:paraId="5F20866C">
            <w:pPr>
              <w:shd w:val="clear"/>
              <w:jc w:val="center"/>
              <w:rPr>
                <w:rFonts w:ascii="宋体" w:hAnsi="宋体" w:cs="宋体"/>
                <w:color w:val="auto"/>
                <w:sz w:val="24"/>
                <w:highlight w:val="none"/>
              </w:rPr>
            </w:pPr>
            <w:r>
              <w:rPr>
                <w:rFonts w:hint="eastAsia" w:ascii="宋体" w:hAnsi="宋体" w:cs="宋体"/>
                <w:color w:val="auto"/>
                <w:sz w:val="24"/>
                <w:highlight w:val="none"/>
              </w:rPr>
              <w:t>职工人数</w:t>
            </w:r>
          </w:p>
        </w:tc>
        <w:tc>
          <w:tcPr>
            <w:tcW w:w="960" w:type="dxa"/>
            <w:gridSpan w:val="2"/>
            <w:tcBorders>
              <w:top w:val="nil"/>
            </w:tcBorders>
            <w:shd w:val="clear" w:color="auto" w:fill="auto"/>
            <w:vAlign w:val="center"/>
          </w:tcPr>
          <w:p w14:paraId="68141A2B">
            <w:pPr>
              <w:shd w:val="clear"/>
              <w:jc w:val="center"/>
              <w:rPr>
                <w:rFonts w:ascii="宋体" w:hAnsi="宋体" w:cs="宋体"/>
                <w:color w:val="auto"/>
                <w:sz w:val="24"/>
                <w:highlight w:val="none"/>
              </w:rPr>
            </w:pPr>
          </w:p>
        </w:tc>
        <w:tc>
          <w:tcPr>
            <w:tcW w:w="926" w:type="dxa"/>
            <w:tcBorders>
              <w:top w:val="nil"/>
            </w:tcBorders>
            <w:shd w:val="clear" w:color="auto" w:fill="auto"/>
            <w:vAlign w:val="center"/>
          </w:tcPr>
          <w:p w14:paraId="345139FB">
            <w:pPr>
              <w:shd w:val="clear"/>
              <w:jc w:val="center"/>
              <w:rPr>
                <w:rFonts w:ascii="宋体" w:hAnsi="宋体" w:cs="宋体"/>
                <w:color w:val="auto"/>
                <w:sz w:val="24"/>
                <w:highlight w:val="none"/>
              </w:rPr>
            </w:pPr>
            <w:r>
              <w:rPr>
                <w:rFonts w:hint="eastAsia" w:ascii="宋体" w:hAnsi="宋体" w:cs="宋体"/>
                <w:color w:val="auto"/>
                <w:sz w:val="24"/>
                <w:highlight w:val="none"/>
              </w:rPr>
              <w:t>具备大专以上学历人数</w:t>
            </w:r>
          </w:p>
        </w:tc>
        <w:tc>
          <w:tcPr>
            <w:tcW w:w="1189" w:type="dxa"/>
            <w:gridSpan w:val="2"/>
            <w:tcBorders>
              <w:top w:val="nil"/>
            </w:tcBorders>
            <w:shd w:val="clear" w:color="auto" w:fill="auto"/>
            <w:vAlign w:val="center"/>
          </w:tcPr>
          <w:p w14:paraId="06B61616">
            <w:pPr>
              <w:shd w:val="clear"/>
              <w:jc w:val="center"/>
              <w:rPr>
                <w:rFonts w:ascii="宋体" w:hAnsi="宋体" w:cs="宋体"/>
                <w:color w:val="auto"/>
                <w:sz w:val="24"/>
                <w:highlight w:val="none"/>
              </w:rPr>
            </w:pPr>
          </w:p>
          <w:p w14:paraId="151729CF">
            <w:pPr>
              <w:shd w:val="clear"/>
              <w:jc w:val="center"/>
              <w:rPr>
                <w:rFonts w:ascii="宋体" w:hAnsi="宋体" w:cs="宋体"/>
                <w:color w:val="auto"/>
                <w:sz w:val="24"/>
                <w:highlight w:val="none"/>
              </w:rPr>
            </w:pPr>
          </w:p>
          <w:p w14:paraId="6B91922A">
            <w:pPr>
              <w:shd w:val="clear"/>
              <w:jc w:val="center"/>
              <w:rPr>
                <w:rFonts w:ascii="宋体" w:hAnsi="宋体" w:cs="宋体"/>
                <w:color w:val="auto"/>
                <w:sz w:val="24"/>
                <w:highlight w:val="none"/>
              </w:rPr>
            </w:pPr>
          </w:p>
        </w:tc>
        <w:tc>
          <w:tcPr>
            <w:tcW w:w="1560" w:type="dxa"/>
            <w:shd w:val="clear" w:color="auto" w:fill="auto"/>
            <w:vAlign w:val="center"/>
          </w:tcPr>
          <w:p w14:paraId="257B7A39">
            <w:pPr>
              <w:shd w:val="clear"/>
              <w:jc w:val="center"/>
              <w:rPr>
                <w:rFonts w:ascii="宋体" w:hAnsi="宋体" w:cs="宋体"/>
                <w:color w:val="auto"/>
                <w:sz w:val="24"/>
                <w:highlight w:val="none"/>
              </w:rPr>
            </w:pPr>
            <w:r>
              <w:rPr>
                <w:rFonts w:hint="eastAsia" w:ascii="宋体" w:hAnsi="宋体" w:cs="宋体"/>
                <w:color w:val="auto"/>
                <w:sz w:val="24"/>
                <w:highlight w:val="none"/>
              </w:rPr>
              <w:t>国家授予技术职称人数</w:t>
            </w:r>
          </w:p>
        </w:tc>
        <w:tc>
          <w:tcPr>
            <w:tcW w:w="2608" w:type="dxa"/>
            <w:gridSpan w:val="3"/>
            <w:shd w:val="clear" w:color="auto" w:fill="auto"/>
            <w:vAlign w:val="center"/>
          </w:tcPr>
          <w:p w14:paraId="155BCC13">
            <w:pPr>
              <w:shd w:val="clear"/>
              <w:jc w:val="center"/>
              <w:rPr>
                <w:rFonts w:ascii="宋体" w:hAnsi="宋体" w:cs="宋体"/>
                <w:color w:val="auto"/>
                <w:sz w:val="24"/>
                <w:highlight w:val="none"/>
              </w:rPr>
            </w:pPr>
          </w:p>
          <w:p w14:paraId="46BC543E">
            <w:pPr>
              <w:shd w:val="clear"/>
              <w:jc w:val="center"/>
              <w:rPr>
                <w:rFonts w:ascii="宋体" w:hAnsi="宋体" w:cs="宋体"/>
                <w:color w:val="auto"/>
                <w:sz w:val="24"/>
                <w:highlight w:val="none"/>
              </w:rPr>
            </w:pPr>
          </w:p>
        </w:tc>
      </w:tr>
      <w:tr w14:paraId="3744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80" w:type="dxa"/>
            <w:vMerge w:val="continue"/>
            <w:shd w:val="clear" w:color="auto" w:fill="auto"/>
            <w:vAlign w:val="center"/>
          </w:tcPr>
          <w:p w14:paraId="724B3A0C">
            <w:pPr>
              <w:shd w:val="clear"/>
              <w:jc w:val="center"/>
              <w:rPr>
                <w:rFonts w:ascii="宋体" w:hAnsi="宋体" w:cs="宋体"/>
                <w:color w:val="auto"/>
                <w:sz w:val="24"/>
                <w:highlight w:val="none"/>
              </w:rPr>
            </w:pPr>
          </w:p>
        </w:tc>
        <w:tc>
          <w:tcPr>
            <w:tcW w:w="690" w:type="dxa"/>
            <w:shd w:val="clear" w:color="auto" w:fill="auto"/>
            <w:vAlign w:val="center"/>
          </w:tcPr>
          <w:p w14:paraId="5E91F289">
            <w:pPr>
              <w:shd w:val="clear"/>
              <w:jc w:val="center"/>
              <w:rPr>
                <w:rFonts w:ascii="宋体" w:hAnsi="宋体" w:cs="宋体"/>
                <w:color w:val="auto"/>
                <w:sz w:val="24"/>
                <w:highlight w:val="none"/>
              </w:rPr>
            </w:pPr>
            <w:r>
              <w:rPr>
                <w:rFonts w:hint="eastAsia" w:ascii="宋体" w:hAnsi="宋体" w:cs="宋体"/>
                <w:color w:val="auto"/>
                <w:sz w:val="24"/>
                <w:highlight w:val="none"/>
              </w:rPr>
              <w:t>占地面积</w:t>
            </w:r>
          </w:p>
        </w:tc>
        <w:tc>
          <w:tcPr>
            <w:tcW w:w="960" w:type="dxa"/>
            <w:gridSpan w:val="2"/>
            <w:shd w:val="clear" w:color="auto" w:fill="auto"/>
            <w:vAlign w:val="center"/>
          </w:tcPr>
          <w:p w14:paraId="3F513127">
            <w:pPr>
              <w:shd w:val="clear"/>
              <w:jc w:val="center"/>
              <w:rPr>
                <w:rFonts w:ascii="宋体" w:hAnsi="宋体" w:cs="宋体"/>
                <w:color w:val="auto"/>
                <w:sz w:val="24"/>
                <w:highlight w:val="none"/>
              </w:rPr>
            </w:pPr>
          </w:p>
        </w:tc>
        <w:tc>
          <w:tcPr>
            <w:tcW w:w="926" w:type="dxa"/>
            <w:shd w:val="clear" w:color="auto" w:fill="auto"/>
            <w:vAlign w:val="center"/>
          </w:tcPr>
          <w:p w14:paraId="24AC5F0E">
            <w:pPr>
              <w:shd w:val="clear"/>
              <w:jc w:val="center"/>
              <w:rPr>
                <w:rFonts w:ascii="宋体" w:hAnsi="宋体" w:cs="宋体"/>
                <w:color w:val="auto"/>
                <w:sz w:val="24"/>
                <w:highlight w:val="none"/>
              </w:rPr>
            </w:pPr>
            <w:r>
              <w:rPr>
                <w:rFonts w:hint="eastAsia" w:ascii="宋体" w:hAnsi="宋体" w:cs="宋体"/>
                <w:color w:val="auto"/>
                <w:sz w:val="24"/>
                <w:highlight w:val="none"/>
              </w:rPr>
              <w:t>建筑面积</w:t>
            </w:r>
          </w:p>
        </w:tc>
        <w:tc>
          <w:tcPr>
            <w:tcW w:w="1189" w:type="dxa"/>
            <w:gridSpan w:val="2"/>
            <w:shd w:val="clear" w:color="auto" w:fill="auto"/>
            <w:vAlign w:val="center"/>
          </w:tcPr>
          <w:p w14:paraId="595E4DE2">
            <w:pPr>
              <w:shd w:val="clear"/>
              <w:jc w:val="center"/>
              <w:rPr>
                <w:rFonts w:ascii="宋体" w:hAnsi="宋体" w:cs="宋体"/>
                <w:color w:val="auto"/>
                <w:sz w:val="24"/>
                <w:highlight w:val="none"/>
              </w:rPr>
            </w:pPr>
            <w:r>
              <w:rPr>
                <w:rFonts w:hint="eastAsia" w:ascii="宋体" w:hAnsi="宋体" w:cs="宋体"/>
                <w:color w:val="auto"/>
                <w:sz w:val="24"/>
                <w:highlight w:val="none"/>
              </w:rPr>
              <w:t>平方米</w:t>
            </w:r>
          </w:p>
          <w:p w14:paraId="77349748">
            <w:pPr>
              <w:shd w:val="clear"/>
              <w:jc w:val="center"/>
              <w:rPr>
                <w:rFonts w:ascii="宋体" w:hAnsi="宋体" w:cs="宋体"/>
                <w:color w:val="auto"/>
                <w:sz w:val="24"/>
                <w:highlight w:val="none"/>
              </w:rPr>
            </w:pPr>
            <w:r>
              <w:rPr>
                <w:rFonts w:hint="eastAsia" w:ascii="宋体" w:hAnsi="宋体" w:cs="宋体"/>
                <w:color w:val="auto"/>
                <w:sz w:val="24"/>
                <w:highlight w:val="none"/>
              </w:rPr>
              <w:t>□自有</w:t>
            </w:r>
          </w:p>
          <w:p w14:paraId="655C0770">
            <w:pPr>
              <w:shd w:val="clear"/>
              <w:jc w:val="center"/>
              <w:rPr>
                <w:rFonts w:ascii="宋体" w:hAnsi="宋体" w:cs="宋体"/>
                <w:color w:val="auto"/>
                <w:sz w:val="24"/>
                <w:highlight w:val="none"/>
              </w:rPr>
            </w:pPr>
            <w:r>
              <w:rPr>
                <w:rFonts w:hint="eastAsia" w:ascii="宋体" w:hAnsi="宋体" w:cs="宋体"/>
                <w:color w:val="auto"/>
                <w:sz w:val="24"/>
                <w:highlight w:val="none"/>
              </w:rPr>
              <w:t>□租赁</w:t>
            </w:r>
          </w:p>
        </w:tc>
        <w:tc>
          <w:tcPr>
            <w:tcW w:w="1560" w:type="dxa"/>
            <w:shd w:val="clear" w:color="auto" w:fill="auto"/>
            <w:vAlign w:val="center"/>
          </w:tcPr>
          <w:p w14:paraId="68499B85">
            <w:pPr>
              <w:shd w:val="clear"/>
              <w:jc w:val="center"/>
              <w:rPr>
                <w:rFonts w:ascii="宋体" w:hAnsi="宋体" w:cs="宋体"/>
                <w:color w:val="auto"/>
                <w:sz w:val="24"/>
                <w:highlight w:val="none"/>
              </w:rPr>
            </w:pPr>
            <w:r>
              <w:rPr>
                <w:rFonts w:hint="eastAsia" w:ascii="宋体" w:hAnsi="宋体" w:cs="宋体"/>
                <w:color w:val="auto"/>
                <w:sz w:val="24"/>
                <w:highlight w:val="none"/>
              </w:rPr>
              <w:t>生产经营场所及场所的设施与设备</w:t>
            </w:r>
          </w:p>
        </w:tc>
        <w:tc>
          <w:tcPr>
            <w:tcW w:w="2608" w:type="dxa"/>
            <w:gridSpan w:val="3"/>
            <w:shd w:val="clear" w:color="auto" w:fill="auto"/>
            <w:vAlign w:val="center"/>
          </w:tcPr>
          <w:p w14:paraId="30091A28">
            <w:pPr>
              <w:shd w:val="clear"/>
              <w:jc w:val="center"/>
              <w:rPr>
                <w:rFonts w:ascii="宋体" w:hAnsi="宋体" w:cs="宋体"/>
                <w:color w:val="auto"/>
                <w:sz w:val="24"/>
                <w:highlight w:val="none"/>
              </w:rPr>
            </w:pPr>
          </w:p>
        </w:tc>
      </w:tr>
      <w:tr w14:paraId="7F6B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0" w:type="dxa"/>
            <w:vMerge w:val="continue"/>
            <w:shd w:val="clear" w:color="auto" w:fill="auto"/>
            <w:vAlign w:val="center"/>
          </w:tcPr>
          <w:p w14:paraId="0992DFFF">
            <w:pPr>
              <w:shd w:val="clear"/>
              <w:jc w:val="center"/>
              <w:rPr>
                <w:rFonts w:ascii="宋体" w:hAnsi="宋体" w:cs="宋体"/>
                <w:color w:val="auto"/>
                <w:sz w:val="24"/>
                <w:highlight w:val="none"/>
              </w:rPr>
            </w:pPr>
          </w:p>
        </w:tc>
        <w:tc>
          <w:tcPr>
            <w:tcW w:w="690" w:type="dxa"/>
            <w:shd w:val="clear" w:color="auto" w:fill="auto"/>
            <w:vAlign w:val="center"/>
          </w:tcPr>
          <w:p w14:paraId="3DBD44BF">
            <w:pPr>
              <w:shd w:val="clear"/>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960" w:type="dxa"/>
            <w:gridSpan w:val="2"/>
            <w:shd w:val="clear" w:color="auto" w:fill="auto"/>
            <w:vAlign w:val="center"/>
          </w:tcPr>
          <w:p w14:paraId="45A1978C">
            <w:pPr>
              <w:shd w:val="clear"/>
              <w:jc w:val="center"/>
              <w:rPr>
                <w:rFonts w:ascii="宋体" w:hAnsi="宋体" w:cs="宋体"/>
                <w:color w:val="auto"/>
                <w:sz w:val="24"/>
                <w:highlight w:val="none"/>
              </w:rPr>
            </w:pPr>
          </w:p>
        </w:tc>
        <w:tc>
          <w:tcPr>
            <w:tcW w:w="926" w:type="dxa"/>
            <w:shd w:val="clear" w:color="auto" w:fill="auto"/>
            <w:vAlign w:val="center"/>
          </w:tcPr>
          <w:p w14:paraId="28F5F78D">
            <w:pPr>
              <w:shd w:val="clear"/>
              <w:jc w:val="center"/>
              <w:rPr>
                <w:rFonts w:ascii="宋体" w:hAnsi="宋体" w:cs="宋体"/>
                <w:color w:val="auto"/>
                <w:sz w:val="24"/>
                <w:highlight w:val="none"/>
              </w:rPr>
            </w:pPr>
            <w:r>
              <w:rPr>
                <w:rFonts w:hint="eastAsia" w:ascii="宋体" w:hAnsi="宋体" w:cs="宋体"/>
                <w:color w:val="auto"/>
                <w:sz w:val="24"/>
                <w:highlight w:val="none"/>
              </w:rPr>
              <w:t>注册发证机关</w:t>
            </w:r>
          </w:p>
        </w:tc>
        <w:tc>
          <w:tcPr>
            <w:tcW w:w="2749" w:type="dxa"/>
            <w:gridSpan w:val="3"/>
            <w:shd w:val="clear" w:color="auto" w:fill="auto"/>
            <w:vAlign w:val="center"/>
          </w:tcPr>
          <w:p w14:paraId="373F42EF">
            <w:pPr>
              <w:shd w:val="clear"/>
              <w:jc w:val="center"/>
              <w:rPr>
                <w:rFonts w:ascii="宋体" w:hAnsi="宋体" w:cs="宋体"/>
                <w:color w:val="auto"/>
                <w:sz w:val="24"/>
                <w:highlight w:val="none"/>
              </w:rPr>
            </w:pPr>
          </w:p>
          <w:p w14:paraId="7251DB77">
            <w:pPr>
              <w:shd w:val="clear"/>
              <w:jc w:val="center"/>
              <w:rPr>
                <w:rFonts w:ascii="宋体" w:hAnsi="宋体" w:cs="宋体"/>
                <w:color w:val="auto"/>
                <w:sz w:val="24"/>
                <w:highlight w:val="none"/>
              </w:rPr>
            </w:pPr>
          </w:p>
        </w:tc>
        <w:tc>
          <w:tcPr>
            <w:tcW w:w="1675" w:type="dxa"/>
            <w:gridSpan w:val="2"/>
            <w:shd w:val="clear" w:color="auto" w:fill="auto"/>
            <w:vAlign w:val="center"/>
          </w:tcPr>
          <w:p w14:paraId="0EEA859E">
            <w:pPr>
              <w:shd w:val="clear"/>
              <w:jc w:val="center"/>
              <w:rPr>
                <w:rFonts w:ascii="宋体" w:hAnsi="宋体" w:cs="宋体"/>
                <w:color w:val="auto"/>
                <w:sz w:val="24"/>
                <w:highlight w:val="none"/>
              </w:rPr>
            </w:pPr>
            <w:r>
              <w:rPr>
                <w:rFonts w:hint="eastAsia" w:ascii="宋体" w:hAnsi="宋体" w:cs="宋体"/>
                <w:color w:val="auto"/>
                <w:sz w:val="24"/>
                <w:highlight w:val="none"/>
              </w:rPr>
              <w:t>公司成立时间</w:t>
            </w:r>
          </w:p>
        </w:tc>
        <w:tc>
          <w:tcPr>
            <w:tcW w:w="933" w:type="dxa"/>
            <w:shd w:val="clear" w:color="auto" w:fill="auto"/>
            <w:vAlign w:val="center"/>
          </w:tcPr>
          <w:p w14:paraId="3F1909C7">
            <w:pPr>
              <w:shd w:val="clear"/>
              <w:jc w:val="center"/>
              <w:rPr>
                <w:rFonts w:ascii="宋体" w:hAnsi="宋体" w:cs="宋体"/>
                <w:color w:val="auto"/>
                <w:sz w:val="24"/>
                <w:highlight w:val="none"/>
              </w:rPr>
            </w:pPr>
          </w:p>
        </w:tc>
      </w:tr>
      <w:tr w14:paraId="633A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80" w:type="dxa"/>
            <w:vMerge w:val="continue"/>
            <w:shd w:val="clear" w:color="auto" w:fill="auto"/>
            <w:vAlign w:val="center"/>
          </w:tcPr>
          <w:p w14:paraId="321867B6">
            <w:pPr>
              <w:shd w:val="clear"/>
              <w:jc w:val="center"/>
              <w:rPr>
                <w:rFonts w:ascii="宋体" w:hAnsi="宋体" w:cs="宋体"/>
                <w:color w:val="auto"/>
                <w:sz w:val="24"/>
                <w:highlight w:val="none"/>
              </w:rPr>
            </w:pPr>
          </w:p>
        </w:tc>
        <w:tc>
          <w:tcPr>
            <w:tcW w:w="690" w:type="dxa"/>
            <w:shd w:val="clear" w:color="auto" w:fill="auto"/>
            <w:vAlign w:val="center"/>
          </w:tcPr>
          <w:p w14:paraId="30B27FA4">
            <w:pPr>
              <w:shd w:val="clear"/>
              <w:jc w:val="center"/>
              <w:rPr>
                <w:rFonts w:ascii="宋体" w:hAnsi="宋体" w:cs="宋体"/>
                <w:color w:val="auto"/>
                <w:sz w:val="24"/>
                <w:highlight w:val="none"/>
              </w:rPr>
            </w:pPr>
            <w:r>
              <w:rPr>
                <w:rFonts w:hint="eastAsia" w:ascii="宋体" w:hAnsi="宋体" w:cs="宋体"/>
                <w:color w:val="auto"/>
                <w:sz w:val="24"/>
                <w:highlight w:val="none"/>
              </w:rPr>
              <w:t>核准经营范围</w:t>
            </w:r>
          </w:p>
        </w:tc>
        <w:tc>
          <w:tcPr>
            <w:tcW w:w="7243" w:type="dxa"/>
            <w:gridSpan w:val="9"/>
            <w:shd w:val="clear" w:color="auto" w:fill="auto"/>
            <w:vAlign w:val="center"/>
          </w:tcPr>
          <w:p w14:paraId="02283993">
            <w:pPr>
              <w:shd w:val="clear"/>
              <w:jc w:val="center"/>
              <w:rPr>
                <w:rFonts w:ascii="宋体" w:hAnsi="宋体" w:cs="宋体"/>
                <w:color w:val="auto"/>
                <w:sz w:val="24"/>
                <w:highlight w:val="none"/>
              </w:rPr>
            </w:pPr>
          </w:p>
        </w:tc>
      </w:tr>
      <w:tr w14:paraId="0C05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0" w:type="dxa"/>
            <w:vMerge w:val="continue"/>
            <w:shd w:val="clear" w:color="auto" w:fill="auto"/>
            <w:vAlign w:val="center"/>
          </w:tcPr>
          <w:p w14:paraId="3B1FCE27">
            <w:pPr>
              <w:shd w:val="clear"/>
              <w:jc w:val="center"/>
              <w:rPr>
                <w:rFonts w:ascii="宋体" w:hAnsi="宋体" w:cs="宋体"/>
                <w:color w:val="auto"/>
                <w:sz w:val="24"/>
                <w:highlight w:val="none"/>
              </w:rPr>
            </w:pPr>
          </w:p>
        </w:tc>
        <w:tc>
          <w:tcPr>
            <w:tcW w:w="7933" w:type="dxa"/>
            <w:gridSpan w:val="10"/>
            <w:shd w:val="clear" w:color="auto" w:fill="auto"/>
            <w:vAlign w:val="center"/>
          </w:tcPr>
          <w:p w14:paraId="6ABB67DB">
            <w:pPr>
              <w:shd w:val="clear"/>
              <w:jc w:val="center"/>
              <w:rPr>
                <w:rFonts w:ascii="宋体" w:hAnsi="宋体" w:cs="宋体"/>
                <w:color w:val="auto"/>
                <w:sz w:val="24"/>
                <w:highlight w:val="none"/>
              </w:rPr>
            </w:pPr>
            <w:r>
              <w:rPr>
                <w:rFonts w:hint="eastAsia" w:ascii="宋体" w:hAnsi="宋体" w:cs="宋体"/>
                <w:color w:val="auto"/>
                <w:sz w:val="24"/>
                <w:highlight w:val="none"/>
              </w:rPr>
              <w:t>发展历程及主要荣誉：</w:t>
            </w:r>
          </w:p>
        </w:tc>
      </w:tr>
      <w:tr w14:paraId="731C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0" w:type="dxa"/>
            <w:vMerge w:val="restart"/>
            <w:shd w:val="clear" w:color="auto" w:fill="auto"/>
            <w:vAlign w:val="center"/>
          </w:tcPr>
          <w:p w14:paraId="49B63EA8">
            <w:pPr>
              <w:shd w:val="clear"/>
              <w:jc w:val="center"/>
              <w:rPr>
                <w:rFonts w:ascii="宋体" w:hAnsi="宋体" w:cs="宋体"/>
                <w:color w:val="auto"/>
                <w:sz w:val="24"/>
                <w:highlight w:val="none"/>
              </w:rPr>
            </w:pPr>
            <w:r>
              <w:rPr>
                <w:rFonts w:hint="eastAsia" w:ascii="宋体" w:hAnsi="宋体" w:cs="宋体"/>
                <w:color w:val="auto"/>
                <w:sz w:val="24"/>
                <w:highlight w:val="none"/>
              </w:rPr>
              <w:t>2．</w:t>
            </w:r>
          </w:p>
          <w:p w14:paraId="3870B75E">
            <w:pPr>
              <w:shd w:val="clear"/>
              <w:jc w:val="center"/>
              <w:rPr>
                <w:rFonts w:ascii="宋体" w:hAnsi="宋体" w:cs="宋体"/>
                <w:color w:val="auto"/>
                <w:sz w:val="24"/>
                <w:highlight w:val="none"/>
              </w:rPr>
            </w:pPr>
            <w:r>
              <w:rPr>
                <w:rFonts w:hint="eastAsia" w:ascii="宋体" w:hAnsi="宋体" w:cs="宋体"/>
                <w:color w:val="auto"/>
                <w:sz w:val="24"/>
                <w:highlight w:val="none"/>
              </w:rPr>
              <w:t>企业有关资质获证情况</w:t>
            </w:r>
          </w:p>
        </w:tc>
        <w:tc>
          <w:tcPr>
            <w:tcW w:w="1355" w:type="dxa"/>
            <w:gridSpan w:val="2"/>
            <w:vMerge w:val="restart"/>
            <w:shd w:val="clear" w:color="auto" w:fill="auto"/>
            <w:vAlign w:val="center"/>
          </w:tcPr>
          <w:p w14:paraId="37D384B1">
            <w:pPr>
              <w:shd w:val="clear"/>
              <w:jc w:val="center"/>
              <w:rPr>
                <w:rFonts w:ascii="宋体" w:hAnsi="宋体" w:cs="宋体"/>
                <w:color w:val="auto"/>
                <w:sz w:val="24"/>
                <w:highlight w:val="none"/>
              </w:rPr>
            </w:pPr>
            <w:r>
              <w:rPr>
                <w:rFonts w:hint="eastAsia" w:ascii="宋体" w:hAnsi="宋体" w:cs="宋体"/>
                <w:color w:val="auto"/>
                <w:sz w:val="24"/>
                <w:highlight w:val="none"/>
              </w:rPr>
              <w:t>产品生产许可证情况（对需获得生产许可证的产品要填写此栏）</w:t>
            </w:r>
          </w:p>
        </w:tc>
        <w:tc>
          <w:tcPr>
            <w:tcW w:w="1333" w:type="dxa"/>
            <w:gridSpan w:val="3"/>
            <w:shd w:val="clear" w:color="auto" w:fill="auto"/>
            <w:vAlign w:val="center"/>
          </w:tcPr>
          <w:p w14:paraId="49F19F4D">
            <w:pPr>
              <w:shd w:val="clear"/>
              <w:jc w:val="center"/>
              <w:rPr>
                <w:rFonts w:ascii="宋体" w:hAnsi="宋体" w:cs="宋体"/>
                <w:color w:val="auto"/>
                <w:sz w:val="24"/>
                <w:highlight w:val="none"/>
              </w:rPr>
            </w:pPr>
            <w:r>
              <w:rPr>
                <w:rFonts w:hint="eastAsia" w:ascii="宋体" w:hAnsi="宋体" w:cs="宋体"/>
                <w:color w:val="auto"/>
                <w:sz w:val="24"/>
                <w:highlight w:val="none"/>
              </w:rPr>
              <w:t>产品名称</w:t>
            </w:r>
          </w:p>
        </w:tc>
        <w:tc>
          <w:tcPr>
            <w:tcW w:w="1077" w:type="dxa"/>
            <w:shd w:val="clear" w:color="auto" w:fill="auto"/>
            <w:vAlign w:val="center"/>
          </w:tcPr>
          <w:p w14:paraId="254E7965">
            <w:pPr>
              <w:shd w:val="clear"/>
              <w:jc w:val="center"/>
              <w:rPr>
                <w:rFonts w:ascii="宋体" w:hAnsi="宋体" w:cs="宋体"/>
                <w:color w:val="auto"/>
                <w:sz w:val="24"/>
                <w:highlight w:val="none"/>
              </w:rPr>
            </w:pPr>
            <w:r>
              <w:rPr>
                <w:rFonts w:hint="eastAsia" w:ascii="宋体" w:hAnsi="宋体" w:cs="宋体"/>
                <w:color w:val="auto"/>
                <w:sz w:val="24"/>
                <w:highlight w:val="none"/>
              </w:rPr>
              <w:t>发证机关</w:t>
            </w:r>
          </w:p>
        </w:tc>
        <w:tc>
          <w:tcPr>
            <w:tcW w:w="1617" w:type="dxa"/>
            <w:gridSpan w:val="2"/>
            <w:shd w:val="clear" w:color="auto" w:fill="auto"/>
            <w:vAlign w:val="center"/>
          </w:tcPr>
          <w:p w14:paraId="43233311">
            <w:pPr>
              <w:shd w:val="clear"/>
              <w:jc w:val="center"/>
              <w:rPr>
                <w:rFonts w:ascii="宋体" w:hAnsi="宋体" w:cs="宋体"/>
                <w:color w:val="auto"/>
                <w:sz w:val="24"/>
                <w:highlight w:val="none"/>
              </w:rPr>
            </w:pPr>
            <w:r>
              <w:rPr>
                <w:rFonts w:hint="eastAsia" w:ascii="宋体" w:hAnsi="宋体" w:cs="宋体"/>
                <w:color w:val="auto"/>
                <w:sz w:val="24"/>
                <w:highlight w:val="none"/>
              </w:rPr>
              <w:t>编号</w:t>
            </w:r>
          </w:p>
        </w:tc>
        <w:tc>
          <w:tcPr>
            <w:tcW w:w="1618" w:type="dxa"/>
            <w:shd w:val="clear" w:color="auto" w:fill="auto"/>
            <w:vAlign w:val="center"/>
          </w:tcPr>
          <w:p w14:paraId="5165233B">
            <w:pPr>
              <w:shd w:val="clear"/>
              <w:jc w:val="center"/>
              <w:rPr>
                <w:rFonts w:ascii="宋体" w:hAnsi="宋体" w:cs="宋体"/>
                <w:color w:val="auto"/>
                <w:sz w:val="24"/>
                <w:highlight w:val="none"/>
              </w:rPr>
            </w:pPr>
            <w:r>
              <w:rPr>
                <w:rFonts w:hint="eastAsia" w:ascii="宋体" w:hAnsi="宋体" w:cs="宋体"/>
                <w:color w:val="auto"/>
                <w:sz w:val="24"/>
                <w:highlight w:val="none"/>
              </w:rPr>
              <w:t>发证时间</w:t>
            </w:r>
          </w:p>
        </w:tc>
        <w:tc>
          <w:tcPr>
            <w:tcW w:w="933" w:type="dxa"/>
            <w:shd w:val="clear" w:color="auto" w:fill="auto"/>
            <w:vAlign w:val="center"/>
          </w:tcPr>
          <w:p w14:paraId="48B707AD">
            <w:pPr>
              <w:shd w:val="clear"/>
              <w:jc w:val="center"/>
              <w:rPr>
                <w:rFonts w:ascii="宋体" w:hAnsi="宋体" w:cs="宋体"/>
                <w:color w:val="auto"/>
                <w:sz w:val="24"/>
                <w:highlight w:val="none"/>
              </w:rPr>
            </w:pPr>
            <w:r>
              <w:rPr>
                <w:rFonts w:hint="eastAsia" w:ascii="宋体" w:hAnsi="宋体" w:cs="宋体"/>
                <w:color w:val="auto"/>
                <w:sz w:val="24"/>
                <w:highlight w:val="none"/>
              </w:rPr>
              <w:t>期限</w:t>
            </w:r>
          </w:p>
        </w:tc>
      </w:tr>
      <w:tr w14:paraId="7095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80" w:type="dxa"/>
            <w:vMerge w:val="continue"/>
            <w:shd w:val="clear" w:color="auto" w:fill="auto"/>
            <w:vAlign w:val="center"/>
          </w:tcPr>
          <w:p w14:paraId="348B986B">
            <w:pPr>
              <w:shd w:val="clear"/>
              <w:jc w:val="center"/>
              <w:rPr>
                <w:rFonts w:ascii="宋体" w:hAnsi="宋体" w:cs="宋体"/>
                <w:color w:val="auto"/>
                <w:sz w:val="24"/>
                <w:highlight w:val="none"/>
              </w:rPr>
            </w:pPr>
          </w:p>
        </w:tc>
        <w:tc>
          <w:tcPr>
            <w:tcW w:w="1355" w:type="dxa"/>
            <w:gridSpan w:val="2"/>
            <w:vMerge w:val="continue"/>
            <w:shd w:val="clear" w:color="auto" w:fill="auto"/>
            <w:vAlign w:val="center"/>
          </w:tcPr>
          <w:p w14:paraId="6C5B61CA">
            <w:pPr>
              <w:shd w:val="clear"/>
              <w:jc w:val="center"/>
              <w:rPr>
                <w:rFonts w:ascii="宋体" w:hAnsi="宋体" w:cs="宋体"/>
                <w:color w:val="auto"/>
                <w:sz w:val="24"/>
                <w:highlight w:val="none"/>
              </w:rPr>
            </w:pPr>
          </w:p>
        </w:tc>
        <w:tc>
          <w:tcPr>
            <w:tcW w:w="1333" w:type="dxa"/>
            <w:gridSpan w:val="3"/>
            <w:shd w:val="clear" w:color="auto" w:fill="auto"/>
            <w:vAlign w:val="center"/>
          </w:tcPr>
          <w:p w14:paraId="68C8D24A">
            <w:pPr>
              <w:shd w:val="clear"/>
              <w:jc w:val="center"/>
              <w:rPr>
                <w:rFonts w:ascii="宋体" w:hAnsi="宋体" w:cs="宋体"/>
                <w:color w:val="auto"/>
                <w:sz w:val="24"/>
                <w:highlight w:val="none"/>
              </w:rPr>
            </w:pPr>
          </w:p>
        </w:tc>
        <w:tc>
          <w:tcPr>
            <w:tcW w:w="1077" w:type="dxa"/>
            <w:shd w:val="clear" w:color="auto" w:fill="auto"/>
            <w:vAlign w:val="center"/>
          </w:tcPr>
          <w:p w14:paraId="4F01A8C3">
            <w:pPr>
              <w:shd w:val="clear"/>
              <w:jc w:val="center"/>
              <w:rPr>
                <w:rFonts w:ascii="宋体" w:hAnsi="宋体" w:cs="宋体"/>
                <w:color w:val="auto"/>
                <w:sz w:val="24"/>
                <w:highlight w:val="none"/>
              </w:rPr>
            </w:pPr>
          </w:p>
        </w:tc>
        <w:tc>
          <w:tcPr>
            <w:tcW w:w="1617" w:type="dxa"/>
            <w:gridSpan w:val="2"/>
            <w:shd w:val="clear" w:color="auto" w:fill="auto"/>
            <w:vAlign w:val="center"/>
          </w:tcPr>
          <w:p w14:paraId="682DD14D">
            <w:pPr>
              <w:shd w:val="clear"/>
              <w:jc w:val="center"/>
              <w:rPr>
                <w:rFonts w:ascii="宋体" w:hAnsi="宋体" w:cs="宋体"/>
                <w:color w:val="auto"/>
                <w:sz w:val="24"/>
                <w:highlight w:val="none"/>
              </w:rPr>
            </w:pPr>
          </w:p>
        </w:tc>
        <w:tc>
          <w:tcPr>
            <w:tcW w:w="2551" w:type="dxa"/>
            <w:gridSpan w:val="2"/>
            <w:shd w:val="clear" w:color="auto" w:fill="auto"/>
            <w:vAlign w:val="center"/>
          </w:tcPr>
          <w:p w14:paraId="70B96394">
            <w:pPr>
              <w:shd w:val="clear"/>
              <w:jc w:val="center"/>
              <w:rPr>
                <w:rFonts w:ascii="宋体" w:hAnsi="宋体" w:cs="宋体"/>
                <w:color w:val="auto"/>
                <w:sz w:val="24"/>
                <w:highlight w:val="none"/>
              </w:rPr>
            </w:pPr>
          </w:p>
        </w:tc>
      </w:tr>
      <w:tr w14:paraId="6290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80" w:type="dxa"/>
            <w:vMerge w:val="continue"/>
            <w:shd w:val="clear" w:color="auto" w:fill="auto"/>
            <w:vAlign w:val="center"/>
          </w:tcPr>
          <w:p w14:paraId="1F6118E3">
            <w:pPr>
              <w:shd w:val="clear"/>
              <w:jc w:val="center"/>
              <w:rPr>
                <w:rFonts w:ascii="宋体" w:hAnsi="宋体" w:cs="宋体"/>
                <w:color w:val="auto"/>
                <w:sz w:val="24"/>
                <w:highlight w:val="none"/>
              </w:rPr>
            </w:pPr>
          </w:p>
        </w:tc>
        <w:tc>
          <w:tcPr>
            <w:tcW w:w="1355" w:type="dxa"/>
            <w:gridSpan w:val="2"/>
            <w:shd w:val="clear" w:color="auto" w:fill="auto"/>
            <w:vAlign w:val="center"/>
          </w:tcPr>
          <w:p w14:paraId="32F255E9">
            <w:pPr>
              <w:shd w:val="clear"/>
              <w:jc w:val="center"/>
              <w:rPr>
                <w:rFonts w:ascii="宋体" w:hAnsi="宋体" w:cs="宋体"/>
                <w:color w:val="auto"/>
                <w:sz w:val="24"/>
                <w:highlight w:val="none"/>
              </w:rPr>
            </w:pPr>
            <w:r>
              <w:rPr>
                <w:rFonts w:hint="eastAsia" w:ascii="宋体" w:hAnsi="宋体" w:cs="宋体"/>
                <w:color w:val="auto"/>
                <w:sz w:val="24"/>
                <w:highlight w:val="none"/>
              </w:rPr>
              <w:t>企业通过质量体系、环保体系、计量等认证情况</w:t>
            </w:r>
          </w:p>
        </w:tc>
        <w:tc>
          <w:tcPr>
            <w:tcW w:w="6578" w:type="dxa"/>
            <w:gridSpan w:val="8"/>
            <w:shd w:val="clear" w:color="auto" w:fill="auto"/>
            <w:vAlign w:val="center"/>
          </w:tcPr>
          <w:p w14:paraId="564698CA">
            <w:pPr>
              <w:shd w:val="clear"/>
              <w:jc w:val="center"/>
              <w:rPr>
                <w:rFonts w:ascii="宋体" w:hAnsi="宋体" w:cs="宋体"/>
                <w:color w:val="auto"/>
                <w:sz w:val="24"/>
                <w:highlight w:val="none"/>
              </w:rPr>
            </w:pPr>
          </w:p>
        </w:tc>
      </w:tr>
      <w:tr w14:paraId="474C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80" w:type="dxa"/>
            <w:vMerge w:val="continue"/>
            <w:shd w:val="clear" w:color="auto" w:fill="auto"/>
            <w:vAlign w:val="center"/>
          </w:tcPr>
          <w:p w14:paraId="38116329">
            <w:pPr>
              <w:shd w:val="clear"/>
              <w:jc w:val="center"/>
              <w:rPr>
                <w:rFonts w:ascii="宋体" w:hAnsi="宋体" w:cs="宋体"/>
                <w:color w:val="auto"/>
                <w:sz w:val="24"/>
                <w:highlight w:val="none"/>
              </w:rPr>
            </w:pPr>
          </w:p>
        </w:tc>
        <w:tc>
          <w:tcPr>
            <w:tcW w:w="1355" w:type="dxa"/>
            <w:gridSpan w:val="2"/>
            <w:shd w:val="clear" w:color="auto" w:fill="auto"/>
            <w:vAlign w:val="center"/>
          </w:tcPr>
          <w:p w14:paraId="79FB0861">
            <w:pPr>
              <w:shd w:val="clear"/>
              <w:jc w:val="center"/>
              <w:rPr>
                <w:rFonts w:ascii="宋体" w:hAnsi="宋体" w:cs="宋体"/>
                <w:color w:val="auto"/>
                <w:sz w:val="24"/>
                <w:highlight w:val="none"/>
              </w:rPr>
            </w:pPr>
            <w:r>
              <w:rPr>
                <w:rFonts w:hint="eastAsia" w:ascii="宋体" w:hAnsi="宋体" w:cs="宋体"/>
                <w:color w:val="auto"/>
                <w:sz w:val="24"/>
                <w:highlight w:val="none"/>
              </w:rPr>
              <w:t>企业获得专利情况</w:t>
            </w:r>
          </w:p>
        </w:tc>
        <w:tc>
          <w:tcPr>
            <w:tcW w:w="6578" w:type="dxa"/>
            <w:gridSpan w:val="8"/>
            <w:shd w:val="clear" w:color="auto" w:fill="auto"/>
            <w:vAlign w:val="center"/>
          </w:tcPr>
          <w:p w14:paraId="7CEBAE01">
            <w:pPr>
              <w:shd w:val="clear"/>
              <w:jc w:val="center"/>
              <w:rPr>
                <w:rFonts w:ascii="宋体" w:hAnsi="宋体" w:cs="宋体"/>
                <w:color w:val="auto"/>
                <w:sz w:val="24"/>
                <w:highlight w:val="none"/>
              </w:rPr>
            </w:pPr>
          </w:p>
        </w:tc>
      </w:tr>
    </w:tbl>
    <w:p w14:paraId="4A6BFF3C">
      <w:pPr>
        <w:shd w:val="clear"/>
        <w:spacing w:line="360" w:lineRule="auto"/>
        <w:rPr>
          <w:rFonts w:ascii="宋体" w:hAnsi="宋体" w:cs="宋体"/>
          <w:color w:val="auto"/>
          <w:sz w:val="24"/>
          <w:szCs w:val="32"/>
          <w:highlight w:val="none"/>
        </w:rPr>
      </w:pPr>
    </w:p>
    <w:p w14:paraId="21C9EF4A">
      <w:pPr>
        <w:shd w:val="clear"/>
        <w:spacing w:line="360" w:lineRule="auto"/>
        <w:rPr>
          <w:rFonts w:ascii="宋体" w:hAnsi="宋体" w:cs="宋体"/>
          <w:color w:val="auto"/>
          <w:sz w:val="24"/>
          <w:szCs w:val="32"/>
          <w:highlight w:val="none"/>
        </w:rPr>
      </w:pPr>
      <w:r>
        <w:rPr>
          <w:rFonts w:hint="eastAsia" w:ascii="宋体" w:hAnsi="宋体" w:cs="宋体"/>
          <w:b/>
          <w:bCs/>
          <w:color w:val="auto"/>
          <w:sz w:val="24"/>
          <w:szCs w:val="32"/>
          <w:highlight w:val="none"/>
        </w:rPr>
        <w:t>要求：</w:t>
      </w:r>
      <w:r>
        <w:rPr>
          <w:rFonts w:hint="eastAsia" w:ascii="宋体" w:hAnsi="宋体" w:cs="宋体"/>
          <w:color w:val="auto"/>
          <w:sz w:val="24"/>
          <w:szCs w:val="32"/>
          <w:highlight w:val="none"/>
        </w:rPr>
        <w:t>1.姓名栏必须将所有股东都统计在内，若非股份公司此行（第三行）无需填写；</w:t>
      </w:r>
    </w:p>
    <w:p w14:paraId="6EEABCA6">
      <w:pPr>
        <w:shd w:val="clear"/>
        <w:spacing w:line="360" w:lineRule="auto"/>
        <w:rPr>
          <w:rFonts w:ascii="宋体" w:hAnsi="宋体" w:cs="宋体"/>
          <w:color w:val="auto"/>
          <w:sz w:val="24"/>
          <w:szCs w:val="32"/>
          <w:highlight w:val="none"/>
        </w:rPr>
      </w:pPr>
    </w:p>
    <w:p w14:paraId="533B89B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077E21E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2B8C5AC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C4BF46C">
      <w:pPr>
        <w:shd w:val="clear"/>
        <w:spacing w:line="360" w:lineRule="auto"/>
        <w:rPr>
          <w:rFonts w:ascii="宋体" w:hAnsi="宋体" w:cs="宋体"/>
          <w:color w:val="auto"/>
          <w:sz w:val="24"/>
          <w:szCs w:val="32"/>
          <w:highlight w:val="none"/>
        </w:rPr>
      </w:pPr>
    </w:p>
    <w:p w14:paraId="48E94457">
      <w:pPr>
        <w:shd w:val="clear"/>
        <w:spacing w:line="360" w:lineRule="auto"/>
        <w:rPr>
          <w:rFonts w:ascii="宋体" w:hAnsi="宋体" w:cs="宋体"/>
          <w:color w:val="auto"/>
          <w:sz w:val="24"/>
          <w:szCs w:val="32"/>
          <w:highlight w:val="none"/>
        </w:rPr>
      </w:pPr>
    </w:p>
    <w:p w14:paraId="5EA7E754">
      <w:pPr>
        <w:shd w:val="clear"/>
        <w:spacing w:line="360" w:lineRule="auto"/>
        <w:rPr>
          <w:rFonts w:ascii="宋体" w:hAnsi="宋体" w:cs="宋体"/>
          <w:color w:val="auto"/>
          <w:sz w:val="24"/>
          <w:szCs w:val="32"/>
          <w:highlight w:val="none"/>
        </w:rPr>
      </w:pPr>
    </w:p>
    <w:p w14:paraId="5893C3EA">
      <w:pPr>
        <w:shd w:val="clear"/>
        <w:spacing w:line="360" w:lineRule="auto"/>
        <w:rPr>
          <w:rFonts w:ascii="宋体" w:hAnsi="宋体" w:cs="宋体"/>
          <w:color w:val="auto"/>
          <w:sz w:val="24"/>
          <w:szCs w:val="32"/>
          <w:highlight w:val="none"/>
        </w:rPr>
      </w:pPr>
    </w:p>
    <w:p w14:paraId="4D2AB8E6">
      <w:pPr>
        <w:shd w:val="clear"/>
        <w:spacing w:line="360" w:lineRule="auto"/>
        <w:rPr>
          <w:rFonts w:ascii="宋体" w:hAnsi="宋体" w:cs="宋体"/>
          <w:color w:val="auto"/>
          <w:sz w:val="24"/>
          <w:szCs w:val="32"/>
          <w:highlight w:val="none"/>
        </w:rPr>
      </w:pPr>
    </w:p>
    <w:p w14:paraId="2C0E8D73">
      <w:pPr>
        <w:shd w:val="clear"/>
        <w:spacing w:line="360" w:lineRule="auto"/>
        <w:rPr>
          <w:rFonts w:ascii="宋体" w:hAnsi="宋体" w:cs="宋体"/>
          <w:color w:val="auto"/>
          <w:sz w:val="24"/>
          <w:szCs w:val="32"/>
          <w:highlight w:val="none"/>
        </w:rPr>
      </w:pPr>
    </w:p>
    <w:p w14:paraId="063EB4E8">
      <w:pPr>
        <w:shd w:val="clear"/>
        <w:spacing w:line="360" w:lineRule="auto"/>
        <w:rPr>
          <w:rFonts w:ascii="宋体" w:hAnsi="宋体" w:cs="宋体"/>
          <w:color w:val="auto"/>
          <w:sz w:val="24"/>
          <w:szCs w:val="32"/>
          <w:highlight w:val="none"/>
        </w:rPr>
      </w:pPr>
    </w:p>
    <w:p w14:paraId="4E7CE5D9">
      <w:pPr>
        <w:shd w:val="clear"/>
        <w:spacing w:line="360" w:lineRule="auto"/>
        <w:rPr>
          <w:rFonts w:ascii="宋体" w:hAnsi="宋体" w:cs="宋体"/>
          <w:color w:val="auto"/>
          <w:sz w:val="24"/>
          <w:szCs w:val="32"/>
          <w:highlight w:val="none"/>
        </w:rPr>
      </w:pPr>
    </w:p>
    <w:p w14:paraId="6602CEC4">
      <w:pPr>
        <w:shd w:val="clear"/>
        <w:spacing w:line="360" w:lineRule="auto"/>
        <w:rPr>
          <w:rFonts w:ascii="宋体" w:hAnsi="宋体" w:cs="宋体"/>
          <w:color w:val="auto"/>
          <w:sz w:val="24"/>
          <w:szCs w:val="32"/>
          <w:highlight w:val="none"/>
        </w:rPr>
      </w:pPr>
    </w:p>
    <w:p w14:paraId="0FD5DE7A">
      <w:pPr>
        <w:shd w:val="clear"/>
        <w:spacing w:line="360" w:lineRule="auto"/>
        <w:outlineLvl w:val="0"/>
        <w:rPr>
          <w:rFonts w:hint="eastAsia" w:ascii="宋体" w:hAnsi="宋体" w:eastAsia="宋体" w:cs="宋体"/>
          <w:color w:val="auto"/>
          <w:sz w:val="24"/>
          <w:highlight w:val="none"/>
          <w:lang w:eastAsia="zh-CN"/>
        </w:rPr>
      </w:pPr>
      <w:bookmarkStart w:id="142" w:name="_Toc1533675897"/>
      <w:bookmarkStart w:id="143" w:name="_Toc19940"/>
      <w:bookmarkStart w:id="144" w:name="_Toc31215"/>
      <w:r>
        <w:rPr>
          <w:rFonts w:hint="eastAsia" w:ascii="宋体" w:hAnsi="宋体" w:cs="宋体"/>
          <w:b/>
          <w:color w:val="auto"/>
          <w:sz w:val="28"/>
          <w:highlight w:val="none"/>
        </w:rPr>
        <w:t>附件</w:t>
      </w:r>
      <w:bookmarkEnd w:id="142"/>
      <w:bookmarkEnd w:id="143"/>
      <w:bookmarkEnd w:id="144"/>
      <w:r>
        <w:rPr>
          <w:rFonts w:hint="eastAsia" w:ascii="宋体" w:hAnsi="宋体" w:cs="宋体"/>
          <w:b/>
          <w:color w:val="auto"/>
          <w:sz w:val="28"/>
          <w:highlight w:val="none"/>
          <w:lang w:val="en-US" w:eastAsia="zh-CN"/>
        </w:rPr>
        <w:t>9</w:t>
      </w:r>
    </w:p>
    <w:p w14:paraId="4C750542">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14:paraId="0D96E29E">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6"/>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56E91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30984128">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0D2F6181">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452019B">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132E01C1">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0352510B">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3CB186F5">
            <w:pPr>
              <w:shd w:val="clea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23B3D541">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20E1235B">
            <w:pPr>
              <w:shd w:val="clea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7CB67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D83C35E">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6D60F75">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021F0C3">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5EFC30E">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909D1B0">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7376763">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D14B417">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4C6FD5C">
            <w:pPr>
              <w:shd w:val="clear"/>
              <w:snapToGrid w:val="0"/>
              <w:spacing w:before="158" w:beforeLines="50" w:after="50" w:line="360" w:lineRule="auto"/>
              <w:rPr>
                <w:rFonts w:ascii="宋体" w:hAnsi="宋体" w:cs="宋体"/>
                <w:b/>
                <w:color w:val="auto"/>
                <w:kern w:val="44"/>
                <w:sz w:val="24"/>
                <w:szCs w:val="20"/>
                <w:highlight w:val="none"/>
              </w:rPr>
            </w:pPr>
          </w:p>
        </w:tc>
      </w:tr>
      <w:tr w14:paraId="4F632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78FEA27">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17F9624">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255ED8E">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F43EFA1">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E51243F">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A6ED850">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927BBBB">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C7A40F7">
            <w:pPr>
              <w:shd w:val="clear"/>
              <w:snapToGrid w:val="0"/>
              <w:spacing w:before="158" w:beforeLines="50" w:after="50" w:line="360" w:lineRule="auto"/>
              <w:rPr>
                <w:rFonts w:ascii="宋体" w:hAnsi="宋体" w:cs="宋体"/>
                <w:b/>
                <w:color w:val="auto"/>
                <w:kern w:val="44"/>
                <w:sz w:val="24"/>
                <w:szCs w:val="20"/>
                <w:highlight w:val="none"/>
              </w:rPr>
            </w:pPr>
          </w:p>
        </w:tc>
      </w:tr>
      <w:tr w14:paraId="6F55C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A81375A">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B56BD5D">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92BA39A">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6C3D4D6">
            <w:pPr>
              <w:pStyle w:val="14"/>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3F11D7C">
            <w:pPr>
              <w:pStyle w:val="14"/>
              <w:shd w:val="clear"/>
              <w:snapToGrid w:val="0"/>
              <w:spacing w:before="158"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668B4B4">
            <w:pPr>
              <w:pStyle w:val="14"/>
              <w:shd w:val="clear"/>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828C563">
            <w:pPr>
              <w:shd w:val="clear"/>
              <w:snapToGrid w:val="0"/>
              <w:spacing w:before="158"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724DECB">
            <w:pPr>
              <w:shd w:val="clear"/>
              <w:snapToGrid w:val="0"/>
              <w:spacing w:before="158" w:beforeLines="50" w:after="50" w:line="360" w:lineRule="auto"/>
              <w:rPr>
                <w:rFonts w:ascii="宋体" w:hAnsi="宋体" w:cs="宋体"/>
                <w:b/>
                <w:color w:val="auto"/>
                <w:kern w:val="44"/>
                <w:sz w:val="24"/>
                <w:szCs w:val="20"/>
                <w:highlight w:val="none"/>
              </w:rPr>
            </w:pPr>
          </w:p>
        </w:tc>
      </w:tr>
      <w:tr w14:paraId="10EE2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772EC6C">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79AA84F">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A4BE110">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B7683A1">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7172D04">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DE8229A">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7C28FB2">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D61BDF3">
            <w:pPr>
              <w:shd w:val="clear"/>
              <w:snapToGrid w:val="0"/>
              <w:spacing w:before="158" w:beforeLines="50" w:after="50" w:line="360" w:lineRule="auto"/>
              <w:rPr>
                <w:rFonts w:ascii="宋体" w:hAnsi="宋体" w:cs="宋体"/>
                <w:b/>
                <w:color w:val="auto"/>
                <w:kern w:val="44"/>
                <w:sz w:val="24"/>
                <w:szCs w:val="20"/>
                <w:highlight w:val="none"/>
              </w:rPr>
            </w:pPr>
          </w:p>
        </w:tc>
      </w:tr>
      <w:tr w14:paraId="39AE9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56BC1BF">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784F941">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F4CDAE5">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946C041">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3D2AC75">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6FE6DF5">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66AA7FF">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1E50E12">
            <w:pPr>
              <w:shd w:val="clear"/>
              <w:snapToGrid w:val="0"/>
              <w:spacing w:before="158" w:beforeLines="50" w:after="50" w:line="360" w:lineRule="auto"/>
              <w:rPr>
                <w:rFonts w:ascii="宋体" w:hAnsi="宋体" w:cs="宋体"/>
                <w:b/>
                <w:color w:val="auto"/>
                <w:kern w:val="44"/>
                <w:sz w:val="24"/>
                <w:szCs w:val="20"/>
                <w:highlight w:val="none"/>
              </w:rPr>
            </w:pPr>
          </w:p>
        </w:tc>
      </w:tr>
      <w:tr w14:paraId="0455F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3A6C3AF">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3A12320">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1A01F3E">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471F866">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48CAE8E">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473FF12">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532C65C">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9B528A5">
            <w:pPr>
              <w:shd w:val="clear"/>
              <w:snapToGrid w:val="0"/>
              <w:spacing w:before="158" w:beforeLines="50" w:after="50" w:line="360" w:lineRule="auto"/>
              <w:rPr>
                <w:rFonts w:ascii="宋体" w:hAnsi="宋体" w:cs="宋体"/>
                <w:b/>
                <w:color w:val="auto"/>
                <w:kern w:val="44"/>
                <w:sz w:val="24"/>
                <w:szCs w:val="20"/>
                <w:highlight w:val="none"/>
              </w:rPr>
            </w:pPr>
          </w:p>
        </w:tc>
      </w:tr>
      <w:tr w14:paraId="0D7FD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7E9938A">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71735F2">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EFBFC8A">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2F5369A">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D8C1D0A">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22553D7">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0DCF5FB">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319D488">
            <w:pPr>
              <w:shd w:val="clear"/>
              <w:snapToGrid w:val="0"/>
              <w:spacing w:before="158" w:beforeLines="50" w:after="50" w:line="360" w:lineRule="auto"/>
              <w:rPr>
                <w:rFonts w:ascii="宋体" w:hAnsi="宋体" w:cs="宋体"/>
                <w:b/>
                <w:color w:val="auto"/>
                <w:kern w:val="44"/>
                <w:sz w:val="24"/>
                <w:szCs w:val="20"/>
                <w:highlight w:val="none"/>
              </w:rPr>
            </w:pPr>
          </w:p>
        </w:tc>
      </w:tr>
      <w:tr w14:paraId="624F7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D8327DF">
            <w:pPr>
              <w:shd w:val="clea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943053E">
            <w:pPr>
              <w:shd w:val="clea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5AD89BF">
            <w:pPr>
              <w:shd w:val="clea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EB17D0E">
            <w:pPr>
              <w:shd w:val="clea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2D58F6D">
            <w:pPr>
              <w:shd w:val="clea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1E299AD">
            <w:pPr>
              <w:shd w:val="clea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95E250D">
            <w:pPr>
              <w:shd w:val="clea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7E2184F">
            <w:pPr>
              <w:shd w:val="clear"/>
              <w:snapToGrid w:val="0"/>
              <w:spacing w:before="158" w:beforeLines="50" w:after="50" w:line="360" w:lineRule="auto"/>
              <w:rPr>
                <w:rFonts w:ascii="宋体" w:hAnsi="宋体" w:cs="宋体"/>
                <w:b/>
                <w:color w:val="auto"/>
                <w:kern w:val="44"/>
                <w:sz w:val="24"/>
                <w:szCs w:val="20"/>
                <w:highlight w:val="none"/>
              </w:rPr>
            </w:pPr>
          </w:p>
        </w:tc>
      </w:tr>
    </w:tbl>
    <w:p w14:paraId="4C39DAF1">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4D99267">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55784730">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39CB1F28">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3.出具上述人员在本单位服务的外部证明，如：投标截止日之前六个月参加社会保险的《投保单》或《社会保险参保人员证明》等。</w:t>
      </w:r>
    </w:p>
    <w:p w14:paraId="662FF5CB">
      <w:pPr>
        <w:shd w:val="clear"/>
        <w:spacing w:line="360" w:lineRule="auto"/>
        <w:rPr>
          <w:rFonts w:ascii="宋体" w:hAnsi="宋体" w:cs="宋体"/>
          <w:color w:val="auto"/>
          <w:sz w:val="24"/>
          <w:szCs w:val="32"/>
          <w:highlight w:val="none"/>
        </w:rPr>
      </w:pPr>
    </w:p>
    <w:p w14:paraId="2376BD3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1EE608A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1E0951C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CF475F6">
      <w:pPr>
        <w:shd w:val="clear"/>
        <w:spacing w:line="360" w:lineRule="auto"/>
        <w:outlineLvl w:val="0"/>
        <w:rPr>
          <w:rFonts w:hint="eastAsia" w:ascii="宋体" w:hAnsi="宋体" w:cs="宋体"/>
          <w:b/>
          <w:color w:val="auto"/>
          <w:sz w:val="28"/>
          <w:highlight w:val="none"/>
        </w:rPr>
      </w:pPr>
      <w:bookmarkStart w:id="145" w:name="_Toc15412"/>
      <w:bookmarkStart w:id="146" w:name="_Toc22076"/>
      <w:bookmarkStart w:id="147" w:name="_Toc244585938"/>
    </w:p>
    <w:p w14:paraId="6DDE75F7">
      <w:pPr>
        <w:shd w:val="clear"/>
        <w:spacing w:line="360" w:lineRule="auto"/>
        <w:outlineLvl w:val="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bookmarkEnd w:id="145"/>
      <w:bookmarkEnd w:id="146"/>
      <w:bookmarkEnd w:id="147"/>
      <w:r>
        <w:rPr>
          <w:rFonts w:hint="eastAsia" w:ascii="宋体" w:hAnsi="宋体" w:cs="宋体"/>
          <w:b/>
          <w:color w:val="auto"/>
          <w:sz w:val="28"/>
          <w:highlight w:val="none"/>
          <w:lang w:val="en-US" w:eastAsia="zh-CN"/>
        </w:rPr>
        <w:t>10</w:t>
      </w:r>
    </w:p>
    <w:p w14:paraId="2FDAEEA2">
      <w:pPr>
        <w:shd w:val="clear"/>
        <w:spacing w:before="158" w:beforeLines="50" w:after="158"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239DF9A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416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5059000C">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33AA2E00">
            <w:pPr>
              <w:shd w:val="clea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68BF28FB">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1B72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1C47459">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0FB2BD0C">
            <w:pPr>
              <w:shd w:val="clea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16616D3B">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6AB11064">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243E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BB5BF0F">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062BB0B">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FF214A7">
            <w:pPr>
              <w:shd w:val="clear"/>
              <w:jc w:val="center"/>
              <w:rPr>
                <w:rFonts w:ascii="宋体" w:hAnsi="宋体" w:cs="宋体"/>
                <w:b/>
                <w:bCs/>
                <w:color w:val="auto"/>
                <w:sz w:val="24"/>
                <w:highlight w:val="none"/>
                <w:lang w:val="zh-CN"/>
              </w:rPr>
            </w:pPr>
          </w:p>
        </w:tc>
      </w:tr>
      <w:tr w14:paraId="29AC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125F088">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4855E69C">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23CBBB5">
            <w:pPr>
              <w:shd w:val="clear"/>
              <w:jc w:val="center"/>
              <w:rPr>
                <w:rFonts w:ascii="宋体" w:hAnsi="宋体" w:cs="宋体"/>
                <w:b/>
                <w:bCs/>
                <w:color w:val="auto"/>
                <w:sz w:val="24"/>
                <w:highlight w:val="none"/>
                <w:lang w:val="zh-CN"/>
              </w:rPr>
            </w:pPr>
          </w:p>
        </w:tc>
      </w:tr>
      <w:tr w14:paraId="3552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FD95391">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72A79ED2">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A145F69">
            <w:pPr>
              <w:shd w:val="clear"/>
              <w:jc w:val="center"/>
              <w:rPr>
                <w:rFonts w:ascii="宋体" w:hAnsi="宋体" w:cs="宋体"/>
                <w:b/>
                <w:bCs/>
                <w:color w:val="auto"/>
                <w:sz w:val="24"/>
                <w:highlight w:val="none"/>
                <w:lang w:val="zh-CN"/>
              </w:rPr>
            </w:pPr>
          </w:p>
        </w:tc>
      </w:tr>
      <w:tr w14:paraId="1CAB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E524F28">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FD5820B">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CF79EC1">
            <w:pPr>
              <w:shd w:val="clear"/>
              <w:jc w:val="center"/>
              <w:rPr>
                <w:rFonts w:ascii="宋体" w:hAnsi="宋体" w:cs="宋体"/>
                <w:b/>
                <w:bCs/>
                <w:color w:val="auto"/>
                <w:sz w:val="24"/>
                <w:highlight w:val="none"/>
                <w:lang w:val="zh-CN"/>
              </w:rPr>
            </w:pPr>
          </w:p>
        </w:tc>
      </w:tr>
      <w:tr w14:paraId="20F7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64E3E42">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07934D90">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F8EE294">
            <w:pPr>
              <w:shd w:val="clear"/>
              <w:jc w:val="center"/>
              <w:rPr>
                <w:rFonts w:ascii="宋体" w:hAnsi="宋体" w:cs="宋体"/>
                <w:b/>
                <w:bCs/>
                <w:color w:val="auto"/>
                <w:sz w:val="24"/>
                <w:highlight w:val="none"/>
                <w:lang w:val="zh-CN"/>
              </w:rPr>
            </w:pPr>
          </w:p>
        </w:tc>
      </w:tr>
      <w:tr w14:paraId="7A1C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454E395">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205F173">
            <w:pPr>
              <w:shd w:val="clea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98AD6FD">
            <w:pPr>
              <w:shd w:val="clear"/>
              <w:jc w:val="center"/>
              <w:rPr>
                <w:rFonts w:ascii="宋体" w:hAnsi="宋体" w:cs="宋体"/>
                <w:b/>
                <w:bCs/>
                <w:color w:val="auto"/>
                <w:sz w:val="24"/>
                <w:highlight w:val="none"/>
                <w:lang w:val="zh-CN"/>
              </w:rPr>
            </w:pPr>
          </w:p>
        </w:tc>
      </w:tr>
      <w:tr w14:paraId="0B9C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2844E928">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373C7768">
            <w:pPr>
              <w:shd w:val="clear"/>
              <w:jc w:val="center"/>
              <w:rPr>
                <w:rFonts w:ascii="宋体" w:hAnsi="宋体" w:cs="宋体"/>
                <w:b/>
                <w:bCs/>
                <w:color w:val="auto"/>
                <w:sz w:val="24"/>
                <w:highlight w:val="none"/>
                <w:lang w:val="zh-CN"/>
              </w:rPr>
            </w:pPr>
          </w:p>
        </w:tc>
      </w:tr>
    </w:tbl>
    <w:p w14:paraId="424E05A3">
      <w:pPr>
        <w:shd w:val="clear"/>
        <w:spacing w:line="360" w:lineRule="auto"/>
        <w:rPr>
          <w:rFonts w:ascii="宋体" w:hAnsi="宋体" w:cs="宋体"/>
          <w:color w:val="auto"/>
          <w:sz w:val="24"/>
          <w:highlight w:val="none"/>
        </w:rPr>
      </w:pPr>
    </w:p>
    <w:p w14:paraId="230D5AFE">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0DBB2B1">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DE7DEA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249F20F0">
      <w:pPr>
        <w:shd w:val="clear"/>
        <w:spacing w:line="360" w:lineRule="auto"/>
        <w:rPr>
          <w:rFonts w:ascii="宋体" w:hAnsi="宋体" w:cs="宋体"/>
          <w:color w:val="auto"/>
          <w:sz w:val="24"/>
          <w:szCs w:val="32"/>
          <w:highlight w:val="none"/>
        </w:rPr>
      </w:pPr>
    </w:p>
    <w:p w14:paraId="27C4E455">
      <w:pPr>
        <w:shd w:val="clear"/>
        <w:spacing w:line="360" w:lineRule="auto"/>
        <w:rPr>
          <w:rFonts w:ascii="宋体" w:hAnsi="宋体" w:cs="宋体"/>
          <w:color w:val="auto"/>
          <w:sz w:val="24"/>
          <w:szCs w:val="32"/>
          <w:highlight w:val="none"/>
        </w:rPr>
      </w:pPr>
    </w:p>
    <w:p w14:paraId="3F449D93">
      <w:pPr>
        <w:shd w:val="clear"/>
        <w:rPr>
          <w:rFonts w:hint="default" w:ascii="宋体" w:hAnsi="宋体" w:eastAsia="宋体" w:cs="宋体"/>
          <w:b/>
          <w:bCs/>
          <w:color w:val="auto"/>
          <w:sz w:val="28"/>
          <w:szCs w:val="36"/>
          <w:highlight w:val="none"/>
          <w:lang w:val="en-US" w:eastAsia="zh-CN"/>
        </w:rPr>
      </w:pPr>
      <w:bookmarkStart w:id="148" w:name="_Toc9916"/>
      <w:bookmarkStart w:id="149" w:name="_Toc16779"/>
      <w:r>
        <w:rPr>
          <w:rFonts w:hint="eastAsia" w:ascii="宋体" w:hAnsi="宋体" w:cs="宋体"/>
          <w:b/>
          <w:bCs/>
          <w:color w:val="auto"/>
          <w:sz w:val="28"/>
          <w:szCs w:val="36"/>
          <w:highlight w:val="none"/>
          <w:lang w:val="zh-CN"/>
        </w:rPr>
        <w:br w:type="page"/>
      </w:r>
      <w:bookmarkStart w:id="150" w:name="_Toc472159608"/>
      <w:r>
        <w:rPr>
          <w:rFonts w:hint="eastAsia" w:ascii="宋体" w:hAnsi="宋体" w:cs="宋体"/>
          <w:b/>
          <w:bCs/>
          <w:color w:val="auto"/>
          <w:sz w:val="28"/>
          <w:szCs w:val="36"/>
          <w:highlight w:val="none"/>
          <w:lang w:val="zh-CN"/>
        </w:rPr>
        <w:t>附件</w:t>
      </w:r>
      <w:bookmarkEnd w:id="148"/>
      <w:bookmarkEnd w:id="149"/>
      <w:bookmarkEnd w:id="150"/>
      <w:r>
        <w:rPr>
          <w:rFonts w:hint="eastAsia" w:ascii="宋体" w:hAnsi="宋体" w:cs="宋体"/>
          <w:b/>
          <w:bCs/>
          <w:color w:val="auto"/>
          <w:sz w:val="28"/>
          <w:szCs w:val="36"/>
          <w:highlight w:val="none"/>
          <w:lang w:val="en-US" w:eastAsia="zh-CN"/>
        </w:rPr>
        <w:t>11</w:t>
      </w:r>
    </w:p>
    <w:p w14:paraId="11056FA2">
      <w:pPr>
        <w:shd w:val="clea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拟投入设备配置清单</w:t>
      </w:r>
    </w:p>
    <w:p w14:paraId="4CA6D59D">
      <w:pPr>
        <w:shd w:val="clear"/>
        <w:spacing w:line="480" w:lineRule="auto"/>
        <w:rPr>
          <w:rFonts w:ascii="宋体" w:hAnsi="宋体" w:cs="宋体"/>
          <w:color w:val="auto"/>
          <w:sz w:val="24"/>
          <w:highlight w:val="none"/>
        </w:rPr>
      </w:pPr>
      <w:r>
        <w:rPr>
          <w:rFonts w:hint="eastAsia" w:ascii="宋体" w:hAnsi="宋体" w:cs="宋体"/>
          <w:color w:val="auto"/>
          <w:sz w:val="24"/>
          <w:highlight w:val="none"/>
        </w:rPr>
        <w:t>项目编号：</w:t>
      </w:r>
    </w:p>
    <w:tbl>
      <w:tblPr>
        <w:tblStyle w:val="26"/>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396A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CC94435">
            <w:pPr>
              <w:shd w:val="clea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73821540">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0335A494">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427BBB25">
            <w:pPr>
              <w:shd w:val="clea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41408FDC">
            <w:pPr>
              <w:shd w:val="clea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4C8859FE">
            <w:pPr>
              <w:shd w:val="clear"/>
              <w:jc w:val="center"/>
              <w:rPr>
                <w:rFonts w:ascii="宋体" w:hAnsi="宋体" w:cs="宋体"/>
                <w:b/>
                <w:color w:val="auto"/>
                <w:sz w:val="24"/>
                <w:highlight w:val="none"/>
              </w:rPr>
            </w:pPr>
            <w:r>
              <w:rPr>
                <w:rFonts w:hint="eastAsia" w:ascii="宋体" w:hAnsi="宋体" w:cs="宋体"/>
                <w:b/>
                <w:color w:val="auto"/>
                <w:sz w:val="24"/>
                <w:highlight w:val="none"/>
              </w:rPr>
              <w:t>数量</w:t>
            </w:r>
          </w:p>
        </w:tc>
      </w:tr>
      <w:tr w14:paraId="3933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D02AF40">
            <w:pPr>
              <w:shd w:val="clear"/>
              <w:jc w:val="center"/>
              <w:rPr>
                <w:rFonts w:ascii="宋体" w:hAnsi="宋体" w:cs="宋体"/>
                <w:color w:val="auto"/>
                <w:sz w:val="24"/>
                <w:highlight w:val="none"/>
              </w:rPr>
            </w:pPr>
          </w:p>
        </w:tc>
        <w:tc>
          <w:tcPr>
            <w:tcW w:w="2169" w:type="dxa"/>
            <w:vAlign w:val="center"/>
          </w:tcPr>
          <w:p w14:paraId="39C0D498">
            <w:pPr>
              <w:shd w:val="clear"/>
              <w:jc w:val="center"/>
              <w:rPr>
                <w:rFonts w:ascii="宋体" w:hAnsi="宋体" w:cs="宋体"/>
                <w:color w:val="auto"/>
                <w:sz w:val="24"/>
                <w:highlight w:val="none"/>
              </w:rPr>
            </w:pPr>
          </w:p>
        </w:tc>
        <w:tc>
          <w:tcPr>
            <w:tcW w:w="1134" w:type="dxa"/>
            <w:vAlign w:val="center"/>
          </w:tcPr>
          <w:p w14:paraId="185A72B1">
            <w:pPr>
              <w:shd w:val="clear"/>
              <w:jc w:val="center"/>
              <w:rPr>
                <w:rFonts w:ascii="宋体" w:hAnsi="宋体" w:cs="宋体"/>
                <w:color w:val="auto"/>
                <w:sz w:val="24"/>
                <w:highlight w:val="none"/>
              </w:rPr>
            </w:pPr>
          </w:p>
        </w:tc>
        <w:tc>
          <w:tcPr>
            <w:tcW w:w="1842" w:type="dxa"/>
            <w:vAlign w:val="center"/>
          </w:tcPr>
          <w:p w14:paraId="4D329394">
            <w:pPr>
              <w:shd w:val="clear"/>
              <w:jc w:val="center"/>
              <w:rPr>
                <w:rFonts w:ascii="宋体" w:hAnsi="宋体" w:cs="宋体"/>
                <w:color w:val="auto"/>
                <w:sz w:val="24"/>
                <w:highlight w:val="none"/>
              </w:rPr>
            </w:pPr>
          </w:p>
        </w:tc>
        <w:tc>
          <w:tcPr>
            <w:tcW w:w="993" w:type="dxa"/>
            <w:vAlign w:val="center"/>
          </w:tcPr>
          <w:p w14:paraId="3FB9A2E0">
            <w:pPr>
              <w:shd w:val="clear"/>
              <w:jc w:val="center"/>
              <w:rPr>
                <w:rFonts w:ascii="宋体" w:hAnsi="宋体" w:cs="宋体"/>
                <w:color w:val="auto"/>
                <w:sz w:val="24"/>
                <w:highlight w:val="none"/>
              </w:rPr>
            </w:pPr>
          </w:p>
        </w:tc>
        <w:tc>
          <w:tcPr>
            <w:tcW w:w="1559" w:type="dxa"/>
            <w:vAlign w:val="center"/>
          </w:tcPr>
          <w:p w14:paraId="6B86A654">
            <w:pPr>
              <w:shd w:val="clear"/>
              <w:jc w:val="center"/>
              <w:rPr>
                <w:rFonts w:ascii="宋体" w:hAnsi="宋体" w:cs="宋体"/>
                <w:color w:val="auto"/>
                <w:sz w:val="24"/>
                <w:highlight w:val="none"/>
              </w:rPr>
            </w:pPr>
          </w:p>
        </w:tc>
      </w:tr>
      <w:tr w14:paraId="41E9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CE42E51">
            <w:pPr>
              <w:shd w:val="clear"/>
              <w:jc w:val="center"/>
              <w:rPr>
                <w:rFonts w:ascii="宋体" w:hAnsi="宋体" w:cs="宋体"/>
                <w:color w:val="auto"/>
                <w:sz w:val="24"/>
                <w:highlight w:val="none"/>
              </w:rPr>
            </w:pPr>
          </w:p>
        </w:tc>
        <w:tc>
          <w:tcPr>
            <w:tcW w:w="2169" w:type="dxa"/>
            <w:vAlign w:val="center"/>
          </w:tcPr>
          <w:p w14:paraId="253099BB">
            <w:pPr>
              <w:shd w:val="clear"/>
              <w:jc w:val="center"/>
              <w:rPr>
                <w:rFonts w:ascii="宋体" w:hAnsi="宋体" w:cs="宋体"/>
                <w:color w:val="auto"/>
                <w:sz w:val="24"/>
                <w:highlight w:val="none"/>
              </w:rPr>
            </w:pPr>
          </w:p>
        </w:tc>
        <w:tc>
          <w:tcPr>
            <w:tcW w:w="1134" w:type="dxa"/>
            <w:vAlign w:val="center"/>
          </w:tcPr>
          <w:p w14:paraId="67276338">
            <w:pPr>
              <w:shd w:val="clear"/>
              <w:jc w:val="center"/>
              <w:rPr>
                <w:rFonts w:ascii="宋体" w:hAnsi="宋体" w:cs="宋体"/>
                <w:color w:val="auto"/>
                <w:sz w:val="24"/>
                <w:highlight w:val="none"/>
              </w:rPr>
            </w:pPr>
          </w:p>
        </w:tc>
        <w:tc>
          <w:tcPr>
            <w:tcW w:w="1842" w:type="dxa"/>
            <w:vAlign w:val="center"/>
          </w:tcPr>
          <w:p w14:paraId="7CFC27C9">
            <w:pPr>
              <w:shd w:val="clear"/>
              <w:jc w:val="center"/>
              <w:rPr>
                <w:rFonts w:ascii="宋体" w:hAnsi="宋体" w:cs="宋体"/>
                <w:color w:val="auto"/>
                <w:sz w:val="24"/>
                <w:highlight w:val="none"/>
              </w:rPr>
            </w:pPr>
          </w:p>
        </w:tc>
        <w:tc>
          <w:tcPr>
            <w:tcW w:w="993" w:type="dxa"/>
            <w:vAlign w:val="center"/>
          </w:tcPr>
          <w:p w14:paraId="5BD81584">
            <w:pPr>
              <w:shd w:val="clear"/>
              <w:jc w:val="center"/>
              <w:rPr>
                <w:rFonts w:ascii="宋体" w:hAnsi="宋体" w:cs="宋体"/>
                <w:color w:val="auto"/>
                <w:sz w:val="24"/>
                <w:highlight w:val="none"/>
              </w:rPr>
            </w:pPr>
          </w:p>
        </w:tc>
        <w:tc>
          <w:tcPr>
            <w:tcW w:w="1559" w:type="dxa"/>
            <w:vAlign w:val="center"/>
          </w:tcPr>
          <w:p w14:paraId="16846EE0">
            <w:pPr>
              <w:shd w:val="clear"/>
              <w:jc w:val="center"/>
              <w:rPr>
                <w:rFonts w:ascii="宋体" w:hAnsi="宋体" w:cs="宋体"/>
                <w:color w:val="auto"/>
                <w:sz w:val="24"/>
                <w:highlight w:val="none"/>
              </w:rPr>
            </w:pPr>
          </w:p>
        </w:tc>
      </w:tr>
      <w:tr w14:paraId="63DE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0C752C0">
            <w:pPr>
              <w:shd w:val="clear"/>
              <w:jc w:val="center"/>
              <w:rPr>
                <w:rFonts w:ascii="宋体" w:hAnsi="宋体" w:cs="宋体"/>
                <w:color w:val="auto"/>
                <w:sz w:val="24"/>
                <w:highlight w:val="none"/>
              </w:rPr>
            </w:pPr>
          </w:p>
        </w:tc>
        <w:tc>
          <w:tcPr>
            <w:tcW w:w="2169" w:type="dxa"/>
            <w:vAlign w:val="center"/>
          </w:tcPr>
          <w:p w14:paraId="61D30EA7">
            <w:pPr>
              <w:shd w:val="clear"/>
              <w:jc w:val="center"/>
              <w:rPr>
                <w:rFonts w:ascii="宋体" w:hAnsi="宋体" w:cs="宋体"/>
                <w:color w:val="auto"/>
                <w:sz w:val="24"/>
                <w:highlight w:val="none"/>
              </w:rPr>
            </w:pPr>
          </w:p>
        </w:tc>
        <w:tc>
          <w:tcPr>
            <w:tcW w:w="1134" w:type="dxa"/>
            <w:vAlign w:val="center"/>
          </w:tcPr>
          <w:p w14:paraId="00CE54E8">
            <w:pPr>
              <w:shd w:val="clear"/>
              <w:jc w:val="center"/>
              <w:rPr>
                <w:rFonts w:ascii="宋体" w:hAnsi="宋体" w:cs="宋体"/>
                <w:color w:val="auto"/>
                <w:sz w:val="24"/>
                <w:highlight w:val="none"/>
              </w:rPr>
            </w:pPr>
          </w:p>
        </w:tc>
        <w:tc>
          <w:tcPr>
            <w:tcW w:w="1842" w:type="dxa"/>
            <w:vAlign w:val="center"/>
          </w:tcPr>
          <w:p w14:paraId="6F73AEE6">
            <w:pPr>
              <w:shd w:val="clear"/>
              <w:jc w:val="center"/>
              <w:rPr>
                <w:rFonts w:ascii="宋体" w:hAnsi="宋体" w:cs="宋体"/>
                <w:color w:val="auto"/>
                <w:sz w:val="24"/>
                <w:highlight w:val="none"/>
              </w:rPr>
            </w:pPr>
          </w:p>
        </w:tc>
        <w:tc>
          <w:tcPr>
            <w:tcW w:w="993" w:type="dxa"/>
            <w:vAlign w:val="center"/>
          </w:tcPr>
          <w:p w14:paraId="6B6E7BD3">
            <w:pPr>
              <w:shd w:val="clear"/>
              <w:jc w:val="center"/>
              <w:rPr>
                <w:rFonts w:ascii="宋体" w:hAnsi="宋体" w:cs="宋体"/>
                <w:color w:val="auto"/>
                <w:sz w:val="24"/>
                <w:highlight w:val="none"/>
              </w:rPr>
            </w:pPr>
          </w:p>
        </w:tc>
        <w:tc>
          <w:tcPr>
            <w:tcW w:w="1559" w:type="dxa"/>
            <w:vAlign w:val="center"/>
          </w:tcPr>
          <w:p w14:paraId="44D086D5">
            <w:pPr>
              <w:shd w:val="clear"/>
              <w:jc w:val="center"/>
              <w:rPr>
                <w:rFonts w:ascii="宋体" w:hAnsi="宋体" w:cs="宋体"/>
                <w:color w:val="auto"/>
                <w:sz w:val="24"/>
                <w:highlight w:val="none"/>
              </w:rPr>
            </w:pPr>
          </w:p>
        </w:tc>
      </w:tr>
      <w:tr w14:paraId="36C5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33691B6">
            <w:pPr>
              <w:shd w:val="clear"/>
              <w:jc w:val="center"/>
              <w:rPr>
                <w:rFonts w:ascii="宋体" w:hAnsi="宋体" w:cs="宋体"/>
                <w:color w:val="auto"/>
                <w:sz w:val="24"/>
                <w:highlight w:val="none"/>
              </w:rPr>
            </w:pPr>
          </w:p>
        </w:tc>
        <w:tc>
          <w:tcPr>
            <w:tcW w:w="2169" w:type="dxa"/>
            <w:vAlign w:val="center"/>
          </w:tcPr>
          <w:p w14:paraId="2DDE98CB">
            <w:pPr>
              <w:shd w:val="clear"/>
              <w:jc w:val="center"/>
              <w:rPr>
                <w:rFonts w:ascii="宋体" w:hAnsi="宋体" w:cs="宋体"/>
                <w:color w:val="auto"/>
                <w:sz w:val="24"/>
                <w:highlight w:val="none"/>
              </w:rPr>
            </w:pPr>
          </w:p>
        </w:tc>
        <w:tc>
          <w:tcPr>
            <w:tcW w:w="1134" w:type="dxa"/>
            <w:vAlign w:val="center"/>
          </w:tcPr>
          <w:p w14:paraId="4A9EFD86">
            <w:pPr>
              <w:shd w:val="clear"/>
              <w:jc w:val="center"/>
              <w:rPr>
                <w:rFonts w:ascii="宋体" w:hAnsi="宋体" w:cs="宋体"/>
                <w:color w:val="auto"/>
                <w:sz w:val="24"/>
                <w:highlight w:val="none"/>
              </w:rPr>
            </w:pPr>
          </w:p>
        </w:tc>
        <w:tc>
          <w:tcPr>
            <w:tcW w:w="1842" w:type="dxa"/>
            <w:vAlign w:val="center"/>
          </w:tcPr>
          <w:p w14:paraId="730C7312">
            <w:pPr>
              <w:shd w:val="clear"/>
              <w:jc w:val="center"/>
              <w:rPr>
                <w:rFonts w:ascii="宋体" w:hAnsi="宋体" w:cs="宋体"/>
                <w:color w:val="auto"/>
                <w:sz w:val="24"/>
                <w:highlight w:val="none"/>
              </w:rPr>
            </w:pPr>
          </w:p>
        </w:tc>
        <w:tc>
          <w:tcPr>
            <w:tcW w:w="993" w:type="dxa"/>
            <w:vAlign w:val="center"/>
          </w:tcPr>
          <w:p w14:paraId="4D496C33">
            <w:pPr>
              <w:shd w:val="clear"/>
              <w:jc w:val="center"/>
              <w:rPr>
                <w:rFonts w:ascii="宋体" w:hAnsi="宋体" w:cs="宋体"/>
                <w:color w:val="auto"/>
                <w:sz w:val="24"/>
                <w:highlight w:val="none"/>
              </w:rPr>
            </w:pPr>
          </w:p>
        </w:tc>
        <w:tc>
          <w:tcPr>
            <w:tcW w:w="1559" w:type="dxa"/>
            <w:vAlign w:val="center"/>
          </w:tcPr>
          <w:p w14:paraId="2B633655">
            <w:pPr>
              <w:shd w:val="clear"/>
              <w:jc w:val="center"/>
              <w:rPr>
                <w:rFonts w:ascii="宋体" w:hAnsi="宋体" w:cs="宋体"/>
                <w:color w:val="auto"/>
                <w:sz w:val="24"/>
                <w:highlight w:val="none"/>
              </w:rPr>
            </w:pPr>
          </w:p>
        </w:tc>
      </w:tr>
      <w:tr w14:paraId="158A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C10C6C1">
            <w:pPr>
              <w:shd w:val="clear"/>
              <w:jc w:val="center"/>
              <w:rPr>
                <w:rFonts w:ascii="宋体" w:hAnsi="宋体" w:cs="宋体"/>
                <w:color w:val="auto"/>
                <w:sz w:val="24"/>
                <w:highlight w:val="none"/>
              </w:rPr>
            </w:pPr>
          </w:p>
        </w:tc>
        <w:tc>
          <w:tcPr>
            <w:tcW w:w="2169" w:type="dxa"/>
            <w:vAlign w:val="center"/>
          </w:tcPr>
          <w:p w14:paraId="11A17F10">
            <w:pPr>
              <w:shd w:val="clear"/>
              <w:jc w:val="center"/>
              <w:rPr>
                <w:rFonts w:ascii="宋体" w:hAnsi="宋体" w:cs="宋体"/>
                <w:color w:val="auto"/>
                <w:sz w:val="24"/>
                <w:highlight w:val="none"/>
              </w:rPr>
            </w:pPr>
          </w:p>
        </w:tc>
        <w:tc>
          <w:tcPr>
            <w:tcW w:w="1134" w:type="dxa"/>
            <w:vAlign w:val="center"/>
          </w:tcPr>
          <w:p w14:paraId="135B15AB">
            <w:pPr>
              <w:shd w:val="clear"/>
              <w:jc w:val="center"/>
              <w:rPr>
                <w:rFonts w:ascii="宋体" w:hAnsi="宋体" w:cs="宋体"/>
                <w:color w:val="auto"/>
                <w:sz w:val="24"/>
                <w:highlight w:val="none"/>
              </w:rPr>
            </w:pPr>
          </w:p>
        </w:tc>
        <w:tc>
          <w:tcPr>
            <w:tcW w:w="1842" w:type="dxa"/>
            <w:vAlign w:val="center"/>
          </w:tcPr>
          <w:p w14:paraId="3FB81267">
            <w:pPr>
              <w:shd w:val="clear"/>
              <w:jc w:val="center"/>
              <w:rPr>
                <w:rFonts w:ascii="宋体" w:hAnsi="宋体" w:cs="宋体"/>
                <w:color w:val="auto"/>
                <w:sz w:val="24"/>
                <w:highlight w:val="none"/>
              </w:rPr>
            </w:pPr>
          </w:p>
        </w:tc>
        <w:tc>
          <w:tcPr>
            <w:tcW w:w="993" w:type="dxa"/>
            <w:vAlign w:val="center"/>
          </w:tcPr>
          <w:p w14:paraId="206DE7CA">
            <w:pPr>
              <w:shd w:val="clear"/>
              <w:jc w:val="center"/>
              <w:rPr>
                <w:rFonts w:ascii="宋体" w:hAnsi="宋体" w:cs="宋体"/>
                <w:color w:val="auto"/>
                <w:sz w:val="24"/>
                <w:highlight w:val="none"/>
              </w:rPr>
            </w:pPr>
          </w:p>
        </w:tc>
        <w:tc>
          <w:tcPr>
            <w:tcW w:w="1559" w:type="dxa"/>
            <w:vAlign w:val="center"/>
          </w:tcPr>
          <w:p w14:paraId="0518C599">
            <w:pPr>
              <w:shd w:val="clear"/>
              <w:jc w:val="center"/>
              <w:rPr>
                <w:rFonts w:ascii="宋体" w:hAnsi="宋体" w:cs="宋体"/>
                <w:color w:val="auto"/>
                <w:sz w:val="24"/>
                <w:highlight w:val="none"/>
              </w:rPr>
            </w:pPr>
          </w:p>
        </w:tc>
      </w:tr>
      <w:tr w14:paraId="7CA5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B4634C4">
            <w:pPr>
              <w:shd w:val="clear"/>
              <w:jc w:val="center"/>
              <w:rPr>
                <w:rFonts w:ascii="宋体" w:hAnsi="宋体" w:cs="宋体"/>
                <w:color w:val="auto"/>
                <w:sz w:val="24"/>
                <w:highlight w:val="none"/>
              </w:rPr>
            </w:pPr>
          </w:p>
        </w:tc>
        <w:tc>
          <w:tcPr>
            <w:tcW w:w="2169" w:type="dxa"/>
            <w:vAlign w:val="center"/>
          </w:tcPr>
          <w:p w14:paraId="29F003DE">
            <w:pPr>
              <w:shd w:val="clear"/>
              <w:jc w:val="center"/>
              <w:rPr>
                <w:rFonts w:ascii="宋体" w:hAnsi="宋体" w:cs="宋体"/>
                <w:color w:val="auto"/>
                <w:sz w:val="24"/>
                <w:highlight w:val="none"/>
              </w:rPr>
            </w:pPr>
          </w:p>
        </w:tc>
        <w:tc>
          <w:tcPr>
            <w:tcW w:w="1134" w:type="dxa"/>
            <w:vAlign w:val="center"/>
          </w:tcPr>
          <w:p w14:paraId="24454F07">
            <w:pPr>
              <w:shd w:val="clear"/>
              <w:jc w:val="center"/>
              <w:rPr>
                <w:rFonts w:ascii="宋体" w:hAnsi="宋体" w:cs="宋体"/>
                <w:color w:val="auto"/>
                <w:sz w:val="24"/>
                <w:highlight w:val="none"/>
              </w:rPr>
            </w:pPr>
          </w:p>
        </w:tc>
        <w:tc>
          <w:tcPr>
            <w:tcW w:w="1842" w:type="dxa"/>
            <w:vAlign w:val="center"/>
          </w:tcPr>
          <w:p w14:paraId="6B3FD897">
            <w:pPr>
              <w:shd w:val="clear"/>
              <w:jc w:val="center"/>
              <w:rPr>
                <w:rFonts w:ascii="宋体" w:hAnsi="宋体" w:cs="宋体"/>
                <w:color w:val="auto"/>
                <w:sz w:val="24"/>
                <w:highlight w:val="none"/>
              </w:rPr>
            </w:pPr>
          </w:p>
        </w:tc>
        <w:tc>
          <w:tcPr>
            <w:tcW w:w="993" w:type="dxa"/>
            <w:vAlign w:val="center"/>
          </w:tcPr>
          <w:p w14:paraId="77F23F1E">
            <w:pPr>
              <w:shd w:val="clear"/>
              <w:jc w:val="center"/>
              <w:rPr>
                <w:rFonts w:ascii="宋体" w:hAnsi="宋体" w:cs="宋体"/>
                <w:color w:val="auto"/>
                <w:sz w:val="24"/>
                <w:highlight w:val="none"/>
              </w:rPr>
            </w:pPr>
          </w:p>
        </w:tc>
        <w:tc>
          <w:tcPr>
            <w:tcW w:w="1559" w:type="dxa"/>
            <w:vAlign w:val="center"/>
          </w:tcPr>
          <w:p w14:paraId="63A307BA">
            <w:pPr>
              <w:shd w:val="clear"/>
              <w:jc w:val="center"/>
              <w:rPr>
                <w:rFonts w:ascii="宋体" w:hAnsi="宋体" w:cs="宋体"/>
                <w:color w:val="auto"/>
                <w:sz w:val="24"/>
                <w:highlight w:val="none"/>
              </w:rPr>
            </w:pPr>
          </w:p>
        </w:tc>
      </w:tr>
      <w:tr w14:paraId="5A59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130D7E4B">
            <w:pPr>
              <w:shd w:val="clear"/>
              <w:jc w:val="center"/>
              <w:rPr>
                <w:rFonts w:ascii="宋体" w:hAnsi="宋体" w:cs="宋体"/>
                <w:color w:val="auto"/>
                <w:sz w:val="24"/>
                <w:highlight w:val="none"/>
              </w:rPr>
            </w:pPr>
          </w:p>
        </w:tc>
        <w:tc>
          <w:tcPr>
            <w:tcW w:w="2169" w:type="dxa"/>
            <w:vAlign w:val="center"/>
          </w:tcPr>
          <w:p w14:paraId="1B1B9808">
            <w:pPr>
              <w:shd w:val="clear"/>
              <w:jc w:val="center"/>
              <w:rPr>
                <w:rFonts w:ascii="宋体" w:hAnsi="宋体" w:cs="宋体"/>
                <w:color w:val="auto"/>
                <w:sz w:val="24"/>
                <w:highlight w:val="none"/>
              </w:rPr>
            </w:pPr>
          </w:p>
        </w:tc>
        <w:tc>
          <w:tcPr>
            <w:tcW w:w="1134" w:type="dxa"/>
            <w:vAlign w:val="center"/>
          </w:tcPr>
          <w:p w14:paraId="15F7FE22">
            <w:pPr>
              <w:shd w:val="clear"/>
              <w:jc w:val="center"/>
              <w:rPr>
                <w:rFonts w:ascii="宋体" w:hAnsi="宋体" w:cs="宋体"/>
                <w:color w:val="auto"/>
                <w:sz w:val="24"/>
                <w:highlight w:val="none"/>
              </w:rPr>
            </w:pPr>
          </w:p>
        </w:tc>
        <w:tc>
          <w:tcPr>
            <w:tcW w:w="1842" w:type="dxa"/>
            <w:vAlign w:val="center"/>
          </w:tcPr>
          <w:p w14:paraId="0ED06FDF">
            <w:pPr>
              <w:shd w:val="clear"/>
              <w:jc w:val="center"/>
              <w:rPr>
                <w:rFonts w:ascii="宋体" w:hAnsi="宋体" w:cs="宋体"/>
                <w:color w:val="auto"/>
                <w:sz w:val="24"/>
                <w:highlight w:val="none"/>
              </w:rPr>
            </w:pPr>
          </w:p>
        </w:tc>
        <w:tc>
          <w:tcPr>
            <w:tcW w:w="993" w:type="dxa"/>
            <w:vAlign w:val="center"/>
          </w:tcPr>
          <w:p w14:paraId="04370C4C">
            <w:pPr>
              <w:shd w:val="clear"/>
              <w:jc w:val="center"/>
              <w:rPr>
                <w:rFonts w:ascii="宋体" w:hAnsi="宋体" w:cs="宋体"/>
                <w:color w:val="auto"/>
                <w:sz w:val="24"/>
                <w:highlight w:val="none"/>
              </w:rPr>
            </w:pPr>
          </w:p>
        </w:tc>
        <w:tc>
          <w:tcPr>
            <w:tcW w:w="1559" w:type="dxa"/>
            <w:vAlign w:val="center"/>
          </w:tcPr>
          <w:p w14:paraId="4AED3BA1">
            <w:pPr>
              <w:shd w:val="clear"/>
              <w:jc w:val="center"/>
              <w:rPr>
                <w:rFonts w:ascii="宋体" w:hAnsi="宋体" w:cs="宋体"/>
                <w:color w:val="auto"/>
                <w:sz w:val="24"/>
                <w:highlight w:val="none"/>
              </w:rPr>
            </w:pPr>
          </w:p>
        </w:tc>
      </w:tr>
    </w:tbl>
    <w:p w14:paraId="7BFB1B07">
      <w:pPr>
        <w:shd w:val="clear"/>
        <w:spacing w:line="360" w:lineRule="auto"/>
        <w:rPr>
          <w:rFonts w:ascii="宋体" w:hAnsi="宋体" w:cs="宋体"/>
          <w:color w:val="auto"/>
          <w:sz w:val="24"/>
          <w:highlight w:val="none"/>
        </w:rPr>
      </w:pPr>
    </w:p>
    <w:p w14:paraId="1C6BF943">
      <w:pPr>
        <w:shd w:val="clear"/>
        <w:spacing w:line="360" w:lineRule="auto"/>
        <w:rPr>
          <w:rFonts w:ascii="宋体" w:hAnsi="宋体" w:cs="宋体"/>
          <w:color w:val="auto"/>
          <w:sz w:val="24"/>
          <w:highlight w:val="none"/>
        </w:rPr>
      </w:pPr>
    </w:p>
    <w:p w14:paraId="2090620C">
      <w:pPr>
        <w:shd w:val="clear"/>
        <w:spacing w:line="360" w:lineRule="auto"/>
        <w:rPr>
          <w:rFonts w:ascii="宋体" w:hAnsi="宋体" w:cs="宋体"/>
          <w:color w:val="auto"/>
          <w:sz w:val="24"/>
          <w:highlight w:val="none"/>
        </w:rPr>
      </w:pPr>
    </w:p>
    <w:p w14:paraId="19AD84C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50220A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8827FD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304DF1D">
      <w:pPr>
        <w:shd w:val="clear"/>
        <w:spacing w:line="360" w:lineRule="auto"/>
        <w:rPr>
          <w:rFonts w:ascii="宋体" w:hAnsi="宋体" w:cs="宋体"/>
          <w:color w:val="auto"/>
          <w:sz w:val="24"/>
          <w:highlight w:val="none"/>
        </w:rPr>
      </w:pPr>
    </w:p>
    <w:p w14:paraId="0BCAF276">
      <w:pPr>
        <w:shd w:val="clear"/>
        <w:spacing w:line="360" w:lineRule="auto"/>
        <w:rPr>
          <w:rFonts w:ascii="宋体" w:hAnsi="宋体" w:cs="宋体"/>
          <w:color w:val="auto"/>
          <w:sz w:val="24"/>
          <w:highlight w:val="none"/>
        </w:rPr>
      </w:pPr>
    </w:p>
    <w:p w14:paraId="0F7E59FB">
      <w:pPr>
        <w:shd w:val="clear"/>
        <w:spacing w:line="360" w:lineRule="auto"/>
        <w:rPr>
          <w:rFonts w:ascii="宋体" w:hAnsi="宋体" w:cs="宋体"/>
          <w:color w:val="auto"/>
          <w:sz w:val="24"/>
          <w:highlight w:val="none"/>
        </w:rPr>
      </w:pPr>
    </w:p>
    <w:p w14:paraId="36C369A6">
      <w:pPr>
        <w:shd w:val="clear"/>
        <w:spacing w:line="360" w:lineRule="auto"/>
        <w:rPr>
          <w:rFonts w:ascii="宋体" w:hAnsi="宋体" w:cs="宋体"/>
          <w:color w:val="auto"/>
          <w:sz w:val="24"/>
          <w:highlight w:val="none"/>
        </w:rPr>
      </w:pPr>
    </w:p>
    <w:p w14:paraId="2286B221">
      <w:pPr>
        <w:shd w:val="clear"/>
        <w:spacing w:line="360" w:lineRule="auto"/>
        <w:rPr>
          <w:rFonts w:ascii="宋体" w:hAnsi="宋体" w:cs="宋体"/>
          <w:color w:val="auto"/>
          <w:sz w:val="24"/>
          <w:highlight w:val="none"/>
        </w:rPr>
      </w:pPr>
    </w:p>
    <w:p w14:paraId="72211696">
      <w:pPr>
        <w:shd w:val="clear"/>
        <w:spacing w:line="360" w:lineRule="auto"/>
        <w:rPr>
          <w:rFonts w:ascii="宋体" w:hAnsi="宋体" w:cs="宋体"/>
          <w:color w:val="auto"/>
          <w:sz w:val="24"/>
          <w:highlight w:val="none"/>
        </w:rPr>
      </w:pPr>
    </w:p>
    <w:p w14:paraId="12772163">
      <w:pPr>
        <w:shd w:val="clear"/>
        <w:spacing w:line="360" w:lineRule="auto"/>
        <w:rPr>
          <w:rFonts w:ascii="宋体" w:hAnsi="宋体" w:cs="宋体"/>
          <w:color w:val="auto"/>
          <w:sz w:val="24"/>
          <w:highlight w:val="none"/>
        </w:rPr>
      </w:pPr>
    </w:p>
    <w:p w14:paraId="019DA55B">
      <w:pPr>
        <w:shd w:val="clear"/>
        <w:spacing w:line="360" w:lineRule="auto"/>
        <w:rPr>
          <w:rFonts w:ascii="宋体" w:hAnsi="宋体" w:cs="宋体"/>
          <w:color w:val="auto"/>
          <w:sz w:val="24"/>
          <w:highlight w:val="none"/>
        </w:rPr>
      </w:pPr>
    </w:p>
    <w:p w14:paraId="2029432C">
      <w:pPr>
        <w:shd w:val="clear"/>
        <w:spacing w:line="360" w:lineRule="auto"/>
        <w:rPr>
          <w:rFonts w:ascii="宋体" w:hAnsi="宋体" w:cs="宋体"/>
          <w:color w:val="auto"/>
          <w:sz w:val="24"/>
          <w:highlight w:val="none"/>
        </w:rPr>
      </w:pPr>
    </w:p>
    <w:p w14:paraId="7E96134E">
      <w:pPr>
        <w:shd w:val="clear"/>
        <w:spacing w:line="360" w:lineRule="auto"/>
        <w:rPr>
          <w:rFonts w:ascii="宋体" w:hAnsi="宋体" w:cs="宋体"/>
          <w:color w:val="auto"/>
          <w:sz w:val="24"/>
          <w:highlight w:val="none"/>
        </w:rPr>
      </w:pPr>
    </w:p>
    <w:p w14:paraId="2F30C912">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51" w:name="_Toc2015"/>
      <w:bookmarkStart w:id="152" w:name="_Toc634455991"/>
      <w:bookmarkStart w:id="153" w:name="_Toc5432"/>
      <w:r>
        <w:rPr>
          <w:rFonts w:hint="eastAsia" w:ascii="宋体" w:hAnsi="宋体" w:cs="宋体"/>
          <w:b/>
          <w:bCs/>
          <w:color w:val="auto"/>
          <w:sz w:val="28"/>
          <w:szCs w:val="36"/>
          <w:highlight w:val="none"/>
          <w:lang w:val="zh-CN"/>
        </w:rPr>
        <w:t>附件</w:t>
      </w:r>
      <w:bookmarkEnd w:id="151"/>
      <w:bookmarkEnd w:id="152"/>
      <w:bookmarkEnd w:id="153"/>
      <w:r>
        <w:rPr>
          <w:rFonts w:hint="eastAsia" w:ascii="宋体" w:hAnsi="宋体" w:cs="宋体"/>
          <w:b/>
          <w:bCs/>
          <w:color w:val="auto"/>
          <w:sz w:val="28"/>
          <w:szCs w:val="36"/>
          <w:highlight w:val="none"/>
          <w:lang w:val="en-US" w:eastAsia="zh-CN"/>
        </w:rPr>
        <w:t>12</w:t>
      </w:r>
    </w:p>
    <w:p w14:paraId="535D485C">
      <w:pPr>
        <w:shd w:val="clear"/>
        <w:spacing w:line="360" w:lineRule="auto"/>
        <w:jc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p w14:paraId="1660CAED">
      <w:pPr>
        <w:shd w:val="clear"/>
        <w:spacing w:line="360" w:lineRule="auto"/>
        <w:rPr>
          <w:rFonts w:ascii="宋体" w:hAnsi="宋体" w:cs="宋体"/>
          <w:color w:val="auto"/>
          <w:sz w:val="24"/>
          <w:highlight w:val="none"/>
        </w:rPr>
      </w:pPr>
    </w:p>
    <w:tbl>
      <w:tblPr>
        <w:tblStyle w:val="2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53"/>
        <w:gridCol w:w="1980"/>
        <w:gridCol w:w="1473"/>
        <w:gridCol w:w="1435"/>
      </w:tblGrid>
      <w:tr w14:paraId="45F6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75" w:type="dxa"/>
            <w:vAlign w:val="center"/>
          </w:tcPr>
          <w:p w14:paraId="6EF7E794">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53" w:type="dxa"/>
            <w:vAlign w:val="center"/>
          </w:tcPr>
          <w:p w14:paraId="487BAC28">
            <w:pPr>
              <w:shd w:val="clea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1980" w:type="dxa"/>
            <w:vAlign w:val="center"/>
          </w:tcPr>
          <w:p w14:paraId="226C012E">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招标参数</w:t>
            </w:r>
          </w:p>
        </w:tc>
        <w:tc>
          <w:tcPr>
            <w:tcW w:w="1473" w:type="dxa"/>
            <w:vAlign w:val="center"/>
          </w:tcPr>
          <w:p w14:paraId="6BB6D918">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投标参数</w:t>
            </w:r>
          </w:p>
        </w:tc>
        <w:tc>
          <w:tcPr>
            <w:tcW w:w="1435" w:type="dxa"/>
            <w:vAlign w:val="center"/>
          </w:tcPr>
          <w:p w14:paraId="7253E568">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622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75" w:type="dxa"/>
            <w:vAlign w:val="center"/>
          </w:tcPr>
          <w:p w14:paraId="14793FB0">
            <w:pPr>
              <w:shd w:val="clear"/>
              <w:jc w:val="center"/>
              <w:rPr>
                <w:rFonts w:ascii="宋体" w:hAnsi="宋体" w:cs="宋体"/>
                <w:b/>
                <w:bCs/>
                <w:color w:val="auto"/>
                <w:sz w:val="24"/>
                <w:highlight w:val="none"/>
              </w:rPr>
            </w:pPr>
          </w:p>
        </w:tc>
        <w:tc>
          <w:tcPr>
            <w:tcW w:w="2553" w:type="dxa"/>
            <w:vAlign w:val="center"/>
          </w:tcPr>
          <w:p w14:paraId="24A6114B">
            <w:pPr>
              <w:shd w:val="clear"/>
              <w:jc w:val="center"/>
              <w:rPr>
                <w:rFonts w:ascii="宋体" w:hAnsi="宋体" w:cs="宋体"/>
                <w:b/>
                <w:bCs/>
                <w:color w:val="auto"/>
                <w:sz w:val="24"/>
                <w:highlight w:val="none"/>
              </w:rPr>
            </w:pPr>
          </w:p>
        </w:tc>
        <w:tc>
          <w:tcPr>
            <w:tcW w:w="1980" w:type="dxa"/>
            <w:vAlign w:val="center"/>
          </w:tcPr>
          <w:p w14:paraId="373186F8">
            <w:pPr>
              <w:shd w:val="clear"/>
              <w:jc w:val="center"/>
              <w:rPr>
                <w:rFonts w:ascii="宋体" w:hAnsi="宋体" w:cs="宋体"/>
                <w:b/>
                <w:bCs/>
                <w:color w:val="auto"/>
                <w:sz w:val="24"/>
                <w:highlight w:val="none"/>
              </w:rPr>
            </w:pPr>
          </w:p>
        </w:tc>
        <w:tc>
          <w:tcPr>
            <w:tcW w:w="1473" w:type="dxa"/>
            <w:vAlign w:val="center"/>
          </w:tcPr>
          <w:p w14:paraId="49A5111E">
            <w:pPr>
              <w:shd w:val="clear"/>
              <w:jc w:val="center"/>
              <w:rPr>
                <w:rFonts w:ascii="宋体" w:hAnsi="宋体" w:cs="宋体"/>
                <w:b/>
                <w:bCs/>
                <w:color w:val="auto"/>
                <w:sz w:val="24"/>
                <w:highlight w:val="none"/>
              </w:rPr>
            </w:pPr>
          </w:p>
        </w:tc>
        <w:tc>
          <w:tcPr>
            <w:tcW w:w="1435" w:type="dxa"/>
            <w:vAlign w:val="center"/>
          </w:tcPr>
          <w:p w14:paraId="6B2FB211">
            <w:pPr>
              <w:shd w:val="clear"/>
              <w:jc w:val="center"/>
              <w:rPr>
                <w:rFonts w:ascii="宋体" w:hAnsi="宋体" w:cs="宋体"/>
                <w:b/>
                <w:bCs/>
                <w:color w:val="auto"/>
                <w:sz w:val="24"/>
                <w:highlight w:val="none"/>
              </w:rPr>
            </w:pPr>
          </w:p>
        </w:tc>
      </w:tr>
      <w:tr w14:paraId="10B5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14:paraId="2530020D">
            <w:pPr>
              <w:shd w:val="clear"/>
              <w:jc w:val="center"/>
              <w:rPr>
                <w:rFonts w:ascii="宋体" w:hAnsi="宋体" w:cs="宋体"/>
                <w:b/>
                <w:bCs/>
                <w:color w:val="auto"/>
                <w:sz w:val="24"/>
                <w:highlight w:val="none"/>
              </w:rPr>
            </w:pPr>
          </w:p>
        </w:tc>
        <w:tc>
          <w:tcPr>
            <w:tcW w:w="2553" w:type="dxa"/>
            <w:vAlign w:val="center"/>
          </w:tcPr>
          <w:p w14:paraId="63CBF0BC">
            <w:pPr>
              <w:shd w:val="clear"/>
              <w:jc w:val="center"/>
              <w:rPr>
                <w:rFonts w:ascii="宋体" w:hAnsi="宋体" w:cs="宋体"/>
                <w:b/>
                <w:bCs/>
                <w:color w:val="auto"/>
                <w:sz w:val="24"/>
                <w:highlight w:val="none"/>
              </w:rPr>
            </w:pPr>
          </w:p>
        </w:tc>
        <w:tc>
          <w:tcPr>
            <w:tcW w:w="1980" w:type="dxa"/>
            <w:vAlign w:val="center"/>
          </w:tcPr>
          <w:p w14:paraId="58CC3E59">
            <w:pPr>
              <w:shd w:val="clear"/>
              <w:jc w:val="center"/>
              <w:rPr>
                <w:rFonts w:ascii="宋体" w:hAnsi="宋体" w:cs="宋体"/>
                <w:b/>
                <w:bCs/>
                <w:color w:val="auto"/>
                <w:sz w:val="24"/>
                <w:highlight w:val="none"/>
              </w:rPr>
            </w:pPr>
          </w:p>
        </w:tc>
        <w:tc>
          <w:tcPr>
            <w:tcW w:w="1473" w:type="dxa"/>
            <w:vAlign w:val="center"/>
          </w:tcPr>
          <w:p w14:paraId="371CC469">
            <w:pPr>
              <w:shd w:val="clear"/>
              <w:jc w:val="center"/>
              <w:rPr>
                <w:rFonts w:ascii="宋体" w:hAnsi="宋体" w:cs="宋体"/>
                <w:b/>
                <w:bCs/>
                <w:color w:val="auto"/>
                <w:sz w:val="24"/>
                <w:highlight w:val="none"/>
              </w:rPr>
            </w:pPr>
          </w:p>
        </w:tc>
        <w:tc>
          <w:tcPr>
            <w:tcW w:w="1435" w:type="dxa"/>
            <w:vAlign w:val="center"/>
          </w:tcPr>
          <w:p w14:paraId="642A1BC7">
            <w:pPr>
              <w:shd w:val="clear"/>
              <w:jc w:val="center"/>
              <w:rPr>
                <w:rFonts w:ascii="宋体" w:hAnsi="宋体" w:cs="宋体"/>
                <w:b/>
                <w:bCs/>
                <w:color w:val="auto"/>
                <w:sz w:val="24"/>
                <w:highlight w:val="none"/>
              </w:rPr>
            </w:pPr>
          </w:p>
        </w:tc>
      </w:tr>
      <w:tr w14:paraId="5690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14:paraId="6707835A">
            <w:pPr>
              <w:shd w:val="clear"/>
              <w:jc w:val="center"/>
              <w:rPr>
                <w:rFonts w:ascii="宋体" w:hAnsi="宋体" w:cs="宋体"/>
                <w:b/>
                <w:bCs/>
                <w:color w:val="auto"/>
                <w:sz w:val="24"/>
                <w:highlight w:val="none"/>
              </w:rPr>
            </w:pPr>
          </w:p>
        </w:tc>
        <w:tc>
          <w:tcPr>
            <w:tcW w:w="2553" w:type="dxa"/>
            <w:vAlign w:val="center"/>
          </w:tcPr>
          <w:p w14:paraId="4583BF0A">
            <w:pPr>
              <w:shd w:val="clear"/>
              <w:jc w:val="center"/>
              <w:rPr>
                <w:rFonts w:ascii="宋体" w:hAnsi="宋体" w:cs="宋体"/>
                <w:b/>
                <w:bCs/>
                <w:color w:val="auto"/>
                <w:sz w:val="24"/>
                <w:highlight w:val="none"/>
              </w:rPr>
            </w:pPr>
          </w:p>
        </w:tc>
        <w:tc>
          <w:tcPr>
            <w:tcW w:w="1980" w:type="dxa"/>
            <w:vAlign w:val="center"/>
          </w:tcPr>
          <w:p w14:paraId="00DB7397">
            <w:pPr>
              <w:shd w:val="clear"/>
              <w:jc w:val="center"/>
              <w:rPr>
                <w:rFonts w:ascii="宋体" w:hAnsi="宋体" w:cs="宋体"/>
                <w:b/>
                <w:bCs/>
                <w:color w:val="auto"/>
                <w:sz w:val="24"/>
                <w:highlight w:val="none"/>
              </w:rPr>
            </w:pPr>
          </w:p>
        </w:tc>
        <w:tc>
          <w:tcPr>
            <w:tcW w:w="1473" w:type="dxa"/>
            <w:vAlign w:val="center"/>
          </w:tcPr>
          <w:p w14:paraId="6EE88434">
            <w:pPr>
              <w:shd w:val="clear"/>
              <w:jc w:val="center"/>
              <w:rPr>
                <w:rFonts w:ascii="宋体" w:hAnsi="宋体" w:cs="宋体"/>
                <w:b/>
                <w:bCs/>
                <w:color w:val="auto"/>
                <w:sz w:val="24"/>
                <w:highlight w:val="none"/>
              </w:rPr>
            </w:pPr>
          </w:p>
        </w:tc>
        <w:tc>
          <w:tcPr>
            <w:tcW w:w="1435" w:type="dxa"/>
            <w:vAlign w:val="center"/>
          </w:tcPr>
          <w:p w14:paraId="4C4066BC">
            <w:pPr>
              <w:shd w:val="clear"/>
              <w:jc w:val="center"/>
              <w:rPr>
                <w:rFonts w:ascii="宋体" w:hAnsi="宋体" w:cs="宋体"/>
                <w:b/>
                <w:bCs/>
                <w:color w:val="auto"/>
                <w:sz w:val="24"/>
                <w:highlight w:val="none"/>
              </w:rPr>
            </w:pPr>
          </w:p>
        </w:tc>
      </w:tr>
      <w:tr w14:paraId="32E8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75" w:type="dxa"/>
            <w:vAlign w:val="center"/>
          </w:tcPr>
          <w:p w14:paraId="3027F3CC">
            <w:pPr>
              <w:shd w:val="clear"/>
              <w:jc w:val="center"/>
              <w:rPr>
                <w:rFonts w:ascii="宋体" w:hAnsi="宋体" w:cs="宋体"/>
                <w:b/>
                <w:bCs/>
                <w:color w:val="auto"/>
                <w:sz w:val="24"/>
                <w:highlight w:val="none"/>
              </w:rPr>
            </w:pPr>
          </w:p>
        </w:tc>
        <w:tc>
          <w:tcPr>
            <w:tcW w:w="2553" w:type="dxa"/>
            <w:vAlign w:val="center"/>
          </w:tcPr>
          <w:p w14:paraId="60A9A2CE">
            <w:pPr>
              <w:shd w:val="clear"/>
              <w:jc w:val="center"/>
              <w:rPr>
                <w:rFonts w:ascii="宋体" w:hAnsi="宋体" w:cs="宋体"/>
                <w:b/>
                <w:bCs/>
                <w:color w:val="auto"/>
                <w:sz w:val="24"/>
                <w:highlight w:val="none"/>
              </w:rPr>
            </w:pPr>
          </w:p>
        </w:tc>
        <w:tc>
          <w:tcPr>
            <w:tcW w:w="1980" w:type="dxa"/>
            <w:vAlign w:val="center"/>
          </w:tcPr>
          <w:p w14:paraId="7D96C996">
            <w:pPr>
              <w:shd w:val="clear"/>
              <w:jc w:val="center"/>
              <w:rPr>
                <w:rFonts w:ascii="宋体" w:hAnsi="宋体" w:cs="宋体"/>
                <w:b/>
                <w:bCs/>
                <w:color w:val="auto"/>
                <w:sz w:val="24"/>
                <w:highlight w:val="none"/>
              </w:rPr>
            </w:pPr>
          </w:p>
        </w:tc>
        <w:tc>
          <w:tcPr>
            <w:tcW w:w="1473" w:type="dxa"/>
            <w:vAlign w:val="center"/>
          </w:tcPr>
          <w:p w14:paraId="44004824">
            <w:pPr>
              <w:shd w:val="clear"/>
              <w:jc w:val="center"/>
              <w:rPr>
                <w:rFonts w:ascii="宋体" w:hAnsi="宋体" w:cs="宋体"/>
                <w:b/>
                <w:bCs/>
                <w:color w:val="auto"/>
                <w:sz w:val="24"/>
                <w:highlight w:val="none"/>
              </w:rPr>
            </w:pPr>
          </w:p>
        </w:tc>
        <w:tc>
          <w:tcPr>
            <w:tcW w:w="1435" w:type="dxa"/>
            <w:vAlign w:val="center"/>
          </w:tcPr>
          <w:p w14:paraId="4CE38B82">
            <w:pPr>
              <w:shd w:val="clear"/>
              <w:jc w:val="center"/>
              <w:rPr>
                <w:rFonts w:ascii="宋体" w:hAnsi="宋体" w:cs="宋体"/>
                <w:b/>
                <w:bCs/>
                <w:color w:val="auto"/>
                <w:sz w:val="24"/>
                <w:highlight w:val="none"/>
              </w:rPr>
            </w:pPr>
          </w:p>
        </w:tc>
      </w:tr>
      <w:tr w14:paraId="615C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75" w:type="dxa"/>
            <w:vAlign w:val="center"/>
          </w:tcPr>
          <w:p w14:paraId="56A65FDC">
            <w:pPr>
              <w:shd w:val="clear"/>
              <w:jc w:val="center"/>
              <w:rPr>
                <w:rFonts w:ascii="宋体" w:hAnsi="宋体" w:cs="宋体"/>
                <w:b/>
                <w:bCs/>
                <w:color w:val="auto"/>
                <w:sz w:val="24"/>
                <w:highlight w:val="none"/>
              </w:rPr>
            </w:pPr>
          </w:p>
        </w:tc>
        <w:tc>
          <w:tcPr>
            <w:tcW w:w="2553" w:type="dxa"/>
            <w:vAlign w:val="center"/>
          </w:tcPr>
          <w:p w14:paraId="690C1A61">
            <w:pPr>
              <w:shd w:val="clear"/>
              <w:jc w:val="center"/>
              <w:rPr>
                <w:rFonts w:ascii="宋体" w:hAnsi="宋体" w:cs="宋体"/>
                <w:b/>
                <w:bCs/>
                <w:color w:val="auto"/>
                <w:sz w:val="24"/>
                <w:highlight w:val="none"/>
              </w:rPr>
            </w:pPr>
          </w:p>
        </w:tc>
        <w:tc>
          <w:tcPr>
            <w:tcW w:w="1980" w:type="dxa"/>
            <w:vAlign w:val="center"/>
          </w:tcPr>
          <w:p w14:paraId="4C91BD6C">
            <w:pPr>
              <w:shd w:val="clear"/>
              <w:jc w:val="center"/>
              <w:rPr>
                <w:rFonts w:ascii="宋体" w:hAnsi="宋体" w:cs="宋体"/>
                <w:b/>
                <w:bCs/>
                <w:color w:val="auto"/>
                <w:sz w:val="24"/>
                <w:highlight w:val="none"/>
              </w:rPr>
            </w:pPr>
          </w:p>
        </w:tc>
        <w:tc>
          <w:tcPr>
            <w:tcW w:w="1473" w:type="dxa"/>
            <w:vAlign w:val="center"/>
          </w:tcPr>
          <w:p w14:paraId="5EAD5162">
            <w:pPr>
              <w:shd w:val="clear"/>
              <w:jc w:val="center"/>
              <w:rPr>
                <w:rFonts w:ascii="宋体" w:hAnsi="宋体" w:cs="宋体"/>
                <w:b/>
                <w:bCs/>
                <w:color w:val="auto"/>
                <w:sz w:val="24"/>
                <w:highlight w:val="none"/>
              </w:rPr>
            </w:pPr>
          </w:p>
        </w:tc>
        <w:tc>
          <w:tcPr>
            <w:tcW w:w="1435" w:type="dxa"/>
            <w:vAlign w:val="center"/>
          </w:tcPr>
          <w:p w14:paraId="240CB415">
            <w:pPr>
              <w:shd w:val="clear"/>
              <w:jc w:val="center"/>
              <w:rPr>
                <w:rFonts w:ascii="宋体" w:hAnsi="宋体" w:cs="宋体"/>
                <w:b/>
                <w:bCs/>
                <w:color w:val="auto"/>
                <w:sz w:val="24"/>
                <w:highlight w:val="none"/>
              </w:rPr>
            </w:pPr>
          </w:p>
        </w:tc>
      </w:tr>
      <w:tr w14:paraId="7E9C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75" w:type="dxa"/>
            <w:vAlign w:val="center"/>
          </w:tcPr>
          <w:p w14:paraId="087C0932">
            <w:pPr>
              <w:shd w:val="clear"/>
              <w:jc w:val="center"/>
              <w:rPr>
                <w:rFonts w:ascii="宋体" w:hAnsi="宋体" w:cs="宋体"/>
                <w:b/>
                <w:bCs/>
                <w:color w:val="auto"/>
                <w:sz w:val="24"/>
                <w:highlight w:val="none"/>
              </w:rPr>
            </w:pPr>
          </w:p>
        </w:tc>
        <w:tc>
          <w:tcPr>
            <w:tcW w:w="2553" w:type="dxa"/>
            <w:vAlign w:val="center"/>
          </w:tcPr>
          <w:p w14:paraId="13001722">
            <w:pPr>
              <w:shd w:val="clear"/>
              <w:jc w:val="center"/>
              <w:rPr>
                <w:rFonts w:ascii="宋体" w:hAnsi="宋体" w:cs="宋体"/>
                <w:b/>
                <w:bCs/>
                <w:color w:val="auto"/>
                <w:sz w:val="24"/>
                <w:highlight w:val="none"/>
              </w:rPr>
            </w:pPr>
          </w:p>
        </w:tc>
        <w:tc>
          <w:tcPr>
            <w:tcW w:w="1980" w:type="dxa"/>
            <w:vAlign w:val="center"/>
          </w:tcPr>
          <w:p w14:paraId="1766F769">
            <w:pPr>
              <w:shd w:val="clear"/>
              <w:jc w:val="center"/>
              <w:rPr>
                <w:rFonts w:ascii="宋体" w:hAnsi="宋体" w:cs="宋体"/>
                <w:b/>
                <w:bCs/>
                <w:color w:val="auto"/>
                <w:sz w:val="24"/>
                <w:highlight w:val="none"/>
              </w:rPr>
            </w:pPr>
          </w:p>
        </w:tc>
        <w:tc>
          <w:tcPr>
            <w:tcW w:w="1473" w:type="dxa"/>
            <w:vAlign w:val="center"/>
          </w:tcPr>
          <w:p w14:paraId="75E1A809">
            <w:pPr>
              <w:shd w:val="clear"/>
              <w:jc w:val="center"/>
              <w:rPr>
                <w:rFonts w:ascii="宋体" w:hAnsi="宋体" w:cs="宋体"/>
                <w:b/>
                <w:bCs/>
                <w:color w:val="auto"/>
                <w:sz w:val="24"/>
                <w:highlight w:val="none"/>
              </w:rPr>
            </w:pPr>
          </w:p>
        </w:tc>
        <w:tc>
          <w:tcPr>
            <w:tcW w:w="1435" w:type="dxa"/>
            <w:vAlign w:val="center"/>
          </w:tcPr>
          <w:p w14:paraId="5684AE0B">
            <w:pPr>
              <w:shd w:val="clear"/>
              <w:jc w:val="center"/>
              <w:rPr>
                <w:rFonts w:ascii="宋体" w:hAnsi="宋体" w:cs="宋体"/>
                <w:b/>
                <w:bCs/>
                <w:color w:val="auto"/>
                <w:sz w:val="24"/>
                <w:highlight w:val="none"/>
              </w:rPr>
            </w:pPr>
          </w:p>
        </w:tc>
      </w:tr>
      <w:tr w14:paraId="522A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5" w:type="dxa"/>
            <w:vAlign w:val="center"/>
          </w:tcPr>
          <w:p w14:paraId="6C39AA0C">
            <w:pPr>
              <w:shd w:val="clear"/>
              <w:jc w:val="center"/>
              <w:rPr>
                <w:rFonts w:ascii="宋体" w:hAnsi="宋体" w:cs="宋体"/>
                <w:b/>
                <w:bCs/>
                <w:color w:val="auto"/>
                <w:sz w:val="24"/>
                <w:highlight w:val="none"/>
              </w:rPr>
            </w:pPr>
          </w:p>
        </w:tc>
        <w:tc>
          <w:tcPr>
            <w:tcW w:w="2553" w:type="dxa"/>
            <w:vAlign w:val="center"/>
          </w:tcPr>
          <w:p w14:paraId="0EA99AF0">
            <w:pPr>
              <w:shd w:val="clear"/>
              <w:jc w:val="center"/>
              <w:rPr>
                <w:rFonts w:ascii="宋体" w:hAnsi="宋体" w:cs="宋体"/>
                <w:b/>
                <w:bCs/>
                <w:color w:val="auto"/>
                <w:sz w:val="24"/>
                <w:highlight w:val="none"/>
              </w:rPr>
            </w:pPr>
          </w:p>
        </w:tc>
        <w:tc>
          <w:tcPr>
            <w:tcW w:w="1980" w:type="dxa"/>
            <w:vAlign w:val="center"/>
          </w:tcPr>
          <w:p w14:paraId="6BC9076D">
            <w:pPr>
              <w:shd w:val="clear"/>
              <w:jc w:val="center"/>
              <w:rPr>
                <w:rFonts w:ascii="宋体" w:hAnsi="宋体" w:cs="宋体"/>
                <w:b/>
                <w:bCs/>
                <w:color w:val="auto"/>
                <w:sz w:val="24"/>
                <w:highlight w:val="none"/>
              </w:rPr>
            </w:pPr>
          </w:p>
        </w:tc>
        <w:tc>
          <w:tcPr>
            <w:tcW w:w="1473" w:type="dxa"/>
            <w:vAlign w:val="center"/>
          </w:tcPr>
          <w:p w14:paraId="696E749D">
            <w:pPr>
              <w:shd w:val="clear"/>
              <w:jc w:val="center"/>
              <w:rPr>
                <w:rFonts w:ascii="宋体" w:hAnsi="宋体" w:cs="宋体"/>
                <w:b/>
                <w:bCs/>
                <w:color w:val="auto"/>
                <w:sz w:val="24"/>
                <w:highlight w:val="none"/>
              </w:rPr>
            </w:pPr>
          </w:p>
        </w:tc>
        <w:tc>
          <w:tcPr>
            <w:tcW w:w="1435" w:type="dxa"/>
            <w:vAlign w:val="center"/>
          </w:tcPr>
          <w:p w14:paraId="666049A3">
            <w:pPr>
              <w:shd w:val="clear"/>
              <w:jc w:val="center"/>
              <w:rPr>
                <w:rFonts w:ascii="宋体" w:hAnsi="宋体" w:cs="宋体"/>
                <w:b/>
                <w:bCs/>
                <w:color w:val="auto"/>
                <w:sz w:val="24"/>
                <w:highlight w:val="none"/>
              </w:rPr>
            </w:pPr>
          </w:p>
        </w:tc>
      </w:tr>
    </w:tbl>
    <w:p w14:paraId="6C4EF702">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38B22B1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1.本表参照本招标文件“第四章 公开招标需求”内容填制，对照招标文件要求在“偏离情况”栏注明“正偏离”、“负偏离”或“无偏离”。</w:t>
      </w:r>
    </w:p>
    <w:p w14:paraId="6A8F963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64312AD8">
      <w:pPr>
        <w:shd w:val="clear"/>
        <w:spacing w:line="360" w:lineRule="auto"/>
        <w:rPr>
          <w:rFonts w:ascii="宋体" w:hAnsi="宋体" w:cs="宋体"/>
          <w:color w:val="auto"/>
          <w:sz w:val="24"/>
          <w:highlight w:val="none"/>
        </w:rPr>
      </w:pPr>
    </w:p>
    <w:p w14:paraId="7BF3333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239CD8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297F78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DF06285">
      <w:pPr>
        <w:shd w:val="clear"/>
        <w:spacing w:line="360" w:lineRule="auto"/>
        <w:rPr>
          <w:rFonts w:ascii="宋体" w:hAnsi="宋体" w:cs="宋体"/>
          <w:color w:val="auto"/>
          <w:sz w:val="24"/>
          <w:highlight w:val="none"/>
        </w:rPr>
      </w:pPr>
    </w:p>
    <w:p w14:paraId="02A0C726">
      <w:pPr>
        <w:shd w:val="clear"/>
        <w:spacing w:line="360" w:lineRule="auto"/>
        <w:rPr>
          <w:rFonts w:ascii="宋体" w:hAnsi="宋体" w:cs="宋体"/>
          <w:color w:val="auto"/>
          <w:sz w:val="24"/>
          <w:highlight w:val="none"/>
        </w:rPr>
      </w:pPr>
    </w:p>
    <w:p w14:paraId="67EB89F4">
      <w:pPr>
        <w:shd w:val="clear"/>
        <w:spacing w:line="360" w:lineRule="auto"/>
        <w:rPr>
          <w:rFonts w:ascii="宋体" w:hAnsi="宋体" w:cs="宋体"/>
          <w:color w:val="auto"/>
          <w:sz w:val="24"/>
          <w:highlight w:val="none"/>
        </w:rPr>
      </w:pPr>
    </w:p>
    <w:p w14:paraId="1A2B99FA">
      <w:pPr>
        <w:shd w:val="clear"/>
        <w:spacing w:line="360" w:lineRule="auto"/>
        <w:rPr>
          <w:rFonts w:ascii="宋体" w:hAnsi="宋体" w:cs="宋体"/>
          <w:color w:val="auto"/>
          <w:sz w:val="24"/>
          <w:highlight w:val="none"/>
        </w:rPr>
      </w:pPr>
    </w:p>
    <w:p w14:paraId="44109E97">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bookmarkStart w:id="154" w:name="_Toc14652"/>
      <w:bookmarkStart w:id="155" w:name="_Toc1045533382"/>
      <w:bookmarkStart w:id="156" w:name="_Toc7243"/>
    </w:p>
    <w:p w14:paraId="36207F14">
      <w:pPr>
        <w:shd w:val="clear"/>
        <w:spacing w:line="360" w:lineRule="auto"/>
        <w:jc w:val="left"/>
        <w:outlineLvl w:val="0"/>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13</w:t>
      </w:r>
    </w:p>
    <w:p w14:paraId="54C4800E">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评分项对应一览表</w:t>
      </w:r>
    </w:p>
    <w:p w14:paraId="13B1CC96">
      <w:pPr>
        <w:shd w:val="clear"/>
        <w:spacing w:line="360" w:lineRule="auto"/>
        <w:jc w:val="left"/>
        <w:rPr>
          <w:rFonts w:ascii="宋体" w:hAnsi="宋体" w:cs="宋体"/>
          <w:b/>
          <w:bCs/>
          <w:color w:val="auto"/>
          <w:sz w:val="24"/>
          <w:szCs w:val="32"/>
          <w:highlight w:val="none"/>
          <w:lang w:val="zh-CN"/>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293BFC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44A162A3">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258" w:type="dxa"/>
            <w:tcBorders>
              <w:top w:val="double" w:color="auto" w:sz="4" w:space="0"/>
            </w:tcBorders>
          </w:tcPr>
          <w:p w14:paraId="70B9C624">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细节内容</w:t>
            </w:r>
          </w:p>
        </w:tc>
        <w:tc>
          <w:tcPr>
            <w:tcW w:w="2260" w:type="dxa"/>
            <w:tcBorders>
              <w:top w:val="double" w:color="auto" w:sz="4" w:space="0"/>
            </w:tcBorders>
          </w:tcPr>
          <w:p w14:paraId="144E7E79">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是否响应</w:t>
            </w:r>
          </w:p>
        </w:tc>
        <w:tc>
          <w:tcPr>
            <w:tcW w:w="2047" w:type="dxa"/>
            <w:tcBorders>
              <w:top w:val="double" w:color="auto" w:sz="4" w:space="0"/>
              <w:right w:val="single" w:color="auto" w:sz="4" w:space="0"/>
            </w:tcBorders>
          </w:tcPr>
          <w:p w14:paraId="7B34B57F">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w:t>
            </w:r>
          </w:p>
          <w:p w14:paraId="3FE76B75">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对应页码</w:t>
            </w:r>
          </w:p>
        </w:tc>
      </w:tr>
      <w:tr w14:paraId="734932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AD4504F">
            <w:pPr>
              <w:pStyle w:val="38"/>
              <w:shd w:val="clear"/>
              <w:spacing w:line="360" w:lineRule="auto"/>
              <w:jc w:val="center"/>
              <w:rPr>
                <w:rFonts w:ascii="宋体" w:hAnsi="宋体" w:cs="宋体"/>
                <w:color w:val="auto"/>
                <w:szCs w:val="21"/>
                <w:highlight w:val="none"/>
              </w:rPr>
            </w:pPr>
          </w:p>
        </w:tc>
        <w:tc>
          <w:tcPr>
            <w:tcW w:w="2258" w:type="dxa"/>
          </w:tcPr>
          <w:p w14:paraId="3C5C9242">
            <w:pPr>
              <w:pStyle w:val="38"/>
              <w:shd w:val="clear"/>
              <w:spacing w:line="360" w:lineRule="auto"/>
              <w:jc w:val="center"/>
              <w:rPr>
                <w:rFonts w:ascii="宋体" w:hAnsi="宋体" w:cs="宋体"/>
                <w:color w:val="auto"/>
                <w:szCs w:val="21"/>
                <w:highlight w:val="none"/>
              </w:rPr>
            </w:pPr>
          </w:p>
        </w:tc>
        <w:tc>
          <w:tcPr>
            <w:tcW w:w="2260" w:type="dxa"/>
          </w:tcPr>
          <w:p w14:paraId="6B0D33EF">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1621238F">
            <w:pPr>
              <w:pStyle w:val="38"/>
              <w:shd w:val="clear"/>
              <w:spacing w:line="360" w:lineRule="auto"/>
              <w:jc w:val="center"/>
              <w:rPr>
                <w:rFonts w:ascii="宋体" w:hAnsi="宋体" w:cs="宋体"/>
                <w:color w:val="auto"/>
                <w:szCs w:val="21"/>
                <w:highlight w:val="none"/>
              </w:rPr>
            </w:pPr>
          </w:p>
        </w:tc>
      </w:tr>
      <w:tr w14:paraId="6A56BF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70F2EBA">
            <w:pPr>
              <w:pStyle w:val="38"/>
              <w:shd w:val="clear"/>
              <w:spacing w:line="360" w:lineRule="auto"/>
              <w:jc w:val="center"/>
              <w:rPr>
                <w:rFonts w:ascii="宋体" w:hAnsi="宋体" w:cs="宋体"/>
                <w:color w:val="auto"/>
                <w:szCs w:val="21"/>
                <w:highlight w:val="none"/>
              </w:rPr>
            </w:pPr>
          </w:p>
        </w:tc>
        <w:tc>
          <w:tcPr>
            <w:tcW w:w="2258" w:type="dxa"/>
          </w:tcPr>
          <w:p w14:paraId="07FEDD8B">
            <w:pPr>
              <w:pStyle w:val="38"/>
              <w:shd w:val="clear"/>
              <w:spacing w:line="360" w:lineRule="auto"/>
              <w:jc w:val="center"/>
              <w:rPr>
                <w:rFonts w:ascii="宋体" w:hAnsi="宋体" w:cs="宋体"/>
                <w:color w:val="auto"/>
                <w:szCs w:val="21"/>
                <w:highlight w:val="none"/>
              </w:rPr>
            </w:pPr>
          </w:p>
        </w:tc>
        <w:tc>
          <w:tcPr>
            <w:tcW w:w="2260" w:type="dxa"/>
          </w:tcPr>
          <w:p w14:paraId="37EBD87F">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FC627C7">
            <w:pPr>
              <w:pStyle w:val="38"/>
              <w:shd w:val="clear"/>
              <w:spacing w:line="360" w:lineRule="auto"/>
              <w:jc w:val="center"/>
              <w:rPr>
                <w:rFonts w:ascii="宋体" w:hAnsi="宋体" w:cs="宋体"/>
                <w:color w:val="auto"/>
                <w:szCs w:val="21"/>
                <w:highlight w:val="none"/>
              </w:rPr>
            </w:pPr>
          </w:p>
        </w:tc>
      </w:tr>
      <w:tr w14:paraId="35C59B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A6057C9">
            <w:pPr>
              <w:pStyle w:val="38"/>
              <w:shd w:val="clear"/>
              <w:spacing w:line="360" w:lineRule="auto"/>
              <w:jc w:val="center"/>
              <w:rPr>
                <w:rFonts w:ascii="宋体" w:hAnsi="宋体" w:cs="宋体"/>
                <w:color w:val="auto"/>
                <w:szCs w:val="21"/>
                <w:highlight w:val="none"/>
              </w:rPr>
            </w:pPr>
          </w:p>
        </w:tc>
        <w:tc>
          <w:tcPr>
            <w:tcW w:w="2258" w:type="dxa"/>
          </w:tcPr>
          <w:p w14:paraId="3D95951F">
            <w:pPr>
              <w:pStyle w:val="38"/>
              <w:shd w:val="clear"/>
              <w:spacing w:line="360" w:lineRule="auto"/>
              <w:jc w:val="center"/>
              <w:rPr>
                <w:rFonts w:ascii="宋体" w:hAnsi="宋体" w:cs="宋体"/>
                <w:color w:val="auto"/>
                <w:szCs w:val="21"/>
                <w:highlight w:val="none"/>
              </w:rPr>
            </w:pPr>
          </w:p>
        </w:tc>
        <w:tc>
          <w:tcPr>
            <w:tcW w:w="2260" w:type="dxa"/>
          </w:tcPr>
          <w:p w14:paraId="6D7FBD4E">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E760D19">
            <w:pPr>
              <w:pStyle w:val="38"/>
              <w:shd w:val="clear"/>
              <w:spacing w:line="360" w:lineRule="auto"/>
              <w:jc w:val="center"/>
              <w:rPr>
                <w:rFonts w:ascii="宋体" w:hAnsi="宋体" w:cs="宋体"/>
                <w:color w:val="auto"/>
                <w:szCs w:val="21"/>
                <w:highlight w:val="none"/>
              </w:rPr>
            </w:pPr>
          </w:p>
        </w:tc>
      </w:tr>
      <w:tr w14:paraId="115CB8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77D0B57">
            <w:pPr>
              <w:pStyle w:val="38"/>
              <w:shd w:val="clear"/>
              <w:spacing w:line="360" w:lineRule="auto"/>
              <w:jc w:val="center"/>
              <w:rPr>
                <w:rFonts w:ascii="宋体" w:hAnsi="宋体" w:cs="宋体"/>
                <w:color w:val="auto"/>
                <w:szCs w:val="21"/>
                <w:highlight w:val="none"/>
              </w:rPr>
            </w:pPr>
          </w:p>
        </w:tc>
        <w:tc>
          <w:tcPr>
            <w:tcW w:w="2258" w:type="dxa"/>
          </w:tcPr>
          <w:p w14:paraId="68C69213">
            <w:pPr>
              <w:pStyle w:val="38"/>
              <w:shd w:val="clear"/>
              <w:spacing w:line="360" w:lineRule="auto"/>
              <w:jc w:val="center"/>
              <w:rPr>
                <w:rFonts w:ascii="宋体" w:hAnsi="宋体" w:cs="宋体"/>
                <w:color w:val="auto"/>
                <w:szCs w:val="21"/>
                <w:highlight w:val="none"/>
              </w:rPr>
            </w:pPr>
          </w:p>
        </w:tc>
        <w:tc>
          <w:tcPr>
            <w:tcW w:w="2260" w:type="dxa"/>
          </w:tcPr>
          <w:p w14:paraId="59E87BFB">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60183C1A">
            <w:pPr>
              <w:pStyle w:val="38"/>
              <w:shd w:val="clear"/>
              <w:spacing w:line="360" w:lineRule="auto"/>
              <w:jc w:val="center"/>
              <w:rPr>
                <w:rFonts w:ascii="宋体" w:hAnsi="宋体" w:cs="宋体"/>
                <w:color w:val="auto"/>
                <w:szCs w:val="21"/>
                <w:highlight w:val="none"/>
              </w:rPr>
            </w:pPr>
          </w:p>
        </w:tc>
      </w:tr>
      <w:tr w14:paraId="3B913F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A88E1BF">
            <w:pPr>
              <w:pStyle w:val="38"/>
              <w:shd w:val="clear"/>
              <w:spacing w:line="360" w:lineRule="auto"/>
              <w:jc w:val="center"/>
              <w:rPr>
                <w:rFonts w:ascii="宋体" w:hAnsi="宋体" w:cs="宋体"/>
                <w:color w:val="auto"/>
                <w:szCs w:val="21"/>
                <w:highlight w:val="none"/>
              </w:rPr>
            </w:pPr>
          </w:p>
        </w:tc>
        <w:tc>
          <w:tcPr>
            <w:tcW w:w="2258" w:type="dxa"/>
          </w:tcPr>
          <w:p w14:paraId="7E945EEE">
            <w:pPr>
              <w:pStyle w:val="38"/>
              <w:shd w:val="clear"/>
              <w:spacing w:line="360" w:lineRule="auto"/>
              <w:jc w:val="center"/>
              <w:rPr>
                <w:rFonts w:ascii="宋体" w:hAnsi="宋体" w:cs="宋体"/>
                <w:color w:val="auto"/>
                <w:szCs w:val="21"/>
                <w:highlight w:val="none"/>
              </w:rPr>
            </w:pPr>
          </w:p>
        </w:tc>
        <w:tc>
          <w:tcPr>
            <w:tcW w:w="2260" w:type="dxa"/>
          </w:tcPr>
          <w:p w14:paraId="59BB4F10">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248B4A6F">
            <w:pPr>
              <w:pStyle w:val="38"/>
              <w:shd w:val="clear"/>
              <w:spacing w:line="360" w:lineRule="auto"/>
              <w:jc w:val="center"/>
              <w:rPr>
                <w:rFonts w:ascii="宋体" w:hAnsi="宋体" w:cs="宋体"/>
                <w:color w:val="auto"/>
                <w:szCs w:val="21"/>
                <w:highlight w:val="none"/>
              </w:rPr>
            </w:pPr>
          </w:p>
        </w:tc>
      </w:tr>
      <w:tr w14:paraId="6BD489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D281BA1">
            <w:pPr>
              <w:pStyle w:val="38"/>
              <w:shd w:val="clear"/>
              <w:spacing w:line="360" w:lineRule="auto"/>
              <w:jc w:val="center"/>
              <w:rPr>
                <w:rFonts w:ascii="宋体" w:hAnsi="宋体" w:cs="宋体"/>
                <w:color w:val="auto"/>
                <w:szCs w:val="21"/>
                <w:highlight w:val="none"/>
              </w:rPr>
            </w:pPr>
          </w:p>
        </w:tc>
        <w:tc>
          <w:tcPr>
            <w:tcW w:w="2258" w:type="dxa"/>
          </w:tcPr>
          <w:p w14:paraId="1B40A6B3">
            <w:pPr>
              <w:pStyle w:val="38"/>
              <w:shd w:val="clear"/>
              <w:spacing w:line="360" w:lineRule="auto"/>
              <w:jc w:val="center"/>
              <w:rPr>
                <w:rFonts w:ascii="宋体" w:hAnsi="宋体" w:cs="宋体"/>
                <w:color w:val="auto"/>
                <w:szCs w:val="21"/>
                <w:highlight w:val="none"/>
              </w:rPr>
            </w:pPr>
          </w:p>
        </w:tc>
        <w:tc>
          <w:tcPr>
            <w:tcW w:w="2260" w:type="dxa"/>
          </w:tcPr>
          <w:p w14:paraId="774EE0D5">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0C14665A">
            <w:pPr>
              <w:pStyle w:val="38"/>
              <w:shd w:val="clear"/>
              <w:spacing w:line="360" w:lineRule="auto"/>
              <w:jc w:val="center"/>
              <w:rPr>
                <w:rFonts w:ascii="宋体" w:hAnsi="宋体" w:cs="宋体"/>
                <w:color w:val="auto"/>
                <w:szCs w:val="21"/>
                <w:highlight w:val="none"/>
              </w:rPr>
            </w:pPr>
          </w:p>
        </w:tc>
      </w:tr>
      <w:tr w14:paraId="7BA8A2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0CA15687">
            <w:pPr>
              <w:pStyle w:val="38"/>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14:paraId="03CBFE80">
            <w:pPr>
              <w:pStyle w:val="38"/>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14:paraId="5BE6F214">
            <w:pPr>
              <w:pStyle w:val="38"/>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6FA4721F">
            <w:pPr>
              <w:pStyle w:val="38"/>
              <w:shd w:val="clear"/>
              <w:spacing w:line="360" w:lineRule="auto"/>
              <w:jc w:val="center"/>
              <w:rPr>
                <w:rFonts w:ascii="宋体" w:hAnsi="宋体" w:cs="宋体"/>
                <w:color w:val="auto"/>
                <w:szCs w:val="21"/>
                <w:highlight w:val="none"/>
              </w:rPr>
            </w:pPr>
          </w:p>
        </w:tc>
      </w:tr>
    </w:tbl>
    <w:p w14:paraId="30D4442D">
      <w:pPr>
        <w:shd w:val="clear"/>
        <w:spacing w:line="360" w:lineRule="auto"/>
        <w:jc w:val="left"/>
        <w:rPr>
          <w:rFonts w:ascii="宋体" w:hAnsi="宋体" w:cs="宋体"/>
          <w:b/>
          <w:bCs/>
          <w:color w:val="auto"/>
          <w:sz w:val="24"/>
          <w:szCs w:val="32"/>
          <w:highlight w:val="none"/>
          <w:lang w:val="zh-CN"/>
        </w:rPr>
      </w:pPr>
    </w:p>
    <w:p w14:paraId="093A245C">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010E1B6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1.本表参照本招标文件“第三章 评标办法及评分标准”内容填制；</w:t>
      </w:r>
    </w:p>
    <w:p w14:paraId="270D2D5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2.附所列报告扫描件或其他证明材料。</w:t>
      </w:r>
    </w:p>
    <w:p w14:paraId="0DE53E7D">
      <w:pPr>
        <w:shd w:val="clear"/>
        <w:spacing w:line="360" w:lineRule="auto"/>
        <w:jc w:val="left"/>
        <w:rPr>
          <w:rFonts w:ascii="宋体" w:hAnsi="宋体" w:cs="宋体"/>
          <w:b/>
          <w:bCs/>
          <w:color w:val="auto"/>
          <w:sz w:val="24"/>
          <w:szCs w:val="32"/>
          <w:highlight w:val="none"/>
          <w:lang w:val="zh-CN"/>
        </w:rPr>
      </w:pPr>
    </w:p>
    <w:p w14:paraId="6FB733EF">
      <w:pPr>
        <w:shd w:val="clear"/>
        <w:spacing w:line="360" w:lineRule="auto"/>
        <w:jc w:val="left"/>
        <w:rPr>
          <w:rFonts w:ascii="宋体" w:hAnsi="宋体" w:cs="宋体"/>
          <w:b/>
          <w:bCs/>
          <w:color w:val="auto"/>
          <w:sz w:val="24"/>
          <w:szCs w:val="32"/>
          <w:highlight w:val="none"/>
          <w:lang w:val="zh-CN"/>
        </w:rPr>
      </w:pPr>
    </w:p>
    <w:p w14:paraId="09404075">
      <w:pPr>
        <w:shd w:val="clear"/>
        <w:spacing w:line="360" w:lineRule="auto"/>
        <w:jc w:val="left"/>
        <w:rPr>
          <w:rFonts w:ascii="宋体" w:hAnsi="宋体" w:cs="宋体"/>
          <w:b/>
          <w:bCs/>
          <w:color w:val="auto"/>
          <w:sz w:val="24"/>
          <w:szCs w:val="32"/>
          <w:highlight w:val="none"/>
          <w:lang w:val="zh-CN"/>
        </w:rPr>
      </w:pPr>
    </w:p>
    <w:p w14:paraId="583FEB4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2000773B">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554DC78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25A627F">
      <w:pPr>
        <w:shd w:val="clear"/>
        <w:spacing w:line="360" w:lineRule="auto"/>
        <w:rPr>
          <w:rFonts w:ascii="宋体" w:hAnsi="宋体" w:cs="宋体"/>
          <w:b/>
          <w:bCs/>
          <w:color w:val="auto"/>
          <w:sz w:val="24"/>
          <w:highlight w:val="none"/>
        </w:rPr>
      </w:pPr>
    </w:p>
    <w:p w14:paraId="711BA1CF">
      <w:pPr>
        <w:shd w:val="clear"/>
        <w:spacing w:line="360" w:lineRule="auto"/>
        <w:rPr>
          <w:rFonts w:ascii="宋体" w:hAnsi="宋体" w:cs="宋体"/>
          <w:b/>
          <w:bCs/>
          <w:color w:val="auto"/>
          <w:sz w:val="24"/>
          <w:highlight w:val="none"/>
        </w:rPr>
      </w:pPr>
    </w:p>
    <w:p w14:paraId="11D1BB6E">
      <w:pPr>
        <w:shd w:val="clear"/>
        <w:spacing w:line="360" w:lineRule="auto"/>
        <w:jc w:val="left"/>
        <w:outlineLvl w:val="0"/>
        <w:rPr>
          <w:rFonts w:ascii="宋体" w:hAnsi="宋体" w:cs="宋体"/>
          <w:b/>
          <w:bCs/>
          <w:color w:val="auto"/>
          <w:sz w:val="28"/>
          <w:szCs w:val="36"/>
          <w:highlight w:val="none"/>
          <w:lang w:val="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docGrid w:type="lines" w:linePitch="317" w:charSpace="0"/>
        </w:sectPr>
      </w:pPr>
    </w:p>
    <w:p w14:paraId="0D58AE05">
      <w:pPr>
        <w:shd w:val="clear"/>
        <w:spacing w:line="360" w:lineRule="auto"/>
        <w:jc w:val="left"/>
        <w:outlineLvl w:val="0"/>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bookmarkEnd w:id="154"/>
      <w:bookmarkEnd w:id="155"/>
      <w:bookmarkEnd w:id="156"/>
      <w:r>
        <w:rPr>
          <w:rFonts w:hint="eastAsia" w:ascii="宋体" w:hAnsi="宋体" w:cs="宋体"/>
          <w:b/>
          <w:bCs/>
          <w:color w:val="auto"/>
          <w:sz w:val="28"/>
          <w:szCs w:val="36"/>
          <w:highlight w:val="none"/>
          <w:lang w:val="en-US" w:eastAsia="zh-CN"/>
        </w:rPr>
        <w:t>14</w:t>
      </w:r>
    </w:p>
    <w:p w14:paraId="59E2E718">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14:paraId="480159F3">
      <w:pPr>
        <w:shd w:val="clear"/>
        <w:spacing w:line="360" w:lineRule="auto"/>
        <w:jc w:val="left"/>
        <w:rPr>
          <w:rFonts w:ascii="宋体" w:hAnsi="宋体" w:cs="宋体"/>
          <w:b/>
          <w:bCs/>
          <w:color w:val="auto"/>
          <w:sz w:val="24"/>
          <w:szCs w:val="32"/>
          <w:highlight w:val="none"/>
          <w:lang w:val="zh-CN"/>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B2911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02575FA0">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0094CCE2">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0F49D8FB">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63AAB8B5">
            <w:pPr>
              <w:pStyle w:val="38"/>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14:paraId="5BA52C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726717D">
            <w:pPr>
              <w:pStyle w:val="38"/>
              <w:shd w:val="clear"/>
              <w:spacing w:line="360" w:lineRule="auto"/>
              <w:jc w:val="center"/>
              <w:rPr>
                <w:rFonts w:ascii="宋体" w:hAnsi="宋体" w:cs="宋体"/>
                <w:color w:val="auto"/>
                <w:szCs w:val="21"/>
                <w:highlight w:val="none"/>
              </w:rPr>
            </w:pPr>
          </w:p>
        </w:tc>
        <w:tc>
          <w:tcPr>
            <w:tcW w:w="2258" w:type="dxa"/>
          </w:tcPr>
          <w:p w14:paraId="5C8399E1">
            <w:pPr>
              <w:pStyle w:val="38"/>
              <w:shd w:val="clear"/>
              <w:spacing w:line="360" w:lineRule="auto"/>
              <w:jc w:val="center"/>
              <w:rPr>
                <w:rFonts w:ascii="宋体" w:hAnsi="宋体" w:cs="宋体"/>
                <w:color w:val="auto"/>
                <w:szCs w:val="21"/>
                <w:highlight w:val="none"/>
              </w:rPr>
            </w:pPr>
          </w:p>
        </w:tc>
        <w:tc>
          <w:tcPr>
            <w:tcW w:w="2260" w:type="dxa"/>
          </w:tcPr>
          <w:p w14:paraId="38DF8E1B">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4B1D404">
            <w:pPr>
              <w:pStyle w:val="38"/>
              <w:shd w:val="clear"/>
              <w:spacing w:line="360" w:lineRule="auto"/>
              <w:jc w:val="center"/>
              <w:rPr>
                <w:rFonts w:ascii="宋体" w:hAnsi="宋体" w:cs="宋体"/>
                <w:color w:val="auto"/>
                <w:szCs w:val="21"/>
                <w:highlight w:val="none"/>
              </w:rPr>
            </w:pPr>
          </w:p>
        </w:tc>
      </w:tr>
      <w:tr w14:paraId="5D70E5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FFB9623">
            <w:pPr>
              <w:pStyle w:val="38"/>
              <w:shd w:val="clear"/>
              <w:spacing w:line="360" w:lineRule="auto"/>
              <w:jc w:val="center"/>
              <w:rPr>
                <w:rFonts w:ascii="宋体" w:hAnsi="宋体" w:cs="宋体"/>
                <w:color w:val="auto"/>
                <w:szCs w:val="21"/>
                <w:highlight w:val="none"/>
              </w:rPr>
            </w:pPr>
          </w:p>
        </w:tc>
        <w:tc>
          <w:tcPr>
            <w:tcW w:w="2258" w:type="dxa"/>
          </w:tcPr>
          <w:p w14:paraId="2F3D8710">
            <w:pPr>
              <w:pStyle w:val="38"/>
              <w:shd w:val="clear"/>
              <w:spacing w:line="360" w:lineRule="auto"/>
              <w:jc w:val="center"/>
              <w:rPr>
                <w:rFonts w:ascii="宋体" w:hAnsi="宋体" w:cs="宋体"/>
                <w:color w:val="auto"/>
                <w:szCs w:val="21"/>
                <w:highlight w:val="none"/>
              </w:rPr>
            </w:pPr>
          </w:p>
        </w:tc>
        <w:tc>
          <w:tcPr>
            <w:tcW w:w="2260" w:type="dxa"/>
          </w:tcPr>
          <w:p w14:paraId="2C425128">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41FBF81E">
            <w:pPr>
              <w:pStyle w:val="38"/>
              <w:shd w:val="clear"/>
              <w:spacing w:line="360" w:lineRule="auto"/>
              <w:jc w:val="center"/>
              <w:rPr>
                <w:rFonts w:ascii="宋体" w:hAnsi="宋体" w:cs="宋体"/>
                <w:color w:val="auto"/>
                <w:szCs w:val="21"/>
                <w:highlight w:val="none"/>
              </w:rPr>
            </w:pPr>
          </w:p>
        </w:tc>
      </w:tr>
      <w:tr w14:paraId="06B07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26AE82F">
            <w:pPr>
              <w:pStyle w:val="38"/>
              <w:shd w:val="clear"/>
              <w:spacing w:line="360" w:lineRule="auto"/>
              <w:jc w:val="center"/>
              <w:rPr>
                <w:rFonts w:ascii="宋体" w:hAnsi="宋体" w:cs="宋体"/>
                <w:color w:val="auto"/>
                <w:szCs w:val="21"/>
                <w:highlight w:val="none"/>
              </w:rPr>
            </w:pPr>
          </w:p>
        </w:tc>
        <w:tc>
          <w:tcPr>
            <w:tcW w:w="2258" w:type="dxa"/>
          </w:tcPr>
          <w:p w14:paraId="250E3662">
            <w:pPr>
              <w:pStyle w:val="38"/>
              <w:shd w:val="clear"/>
              <w:spacing w:line="360" w:lineRule="auto"/>
              <w:jc w:val="center"/>
              <w:rPr>
                <w:rFonts w:ascii="宋体" w:hAnsi="宋体" w:cs="宋体"/>
                <w:color w:val="auto"/>
                <w:szCs w:val="21"/>
                <w:highlight w:val="none"/>
              </w:rPr>
            </w:pPr>
          </w:p>
        </w:tc>
        <w:tc>
          <w:tcPr>
            <w:tcW w:w="2260" w:type="dxa"/>
          </w:tcPr>
          <w:p w14:paraId="4AB26512">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4E5054D0">
            <w:pPr>
              <w:pStyle w:val="38"/>
              <w:shd w:val="clear"/>
              <w:spacing w:line="360" w:lineRule="auto"/>
              <w:jc w:val="center"/>
              <w:rPr>
                <w:rFonts w:ascii="宋体" w:hAnsi="宋体" w:cs="宋体"/>
                <w:color w:val="auto"/>
                <w:szCs w:val="21"/>
                <w:highlight w:val="none"/>
              </w:rPr>
            </w:pPr>
          </w:p>
        </w:tc>
      </w:tr>
      <w:tr w14:paraId="621F4D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431FC3C">
            <w:pPr>
              <w:pStyle w:val="38"/>
              <w:shd w:val="clear"/>
              <w:spacing w:line="360" w:lineRule="auto"/>
              <w:jc w:val="center"/>
              <w:rPr>
                <w:rFonts w:ascii="宋体" w:hAnsi="宋体" w:cs="宋体"/>
                <w:color w:val="auto"/>
                <w:szCs w:val="21"/>
                <w:highlight w:val="none"/>
              </w:rPr>
            </w:pPr>
          </w:p>
        </w:tc>
        <w:tc>
          <w:tcPr>
            <w:tcW w:w="2258" w:type="dxa"/>
          </w:tcPr>
          <w:p w14:paraId="379A63CF">
            <w:pPr>
              <w:pStyle w:val="38"/>
              <w:shd w:val="clear"/>
              <w:spacing w:line="360" w:lineRule="auto"/>
              <w:jc w:val="center"/>
              <w:rPr>
                <w:rFonts w:ascii="宋体" w:hAnsi="宋体" w:cs="宋体"/>
                <w:color w:val="auto"/>
                <w:szCs w:val="21"/>
                <w:highlight w:val="none"/>
              </w:rPr>
            </w:pPr>
          </w:p>
        </w:tc>
        <w:tc>
          <w:tcPr>
            <w:tcW w:w="2260" w:type="dxa"/>
          </w:tcPr>
          <w:p w14:paraId="1BFD3DE8">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17AAC9E5">
            <w:pPr>
              <w:pStyle w:val="38"/>
              <w:shd w:val="clear"/>
              <w:spacing w:line="360" w:lineRule="auto"/>
              <w:jc w:val="center"/>
              <w:rPr>
                <w:rFonts w:ascii="宋体" w:hAnsi="宋体" w:cs="宋体"/>
                <w:color w:val="auto"/>
                <w:szCs w:val="21"/>
                <w:highlight w:val="none"/>
              </w:rPr>
            </w:pPr>
          </w:p>
        </w:tc>
      </w:tr>
      <w:tr w14:paraId="505F13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6A2A0FE">
            <w:pPr>
              <w:pStyle w:val="38"/>
              <w:shd w:val="clear"/>
              <w:spacing w:line="360" w:lineRule="auto"/>
              <w:jc w:val="center"/>
              <w:rPr>
                <w:rFonts w:ascii="宋体" w:hAnsi="宋体" w:cs="宋体"/>
                <w:color w:val="auto"/>
                <w:szCs w:val="21"/>
                <w:highlight w:val="none"/>
              </w:rPr>
            </w:pPr>
          </w:p>
        </w:tc>
        <w:tc>
          <w:tcPr>
            <w:tcW w:w="2258" w:type="dxa"/>
          </w:tcPr>
          <w:p w14:paraId="4F31147B">
            <w:pPr>
              <w:pStyle w:val="38"/>
              <w:shd w:val="clear"/>
              <w:spacing w:line="360" w:lineRule="auto"/>
              <w:jc w:val="center"/>
              <w:rPr>
                <w:rFonts w:ascii="宋体" w:hAnsi="宋体" w:cs="宋体"/>
                <w:color w:val="auto"/>
                <w:szCs w:val="21"/>
                <w:highlight w:val="none"/>
              </w:rPr>
            </w:pPr>
          </w:p>
        </w:tc>
        <w:tc>
          <w:tcPr>
            <w:tcW w:w="2260" w:type="dxa"/>
          </w:tcPr>
          <w:p w14:paraId="73B2883F">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71E850A9">
            <w:pPr>
              <w:pStyle w:val="38"/>
              <w:shd w:val="clear"/>
              <w:spacing w:line="360" w:lineRule="auto"/>
              <w:jc w:val="center"/>
              <w:rPr>
                <w:rFonts w:ascii="宋体" w:hAnsi="宋体" w:cs="宋体"/>
                <w:color w:val="auto"/>
                <w:szCs w:val="21"/>
                <w:highlight w:val="none"/>
              </w:rPr>
            </w:pPr>
          </w:p>
        </w:tc>
      </w:tr>
      <w:tr w14:paraId="061552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A8331DC">
            <w:pPr>
              <w:pStyle w:val="38"/>
              <w:shd w:val="clear"/>
              <w:spacing w:line="360" w:lineRule="auto"/>
              <w:jc w:val="center"/>
              <w:rPr>
                <w:rFonts w:ascii="宋体" w:hAnsi="宋体" w:cs="宋体"/>
                <w:color w:val="auto"/>
                <w:szCs w:val="21"/>
                <w:highlight w:val="none"/>
              </w:rPr>
            </w:pPr>
          </w:p>
        </w:tc>
        <w:tc>
          <w:tcPr>
            <w:tcW w:w="2258" w:type="dxa"/>
          </w:tcPr>
          <w:p w14:paraId="52A5B3B7">
            <w:pPr>
              <w:pStyle w:val="38"/>
              <w:shd w:val="clear"/>
              <w:spacing w:line="360" w:lineRule="auto"/>
              <w:jc w:val="center"/>
              <w:rPr>
                <w:rFonts w:ascii="宋体" w:hAnsi="宋体" w:cs="宋体"/>
                <w:color w:val="auto"/>
                <w:szCs w:val="21"/>
                <w:highlight w:val="none"/>
              </w:rPr>
            </w:pPr>
          </w:p>
        </w:tc>
        <w:tc>
          <w:tcPr>
            <w:tcW w:w="2260" w:type="dxa"/>
          </w:tcPr>
          <w:p w14:paraId="50E12A3B">
            <w:pPr>
              <w:pStyle w:val="38"/>
              <w:shd w:val="clear"/>
              <w:spacing w:line="360" w:lineRule="auto"/>
              <w:jc w:val="center"/>
              <w:rPr>
                <w:rFonts w:ascii="宋体" w:hAnsi="宋体" w:cs="宋体"/>
                <w:color w:val="auto"/>
                <w:szCs w:val="21"/>
                <w:highlight w:val="none"/>
              </w:rPr>
            </w:pPr>
          </w:p>
        </w:tc>
        <w:tc>
          <w:tcPr>
            <w:tcW w:w="2047" w:type="dxa"/>
            <w:tcBorders>
              <w:right w:val="single" w:color="auto" w:sz="4" w:space="0"/>
            </w:tcBorders>
          </w:tcPr>
          <w:p w14:paraId="34FF9BC9">
            <w:pPr>
              <w:pStyle w:val="38"/>
              <w:shd w:val="clear"/>
              <w:spacing w:line="360" w:lineRule="auto"/>
              <w:jc w:val="center"/>
              <w:rPr>
                <w:rFonts w:ascii="宋体" w:hAnsi="宋体" w:cs="宋体"/>
                <w:color w:val="auto"/>
                <w:szCs w:val="21"/>
                <w:highlight w:val="none"/>
              </w:rPr>
            </w:pPr>
          </w:p>
        </w:tc>
      </w:tr>
      <w:tr w14:paraId="427240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71D6A5DA">
            <w:pPr>
              <w:pStyle w:val="38"/>
              <w:shd w:val="clear"/>
              <w:spacing w:line="360" w:lineRule="auto"/>
              <w:jc w:val="center"/>
              <w:rPr>
                <w:rFonts w:ascii="宋体" w:hAnsi="宋体" w:cs="宋体"/>
                <w:color w:val="auto"/>
                <w:szCs w:val="21"/>
                <w:highlight w:val="none"/>
              </w:rPr>
            </w:pPr>
          </w:p>
        </w:tc>
        <w:tc>
          <w:tcPr>
            <w:tcW w:w="2258" w:type="dxa"/>
            <w:tcBorders>
              <w:bottom w:val="double" w:color="auto" w:sz="4" w:space="0"/>
            </w:tcBorders>
          </w:tcPr>
          <w:p w14:paraId="6F4438D0">
            <w:pPr>
              <w:pStyle w:val="38"/>
              <w:shd w:val="clear"/>
              <w:spacing w:line="360" w:lineRule="auto"/>
              <w:jc w:val="center"/>
              <w:rPr>
                <w:rFonts w:ascii="宋体" w:hAnsi="宋体" w:cs="宋体"/>
                <w:color w:val="auto"/>
                <w:szCs w:val="21"/>
                <w:highlight w:val="none"/>
              </w:rPr>
            </w:pPr>
          </w:p>
        </w:tc>
        <w:tc>
          <w:tcPr>
            <w:tcW w:w="2260" w:type="dxa"/>
            <w:tcBorders>
              <w:bottom w:val="double" w:color="auto" w:sz="4" w:space="0"/>
            </w:tcBorders>
          </w:tcPr>
          <w:p w14:paraId="06137664">
            <w:pPr>
              <w:pStyle w:val="38"/>
              <w:shd w:val="clear"/>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1072F99A">
            <w:pPr>
              <w:pStyle w:val="38"/>
              <w:shd w:val="clear"/>
              <w:spacing w:line="360" w:lineRule="auto"/>
              <w:jc w:val="center"/>
              <w:rPr>
                <w:rFonts w:ascii="宋体" w:hAnsi="宋体" w:cs="宋体"/>
                <w:color w:val="auto"/>
                <w:szCs w:val="21"/>
                <w:highlight w:val="none"/>
              </w:rPr>
            </w:pPr>
          </w:p>
        </w:tc>
      </w:tr>
    </w:tbl>
    <w:p w14:paraId="780D4493">
      <w:pPr>
        <w:shd w:val="clear"/>
        <w:spacing w:line="360" w:lineRule="auto"/>
        <w:jc w:val="left"/>
        <w:rPr>
          <w:rFonts w:ascii="宋体" w:hAnsi="宋体" w:cs="宋体"/>
          <w:b/>
          <w:bCs/>
          <w:color w:val="auto"/>
          <w:sz w:val="24"/>
          <w:szCs w:val="32"/>
          <w:highlight w:val="none"/>
          <w:lang w:val="zh-CN"/>
        </w:rPr>
      </w:pPr>
    </w:p>
    <w:p w14:paraId="0857BEEA">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6F68A50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5087649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15C64BD8">
      <w:pPr>
        <w:shd w:val="clear"/>
        <w:spacing w:line="360" w:lineRule="auto"/>
        <w:jc w:val="left"/>
        <w:rPr>
          <w:rFonts w:ascii="宋体" w:hAnsi="宋体" w:cs="宋体"/>
          <w:b/>
          <w:bCs/>
          <w:color w:val="auto"/>
          <w:sz w:val="24"/>
          <w:szCs w:val="32"/>
          <w:highlight w:val="none"/>
          <w:lang w:val="zh-CN"/>
        </w:rPr>
      </w:pPr>
    </w:p>
    <w:p w14:paraId="74EA2115">
      <w:pPr>
        <w:shd w:val="clear"/>
        <w:spacing w:line="360" w:lineRule="auto"/>
        <w:jc w:val="left"/>
        <w:rPr>
          <w:rFonts w:ascii="宋体" w:hAnsi="宋体" w:cs="宋体"/>
          <w:b/>
          <w:bCs/>
          <w:color w:val="auto"/>
          <w:sz w:val="24"/>
          <w:szCs w:val="32"/>
          <w:highlight w:val="none"/>
          <w:lang w:val="zh-CN"/>
        </w:rPr>
      </w:pPr>
    </w:p>
    <w:p w14:paraId="783DA968">
      <w:pPr>
        <w:shd w:val="clear"/>
        <w:spacing w:line="360" w:lineRule="auto"/>
        <w:jc w:val="left"/>
        <w:rPr>
          <w:rFonts w:ascii="宋体" w:hAnsi="宋体" w:cs="宋体"/>
          <w:b/>
          <w:bCs/>
          <w:color w:val="auto"/>
          <w:sz w:val="24"/>
          <w:szCs w:val="32"/>
          <w:highlight w:val="none"/>
          <w:lang w:val="zh-CN"/>
        </w:rPr>
      </w:pPr>
    </w:p>
    <w:p w14:paraId="34B3E23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12D221F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2BB6B3A0">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110F1DC">
      <w:pPr>
        <w:shd w:val="clear"/>
        <w:spacing w:line="360" w:lineRule="auto"/>
        <w:rPr>
          <w:rFonts w:ascii="宋体" w:hAnsi="宋体" w:cs="宋体"/>
          <w:b/>
          <w:bCs/>
          <w:color w:val="auto"/>
          <w:sz w:val="24"/>
          <w:highlight w:val="none"/>
        </w:rPr>
      </w:pPr>
    </w:p>
    <w:p w14:paraId="3AA0EA70">
      <w:pPr>
        <w:shd w:val="clear"/>
        <w:spacing w:line="360" w:lineRule="auto"/>
        <w:rPr>
          <w:rFonts w:ascii="宋体" w:hAnsi="宋体" w:cs="宋体"/>
          <w:b/>
          <w:bCs/>
          <w:color w:val="auto"/>
          <w:sz w:val="24"/>
          <w:highlight w:val="none"/>
        </w:rPr>
      </w:pPr>
    </w:p>
    <w:p w14:paraId="12EE2A6E">
      <w:pPr>
        <w:shd w:val="clear"/>
        <w:spacing w:line="360" w:lineRule="auto"/>
        <w:rPr>
          <w:rFonts w:ascii="宋体" w:hAnsi="宋体" w:cs="宋体"/>
          <w:b/>
          <w:bCs/>
          <w:color w:val="auto"/>
          <w:sz w:val="24"/>
          <w:highlight w:val="none"/>
        </w:rPr>
      </w:pPr>
    </w:p>
    <w:p w14:paraId="069046FD">
      <w:pPr>
        <w:shd w:val="clear"/>
        <w:spacing w:line="360" w:lineRule="auto"/>
        <w:rPr>
          <w:rFonts w:ascii="宋体" w:hAnsi="宋体" w:cs="宋体"/>
          <w:b/>
          <w:bCs/>
          <w:color w:val="auto"/>
          <w:sz w:val="24"/>
          <w:highlight w:val="none"/>
        </w:rPr>
      </w:pPr>
    </w:p>
    <w:p w14:paraId="188DB14F">
      <w:pPr>
        <w:shd w:val="clear"/>
        <w:spacing w:line="360" w:lineRule="auto"/>
        <w:rPr>
          <w:rFonts w:ascii="宋体" w:hAnsi="宋体" w:cs="宋体"/>
          <w:b/>
          <w:bCs/>
          <w:color w:val="auto"/>
          <w:sz w:val="24"/>
          <w:highlight w:val="none"/>
        </w:rPr>
      </w:pPr>
    </w:p>
    <w:p w14:paraId="2646E698">
      <w:pPr>
        <w:shd w:val="clear"/>
        <w:spacing w:line="360" w:lineRule="auto"/>
        <w:rPr>
          <w:rFonts w:ascii="宋体" w:hAnsi="宋体" w:cs="宋体"/>
          <w:b/>
          <w:bCs/>
          <w:color w:val="auto"/>
          <w:sz w:val="24"/>
          <w:highlight w:val="none"/>
        </w:rPr>
      </w:pPr>
    </w:p>
    <w:p w14:paraId="5B28B649">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57" w:name="_Toc1568351520"/>
      <w:bookmarkStart w:id="158" w:name="_Toc10621"/>
      <w:bookmarkStart w:id="159" w:name="_Toc4215"/>
      <w:r>
        <w:rPr>
          <w:rFonts w:hint="eastAsia" w:ascii="宋体" w:hAnsi="宋体" w:cs="宋体"/>
          <w:b/>
          <w:bCs/>
          <w:color w:val="auto"/>
          <w:sz w:val="28"/>
          <w:szCs w:val="36"/>
          <w:highlight w:val="none"/>
          <w:lang w:val="zh-CN"/>
        </w:rPr>
        <w:t>附件</w:t>
      </w:r>
      <w:bookmarkEnd w:id="157"/>
      <w:bookmarkEnd w:id="158"/>
      <w:bookmarkEnd w:id="159"/>
      <w:r>
        <w:rPr>
          <w:rFonts w:hint="eastAsia" w:ascii="宋体" w:hAnsi="宋体" w:cs="宋体"/>
          <w:b/>
          <w:bCs/>
          <w:color w:val="auto"/>
          <w:sz w:val="28"/>
          <w:szCs w:val="36"/>
          <w:highlight w:val="none"/>
          <w:lang w:val="en-US" w:eastAsia="zh-CN"/>
        </w:rPr>
        <w:t>15</w:t>
      </w:r>
    </w:p>
    <w:p w14:paraId="7E813D8B">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p w14:paraId="20797A8C">
      <w:pPr>
        <w:shd w:val="clear"/>
        <w:spacing w:line="360" w:lineRule="auto"/>
        <w:rPr>
          <w:rFonts w:ascii="宋体" w:hAnsi="宋体" w:cs="宋体"/>
          <w:b/>
          <w:bCs/>
          <w:color w:val="auto"/>
          <w:sz w:val="24"/>
          <w:highlight w:val="none"/>
        </w:rPr>
      </w:pP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35B8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0B4875D">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8B1D571">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3C8E968D">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5662F41">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3E14F14">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B6C8E42">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50B17971">
            <w:pPr>
              <w:pStyle w:val="39"/>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1AC37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67E5EB11">
            <w:pPr>
              <w:pStyle w:val="39"/>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43A7AD00">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2FD9CCC">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C320708">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87F5CDB">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385A8D4">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0C2BB16">
            <w:pPr>
              <w:pStyle w:val="39"/>
              <w:shd w:val="clear"/>
              <w:spacing w:line="360" w:lineRule="auto"/>
              <w:rPr>
                <w:rFonts w:ascii="宋体" w:hAnsi="宋体" w:cs="宋体"/>
                <w:color w:val="auto"/>
                <w:sz w:val="24"/>
                <w:highlight w:val="none"/>
              </w:rPr>
            </w:pPr>
          </w:p>
        </w:tc>
      </w:tr>
      <w:tr w14:paraId="35598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E3B4B30">
            <w:pPr>
              <w:pStyle w:val="39"/>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BE87873">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68EE52A">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AF3ADE0">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9AE4599">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13EB9B2">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5317DC9">
            <w:pPr>
              <w:pStyle w:val="39"/>
              <w:shd w:val="clear"/>
              <w:spacing w:line="360" w:lineRule="auto"/>
              <w:rPr>
                <w:rFonts w:ascii="宋体" w:hAnsi="宋体" w:cs="宋体"/>
                <w:color w:val="auto"/>
                <w:sz w:val="24"/>
                <w:highlight w:val="none"/>
              </w:rPr>
            </w:pPr>
          </w:p>
        </w:tc>
      </w:tr>
      <w:tr w14:paraId="37ECC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E1DFB32">
            <w:pPr>
              <w:pStyle w:val="39"/>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22F6E1A3">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F47855B">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DB5E07C">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BFAFB1E">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1ACBC6C">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2D2F9A9">
            <w:pPr>
              <w:pStyle w:val="39"/>
              <w:shd w:val="clear"/>
              <w:spacing w:line="360" w:lineRule="auto"/>
              <w:rPr>
                <w:rFonts w:ascii="宋体" w:hAnsi="宋体" w:cs="宋体"/>
                <w:color w:val="auto"/>
                <w:sz w:val="24"/>
                <w:highlight w:val="none"/>
              </w:rPr>
            </w:pPr>
          </w:p>
        </w:tc>
      </w:tr>
      <w:tr w14:paraId="3BF37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CAFD5E6">
            <w:pPr>
              <w:pStyle w:val="39"/>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3CF8237E">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141CA0B">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E5333A3">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65FFFFE">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8E0F905">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3B6DC7E">
            <w:pPr>
              <w:pStyle w:val="39"/>
              <w:shd w:val="clear"/>
              <w:spacing w:line="360" w:lineRule="auto"/>
              <w:rPr>
                <w:rFonts w:ascii="宋体" w:hAnsi="宋体" w:cs="宋体"/>
                <w:color w:val="auto"/>
                <w:sz w:val="24"/>
                <w:highlight w:val="none"/>
              </w:rPr>
            </w:pPr>
          </w:p>
        </w:tc>
      </w:tr>
      <w:tr w14:paraId="24E05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42386F8">
            <w:pPr>
              <w:pStyle w:val="39"/>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56822022">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B627B4A">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93DA9A2">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EEFB034">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BC91C4A">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6BAA568">
            <w:pPr>
              <w:pStyle w:val="39"/>
              <w:shd w:val="clear"/>
              <w:spacing w:line="360" w:lineRule="auto"/>
              <w:rPr>
                <w:rFonts w:ascii="宋体" w:hAnsi="宋体" w:cs="宋体"/>
                <w:color w:val="auto"/>
                <w:sz w:val="24"/>
                <w:highlight w:val="none"/>
              </w:rPr>
            </w:pPr>
          </w:p>
        </w:tc>
      </w:tr>
      <w:tr w14:paraId="670AA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D366DB4">
            <w:pPr>
              <w:pStyle w:val="39"/>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18F83AE">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0698223">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2BC7E63">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C77579B">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3B732A1">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FE91CA7">
            <w:pPr>
              <w:pStyle w:val="39"/>
              <w:shd w:val="clear"/>
              <w:spacing w:line="360" w:lineRule="auto"/>
              <w:rPr>
                <w:rFonts w:ascii="宋体" w:hAnsi="宋体" w:cs="宋体"/>
                <w:color w:val="auto"/>
                <w:sz w:val="24"/>
                <w:highlight w:val="none"/>
              </w:rPr>
            </w:pPr>
          </w:p>
        </w:tc>
      </w:tr>
      <w:tr w14:paraId="4F802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2CABF33">
            <w:pPr>
              <w:pStyle w:val="39"/>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33F0EFC">
            <w:pPr>
              <w:pStyle w:val="39"/>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9A218ED">
            <w:pPr>
              <w:pStyle w:val="39"/>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B9A7FDB">
            <w:pPr>
              <w:pStyle w:val="39"/>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0740F1F">
            <w:pPr>
              <w:pStyle w:val="39"/>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788FCF3">
            <w:pPr>
              <w:pStyle w:val="39"/>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B7B20E9">
            <w:pPr>
              <w:pStyle w:val="39"/>
              <w:shd w:val="clear"/>
              <w:spacing w:line="360" w:lineRule="auto"/>
              <w:rPr>
                <w:rFonts w:ascii="宋体" w:hAnsi="宋体" w:cs="宋体"/>
                <w:color w:val="auto"/>
                <w:sz w:val="24"/>
                <w:highlight w:val="none"/>
              </w:rPr>
            </w:pPr>
          </w:p>
        </w:tc>
      </w:tr>
    </w:tbl>
    <w:p w14:paraId="767147C6">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0502EE7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1.业绩证明应提供证明材料（合同及中标通知书原件扫描件，缺一不可，否则为无效业绩）；</w:t>
      </w:r>
    </w:p>
    <w:p w14:paraId="240A92A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14:paraId="73F60D29">
      <w:pPr>
        <w:shd w:val="clear"/>
        <w:spacing w:line="360" w:lineRule="auto"/>
        <w:ind w:firstLine="480" w:firstLineChars="200"/>
        <w:rPr>
          <w:rFonts w:ascii="宋体" w:hAnsi="宋体" w:cs="宋体"/>
          <w:color w:val="auto"/>
          <w:sz w:val="24"/>
          <w:highlight w:val="none"/>
        </w:rPr>
      </w:pPr>
    </w:p>
    <w:p w14:paraId="443666E2">
      <w:pPr>
        <w:shd w:val="clear"/>
        <w:spacing w:line="360" w:lineRule="auto"/>
        <w:ind w:firstLine="480" w:firstLineChars="200"/>
        <w:rPr>
          <w:rFonts w:ascii="宋体" w:hAnsi="宋体" w:cs="宋体"/>
          <w:color w:val="auto"/>
          <w:sz w:val="24"/>
          <w:highlight w:val="none"/>
        </w:rPr>
      </w:pPr>
    </w:p>
    <w:p w14:paraId="4EB2802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2BB9357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0B11B2C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9161D99">
      <w:pPr>
        <w:shd w:val="clear"/>
        <w:spacing w:line="360" w:lineRule="auto"/>
        <w:ind w:firstLine="480" w:firstLineChars="200"/>
        <w:rPr>
          <w:rFonts w:ascii="宋体" w:hAnsi="宋体" w:cs="宋体"/>
          <w:color w:val="auto"/>
          <w:sz w:val="24"/>
          <w:highlight w:val="none"/>
        </w:rPr>
      </w:pPr>
    </w:p>
    <w:p w14:paraId="12998ADF">
      <w:pPr>
        <w:shd w:val="clear"/>
        <w:spacing w:line="360" w:lineRule="auto"/>
        <w:ind w:firstLine="480" w:firstLineChars="200"/>
        <w:rPr>
          <w:rFonts w:ascii="宋体" w:hAnsi="宋体" w:cs="宋体"/>
          <w:color w:val="auto"/>
          <w:sz w:val="24"/>
          <w:highlight w:val="none"/>
        </w:rPr>
      </w:pPr>
    </w:p>
    <w:p w14:paraId="49E50AD9">
      <w:pPr>
        <w:shd w:val="clear"/>
        <w:spacing w:line="360" w:lineRule="auto"/>
        <w:ind w:firstLine="480" w:firstLineChars="200"/>
        <w:rPr>
          <w:rFonts w:ascii="宋体" w:hAnsi="宋体" w:cs="宋体"/>
          <w:color w:val="auto"/>
          <w:sz w:val="24"/>
          <w:highlight w:val="none"/>
        </w:rPr>
      </w:pPr>
    </w:p>
    <w:p w14:paraId="13CC8D4A">
      <w:pPr>
        <w:shd w:val="clear"/>
        <w:spacing w:line="360" w:lineRule="auto"/>
        <w:ind w:firstLine="480" w:firstLineChars="200"/>
        <w:rPr>
          <w:rFonts w:ascii="宋体" w:hAnsi="宋体" w:cs="宋体"/>
          <w:color w:val="auto"/>
          <w:sz w:val="24"/>
          <w:highlight w:val="none"/>
        </w:rPr>
      </w:pPr>
    </w:p>
    <w:p w14:paraId="4EC38EF2">
      <w:pPr>
        <w:shd w:val="clear"/>
        <w:spacing w:line="360" w:lineRule="auto"/>
        <w:ind w:firstLine="480" w:firstLineChars="200"/>
        <w:rPr>
          <w:rFonts w:ascii="宋体" w:hAnsi="宋体" w:cs="宋体"/>
          <w:color w:val="auto"/>
          <w:sz w:val="24"/>
          <w:highlight w:val="none"/>
        </w:rPr>
      </w:pPr>
    </w:p>
    <w:p w14:paraId="27D44421">
      <w:pPr>
        <w:shd w:val="clear"/>
        <w:spacing w:line="360" w:lineRule="auto"/>
        <w:jc w:val="left"/>
        <w:outlineLvl w:val="0"/>
        <w:rPr>
          <w:rFonts w:hint="default" w:ascii="宋体" w:hAnsi="宋体" w:eastAsia="宋体" w:cs="宋体"/>
          <w:b/>
          <w:bCs/>
          <w:color w:val="auto"/>
          <w:sz w:val="28"/>
          <w:szCs w:val="36"/>
          <w:highlight w:val="none"/>
          <w:lang w:val="en-US" w:eastAsia="zh-CN"/>
        </w:rPr>
      </w:pPr>
      <w:bookmarkStart w:id="160" w:name="_Toc24692"/>
      <w:bookmarkStart w:id="161" w:name="_Toc1069713362"/>
      <w:bookmarkStart w:id="162" w:name="_Toc19429"/>
      <w:r>
        <w:rPr>
          <w:rFonts w:hint="eastAsia" w:ascii="宋体" w:hAnsi="宋体" w:cs="宋体"/>
          <w:b/>
          <w:bCs/>
          <w:color w:val="auto"/>
          <w:sz w:val="28"/>
          <w:szCs w:val="36"/>
          <w:highlight w:val="none"/>
          <w:lang w:val="zh-CN"/>
        </w:rPr>
        <w:t>附件</w:t>
      </w:r>
      <w:bookmarkEnd w:id="160"/>
      <w:bookmarkEnd w:id="161"/>
      <w:bookmarkEnd w:id="162"/>
      <w:r>
        <w:rPr>
          <w:rFonts w:hint="eastAsia" w:ascii="宋体" w:hAnsi="宋体" w:cs="宋体"/>
          <w:b/>
          <w:bCs/>
          <w:color w:val="auto"/>
          <w:sz w:val="28"/>
          <w:szCs w:val="36"/>
          <w:highlight w:val="none"/>
          <w:lang w:val="en-US" w:eastAsia="zh-CN"/>
        </w:rPr>
        <w:t>16</w:t>
      </w:r>
    </w:p>
    <w:p w14:paraId="1800AACF">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14:paraId="7CCA1303">
      <w:pPr>
        <w:shd w:val="clear"/>
        <w:spacing w:line="360" w:lineRule="auto"/>
        <w:rPr>
          <w:rFonts w:ascii="宋体" w:hAnsi="宋体" w:cs="宋体"/>
          <w:b/>
          <w:color w:val="auto"/>
          <w:sz w:val="24"/>
          <w:highlight w:val="none"/>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116B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8184216">
            <w:pPr>
              <w:shd w:val="clea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1972E6A7">
            <w:pPr>
              <w:shd w:val="clea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14:paraId="1F85E768">
            <w:pPr>
              <w:shd w:val="clea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5E4F114F">
            <w:pPr>
              <w:shd w:val="clea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6E1BAF4C">
            <w:pPr>
              <w:shd w:val="clea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14:paraId="37DC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6B3584A1">
            <w:pPr>
              <w:shd w:val="clear"/>
              <w:rPr>
                <w:rFonts w:ascii="宋体" w:hAnsi="宋体" w:cs="宋体"/>
                <w:color w:val="auto"/>
                <w:sz w:val="24"/>
                <w:highlight w:val="none"/>
              </w:rPr>
            </w:pPr>
          </w:p>
        </w:tc>
        <w:tc>
          <w:tcPr>
            <w:tcW w:w="1785" w:type="dxa"/>
            <w:vAlign w:val="center"/>
          </w:tcPr>
          <w:p w14:paraId="51E003A0">
            <w:pPr>
              <w:shd w:val="clear"/>
              <w:snapToGrid w:val="0"/>
              <w:rPr>
                <w:rFonts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14:paraId="28CC5F31">
            <w:pPr>
              <w:shd w:val="clear"/>
              <w:rPr>
                <w:rFonts w:ascii="宋体" w:hAnsi="宋体" w:cs="宋体"/>
                <w:color w:val="auto"/>
                <w:sz w:val="24"/>
                <w:highlight w:val="none"/>
              </w:rPr>
            </w:pPr>
          </w:p>
        </w:tc>
        <w:tc>
          <w:tcPr>
            <w:tcW w:w="1365" w:type="dxa"/>
            <w:vAlign w:val="center"/>
          </w:tcPr>
          <w:p w14:paraId="47A8FAA0">
            <w:pPr>
              <w:shd w:val="clear"/>
              <w:rPr>
                <w:rFonts w:ascii="宋体" w:hAnsi="宋体" w:cs="宋体"/>
                <w:color w:val="auto"/>
                <w:sz w:val="24"/>
                <w:highlight w:val="none"/>
              </w:rPr>
            </w:pPr>
          </w:p>
        </w:tc>
        <w:tc>
          <w:tcPr>
            <w:tcW w:w="2625" w:type="dxa"/>
            <w:vAlign w:val="center"/>
          </w:tcPr>
          <w:p w14:paraId="6AD6ADA4">
            <w:pPr>
              <w:shd w:val="clear"/>
              <w:rPr>
                <w:rFonts w:ascii="宋体" w:hAnsi="宋体" w:cs="宋体"/>
                <w:color w:val="auto"/>
                <w:sz w:val="24"/>
                <w:highlight w:val="none"/>
              </w:rPr>
            </w:pPr>
          </w:p>
        </w:tc>
      </w:tr>
      <w:tr w14:paraId="00AF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C3527B0">
            <w:pPr>
              <w:shd w:val="clear"/>
              <w:rPr>
                <w:rFonts w:ascii="宋体" w:hAnsi="宋体" w:cs="宋体"/>
                <w:color w:val="auto"/>
                <w:sz w:val="24"/>
                <w:highlight w:val="none"/>
              </w:rPr>
            </w:pPr>
          </w:p>
        </w:tc>
        <w:tc>
          <w:tcPr>
            <w:tcW w:w="1785" w:type="dxa"/>
            <w:vAlign w:val="center"/>
          </w:tcPr>
          <w:p w14:paraId="0468F1B8">
            <w:pPr>
              <w:shd w:val="clear"/>
              <w:snapToGrid w:val="0"/>
              <w:rPr>
                <w:rFonts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14:paraId="0F5ED1EB">
            <w:pPr>
              <w:shd w:val="clear"/>
              <w:rPr>
                <w:rFonts w:ascii="宋体" w:hAnsi="宋体" w:cs="宋体"/>
                <w:color w:val="auto"/>
                <w:sz w:val="24"/>
                <w:highlight w:val="none"/>
              </w:rPr>
            </w:pPr>
          </w:p>
        </w:tc>
        <w:tc>
          <w:tcPr>
            <w:tcW w:w="1365" w:type="dxa"/>
            <w:vAlign w:val="center"/>
          </w:tcPr>
          <w:p w14:paraId="10E35B0C">
            <w:pPr>
              <w:shd w:val="clear"/>
              <w:rPr>
                <w:rFonts w:ascii="宋体" w:hAnsi="宋体" w:cs="宋体"/>
                <w:color w:val="auto"/>
                <w:sz w:val="24"/>
                <w:highlight w:val="none"/>
              </w:rPr>
            </w:pPr>
          </w:p>
        </w:tc>
        <w:tc>
          <w:tcPr>
            <w:tcW w:w="2625" w:type="dxa"/>
            <w:vAlign w:val="center"/>
          </w:tcPr>
          <w:p w14:paraId="13D638EF">
            <w:pPr>
              <w:shd w:val="clear"/>
              <w:rPr>
                <w:rFonts w:ascii="宋体" w:hAnsi="宋体" w:cs="宋体"/>
                <w:color w:val="auto"/>
                <w:sz w:val="24"/>
                <w:highlight w:val="none"/>
              </w:rPr>
            </w:pPr>
          </w:p>
        </w:tc>
      </w:tr>
      <w:tr w14:paraId="30AE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C6D2CE1">
            <w:pPr>
              <w:shd w:val="clear"/>
              <w:rPr>
                <w:rFonts w:ascii="宋体" w:hAnsi="宋体" w:cs="宋体"/>
                <w:color w:val="auto"/>
                <w:sz w:val="24"/>
                <w:highlight w:val="none"/>
              </w:rPr>
            </w:pPr>
          </w:p>
        </w:tc>
        <w:tc>
          <w:tcPr>
            <w:tcW w:w="1785" w:type="dxa"/>
            <w:vAlign w:val="center"/>
          </w:tcPr>
          <w:p w14:paraId="0F585AC7">
            <w:pPr>
              <w:shd w:val="clear"/>
              <w:snapToGrid w:val="0"/>
              <w:rPr>
                <w:rFonts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14:paraId="4705BD92">
            <w:pPr>
              <w:shd w:val="clear"/>
              <w:rPr>
                <w:rFonts w:ascii="宋体" w:hAnsi="宋体" w:cs="宋体"/>
                <w:color w:val="auto"/>
                <w:sz w:val="24"/>
                <w:highlight w:val="none"/>
              </w:rPr>
            </w:pPr>
          </w:p>
        </w:tc>
        <w:tc>
          <w:tcPr>
            <w:tcW w:w="1365" w:type="dxa"/>
            <w:vAlign w:val="center"/>
          </w:tcPr>
          <w:p w14:paraId="32AC87D6">
            <w:pPr>
              <w:shd w:val="clear"/>
              <w:rPr>
                <w:rFonts w:ascii="宋体" w:hAnsi="宋体" w:cs="宋体"/>
                <w:color w:val="auto"/>
                <w:sz w:val="24"/>
                <w:highlight w:val="none"/>
              </w:rPr>
            </w:pPr>
          </w:p>
        </w:tc>
        <w:tc>
          <w:tcPr>
            <w:tcW w:w="2625" w:type="dxa"/>
            <w:vAlign w:val="center"/>
          </w:tcPr>
          <w:p w14:paraId="1DF50674">
            <w:pPr>
              <w:shd w:val="clear"/>
              <w:rPr>
                <w:rFonts w:ascii="宋体" w:hAnsi="宋体" w:cs="宋体"/>
                <w:color w:val="auto"/>
                <w:sz w:val="24"/>
                <w:highlight w:val="none"/>
              </w:rPr>
            </w:pPr>
          </w:p>
        </w:tc>
      </w:tr>
      <w:tr w14:paraId="3CD8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6D4AD4A">
            <w:pPr>
              <w:shd w:val="clear"/>
              <w:rPr>
                <w:rFonts w:ascii="宋体" w:hAnsi="宋体" w:cs="宋体"/>
                <w:color w:val="auto"/>
                <w:sz w:val="24"/>
                <w:highlight w:val="none"/>
              </w:rPr>
            </w:pPr>
          </w:p>
        </w:tc>
        <w:tc>
          <w:tcPr>
            <w:tcW w:w="1785" w:type="dxa"/>
            <w:vAlign w:val="center"/>
          </w:tcPr>
          <w:p w14:paraId="6E426EC0">
            <w:pPr>
              <w:shd w:val="clear"/>
              <w:snapToGrid w:val="0"/>
              <w:rPr>
                <w:rFonts w:ascii="宋体" w:hAnsi="宋体" w:cs="宋体"/>
                <w:color w:val="auto"/>
                <w:sz w:val="24"/>
                <w:highlight w:val="none"/>
              </w:rPr>
            </w:pPr>
            <w:r>
              <w:rPr>
                <w:rFonts w:hint="eastAsia" w:ascii="宋体" w:hAnsi="宋体" w:cs="宋体"/>
                <w:color w:val="auto"/>
                <w:sz w:val="24"/>
                <w:highlight w:val="none"/>
              </w:rPr>
              <w:t>交货和服务</w:t>
            </w:r>
          </w:p>
          <w:p w14:paraId="6A995AF5">
            <w:pPr>
              <w:shd w:val="clear"/>
              <w:snapToGrid w:val="0"/>
              <w:rPr>
                <w:rFonts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14:paraId="13930DC0">
            <w:pPr>
              <w:shd w:val="clear"/>
              <w:rPr>
                <w:rFonts w:ascii="宋体" w:hAnsi="宋体" w:cs="宋体"/>
                <w:color w:val="auto"/>
                <w:sz w:val="24"/>
                <w:highlight w:val="none"/>
              </w:rPr>
            </w:pPr>
          </w:p>
        </w:tc>
        <w:tc>
          <w:tcPr>
            <w:tcW w:w="1365" w:type="dxa"/>
            <w:vAlign w:val="center"/>
          </w:tcPr>
          <w:p w14:paraId="77731A25">
            <w:pPr>
              <w:shd w:val="clear"/>
              <w:rPr>
                <w:rFonts w:ascii="宋体" w:hAnsi="宋体" w:cs="宋体"/>
                <w:color w:val="auto"/>
                <w:sz w:val="24"/>
                <w:highlight w:val="none"/>
              </w:rPr>
            </w:pPr>
          </w:p>
        </w:tc>
        <w:tc>
          <w:tcPr>
            <w:tcW w:w="2625" w:type="dxa"/>
            <w:vAlign w:val="center"/>
          </w:tcPr>
          <w:p w14:paraId="05F26157">
            <w:pPr>
              <w:shd w:val="clear"/>
              <w:rPr>
                <w:rFonts w:ascii="宋体" w:hAnsi="宋体" w:cs="宋体"/>
                <w:color w:val="auto"/>
                <w:sz w:val="24"/>
                <w:highlight w:val="none"/>
              </w:rPr>
            </w:pPr>
          </w:p>
        </w:tc>
      </w:tr>
      <w:tr w14:paraId="645F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A554A15">
            <w:pPr>
              <w:shd w:val="clear"/>
              <w:rPr>
                <w:rFonts w:ascii="宋体" w:hAnsi="宋体" w:cs="宋体"/>
                <w:color w:val="auto"/>
                <w:sz w:val="24"/>
                <w:highlight w:val="none"/>
              </w:rPr>
            </w:pPr>
          </w:p>
        </w:tc>
        <w:tc>
          <w:tcPr>
            <w:tcW w:w="1785" w:type="dxa"/>
            <w:vAlign w:val="center"/>
          </w:tcPr>
          <w:p w14:paraId="6CFD1B47">
            <w:pPr>
              <w:shd w:val="clear"/>
              <w:snapToGrid w:val="0"/>
              <w:rPr>
                <w:rFonts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14:paraId="211D2DF6">
            <w:pPr>
              <w:shd w:val="clear"/>
              <w:rPr>
                <w:rFonts w:ascii="宋体" w:hAnsi="宋体" w:cs="宋体"/>
                <w:color w:val="auto"/>
                <w:sz w:val="24"/>
                <w:highlight w:val="none"/>
              </w:rPr>
            </w:pPr>
          </w:p>
        </w:tc>
        <w:tc>
          <w:tcPr>
            <w:tcW w:w="1365" w:type="dxa"/>
            <w:vAlign w:val="center"/>
          </w:tcPr>
          <w:p w14:paraId="5D728C81">
            <w:pPr>
              <w:shd w:val="clear"/>
              <w:rPr>
                <w:rFonts w:ascii="宋体" w:hAnsi="宋体" w:cs="宋体"/>
                <w:color w:val="auto"/>
                <w:sz w:val="24"/>
                <w:highlight w:val="none"/>
              </w:rPr>
            </w:pPr>
          </w:p>
        </w:tc>
        <w:tc>
          <w:tcPr>
            <w:tcW w:w="2625" w:type="dxa"/>
            <w:vAlign w:val="center"/>
          </w:tcPr>
          <w:p w14:paraId="63B530B3">
            <w:pPr>
              <w:shd w:val="clear"/>
              <w:rPr>
                <w:rFonts w:ascii="宋体" w:hAnsi="宋体" w:cs="宋体"/>
                <w:color w:val="auto"/>
                <w:sz w:val="24"/>
                <w:highlight w:val="none"/>
              </w:rPr>
            </w:pPr>
          </w:p>
        </w:tc>
      </w:tr>
      <w:tr w14:paraId="0538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EEC2ECA">
            <w:pPr>
              <w:shd w:val="clear"/>
              <w:rPr>
                <w:rFonts w:ascii="宋体" w:hAnsi="宋体" w:cs="宋体"/>
                <w:color w:val="auto"/>
                <w:sz w:val="24"/>
                <w:highlight w:val="none"/>
              </w:rPr>
            </w:pPr>
          </w:p>
        </w:tc>
        <w:tc>
          <w:tcPr>
            <w:tcW w:w="1785" w:type="dxa"/>
            <w:vAlign w:val="center"/>
          </w:tcPr>
          <w:p w14:paraId="5F863E58">
            <w:pPr>
              <w:shd w:val="clear"/>
              <w:snapToGrid w:val="0"/>
              <w:rPr>
                <w:rFonts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4A90428D">
            <w:pPr>
              <w:shd w:val="clear"/>
              <w:rPr>
                <w:rFonts w:ascii="宋体" w:hAnsi="宋体" w:cs="宋体"/>
                <w:color w:val="auto"/>
                <w:sz w:val="24"/>
                <w:highlight w:val="none"/>
              </w:rPr>
            </w:pPr>
          </w:p>
        </w:tc>
        <w:tc>
          <w:tcPr>
            <w:tcW w:w="1365" w:type="dxa"/>
            <w:vAlign w:val="center"/>
          </w:tcPr>
          <w:p w14:paraId="07BBE062">
            <w:pPr>
              <w:shd w:val="clear"/>
              <w:rPr>
                <w:rFonts w:ascii="宋体" w:hAnsi="宋体" w:cs="宋体"/>
                <w:color w:val="auto"/>
                <w:sz w:val="24"/>
                <w:highlight w:val="none"/>
              </w:rPr>
            </w:pPr>
          </w:p>
        </w:tc>
        <w:tc>
          <w:tcPr>
            <w:tcW w:w="2625" w:type="dxa"/>
            <w:vAlign w:val="center"/>
          </w:tcPr>
          <w:p w14:paraId="311E0F5B">
            <w:pPr>
              <w:shd w:val="clear"/>
              <w:rPr>
                <w:rFonts w:ascii="宋体" w:hAnsi="宋体" w:cs="宋体"/>
                <w:color w:val="auto"/>
                <w:sz w:val="24"/>
                <w:highlight w:val="none"/>
              </w:rPr>
            </w:pPr>
          </w:p>
        </w:tc>
      </w:tr>
      <w:tr w14:paraId="2ACA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40763ED7">
            <w:pPr>
              <w:shd w:val="clear"/>
              <w:rPr>
                <w:rFonts w:ascii="宋体" w:hAnsi="宋体" w:cs="宋体"/>
                <w:color w:val="auto"/>
                <w:sz w:val="24"/>
                <w:highlight w:val="none"/>
              </w:rPr>
            </w:pPr>
          </w:p>
        </w:tc>
        <w:tc>
          <w:tcPr>
            <w:tcW w:w="1785" w:type="dxa"/>
          </w:tcPr>
          <w:p w14:paraId="72FA5B53">
            <w:pPr>
              <w:shd w:val="clear"/>
              <w:snapToGrid w:val="0"/>
              <w:rPr>
                <w:rFonts w:ascii="宋体" w:hAnsi="宋体" w:cs="宋体"/>
                <w:color w:val="auto"/>
                <w:sz w:val="24"/>
                <w:highlight w:val="none"/>
              </w:rPr>
            </w:pPr>
          </w:p>
        </w:tc>
        <w:tc>
          <w:tcPr>
            <w:tcW w:w="1785" w:type="dxa"/>
            <w:vAlign w:val="center"/>
          </w:tcPr>
          <w:p w14:paraId="6FAFCD27">
            <w:pPr>
              <w:shd w:val="clear"/>
              <w:rPr>
                <w:rFonts w:ascii="宋体" w:hAnsi="宋体" w:cs="宋体"/>
                <w:color w:val="auto"/>
                <w:sz w:val="24"/>
                <w:highlight w:val="none"/>
              </w:rPr>
            </w:pPr>
          </w:p>
        </w:tc>
        <w:tc>
          <w:tcPr>
            <w:tcW w:w="1365" w:type="dxa"/>
            <w:vAlign w:val="center"/>
          </w:tcPr>
          <w:p w14:paraId="4D486422">
            <w:pPr>
              <w:shd w:val="clear"/>
              <w:rPr>
                <w:rFonts w:ascii="宋体" w:hAnsi="宋体" w:cs="宋体"/>
                <w:color w:val="auto"/>
                <w:sz w:val="24"/>
                <w:highlight w:val="none"/>
              </w:rPr>
            </w:pPr>
          </w:p>
        </w:tc>
        <w:tc>
          <w:tcPr>
            <w:tcW w:w="2625" w:type="dxa"/>
            <w:vAlign w:val="center"/>
          </w:tcPr>
          <w:p w14:paraId="25FF28D9">
            <w:pPr>
              <w:shd w:val="clear"/>
              <w:rPr>
                <w:rFonts w:ascii="宋体" w:hAnsi="宋体" w:cs="宋体"/>
                <w:color w:val="auto"/>
                <w:sz w:val="24"/>
                <w:highlight w:val="none"/>
              </w:rPr>
            </w:pPr>
          </w:p>
        </w:tc>
      </w:tr>
      <w:tr w14:paraId="1B9C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2106F6CD">
            <w:pPr>
              <w:shd w:val="clear"/>
              <w:rPr>
                <w:rFonts w:ascii="宋体" w:hAnsi="宋体" w:cs="宋体"/>
                <w:color w:val="auto"/>
                <w:sz w:val="24"/>
                <w:highlight w:val="none"/>
              </w:rPr>
            </w:pPr>
          </w:p>
        </w:tc>
        <w:tc>
          <w:tcPr>
            <w:tcW w:w="1785" w:type="dxa"/>
          </w:tcPr>
          <w:p w14:paraId="37E92300">
            <w:pPr>
              <w:shd w:val="clear"/>
              <w:snapToGrid w:val="0"/>
              <w:rPr>
                <w:rFonts w:ascii="宋体" w:hAnsi="宋体" w:cs="宋体"/>
                <w:color w:val="auto"/>
                <w:sz w:val="24"/>
                <w:highlight w:val="none"/>
              </w:rPr>
            </w:pPr>
          </w:p>
        </w:tc>
        <w:tc>
          <w:tcPr>
            <w:tcW w:w="1785" w:type="dxa"/>
            <w:vAlign w:val="center"/>
          </w:tcPr>
          <w:p w14:paraId="124168D6">
            <w:pPr>
              <w:shd w:val="clear"/>
              <w:rPr>
                <w:rFonts w:ascii="宋体" w:hAnsi="宋体" w:cs="宋体"/>
                <w:color w:val="auto"/>
                <w:sz w:val="24"/>
                <w:highlight w:val="none"/>
              </w:rPr>
            </w:pPr>
          </w:p>
        </w:tc>
        <w:tc>
          <w:tcPr>
            <w:tcW w:w="1365" w:type="dxa"/>
            <w:vAlign w:val="center"/>
          </w:tcPr>
          <w:p w14:paraId="61027259">
            <w:pPr>
              <w:shd w:val="clear"/>
              <w:rPr>
                <w:rFonts w:ascii="宋体" w:hAnsi="宋体" w:cs="宋体"/>
                <w:color w:val="auto"/>
                <w:sz w:val="24"/>
                <w:highlight w:val="none"/>
              </w:rPr>
            </w:pPr>
          </w:p>
        </w:tc>
        <w:tc>
          <w:tcPr>
            <w:tcW w:w="2625" w:type="dxa"/>
            <w:vAlign w:val="center"/>
          </w:tcPr>
          <w:p w14:paraId="6649E46F">
            <w:pPr>
              <w:shd w:val="clear"/>
              <w:rPr>
                <w:rFonts w:ascii="宋体" w:hAnsi="宋体" w:cs="宋体"/>
                <w:color w:val="auto"/>
                <w:sz w:val="24"/>
                <w:highlight w:val="none"/>
              </w:rPr>
            </w:pPr>
          </w:p>
        </w:tc>
      </w:tr>
    </w:tbl>
    <w:p w14:paraId="034F8D6B">
      <w:pPr>
        <w:shd w:val="clear"/>
        <w:spacing w:line="360" w:lineRule="auto"/>
        <w:rPr>
          <w:rFonts w:ascii="宋体" w:hAnsi="宋体" w:cs="宋体"/>
          <w:b/>
          <w:color w:val="auto"/>
          <w:sz w:val="24"/>
          <w:highlight w:val="none"/>
        </w:rPr>
      </w:pPr>
    </w:p>
    <w:p w14:paraId="5D02842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04075265">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60FB63F">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0FC9891">
      <w:pPr>
        <w:shd w:val="clear"/>
        <w:spacing w:line="360" w:lineRule="auto"/>
        <w:rPr>
          <w:rFonts w:ascii="宋体" w:hAnsi="宋体" w:cs="宋体"/>
          <w:b/>
          <w:color w:val="auto"/>
          <w:sz w:val="24"/>
          <w:highlight w:val="none"/>
        </w:rPr>
      </w:pPr>
    </w:p>
    <w:p w14:paraId="6A45C9E7">
      <w:pPr>
        <w:shd w:val="clear"/>
        <w:spacing w:line="360" w:lineRule="auto"/>
        <w:rPr>
          <w:rFonts w:ascii="宋体" w:hAnsi="宋体" w:cs="宋体"/>
          <w:b/>
          <w:color w:val="auto"/>
          <w:sz w:val="24"/>
          <w:highlight w:val="none"/>
        </w:rPr>
      </w:pPr>
    </w:p>
    <w:p w14:paraId="6DE3FA9A">
      <w:pPr>
        <w:shd w:val="clear"/>
        <w:spacing w:line="360" w:lineRule="auto"/>
        <w:rPr>
          <w:rFonts w:ascii="宋体" w:hAnsi="宋体" w:cs="宋体"/>
          <w:b/>
          <w:color w:val="auto"/>
          <w:sz w:val="24"/>
          <w:highlight w:val="none"/>
        </w:rPr>
      </w:pPr>
    </w:p>
    <w:p w14:paraId="1F83D5BE">
      <w:pPr>
        <w:shd w:val="clear"/>
        <w:spacing w:line="360" w:lineRule="auto"/>
        <w:rPr>
          <w:rFonts w:ascii="宋体" w:hAnsi="宋体" w:cs="宋体"/>
          <w:b/>
          <w:color w:val="auto"/>
          <w:sz w:val="24"/>
          <w:highlight w:val="none"/>
        </w:rPr>
      </w:pPr>
    </w:p>
    <w:p w14:paraId="28B6D3E0">
      <w:pPr>
        <w:shd w:val="clear"/>
        <w:spacing w:line="360" w:lineRule="auto"/>
        <w:rPr>
          <w:rFonts w:ascii="宋体" w:hAnsi="宋体" w:cs="宋体"/>
          <w:b/>
          <w:color w:val="auto"/>
          <w:sz w:val="24"/>
          <w:highlight w:val="none"/>
        </w:rPr>
      </w:pPr>
    </w:p>
    <w:p w14:paraId="594C310F">
      <w:pPr>
        <w:shd w:val="clear"/>
        <w:spacing w:line="360" w:lineRule="auto"/>
        <w:rPr>
          <w:rFonts w:ascii="宋体" w:hAnsi="宋体" w:cs="宋体"/>
          <w:b/>
          <w:color w:val="auto"/>
          <w:sz w:val="24"/>
          <w:highlight w:val="none"/>
        </w:rPr>
      </w:pPr>
    </w:p>
    <w:p w14:paraId="16DF97E3">
      <w:pPr>
        <w:shd w:val="clear"/>
        <w:spacing w:line="360" w:lineRule="auto"/>
        <w:rPr>
          <w:rFonts w:ascii="宋体" w:hAnsi="宋体" w:cs="宋体"/>
          <w:b/>
          <w:color w:val="auto"/>
          <w:sz w:val="24"/>
          <w:highlight w:val="none"/>
        </w:rPr>
      </w:pPr>
    </w:p>
    <w:p w14:paraId="28D4D92A">
      <w:pPr>
        <w:shd w:val="clear"/>
        <w:spacing w:line="360" w:lineRule="auto"/>
        <w:rPr>
          <w:rFonts w:ascii="宋体" w:hAnsi="宋体" w:cs="宋体"/>
          <w:b/>
          <w:color w:val="auto"/>
          <w:sz w:val="24"/>
          <w:highlight w:val="none"/>
        </w:rPr>
      </w:pPr>
    </w:p>
    <w:p w14:paraId="66EF6600">
      <w:pPr>
        <w:shd w:val="clear"/>
        <w:tabs>
          <w:tab w:val="left" w:pos="2460"/>
        </w:tabs>
        <w:spacing w:line="360" w:lineRule="auto"/>
        <w:outlineLvl w:val="0"/>
        <w:rPr>
          <w:rFonts w:hint="default" w:ascii="宋体" w:hAnsi="宋体" w:eastAsia="宋体" w:cs="宋体"/>
          <w:b/>
          <w:color w:val="auto"/>
          <w:sz w:val="28"/>
          <w:highlight w:val="none"/>
          <w:lang w:val="en-US" w:eastAsia="zh-CN"/>
        </w:rPr>
      </w:pPr>
      <w:bookmarkStart w:id="163" w:name="_Toc9756"/>
      <w:bookmarkStart w:id="164" w:name="_Toc2086866097"/>
      <w:bookmarkStart w:id="165" w:name="_Toc30065"/>
      <w:bookmarkStart w:id="166" w:name="OLE_LINK4"/>
      <w:r>
        <w:rPr>
          <w:rFonts w:hint="eastAsia" w:ascii="宋体" w:hAnsi="宋体" w:cs="宋体"/>
          <w:b/>
          <w:color w:val="auto"/>
          <w:sz w:val="28"/>
          <w:highlight w:val="none"/>
        </w:rPr>
        <w:t>附件</w:t>
      </w:r>
      <w:bookmarkEnd w:id="163"/>
      <w:bookmarkEnd w:id="164"/>
      <w:bookmarkEnd w:id="165"/>
      <w:r>
        <w:rPr>
          <w:rFonts w:hint="eastAsia" w:ascii="宋体" w:hAnsi="宋体" w:cs="宋体"/>
          <w:b/>
          <w:color w:val="auto"/>
          <w:sz w:val="28"/>
          <w:highlight w:val="none"/>
          <w:lang w:val="en-US" w:eastAsia="zh-CN"/>
        </w:rPr>
        <w:t>17</w:t>
      </w:r>
    </w:p>
    <w:bookmarkEnd w:id="166"/>
    <w:p w14:paraId="32C187FD">
      <w:pPr>
        <w:shd w:val="clear"/>
        <w:spacing w:line="48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售后服务情况表</w:t>
      </w:r>
    </w:p>
    <w:p w14:paraId="708D12B0">
      <w:pPr>
        <w:shd w:val="clear"/>
        <w:spacing w:line="360" w:lineRule="auto"/>
        <w:rPr>
          <w:rFonts w:ascii="宋体" w:hAnsi="宋体" w:cs="宋体"/>
          <w:b/>
          <w:color w:val="auto"/>
          <w:sz w:val="24"/>
          <w:highlight w:val="none"/>
        </w:rPr>
      </w:pP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9CED3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1E1E27F0">
            <w:pPr>
              <w:pStyle w:val="4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22B4F7FD">
            <w:pPr>
              <w:pStyle w:val="4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5B2C46B4">
            <w:pPr>
              <w:pStyle w:val="4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718244C2">
            <w:pPr>
              <w:pStyle w:val="40"/>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8A0D9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77C6DA9D">
            <w:pPr>
              <w:pStyle w:val="40"/>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6702F759">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14:paraId="643B5366">
            <w:pPr>
              <w:pStyle w:val="40"/>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14:paraId="0108ED93">
            <w:pPr>
              <w:pStyle w:val="40"/>
              <w:shd w:val="clear"/>
              <w:spacing w:line="360" w:lineRule="auto"/>
              <w:rPr>
                <w:rFonts w:ascii="宋体" w:hAnsi="宋体" w:cs="宋体"/>
                <w:bCs/>
                <w:color w:val="auto"/>
                <w:sz w:val="24"/>
                <w:highlight w:val="none"/>
              </w:rPr>
            </w:pPr>
          </w:p>
        </w:tc>
      </w:tr>
      <w:tr w14:paraId="1925E8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133280E8">
            <w:pPr>
              <w:pStyle w:val="40"/>
              <w:widowControl/>
              <w:shd w:val="clear"/>
              <w:spacing w:line="360" w:lineRule="auto"/>
              <w:jc w:val="left"/>
              <w:rPr>
                <w:rFonts w:ascii="宋体" w:hAnsi="宋体" w:cs="宋体"/>
                <w:bCs/>
                <w:color w:val="auto"/>
                <w:sz w:val="24"/>
                <w:highlight w:val="none"/>
              </w:rPr>
            </w:pPr>
          </w:p>
        </w:tc>
        <w:tc>
          <w:tcPr>
            <w:tcW w:w="2355" w:type="dxa"/>
            <w:vMerge w:val="continue"/>
            <w:vAlign w:val="center"/>
          </w:tcPr>
          <w:p w14:paraId="37745426">
            <w:pPr>
              <w:pStyle w:val="40"/>
              <w:widowControl/>
              <w:shd w:val="clear"/>
              <w:spacing w:line="360" w:lineRule="auto"/>
              <w:jc w:val="left"/>
              <w:rPr>
                <w:rFonts w:ascii="宋体" w:hAnsi="宋体" w:cs="宋体"/>
                <w:bCs/>
                <w:color w:val="auto"/>
                <w:sz w:val="24"/>
                <w:highlight w:val="none"/>
              </w:rPr>
            </w:pPr>
          </w:p>
        </w:tc>
        <w:tc>
          <w:tcPr>
            <w:tcW w:w="4061" w:type="dxa"/>
          </w:tcPr>
          <w:p w14:paraId="27CD79A9">
            <w:pPr>
              <w:pStyle w:val="40"/>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14:paraId="54619DD3">
            <w:pPr>
              <w:pStyle w:val="40"/>
              <w:shd w:val="clear"/>
              <w:spacing w:line="360" w:lineRule="auto"/>
              <w:jc w:val="left"/>
              <w:rPr>
                <w:rFonts w:ascii="宋体" w:hAnsi="宋体" w:cs="宋体"/>
                <w:bCs/>
                <w:color w:val="auto"/>
                <w:sz w:val="24"/>
                <w:highlight w:val="none"/>
              </w:rPr>
            </w:pPr>
          </w:p>
        </w:tc>
      </w:tr>
      <w:tr w14:paraId="202882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526DC5DD">
            <w:pPr>
              <w:pStyle w:val="40"/>
              <w:shd w:val="clea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56086EBB">
            <w:pPr>
              <w:pStyle w:val="40"/>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14:paraId="48654C1D">
            <w:pPr>
              <w:pStyle w:val="40"/>
              <w:widowControl/>
              <w:shd w:val="clear"/>
              <w:spacing w:line="360" w:lineRule="auto"/>
              <w:jc w:val="left"/>
              <w:rPr>
                <w:rFonts w:ascii="宋体" w:hAnsi="宋体" w:cs="宋体"/>
                <w:bCs/>
                <w:color w:val="auto"/>
                <w:sz w:val="24"/>
                <w:highlight w:val="none"/>
              </w:rPr>
            </w:pPr>
          </w:p>
          <w:p w14:paraId="5BA7AD9E">
            <w:pPr>
              <w:pStyle w:val="40"/>
              <w:widowControl/>
              <w:shd w:val="clear"/>
              <w:spacing w:line="360" w:lineRule="auto"/>
              <w:jc w:val="left"/>
              <w:rPr>
                <w:rFonts w:ascii="宋体" w:hAnsi="宋体" w:cs="宋体"/>
                <w:bCs/>
                <w:color w:val="auto"/>
                <w:sz w:val="24"/>
                <w:highlight w:val="none"/>
              </w:rPr>
            </w:pPr>
          </w:p>
          <w:p w14:paraId="2DE1CBE4">
            <w:pPr>
              <w:pStyle w:val="40"/>
              <w:shd w:val="clear"/>
              <w:spacing w:line="360" w:lineRule="auto"/>
              <w:rPr>
                <w:rFonts w:ascii="宋体" w:hAnsi="宋体" w:cs="宋体"/>
                <w:bCs/>
                <w:color w:val="auto"/>
                <w:sz w:val="24"/>
                <w:highlight w:val="none"/>
              </w:rPr>
            </w:pPr>
          </w:p>
        </w:tc>
        <w:tc>
          <w:tcPr>
            <w:tcW w:w="1373" w:type="dxa"/>
          </w:tcPr>
          <w:p w14:paraId="6E8C8F33">
            <w:pPr>
              <w:pStyle w:val="40"/>
              <w:widowControl/>
              <w:shd w:val="clear"/>
              <w:spacing w:line="360" w:lineRule="auto"/>
              <w:jc w:val="left"/>
              <w:rPr>
                <w:rFonts w:ascii="宋体" w:hAnsi="宋体" w:cs="宋体"/>
                <w:bCs/>
                <w:color w:val="auto"/>
                <w:sz w:val="24"/>
                <w:highlight w:val="none"/>
              </w:rPr>
            </w:pPr>
          </w:p>
          <w:p w14:paraId="08306041">
            <w:pPr>
              <w:pStyle w:val="40"/>
              <w:widowControl/>
              <w:shd w:val="clear"/>
              <w:spacing w:line="360" w:lineRule="auto"/>
              <w:jc w:val="left"/>
              <w:rPr>
                <w:rFonts w:ascii="宋体" w:hAnsi="宋体" w:cs="宋体"/>
                <w:bCs/>
                <w:color w:val="auto"/>
                <w:sz w:val="24"/>
                <w:highlight w:val="none"/>
              </w:rPr>
            </w:pPr>
          </w:p>
          <w:p w14:paraId="7DDF43CE">
            <w:pPr>
              <w:pStyle w:val="40"/>
              <w:shd w:val="clear"/>
              <w:spacing w:line="360" w:lineRule="auto"/>
              <w:rPr>
                <w:rFonts w:ascii="宋体" w:hAnsi="宋体" w:cs="宋体"/>
                <w:bCs/>
                <w:color w:val="auto"/>
                <w:sz w:val="24"/>
                <w:highlight w:val="none"/>
              </w:rPr>
            </w:pPr>
          </w:p>
        </w:tc>
      </w:tr>
      <w:tr w14:paraId="0DAB82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74B86B97">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14:paraId="2EECED87">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14:paraId="3830E174">
            <w:pPr>
              <w:pStyle w:val="40"/>
              <w:widowControl/>
              <w:shd w:val="clear"/>
              <w:spacing w:line="360" w:lineRule="auto"/>
              <w:jc w:val="left"/>
              <w:rPr>
                <w:rFonts w:ascii="宋体" w:hAnsi="宋体" w:cs="宋体"/>
                <w:bCs/>
                <w:i/>
                <w:color w:val="auto"/>
                <w:sz w:val="24"/>
                <w:highlight w:val="none"/>
              </w:rPr>
            </w:pPr>
          </w:p>
          <w:p w14:paraId="3D6448F0">
            <w:pPr>
              <w:pStyle w:val="40"/>
              <w:widowControl/>
              <w:shd w:val="clear"/>
              <w:spacing w:line="360" w:lineRule="auto"/>
              <w:jc w:val="left"/>
              <w:rPr>
                <w:rFonts w:ascii="宋体" w:hAnsi="宋体" w:cs="宋体"/>
                <w:bCs/>
                <w:i/>
                <w:color w:val="auto"/>
                <w:sz w:val="24"/>
                <w:highlight w:val="none"/>
              </w:rPr>
            </w:pPr>
          </w:p>
        </w:tc>
        <w:tc>
          <w:tcPr>
            <w:tcW w:w="1373" w:type="dxa"/>
          </w:tcPr>
          <w:p w14:paraId="0D4CB483">
            <w:pPr>
              <w:pStyle w:val="40"/>
              <w:widowControl/>
              <w:shd w:val="clear"/>
              <w:spacing w:line="360" w:lineRule="auto"/>
              <w:jc w:val="left"/>
              <w:rPr>
                <w:rFonts w:ascii="宋体" w:hAnsi="宋体" w:cs="宋体"/>
                <w:bCs/>
                <w:i/>
                <w:color w:val="auto"/>
                <w:sz w:val="24"/>
                <w:highlight w:val="none"/>
              </w:rPr>
            </w:pPr>
          </w:p>
          <w:p w14:paraId="1E9570C2">
            <w:pPr>
              <w:pStyle w:val="40"/>
              <w:widowControl/>
              <w:shd w:val="clear"/>
              <w:spacing w:line="360" w:lineRule="auto"/>
              <w:jc w:val="left"/>
              <w:rPr>
                <w:rFonts w:ascii="宋体" w:hAnsi="宋体" w:cs="宋体"/>
                <w:bCs/>
                <w:i/>
                <w:color w:val="auto"/>
                <w:sz w:val="24"/>
                <w:highlight w:val="none"/>
              </w:rPr>
            </w:pPr>
          </w:p>
          <w:p w14:paraId="5E9E88D1">
            <w:pPr>
              <w:pStyle w:val="40"/>
              <w:widowControl/>
              <w:shd w:val="clear"/>
              <w:spacing w:line="360" w:lineRule="auto"/>
              <w:jc w:val="left"/>
              <w:rPr>
                <w:rFonts w:ascii="宋体" w:hAnsi="宋体" w:cs="宋体"/>
                <w:bCs/>
                <w:i/>
                <w:color w:val="auto"/>
                <w:sz w:val="24"/>
                <w:highlight w:val="none"/>
              </w:rPr>
            </w:pPr>
          </w:p>
        </w:tc>
      </w:tr>
      <w:tr w14:paraId="4A41E9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3AF677EA">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1D728404">
            <w:pPr>
              <w:pStyle w:val="40"/>
              <w:widowControl/>
              <w:shd w:val="clea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14:paraId="341009DD">
            <w:pPr>
              <w:pStyle w:val="40"/>
              <w:widowControl/>
              <w:shd w:val="clear"/>
              <w:spacing w:line="360" w:lineRule="auto"/>
              <w:jc w:val="left"/>
              <w:rPr>
                <w:rFonts w:ascii="宋体" w:hAnsi="宋体" w:cs="宋体"/>
                <w:bCs/>
                <w:color w:val="auto"/>
                <w:sz w:val="24"/>
                <w:highlight w:val="none"/>
              </w:rPr>
            </w:pPr>
          </w:p>
        </w:tc>
        <w:tc>
          <w:tcPr>
            <w:tcW w:w="1373" w:type="dxa"/>
            <w:tcBorders>
              <w:bottom w:val="single" w:color="auto" w:sz="4" w:space="0"/>
            </w:tcBorders>
          </w:tcPr>
          <w:p w14:paraId="6125D15C">
            <w:pPr>
              <w:pStyle w:val="40"/>
              <w:widowControl/>
              <w:shd w:val="clear"/>
              <w:spacing w:line="360" w:lineRule="auto"/>
              <w:jc w:val="left"/>
              <w:rPr>
                <w:rFonts w:ascii="宋体" w:hAnsi="宋体" w:cs="宋体"/>
                <w:bCs/>
                <w:color w:val="auto"/>
                <w:sz w:val="24"/>
                <w:highlight w:val="none"/>
              </w:rPr>
            </w:pPr>
          </w:p>
        </w:tc>
      </w:tr>
    </w:tbl>
    <w:p w14:paraId="1C9F694F">
      <w:pPr>
        <w:shd w:val="clear"/>
        <w:spacing w:line="360" w:lineRule="auto"/>
        <w:ind w:left="549" w:hanging="549" w:hangingChars="171"/>
        <w:jc w:val="center"/>
        <w:rPr>
          <w:rFonts w:ascii="宋体" w:hAnsi="宋体" w:cs="宋体"/>
          <w:b/>
          <w:color w:val="auto"/>
          <w:sz w:val="32"/>
          <w:szCs w:val="32"/>
          <w:highlight w:val="none"/>
        </w:rPr>
      </w:pPr>
    </w:p>
    <w:p w14:paraId="22F65259">
      <w:pPr>
        <w:shd w:val="clear"/>
        <w:spacing w:line="360" w:lineRule="auto"/>
        <w:rPr>
          <w:rFonts w:ascii="宋体" w:hAnsi="宋体" w:cs="宋体"/>
          <w:color w:val="auto"/>
          <w:sz w:val="24"/>
          <w:highlight w:val="none"/>
        </w:rPr>
      </w:pPr>
    </w:p>
    <w:p w14:paraId="4A895E8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394EACD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0F6C5B6">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3473494">
      <w:pPr>
        <w:shd w:val="clear"/>
        <w:spacing w:line="360" w:lineRule="auto"/>
        <w:rPr>
          <w:rFonts w:ascii="宋体" w:hAnsi="宋体" w:cs="宋体"/>
          <w:color w:val="auto"/>
          <w:sz w:val="24"/>
          <w:szCs w:val="32"/>
          <w:highlight w:val="none"/>
        </w:rPr>
      </w:pPr>
    </w:p>
    <w:p w14:paraId="277EA404">
      <w:pPr>
        <w:shd w:val="clear"/>
        <w:spacing w:line="360" w:lineRule="auto"/>
        <w:rPr>
          <w:rFonts w:ascii="宋体" w:hAnsi="宋体" w:cs="宋体"/>
          <w:b/>
          <w:color w:val="auto"/>
          <w:sz w:val="24"/>
          <w:highlight w:val="none"/>
        </w:rPr>
      </w:pPr>
    </w:p>
    <w:p w14:paraId="2C499201">
      <w:pPr>
        <w:shd w:val="clear"/>
        <w:spacing w:line="360" w:lineRule="auto"/>
        <w:rPr>
          <w:rFonts w:ascii="宋体" w:hAnsi="宋体" w:cs="宋体"/>
          <w:b/>
          <w:color w:val="auto"/>
          <w:sz w:val="24"/>
          <w:highlight w:val="none"/>
        </w:rPr>
      </w:pPr>
    </w:p>
    <w:p w14:paraId="0B879502">
      <w:pPr>
        <w:shd w:val="clear"/>
        <w:spacing w:line="360" w:lineRule="auto"/>
        <w:rPr>
          <w:rFonts w:ascii="宋体" w:hAnsi="宋体" w:cs="宋体"/>
          <w:b/>
          <w:color w:val="auto"/>
          <w:sz w:val="24"/>
          <w:highlight w:val="none"/>
        </w:rPr>
      </w:pPr>
    </w:p>
    <w:p w14:paraId="4BA44DBE">
      <w:pPr>
        <w:shd w:val="clear"/>
        <w:spacing w:line="360" w:lineRule="auto"/>
        <w:rPr>
          <w:rFonts w:ascii="宋体" w:hAnsi="宋体" w:cs="宋体"/>
          <w:b/>
          <w:color w:val="auto"/>
          <w:sz w:val="24"/>
          <w:highlight w:val="none"/>
        </w:rPr>
      </w:pPr>
    </w:p>
    <w:p w14:paraId="45521438">
      <w:pPr>
        <w:shd w:val="clear"/>
        <w:spacing w:line="360" w:lineRule="auto"/>
        <w:rPr>
          <w:rFonts w:ascii="宋体" w:hAnsi="宋体" w:cs="宋体"/>
          <w:b/>
          <w:color w:val="auto"/>
          <w:sz w:val="24"/>
          <w:highlight w:val="none"/>
        </w:rPr>
      </w:pPr>
    </w:p>
    <w:p w14:paraId="0D380942">
      <w:pPr>
        <w:shd w:val="clear"/>
        <w:spacing w:line="360" w:lineRule="auto"/>
        <w:rPr>
          <w:rFonts w:ascii="宋体" w:hAnsi="宋体" w:cs="宋体"/>
          <w:b/>
          <w:color w:val="auto"/>
          <w:sz w:val="24"/>
          <w:highlight w:val="none"/>
        </w:rPr>
      </w:pPr>
    </w:p>
    <w:p w14:paraId="7A93DAD8">
      <w:pPr>
        <w:shd w:val="clear"/>
        <w:rPr>
          <w:rFonts w:hint="eastAsia" w:ascii="宋体" w:hAnsi="宋体" w:cs="宋体"/>
          <w:b/>
          <w:bCs/>
          <w:color w:val="auto"/>
          <w:sz w:val="28"/>
          <w:szCs w:val="36"/>
          <w:highlight w:val="none"/>
        </w:rPr>
      </w:pPr>
      <w:bookmarkStart w:id="167" w:name="_Toc18363"/>
      <w:bookmarkStart w:id="168" w:name="_Toc17132"/>
      <w:bookmarkStart w:id="169" w:name="_Toc1255569475"/>
      <w:r>
        <w:rPr>
          <w:rFonts w:hint="eastAsia" w:ascii="宋体" w:hAnsi="宋体" w:cs="宋体"/>
          <w:b/>
          <w:bCs/>
          <w:color w:val="auto"/>
          <w:sz w:val="28"/>
          <w:szCs w:val="36"/>
          <w:highlight w:val="none"/>
        </w:rPr>
        <w:br w:type="page"/>
      </w:r>
    </w:p>
    <w:p w14:paraId="69379F25">
      <w:pPr>
        <w:shd w:val="clear"/>
        <w:tabs>
          <w:tab w:val="left" w:pos="2460"/>
        </w:tabs>
        <w:spacing w:line="360" w:lineRule="auto"/>
        <w:outlineLvl w:val="0"/>
        <w:rPr>
          <w:rFonts w:hint="eastAsia" w:ascii="宋体" w:hAnsi="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18</w:t>
      </w:r>
    </w:p>
    <w:p w14:paraId="645B56E2">
      <w:pPr>
        <w:shd w:val="clear"/>
        <w:spacing w:line="480" w:lineRule="exact"/>
        <w:jc w:val="center"/>
        <w:rPr>
          <w:rFonts w:hint="eastAsia" w:ascii="宋体" w:hAnsi="宋体" w:cs="宋体"/>
          <w:b/>
          <w:color w:val="auto"/>
          <w:sz w:val="32"/>
          <w:szCs w:val="32"/>
          <w:highlight w:val="none"/>
          <w:lang w:val="en-US" w:eastAsia="zh-CN"/>
        </w:rPr>
      </w:pPr>
      <w:bookmarkStart w:id="170" w:name="OLE_LINK7"/>
      <w:r>
        <w:rPr>
          <w:rFonts w:hint="eastAsia" w:ascii="宋体" w:hAnsi="宋体" w:cs="宋体"/>
          <w:b/>
          <w:color w:val="auto"/>
          <w:sz w:val="32"/>
          <w:szCs w:val="32"/>
          <w:highlight w:val="none"/>
          <w:lang w:val="en-US" w:eastAsia="zh-CN"/>
        </w:rPr>
        <w:t>对接和开放承诺函</w:t>
      </w:r>
    </w:p>
    <w:bookmarkEnd w:id="170"/>
    <w:p w14:paraId="6490C4B6">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台州学院（</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lang w:val="en-US" w:eastAsia="zh-CN"/>
        </w:rPr>
        <w:t>人）：</w:t>
      </w:r>
    </w:p>
    <w:p w14:paraId="5A2BC79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我</w:t>
      </w:r>
      <w:r>
        <w:rPr>
          <w:rFonts w:hint="eastAsia" w:ascii="宋体" w:hAnsi="宋体" w:eastAsia="宋体" w:cs="宋体"/>
          <w:bCs/>
          <w:color w:val="auto"/>
          <w:sz w:val="24"/>
          <w:szCs w:val="24"/>
          <w:highlight w:val="none"/>
          <w:lang w:val="en-US" w:eastAsia="zh-CN"/>
        </w:rPr>
        <w:t>公司（投标人）</w:t>
      </w:r>
      <w:r>
        <w:rPr>
          <w:rFonts w:hint="eastAsia" w:ascii="宋体" w:hAnsi="宋体" w:eastAsia="宋体" w:cs="宋体"/>
          <w:bCs/>
          <w:color w:val="auto"/>
          <w:sz w:val="24"/>
          <w:szCs w:val="24"/>
          <w:highlight w:val="none"/>
        </w:rPr>
        <w:t>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日自愿参加</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组织的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下称本项目</w:t>
      </w:r>
      <w:r>
        <w:rPr>
          <w:rFonts w:hint="eastAsia" w:ascii="宋体" w:hAnsi="宋体" w:eastAsia="宋体" w:cs="宋体"/>
          <w:bCs/>
          <w:color w:val="auto"/>
          <w:sz w:val="24"/>
          <w:szCs w:val="24"/>
          <w:highlight w:val="none"/>
        </w:rPr>
        <w:t>）采购活动，</w:t>
      </w:r>
      <w:r>
        <w:rPr>
          <w:rFonts w:hint="eastAsia" w:ascii="宋体" w:hAnsi="宋体" w:eastAsia="宋体" w:cs="宋体"/>
          <w:bCs/>
          <w:color w:val="auto"/>
          <w:sz w:val="24"/>
          <w:szCs w:val="24"/>
          <w:highlight w:val="none"/>
          <w:lang w:val="en-US" w:eastAsia="zh-CN"/>
        </w:rPr>
        <w:t>我公司和核心供应商（</w:t>
      </w:r>
      <w:r>
        <w:rPr>
          <w:rFonts w:hint="eastAsia" w:ascii="宋体" w:hAnsi="宋体" w:eastAsia="宋体" w:cs="宋体"/>
          <w:bCs/>
          <w:color w:val="auto"/>
          <w:sz w:val="24"/>
          <w:szCs w:val="24"/>
          <w:highlight w:val="none"/>
          <w:u w:val="none"/>
          <w:lang w:val="en-US" w:eastAsia="zh-CN"/>
        </w:rPr>
        <w:t>下称我方，包括投标人及核心供应商</w:t>
      </w:r>
      <w:r>
        <w:rPr>
          <w:rFonts w:hint="eastAsia" w:ascii="宋体" w:hAnsi="宋体" w:eastAsia="宋体" w:cs="宋体"/>
          <w:bCs/>
          <w:color w:val="auto"/>
          <w:sz w:val="24"/>
          <w:szCs w:val="24"/>
          <w:highlight w:val="none"/>
          <w:lang w:val="en-US" w:eastAsia="zh-CN"/>
        </w:rPr>
        <w:t>）现就本项目相关的对接工作</w:t>
      </w:r>
      <w:r>
        <w:rPr>
          <w:rFonts w:hint="eastAsia" w:ascii="宋体" w:hAnsi="宋体" w:eastAsia="宋体" w:cs="宋体"/>
          <w:bCs/>
          <w:color w:val="auto"/>
          <w:sz w:val="24"/>
          <w:szCs w:val="24"/>
          <w:highlight w:val="none"/>
        </w:rPr>
        <w:t>作</w:t>
      </w:r>
      <w:r>
        <w:rPr>
          <w:rFonts w:hint="eastAsia" w:ascii="宋体" w:hAnsi="宋体" w:eastAsia="宋体" w:cs="宋体"/>
          <w:bCs/>
          <w:color w:val="auto"/>
          <w:sz w:val="24"/>
          <w:szCs w:val="24"/>
          <w:highlight w:val="none"/>
          <w:lang w:val="en-US" w:eastAsia="zh-CN"/>
        </w:rPr>
        <w:t>出</w:t>
      </w:r>
      <w:r>
        <w:rPr>
          <w:rFonts w:hint="eastAsia" w:ascii="宋体" w:hAnsi="宋体" w:eastAsia="宋体" w:cs="宋体"/>
          <w:bCs/>
          <w:color w:val="auto"/>
          <w:sz w:val="24"/>
          <w:szCs w:val="24"/>
          <w:highlight w:val="none"/>
        </w:rPr>
        <w:t>如下承诺：</w:t>
      </w:r>
    </w:p>
    <w:p w14:paraId="69735BF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若</w:t>
      </w:r>
      <w:r>
        <w:rPr>
          <w:rFonts w:hint="eastAsia" w:ascii="宋体" w:hAnsi="宋体" w:eastAsia="宋体" w:cs="宋体"/>
          <w:bCs/>
          <w:color w:val="auto"/>
          <w:sz w:val="24"/>
          <w:szCs w:val="24"/>
          <w:highlight w:val="none"/>
          <w:lang w:eastAsia="zh-CN"/>
        </w:rPr>
        <w:t>我</w:t>
      </w:r>
      <w:r>
        <w:rPr>
          <w:rFonts w:hint="eastAsia" w:ascii="宋体" w:hAnsi="宋体" w:eastAsia="宋体" w:cs="宋体"/>
          <w:bCs/>
          <w:color w:val="auto"/>
          <w:sz w:val="24"/>
          <w:szCs w:val="24"/>
          <w:highlight w:val="none"/>
          <w:lang w:val="en-US" w:eastAsia="zh-CN"/>
        </w:rPr>
        <w:t>公司</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eastAsia="zh-CN"/>
        </w:rPr>
        <w:t>我</w:t>
      </w:r>
      <w:r>
        <w:rPr>
          <w:rFonts w:hint="eastAsia" w:ascii="宋体" w:hAnsi="宋体" w:eastAsia="宋体" w:cs="宋体"/>
          <w:bCs/>
          <w:color w:val="auto"/>
          <w:sz w:val="24"/>
          <w:szCs w:val="24"/>
          <w:highlight w:val="none"/>
          <w:lang w:val="en-US" w:eastAsia="zh-CN"/>
        </w:rPr>
        <w:t>方将无条件做好</w:t>
      </w:r>
      <w:r>
        <w:rPr>
          <w:rFonts w:hint="eastAsia" w:ascii="宋体" w:hAnsi="宋体" w:cs="宋体"/>
          <w:bCs/>
          <w:color w:val="auto"/>
          <w:sz w:val="24"/>
          <w:szCs w:val="24"/>
          <w:highlight w:val="none"/>
          <w:lang w:val="en-US" w:eastAsia="zh-CN"/>
        </w:rPr>
        <w:t>招标人电能管理平台</w:t>
      </w:r>
      <w:r>
        <w:rPr>
          <w:rFonts w:hint="eastAsia" w:ascii="宋体" w:hAnsi="宋体" w:eastAsia="宋体" w:cs="宋体"/>
          <w:bCs/>
          <w:color w:val="auto"/>
          <w:sz w:val="24"/>
          <w:szCs w:val="24"/>
          <w:highlight w:val="none"/>
          <w:lang w:val="en-US" w:eastAsia="zh-CN"/>
        </w:rPr>
        <w:t>相关软硬件与招标人其他软硬件系统的对接工作。具体包括：</w:t>
      </w:r>
    </w:p>
    <w:p w14:paraId="1D39482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1.无条件配合对接</w:t>
      </w:r>
    </w:p>
    <w:p w14:paraId="5F96DD7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只要招标人提出需求，我方即无条件配合完成对接。对接的系统包括但不限于能源管理平台、</w:t>
      </w:r>
      <w:r>
        <w:rPr>
          <w:rFonts w:hint="eastAsia" w:ascii="宋体" w:hAnsi="宋体" w:cs="宋体"/>
          <w:bCs/>
          <w:color w:val="auto"/>
          <w:sz w:val="24"/>
          <w:szCs w:val="24"/>
          <w:highlight w:val="none"/>
          <w:lang w:val="en-US" w:eastAsia="zh-CN"/>
        </w:rPr>
        <w:t>水平衡管理平台、</w:t>
      </w:r>
      <w:r>
        <w:rPr>
          <w:rFonts w:hint="eastAsia" w:ascii="宋体" w:hAnsi="宋体" w:eastAsia="宋体" w:cs="宋体"/>
          <w:bCs/>
          <w:color w:val="auto"/>
          <w:sz w:val="24"/>
          <w:szCs w:val="24"/>
          <w:highlight w:val="none"/>
          <w:lang w:val="en-US" w:eastAsia="zh-CN"/>
        </w:rPr>
        <w:t>校园一卡通等招标人既有以及后续建设的软硬件，对接工作内容涵盖数据接入、输出及双向交互全流程。</w:t>
      </w:r>
    </w:p>
    <w:p w14:paraId="3C7AFCC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2.开放接口与协议</w:t>
      </w:r>
    </w:p>
    <w:p w14:paraId="420289C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根据对接需要，提供标准API接口、数据交换接口、通信协议接口，开放对接所需的</w:t>
      </w:r>
      <w:r>
        <w:rPr>
          <w:rFonts w:hint="eastAsia" w:ascii="宋体" w:hAnsi="宋体" w:cs="宋体"/>
          <w:bCs/>
          <w:color w:val="auto"/>
          <w:sz w:val="24"/>
          <w:szCs w:val="24"/>
          <w:highlight w:val="none"/>
          <w:lang w:val="en-US" w:eastAsia="zh-CN"/>
        </w:rPr>
        <w:t>空调控制器</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照明模块、</w:t>
      </w:r>
      <w:r>
        <w:rPr>
          <w:rFonts w:hint="eastAsia" w:ascii="宋体" w:hAnsi="宋体" w:eastAsia="宋体" w:cs="宋体"/>
          <w:bCs/>
          <w:color w:val="auto"/>
          <w:sz w:val="24"/>
          <w:szCs w:val="24"/>
          <w:highlight w:val="none"/>
          <w:lang w:val="en-US" w:eastAsia="zh-CN"/>
        </w:rPr>
        <w:t>网关、采集器</w:t>
      </w:r>
      <w:r>
        <w:rPr>
          <w:rFonts w:hint="eastAsia" w:ascii="宋体" w:hAnsi="宋体" w:cs="宋体"/>
          <w:bCs/>
          <w:color w:val="auto"/>
          <w:sz w:val="24"/>
          <w:szCs w:val="24"/>
          <w:highlight w:val="none"/>
          <w:lang w:val="en-US" w:eastAsia="zh-CN"/>
        </w:rPr>
        <w:t>、远传电表</w:t>
      </w:r>
      <w:r>
        <w:rPr>
          <w:rFonts w:hint="eastAsia" w:ascii="宋体" w:hAnsi="宋体" w:eastAsia="宋体" w:cs="宋体"/>
          <w:bCs/>
          <w:color w:val="auto"/>
          <w:sz w:val="24"/>
          <w:szCs w:val="24"/>
          <w:highlight w:val="none"/>
          <w:lang w:val="en-US" w:eastAsia="zh-CN"/>
        </w:rPr>
        <w:t>等终端设备的通信协议，提供必要的自定义变量说明，确保与招标人指定系统实现无缝对接。</w:t>
      </w:r>
    </w:p>
    <w:p w14:paraId="07E7FA81">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3.免费对接</w:t>
      </w:r>
    </w:p>
    <w:p w14:paraId="71CBED4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本项目验收范围内的对接工作的费用，已在本项目的报价中综合考虑，招标人不需另外支付。</w:t>
      </w:r>
    </w:p>
    <w:p w14:paraId="349E684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验收范围外的，标准接口和协议的开发、开放和对接等常规工作均免费。因对接需要的非标准范围内的定制化开发，仅按成本价收取人工、材料费及必要的差旅费用，且提前提供费用明细清单并经招标人审核确认。</w:t>
      </w:r>
    </w:p>
    <w:p w14:paraId="59B0BBD6">
      <w:pPr>
        <w:numPr>
          <w:ilvl w:val="-1"/>
          <w:numId w:val="0"/>
        </w:numPr>
        <w:shd w:val="clear"/>
        <w:spacing w:line="360" w:lineRule="auto"/>
        <w:ind w:leftChars="0" w:firstLine="480" w:firstLineChars="200"/>
        <w:jc w:val="left"/>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lang w:val="en-US" w:eastAsia="zh-CN"/>
        </w:rPr>
        <w:t>4.违反承诺的责任</w:t>
      </w:r>
    </w:p>
    <w:p w14:paraId="255E145A">
      <w:pPr>
        <w:shd w:val="clear"/>
        <w:spacing w:line="360" w:lineRule="auto"/>
        <w:ind w:firstLine="482"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我方若违反上述承诺，我方将承认有虚假响应投标的行为，承担违约责任并向招标人支付本项目中标价30%的违约金。核心供应商和投标人就核心供应商需承担责任的部分承担连带责任，其余责任由投标人独立承担。</w:t>
      </w:r>
    </w:p>
    <w:p w14:paraId="0F4A0BC3">
      <w:pPr>
        <w:shd w:val="clear"/>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承诺人：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投标人盖章</w:t>
      </w:r>
      <w:r>
        <w:rPr>
          <w:rFonts w:hint="eastAsia" w:ascii="宋体" w:hAnsi="宋体" w:eastAsia="宋体" w:cs="宋体"/>
          <w:color w:val="auto"/>
          <w:sz w:val="24"/>
          <w:highlight w:val="none"/>
          <w:u w:val="single"/>
          <w:lang w:eastAsia="zh-CN"/>
        </w:rPr>
        <w:t>）</w:t>
      </w:r>
    </w:p>
    <w:p w14:paraId="60B9B810">
      <w:pPr>
        <w:shd w:val="clear"/>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核心供应商盖章</w:t>
      </w:r>
      <w:r>
        <w:rPr>
          <w:rFonts w:hint="eastAsia" w:ascii="宋体" w:hAnsi="宋体" w:eastAsia="宋体" w:cs="宋体"/>
          <w:color w:val="auto"/>
          <w:sz w:val="24"/>
          <w:highlight w:val="none"/>
          <w:u w:val="single"/>
          <w:lang w:eastAsia="zh-CN"/>
        </w:rPr>
        <w:t>）</w:t>
      </w:r>
    </w:p>
    <w:p w14:paraId="4FCD6519">
      <w:pPr>
        <w:shd w:val="clear"/>
        <w:outlineLvl w:val="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w:t>
      </w:r>
    </w:p>
    <w:p w14:paraId="52F74BD7">
      <w:pPr>
        <w:shd w:val="clear"/>
        <w:outlineLvl w:val="0"/>
        <w:rPr>
          <w:rFonts w:ascii="宋体" w:hAnsi="宋体" w:cs="宋体"/>
          <w:b/>
          <w:bCs/>
          <w:color w:val="auto"/>
          <w:sz w:val="28"/>
          <w:szCs w:val="36"/>
          <w:highlight w:val="none"/>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bookmarkEnd w:id="167"/>
      <w:bookmarkEnd w:id="168"/>
      <w:bookmarkEnd w:id="169"/>
    </w:p>
    <w:p w14:paraId="7C367568">
      <w:pPr>
        <w:shd w:val="clear"/>
        <w:jc w:val="center"/>
        <w:rPr>
          <w:rFonts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74B00E6A">
      <w:pPr>
        <w:shd w:val="clear"/>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w:t>
      </w:r>
    </w:p>
    <w:p w14:paraId="6CA05CAA">
      <w:pPr>
        <w:shd w:val="clear"/>
        <w:jc w:val="center"/>
        <w:rPr>
          <w:rFonts w:ascii="宋体" w:hAnsi="宋体" w:cs="宋体"/>
          <w:b/>
          <w:color w:val="auto"/>
          <w:spacing w:val="40"/>
          <w:sz w:val="84"/>
          <w:szCs w:val="84"/>
          <w:highlight w:val="none"/>
        </w:rPr>
      </w:pPr>
    </w:p>
    <w:p w14:paraId="5E1A39D5">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0DC43025">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37808BC6">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6963B4E6">
      <w:pPr>
        <w:shd w:val="clear"/>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3F41FFA5">
      <w:pPr>
        <w:shd w:val="clear"/>
        <w:jc w:val="center"/>
        <w:rPr>
          <w:rFonts w:ascii="宋体" w:hAnsi="宋体" w:cs="宋体"/>
          <w:color w:val="auto"/>
          <w:sz w:val="36"/>
          <w:szCs w:val="36"/>
          <w:highlight w:val="none"/>
        </w:rPr>
      </w:pPr>
    </w:p>
    <w:p w14:paraId="312C2AE6">
      <w:pPr>
        <w:shd w:val="clear"/>
        <w:jc w:val="center"/>
        <w:rPr>
          <w:rFonts w:ascii="宋体" w:hAnsi="宋体" w:cs="宋体"/>
          <w:color w:val="auto"/>
          <w:sz w:val="36"/>
          <w:szCs w:val="36"/>
          <w:highlight w:val="none"/>
        </w:rPr>
      </w:pPr>
    </w:p>
    <w:p w14:paraId="59C88E90">
      <w:pPr>
        <w:shd w:val="clear"/>
        <w:spacing w:line="360" w:lineRule="auto"/>
        <w:ind w:right="532"/>
        <w:jc w:val="center"/>
        <w:rPr>
          <w:rFonts w:ascii="宋体" w:hAnsi="宋体" w:cs="宋体"/>
          <w:color w:val="auto"/>
          <w:sz w:val="36"/>
          <w:szCs w:val="36"/>
          <w:highlight w:val="none"/>
        </w:rPr>
      </w:pPr>
    </w:p>
    <w:p w14:paraId="70725B6F">
      <w:pPr>
        <w:shd w:val="clear"/>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14:paraId="4B4307B7">
      <w:pPr>
        <w:shd w:val="clear"/>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74163628">
      <w:pPr>
        <w:shd w:val="clear"/>
        <w:rPr>
          <w:rFonts w:ascii="宋体" w:hAnsi="宋体" w:cs="宋体"/>
          <w:color w:val="auto"/>
          <w:sz w:val="36"/>
          <w:szCs w:val="36"/>
          <w:highlight w:val="none"/>
        </w:rPr>
      </w:pPr>
      <w:r>
        <w:rPr>
          <w:rFonts w:hint="eastAsia" w:ascii="宋体" w:hAnsi="宋体" w:cs="宋体"/>
          <w:color w:val="auto"/>
          <w:sz w:val="36"/>
          <w:szCs w:val="36"/>
          <w:highlight w:val="none"/>
        </w:rPr>
        <w:t>时间：</w:t>
      </w:r>
    </w:p>
    <w:p w14:paraId="62A73EF8">
      <w:pPr>
        <w:shd w:val="clear"/>
        <w:spacing w:line="360" w:lineRule="auto"/>
        <w:rPr>
          <w:rFonts w:ascii="宋体" w:hAnsi="宋体" w:cs="宋体"/>
          <w:color w:val="auto"/>
          <w:sz w:val="24"/>
          <w:szCs w:val="32"/>
          <w:highlight w:val="none"/>
        </w:rPr>
      </w:pPr>
    </w:p>
    <w:p w14:paraId="10B15CC6">
      <w:pPr>
        <w:shd w:val="clear"/>
        <w:spacing w:line="360" w:lineRule="auto"/>
        <w:rPr>
          <w:rFonts w:ascii="宋体" w:hAnsi="宋体" w:cs="宋体"/>
          <w:color w:val="auto"/>
          <w:sz w:val="24"/>
          <w:szCs w:val="32"/>
          <w:highlight w:val="none"/>
        </w:rPr>
      </w:pPr>
    </w:p>
    <w:p w14:paraId="7C389A62">
      <w:pPr>
        <w:shd w:val="clear"/>
        <w:spacing w:line="360" w:lineRule="auto"/>
        <w:rPr>
          <w:rFonts w:ascii="宋体" w:hAnsi="宋体" w:cs="宋体"/>
          <w:color w:val="auto"/>
          <w:sz w:val="24"/>
          <w:szCs w:val="32"/>
          <w:highlight w:val="none"/>
        </w:rPr>
      </w:pPr>
    </w:p>
    <w:p w14:paraId="1B46CE00">
      <w:pPr>
        <w:shd w:val="clear"/>
        <w:spacing w:line="360" w:lineRule="auto"/>
        <w:jc w:val="center"/>
        <w:rPr>
          <w:rFonts w:hint="eastAsia" w:ascii="宋体" w:hAnsi="宋体" w:cs="宋体"/>
          <w:b/>
          <w:bCs/>
          <w:color w:val="auto"/>
          <w:sz w:val="32"/>
          <w:szCs w:val="40"/>
          <w:highlight w:val="none"/>
          <w:lang w:val="zh-CN"/>
        </w:rPr>
      </w:pPr>
    </w:p>
    <w:p w14:paraId="259EF9AD">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432D32A3">
      <w:pPr>
        <w:shd w:val="clear"/>
        <w:spacing w:line="360" w:lineRule="auto"/>
        <w:rPr>
          <w:rFonts w:ascii="宋体" w:hAnsi="宋体" w:cs="宋体"/>
          <w:color w:val="auto"/>
          <w:sz w:val="24"/>
          <w:highlight w:val="none"/>
        </w:rPr>
      </w:pPr>
    </w:p>
    <w:p w14:paraId="0C201AE4">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1.开标一览表（附件</w:t>
      </w:r>
      <w:r>
        <w:rPr>
          <w:rFonts w:hint="eastAsia" w:ascii="宋体" w:hAnsi="宋体" w:cs="宋体"/>
          <w:color w:val="auto"/>
          <w:sz w:val="28"/>
          <w:szCs w:val="36"/>
          <w:highlight w:val="none"/>
          <w:lang w:val="en-US" w:eastAsia="zh-CN"/>
        </w:rPr>
        <w:t>19</w:t>
      </w:r>
      <w:r>
        <w:rPr>
          <w:rFonts w:hint="eastAsia" w:ascii="宋体" w:hAnsi="宋体" w:cs="宋体"/>
          <w:color w:val="auto"/>
          <w:sz w:val="28"/>
          <w:szCs w:val="36"/>
          <w:highlight w:val="none"/>
        </w:rPr>
        <w:t>）；</w:t>
      </w:r>
    </w:p>
    <w:p w14:paraId="5BEAA12E">
      <w:pPr>
        <w:shd w:val="clear"/>
        <w:spacing w:line="360" w:lineRule="auto"/>
        <w:jc w:val="left"/>
        <w:rPr>
          <w:rFonts w:ascii="宋体" w:hAnsi="宋体" w:cs="宋体"/>
          <w:color w:val="auto"/>
          <w:sz w:val="28"/>
          <w:szCs w:val="36"/>
          <w:highlight w:val="none"/>
        </w:rPr>
      </w:pPr>
      <w:r>
        <w:rPr>
          <w:rFonts w:hint="eastAsia" w:ascii="宋体" w:hAnsi="宋体" w:cs="宋体"/>
          <w:color w:val="auto"/>
          <w:sz w:val="28"/>
          <w:szCs w:val="36"/>
          <w:highlight w:val="none"/>
        </w:rPr>
        <w:t>2.报价明细表（附件</w:t>
      </w:r>
      <w:r>
        <w:rPr>
          <w:rFonts w:hint="eastAsia" w:ascii="宋体" w:hAnsi="宋体" w:cs="宋体"/>
          <w:color w:val="auto"/>
          <w:sz w:val="28"/>
          <w:szCs w:val="36"/>
          <w:highlight w:val="none"/>
          <w:lang w:val="en-US" w:eastAsia="zh-CN"/>
        </w:rPr>
        <w:t>20</w:t>
      </w:r>
      <w:r>
        <w:rPr>
          <w:rFonts w:hint="eastAsia" w:ascii="宋体" w:hAnsi="宋体" w:cs="宋体"/>
          <w:color w:val="auto"/>
          <w:sz w:val="28"/>
          <w:szCs w:val="36"/>
          <w:highlight w:val="none"/>
        </w:rPr>
        <w:t>）；</w:t>
      </w:r>
    </w:p>
    <w:p w14:paraId="399E9D7F">
      <w:pPr>
        <w:shd w:val="clear"/>
        <w:spacing w:line="360" w:lineRule="auto"/>
        <w:jc w:val="left"/>
        <w:rPr>
          <w:rFonts w:hint="default"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3</w:t>
      </w:r>
      <w:r>
        <w:rPr>
          <w:rFonts w:hint="default" w:ascii="宋体" w:hAnsi="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中小企业声明函（附件21）</w:t>
      </w:r>
    </w:p>
    <w:p w14:paraId="0A6044CB">
      <w:pPr>
        <w:shd w:val="clear"/>
        <w:spacing w:line="360" w:lineRule="auto"/>
        <w:jc w:val="left"/>
        <w:rPr>
          <w:rFonts w:ascii="宋体" w:hAnsi="宋体" w:cs="宋体"/>
          <w:color w:val="auto"/>
          <w:sz w:val="28"/>
          <w:szCs w:val="36"/>
          <w:highlight w:val="none"/>
        </w:rPr>
      </w:pPr>
      <w:r>
        <w:rPr>
          <w:rFonts w:hint="default" w:ascii="宋体" w:hAnsi="宋体" w:cs="宋体"/>
          <w:color w:val="auto"/>
          <w:sz w:val="28"/>
          <w:szCs w:val="36"/>
          <w:highlight w:val="none"/>
          <w:lang w:val="en-US"/>
        </w:rPr>
        <w:t>4</w:t>
      </w:r>
      <w:r>
        <w:rPr>
          <w:rFonts w:hint="eastAsia" w:ascii="宋体" w:hAnsi="宋体" w:cs="宋体"/>
          <w:color w:val="auto"/>
          <w:sz w:val="28"/>
          <w:szCs w:val="36"/>
          <w:highlight w:val="none"/>
        </w:rPr>
        <w:t>.针对报价投标人认为其他需要说明的；</w:t>
      </w:r>
    </w:p>
    <w:p w14:paraId="63E791A0">
      <w:pPr>
        <w:shd w:val="clear"/>
        <w:spacing w:line="360" w:lineRule="auto"/>
        <w:rPr>
          <w:rFonts w:ascii="宋体" w:hAnsi="宋体" w:cs="宋体"/>
          <w:color w:val="auto"/>
          <w:sz w:val="24"/>
          <w:szCs w:val="32"/>
          <w:highlight w:val="none"/>
        </w:rPr>
      </w:pPr>
    </w:p>
    <w:p w14:paraId="2AE68944">
      <w:pPr>
        <w:shd w:val="clear"/>
        <w:spacing w:line="360" w:lineRule="auto"/>
        <w:rPr>
          <w:rFonts w:ascii="宋体" w:hAnsi="宋体" w:cs="宋体"/>
          <w:color w:val="auto"/>
          <w:sz w:val="24"/>
          <w:szCs w:val="32"/>
          <w:highlight w:val="none"/>
        </w:rPr>
      </w:pPr>
    </w:p>
    <w:p w14:paraId="0CB88D81">
      <w:pPr>
        <w:shd w:val="clear"/>
        <w:spacing w:line="360" w:lineRule="auto"/>
        <w:rPr>
          <w:rFonts w:ascii="宋体" w:hAnsi="宋体" w:cs="宋体"/>
          <w:color w:val="auto"/>
          <w:sz w:val="24"/>
          <w:szCs w:val="32"/>
          <w:highlight w:val="none"/>
        </w:rPr>
      </w:pPr>
    </w:p>
    <w:p w14:paraId="0564C39A">
      <w:pPr>
        <w:shd w:val="clear"/>
        <w:spacing w:line="360" w:lineRule="auto"/>
        <w:rPr>
          <w:rFonts w:ascii="宋体" w:hAnsi="宋体" w:cs="宋体"/>
          <w:color w:val="auto"/>
          <w:sz w:val="24"/>
          <w:szCs w:val="32"/>
          <w:highlight w:val="none"/>
        </w:rPr>
      </w:pPr>
    </w:p>
    <w:p w14:paraId="316DDFC1">
      <w:pPr>
        <w:shd w:val="clear"/>
        <w:spacing w:line="360" w:lineRule="auto"/>
        <w:rPr>
          <w:rFonts w:ascii="宋体" w:hAnsi="宋体" w:cs="宋体"/>
          <w:color w:val="auto"/>
          <w:sz w:val="24"/>
          <w:szCs w:val="32"/>
          <w:highlight w:val="none"/>
        </w:rPr>
      </w:pPr>
    </w:p>
    <w:p w14:paraId="1B551330">
      <w:pPr>
        <w:shd w:val="clear"/>
        <w:spacing w:line="360" w:lineRule="auto"/>
        <w:rPr>
          <w:rFonts w:ascii="宋体" w:hAnsi="宋体" w:cs="宋体"/>
          <w:color w:val="auto"/>
          <w:sz w:val="24"/>
          <w:szCs w:val="32"/>
          <w:highlight w:val="none"/>
        </w:rPr>
      </w:pPr>
    </w:p>
    <w:p w14:paraId="3DCF453F">
      <w:pPr>
        <w:shd w:val="clear"/>
        <w:spacing w:line="360" w:lineRule="auto"/>
        <w:rPr>
          <w:rFonts w:ascii="宋体" w:hAnsi="宋体" w:cs="宋体"/>
          <w:color w:val="auto"/>
          <w:sz w:val="24"/>
          <w:szCs w:val="32"/>
          <w:highlight w:val="none"/>
        </w:rPr>
      </w:pPr>
    </w:p>
    <w:p w14:paraId="71F0FDEB">
      <w:pPr>
        <w:shd w:val="clear"/>
        <w:spacing w:line="360" w:lineRule="auto"/>
        <w:rPr>
          <w:rFonts w:ascii="宋体" w:hAnsi="宋体" w:cs="宋体"/>
          <w:color w:val="auto"/>
          <w:sz w:val="24"/>
          <w:szCs w:val="32"/>
          <w:highlight w:val="none"/>
        </w:rPr>
      </w:pPr>
    </w:p>
    <w:p w14:paraId="7120A80C">
      <w:pPr>
        <w:shd w:val="clear"/>
        <w:spacing w:line="360" w:lineRule="auto"/>
        <w:rPr>
          <w:rFonts w:ascii="宋体" w:hAnsi="宋体" w:cs="宋体"/>
          <w:color w:val="auto"/>
          <w:sz w:val="24"/>
          <w:szCs w:val="32"/>
          <w:highlight w:val="none"/>
        </w:rPr>
      </w:pPr>
    </w:p>
    <w:p w14:paraId="45B29059">
      <w:pPr>
        <w:shd w:val="clear"/>
        <w:spacing w:line="360" w:lineRule="auto"/>
        <w:rPr>
          <w:rFonts w:ascii="宋体" w:hAnsi="宋体" w:cs="宋体"/>
          <w:color w:val="auto"/>
          <w:sz w:val="24"/>
          <w:szCs w:val="32"/>
          <w:highlight w:val="none"/>
        </w:rPr>
      </w:pPr>
    </w:p>
    <w:p w14:paraId="2FB8C0BE">
      <w:pPr>
        <w:shd w:val="clear"/>
        <w:spacing w:line="360" w:lineRule="auto"/>
        <w:rPr>
          <w:rFonts w:ascii="宋体" w:hAnsi="宋体" w:cs="宋体"/>
          <w:color w:val="auto"/>
          <w:sz w:val="24"/>
          <w:szCs w:val="32"/>
          <w:highlight w:val="none"/>
        </w:rPr>
      </w:pPr>
    </w:p>
    <w:p w14:paraId="17D3A2E5">
      <w:pPr>
        <w:shd w:val="clear"/>
        <w:spacing w:line="360" w:lineRule="auto"/>
        <w:rPr>
          <w:rFonts w:ascii="宋体" w:hAnsi="宋体" w:cs="宋体"/>
          <w:color w:val="auto"/>
          <w:sz w:val="24"/>
          <w:szCs w:val="32"/>
          <w:highlight w:val="none"/>
        </w:rPr>
      </w:pPr>
    </w:p>
    <w:p w14:paraId="22FD5C71">
      <w:pPr>
        <w:shd w:val="clear"/>
        <w:spacing w:line="360" w:lineRule="auto"/>
        <w:rPr>
          <w:rFonts w:ascii="宋体" w:hAnsi="宋体" w:cs="宋体"/>
          <w:color w:val="auto"/>
          <w:sz w:val="24"/>
          <w:szCs w:val="32"/>
          <w:highlight w:val="none"/>
        </w:rPr>
      </w:pPr>
    </w:p>
    <w:p w14:paraId="641B3DC8">
      <w:pPr>
        <w:shd w:val="clear"/>
        <w:spacing w:line="360" w:lineRule="auto"/>
        <w:rPr>
          <w:rFonts w:ascii="宋体" w:hAnsi="宋体" w:cs="宋体"/>
          <w:color w:val="auto"/>
          <w:sz w:val="24"/>
          <w:szCs w:val="32"/>
          <w:highlight w:val="none"/>
        </w:rPr>
      </w:pPr>
    </w:p>
    <w:p w14:paraId="055D82C5">
      <w:pPr>
        <w:shd w:val="clear"/>
        <w:spacing w:line="360" w:lineRule="auto"/>
        <w:rPr>
          <w:rFonts w:ascii="宋体" w:hAnsi="宋体" w:cs="宋体"/>
          <w:color w:val="auto"/>
          <w:sz w:val="24"/>
          <w:szCs w:val="32"/>
          <w:highlight w:val="none"/>
        </w:rPr>
      </w:pPr>
    </w:p>
    <w:p w14:paraId="5872402B">
      <w:pPr>
        <w:shd w:val="clear"/>
        <w:spacing w:line="360" w:lineRule="auto"/>
        <w:rPr>
          <w:rFonts w:ascii="宋体" w:hAnsi="宋体" w:cs="宋体"/>
          <w:color w:val="auto"/>
          <w:sz w:val="24"/>
          <w:szCs w:val="32"/>
          <w:highlight w:val="none"/>
        </w:rPr>
      </w:pPr>
    </w:p>
    <w:p w14:paraId="5BBFAA53">
      <w:pPr>
        <w:shd w:val="clear"/>
        <w:spacing w:line="360" w:lineRule="auto"/>
        <w:rPr>
          <w:rFonts w:ascii="宋体" w:hAnsi="宋体" w:cs="宋体"/>
          <w:color w:val="auto"/>
          <w:sz w:val="24"/>
          <w:szCs w:val="32"/>
          <w:highlight w:val="none"/>
        </w:rPr>
      </w:pPr>
    </w:p>
    <w:p w14:paraId="3C9D9955">
      <w:pPr>
        <w:shd w:val="clear"/>
        <w:spacing w:line="360" w:lineRule="auto"/>
        <w:rPr>
          <w:rFonts w:ascii="宋体" w:hAnsi="宋体" w:cs="宋体"/>
          <w:color w:val="auto"/>
          <w:sz w:val="24"/>
          <w:szCs w:val="32"/>
          <w:highlight w:val="none"/>
        </w:rPr>
      </w:pPr>
    </w:p>
    <w:p w14:paraId="4BEFD21E">
      <w:pPr>
        <w:shd w:val="clear"/>
        <w:spacing w:line="360" w:lineRule="auto"/>
        <w:rPr>
          <w:rFonts w:ascii="宋体" w:hAnsi="宋体" w:cs="宋体"/>
          <w:color w:val="auto"/>
          <w:sz w:val="24"/>
          <w:szCs w:val="32"/>
          <w:highlight w:val="none"/>
        </w:rPr>
      </w:pPr>
    </w:p>
    <w:p w14:paraId="7C262775">
      <w:pPr>
        <w:shd w:val="clear"/>
        <w:spacing w:line="360" w:lineRule="auto"/>
        <w:rPr>
          <w:rFonts w:ascii="宋体" w:hAnsi="宋体" w:cs="宋体"/>
          <w:color w:val="auto"/>
          <w:sz w:val="24"/>
          <w:szCs w:val="32"/>
          <w:highlight w:val="none"/>
        </w:rPr>
      </w:pPr>
    </w:p>
    <w:p w14:paraId="5F805B28">
      <w:pPr>
        <w:shd w:val="clear"/>
        <w:spacing w:line="360" w:lineRule="auto"/>
        <w:rPr>
          <w:rFonts w:ascii="宋体" w:hAnsi="宋体" w:cs="宋体"/>
          <w:color w:val="auto"/>
          <w:sz w:val="24"/>
          <w:szCs w:val="32"/>
          <w:highlight w:val="none"/>
        </w:rPr>
      </w:pPr>
    </w:p>
    <w:p w14:paraId="5DC3567B">
      <w:pPr>
        <w:shd w:val="clear"/>
        <w:spacing w:line="360" w:lineRule="auto"/>
        <w:rPr>
          <w:rFonts w:ascii="宋体" w:hAnsi="宋体" w:cs="宋体"/>
          <w:b/>
          <w:color w:val="auto"/>
          <w:sz w:val="28"/>
          <w:highlight w:val="none"/>
        </w:rPr>
      </w:pPr>
      <w:bookmarkStart w:id="171" w:name="_Toc23246"/>
      <w:bookmarkStart w:id="172" w:name="_Toc31938"/>
    </w:p>
    <w:p w14:paraId="07189AAE">
      <w:pPr>
        <w:shd w:val="clear"/>
        <w:spacing w:line="360" w:lineRule="auto"/>
        <w:outlineLvl w:val="0"/>
        <w:rPr>
          <w:rFonts w:hint="default" w:ascii="宋体" w:hAnsi="宋体" w:cs="宋体"/>
          <w:b/>
          <w:color w:val="auto"/>
          <w:sz w:val="28"/>
          <w:highlight w:val="none"/>
          <w:lang w:val="en-US"/>
        </w:rPr>
      </w:pPr>
      <w:bookmarkStart w:id="173" w:name="_Toc1181850903"/>
      <w:r>
        <w:rPr>
          <w:rFonts w:hint="eastAsia" w:ascii="宋体" w:hAnsi="宋体" w:cs="宋体"/>
          <w:b/>
          <w:color w:val="auto"/>
          <w:sz w:val="28"/>
          <w:highlight w:val="none"/>
        </w:rPr>
        <w:t>附件</w:t>
      </w:r>
      <w:bookmarkEnd w:id="171"/>
      <w:bookmarkEnd w:id="172"/>
      <w:bookmarkEnd w:id="173"/>
      <w:r>
        <w:rPr>
          <w:rFonts w:hint="default" w:ascii="宋体" w:hAnsi="宋体" w:cs="宋体"/>
          <w:b/>
          <w:color w:val="auto"/>
          <w:sz w:val="28"/>
          <w:highlight w:val="none"/>
          <w:lang w:val="en-US"/>
        </w:rPr>
        <w:t>19</w:t>
      </w:r>
    </w:p>
    <w:p w14:paraId="46A09951">
      <w:pPr>
        <w:shd w:val="clea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47757FDF">
      <w:pPr>
        <w:shd w:val="clear"/>
        <w:spacing w:line="360" w:lineRule="auto"/>
        <w:ind w:left="-2" w:hanging="2"/>
        <w:jc w:val="center"/>
        <w:rPr>
          <w:rFonts w:ascii="宋体" w:hAnsi="宋体" w:cs="宋体"/>
          <w:b/>
          <w:color w:val="auto"/>
          <w:sz w:val="32"/>
          <w:szCs w:val="32"/>
          <w:highlight w:val="none"/>
        </w:rPr>
      </w:pPr>
    </w:p>
    <w:p w14:paraId="31A183B7">
      <w:pPr>
        <w:pStyle w:val="13"/>
        <w:shd w:val="clear"/>
        <w:spacing w:line="360" w:lineRule="auto"/>
        <w:rPr>
          <w:rFonts w:hAnsi="宋体" w:cs="宋体"/>
          <w:b/>
          <w:color w:val="auto"/>
          <w:sz w:val="24"/>
          <w:highlight w:val="none"/>
        </w:rPr>
      </w:pPr>
      <w:r>
        <w:rPr>
          <w:rFonts w:hint="eastAsia" w:hAnsi="宋体" w:cs="宋体"/>
          <w:b/>
          <w:color w:val="auto"/>
          <w:sz w:val="24"/>
          <w:highlight w:val="none"/>
        </w:rPr>
        <w:t>项目编号：</w:t>
      </w:r>
    </w:p>
    <w:p w14:paraId="2E45530F">
      <w:pPr>
        <w:pStyle w:val="41"/>
        <w:shd w:val="clear"/>
        <w:spacing w:line="360" w:lineRule="auto"/>
        <w:ind w:right="480"/>
        <w:jc w:val="lef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                                     [货币单位：人民币元]</w:t>
      </w:r>
    </w:p>
    <w:tbl>
      <w:tblPr>
        <w:tblStyle w:val="26"/>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BCF85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540E49D9">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629E87DF">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2D34A918">
            <w:pPr>
              <w:shd w:val="clear"/>
              <w:autoSpaceDE w:val="0"/>
              <w:autoSpaceDN w:val="0"/>
              <w:spacing w:line="360" w:lineRule="auto"/>
              <w:jc w:val="center"/>
              <w:textAlignment w:val="bottom"/>
              <w:rPr>
                <w:rFonts w:ascii="宋体" w:hAnsi="宋体" w:cs="宋体"/>
                <w:color w:val="auto"/>
                <w:sz w:val="24"/>
                <w:highlight w:val="none"/>
              </w:rPr>
            </w:pPr>
          </w:p>
        </w:tc>
      </w:tr>
      <w:tr w14:paraId="1003044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45F32F87">
            <w:pPr>
              <w:shd w:val="clear"/>
              <w:spacing w:line="360" w:lineRule="auto"/>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256A004A">
            <w:pPr>
              <w:shd w:val="clea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79BD917C">
            <w:pPr>
              <w:shd w:val="clear"/>
              <w:autoSpaceDE w:val="0"/>
              <w:autoSpaceDN w:val="0"/>
              <w:spacing w:line="360" w:lineRule="auto"/>
              <w:jc w:val="center"/>
              <w:textAlignment w:val="bottom"/>
              <w:rPr>
                <w:rFonts w:ascii="宋体" w:hAnsi="宋体" w:cs="宋体"/>
                <w:color w:val="auto"/>
                <w:sz w:val="24"/>
                <w:highlight w:val="none"/>
              </w:rPr>
            </w:pPr>
          </w:p>
        </w:tc>
      </w:tr>
    </w:tbl>
    <w:p w14:paraId="6D449B3B">
      <w:pPr>
        <w:shd w:val="clear"/>
        <w:spacing w:line="360" w:lineRule="auto"/>
        <w:ind w:left="480"/>
        <w:rPr>
          <w:rFonts w:ascii="宋体" w:hAnsi="宋体" w:cs="宋体"/>
          <w:b/>
          <w:color w:val="auto"/>
          <w:sz w:val="24"/>
          <w:highlight w:val="none"/>
        </w:rPr>
      </w:pPr>
    </w:p>
    <w:p w14:paraId="475BF189">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填报要求：</w:t>
      </w:r>
    </w:p>
    <w:p w14:paraId="160B877D">
      <w:pPr>
        <w:numPr>
          <w:ilvl w:val="0"/>
          <w:numId w:val="40"/>
        </w:numPr>
        <w:shd w:val="clear"/>
        <w:autoSpaceDE w:val="0"/>
        <w:autoSpaceDN w:val="0"/>
        <w:adjustRightInd w:val="0"/>
        <w:snapToGrid w:val="0"/>
        <w:spacing w:line="360" w:lineRule="auto"/>
        <w:ind w:firstLine="480" w:firstLineChars="20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投标总报价是包括</w:t>
      </w:r>
      <w:r>
        <w:rPr>
          <w:rFonts w:hint="eastAsia" w:ascii="宋体" w:hAnsi="宋体" w:cs="宋体"/>
          <w:color w:val="auto"/>
          <w:kern w:val="0"/>
          <w:sz w:val="24"/>
          <w:szCs w:val="24"/>
          <w:highlight w:val="none"/>
          <w:lang w:val="en-US" w:eastAsia="zh-CN"/>
        </w:rPr>
        <w:t>以下</w:t>
      </w:r>
      <w:r>
        <w:rPr>
          <w:rFonts w:hint="eastAsia" w:ascii="宋体" w:hAnsi="宋体" w:cs="宋体"/>
          <w:color w:val="auto"/>
          <w:kern w:val="0"/>
          <w:sz w:val="24"/>
          <w:szCs w:val="24"/>
          <w:highlight w:val="none"/>
        </w:rPr>
        <w:t>等各项费用及不可预见费</w:t>
      </w:r>
      <w:r>
        <w:rPr>
          <w:rFonts w:hint="eastAsia" w:ascii="宋体" w:hAnsi="宋体" w:cs="宋体"/>
          <w:color w:val="auto"/>
          <w:kern w:val="0"/>
          <w:sz w:val="24"/>
          <w:szCs w:val="24"/>
          <w:highlight w:val="none"/>
          <w:lang w:val="en-US" w:eastAsia="zh-CN"/>
        </w:rPr>
        <w:t>用</w:t>
      </w:r>
      <w:r>
        <w:rPr>
          <w:rFonts w:hint="eastAsia" w:ascii="宋体" w:hAnsi="宋体" w:cs="宋体"/>
          <w:color w:val="auto"/>
          <w:kern w:val="0"/>
          <w:sz w:val="24"/>
          <w:szCs w:val="24"/>
          <w:highlight w:val="none"/>
        </w:rPr>
        <w:t>等所需的全部费用</w:t>
      </w:r>
      <w:r>
        <w:rPr>
          <w:rFonts w:hint="eastAsia" w:ascii="宋体" w:hAnsi="宋体" w:cs="宋体"/>
          <w:color w:val="auto"/>
          <w:kern w:val="0"/>
          <w:sz w:val="24"/>
          <w:szCs w:val="24"/>
          <w:highlight w:val="none"/>
          <w:lang w:eastAsia="zh-CN"/>
        </w:rPr>
        <w:t>：</w:t>
      </w:r>
    </w:p>
    <w:p w14:paraId="19C44B6D">
      <w:pPr>
        <w:numPr>
          <w:ilvl w:val="0"/>
          <w:numId w:val="0"/>
        </w:numPr>
        <w:shd w:val="clear"/>
        <w:autoSpaceDE w:val="0"/>
        <w:autoSpaceDN w:val="0"/>
        <w:adjustRightInd w:val="0"/>
        <w:snapToGrid w:val="0"/>
        <w:spacing w:line="360" w:lineRule="auto"/>
        <w:ind w:firstLine="480"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val="0"/>
          <w:bCs/>
          <w:color w:val="auto"/>
          <w:sz w:val="24"/>
          <w:highlight w:val="none"/>
          <w:lang w:eastAsia="zh-CN"/>
        </w:rPr>
        <w:t>（</w:t>
      </w:r>
      <w:r>
        <w:rPr>
          <w:rFonts w:hint="eastAsia" w:asciiTheme="minorEastAsia" w:hAnsiTheme="minorEastAsia" w:eastAsiaTheme="minorEastAsia"/>
          <w:b w:val="0"/>
          <w:bCs/>
          <w:color w:val="auto"/>
          <w:sz w:val="24"/>
          <w:highlight w:val="none"/>
          <w:lang w:val="en-US" w:eastAsia="zh-CN"/>
        </w:rPr>
        <w:t>1</w:t>
      </w:r>
      <w:r>
        <w:rPr>
          <w:rFonts w:hint="eastAsia" w:asciiTheme="minorEastAsia" w:hAnsiTheme="minorEastAsia" w:eastAsiaTheme="minorEastAsia"/>
          <w:b w:val="0"/>
          <w:bCs/>
          <w:color w:val="auto"/>
          <w:sz w:val="24"/>
          <w:highlight w:val="none"/>
          <w:lang w:eastAsia="zh-CN"/>
        </w:rPr>
        <w:t>）</w:t>
      </w:r>
      <w:r>
        <w:rPr>
          <w:rFonts w:hint="eastAsia" w:asciiTheme="minorEastAsia" w:hAnsiTheme="minorEastAsia" w:eastAsiaTheme="minorEastAsia"/>
          <w:b w:val="0"/>
          <w:bCs/>
          <w:color w:val="auto"/>
          <w:sz w:val="24"/>
          <w:highlight w:val="none"/>
        </w:rPr>
        <w:t>货款、标准附件、专用工具、包装、运输、装卸、保险、税金、货到就位，安装、调试、培训、保修</w:t>
      </w:r>
      <w:r>
        <w:rPr>
          <w:rFonts w:hint="eastAsia" w:asciiTheme="minorEastAsia" w:hAnsiTheme="minorEastAsia" w:eastAsiaTheme="minorEastAsia"/>
          <w:b w:val="0"/>
          <w:bCs/>
          <w:color w:val="auto"/>
          <w:sz w:val="24"/>
          <w:highlight w:val="none"/>
          <w:lang w:val="en-US" w:eastAsia="zh-CN"/>
        </w:rPr>
        <w:t>等费用；</w:t>
      </w:r>
    </w:p>
    <w:p w14:paraId="5EE0D9FB">
      <w:pPr>
        <w:shd w:val="clear"/>
        <w:autoSpaceDE w:val="0"/>
        <w:autoSpaceDN w:val="0"/>
        <w:adjustRightInd w:val="0"/>
        <w:snapToGrid w:val="0"/>
        <w:spacing w:line="360" w:lineRule="auto"/>
        <w:ind w:firstLine="480" w:firstLineChars="200"/>
        <w:rPr>
          <w:rFonts w:hint="eastAsia"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val="0"/>
          <w:bCs/>
          <w:color w:val="auto"/>
          <w:sz w:val="24"/>
          <w:highlight w:val="none"/>
          <w:lang w:eastAsia="zh-CN"/>
        </w:rPr>
        <w:t>（</w:t>
      </w:r>
      <w:r>
        <w:rPr>
          <w:rFonts w:hint="eastAsia" w:asciiTheme="minorEastAsia" w:hAnsiTheme="minorEastAsia" w:eastAsiaTheme="minorEastAsia"/>
          <w:b w:val="0"/>
          <w:bCs/>
          <w:color w:val="auto"/>
          <w:sz w:val="24"/>
          <w:highlight w:val="none"/>
          <w:lang w:val="en-US" w:eastAsia="zh-CN"/>
        </w:rPr>
        <w:t>2</w:t>
      </w:r>
      <w:r>
        <w:rPr>
          <w:rFonts w:hint="eastAsia" w:asciiTheme="minorEastAsia" w:hAnsiTheme="minorEastAsia" w:eastAsiaTheme="minorEastAsia"/>
          <w:b w:val="0"/>
          <w:bCs/>
          <w:color w:val="auto"/>
          <w:sz w:val="24"/>
          <w:highlight w:val="none"/>
          <w:lang w:eastAsia="zh-CN"/>
        </w:rPr>
        <w:t>）与本项目施工相关的墙面、地面、吊顶、线缆等相关</w:t>
      </w:r>
      <w:r>
        <w:rPr>
          <w:rFonts w:hint="eastAsia" w:asciiTheme="minorEastAsia" w:hAnsiTheme="minorEastAsia" w:eastAsiaTheme="minorEastAsia"/>
          <w:b w:val="0"/>
          <w:bCs/>
          <w:color w:val="auto"/>
          <w:sz w:val="24"/>
          <w:highlight w:val="none"/>
          <w:lang w:val="en-US" w:eastAsia="zh-CN"/>
        </w:rPr>
        <w:t>设施</w:t>
      </w:r>
      <w:r>
        <w:rPr>
          <w:rFonts w:hint="eastAsia" w:asciiTheme="minorEastAsia" w:hAnsiTheme="minorEastAsia" w:eastAsiaTheme="minorEastAsia"/>
          <w:b w:val="0"/>
          <w:bCs/>
          <w:color w:val="auto"/>
          <w:sz w:val="24"/>
          <w:highlight w:val="none"/>
          <w:lang w:eastAsia="zh-CN"/>
        </w:rPr>
        <w:t>、设备的恢复、修复，垃圾清运，以及税金、管理费等</w:t>
      </w:r>
      <w:r>
        <w:rPr>
          <w:rFonts w:hint="eastAsia" w:asciiTheme="minorEastAsia" w:hAnsiTheme="minorEastAsia" w:eastAsiaTheme="minorEastAsia"/>
          <w:b w:val="0"/>
          <w:bCs/>
          <w:color w:val="auto"/>
          <w:sz w:val="24"/>
          <w:highlight w:val="none"/>
          <w:lang w:val="en-US" w:eastAsia="zh-CN"/>
        </w:rPr>
        <w:t>；</w:t>
      </w:r>
    </w:p>
    <w:p w14:paraId="144DDBCE">
      <w:pPr>
        <w:shd w:val="clear"/>
        <w:autoSpaceDE w:val="0"/>
        <w:autoSpaceDN w:val="0"/>
        <w:adjustRightInd w:val="0"/>
        <w:snapToGrid w:val="0"/>
        <w:spacing w:line="360" w:lineRule="auto"/>
        <w:ind w:firstLine="480"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val="0"/>
          <w:bCs/>
          <w:color w:val="auto"/>
          <w:sz w:val="24"/>
          <w:highlight w:val="none"/>
          <w:lang w:val="en-US" w:eastAsia="zh-CN"/>
        </w:rPr>
        <w:t>（3）</w:t>
      </w:r>
      <w:r>
        <w:rPr>
          <w:rFonts w:hint="eastAsia" w:asciiTheme="minorEastAsia" w:hAnsiTheme="minorEastAsia" w:eastAsiaTheme="minorEastAsia"/>
          <w:b w:val="0"/>
          <w:bCs/>
          <w:color w:val="auto"/>
          <w:sz w:val="24"/>
          <w:highlight w:val="none"/>
          <w:lang w:eastAsia="zh-CN"/>
        </w:rPr>
        <w:t>与本项目施工相关</w:t>
      </w:r>
      <w:r>
        <w:rPr>
          <w:rFonts w:hint="eastAsia" w:asciiTheme="minorEastAsia" w:hAnsiTheme="minorEastAsia" w:eastAsiaTheme="minorEastAsia"/>
          <w:b w:val="0"/>
          <w:bCs/>
          <w:color w:val="auto"/>
          <w:sz w:val="24"/>
          <w:highlight w:val="none"/>
          <w:lang w:val="en-US" w:eastAsia="zh-CN"/>
        </w:rPr>
        <w:t>空气开关、配电箱等招标人要求的原有设施的拆除和搬运至指定地点的费用；</w:t>
      </w:r>
    </w:p>
    <w:p w14:paraId="616BAA7A">
      <w:pPr>
        <w:shd w:val="clear"/>
        <w:autoSpaceDE w:val="0"/>
        <w:autoSpaceDN w:val="0"/>
        <w:adjustRightInd w:val="0"/>
        <w:snapToGrid w:val="0"/>
        <w:spacing w:line="360" w:lineRule="auto"/>
        <w:ind w:firstLine="480"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val="0"/>
          <w:bCs/>
          <w:color w:val="auto"/>
          <w:sz w:val="24"/>
          <w:highlight w:val="none"/>
          <w:lang w:val="en-US" w:eastAsia="zh-CN"/>
        </w:rPr>
        <w:t>（4）实现本项目软硬件与原有电能管理平台无缝对接所需的费用。</w:t>
      </w:r>
    </w:p>
    <w:p w14:paraId="6BA78AA5">
      <w:pPr>
        <w:shd w:val="clear"/>
        <w:spacing w:line="360" w:lineRule="auto"/>
        <w:ind w:firstLine="480" w:firstLineChars="200"/>
        <w:rPr>
          <w:rFonts w:ascii="宋体" w:hAnsi="宋体" w:cs="宋体"/>
          <w:b/>
          <w:i/>
          <w:color w:val="auto"/>
          <w:sz w:val="24"/>
          <w:highlight w:val="none"/>
          <w:u w:val="single"/>
        </w:rPr>
      </w:pPr>
      <w:r>
        <w:rPr>
          <w:rFonts w:hint="eastAsia" w:ascii="宋体" w:hAnsi="宋体" w:cs="宋体"/>
          <w:color w:val="auto"/>
          <w:kern w:val="0"/>
          <w:sz w:val="24"/>
          <w:highlight w:val="none"/>
        </w:rPr>
        <w:t>2.报价一经涂改，应在涂改处加盖单位公章，或者由法定代表人或全权代表签字或盖章，否则其投标作无效标处理。</w:t>
      </w:r>
    </w:p>
    <w:p w14:paraId="2CB2415C">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7B2DFA39">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310E7118">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E1BBB84">
      <w:pPr>
        <w:shd w:val="clear"/>
        <w:spacing w:line="360" w:lineRule="auto"/>
        <w:jc w:val="left"/>
        <w:rPr>
          <w:rFonts w:ascii="宋体" w:hAnsi="宋体" w:cs="宋体"/>
          <w:color w:val="auto"/>
          <w:sz w:val="24"/>
          <w:szCs w:val="32"/>
          <w:highlight w:val="none"/>
        </w:rPr>
      </w:pPr>
    </w:p>
    <w:p w14:paraId="4EF0313A">
      <w:pPr>
        <w:shd w:val="clear"/>
        <w:spacing w:line="360" w:lineRule="auto"/>
        <w:outlineLvl w:val="0"/>
        <w:rPr>
          <w:rFonts w:hint="eastAsia" w:ascii="宋体" w:hAnsi="宋体" w:cs="宋体"/>
          <w:b/>
          <w:color w:val="auto"/>
          <w:sz w:val="28"/>
          <w:highlight w:val="none"/>
        </w:rPr>
      </w:pPr>
      <w:bookmarkStart w:id="174" w:name="_Toc1291875618"/>
      <w:bookmarkStart w:id="175" w:name="_Toc20462"/>
      <w:bookmarkStart w:id="176" w:name="_Toc24869"/>
    </w:p>
    <w:p w14:paraId="794034BB">
      <w:pPr>
        <w:shd w:val="clear"/>
        <w:spacing w:line="360" w:lineRule="auto"/>
        <w:outlineLvl w:val="0"/>
        <w:rPr>
          <w:rFonts w:hint="default" w:ascii="宋体" w:hAnsi="宋体" w:cs="宋体"/>
          <w:b/>
          <w:color w:val="auto"/>
          <w:sz w:val="28"/>
          <w:highlight w:val="none"/>
          <w:lang w:val="en-US"/>
        </w:rPr>
      </w:pPr>
      <w:r>
        <w:rPr>
          <w:rFonts w:hint="eastAsia" w:ascii="宋体" w:hAnsi="宋体" w:cs="宋体"/>
          <w:b/>
          <w:color w:val="auto"/>
          <w:sz w:val="28"/>
          <w:highlight w:val="none"/>
        </w:rPr>
        <w:t>附件</w:t>
      </w:r>
      <w:bookmarkEnd w:id="174"/>
      <w:bookmarkEnd w:id="175"/>
      <w:bookmarkEnd w:id="176"/>
      <w:r>
        <w:rPr>
          <w:rFonts w:hint="default" w:ascii="宋体" w:hAnsi="宋体" w:cs="宋体"/>
          <w:b/>
          <w:color w:val="auto"/>
          <w:sz w:val="28"/>
          <w:highlight w:val="none"/>
          <w:lang w:val="en-US"/>
        </w:rPr>
        <w:t>20</w:t>
      </w:r>
    </w:p>
    <w:p w14:paraId="6700D76A">
      <w:pPr>
        <w:shd w:val="clea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14:paraId="56D665ED">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615E789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项目编号：                                    [货币单位：人民币元]</w:t>
      </w:r>
    </w:p>
    <w:tbl>
      <w:tblPr>
        <w:tblStyle w:val="26"/>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22"/>
        <w:gridCol w:w="1345"/>
        <w:gridCol w:w="1221"/>
        <w:gridCol w:w="855"/>
        <w:gridCol w:w="732"/>
        <w:gridCol w:w="855"/>
        <w:gridCol w:w="863"/>
        <w:gridCol w:w="805"/>
      </w:tblGrid>
      <w:tr w14:paraId="6530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13" w:type="dxa"/>
            <w:vAlign w:val="center"/>
          </w:tcPr>
          <w:p w14:paraId="130006F9">
            <w:pPr>
              <w:shd w:val="clear"/>
              <w:jc w:val="center"/>
              <w:rPr>
                <w:b/>
                <w:color w:val="auto"/>
                <w:sz w:val="24"/>
                <w:highlight w:val="none"/>
              </w:rPr>
            </w:pPr>
            <w:r>
              <w:rPr>
                <w:rFonts w:hint="eastAsia"/>
                <w:b/>
                <w:color w:val="auto"/>
                <w:sz w:val="24"/>
                <w:highlight w:val="none"/>
              </w:rPr>
              <w:t>序号</w:t>
            </w:r>
          </w:p>
        </w:tc>
        <w:tc>
          <w:tcPr>
            <w:tcW w:w="1122" w:type="dxa"/>
            <w:vAlign w:val="center"/>
          </w:tcPr>
          <w:p w14:paraId="2928B167">
            <w:pPr>
              <w:shd w:val="clear"/>
              <w:jc w:val="center"/>
              <w:rPr>
                <w:b/>
                <w:color w:val="auto"/>
                <w:sz w:val="24"/>
                <w:highlight w:val="none"/>
              </w:rPr>
            </w:pPr>
            <w:r>
              <w:rPr>
                <w:rFonts w:hint="eastAsia"/>
                <w:b/>
                <w:color w:val="auto"/>
                <w:sz w:val="24"/>
                <w:highlight w:val="none"/>
              </w:rPr>
              <w:t>设备名称</w:t>
            </w:r>
          </w:p>
        </w:tc>
        <w:tc>
          <w:tcPr>
            <w:tcW w:w="1345" w:type="dxa"/>
            <w:vAlign w:val="center"/>
          </w:tcPr>
          <w:p w14:paraId="25CEEE02">
            <w:pPr>
              <w:shd w:val="clear"/>
              <w:jc w:val="center"/>
              <w:rPr>
                <w:b/>
                <w:color w:val="auto"/>
                <w:sz w:val="24"/>
                <w:highlight w:val="none"/>
              </w:rPr>
            </w:pPr>
            <w:r>
              <w:rPr>
                <w:rFonts w:hint="eastAsia"/>
                <w:b/>
                <w:color w:val="auto"/>
                <w:sz w:val="24"/>
                <w:highlight w:val="none"/>
              </w:rPr>
              <w:t>制造商名称（全称）</w:t>
            </w:r>
          </w:p>
        </w:tc>
        <w:tc>
          <w:tcPr>
            <w:tcW w:w="1221" w:type="dxa"/>
            <w:vAlign w:val="center"/>
          </w:tcPr>
          <w:p w14:paraId="10C2C656">
            <w:pPr>
              <w:shd w:val="clear"/>
              <w:jc w:val="center"/>
              <w:rPr>
                <w:b/>
                <w:color w:val="auto"/>
                <w:sz w:val="24"/>
                <w:highlight w:val="none"/>
              </w:rPr>
            </w:pPr>
            <w:r>
              <w:rPr>
                <w:rFonts w:hint="eastAsia"/>
                <w:b/>
                <w:color w:val="auto"/>
                <w:sz w:val="24"/>
                <w:highlight w:val="none"/>
              </w:rPr>
              <w:t>是否是小微企业</w:t>
            </w:r>
          </w:p>
        </w:tc>
        <w:tc>
          <w:tcPr>
            <w:tcW w:w="855" w:type="dxa"/>
            <w:vAlign w:val="center"/>
          </w:tcPr>
          <w:p w14:paraId="51E2E8EA">
            <w:pPr>
              <w:shd w:val="clear"/>
              <w:jc w:val="center"/>
              <w:rPr>
                <w:b/>
                <w:color w:val="auto"/>
                <w:sz w:val="24"/>
                <w:highlight w:val="none"/>
              </w:rPr>
            </w:pPr>
            <w:r>
              <w:rPr>
                <w:rFonts w:hint="eastAsia"/>
                <w:b/>
                <w:color w:val="auto"/>
                <w:sz w:val="24"/>
                <w:highlight w:val="none"/>
              </w:rPr>
              <w:t>品牌</w:t>
            </w:r>
          </w:p>
          <w:p w14:paraId="0FE8D484">
            <w:pPr>
              <w:shd w:val="clear"/>
              <w:jc w:val="center"/>
              <w:rPr>
                <w:b/>
                <w:color w:val="auto"/>
                <w:sz w:val="24"/>
                <w:highlight w:val="none"/>
              </w:rPr>
            </w:pPr>
            <w:r>
              <w:rPr>
                <w:rFonts w:hint="eastAsia"/>
                <w:b/>
                <w:color w:val="auto"/>
                <w:sz w:val="24"/>
                <w:highlight w:val="none"/>
              </w:rPr>
              <w:t>型号</w:t>
            </w:r>
          </w:p>
        </w:tc>
        <w:tc>
          <w:tcPr>
            <w:tcW w:w="732" w:type="dxa"/>
            <w:vAlign w:val="center"/>
          </w:tcPr>
          <w:p w14:paraId="068048AB">
            <w:pPr>
              <w:shd w:val="clear"/>
              <w:jc w:val="center"/>
              <w:rPr>
                <w:b/>
                <w:color w:val="auto"/>
                <w:sz w:val="24"/>
                <w:highlight w:val="none"/>
              </w:rPr>
            </w:pPr>
            <w:r>
              <w:rPr>
                <w:rFonts w:hint="eastAsia"/>
                <w:b/>
                <w:color w:val="auto"/>
                <w:sz w:val="24"/>
                <w:highlight w:val="none"/>
              </w:rPr>
              <w:t>数量</w:t>
            </w:r>
          </w:p>
        </w:tc>
        <w:tc>
          <w:tcPr>
            <w:tcW w:w="855" w:type="dxa"/>
            <w:vAlign w:val="center"/>
          </w:tcPr>
          <w:p w14:paraId="72B3CBD6">
            <w:pPr>
              <w:shd w:val="clear"/>
              <w:jc w:val="center"/>
              <w:rPr>
                <w:b/>
                <w:color w:val="auto"/>
                <w:sz w:val="24"/>
                <w:highlight w:val="none"/>
              </w:rPr>
            </w:pPr>
            <w:r>
              <w:rPr>
                <w:rFonts w:hint="eastAsia"/>
                <w:b/>
                <w:color w:val="auto"/>
                <w:sz w:val="24"/>
                <w:highlight w:val="none"/>
              </w:rPr>
              <w:t>单位</w:t>
            </w:r>
          </w:p>
        </w:tc>
        <w:tc>
          <w:tcPr>
            <w:tcW w:w="863" w:type="dxa"/>
            <w:vAlign w:val="center"/>
          </w:tcPr>
          <w:p w14:paraId="04F19593">
            <w:pPr>
              <w:shd w:val="clear"/>
              <w:jc w:val="center"/>
              <w:rPr>
                <w:b/>
                <w:color w:val="auto"/>
                <w:sz w:val="24"/>
                <w:highlight w:val="none"/>
              </w:rPr>
            </w:pPr>
            <w:r>
              <w:rPr>
                <w:rFonts w:hint="eastAsia"/>
                <w:b/>
                <w:color w:val="auto"/>
                <w:sz w:val="24"/>
                <w:highlight w:val="none"/>
              </w:rPr>
              <w:t>单价</w:t>
            </w:r>
          </w:p>
        </w:tc>
        <w:tc>
          <w:tcPr>
            <w:tcW w:w="805" w:type="dxa"/>
            <w:vAlign w:val="center"/>
          </w:tcPr>
          <w:p w14:paraId="229C3EF1">
            <w:pPr>
              <w:shd w:val="clear"/>
              <w:jc w:val="center"/>
              <w:rPr>
                <w:b/>
                <w:color w:val="auto"/>
                <w:sz w:val="24"/>
                <w:highlight w:val="none"/>
              </w:rPr>
            </w:pPr>
            <w:r>
              <w:rPr>
                <w:rFonts w:hint="eastAsia"/>
                <w:b/>
                <w:color w:val="auto"/>
                <w:sz w:val="24"/>
                <w:highlight w:val="none"/>
              </w:rPr>
              <w:t>总价</w:t>
            </w:r>
          </w:p>
        </w:tc>
      </w:tr>
      <w:tr w14:paraId="4753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00A836DE">
            <w:pPr>
              <w:shd w:val="clear"/>
              <w:spacing w:line="480" w:lineRule="auto"/>
              <w:jc w:val="center"/>
              <w:rPr>
                <w:rFonts w:ascii="宋体" w:hAnsi="宋体"/>
                <w:b/>
                <w:color w:val="auto"/>
                <w:sz w:val="24"/>
                <w:highlight w:val="none"/>
              </w:rPr>
            </w:pPr>
          </w:p>
        </w:tc>
        <w:tc>
          <w:tcPr>
            <w:tcW w:w="1122" w:type="dxa"/>
          </w:tcPr>
          <w:p w14:paraId="1F89F841">
            <w:pPr>
              <w:shd w:val="clear"/>
              <w:spacing w:line="480" w:lineRule="auto"/>
              <w:jc w:val="center"/>
              <w:rPr>
                <w:rFonts w:ascii="宋体" w:hAnsi="宋体"/>
                <w:color w:val="auto"/>
                <w:sz w:val="24"/>
                <w:highlight w:val="none"/>
              </w:rPr>
            </w:pPr>
          </w:p>
        </w:tc>
        <w:tc>
          <w:tcPr>
            <w:tcW w:w="1345" w:type="dxa"/>
            <w:vAlign w:val="center"/>
          </w:tcPr>
          <w:p w14:paraId="6F9B2B17">
            <w:pPr>
              <w:shd w:val="clear"/>
              <w:spacing w:line="480" w:lineRule="auto"/>
              <w:jc w:val="center"/>
              <w:rPr>
                <w:rFonts w:ascii="宋体" w:hAnsi="宋体"/>
                <w:b/>
                <w:color w:val="auto"/>
                <w:sz w:val="24"/>
                <w:highlight w:val="none"/>
              </w:rPr>
            </w:pPr>
          </w:p>
        </w:tc>
        <w:tc>
          <w:tcPr>
            <w:tcW w:w="1221" w:type="dxa"/>
            <w:vAlign w:val="center"/>
          </w:tcPr>
          <w:p w14:paraId="09D441FE">
            <w:pPr>
              <w:shd w:val="clear"/>
              <w:spacing w:line="480" w:lineRule="auto"/>
              <w:jc w:val="center"/>
              <w:rPr>
                <w:rFonts w:ascii="宋体" w:hAnsi="宋体"/>
                <w:b/>
                <w:color w:val="auto"/>
                <w:sz w:val="24"/>
                <w:highlight w:val="none"/>
              </w:rPr>
            </w:pPr>
          </w:p>
        </w:tc>
        <w:tc>
          <w:tcPr>
            <w:tcW w:w="855" w:type="dxa"/>
            <w:vAlign w:val="center"/>
          </w:tcPr>
          <w:p w14:paraId="5389D8DF">
            <w:pPr>
              <w:shd w:val="clear"/>
              <w:spacing w:line="480" w:lineRule="auto"/>
              <w:jc w:val="center"/>
              <w:rPr>
                <w:rFonts w:ascii="宋体" w:hAnsi="宋体"/>
                <w:b/>
                <w:color w:val="auto"/>
                <w:sz w:val="24"/>
                <w:highlight w:val="none"/>
              </w:rPr>
            </w:pPr>
          </w:p>
        </w:tc>
        <w:tc>
          <w:tcPr>
            <w:tcW w:w="732" w:type="dxa"/>
            <w:vAlign w:val="center"/>
          </w:tcPr>
          <w:p w14:paraId="6641C2F4">
            <w:pPr>
              <w:shd w:val="clear"/>
              <w:spacing w:line="480" w:lineRule="auto"/>
              <w:jc w:val="center"/>
              <w:rPr>
                <w:rFonts w:ascii="宋体" w:hAnsi="宋体"/>
                <w:b/>
                <w:color w:val="auto"/>
                <w:sz w:val="24"/>
                <w:highlight w:val="none"/>
              </w:rPr>
            </w:pPr>
          </w:p>
        </w:tc>
        <w:tc>
          <w:tcPr>
            <w:tcW w:w="855" w:type="dxa"/>
            <w:vAlign w:val="center"/>
          </w:tcPr>
          <w:p w14:paraId="022ADC28">
            <w:pPr>
              <w:shd w:val="clear"/>
              <w:spacing w:line="480" w:lineRule="auto"/>
              <w:jc w:val="center"/>
              <w:rPr>
                <w:rFonts w:ascii="宋体" w:hAnsi="宋体"/>
                <w:b/>
                <w:color w:val="auto"/>
                <w:sz w:val="24"/>
                <w:highlight w:val="none"/>
              </w:rPr>
            </w:pPr>
          </w:p>
        </w:tc>
        <w:tc>
          <w:tcPr>
            <w:tcW w:w="863" w:type="dxa"/>
            <w:vAlign w:val="center"/>
          </w:tcPr>
          <w:p w14:paraId="14B77659">
            <w:pPr>
              <w:shd w:val="clear"/>
              <w:spacing w:line="480" w:lineRule="auto"/>
              <w:jc w:val="center"/>
              <w:rPr>
                <w:rFonts w:ascii="宋体" w:hAnsi="宋体"/>
                <w:b/>
                <w:color w:val="auto"/>
                <w:sz w:val="24"/>
                <w:highlight w:val="none"/>
              </w:rPr>
            </w:pPr>
          </w:p>
        </w:tc>
        <w:tc>
          <w:tcPr>
            <w:tcW w:w="805" w:type="dxa"/>
            <w:vAlign w:val="center"/>
          </w:tcPr>
          <w:p w14:paraId="46C3677F">
            <w:pPr>
              <w:shd w:val="clear"/>
              <w:spacing w:line="480" w:lineRule="auto"/>
              <w:jc w:val="center"/>
              <w:rPr>
                <w:rFonts w:ascii="宋体" w:hAnsi="宋体"/>
                <w:b/>
                <w:color w:val="auto"/>
                <w:sz w:val="24"/>
                <w:highlight w:val="none"/>
              </w:rPr>
            </w:pPr>
          </w:p>
        </w:tc>
      </w:tr>
      <w:tr w14:paraId="2FEA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4C432CAB">
            <w:pPr>
              <w:shd w:val="clear"/>
              <w:spacing w:line="480" w:lineRule="auto"/>
              <w:jc w:val="center"/>
              <w:rPr>
                <w:rFonts w:ascii="宋体" w:hAnsi="宋体"/>
                <w:b/>
                <w:color w:val="auto"/>
                <w:sz w:val="24"/>
                <w:highlight w:val="none"/>
              </w:rPr>
            </w:pPr>
          </w:p>
        </w:tc>
        <w:tc>
          <w:tcPr>
            <w:tcW w:w="1122" w:type="dxa"/>
          </w:tcPr>
          <w:p w14:paraId="2754BD62">
            <w:pPr>
              <w:shd w:val="clear"/>
              <w:spacing w:line="480" w:lineRule="auto"/>
              <w:jc w:val="center"/>
              <w:rPr>
                <w:rFonts w:ascii="宋体" w:hAnsi="宋体"/>
                <w:color w:val="auto"/>
                <w:sz w:val="24"/>
                <w:highlight w:val="none"/>
              </w:rPr>
            </w:pPr>
          </w:p>
        </w:tc>
        <w:tc>
          <w:tcPr>
            <w:tcW w:w="1345" w:type="dxa"/>
            <w:vAlign w:val="center"/>
          </w:tcPr>
          <w:p w14:paraId="457D9042">
            <w:pPr>
              <w:shd w:val="clear"/>
              <w:spacing w:line="480" w:lineRule="auto"/>
              <w:jc w:val="center"/>
              <w:rPr>
                <w:rFonts w:ascii="宋体" w:hAnsi="宋体"/>
                <w:b/>
                <w:color w:val="auto"/>
                <w:sz w:val="24"/>
                <w:highlight w:val="none"/>
              </w:rPr>
            </w:pPr>
          </w:p>
        </w:tc>
        <w:tc>
          <w:tcPr>
            <w:tcW w:w="1221" w:type="dxa"/>
            <w:vAlign w:val="center"/>
          </w:tcPr>
          <w:p w14:paraId="15058810">
            <w:pPr>
              <w:shd w:val="clear"/>
              <w:spacing w:line="480" w:lineRule="auto"/>
              <w:jc w:val="center"/>
              <w:rPr>
                <w:rFonts w:ascii="宋体" w:hAnsi="宋体"/>
                <w:b/>
                <w:color w:val="auto"/>
                <w:sz w:val="24"/>
                <w:highlight w:val="none"/>
              </w:rPr>
            </w:pPr>
          </w:p>
        </w:tc>
        <w:tc>
          <w:tcPr>
            <w:tcW w:w="855" w:type="dxa"/>
            <w:vAlign w:val="center"/>
          </w:tcPr>
          <w:p w14:paraId="0AF74240">
            <w:pPr>
              <w:shd w:val="clear"/>
              <w:spacing w:line="480" w:lineRule="auto"/>
              <w:jc w:val="center"/>
              <w:rPr>
                <w:rFonts w:ascii="宋体" w:hAnsi="宋体"/>
                <w:b/>
                <w:color w:val="auto"/>
                <w:sz w:val="24"/>
                <w:highlight w:val="none"/>
              </w:rPr>
            </w:pPr>
          </w:p>
        </w:tc>
        <w:tc>
          <w:tcPr>
            <w:tcW w:w="732" w:type="dxa"/>
          </w:tcPr>
          <w:p w14:paraId="26C38270">
            <w:pPr>
              <w:shd w:val="clear"/>
              <w:spacing w:line="480" w:lineRule="auto"/>
              <w:jc w:val="center"/>
              <w:rPr>
                <w:rFonts w:ascii="宋体" w:hAnsi="宋体"/>
                <w:color w:val="auto"/>
                <w:highlight w:val="none"/>
              </w:rPr>
            </w:pPr>
          </w:p>
        </w:tc>
        <w:tc>
          <w:tcPr>
            <w:tcW w:w="855" w:type="dxa"/>
            <w:vAlign w:val="center"/>
          </w:tcPr>
          <w:p w14:paraId="682BB8ED">
            <w:pPr>
              <w:shd w:val="clear"/>
              <w:spacing w:line="480" w:lineRule="auto"/>
              <w:jc w:val="center"/>
              <w:rPr>
                <w:rFonts w:ascii="宋体" w:hAnsi="宋体"/>
                <w:b/>
                <w:color w:val="auto"/>
                <w:sz w:val="24"/>
                <w:highlight w:val="none"/>
              </w:rPr>
            </w:pPr>
          </w:p>
        </w:tc>
        <w:tc>
          <w:tcPr>
            <w:tcW w:w="863" w:type="dxa"/>
            <w:vAlign w:val="center"/>
          </w:tcPr>
          <w:p w14:paraId="32B98C09">
            <w:pPr>
              <w:shd w:val="clear"/>
              <w:spacing w:line="480" w:lineRule="auto"/>
              <w:jc w:val="center"/>
              <w:rPr>
                <w:rFonts w:ascii="宋体" w:hAnsi="宋体"/>
                <w:b/>
                <w:color w:val="auto"/>
                <w:sz w:val="24"/>
                <w:highlight w:val="none"/>
              </w:rPr>
            </w:pPr>
          </w:p>
        </w:tc>
        <w:tc>
          <w:tcPr>
            <w:tcW w:w="805" w:type="dxa"/>
            <w:vAlign w:val="center"/>
          </w:tcPr>
          <w:p w14:paraId="0D818A14">
            <w:pPr>
              <w:shd w:val="clear"/>
              <w:spacing w:line="480" w:lineRule="auto"/>
              <w:jc w:val="center"/>
              <w:rPr>
                <w:rFonts w:ascii="宋体" w:hAnsi="宋体"/>
                <w:b/>
                <w:color w:val="auto"/>
                <w:sz w:val="24"/>
                <w:highlight w:val="none"/>
              </w:rPr>
            </w:pPr>
          </w:p>
        </w:tc>
      </w:tr>
      <w:tr w14:paraId="5DB0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02BE9454">
            <w:pPr>
              <w:shd w:val="clear"/>
              <w:spacing w:line="480" w:lineRule="auto"/>
              <w:jc w:val="center"/>
              <w:rPr>
                <w:rFonts w:ascii="宋体" w:hAnsi="宋体"/>
                <w:b/>
                <w:color w:val="auto"/>
                <w:sz w:val="24"/>
                <w:highlight w:val="none"/>
              </w:rPr>
            </w:pPr>
          </w:p>
        </w:tc>
        <w:tc>
          <w:tcPr>
            <w:tcW w:w="1122" w:type="dxa"/>
          </w:tcPr>
          <w:p w14:paraId="622C2871">
            <w:pPr>
              <w:shd w:val="clear"/>
              <w:spacing w:line="480" w:lineRule="auto"/>
              <w:jc w:val="center"/>
              <w:rPr>
                <w:rFonts w:ascii="宋体" w:hAnsi="宋体"/>
                <w:color w:val="auto"/>
                <w:sz w:val="24"/>
                <w:highlight w:val="none"/>
              </w:rPr>
            </w:pPr>
          </w:p>
        </w:tc>
        <w:tc>
          <w:tcPr>
            <w:tcW w:w="1345" w:type="dxa"/>
            <w:vAlign w:val="center"/>
          </w:tcPr>
          <w:p w14:paraId="741166F3">
            <w:pPr>
              <w:shd w:val="clear"/>
              <w:spacing w:line="480" w:lineRule="auto"/>
              <w:jc w:val="center"/>
              <w:rPr>
                <w:rFonts w:ascii="宋体" w:hAnsi="宋体"/>
                <w:b/>
                <w:color w:val="auto"/>
                <w:sz w:val="24"/>
                <w:highlight w:val="none"/>
              </w:rPr>
            </w:pPr>
          </w:p>
        </w:tc>
        <w:tc>
          <w:tcPr>
            <w:tcW w:w="1221" w:type="dxa"/>
            <w:vAlign w:val="center"/>
          </w:tcPr>
          <w:p w14:paraId="463C72C5">
            <w:pPr>
              <w:shd w:val="clear"/>
              <w:spacing w:line="480" w:lineRule="auto"/>
              <w:jc w:val="center"/>
              <w:rPr>
                <w:rFonts w:ascii="宋体" w:hAnsi="宋体"/>
                <w:b/>
                <w:color w:val="auto"/>
                <w:sz w:val="24"/>
                <w:highlight w:val="none"/>
              </w:rPr>
            </w:pPr>
          </w:p>
        </w:tc>
        <w:tc>
          <w:tcPr>
            <w:tcW w:w="855" w:type="dxa"/>
            <w:vAlign w:val="center"/>
          </w:tcPr>
          <w:p w14:paraId="463C7C69">
            <w:pPr>
              <w:shd w:val="clear"/>
              <w:spacing w:line="480" w:lineRule="auto"/>
              <w:jc w:val="center"/>
              <w:rPr>
                <w:rFonts w:ascii="宋体" w:hAnsi="宋体"/>
                <w:b/>
                <w:color w:val="auto"/>
                <w:sz w:val="24"/>
                <w:highlight w:val="none"/>
              </w:rPr>
            </w:pPr>
          </w:p>
        </w:tc>
        <w:tc>
          <w:tcPr>
            <w:tcW w:w="732" w:type="dxa"/>
          </w:tcPr>
          <w:p w14:paraId="0DCD13BC">
            <w:pPr>
              <w:shd w:val="clear"/>
              <w:spacing w:line="480" w:lineRule="auto"/>
              <w:jc w:val="center"/>
              <w:rPr>
                <w:rFonts w:ascii="宋体" w:hAnsi="宋体"/>
                <w:color w:val="auto"/>
                <w:highlight w:val="none"/>
              </w:rPr>
            </w:pPr>
          </w:p>
        </w:tc>
        <w:tc>
          <w:tcPr>
            <w:tcW w:w="855" w:type="dxa"/>
            <w:vAlign w:val="center"/>
          </w:tcPr>
          <w:p w14:paraId="1AAC9EFC">
            <w:pPr>
              <w:shd w:val="clear"/>
              <w:spacing w:line="480" w:lineRule="auto"/>
              <w:jc w:val="center"/>
              <w:rPr>
                <w:rFonts w:ascii="宋体" w:hAnsi="宋体"/>
                <w:b/>
                <w:color w:val="auto"/>
                <w:sz w:val="24"/>
                <w:highlight w:val="none"/>
              </w:rPr>
            </w:pPr>
          </w:p>
        </w:tc>
        <w:tc>
          <w:tcPr>
            <w:tcW w:w="863" w:type="dxa"/>
            <w:vAlign w:val="center"/>
          </w:tcPr>
          <w:p w14:paraId="2274F6B2">
            <w:pPr>
              <w:shd w:val="clear"/>
              <w:spacing w:line="480" w:lineRule="auto"/>
              <w:jc w:val="center"/>
              <w:rPr>
                <w:rFonts w:ascii="宋体" w:hAnsi="宋体"/>
                <w:b/>
                <w:color w:val="auto"/>
                <w:sz w:val="24"/>
                <w:highlight w:val="none"/>
              </w:rPr>
            </w:pPr>
          </w:p>
        </w:tc>
        <w:tc>
          <w:tcPr>
            <w:tcW w:w="805" w:type="dxa"/>
            <w:vAlign w:val="center"/>
          </w:tcPr>
          <w:p w14:paraId="45E12B76">
            <w:pPr>
              <w:shd w:val="clear"/>
              <w:spacing w:line="480" w:lineRule="auto"/>
              <w:jc w:val="center"/>
              <w:rPr>
                <w:rFonts w:ascii="宋体" w:hAnsi="宋体"/>
                <w:b/>
                <w:color w:val="auto"/>
                <w:sz w:val="24"/>
                <w:highlight w:val="none"/>
              </w:rPr>
            </w:pPr>
          </w:p>
        </w:tc>
      </w:tr>
      <w:tr w14:paraId="58BD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62C637FD">
            <w:pPr>
              <w:shd w:val="clear"/>
              <w:spacing w:line="480" w:lineRule="auto"/>
              <w:jc w:val="center"/>
              <w:rPr>
                <w:rFonts w:ascii="宋体" w:hAnsi="宋体"/>
                <w:b/>
                <w:color w:val="auto"/>
                <w:sz w:val="24"/>
                <w:highlight w:val="none"/>
              </w:rPr>
            </w:pPr>
          </w:p>
        </w:tc>
        <w:tc>
          <w:tcPr>
            <w:tcW w:w="1122" w:type="dxa"/>
          </w:tcPr>
          <w:p w14:paraId="586ACF56">
            <w:pPr>
              <w:shd w:val="clear"/>
              <w:spacing w:line="480" w:lineRule="auto"/>
              <w:jc w:val="center"/>
              <w:rPr>
                <w:rFonts w:ascii="宋体" w:hAnsi="宋体"/>
                <w:color w:val="auto"/>
                <w:sz w:val="24"/>
                <w:highlight w:val="none"/>
              </w:rPr>
            </w:pPr>
          </w:p>
        </w:tc>
        <w:tc>
          <w:tcPr>
            <w:tcW w:w="1345" w:type="dxa"/>
            <w:vAlign w:val="center"/>
          </w:tcPr>
          <w:p w14:paraId="12266C69">
            <w:pPr>
              <w:shd w:val="clear"/>
              <w:spacing w:line="480" w:lineRule="auto"/>
              <w:jc w:val="center"/>
              <w:rPr>
                <w:rFonts w:ascii="宋体" w:hAnsi="宋体"/>
                <w:b/>
                <w:color w:val="auto"/>
                <w:sz w:val="24"/>
                <w:highlight w:val="none"/>
              </w:rPr>
            </w:pPr>
          </w:p>
        </w:tc>
        <w:tc>
          <w:tcPr>
            <w:tcW w:w="1221" w:type="dxa"/>
            <w:vAlign w:val="center"/>
          </w:tcPr>
          <w:p w14:paraId="70E30ED3">
            <w:pPr>
              <w:shd w:val="clear"/>
              <w:spacing w:line="480" w:lineRule="auto"/>
              <w:jc w:val="center"/>
              <w:rPr>
                <w:rFonts w:ascii="宋体" w:hAnsi="宋体"/>
                <w:b/>
                <w:color w:val="auto"/>
                <w:sz w:val="24"/>
                <w:highlight w:val="none"/>
              </w:rPr>
            </w:pPr>
          </w:p>
        </w:tc>
        <w:tc>
          <w:tcPr>
            <w:tcW w:w="855" w:type="dxa"/>
            <w:vAlign w:val="center"/>
          </w:tcPr>
          <w:p w14:paraId="32BB5333">
            <w:pPr>
              <w:shd w:val="clear"/>
              <w:spacing w:line="480" w:lineRule="auto"/>
              <w:jc w:val="center"/>
              <w:rPr>
                <w:rFonts w:ascii="宋体" w:hAnsi="宋体"/>
                <w:b/>
                <w:color w:val="auto"/>
                <w:sz w:val="24"/>
                <w:highlight w:val="none"/>
              </w:rPr>
            </w:pPr>
          </w:p>
        </w:tc>
        <w:tc>
          <w:tcPr>
            <w:tcW w:w="732" w:type="dxa"/>
          </w:tcPr>
          <w:p w14:paraId="71C16492">
            <w:pPr>
              <w:shd w:val="clear"/>
              <w:spacing w:line="480" w:lineRule="auto"/>
              <w:jc w:val="center"/>
              <w:rPr>
                <w:rFonts w:ascii="宋体" w:hAnsi="宋体"/>
                <w:color w:val="auto"/>
                <w:highlight w:val="none"/>
              </w:rPr>
            </w:pPr>
          </w:p>
        </w:tc>
        <w:tc>
          <w:tcPr>
            <w:tcW w:w="855" w:type="dxa"/>
            <w:vAlign w:val="center"/>
          </w:tcPr>
          <w:p w14:paraId="1FE93808">
            <w:pPr>
              <w:shd w:val="clear"/>
              <w:spacing w:line="480" w:lineRule="auto"/>
              <w:jc w:val="center"/>
              <w:rPr>
                <w:rFonts w:ascii="宋体" w:hAnsi="宋体"/>
                <w:b/>
                <w:color w:val="auto"/>
                <w:sz w:val="24"/>
                <w:highlight w:val="none"/>
              </w:rPr>
            </w:pPr>
          </w:p>
        </w:tc>
        <w:tc>
          <w:tcPr>
            <w:tcW w:w="863" w:type="dxa"/>
            <w:vAlign w:val="center"/>
          </w:tcPr>
          <w:p w14:paraId="1AEE56F0">
            <w:pPr>
              <w:shd w:val="clear"/>
              <w:spacing w:line="480" w:lineRule="auto"/>
              <w:jc w:val="center"/>
              <w:rPr>
                <w:rFonts w:ascii="宋体" w:hAnsi="宋体"/>
                <w:b/>
                <w:color w:val="auto"/>
                <w:sz w:val="24"/>
                <w:highlight w:val="none"/>
              </w:rPr>
            </w:pPr>
          </w:p>
        </w:tc>
        <w:tc>
          <w:tcPr>
            <w:tcW w:w="805" w:type="dxa"/>
            <w:vAlign w:val="center"/>
          </w:tcPr>
          <w:p w14:paraId="51053AB8">
            <w:pPr>
              <w:shd w:val="clear"/>
              <w:spacing w:line="480" w:lineRule="auto"/>
              <w:jc w:val="center"/>
              <w:rPr>
                <w:rFonts w:ascii="宋体" w:hAnsi="宋体"/>
                <w:b/>
                <w:color w:val="auto"/>
                <w:sz w:val="24"/>
                <w:highlight w:val="none"/>
              </w:rPr>
            </w:pPr>
          </w:p>
        </w:tc>
      </w:tr>
      <w:tr w14:paraId="5DE6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74131E4F">
            <w:pPr>
              <w:shd w:val="clear"/>
              <w:spacing w:line="480" w:lineRule="auto"/>
              <w:jc w:val="center"/>
              <w:rPr>
                <w:rFonts w:ascii="宋体" w:hAnsi="宋体"/>
                <w:b/>
                <w:color w:val="auto"/>
                <w:sz w:val="24"/>
                <w:highlight w:val="none"/>
              </w:rPr>
            </w:pPr>
          </w:p>
        </w:tc>
        <w:tc>
          <w:tcPr>
            <w:tcW w:w="1122" w:type="dxa"/>
          </w:tcPr>
          <w:p w14:paraId="7C193124">
            <w:pPr>
              <w:shd w:val="clear"/>
              <w:spacing w:line="480" w:lineRule="auto"/>
              <w:jc w:val="center"/>
              <w:rPr>
                <w:rFonts w:ascii="宋体" w:hAnsi="宋体"/>
                <w:color w:val="auto"/>
                <w:sz w:val="24"/>
                <w:highlight w:val="none"/>
              </w:rPr>
            </w:pPr>
          </w:p>
        </w:tc>
        <w:tc>
          <w:tcPr>
            <w:tcW w:w="1345" w:type="dxa"/>
            <w:vAlign w:val="center"/>
          </w:tcPr>
          <w:p w14:paraId="32B154A5">
            <w:pPr>
              <w:shd w:val="clear"/>
              <w:spacing w:line="480" w:lineRule="auto"/>
              <w:jc w:val="center"/>
              <w:rPr>
                <w:rFonts w:ascii="宋体" w:hAnsi="宋体"/>
                <w:b/>
                <w:color w:val="auto"/>
                <w:sz w:val="24"/>
                <w:highlight w:val="none"/>
              </w:rPr>
            </w:pPr>
          </w:p>
        </w:tc>
        <w:tc>
          <w:tcPr>
            <w:tcW w:w="1221" w:type="dxa"/>
            <w:vAlign w:val="center"/>
          </w:tcPr>
          <w:p w14:paraId="36B50992">
            <w:pPr>
              <w:shd w:val="clear"/>
              <w:spacing w:line="480" w:lineRule="auto"/>
              <w:jc w:val="center"/>
              <w:rPr>
                <w:rFonts w:ascii="宋体" w:hAnsi="宋体"/>
                <w:b/>
                <w:color w:val="auto"/>
                <w:sz w:val="24"/>
                <w:highlight w:val="none"/>
              </w:rPr>
            </w:pPr>
          </w:p>
        </w:tc>
        <w:tc>
          <w:tcPr>
            <w:tcW w:w="855" w:type="dxa"/>
            <w:vAlign w:val="center"/>
          </w:tcPr>
          <w:p w14:paraId="62D357A5">
            <w:pPr>
              <w:shd w:val="clear"/>
              <w:spacing w:line="480" w:lineRule="auto"/>
              <w:jc w:val="center"/>
              <w:rPr>
                <w:rFonts w:ascii="宋体" w:hAnsi="宋体"/>
                <w:b/>
                <w:color w:val="auto"/>
                <w:sz w:val="24"/>
                <w:highlight w:val="none"/>
              </w:rPr>
            </w:pPr>
          </w:p>
        </w:tc>
        <w:tc>
          <w:tcPr>
            <w:tcW w:w="732" w:type="dxa"/>
          </w:tcPr>
          <w:p w14:paraId="318F30B1">
            <w:pPr>
              <w:shd w:val="clear"/>
              <w:spacing w:line="480" w:lineRule="auto"/>
              <w:jc w:val="center"/>
              <w:rPr>
                <w:rFonts w:ascii="宋体" w:hAnsi="宋体"/>
                <w:color w:val="auto"/>
                <w:highlight w:val="none"/>
              </w:rPr>
            </w:pPr>
          </w:p>
        </w:tc>
        <w:tc>
          <w:tcPr>
            <w:tcW w:w="855" w:type="dxa"/>
            <w:vAlign w:val="center"/>
          </w:tcPr>
          <w:p w14:paraId="6E8AE443">
            <w:pPr>
              <w:shd w:val="clear"/>
              <w:spacing w:line="480" w:lineRule="auto"/>
              <w:jc w:val="center"/>
              <w:rPr>
                <w:rFonts w:ascii="宋体" w:hAnsi="宋体"/>
                <w:b/>
                <w:color w:val="auto"/>
                <w:sz w:val="24"/>
                <w:highlight w:val="none"/>
              </w:rPr>
            </w:pPr>
          </w:p>
        </w:tc>
        <w:tc>
          <w:tcPr>
            <w:tcW w:w="863" w:type="dxa"/>
            <w:vAlign w:val="center"/>
          </w:tcPr>
          <w:p w14:paraId="455716A5">
            <w:pPr>
              <w:shd w:val="clear"/>
              <w:spacing w:line="480" w:lineRule="auto"/>
              <w:jc w:val="center"/>
              <w:rPr>
                <w:rFonts w:ascii="宋体" w:hAnsi="宋体"/>
                <w:b/>
                <w:color w:val="auto"/>
                <w:sz w:val="24"/>
                <w:highlight w:val="none"/>
              </w:rPr>
            </w:pPr>
          </w:p>
        </w:tc>
        <w:tc>
          <w:tcPr>
            <w:tcW w:w="805" w:type="dxa"/>
            <w:vAlign w:val="center"/>
          </w:tcPr>
          <w:p w14:paraId="119410B1">
            <w:pPr>
              <w:shd w:val="clear"/>
              <w:spacing w:line="480" w:lineRule="auto"/>
              <w:jc w:val="center"/>
              <w:rPr>
                <w:rFonts w:ascii="宋体" w:hAnsi="宋体"/>
                <w:b/>
                <w:color w:val="auto"/>
                <w:sz w:val="24"/>
                <w:highlight w:val="none"/>
              </w:rPr>
            </w:pPr>
          </w:p>
        </w:tc>
      </w:tr>
      <w:tr w14:paraId="2F4E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72F63097">
            <w:pPr>
              <w:shd w:val="clear"/>
              <w:spacing w:line="480" w:lineRule="auto"/>
              <w:jc w:val="center"/>
              <w:rPr>
                <w:rFonts w:ascii="宋体" w:hAnsi="宋体"/>
                <w:b/>
                <w:color w:val="auto"/>
                <w:sz w:val="24"/>
                <w:highlight w:val="none"/>
              </w:rPr>
            </w:pPr>
          </w:p>
        </w:tc>
        <w:tc>
          <w:tcPr>
            <w:tcW w:w="1122" w:type="dxa"/>
          </w:tcPr>
          <w:p w14:paraId="588CD461">
            <w:pPr>
              <w:shd w:val="clear"/>
              <w:spacing w:line="480" w:lineRule="auto"/>
              <w:jc w:val="center"/>
              <w:rPr>
                <w:rFonts w:ascii="宋体" w:hAnsi="宋体"/>
                <w:color w:val="auto"/>
                <w:sz w:val="24"/>
                <w:highlight w:val="none"/>
              </w:rPr>
            </w:pPr>
          </w:p>
        </w:tc>
        <w:tc>
          <w:tcPr>
            <w:tcW w:w="1345" w:type="dxa"/>
            <w:vAlign w:val="center"/>
          </w:tcPr>
          <w:p w14:paraId="0AED553E">
            <w:pPr>
              <w:shd w:val="clear"/>
              <w:spacing w:line="480" w:lineRule="auto"/>
              <w:jc w:val="center"/>
              <w:rPr>
                <w:rFonts w:ascii="宋体" w:hAnsi="宋体"/>
                <w:b/>
                <w:color w:val="auto"/>
                <w:sz w:val="24"/>
                <w:highlight w:val="none"/>
              </w:rPr>
            </w:pPr>
          </w:p>
        </w:tc>
        <w:tc>
          <w:tcPr>
            <w:tcW w:w="1221" w:type="dxa"/>
            <w:vAlign w:val="center"/>
          </w:tcPr>
          <w:p w14:paraId="2C241F3A">
            <w:pPr>
              <w:shd w:val="clear"/>
              <w:spacing w:line="480" w:lineRule="auto"/>
              <w:jc w:val="center"/>
              <w:rPr>
                <w:rFonts w:ascii="宋体" w:hAnsi="宋体"/>
                <w:b/>
                <w:color w:val="auto"/>
                <w:sz w:val="24"/>
                <w:highlight w:val="none"/>
              </w:rPr>
            </w:pPr>
          </w:p>
        </w:tc>
        <w:tc>
          <w:tcPr>
            <w:tcW w:w="855" w:type="dxa"/>
            <w:vAlign w:val="center"/>
          </w:tcPr>
          <w:p w14:paraId="2185C633">
            <w:pPr>
              <w:shd w:val="clear"/>
              <w:spacing w:line="480" w:lineRule="auto"/>
              <w:jc w:val="center"/>
              <w:rPr>
                <w:rFonts w:ascii="宋体" w:hAnsi="宋体"/>
                <w:b/>
                <w:color w:val="auto"/>
                <w:sz w:val="24"/>
                <w:highlight w:val="none"/>
              </w:rPr>
            </w:pPr>
          </w:p>
        </w:tc>
        <w:tc>
          <w:tcPr>
            <w:tcW w:w="732" w:type="dxa"/>
          </w:tcPr>
          <w:p w14:paraId="7A4B71D2">
            <w:pPr>
              <w:shd w:val="clear"/>
              <w:spacing w:line="480" w:lineRule="auto"/>
              <w:jc w:val="center"/>
              <w:rPr>
                <w:rFonts w:ascii="宋体" w:hAnsi="宋体"/>
                <w:color w:val="auto"/>
                <w:highlight w:val="none"/>
              </w:rPr>
            </w:pPr>
          </w:p>
        </w:tc>
        <w:tc>
          <w:tcPr>
            <w:tcW w:w="855" w:type="dxa"/>
            <w:vAlign w:val="center"/>
          </w:tcPr>
          <w:p w14:paraId="4100C502">
            <w:pPr>
              <w:shd w:val="clear"/>
              <w:spacing w:line="480" w:lineRule="auto"/>
              <w:jc w:val="center"/>
              <w:rPr>
                <w:rFonts w:ascii="宋体" w:hAnsi="宋体"/>
                <w:b/>
                <w:color w:val="auto"/>
                <w:sz w:val="24"/>
                <w:highlight w:val="none"/>
              </w:rPr>
            </w:pPr>
          </w:p>
        </w:tc>
        <w:tc>
          <w:tcPr>
            <w:tcW w:w="863" w:type="dxa"/>
            <w:vAlign w:val="center"/>
          </w:tcPr>
          <w:p w14:paraId="3A4C9FA2">
            <w:pPr>
              <w:shd w:val="clear"/>
              <w:spacing w:line="480" w:lineRule="auto"/>
              <w:jc w:val="center"/>
              <w:rPr>
                <w:rFonts w:ascii="宋体" w:hAnsi="宋体"/>
                <w:b/>
                <w:color w:val="auto"/>
                <w:sz w:val="24"/>
                <w:highlight w:val="none"/>
              </w:rPr>
            </w:pPr>
          </w:p>
        </w:tc>
        <w:tc>
          <w:tcPr>
            <w:tcW w:w="805" w:type="dxa"/>
            <w:vAlign w:val="center"/>
          </w:tcPr>
          <w:p w14:paraId="5D017F6B">
            <w:pPr>
              <w:shd w:val="clear"/>
              <w:spacing w:line="480" w:lineRule="auto"/>
              <w:jc w:val="center"/>
              <w:rPr>
                <w:rFonts w:ascii="宋体" w:hAnsi="宋体"/>
                <w:b/>
                <w:color w:val="auto"/>
                <w:sz w:val="24"/>
                <w:highlight w:val="none"/>
              </w:rPr>
            </w:pPr>
          </w:p>
        </w:tc>
      </w:tr>
      <w:tr w14:paraId="5C66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0A886E33">
            <w:pPr>
              <w:shd w:val="clear"/>
              <w:spacing w:line="480" w:lineRule="auto"/>
              <w:jc w:val="center"/>
              <w:rPr>
                <w:rFonts w:ascii="宋体" w:hAnsi="宋体"/>
                <w:b/>
                <w:color w:val="auto"/>
                <w:sz w:val="24"/>
                <w:highlight w:val="none"/>
              </w:rPr>
            </w:pPr>
          </w:p>
        </w:tc>
        <w:tc>
          <w:tcPr>
            <w:tcW w:w="1122" w:type="dxa"/>
          </w:tcPr>
          <w:p w14:paraId="684684D8">
            <w:pPr>
              <w:shd w:val="clear"/>
              <w:spacing w:line="480" w:lineRule="auto"/>
              <w:jc w:val="center"/>
              <w:rPr>
                <w:rFonts w:ascii="宋体" w:hAnsi="宋体"/>
                <w:color w:val="auto"/>
                <w:sz w:val="24"/>
                <w:highlight w:val="none"/>
              </w:rPr>
            </w:pPr>
          </w:p>
        </w:tc>
        <w:tc>
          <w:tcPr>
            <w:tcW w:w="1345" w:type="dxa"/>
            <w:vAlign w:val="center"/>
          </w:tcPr>
          <w:p w14:paraId="730F0D31">
            <w:pPr>
              <w:shd w:val="clear"/>
              <w:spacing w:line="480" w:lineRule="auto"/>
              <w:jc w:val="center"/>
              <w:rPr>
                <w:rFonts w:ascii="宋体" w:hAnsi="宋体"/>
                <w:b/>
                <w:color w:val="auto"/>
                <w:sz w:val="24"/>
                <w:highlight w:val="none"/>
              </w:rPr>
            </w:pPr>
          </w:p>
        </w:tc>
        <w:tc>
          <w:tcPr>
            <w:tcW w:w="1221" w:type="dxa"/>
            <w:vAlign w:val="center"/>
          </w:tcPr>
          <w:p w14:paraId="05FF6F6E">
            <w:pPr>
              <w:shd w:val="clear"/>
              <w:spacing w:line="480" w:lineRule="auto"/>
              <w:jc w:val="center"/>
              <w:rPr>
                <w:rFonts w:ascii="宋体" w:hAnsi="宋体"/>
                <w:b/>
                <w:color w:val="auto"/>
                <w:sz w:val="24"/>
                <w:highlight w:val="none"/>
              </w:rPr>
            </w:pPr>
          </w:p>
        </w:tc>
        <w:tc>
          <w:tcPr>
            <w:tcW w:w="855" w:type="dxa"/>
            <w:vAlign w:val="center"/>
          </w:tcPr>
          <w:p w14:paraId="054BAA89">
            <w:pPr>
              <w:shd w:val="clear"/>
              <w:spacing w:line="480" w:lineRule="auto"/>
              <w:jc w:val="center"/>
              <w:rPr>
                <w:rFonts w:ascii="宋体" w:hAnsi="宋体"/>
                <w:b/>
                <w:color w:val="auto"/>
                <w:sz w:val="24"/>
                <w:highlight w:val="none"/>
              </w:rPr>
            </w:pPr>
          </w:p>
        </w:tc>
        <w:tc>
          <w:tcPr>
            <w:tcW w:w="732" w:type="dxa"/>
          </w:tcPr>
          <w:p w14:paraId="78C28F51">
            <w:pPr>
              <w:shd w:val="clear"/>
              <w:spacing w:line="480" w:lineRule="auto"/>
              <w:jc w:val="center"/>
              <w:rPr>
                <w:rFonts w:ascii="宋体" w:hAnsi="宋体"/>
                <w:color w:val="auto"/>
                <w:highlight w:val="none"/>
              </w:rPr>
            </w:pPr>
          </w:p>
        </w:tc>
        <w:tc>
          <w:tcPr>
            <w:tcW w:w="855" w:type="dxa"/>
            <w:vAlign w:val="center"/>
          </w:tcPr>
          <w:p w14:paraId="03AB4A23">
            <w:pPr>
              <w:shd w:val="clear"/>
              <w:spacing w:line="480" w:lineRule="auto"/>
              <w:jc w:val="center"/>
              <w:rPr>
                <w:rFonts w:ascii="宋体" w:hAnsi="宋体"/>
                <w:b/>
                <w:color w:val="auto"/>
                <w:sz w:val="24"/>
                <w:highlight w:val="none"/>
              </w:rPr>
            </w:pPr>
          </w:p>
        </w:tc>
        <w:tc>
          <w:tcPr>
            <w:tcW w:w="863" w:type="dxa"/>
            <w:vAlign w:val="center"/>
          </w:tcPr>
          <w:p w14:paraId="332DC647">
            <w:pPr>
              <w:shd w:val="clear"/>
              <w:spacing w:line="480" w:lineRule="auto"/>
              <w:jc w:val="center"/>
              <w:rPr>
                <w:rFonts w:ascii="宋体" w:hAnsi="宋体"/>
                <w:b/>
                <w:color w:val="auto"/>
                <w:sz w:val="24"/>
                <w:highlight w:val="none"/>
              </w:rPr>
            </w:pPr>
          </w:p>
        </w:tc>
        <w:tc>
          <w:tcPr>
            <w:tcW w:w="805" w:type="dxa"/>
            <w:vAlign w:val="center"/>
          </w:tcPr>
          <w:p w14:paraId="365367DC">
            <w:pPr>
              <w:shd w:val="clear"/>
              <w:spacing w:line="480" w:lineRule="auto"/>
              <w:jc w:val="center"/>
              <w:rPr>
                <w:rFonts w:ascii="宋体" w:hAnsi="宋体"/>
                <w:b/>
                <w:color w:val="auto"/>
                <w:sz w:val="24"/>
                <w:highlight w:val="none"/>
              </w:rPr>
            </w:pPr>
          </w:p>
        </w:tc>
      </w:tr>
      <w:tr w14:paraId="612D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7891F2E6">
            <w:pPr>
              <w:shd w:val="clear"/>
              <w:spacing w:line="480" w:lineRule="auto"/>
              <w:jc w:val="center"/>
              <w:rPr>
                <w:rFonts w:ascii="宋体" w:hAnsi="宋体"/>
                <w:b/>
                <w:color w:val="auto"/>
                <w:sz w:val="24"/>
                <w:highlight w:val="none"/>
              </w:rPr>
            </w:pPr>
          </w:p>
        </w:tc>
        <w:tc>
          <w:tcPr>
            <w:tcW w:w="1122" w:type="dxa"/>
          </w:tcPr>
          <w:p w14:paraId="781C16F5">
            <w:pPr>
              <w:shd w:val="clear"/>
              <w:spacing w:line="480" w:lineRule="auto"/>
              <w:jc w:val="center"/>
              <w:rPr>
                <w:rFonts w:ascii="宋体" w:hAnsi="宋体"/>
                <w:color w:val="auto"/>
                <w:sz w:val="24"/>
                <w:highlight w:val="none"/>
              </w:rPr>
            </w:pPr>
          </w:p>
        </w:tc>
        <w:tc>
          <w:tcPr>
            <w:tcW w:w="1345" w:type="dxa"/>
            <w:vAlign w:val="center"/>
          </w:tcPr>
          <w:p w14:paraId="1C4508F9">
            <w:pPr>
              <w:shd w:val="clear"/>
              <w:spacing w:line="480" w:lineRule="auto"/>
              <w:jc w:val="center"/>
              <w:rPr>
                <w:rFonts w:ascii="宋体" w:hAnsi="宋体"/>
                <w:b/>
                <w:color w:val="auto"/>
                <w:sz w:val="24"/>
                <w:highlight w:val="none"/>
              </w:rPr>
            </w:pPr>
          </w:p>
        </w:tc>
        <w:tc>
          <w:tcPr>
            <w:tcW w:w="1221" w:type="dxa"/>
            <w:vAlign w:val="center"/>
          </w:tcPr>
          <w:p w14:paraId="6C12F522">
            <w:pPr>
              <w:shd w:val="clear"/>
              <w:spacing w:line="480" w:lineRule="auto"/>
              <w:jc w:val="center"/>
              <w:rPr>
                <w:rFonts w:ascii="宋体" w:hAnsi="宋体"/>
                <w:b/>
                <w:color w:val="auto"/>
                <w:sz w:val="24"/>
                <w:highlight w:val="none"/>
              </w:rPr>
            </w:pPr>
          </w:p>
        </w:tc>
        <w:tc>
          <w:tcPr>
            <w:tcW w:w="855" w:type="dxa"/>
            <w:vAlign w:val="center"/>
          </w:tcPr>
          <w:p w14:paraId="063068A2">
            <w:pPr>
              <w:shd w:val="clear"/>
              <w:spacing w:line="480" w:lineRule="auto"/>
              <w:jc w:val="center"/>
              <w:rPr>
                <w:rFonts w:ascii="宋体" w:hAnsi="宋体"/>
                <w:b/>
                <w:color w:val="auto"/>
                <w:sz w:val="24"/>
                <w:highlight w:val="none"/>
              </w:rPr>
            </w:pPr>
          </w:p>
        </w:tc>
        <w:tc>
          <w:tcPr>
            <w:tcW w:w="732" w:type="dxa"/>
          </w:tcPr>
          <w:p w14:paraId="6262B4D8">
            <w:pPr>
              <w:shd w:val="clear"/>
              <w:spacing w:line="480" w:lineRule="auto"/>
              <w:jc w:val="center"/>
              <w:rPr>
                <w:rFonts w:ascii="宋体" w:hAnsi="宋体"/>
                <w:color w:val="auto"/>
                <w:highlight w:val="none"/>
              </w:rPr>
            </w:pPr>
          </w:p>
        </w:tc>
        <w:tc>
          <w:tcPr>
            <w:tcW w:w="855" w:type="dxa"/>
            <w:vAlign w:val="center"/>
          </w:tcPr>
          <w:p w14:paraId="0DDA9C5C">
            <w:pPr>
              <w:shd w:val="clear"/>
              <w:spacing w:line="480" w:lineRule="auto"/>
              <w:jc w:val="center"/>
              <w:rPr>
                <w:rFonts w:ascii="宋体" w:hAnsi="宋体"/>
                <w:b/>
                <w:color w:val="auto"/>
                <w:sz w:val="24"/>
                <w:highlight w:val="none"/>
              </w:rPr>
            </w:pPr>
          </w:p>
        </w:tc>
        <w:tc>
          <w:tcPr>
            <w:tcW w:w="863" w:type="dxa"/>
            <w:vAlign w:val="center"/>
          </w:tcPr>
          <w:p w14:paraId="0700BC54">
            <w:pPr>
              <w:shd w:val="clear"/>
              <w:spacing w:line="480" w:lineRule="auto"/>
              <w:jc w:val="center"/>
              <w:rPr>
                <w:rFonts w:ascii="宋体" w:hAnsi="宋体"/>
                <w:b/>
                <w:color w:val="auto"/>
                <w:sz w:val="24"/>
                <w:highlight w:val="none"/>
              </w:rPr>
            </w:pPr>
          </w:p>
        </w:tc>
        <w:tc>
          <w:tcPr>
            <w:tcW w:w="805" w:type="dxa"/>
            <w:vAlign w:val="center"/>
          </w:tcPr>
          <w:p w14:paraId="62BBCEF4">
            <w:pPr>
              <w:shd w:val="clear"/>
              <w:spacing w:line="480" w:lineRule="auto"/>
              <w:jc w:val="center"/>
              <w:rPr>
                <w:rFonts w:ascii="宋体" w:hAnsi="宋体"/>
                <w:b/>
                <w:color w:val="auto"/>
                <w:sz w:val="24"/>
                <w:highlight w:val="none"/>
              </w:rPr>
            </w:pPr>
          </w:p>
        </w:tc>
      </w:tr>
      <w:tr w14:paraId="226E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3" w:type="dxa"/>
            <w:vAlign w:val="center"/>
          </w:tcPr>
          <w:p w14:paraId="2080ED37">
            <w:pPr>
              <w:shd w:val="clear"/>
              <w:spacing w:line="480" w:lineRule="auto"/>
              <w:jc w:val="center"/>
              <w:rPr>
                <w:rFonts w:ascii="宋体" w:hAnsi="宋体"/>
                <w:b/>
                <w:color w:val="auto"/>
                <w:sz w:val="24"/>
                <w:highlight w:val="none"/>
              </w:rPr>
            </w:pPr>
          </w:p>
        </w:tc>
        <w:tc>
          <w:tcPr>
            <w:tcW w:w="1122" w:type="dxa"/>
          </w:tcPr>
          <w:p w14:paraId="13FAE436">
            <w:pPr>
              <w:shd w:val="clear"/>
              <w:spacing w:line="480" w:lineRule="auto"/>
              <w:jc w:val="center"/>
              <w:rPr>
                <w:rFonts w:ascii="宋体" w:hAnsi="宋体"/>
                <w:color w:val="auto"/>
                <w:sz w:val="24"/>
                <w:highlight w:val="none"/>
              </w:rPr>
            </w:pPr>
          </w:p>
        </w:tc>
        <w:tc>
          <w:tcPr>
            <w:tcW w:w="1345" w:type="dxa"/>
            <w:vAlign w:val="center"/>
          </w:tcPr>
          <w:p w14:paraId="39E28F12">
            <w:pPr>
              <w:shd w:val="clear"/>
              <w:spacing w:line="480" w:lineRule="auto"/>
              <w:jc w:val="center"/>
              <w:rPr>
                <w:rFonts w:ascii="宋体" w:hAnsi="宋体"/>
                <w:b/>
                <w:color w:val="auto"/>
                <w:sz w:val="24"/>
                <w:highlight w:val="none"/>
              </w:rPr>
            </w:pPr>
          </w:p>
        </w:tc>
        <w:tc>
          <w:tcPr>
            <w:tcW w:w="1221" w:type="dxa"/>
            <w:vAlign w:val="center"/>
          </w:tcPr>
          <w:p w14:paraId="60CF0F4D">
            <w:pPr>
              <w:shd w:val="clear"/>
              <w:spacing w:line="480" w:lineRule="auto"/>
              <w:jc w:val="center"/>
              <w:rPr>
                <w:rFonts w:ascii="宋体" w:hAnsi="宋体"/>
                <w:b/>
                <w:color w:val="auto"/>
                <w:sz w:val="24"/>
                <w:highlight w:val="none"/>
              </w:rPr>
            </w:pPr>
          </w:p>
        </w:tc>
        <w:tc>
          <w:tcPr>
            <w:tcW w:w="855" w:type="dxa"/>
            <w:vAlign w:val="center"/>
          </w:tcPr>
          <w:p w14:paraId="5F786592">
            <w:pPr>
              <w:shd w:val="clear"/>
              <w:spacing w:line="480" w:lineRule="auto"/>
              <w:jc w:val="center"/>
              <w:rPr>
                <w:rFonts w:ascii="宋体" w:hAnsi="宋体"/>
                <w:b/>
                <w:color w:val="auto"/>
                <w:sz w:val="24"/>
                <w:highlight w:val="none"/>
              </w:rPr>
            </w:pPr>
          </w:p>
        </w:tc>
        <w:tc>
          <w:tcPr>
            <w:tcW w:w="732" w:type="dxa"/>
          </w:tcPr>
          <w:p w14:paraId="2A0CD900">
            <w:pPr>
              <w:shd w:val="clear"/>
              <w:spacing w:line="480" w:lineRule="auto"/>
              <w:jc w:val="center"/>
              <w:rPr>
                <w:rFonts w:ascii="宋体" w:hAnsi="宋体"/>
                <w:color w:val="auto"/>
                <w:highlight w:val="none"/>
              </w:rPr>
            </w:pPr>
          </w:p>
        </w:tc>
        <w:tc>
          <w:tcPr>
            <w:tcW w:w="855" w:type="dxa"/>
            <w:vAlign w:val="center"/>
          </w:tcPr>
          <w:p w14:paraId="13624BE5">
            <w:pPr>
              <w:shd w:val="clear"/>
              <w:spacing w:line="480" w:lineRule="auto"/>
              <w:jc w:val="center"/>
              <w:rPr>
                <w:rFonts w:ascii="宋体" w:hAnsi="宋体"/>
                <w:b/>
                <w:color w:val="auto"/>
                <w:sz w:val="24"/>
                <w:highlight w:val="none"/>
              </w:rPr>
            </w:pPr>
          </w:p>
        </w:tc>
        <w:tc>
          <w:tcPr>
            <w:tcW w:w="863" w:type="dxa"/>
            <w:vAlign w:val="center"/>
          </w:tcPr>
          <w:p w14:paraId="7AE59596">
            <w:pPr>
              <w:shd w:val="clear"/>
              <w:spacing w:line="480" w:lineRule="auto"/>
              <w:jc w:val="center"/>
              <w:rPr>
                <w:rFonts w:ascii="宋体" w:hAnsi="宋体"/>
                <w:b/>
                <w:color w:val="auto"/>
                <w:sz w:val="24"/>
                <w:highlight w:val="none"/>
              </w:rPr>
            </w:pPr>
          </w:p>
        </w:tc>
        <w:tc>
          <w:tcPr>
            <w:tcW w:w="805" w:type="dxa"/>
            <w:vAlign w:val="center"/>
          </w:tcPr>
          <w:p w14:paraId="5ED92D8B">
            <w:pPr>
              <w:shd w:val="clear"/>
              <w:spacing w:line="480" w:lineRule="auto"/>
              <w:jc w:val="center"/>
              <w:rPr>
                <w:rFonts w:ascii="宋体" w:hAnsi="宋体"/>
                <w:b/>
                <w:color w:val="auto"/>
                <w:sz w:val="24"/>
                <w:highlight w:val="none"/>
              </w:rPr>
            </w:pPr>
          </w:p>
        </w:tc>
      </w:tr>
      <w:tr w14:paraId="4677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06" w:type="dxa"/>
            <w:gridSpan w:val="8"/>
            <w:vAlign w:val="center"/>
          </w:tcPr>
          <w:p w14:paraId="7B7E7B3C">
            <w:pPr>
              <w:shd w:val="clear"/>
              <w:spacing w:line="480" w:lineRule="auto"/>
              <w:jc w:val="left"/>
              <w:rPr>
                <w:rFonts w:ascii="宋体" w:hAnsi="宋体"/>
                <w:b/>
                <w:color w:val="auto"/>
                <w:sz w:val="28"/>
                <w:szCs w:val="28"/>
                <w:highlight w:val="none"/>
              </w:rPr>
            </w:pPr>
            <w:r>
              <w:rPr>
                <w:rFonts w:ascii="宋体" w:hAnsi="宋体"/>
                <w:b/>
                <w:color w:val="auto"/>
                <w:sz w:val="28"/>
                <w:szCs w:val="28"/>
                <w:highlight w:val="none"/>
              </w:rPr>
              <w:t>合计大写（人民币）</w:t>
            </w:r>
            <w:r>
              <w:rPr>
                <w:rFonts w:hint="eastAsia" w:ascii="宋体" w:hAnsi="宋体"/>
                <w:b/>
                <w:color w:val="auto"/>
                <w:sz w:val="28"/>
                <w:szCs w:val="28"/>
                <w:highlight w:val="none"/>
              </w:rPr>
              <w:t>：</w:t>
            </w:r>
          </w:p>
        </w:tc>
        <w:tc>
          <w:tcPr>
            <w:tcW w:w="805" w:type="dxa"/>
            <w:vAlign w:val="center"/>
          </w:tcPr>
          <w:p w14:paraId="7DD86519">
            <w:pPr>
              <w:shd w:val="clear"/>
              <w:spacing w:line="480" w:lineRule="auto"/>
              <w:jc w:val="left"/>
              <w:rPr>
                <w:rFonts w:ascii="宋体" w:hAnsi="宋体"/>
                <w:b/>
                <w:color w:val="auto"/>
                <w:sz w:val="28"/>
                <w:szCs w:val="28"/>
                <w:highlight w:val="none"/>
              </w:rPr>
            </w:pPr>
            <w:r>
              <w:rPr>
                <w:rFonts w:hint="eastAsia" w:ascii="宋体" w:hAnsi="宋体"/>
                <w:b/>
                <w:color w:val="auto"/>
                <w:sz w:val="28"/>
                <w:szCs w:val="28"/>
                <w:highlight w:val="none"/>
              </w:rPr>
              <w:t>￥</w:t>
            </w:r>
          </w:p>
        </w:tc>
      </w:tr>
    </w:tbl>
    <w:p w14:paraId="38651696">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要求：</w:t>
      </w:r>
    </w:p>
    <w:p w14:paraId="45F98F32">
      <w:pPr>
        <w:shd w:val="clear"/>
        <w:spacing w:line="360" w:lineRule="auto"/>
        <w:ind w:left="435"/>
        <w:rPr>
          <w:rFonts w:ascii="宋体" w:hAnsi="宋体" w:cs="宋体"/>
          <w:color w:val="auto"/>
          <w:sz w:val="24"/>
          <w:highlight w:val="none"/>
        </w:rPr>
      </w:pPr>
      <w:r>
        <w:rPr>
          <w:rFonts w:hint="eastAsia" w:ascii="宋体" w:hAnsi="宋体" w:cs="宋体"/>
          <w:color w:val="auto"/>
          <w:sz w:val="24"/>
          <w:highlight w:val="none"/>
        </w:rPr>
        <w:t>1.本表为《开标一览表》的报价明细表，以上表格要求细分项目及报价，需提供</w:t>
      </w:r>
      <w:bookmarkStart w:id="177" w:name="_Toc78171641"/>
      <w:r>
        <w:rPr>
          <w:rFonts w:hint="eastAsia" w:ascii="宋体" w:hAnsi="宋体" w:cs="宋体"/>
          <w:color w:val="auto"/>
          <w:sz w:val="24"/>
          <w:highlight w:val="none"/>
        </w:rPr>
        <w:t>费用构成明细</w:t>
      </w:r>
      <w:bookmarkEnd w:id="177"/>
      <w:r>
        <w:rPr>
          <w:rFonts w:hint="eastAsia" w:ascii="宋体" w:hAnsi="宋体" w:cs="宋体"/>
          <w:color w:val="auto"/>
          <w:sz w:val="24"/>
          <w:highlight w:val="none"/>
        </w:rPr>
        <w:t>，如有缺项、漏项，视为投标报价中已包含相关费用，采购人无需另外支付任何费用。</w:t>
      </w:r>
    </w:p>
    <w:p w14:paraId="1E746F69">
      <w:pPr>
        <w:shd w:val="clear"/>
        <w:spacing w:line="360" w:lineRule="auto"/>
        <w:ind w:left="435"/>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“报价明细表”中的报价合计应与“开标一览表”中的投标总报价相一致，不一致时，以开标一览表为准。</w:t>
      </w:r>
    </w:p>
    <w:p w14:paraId="70F23472">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投标报价明细表所填内容按招标文件采购设备清单要求为准。如有漏报的，视同已包含在投标总价内或已作优惠处理。有重大缺项的将作无效标处理。</w:t>
      </w:r>
    </w:p>
    <w:p w14:paraId="562C7E3B">
      <w:pPr>
        <w:shd w:val="clear"/>
        <w:spacing w:line="420" w:lineRule="exact"/>
        <w:ind w:left="435"/>
        <w:rPr>
          <w:rFonts w:ascii="宋体" w:hAnsi="宋体" w:cs="宋体"/>
          <w:color w:val="auto"/>
          <w:sz w:val="24"/>
          <w:highlight w:val="none"/>
          <w:lang w:val="zh-CN"/>
        </w:rPr>
      </w:pPr>
      <w:r>
        <w:rPr>
          <w:rFonts w:hint="eastAsia" w:ascii="宋体" w:hAnsi="宋体" w:cs="宋体"/>
          <w:color w:val="auto"/>
          <w:sz w:val="24"/>
          <w:highlight w:val="none"/>
          <w:lang w:val="zh-CN"/>
        </w:rPr>
        <w:t>4.本表中的型号规格必须明确，招标文件中明确要求定制的除外。</w:t>
      </w:r>
    </w:p>
    <w:p w14:paraId="31600183">
      <w:pPr>
        <w:shd w:val="clear"/>
        <w:spacing w:line="360" w:lineRule="auto"/>
        <w:ind w:firstLine="480" w:firstLineChars="200"/>
        <w:jc w:val="left"/>
        <w:rPr>
          <w:rFonts w:ascii="宋体" w:hAnsi="宋体" w:cs="宋体"/>
          <w:color w:val="auto"/>
          <w:sz w:val="24"/>
          <w:szCs w:val="32"/>
          <w:highlight w:val="none"/>
        </w:rPr>
      </w:pPr>
    </w:p>
    <w:p w14:paraId="0ED33A42">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63050747">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79E4EF03">
      <w:pPr>
        <w:shd w:val="clea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EBB7FCB">
      <w:pPr>
        <w:shd w:val="clear"/>
        <w:rPr>
          <w:rFonts w:hint="default" w:ascii="宋体" w:hAnsi="宋体" w:eastAsia="宋体" w:cs="宋体"/>
          <w:b/>
          <w:color w:val="auto"/>
          <w:sz w:val="28"/>
          <w:highlight w:val="none"/>
          <w:lang w:val="en-US" w:eastAsia="zh-CN"/>
        </w:rPr>
      </w:pPr>
      <w:bookmarkStart w:id="178" w:name="_Toc22876"/>
      <w:r>
        <w:rPr>
          <w:rFonts w:hint="eastAsia" w:ascii="宋体" w:hAnsi="宋体" w:cs="宋体"/>
          <w:b/>
          <w:color w:val="auto"/>
          <w:sz w:val="28"/>
          <w:highlight w:val="none"/>
        </w:rPr>
        <w:br w:type="page"/>
      </w:r>
      <w:bookmarkEnd w:id="178"/>
      <w:bookmarkStart w:id="179" w:name="_Toc344909828"/>
      <w:r>
        <w:rPr>
          <w:rFonts w:hint="eastAsia" w:ascii="宋体" w:hAnsi="宋体" w:cs="宋体"/>
          <w:b/>
          <w:color w:val="auto"/>
          <w:sz w:val="28"/>
          <w:highlight w:val="none"/>
        </w:rPr>
        <w:t>附件</w:t>
      </w:r>
      <w:bookmarkEnd w:id="179"/>
      <w:r>
        <w:rPr>
          <w:rFonts w:hint="eastAsia" w:ascii="宋体" w:hAnsi="宋体" w:cs="宋体"/>
          <w:b/>
          <w:color w:val="auto"/>
          <w:sz w:val="28"/>
          <w:highlight w:val="none"/>
          <w:lang w:val="en-US" w:eastAsia="zh-CN"/>
        </w:rPr>
        <w:t>21</w:t>
      </w:r>
    </w:p>
    <w:p w14:paraId="4F092E37">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6D71C4C">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 xml:space="preserve">采购活动，提供的货物全部由符合政策要求的中小企业制造。相关企业的具体情况如下： </w:t>
      </w:r>
    </w:p>
    <w:p w14:paraId="194E1F08">
      <w:pPr>
        <w:numPr>
          <w:ilvl w:val="0"/>
          <w:numId w:val="41"/>
        </w:numPr>
        <w:shd w:val="clear"/>
        <w:spacing w:line="360" w:lineRule="auto"/>
        <w:ind w:firstLine="480" w:firstLineChars="200"/>
        <w:jc w:val="left"/>
        <w:rPr>
          <w:rFonts w:ascii="宋体" w:hAnsi="宋体" w:cs="宋体"/>
          <w:bCs/>
          <w:color w:val="auto"/>
          <w:sz w:val="24"/>
          <w:highlight w:val="none"/>
        </w:rPr>
      </w:pPr>
      <w:r>
        <w:rPr>
          <w:rFonts w:ascii="宋体" w:hAnsi="宋体" w:cs="宋体"/>
          <w:bCs/>
          <w:color w:val="auto"/>
          <w:sz w:val="24"/>
          <w:highlight w:val="none"/>
          <w:u w:val="single"/>
        </w:rPr>
        <w:t xml:space="preserve">            </w:t>
      </w:r>
      <w:r>
        <w:rPr>
          <w:rFonts w:hint="eastAsia" w:ascii="宋体" w:hAnsi="宋体" w:cs="宋体"/>
          <w:bCs/>
          <w:color w:val="auto"/>
          <w:sz w:val="24"/>
          <w:highlight w:val="none"/>
        </w:rPr>
        <w:t>，属于</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行业；制造商为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2"/>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33417F55">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14:paraId="5CF7C008">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6D143918">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14:paraId="0703F639">
      <w:pPr>
        <w:shd w:val="clear"/>
        <w:spacing w:line="360" w:lineRule="auto"/>
        <w:jc w:val="left"/>
        <w:rPr>
          <w:rFonts w:ascii="宋体" w:hAnsi="宋体" w:cs="宋体"/>
          <w:bCs/>
          <w:color w:val="auto"/>
          <w:sz w:val="24"/>
          <w:highlight w:val="none"/>
        </w:rPr>
      </w:pPr>
    </w:p>
    <w:p w14:paraId="65DD3286">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14:paraId="26B2F613">
      <w:pPr>
        <w:shd w:val="clea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14:paraId="28336A59">
      <w:pPr>
        <w:shd w:val="clear"/>
        <w:spacing w:line="360" w:lineRule="auto"/>
        <w:ind w:firstLine="480" w:firstLineChars="200"/>
        <w:jc w:val="left"/>
        <w:rPr>
          <w:rFonts w:ascii="宋体" w:hAnsi="宋体" w:cs="宋体"/>
          <w:bCs/>
          <w:color w:val="auto"/>
          <w:sz w:val="24"/>
          <w:highlight w:val="none"/>
        </w:rPr>
      </w:pPr>
    </w:p>
    <w:p w14:paraId="483C0F27">
      <w:pPr>
        <w:shd w:val="clear"/>
        <w:spacing w:line="360" w:lineRule="auto"/>
        <w:ind w:firstLine="480" w:firstLineChars="200"/>
        <w:jc w:val="left"/>
        <w:rPr>
          <w:rFonts w:ascii="宋体" w:hAnsi="宋体" w:cs="宋体"/>
          <w:bCs/>
          <w:color w:val="auto"/>
          <w:sz w:val="24"/>
          <w:highlight w:val="none"/>
        </w:rPr>
      </w:pPr>
    </w:p>
    <w:p w14:paraId="2CBB98C7">
      <w:pPr>
        <w:shd w:val="clea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注：供应商提供声明函内容不实的，属于提供虚假材料谋取中标、成交，依照《中华人民共和国政府采购法》等国家有关规定追究相应责任。 </w:t>
      </w:r>
    </w:p>
    <w:p w14:paraId="22D72DDB">
      <w:pPr>
        <w:pStyle w:val="2"/>
        <w:shd w:val="clear"/>
        <w:rPr>
          <w:color w:val="auto"/>
          <w:highlight w:val="none"/>
        </w:rPr>
      </w:pPr>
    </w:p>
    <w:p w14:paraId="729B0F5A">
      <w:pPr>
        <w:pStyle w:val="25"/>
        <w:shd w:val="clear"/>
        <w:rPr>
          <w:color w:val="auto"/>
          <w:highlight w:val="none"/>
        </w:rPr>
      </w:pPr>
    </w:p>
    <w:p w14:paraId="4C094FDE">
      <w:pPr>
        <w:shd w:val="clear"/>
        <w:rPr>
          <w:rFonts w:hint="eastAsia" w:ascii="宋体" w:hAnsi="宋体"/>
          <w:b/>
          <w:color w:val="auto"/>
          <w:sz w:val="28"/>
          <w:szCs w:val="28"/>
          <w:highlight w:val="none"/>
          <w:lang w:val="en-GB"/>
        </w:rPr>
      </w:pPr>
      <w:r>
        <w:rPr>
          <w:rFonts w:hint="eastAsia" w:ascii="宋体" w:hAnsi="宋体"/>
          <w:b/>
          <w:color w:val="auto"/>
          <w:sz w:val="28"/>
          <w:szCs w:val="28"/>
          <w:highlight w:val="none"/>
          <w:lang w:val="en-GB"/>
        </w:rPr>
        <w:br w:type="page"/>
      </w:r>
    </w:p>
    <w:p w14:paraId="015FD2CF">
      <w:pPr>
        <w:shd w:val="clear"/>
        <w:spacing w:line="420" w:lineRule="exact"/>
        <w:jc w:val="center"/>
        <w:rPr>
          <w:rFonts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14:paraId="335D614F">
      <w:pPr>
        <w:shd w:val="clear"/>
        <w:snapToGrid w:val="0"/>
        <w:spacing w:line="400" w:lineRule="exact"/>
        <w:rPr>
          <w:rFonts w:ascii="宋体" w:hAnsi="宋体" w:cs="宋体"/>
          <w:b/>
          <w:color w:val="auto"/>
          <w:sz w:val="24"/>
          <w:highlight w:val="none"/>
        </w:rPr>
      </w:pPr>
      <w:r>
        <w:rPr>
          <w:rFonts w:hint="eastAsia" w:ascii="宋体" w:hAnsi="宋体" w:cs="宋体"/>
          <w:color w:val="auto"/>
          <w:kern w:val="0"/>
          <w:sz w:val="24"/>
          <w:highlight w:val="none"/>
          <w:u w:val="single"/>
        </w:rPr>
        <w:t>浙江五石中正工程咨询有限公司</w:t>
      </w:r>
      <w:r>
        <w:rPr>
          <w:rFonts w:hint="eastAsia" w:ascii="宋体" w:hAnsi="宋体" w:cs="宋体"/>
          <w:color w:val="auto"/>
          <w:kern w:val="0"/>
          <w:sz w:val="24"/>
          <w:highlight w:val="none"/>
        </w:rPr>
        <w:t>（采购组织机构名称）：</w:t>
      </w:r>
    </w:p>
    <w:p w14:paraId="039027D7">
      <w:pPr>
        <w:widowControl/>
        <w:shd w:val="clear"/>
        <w:spacing w:line="400" w:lineRule="exact"/>
        <w:ind w:firstLine="504" w:firstLineChars="200"/>
        <w:jc w:val="left"/>
        <w:rPr>
          <w:rFonts w:ascii="宋体" w:hAnsi="宋体" w:cs="宋体"/>
          <w:color w:val="auto"/>
          <w:spacing w:val="6"/>
          <w:kern w:val="0"/>
          <w:sz w:val="24"/>
          <w:highlight w:val="none"/>
          <w:u w:val="single"/>
        </w:rPr>
      </w:pPr>
      <w:r>
        <w:rPr>
          <w:rFonts w:hint="eastAsia" w:ascii="宋体" w:hAnsi="宋体" w:cs="宋体"/>
          <w:color w:val="auto"/>
          <w:spacing w:val="6"/>
          <w:kern w:val="0"/>
          <w:sz w:val="24"/>
          <w:highlight w:val="none"/>
          <w:lang w:val="zh-CN"/>
        </w:rPr>
        <w:t>本人经由单位</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(法人代表)</w:t>
      </w:r>
      <w:r>
        <w:rPr>
          <w:rFonts w:hint="eastAsia" w:ascii="宋体" w:hAnsi="宋体" w:cs="宋体"/>
          <w:color w:val="auto"/>
          <w:spacing w:val="6"/>
          <w:kern w:val="0"/>
          <w:sz w:val="24"/>
          <w:highlight w:val="none"/>
          <w:lang w:val="zh-CN"/>
        </w:rPr>
        <w:t>合法授权参加</w:t>
      </w:r>
      <w:r>
        <w:rPr>
          <w:rFonts w:hint="eastAsia" w:ascii="宋体" w:hAnsi="宋体" w:cs="宋体"/>
          <w:color w:val="auto"/>
          <w:spacing w:val="6"/>
          <w:kern w:val="0"/>
          <w:sz w:val="24"/>
          <w:highlight w:val="none"/>
        </w:rPr>
        <w:t>（项目名称</w:t>
      </w:r>
      <w:r>
        <w:rPr>
          <w:rFonts w:hint="eastAsia" w:ascii="宋体" w:hAnsi="宋体" w:cs="宋体"/>
          <w:color w:val="auto"/>
          <w:spacing w:val="6"/>
          <w:kern w:val="0"/>
          <w:sz w:val="24"/>
          <w:highlight w:val="none"/>
          <w:u w:val="single"/>
        </w:rPr>
        <w:t xml:space="preserve">            </w:t>
      </w:r>
    </w:p>
    <w:p w14:paraId="07CB6611">
      <w:pPr>
        <w:widowControl/>
        <w:shd w:val="clear"/>
        <w:spacing w:line="400" w:lineRule="exact"/>
        <w:jc w:val="left"/>
        <w:rPr>
          <w:rFonts w:ascii="宋体" w:hAnsi="宋体" w:cs="宋体"/>
          <w:color w:val="auto"/>
          <w:kern w:val="0"/>
          <w:sz w:val="24"/>
          <w:highlight w:val="none"/>
          <w:lang w:val="zh-CN"/>
        </w:rPr>
      </w:pP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lang w:val="zh-CN"/>
        </w:rPr>
        <w:t>（</w:t>
      </w:r>
      <w:r>
        <w:rPr>
          <w:rFonts w:hint="eastAsia" w:ascii="宋体" w:hAnsi="宋体" w:cs="宋体"/>
          <w:color w:val="auto"/>
          <w:spacing w:val="6"/>
          <w:kern w:val="0"/>
          <w:sz w:val="24"/>
          <w:highlight w:val="none"/>
        </w:rPr>
        <w:t>项目</w:t>
      </w:r>
      <w:r>
        <w:rPr>
          <w:rFonts w:hint="eastAsia" w:ascii="宋体" w:hAnsi="宋体" w:cs="宋体"/>
          <w:color w:val="auto"/>
          <w:spacing w:val="6"/>
          <w:kern w:val="0"/>
          <w:sz w:val="24"/>
          <w:highlight w:val="none"/>
          <w:lang w:val="zh-CN"/>
        </w:rPr>
        <w:t>编号：</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rPr>
        <w:t xml:space="preserve"> </w:t>
      </w:r>
      <w:r>
        <w:rPr>
          <w:rFonts w:hint="eastAsia" w:ascii="宋体" w:hAnsi="宋体" w:cs="宋体"/>
          <w:color w:val="auto"/>
          <w:spacing w:val="6"/>
          <w:kern w:val="0"/>
          <w:sz w:val="24"/>
          <w:highlight w:val="none"/>
          <w:lang w:val="zh-CN"/>
        </w:rPr>
        <w:t>）政府采购活动，经与本单位法人代表（负责人）联系确认，现就有关公平竞争事项郑重声明如下：</w:t>
      </w:r>
    </w:p>
    <w:p w14:paraId="6680C139">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一、本单位与采购人之间</w:t>
      </w:r>
    </w:p>
    <w:p w14:paraId="6423D043">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751FE5E9">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658DECCD">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A.投资关系    B.行政隶属关系    C.业务指导关系</w:t>
      </w:r>
    </w:p>
    <w:p w14:paraId="542492E7">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p>
    <w:p w14:paraId="7BEAFE60">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w:t>
      </w:r>
    </w:p>
    <w:p w14:paraId="0D94AD37">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□与其他所有供应商之间均不存在利害关系</w:t>
      </w:r>
    </w:p>
    <w:p w14:paraId="26BEA2F5">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□与之间存在下列利害关系：</w:t>
      </w:r>
    </w:p>
    <w:p w14:paraId="019D6D2D">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A.法定代表人或负责人或实际控制人是同一人</w:t>
      </w:r>
    </w:p>
    <w:p w14:paraId="5D1924D4">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B.法定代表人或负责人或实际控制人是夫妻关系</w:t>
      </w:r>
    </w:p>
    <w:p w14:paraId="1C7B6FB8">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C.法定代表人或负责人或实际控制人是直系血亲关系</w:t>
      </w:r>
    </w:p>
    <w:p w14:paraId="5714F312">
      <w:pPr>
        <w:widowControl/>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D.法定代表人或负责人或实际控制人存在三代以内旁系血亲关系</w:t>
      </w:r>
    </w:p>
    <w:p w14:paraId="16DD3A04">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E.法定代表人或负责人或实际控制人存在近姻亲关系</w:t>
      </w:r>
    </w:p>
    <w:p w14:paraId="4B1FFA1E">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F.法定代表人或负责人或实际控制人存在股份控制或实际控制关系</w:t>
      </w:r>
    </w:p>
    <w:p w14:paraId="766BE87C">
      <w:pPr>
        <w:shd w:val="clear"/>
        <w:snapToGrid w:val="0"/>
        <w:spacing w:line="40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G.存在共同直接或间接投资设立子公司、联营企业和合营企业情况</w:t>
      </w:r>
    </w:p>
    <w:p w14:paraId="44677509">
      <w:pPr>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H.存在分级代理或代销关系、同一生产制造商关系、管理关系、重要业务（占主营业务收入50%以上）或重要财务往来关系（如融资）等其他实质性控制关系</w:t>
      </w:r>
    </w:p>
    <w:p w14:paraId="6ADCB836">
      <w:pPr>
        <w:shd w:val="clear"/>
        <w:snapToGrid w:val="0"/>
        <w:spacing w:line="400" w:lineRule="exact"/>
        <w:ind w:firstLine="480" w:firstLineChars="200"/>
        <w:rPr>
          <w:rFonts w:ascii="宋体" w:hAnsi="宋体" w:cs="宋体"/>
          <w:color w:val="auto"/>
          <w:spacing w:val="6"/>
          <w:sz w:val="24"/>
          <w:highlight w:val="none"/>
        </w:rPr>
      </w:pPr>
      <w:r>
        <w:rPr>
          <w:rFonts w:hint="eastAsia" w:ascii="宋体" w:hAnsi="宋体" w:cs="宋体"/>
          <w:color w:val="auto"/>
          <w:kern w:val="0"/>
          <w:sz w:val="24"/>
          <w:highlight w:val="none"/>
        </w:rPr>
        <w:t>I.其他利害关系情况。</w:t>
      </w:r>
    </w:p>
    <w:p w14:paraId="5422DD27">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sz w:val="24"/>
          <w:highlight w:val="none"/>
        </w:rPr>
        <w:t>三、现已清楚知道并</w:t>
      </w:r>
      <w:r>
        <w:rPr>
          <w:rFonts w:hint="eastAsia" w:ascii="宋体" w:hAnsi="宋体" w:cs="宋体"/>
          <w:color w:val="auto"/>
          <w:kern w:val="0"/>
          <w:sz w:val="24"/>
          <w:highlight w:val="none"/>
        </w:rPr>
        <w:t>严格遵守政府采购法律法规和现场纪律。</w:t>
      </w:r>
    </w:p>
    <w:p w14:paraId="2B7A08FA">
      <w:pPr>
        <w:widowControl/>
        <w:shd w:val="clea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四、我发现供应商之间存在或可能存在上述第二条第项利害关系。</w:t>
      </w:r>
    </w:p>
    <w:p w14:paraId="6267DF5B">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445AE7DB">
      <w:pPr>
        <w:widowControl/>
        <w:shd w:val="clear"/>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25DD48A4">
      <w:pPr>
        <w:shd w:val="clear"/>
        <w:snapToGrid w:val="0"/>
        <w:spacing w:line="400" w:lineRule="exact"/>
        <w:ind w:firstLine="5301" w:firstLineChars="2200"/>
        <w:rPr>
          <w:rFonts w:ascii="宋体" w:hAnsi="宋体" w:cs="宋体"/>
          <w:b/>
          <w:color w:val="auto"/>
          <w:sz w:val="24"/>
          <w:highlight w:val="none"/>
        </w:rPr>
      </w:pPr>
      <w:r>
        <w:rPr>
          <w:rFonts w:hint="eastAsia" w:ascii="宋体" w:hAnsi="宋体" w:cs="宋体"/>
          <w:b/>
          <w:color w:val="auto"/>
          <w:sz w:val="24"/>
          <w:highlight w:val="none"/>
        </w:rPr>
        <w:t>供应商代表签名：</w:t>
      </w:r>
    </w:p>
    <w:p w14:paraId="3F4B0033">
      <w:pPr>
        <w:shd w:val="clear"/>
        <w:tabs>
          <w:tab w:val="left" w:pos="1418"/>
        </w:tabs>
        <w:autoSpaceDE w:val="0"/>
        <w:autoSpaceDN w:val="0"/>
        <w:adjustRightInd w:val="0"/>
        <w:spacing w:line="4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148E051E">
      <w:pPr>
        <w:shd w:val="clear"/>
        <w:tabs>
          <w:tab w:val="left" w:pos="1418"/>
        </w:tabs>
        <w:autoSpaceDE w:val="0"/>
        <w:autoSpaceDN w:val="0"/>
        <w:adjustRightInd w:val="0"/>
        <w:spacing w:line="400" w:lineRule="exact"/>
        <w:rPr>
          <w:color w:val="auto"/>
          <w:highlight w:val="none"/>
        </w:rPr>
      </w:pPr>
      <w:r>
        <w:rPr>
          <w:rFonts w:hint="eastAsia" w:ascii="宋体" w:hAnsi="宋体" w:cs="宋体"/>
          <w:b/>
          <w:bCs/>
          <w:color w:val="auto"/>
          <w:kern w:val="0"/>
          <w:sz w:val="24"/>
          <w:highlight w:val="none"/>
        </w:rPr>
        <w:t>说明：商务技术文件开启后30分钟内，供应商通过邮件形式将经授权代表签署的《</w:t>
      </w:r>
      <w:r>
        <w:rPr>
          <w:rFonts w:hint="eastAsia" w:ascii="宋体" w:hAnsi="宋体" w:cs="宋体"/>
          <w:b/>
          <w:bCs/>
          <w:color w:val="auto"/>
          <w:kern w:val="0"/>
          <w:sz w:val="24"/>
          <w:highlight w:val="none"/>
          <w:lang w:val="en-GB"/>
        </w:rPr>
        <w:t>政府采购活动确认声明书</w:t>
      </w:r>
      <w:r>
        <w:rPr>
          <w:rFonts w:hint="eastAsia" w:ascii="宋体" w:hAnsi="宋体" w:cs="宋体"/>
          <w:b/>
          <w:bCs/>
          <w:color w:val="auto"/>
          <w:kern w:val="0"/>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kern w:val="0"/>
          <w:sz w:val="24"/>
          <w:highlight w:val="none"/>
          <w:lang w:val="en-GB"/>
        </w:rPr>
        <w:t>zjwstz@163.com</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rPr>
        <w:fldChar w:fldCharType="end"/>
      </w:r>
      <w:r>
        <w:rPr>
          <w:rFonts w:hint="eastAsia" w:ascii="宋体" w:hAnsi="宋体" w:cs="宋体"/>
          <w:b/>
          <w:bCs/>
          <w:color w:val="auto"/>
          <w:kern w:val="0"/>
          <w:sz w:val="24"/>
          <w:highlight w:val="none"/>
        </w:rPr>
        <w:t>不填写或未按规定发出邮件的，视同默认不存在确认声明书中的相关违规情形。</w:t>
      </w:r>
    </w:p>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63B3">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FDC2B">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DFDC2B">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60E1E">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13C79">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C13C79">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86A3F2D">
      <w:pPr>
        <w:pStyle w:val="21"/>
      </w:pPr>
      <w:r>
        <w:rPr>
          <w:rStyle w:val="32"/>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CC511">
    <w:pPr>
      <w:pStyle w:val="1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6B6B7">
    <w:pPr>
      <w:spacing w:line="20" w:lineRule="atLeast"/>
      <w:rPr>
        <w:b/>
        <w:bCs/>
        <w:color w:val="000000"/>
        <w:sz w:val="10"/>
        <w:szCs w:val="10"/>
        <w:u w:val="single"/>
      </w:rPr>
    </w:pPr>
    <w:r>
      <w:rPr>
        <w:rFonts w:hint="eastAsia" w:cs="宋体"/>
        <w:b/>
        <w:bCs/>
        <w:i/>
        <w:iCs/>
        <w:color w:val="000000"/>
        <w:kern w:val="0"/>
        <w:sz w:val="18"/>
        <w:szCs w:val="18"/>
        <w:u w:val="single"/>
      </w:rPr>
      <w:t xml:space="preserve">台州市政府采购招标文件                                                           </w:t>
    </w:r>
    <w:r>
      <w:rPr>
        <w:rFonts w:hint="eastAsia" w:cs="宋体"/>
        <w:b/>
        <w:bCs/>
        <w:i/>
        <w:iCs/>
        <w:color w:val="000000"/>
        <w:spacing w:val="-20"/>
        <w:kern w:val="0"/>
        <w:sz w:val="18"/>
        <w:szCs w:val="18"/>
        <w:u w:val="single"/>
      </w:rPr>
      <w:t xml:space="preserve">第 </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69</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70</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2A86511C">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49BEC"/>
    <w:multiLevelType w:val="singleLevel"/>
    <w:tmpl w:val="85349BEC"/>
    <w:lvl w:ilvl="0" w:tentative="0">
      <w:start w:val="1"/>
      <w:numFmt w:val="chineseCounting"/>
      <w:suff w:val="nothing"/>
      <w:lvlText w:val="（%1）"/>
      <w:lvlJc w:val="left"/>
      <w:pPr>
        <w:ind w:left="0" w:firstLine="420"/>
      </w:pPr>
      <w:rPr>
        <w:rFonts w:hint="eastAsia"/>
      </w:rPr>
    </w:lvl>
  </w:abstractNum>
  <w:abstractNum w:abstractNumId="1">
    <w:nsid w:val="865AF3F7"/>
    <w:multiLevelType w:val="singleLevel"/>
    <w:tmpl w:val="865AF3F7"/>
    <w:lvl w:ilvl="0" w:tentative="0">
      <w:start w:val="1"/>
      <w:numFmt w:val="decimal"/>
      <w:suff w:val="nothing"/>
      <w:lvlText w:val="%1."/>
      <w:lvlJc w:val="left"/>
      <w:pPr>
        <w:ind w:left="454" w:leftChars="0" w:hanging="454" w:firstLineChars="0"/>
      </w:pPr>
      <w:rPr>
        <w:rFonts w:hint="default"/>
      </w:rPr>
    </w:lvl>
  </w:abstractNum>
  <w:abstractNum w:abstractNumId="2">
    <w:nsid w:val="877DD933"/>
    <w:multiLevelType w:val="singleLevel"/>
    <w:tmpl w:val="877DD933"/>
    <w:lvl w:ilvl="0" w:tentative="0">
      <w:start w:val="1"/>
      <w:numFmt w:val="decimal"/>
      <w:suff w:val="nothing"/>
      <w:lvlText w:val="(%1)"/>
      <w:lvlJc w:val="left"/>
      <w:pPr>
        <w:ind w:left="454" w:leftChars="0" w:hanging="454" w:firstLineChars="0"/>
      </w:pPr>
      <w:rPr>
        <w:rFonts w:hint="default"/>
      </w:rPr>
    </w:lvl>
  </w:abstractNum>
  <w:abstractNum w:abstractNumId="3">
    <w:nsid w:val="8D69BBB9"/>
    <w:multiLevelType w:val="singleLevel"/>
    <w:tmpl w:val="8D69BBB9"/>
    <w:lvl w:ilvl="0" w:tentative="0">
      <w:start w:val="1"/>
      <w:numFmt w:val="decimal"/>
      <w:pStyle w:val="5"/>
      <w:lvlText w:val="%1."/>
      <w:lvlJc w:val="left"/>
      <w:pPr>
        <w:tabs>
          <w:tab w:val="left" w:pos="360"/>
        </w:tabs>
        <w:ind w:left="360" w:hanging="360"/>
      </w:pPr>
    </w:lvl>
  </w:abstractNum>
  <w:abstractNum w:abstractNumId="4">
    <w:nsid w:val="9B935EB3"/>
    <w:multiLevelType w:val="singleLevel"/>
    <w:tmpl w:val="9B935EB3"/>
    <w:lvl w:ilvl="0" w:tentative="0">
      <w:start w:val="1"/>
      <w:numFmt w:val="decimal"/>
      <w:suff w:val="nothing"/>
      <w:lvlText w:val="%1."/>
      <w:lvlJc w:val="left"/>
      <w:pPr>
        <w:ind w:left="454" w:leftChars="0" w:hanging="454" w:firstLineChars="0"/>
      </w:pPr>
      <w:rPr>
        <w:rFonts w:hint="default"/>
      </w:rPr>
    </w:lvl>
  </w:abstractNum>
  <w:abstractNum w:abstractNumId="5">
    <w:nsid w:val="A6520A6E"/>
    <w:multiLevelType w:val="singleLevel"/>
    <w:tmpl w:val="A6520A6E"/>
    <w:lvl w:ilvl="0" w:tentative="0">
      <w:start w:val="1"/>
      <w:numFmt w:val="decimal"/>
      <w:lvlText w:val="(%1)"/>
      <w:lvlJc w:val="left"/>
      <w:pPr>
        <w:ind w:left="425" w:hanging="425"/>
      </w:pPr>
      <w:rPr>
        <w:rFonts w:hint="default"/>
      </w:rPr>
    </w:lvl>
  </w:abstractNum>
  <w:abstractNum w:abstractNumId="6">
    <w:nsid w:val="AACA9C6A"/>
    <w:multiLevelType w:val="singleLevel"/>
    <w:tmpl w:val="AACA9C6A"/>
    <w:lvl w:ilvl="0" w:tentative="0">
      <w:start w:val="1"/>
      <w:numFmt w:val="chineseCounting"/>
      <w:suff w:val="nothing"/>
      <w:lvlText w:val="（%1）"/>
      <w:lvlJc w:val="left"/>
      <w:pPr>
        <w:ind w:left="0" w:firstLine="420"/>
      </w:pPr>
      <w:rPr>
        <w:rFonts w:hint="eastAsia"/>
      </w:rPr>
    </w:lvl>
  </w:abstractNum>
  <w:abstractNum w:abstractNumId="7">
    <w:nsid w:val="B2267022"/>
    <w:multiLevelType w:val="multilevel"/>
    <w:tmpl w:val="B2267022"/>
    <w:lvl w:ilvl="0" w:tentative="0">
      <w:start w:val="1"/>
      <w:numFmt w:val="chineseCounting"/>
      <w:suff w:val="nothing"/>
      <w:lvlText w:val="（%1）"/>
      <w:lvlJc w:val="left"/>
      <w:pPr>
        <w:ind w:left="-272" w:firstLine="420"/>
      </w:pPr>
      <w:rPr>
        <w:rFonts w:hint="default"/>
        <w:u w:val="none" w:color="auto"/>
      </w:rPr>
    </w:lvl>
    <w:lvl w:ilvl="1" w:tentative="0">
      <w:start w:val="1"/>
      <w:numFmt w:val="decimal"/>
      <w:suff w:val="nothing"/>
      <w:lvlText w:val="%2．"/>
      <w:lvlJc w:val="left"/>
      <w:pPr>
        <w:ind w:left="-272" w:firstLine="420"/>
      </w:pPr>
      <w:rPr>
        <w:rFonts w:hint="default"/>
        <w:u w:val="none" w:color="auto"/>
      </w:rPr>
    </w:lvl>
    <w:lvl w:ilvl="2" w:tentative="0">
      <w:start w:val="1"/>
      <w:numFmt w:val="decimal"/>
      <w:suff w:val="nothing"/>
      <w:lvlText w:val="（%3）"/>
      <w:lvlJc w:val="left"/>
      <w:pPr>
        <w:ind w:left="-272" w:firstLine="420"/>
      </w:pPr>
      <w:rPr>
        <w:rFonts w:hint="default"/>
        <w:u w:val="none" w:color="auto"/>
      </w:rPr>
    </w:lvl>
    <w:lvl w:ilvl="3" w:tentative="0">
      <w:start w:val="1"/>
      <w:numFmt w:val="decimalEnclosedCircleChinese"/>
      <w:suff w:val="nothing"/>
      <w:lvlText w:val="%4"/>
      <w:lvlJc w:val="left"/>
      <w:pPr>
        <w:ind w:left="-272" w:firstLine="420"/>
      </w:pPr>
      <w:rPr>
        <w:rFonts w:hint="default"/>
        <w:u w:val="none" w:color="auto"/>
      </w:rPr>
    </w:lvl>
    <w:lvl w:ilvl="4" w:tentative="0">
      <w:start w:val="1"/>
      <w:numFmt w:val="decimal"/>
      <w:suff w:val="nothing"/>
      <w:lvlText w:val="%5）"/>
      <w:lvlJc w:val="left"/>
      <w:pPr>
        <w:ind w:left="-272" w:firstLine="420"/>
      </w:pPr>
      <w:rPr>
        <w:rFonts w:hint="default"/>
        <w:u w:val="none" w:color="auto"/>
      </w:rPr>
    </w:lvl>
    <w:lvl w:ilvl="5" w:tentative="0">
      <w:start w:val="1"/>
      <w:numFmt w:val="lowerLetter"/>
      <w:suff w:val="nothing"/>
      <w:lvlText w:val="%6．"/>
      <w:lvlJc w:val="left"/>
      <w:pPr>
        <w:ind w:left="-272" w:firstLine="420"/>
      </w:pPr>
      <w:rPr>
        <w:rFonts w:hint="default"/>
        <w:u w:val="none" w:color="auto"/>
      </w:rPr>
    </w:lvl>
    <w:lvl w:ilvl="6" w:tentative="0">
      <w:start w:val="1"/>
      <w:numFmt w:val="lowerLetter"/>
      <w:suff w:val="nothing"/>
      <w:lvlText w:val="%7）"/>
      <w:lvlJc w:val="left"/>
      <w:pPr>
        <w:ind w:left="-272" w:firstLine="420"/>
      </w:pPr>
      <w:rPr>
        <w:rFonts w:hint="default"/>
        <w:u w:val="none" w:color="auto"/>
      </w:rPr>
    </w:lvl>
    <w:lvl w:ilvl="7" w:tentative="0">
      <w:start w:val="1"/>
      <w:numFmt w:val="lowerRoman"/>
      <w:suff w:val="nothing"/>
      <w:lvlText w:val="%8．"/>
      <w:lvlJc w:val="left"/>
      <w:pPr>
        <w:ind w:left="-272" w:firstLine="420"/>
      </w:pPr>
      <w:rPr>
        <w:rFonts w:hint="default"/>
        <w:u w:val="none" w:color="auto"/>
      </w:rPr>
    </w:lvl>
    <w:lvl w:ilvl="8" w:tentative="0">
      <w:start w:val="1"/>
      <w:numFmt w:val="lowerRoman"/>
      <w:suff w:val="nothing"/>
      <w:lvlText w:val="%9）"/>
      <w:lvlJc w:val="left"/>
      <w:pPr>
        <w:ind w:left="-272" w:firstLine="420"/>
      </w:pPr>
      <w:rPr>
        <w:rFonts w:hint="default"/>
        <w:u w:val="none" w:color="auto"/>
      </w:rPr>
    </w:lvl>
  </w:abstractNum>
  <w:abstractNum w:abstractNumId="8">
    <w:nsid w:val="B95E890E"/>
    <w:multiLevelType w:val="singleLevel"/>
    <w:tmpl w:val="B95E890E"/>
    <w:lvl w:ilvl="0" w:tentative="0">
      <w:start w:val="1"/>
      <w:numFmt w:val="decimal"/>
      <w:suff w:val="nothing"/>
      <w:lvlText w:val="%1."/>
      <w:lvlJc w:val="left"/>
      <w:pPr>
        <w:ind w:left="454" w:leftChars="0" w:hanging="454" w:firstLineChars="0"/>
      </w:pPr>
      <w:rPr>
        <w:rFonts w:hint="default"/>
      </w:rPr>
    </w:lvl>
  </w:abstractNum>
  <w:abstractNum w:abstractNumId="9">
    <w:nsid w:val="BEE8A97A"/>
    <w:multiLevelType w:val="singleLevel"/>
    <w:tmpl w:val="BEE8A97A"/>
    <w:lvl w:ilvl="0" w:tentative="0">
      <w:start w:val="1"/>
      <w:numFmt w:val="upperLetter"/>
      <w:lvlText w:val="%1."/>
      <w:lvlJc w:val="left"/>
      <w:pPr>
        <w:tabs>
          <w:tab w:val="left" w:pos="312"/>
        </w:tabs>
      </w:pPr>
      <w:rPr>
        <w:rFonts w:hint="default"/>
        <w:b w:val="0"/>
        <w:bCs w:val="0"/>
        <w:color w:val="0000FF"/>
      </w:rPr>
    </w:lvl>
  </w:abstractNum>
  <w:abstractNum w:abstractNumId="10">
    <w:nsid w:val="BF1B2288"/>
    <w:multiLevelType w:val="singleLevel"/>
    <w:tmpl w:val="BF1B2288"/>
    <w:lvl w:ilvl="0" w:tentative="0">
      <w:start w:val="1"/>
      <w:numFmt w:val="decimal"/>
      <w:suff w:val="nothing"/>
      <w:lvlText w:val="%1."/>
      <w:lvlJc w:val="left"/>
      <w:pPr>
        <w:ind w:left="454" w:leftChars="0" w:hanging="454" w:firstLineChars="0"/>
      </w:pPr>
      <w:rPr>
        <w:rFonts w:hint="default"/>
      </w:rPr>
    </w:lvl>
  </w:abstractNum>
  <w:abstractNum w:abstractNumId="11">
    <w:nsid w:val="BFFC0D4B"/>
    <w:multiLevelType w:val="singleLevel"/>
    <w:tmpl w:val="BFFC0D4B"/>
    <w:lvl w:ilvl="0" w:tentative="0">
      <w:start w:val="1"/>
      <w:numFmt w:val="decimal"/>
      <w:lvlText w:val="%1."/>
      <w:lvlJc w:val="left"/>
      <w:pPr>
        <w:tabs>
          <w:tab w:val="left" w:pos="312"/>
        </w:tabs>
      </w:pPr>
    </w:lvl>
  </w:abstractNum>
  <w:abstractNum w:abstractNumId="12">
    <w:nsid w:val="C07A3019"/>
    <w:multiLevelType w:val="singleLevel"/>
    <w:tmpl w:val="C07A3019"/>
    <w:lvl w:ilvl="0" w:tentative="0">
      <w:start w:val="1"/>
      <w:numFmt w:val="decimalEnclosedCircleChinese"/>
      <w:suff w:val="nothing"/>
      <w:lvlText w:val="%1　"/>
      <w:lvlJc w:val="left"/>
      <w:pPr>
        <w:ind w:left="0" w:firstLine="0"/>
      </w:pPr>
      <w:rPr>
        <w:rFonts w:hint="eastAsia"/>
      </w:rPr>
    </w:lvl>
  </w:abstractNum>
  <w:abstractNum w:abstractNumId="13">
    <w:nsid w:val="C58ED4F7"/>
    <w:multiLevelType w:val="singleLevel"/>
    <w:tmpl w:val="C58ED4F7"/>
    <w:lvl w:ilvl="0" w:tentative="0">
      <w:start w:val="1"/>
      <w:numFmt w:val="decimal"/>
      <w:suff w:val="nothing"/>
      <w:lvlText w:val="%1."/>
      <w:lvlJc w:val="left"/>
      <w:pPr>
        <w:ind w:left="454" w:leftChars="0" w:hanging="454" w:firstLineChars="0"/>
      </w:pPr>
      <w:rPr>
        <w:rFonts w:hint="default"/>
        <w:color w:val="auto"/>
      </w:rPr>
    </w:lvl>
  </w:abstractNum>
  <w:abstractNum w:abstractNumId="14">
    <w:nsid w:val="C86F8B91"/>
    <w:multiLevelType w:val="singleLevel"/>
    <w:tmpl w:val="C86F8B91"/>
    <w:lvl w:ilvl="0" w:tentative="0">
      <w:start w:val="1"/>
      <w:numFmt w:val="decimalEnclosedCircleChinese"/>
      <w:suff w:val="nothing"/>
      <w:lvlText w:val="%1　"/>
      <w:lvlJc w:val="left"/>
      <w:pPr>
        <w:ind w:left="0" w:firstLine="0"/>
      </w:pPr>
      <w:rPr>
        <w:rFonts w:hint="eastAsia"/>
      </w:rPr>
    </w:lvl>
  </w:abstractNum>
  <w:abstractNum w:abstractNumId="15">
    <w:nsid w:val="CB35D501"/>
    <w:multiLevelType w:val="singleLevel"/>
    <w:tmpl w:val="CB35D501"/>
    <w:lvl w:ilvl="0" w:tentative="0">
      <w:start w:val="1"/>
      <w:numFmt w:val="decimal"/>
      <w:suff w:val="nothing"/>
      <w:lvlText w:val="%1."/>
      <w:lvlJc w:val="left"/>
      <w:pPr>
        <w:ind w:left="454" w:leftChars="0" w:hanging="454" w:firstLineChars="0"/>
      </w:pPr>
      <w:rPr>
        <w:rFonts w:hint="default"/>
        <w:b w:val="0"/>
        <w:bCs w:val="0"/>
      </w:rPr>
    </w:lvl>
  </w:abstractNum>
  <w:abstractNum w:abstractNumId="16">
    <w:nsid w:val="DD4F49CD"/>
    <w:multiLevelType w:val="singleLevel"/>
    <w:tmpl w:val="DD4F49CD"/>
    <w:lvl w:ilvl="0" w:tentative="0">
      <w:start w:val="1"/>
      <w:numFmt w:val="decimal"/>
      <w:suff w:val="nothing"/>
      <w:lvlText w:val="%1."/>
      <w:lvlJc w:val="left"/>
      <w:pPr>
        <w:ind w:left="454" w:leftChars="0" w:hanging="454" w:firstLineChars="0"/>
      </w:pPr>
      <w:rPr>
        <w:rFonts w:hint="default"/>
      </w:rPr>
    </w:lvl>
  </w:abstractNum>
  <w:abstractNum w:abstractNumId="17">
    <w:nsid w:val="E8C07042"/>
    <w:multiLevelType w:val="singleLevel"/>
    <w:tmpl w:val="E8C07042"/>
    <w:lvl w:ilvl="0" w:tentative="0">
      <w:start w:val="1"/>
      <w:numFmt w:val="decimal"/>
      <w:lvlText w:val="%1."/>
      <w:lvlJc w:val="left"/>
      <w:pPr>
        <w:tabs>
          <w:tab w:val="left" w:pos="312"/>
        </w:tabs>
      </w:pPr>
    </w:lvl>
  </w:abstractNum>
  <w:abstractNum w:abstractNumId="18">
    <w:nsid w:val="EE7BA53F"/>
    <w:multiLevelType w:val="singleLevel"/>
    <w:tmpl w:val="EE7BA53F"/>
    <w:lvl w:ilvl="0" w:tentative="0">
      <w:start w:val="1"/>
      <w:numFmt w:val="chineseCounting"/>
      <w:suff w:val="nothing"/>
      <w:lvlText w:val="（%1）"/>
      <w:lvlJc w:val="left"/>
      <w:pPr>
        <w:ind w:left="0" w:firstLine="420"/>
      </w:pPr>
      <w:rPr>
        <w:rFonts w:hint="eastAsia"/>
      </w:rPr>
    </w:lvl>
  </w:abstractNum>
  <w:abstractNum w:abstractNumId="19">
    <w:nsid w:val="EFF3F1BF"/>
    <w:multiLevelType w:val="singleLevel"/>
    <w:tmpl w:val="EFF3F1BF"/>
    <w:lvl w:ilvl="0" w:tentative="0">
      <w:start w:val="4"/>
      <w:numFmt w:val="chineseCounting"/>
      <w:suff w:val="space"/>
      <w:lvlText w:val="第%1章"/>
      <w:lvlJc w:val="left"/>
      <w:rPr>
        <w:rFonts w:hint="eastAsia"/>
      </w:rPr>
    </w:lvl>
  </w:abstractNum>
  <w:abstractNum w:abstractNumId="20">
    <w:nsid w:val="FA7D2C85"/>
    <w:multiLevelType w:val="singleLevel"/>
    <w:tmpl w:val="FA7D2C85"/>
    <w:lvl w:ilvl="0" w:tentative="0">
      <w:start w:val="1"/>
      <w:numFmt w:val="decimal"/>
      <w:suff w:val="space"/>
      <w:lvlText w:val="%1."/>
      <w:lvlJc w:val="left"/>
    </w:lvl>
  </w:abstractNum>
  <w:abstractNum w:abstractNumId="21">
    <w:nsid w:val="FB3D9FCD"/>
    <w:multiLevelType w:val="singleLevel"/>
    <w:tmpl w:val="FB3D9FCD"/>
    <w:lvl w:ilvl="0" w:tentative="0">
      <w:start w:val="1"/>
      <w:numFmt w:val="decimal"/>
      <w:suff w:val="nothing"/>
      <w:lvlText w:val="%1."/>
      <w:lvlJc w:val="left"/>
      <w:pPr>
        <w:ind w:left="454" w:leftChars="0" w:hanging="454" w:firstLineChars="0"/>
      </w:pPr>
      <w:rPr>
        <w:rFonts w:hint="default"/>
      </w:rPr>
    </w:lvl>
  </w:abstractNum>
  <w:abstractNum w:abstractNumId="22">
    <w:nsid w:val="FFFFFF88"/>
    <w:multiLevelType w:val="singleLevel"/>
    <w:tmpl w:val="FFFFFF88"/>
    <w:lvl w:ilvl="0" w:tentative="0">
      <w:start w:val="1"/>
      <w:numFmt w:val="decimal"/>
      <w:pStyle w:val="49"/>
      <w:lvlText w:val="%1."/>
      <w:lvlJc w:val="left"/>
      <w:pPr>
        <w:widowControl/>
        <w:tabs>
          <w:tab w:val="left" w:pos="360"/>
        </w:tabs>
        <w:ind w:left="360" w:hanging="360"/>
        <w:textAlignment w:val="baseline"/>
      </w:pPr>
    </w:lvl>
  </w:abstractNum>
  <w:abstractNum w:abstractNumId="23">
    <w:nsid w:val="0EAAD6C1"/>
    <w:multiLevelType w:val="singleLevel"/>
    <w:tmpl w:val="0EAAD6C1"/>
    <w:lvl w:ilvl="0" w:tentative="0">
      <w:start w:val="1"/>
      <w:numFmt w:val="decimal"/>
      <w:suff w:val="nothing"/>
      <w:lvlText w:val="%1."/>
      <w:lvlJc w:val="left"/>
      <w:pPr>
        <w:ind w:left="454" w:leftChars="0" w:hanging="454" w:firstLineChars="0"/>
      </w:pPr>
      <w:rPr>
        <w:rFonts w:hint="default"/>
      </w:rPr>
    </w:lvl>
  </w:abstractNum>
  <w:abstractNum w:abstractNumId="24">
    <w:nsid w:val="143576E6"/>
    <w:multiLevelType w:val="singleLevel"/>
    <w:tmpl w:val="143576E6"/>
    <w:lvl w:ilvl="0" w:tentative="0">
      <w:start w:val="1"/>
      <w:numFmt w:val="decimal"/>
      <w:suff w:val="nothing"/>
      <w:lvlText w:val="%1."/>
      <w:lvlJc w:val="left"/>
      <w:pPr>
        <w:ind w:left="454" w:leftChars="0" w:hanging="454" w:firstLineChars="0"/>
      </w:pPr>
      <w:rPr>
        <w:rFonts w:hint="default"/>
        <w:b w:val="0"/>
        <w:bCs w:val="0"/>
      </w:rPr>
    </w:lvl>
  </w:abstractNum>
  <w:abstractNum w:abstractNumId="25">
    <w:nsid w:val="17524DBB"/>
    <w:multiLevelType w:val="singleLevel"/>
    <w:tmpl w:val="17524DBB"/>
    <w:lvl w:ilvl="0" w:tentative="0">
      <w:start w:val="1"/>
      <w:numFmt w:val="decimal"/>
      <w:suff w:val="nothing"/>
      <w:lvlText w:val="%1."/>
      <w:lvlJc w:val="left"/>
      <w:pPr>
        <w:ind w:left="454" w:leftChars="0" w:hanging="454" w:firstLineChars="0"/>
      </w:pPr>
      <w:rPr>
        <w:rFonts w:hint="default"/>
        <w:b w:val="0"/>
        <w:bCs w:val="0"/>
        <w:sz w:val="21"/>
        <w:szCs w:val="21"/>
      </w:rPr>
    </w:lvl>
  </w:abstractNum>
  <w:abstractNum w:abstractNumId="26">
    <w:nsid w:val="1B766B25"/>
    <w:multiLevelType w:val="singleLevel"/>
    <w:tmpl w:val="1B766B25"/>
    <w:lvl w:ilvl="0" w:tentative="0">
      <w:start w:val="1"/>
      <w:numFmt w:val="chineseCounting"/>
      <w:suff w:val="nothing"/>
      <w:lvlText w:val="（%1）"/>
      <w:lvlJc w:val="left"/>
      <w:pPr>
        <w:ind w:left="0" w:firstLine="420"/>
      </w:pPr>
      <w:rPr>
        <w:rFonts w:hint="eastAsia"/>
      </w:rPr>
    </w:lvl>
  </w:abstractNum>
  <w:abstractNum w:abstractNumId="27">
    <w:nsid w:val="1CEBCD37"/>
    <w:multiLevelType w:val="singleLevel"/>
    <w:tmpl w:val="1CEBCD37"/>
    <w:lvl w:ilvl="0" w:tentative="0">
      <w:start w:val="1"/>
      <w:numFmt w:val="decimalEnclosedCircleChinese"/>
      <w:suff w:val="nothing"/>
      <w:lvlText w:val="%1　"/>
      <w:lvlJc w:val="left"/>
      <w:pPr>
        <w:ind w:left="0" w:firstLine="0"/>
      </w:pPr>
      <w:rPr>
        <w:rFonts w:hint="eastAsia"/>
      </w:rPr>
    </w:lvl>
  </w:abstractNum>
  <w:abstractNum w:abstractNumId="28">
    <w:nsid w:val="26252E19"/>
    <w:multiLevelType w:val="singleLevel"/>
    <w:tmpl w:val="26252E19"/>
    <w:lvl w:ilvl="0" w:tentative="0">
      <w:start w:val="1"/>
      <w:numFmt w:val="decimal"/>
      <w:suff w:val="nothing"/>
      <w:lvlText w:val="%1."/>
      <w:lvlJc w:val="left"/>
      <w:pPr>
        <w:ind w:left="454" w:leftChars="0" w:hanging="454" w:firstLineChars="0"/>
      </w:pPr>
      <w:rPr>
        <w:rFonts w:hint="default"/>
        <w:b w:val="0"/>
        <w:bCs w:val="0"/>
      </w:rPr>
    </w:lvl>
  </w:abstractNum>
  <w:abstractNum w:abstractNumId="29">
    <w:nsid w:val="28906FED"/>
    <w:multiLevelType w:val="singleLevel"/>
    <w:tmpl w:val="28906FED"/>
    <w:lvl w:ilvl="0" w:tentative="0">
      <w:start w:val="1"/>
      <w:numFmt w:val="decimal"/>
      <w:lvlText w:val="(%1)"/>
      <w:lvlJc w:val="left"/>
      <w:pPr>
        <w:ind w:left="425" w:hanging="425"/>
      </w:pPr>
      <w:rPr>
        <w:rFonts w:hint="default"/>
      </w:rPr>
    </w:lvl>
  </w:abstractNum>
  <w:abstractNum w:abstractNumId="30">
    <w:nsid w:val="30497F78"/>
    <w:multiLevelType w:val="singleLevel"/>
    <w:tmpl w:val="30497F78"/>
    <w:lvl w:ilvl="0" w:tentative="0">
      <w:start w:val="1"/>
      <w:numFmt w:val="decimalEnclosedCircleChinese"/>
      <w:suff w:val="nothing"/>
      <w:lvlText w:val="%1　"/>
      <w:lvlJc w:val="left"/>
      <w:pPr>
        <w:ind w:left="0" w:firstLine="0"/>
      </w:pPr>
      <w:rPr>
        <w:rFonts w:hint="eastAsia"/>
      </w:rPr>
    </w:lvl>
  </w:abstractNum>
  <w:abstractNum w:abstractNumId="31">
    <w:nsid w:val="3754103D"/>
    <w:multiLevelType w:val="singleLevel"/>
    <w:tmpl w:val="3754103D"/>
    <w:lvl w:ilvl="0" w:tentative="0">
      <w:start w:val="1"/>
      <w:numFmt w:val="chineseCounting"/>
      <w:suff w:val="nothing"/>
      <w:lvlText w:val="（%1）"/>
      <w:lvlJc w:val="left"/>
      <w:pPr>
        <w:ind w:left="0" w:firstLine="420"/>
      </w:pPr>
      <w:rPr>
        <w:rFonts w:hint="eastAsia"/>
      </w:rPr>
    </w:lvl>
  </w:abstractNum>
  <w:abstractNum w:abstractNumId="32">
    <w:nsid w:val="53C67BB9"/>
    <w:multiLevelType w:val="singleLevel"/>
    <w:tmpl w:val="53C67BB9"/>
    <w:lvl w:ilvl="0" w:tentative="0">
      <w:start w:val="1"/>
      <w:numFmt w:val="chineseCounting"/>
      <w:suff w:val="nothing"/>
      <w:lvlText w:val="（%1）"/>
      <w:lvlJc w:val="left"/>
      <w:pPr>
        <w:ind w:left="0" w:firstLine="420"/>
      </w:pPr>
      <w:rPr>
        <w:rFonts w:hint="eastAsia"/>
      </w:rPr>
    </w:lvl>
  </w:abstractNum>
  <w:abstractNum w:abstractNumId="33">
    <w:nsid w:val="564F7E93"/>
    <w:multiLevelType w:val="singleLevel"/>
    <w:tmpl w:val="564F7E93"/>
    <w:lvl w:ilvl="0" w:tentative="0">
      <w:start w:val="1"/>
      <w:numFmt w:val="decimal"/>
      <w:suff w:val="nothing"/>
      <w:lvlText w:val="%1."/>
      <w:lvlJc w:val="left"/>
      <w:pPr>
        <w:ind w:left="454" w:leftChars="0" w:hanging="454" w:firstLineChars="0"/>
      </w:pPr>
      <w:rPr>
        <w:rFonts w:hint="default"/>
      </w:rPr>
    </w:lvl>
  </w:abstractNum>
  <w:abstractNum w:abstractNumId="34">
    <w:nsid w:val="589BB96F"/>
    <w:multiLevelType w:val="singleLevel"/>
    <w:tmpl w:val="589BB96F"/>
    <w:lvl w:ilvl="0" w:tentative="0">
      <w:start w:val="1"/>
      <w:numFmt w:val="decimal"/>
      <w:lvlText w:val="(%1)"/>
      <w:lvlJc w:val="left"/>
      <w:pPr>
        <w:ind w:left="425" w:hanging="425"/>
      </w:pPr>
      <w:rPr>
        <w:rFonts w:hint="default"/>
      </w:rPr>
    </w:lvl>
  </w:abstractNum>
  <w:abstractNum w:abstractNumId="35">
    <w:nsid w:val="631C9D6C"/>
    <w:multiLevelType w:val="singleLevel"/>
    <w:tmpl w:val="631C9D6C"/>
    <w:lvl w:ilvl="0" w:tentative="0">
      <w:start w:val="1"/>
      <w:numFmt w:val="decimal"/>
      <w:suff w:val="nothing"/>
      <w:lvlText w:val="%1."/>
      <w:lvlJc w:val="left"/>
      <w:pPr>
        <w:ind w:left="454" w:leftChars="0" w:hanging="454" w:firstLineChars="0"/>
      </w:pPr>
      <w:rPr>
        <w:rFonts w:hint="default"/>
      </w:rPr>
    </w:lvl>
  </w:abstractNum>
  <w:abstractNum w:abstractNumId="36">
    <w:nsid w:val="63AC6DC6"/>
    <w:multiLevelType w:val="singleLevel"/>
    <w:tmpl w:val="63AC6DC6"/>
    <w:lvl w:ilvl="0" w:tentative="0">
      <w:start w:val="1"/>
      <w:numFmt w:val="decimal"/>
      <w:suff w:val="nothing"/>
      <w:lvlText w:val="%1."/>
      <w:lvlJc w:val="left"/>
      <w:pPr>
        <w:ind w:left="454" w:leftChars="0" w:hanging="454" w:firstLineChars="0"/>
      </w:pPr>
      <w:rPr>
        <w:rFonts w:hint="default"/>
      </w:rPr>
    </w:lvl>
  </w:abstractNum>
  <w:abstractNum w:abstractNumId="37">
    <w:nsid w:val="654BADA5"/>
    <w:multiLevelType w:val="singleLevel"/>
    <w:tmpl w:val="654BADA5"/>
    <w:lvl w:ilvl="0" w:tentative="0">
      <w:start w:val="1"/>
      <w:numFmt w:val="decimal"/>
      <w:lvlText w:val="(%1)"/>
      <w:lvlJc w:val="left"/>
      <w:pPr>
        <w:ind w:left="425" w:hanging="425"/>
      </w:pPr>
      <w:rPr>
        <w:rFonts w:hint="default"/>
      </w:rPr>
    </w:lvl>
  </w:abstractNum>
  <w:abstractNum w:abstractNumId="38">
    <w:nsid w:val="67A9E25F"/>
    <w:multiLevelType w:val="singleLevel"/>
    <w:tmpl w:val="67A9E25F"/>
    <w:lvl w:ilvl="0" w:tentative="0">
      <w:start w:val="1"/>
      <w:numFmt w:val="decimal"/>
      <w:suff w:val="nothing"/>
      <w:lvlText w:val="%1."/>
      <w:lvlJc w:val="left"/>
      <w:pPr>
        <w:ind w:left="454" w:leftChars="0" w:hanging="454" w:firstLineChars="0"/>
      </w:pPr>
      <w:rPr>
        <w:rFonts w:hint="default"/>
      </w:rPr>
    </w:lvl>
  </w:abstractNum>
  <w:abstractNum w:abstractNumId="39">
    <w:nsid w:val="693229E5"/>
    <w:multiLevelType w:val="singleLevel"/>
    <w:tmpl w:val="693229E5"/>
    <w:lvl w:ilvl="0" w:tentative="0">
      <w:start w:val="1"/>
      <w:numFmt w:val="chineseCounting"/>
      <w:suff w:val="nothing"/>
      <w:lvlText w:val="（%1）"/>
      <w:lvlJc w:val="left"/>
      <w:pPr>
        <w:ind w:left="0" w:firstLine="420"/>
      </w:pPr>
      <w:rPr>
        <w:rFonts w:hint="eastAsia"/>
      </w:rPr>
    </w:lvl>
  </w:abstractNum>
  <w:abstractNum w:abstractNumId="40">
    <w:nsid w:val="7A32823F"/>
    <w:multiLevelType w:val="singleLevel"/>
    <w:tmpl w:val="7A32823F"/>
    <w:lvl w:ilvl="0" w:tentative="0">
      <w:start w:val="1"/>
      <w:numFmt w:val="decimal"/>
      <w:lvlText w:val="%1."/>
      <w:lvlJc w:val="left"/>
      <w:pPr>
        <w:tabs>
          <w:tab w:val="left" w:pos="312"/>
        </w:tabs>
      </w:pPr>
    </w:lvl>
  </w:abstractNum>
  <w:num w:numId="1">
    <w:abstractNumId w:val="3"/>
  </w:num>
  <w:num w:numId="2">
    <w:abstractNumId w:val="22"/>
  </w:num>
  <w:num w:numId="3">
    <w:abstractNumId w:val="9"/>
  </w:num>
  <w:num w:numId="4">
    <w:abstractNumId w:val="19"/>
  </w:num>
  <w:num w:numId="5">
    <w:abstractNumId w:val="7"/>
  </w:num>
  <w:num w:numId="6">
    <w:abstractNumId w:val="18"/>
  </w:num>
  <w:num w:numId="7">
    <w:abstractNumId w:val="16"/>
  </w:num>
  <w:num w:numId="8">
    <w:abstractNumId w:val="36"/>
  </w:num>
  <w:num w:numId="9">
    <w:abstractNumId w:val="13"/>
  </w:num>
  <w:num w:numId="10">
    <w:abstractNumId w:val="32"/>
  </w:num>
  <w:num w:numId="11">
    <w:abstractNumId w:val="15"/>
  </w:num>
  <w:num w:numId="12">
    <w:abstractNumId w:val="38"/>
  </w:num>
  <w:num w:numId="13">
    <w:abstractNumId w:val="8"/>
  </w:num>
  <w:num w:numId="14">
    <w:abstractNumId w:val="6"/>
  </w:num>
  <w:num w:numId="15">
    <w:abstractNumId w:val="28"/>
  </w:num>
  <w:num w:numId="16">
    <w:abstractNumId w:val="1"/>
  </w:num>
  <w:num w:numId="17">
    <w:abstractNumId w:val="10"/>
  </w:num>
  <w:num w:numId="18">
    <w:abstractNumId w:val="0"/>
  </w:num>
  <w:num w:numId="19">
    <w:abstractNumId w:val="35"/>
  </w:num>
  <w:num w:numId="20">
    <w:abstractNumId w:val="4"/>
  </w:num>
  <w:num w:numId="21">
    <w:abstractNumId w:val="33"/>
  </w:num>
  <w:num w:numId="22">
    <w:abstractNumId w:val="39"/>
  </w:num>
  <w:num w:numId="23">
    <w:abstractNumId w:val="24"/>
  </w:num>
  <w:num w:numId="24">
    <w:abstractNumId w:val="25"/>
  </w:num>
  <w:num w:numId="25">
    <w:abstractNumId w:val="26"/>
  </w:num>
  <w:num w:numId="26">
    <w:abstractNumId w:val="21"/>
  </w:num>
  <w:num w:numId="27">
    <w:abstractNumId w:val="31"/>
  </w:num>
  <w:num w:numId="28">
    <w:abstractNumId w:val="23"/>
  </w:num>
  <w:num w:numId="29">
    <w:abstractNumId w:val="5"/>
  </w:num>
  <w:num w:numId="30">
    <w:abstractNumId w:val="37"/>
  </w:num>
  <w:num w:numId="31">
    <w:abstractNumId w:val="29"/>
  </w:num>
  <w:num w:numId="32">
    <w:abstractNumId w:val="2"/>
  </w:num>
  <w:num w:numId="33">
    <w:abstractNumId w:val="17"/>
  </w:num>
  <w:num w:numId="34">
    <w:abstractNumId w:val="11"/>
  </w:num>
  <w:num w:numId="35">
    <w:abstractNumId w:val="34"/>
  </w:num>
  <w:num w:numId="36">
    <w:abstractNumId w:val="27"/>
  </w:num>
  <w:num w:numId="37">
    <w:abstractNumId w:val="14"/>
  </w:num>
  <w:num w:numId="38">
    <w:abstractNumId w:val="12"/>
  </w:num>
  <w:num w:numId="39">
    <w:abstractNumId w:val="30"/>
  </w:num>
  <w:num w:numId="40">
    <w:abstractNumId w:val="4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TA5NzQ2Yzk3MjIyZTI0ZTczZTJhMWQzOTgxNWMifQ=="/>
    <w:docVar w:name="KSO_WPS_MARK_KEY" w:val="8283ec50-d4ce-4313-a288-a0322a04c492"/>
  </w:docVars>
  <w:rsids>
    <w:rsidRoot w:val="577F39BE"/>
    <w:rsid w:val="000262AD"/>
    <w:rsid w:val="00026389"/>
    <w:rsid w:val="00104A66"/>
    <w:rsid w:val="002566CF"/>
    <w:rsid w:val="002B2CA2"/>
    <w:rsid w:val="003C6F3D"/>
    <w:rsid w:val="00445252"/>
    <w:rsid w:val="004E5015"/>
    <w:rsid w:val="00505088"/>
    <w:rsid w:val="005D23B4"/>
    <w:rsid w:val="00654D90"/>
    <w:rsid w:val="007572C4"/>
    <w:rsid w:val="00BC768E"/>
    <w:rsid w:val="00CE1399"/>
    <w:rsid w:val="00D647A0"/>
    <w:rsid w:val="00DF6A9B"/>
    <w:rsid w:val="00EC38DE"/>
    <w:rsid w:val="00EF69C9"/>
    <w:rsid w:val="014E07D2"/>
    <w:rsid w:val="0196601E"/>
    <w:rsid w:val="01CC1A40"/>
    <w:rsid w:val="01EB2D5D"/>
    <w:rsid w:val="02230C1A"/>
    <w:rsid w:val="02E1776D"/>
    <w:rsid w:val="02E4255E"/>
    <w:rsid w:val="03925C2B"/>
    <w:rsid w:val="040F20B8"/>
    <w:rsid w:val="0423404B"/>
    <w:rsid w:val="04D201A8"/>
    <w:rsid w:val="04E771EF"/>
    <w:rsid w:val="05015898"/>
    <w:rsid w:val="050F517C"/>
    <w:rsid w:val="05445D91"/>
    <w:rsid w:val="055E1DAA"/>
    <w:rsid w:val="0621683D"/>
    <w:rsid w:val="06AB56C6"/>
    <w:rsid w:val="06CE2FB1"/>
    <w:rsid w:val="06DF0522"/>
    <w:rsid w:val="06FB62C0"/>
    <w:rsid w:val="070D73B5"/>
    <w:rsid w:val="07A07BF6"/>
    <w:rsid w:val="07AD244B"/>
    <w:rsid w:val="07D37248"/>
    <w:rsid w:val="07E016C9"/>
    <w:rsid w:val="07F2313E"/>
    <w:rsid w:val="08923E94"/>
    <w:rsid w:val="08B77640"/>
    <w:rsid w:val="08E46F26"/>
    <w:rsid w:val="08F0070A"/>
    <w:rsid w:val="095E0160"/>
    <w:rsid w:val="09953862"/>
    <w:rsid w:val="09CB3010"/>
    <w:rsid w:val="09DB3168"/>
    <w:rsid w:val="0A187F18"/>
    <w:rsid w:val="0AA9522C"/>
    <w:rsid w:val="0B0D4EF6"/>
    <w:rsid w:val="0B7A42BB"/>
    <w:rsid w:val="0B867E39"/>
    <w:rsid w:val="0BE65DF4"/>
    <w:rsid w:val="0BFE313E"/>
    <w:rsid w:val="0C141441"/>
    <w:rsid w:val="0C1F4E62"/>
    <w:rsid w:val="0C9E047D"/>
    <w:rsid w:val="0C9F788B"/>
    <w:rsid w:val="0CE91166"/>
    <w:rsid w:val="0CEA07DA"/>
    <w:rsid w:val="0CF308DE"/>
    <w:rsid w:val="0D1B3C8D"/>
    <w:rsid w:val="0D31309F"/>
    <w:rsid w:val="0D58596B"/>
    <w:rsid w:val="0D9B3218"/>
    <w:rsid w:val="0DDE4FD5"/>
    <w:rsid w:val="0DFF5401"/>
    <w:rsid w:val="0E7923CB"/>
    <w:rsid w:val="0E8950DF"/>
    <w:rsid w:val="0E947D89"/>
    <w:rsid w:val="0EAB5DE5"/>
    <w:rsid w:val="0F2D1459"/>
    <w:rsid w:val="0F476BAA"/>
    <w:rsid w:val="0F504321"/>
    <w:rsid w:val="0FD5418D"/>
    <w:rsid w:val="0FE475FA"/>
    <w:rsid w:val="0FFEE4EB"/>
    <w:rsid w:val="10507547"/>
    <w:rsid w:val="105C6685"/>
    <w:rsid w:val="10790FE5"/>
    <w:rsid w:val="10A87B1C"/>
    <w:rsid w:val="10CA351D"/>
    <w:rsid w:val="112B125D"/>
    <w:rsid w:val="11395EA9"/>
    <w:rsid w:val="11904838"/>
    <w:rsid w:val="1197141F"/>
    <w:rsid w:val="120A6CC4"/>
    <w:rsid w:val="122E4051"/>
    <w:rsid w:val="12402D20"/>
    <w:rsid w:val="126164D5"/>
    <w:rsid w:val="12CC5D44"/>
    <w:rsid w:val="13003FAA"/>
    <w:rsid w:val="13125A5D"/>
    <w:rsid w:val="13CE33F5"/>
    <w:rsid w:val="140B7C4E"/>
    <w:rsid w:val="141F4EB6"/>
    <w:rsid w:val="1452799A"/>
    <w:rsid w:val="14981ABE"/>
    <w:rsid w:val="149D4626"/>
    <w:rsid w:val="14A53E96"/>
    <w:rsid w:val="14BE2522"/>
    <w:rsid w:val="14CE60A4"/>
    <w:rsid w:val="1509575D"/>
    <w:rsid w:val="15202377"/>
    <w:rsid w:val="15802E15"/>
    <w:rsid w:val="15AF1F6D"/>
    <w:rsid w:val="15BD0657"/>
    <w:rsid w:val="15E664DD"/>
    <w:rsid w:val="165A0C03"/>
    <w:rsid w:val="1662251B"/>
    <w:rsid w:val="16A862E9"/>
    <w:rsid w:val="16E90413"/>
    <w:rsid w:val="16FD43D7"/>
    <w:rsid w:val="16FE5900"/>
    <w:rsid w:val="1713661F"/>
    <w:rsid w:val="17345C06"/>
    <w:rsid w:val="1740460A"/>
    <w:rsid w:val="174C2549"/>
    <w:rsid w:val="17542220"/>
    <w:rsid w:val="180057CE"/>
    <w:rsid w:val="180336B3"/>
    <w:rsid w:val="182B350C"/>
    <w:rsid w:val="18336304"/>
    <w:rsid w:val="18416AFF"/>
    <w:rsid w:val="18624A54"/>
    <w:rsid w:val="18E60F4E"/>
    <w:rsid w:val="1917555D"/>
    <w:rsid w:val="193655C7"/>
    <w:rsid w:val="19573E8D"/>
    <w:rsid w:val="19DC2F1D"/>
    <w:rsid w:val="1A6513D2"/>
    <w:rsid w:val="1A7016AA"/>
    <w:rsid w:val="1A9237B1"/>
    <w:rsid w:val="1AA66E7A"/>
    <w:rsid w:val="1ABA2925"/>
    <w:rsid w:val="1ABD2416"/>
    <w:rsid w:val="1B05518F"/>
    <w:rsid w:val="1B724FAE"/>
    <w:rsid w:val="1BCA303C"/>
    <w:rsid w:val="1BCC03A2"/>
    <w:rsid w:val="1C037E84"/>
    <w:rsid w:val="1C0E0EA6"/>
    <w:rsid w:val="1C452338"/>
    <w:rsid w:val="1C4663CE"/>
    <w:rsid w:val="1C5B5A42"/>
    <w:rsid w:val="1C874A89"/>
    <w:rsid w:val="1CC76E0B"/>
    <w:rsid w:val="1CD63350"/>
    <w:rsid w:val="1CDF13B0"/>
    <w:rsid w:val="1CFC7225"/>
    <w:rsid w:val="1D626DE2"/>
    <w:rsid w:val="1D666D95"/>
    <w:rsid w:val="1DA653E3"/>
    <w:rsid w:val="1E2D69B0"/>
    <w:rsid w:val="1E6F69F9"/>
    <w:rsid w:val="1EDF6DFF"/>
    <w:rsid w:val="1F0644D4"/>
    <w:rsid w:val="1F182429"/>
    <w:rsid w:val="1F437A44"/>
    <w:rsid w:val="1F6D78C0"/>
    <w:rsid w:val="1F8571F7"/>
    <w:rsid w:val="1FA8EA86"/>
    <w:rsid w:val="1FDE464D"/>
    <w:rsid w:val="2051019B"/>
    <w:rsid w:val="20BD4F1E"/>
    <w:rsid w:val="20D23DD2"/>
    <w:rsid w:val="210C7C53"/>
    <w:rsid w:val="21495054"/>
    <w:rsid w:val="21800F61"/>
    <w:rsid w:val="219901ED"/>
    <w:rsid w:val="219D3E3B"/>
    <w:rsid w:val="21BD1255"/>
    <w:rsid w:val="220E1DE1"/>
    <w:rsid w:val="2215375B"/>
    <w:rsid w:val="221C5C74"/>
    <w:rsid w:val="224E071A"/>
    <w:rsid w:val="22B47437"/>
    <w:rsid w:val="2328458E"/>
    <w:rsid w:val="23360FB7"/>
    <w:rsid w:val="234B66FA"/>
    <w:rsid w:val="23F02362"/>
    <w:rsid w:val="240D3CC3"/>
    <w:rsid w:val="242B219E"/>
    <w:rsid w:val="242D5F16"/>
    <w:rsid w:val="246D4781"/>
    <w:rsid w:val="24A24A33"/>
    <w:rsid w:val="24A57F49"/>
    <w:rsid w:val="24BA3961"/>
    <w:rsid w:val="24BC729A"/>
    <w:rsid w:val="24CE5BEE"/>
    <w:rsid w:val="25572239"/>
    <w:rsid w:val="255D213F"/>
    <w:rsid w:val="257840F1"/>
    <w:rsid w:val="260454BE"/>
    <w:rsid w:val="26247945"/>
    <w:rsid w:val="26793695"/>
    <w:rsid w:val="26980F0C"/>
    <w:rsid w:val="269E412D"/>
    <w:rsid w:val="26BE72FA"/>
    <w:rsid w:val="26C81894"/>
    <w:rsid w:val="27182EAE"/>
    <w:rsid w:val="273B1A0A"/>
    <w:rsid w:val="276E2ACE"/>
    <w:rsid w:val="2786250D"/>
    <w:rsid w:val="284D4DD9"/>
    <w:rsid w:val="28C46F44"/>
    <w:rsid w:val="29131BB0"/>
    <w:rsid w:val="297912D9"/>
    <w:rsid w:val="2AA70DE5"/>
    <w:rsid w:val="2AAA4D3B"/>
    <w:rsid w:val="2AD64F90"/>
    <w:rsid w:val="2B825C60"/>
    <w:rsid w:val="2BCA63AA"/>
    <w:rsid w:val="2BD812EE"/>
    <w:rsid w:val="2BDC7080"/>
    <w:rsid w:val="2BF71CD4"/>
    <w:rsid w:val="2C087994"/>
    <w:rsid w:val="2C4549B6"/>
    <w:rsid w:val="2C725840"/>
    <w:rsid w:val="2CF2270F"/>
    <w:rsid w:val="2D341572"/>
    <w:rsid w:val="2D390077"/>
    <w:rsid w:val="2D917516"/>
    <w:rsid w:val="2DBC2AE5"/>
    <w:rsid w:val="2DD21686"/>
    <w:rsid w:val="2E471C3B"/>
    <w:rsid w:val="2E7B6DF1"/>
    <w:rsid w:val="2ED14854"/>
    <w:rsid w:val="2EF245A2"/>
    <w:rsid w:val="2F6A28D7"/>
    <w:rsid w:val="2F6D3490"/>
    <w:rsid w:val="30275F10"/>
    <w:rsid w:val="30345CAA"/>
    <w:rsid w:val="304E35CA"/>
    <w:rsid w:val="305E56A9"/>
    <w:rsid w:val="307A4C95"/>
    <w:rsid w:val="30843362"/>
    <w:rsid w:val="30CD23D7"/>
    <w:rsid w:val="30EE6588"/>
    <w:rsid w:val="30FB4C0B"/>
    <w:rsid w:val="31483AD3"/>
    <w:rsid w:val="31623B36"/>
    <w:rsid w:val="318E6A88"/>
    <w:rsid w:val="31932568"/>
    <w:rsid w:val="31DB54BF"/>
    <w:rsid w:val="3215357A"/>
    <w:rsid w:val="321F7C28"/>
    <w:rsid w:val="33250BEC"/>
    <w:rsid w:val="342B1E6F"/>
    <w:rsid w:val="344277BC"/>
    <w:rsid w:val="345B262C"/>
    <w:rsid w:val="348C4EDB"/>
    <w:rsid w:val="3491068E"/>
    <w:rsid w:val="34D5719F"/>
    <w:rsid w:val="34D82A17"/>
    <w:rsid w:val="34FE6C56"/>
    <w:rsid w:val="353115DE"/>
    <w:rsid w:val="353C69E1"/>
    <w:rsid w:val="354E44D5"/>
    <w:rsid w:val="356B6FBD"/>
    <w:rsid w:val="35820619"/>
    <w:rsid w:val="35E14DB3"/>
    <w:rsid w:val="364805B5"/>
    <w:rsid w:val="36E92171"/>
    <w:rsid w:val="36EE3C2B"/>
    <w:rsid w:val="377834F5"/>
    <w:rsid w:val="37C4673A"/>
    <w:rsid w:val="38651CCE"/>
    <w:rsid w:val="387C3F6A"/>
    <w:rsid w:val="3885236D"/>
    <w:rsid w:val="389A16BD"/>
    <w:rsid w:val="38F82CD5"/>
    <w:rsid w:val="39461AFC"/>
    <w:rsid w:val="39B44705"/>
    <w:rsid w:val="3A3011F6"/>
    <w:rsid w:val="3A99566D"/>
    <w:rsid w:val="3AED384A"/>
    <w:rsid w:val="3AFE1F63"/>
    <w:rsid w:val="3B037265"/>
    <w:rsid w:val="3B2A6558"/>
    <w:rsid w:val="3B497682"/>
    <w:rsid w:val="3B69075A"/>
    <w:rsid w:val="3B7F35EA"/>
    <w:rsid w:val="3B985F13"/>
    <w:rsid w:val="3BB84E4C"/>
    <w:rsid w:val="3BE04135"/>
    <w:rsid w:val="3CE6145D"/>
    <w:rsid w:val="3D9D02F8"/>
    <w:rsid w:val="3DB72FC9"/>
    <w:rsid w:val="3DEE4511"/>
    <w:rsid w:val="3DEFE3FA"/>
    <w:rsid w:val="3E6C5B64"/>
    <w:rsid w:val="3EE51262"/>
    <w:rsid w:val="3EE95C8F"/>
    <w:rsid w:val="3EEA3817"/>
    <w:rsid w:val="3F003653"/>
    <w:rsid w:val="3F4804AD"/>
    <w:rsid w:val="3F5E62EA"/>
    <w:rsid w:val="3FAC4683"/>
    <w:rsid w:val="3FC962AA"/>
    <w:rsid w:val="3FE3BA12"/>
    <w:rsid w:val="3FE760A6"/>
    <w:rsid w:val="40587751"/>
    <w:rsid w:val="408F70EB"/>
    <w:rsid w:val="40F938F8"/>
    <w:rsid w:val="41880811"/>
    <w:rsid w:val="42096E52"/>
    <w:rsid w:val="427F607F"/>
    <w:rsid w:val="428F13D0"/>
    <w:rsid w:val="42A744DE"/>
    <w:rsid w:val="42BA2C13"/>
    <w:rsid w:val="42CB20FB"/>
    <w:rsid w:val="437E6E3F"/>
    <w:rsid w:val="43992BE7"/>
    <w:rsid w:val="43CF6B92"/>
    <w:rsid w:val="43E9639E"/>
    <w:rsid w:val="441D49D5"/>
    <w:rsid w:val="442F4E90"/>
    <w:rsid w:val="443E02E9"/>
    <w:rsid w:val="44446C38"/>
    <w:rsid w:val="44BE0346"/>
    <w:rsid w:val="44E34E2E"/>
    <w:rsid w:val="45257EED"/>
    <w:rsid w:val="457264CE"/>
    <w:rsid w:val="457B4226"/>
    <w:rsid w:val="45872035"/>
    <w:rsid w:val="458F4F8F"/>
    <w:rsid w:val="45F572A7"/>
    <w:rsid w:val="461254D0"/>
    <w:rsid w:val="469333E2"/>
    <w:rsid w:val="46BB59DA"/>
    <w:rsid w:val="46E666CD"/>
    <w:rsid w:val="47A25CE3"/>
    <w:rsid w:val="482B3ABC"/>
    <w:rsid w:val="482C7443"/>
    <w:rsid w:val="48502AE8"/>
    <w:rsid w:val="48541414"/>
    <w:rsid w:val="486E0728"/>
    <w:rsid w:val="48A24875"/>
    <w:rsid w:val="48F600B8"/>
    <w:rsid w:val="490948F4"/>
    <w:rsid w:val="4928157F"/>
    <w:rsid w:val="49554133"/>
    <w:rsid w:val="4961269A"/>
    <w:rsid w:val="4972249A"/>
    <w:rsid w:val="49994BD3"/>
    <w:rsid w:val="49D5329E"/>
    <w:rsid w:val="49DA721B"/>
    <w:rsid w:val="4A2B43F6"/>
    <w:rsid w:val="4A3B6D2F"/>
    <w:rsid w:val="4A3E237C"/>
    <w:rsid w:val="4A624D42"/>
    <w:rsid w:val="4A682563"/>
    <w:rsid w:val="4B1530DD"/>
    <w:rsid w:val="4B441C14"/>
    <w:rsid w:val="4B71326F"/>
    <w:rsid w:val="4B8D341F"/>
    <w:rsid w:val="4B9D2080"/>
    <w:rsid w:val="4C1635B0"/>
    <w:rsid w:val="4C1C493F"/>
    <w:rsid w:val="4C341657"/>
    <w:rsid w:val="4C9B5863"/>
    <w:rsid w:val="4CA2091B"/>
    <w:rsid w:val="4CB6269D"/>
    <w:rsid w:val="4CC06703"/>
    <w:rsid w:val="4CD80866"/>
    <w:rsid w:val="4CF1717A"/>
    <w:rsid w:val="4D362277"/>
    <w:rsid w:val="4D3E402A"/>
    <w:rsid w:val="4D461BA0"/>
    <w:rsid w:val="4D53613E"/>
    <w:rsid w:val="4D57091A"/>
    <w:rsid w:val="4D900DA5"/>
    <w:rsid w:val="4DFD094F"/>
    <w:rsid w:val="4E1B0998"/>
    <w:rsid w:val="4E1B663D"/>
    <w:rsid w:val="4E1F62F6"/>
    <w:rsid w:val="4E29123F"/>
    <w:rsid w:val="4E712C95"/>
    <w:rsid w:val="4E8B1908"/>
    <w:rsid w:val="4EA23D2E"/>
    <w:rsid w:val="4EA5602C"/>
    <w:rsid w:val="4ED2031D"/>
    <w:rsid w:val="4F053468"/>
    <w:rsid w:val="4F2E6E63"/>
    <w:rsid w:val="4F55259A"/>
    <w:rsid w:val="4F9400C4"/>
    <w:rsid w:val="4F9A62A6"/>
    <w:rsid w:val="4FA23510"/>
    <w:rsid w:val="4FED4628"/>
    <w:rsid w:val="501231E7"/>
    <w:rsid w:val="502B19B2"/>
    <w:rsid w:val="506574AF"/>
    <w:rsid w:val="5080549C"/>
    <w:rsid w:val="50A834AD"/>
    <w:rsid w:val="50B906C0"/>
    <w:rsid w:val="50BD31D8"/>
    <w:rsid w:val="50F97A16"/>
    <w:rsid w:val="50FE4613"/>
    <w:rsid w:val="511415F8"/>
    <w:rsid w:val="518D16BF"/>
    <w:rsid w:val="52040FAB"/>
    <w:rsid w:val="526F62D1"/>
    <w:rsid w:val="529D60B4"/>
    <w:rsid w:val="52A77E4D"/>
    <w:rsid w:val="52C25982"/>
    <w:rsid w:val="52D22B48"/>
    <w:rsid w:val="52E945DF"/>
    <w:rsid w:val="53937294"/>
    <w:rsid w:val="53A45945"/>
    <w:rsid w:val="53AE2553"/>
    <w:rsid w:val="54272CF7"/>
    <w:rsid w:val="54465037"/>
    <w:rsid w:val="545E160B"/>
    <w:rsid w:val="54BB7377"/>
    <w:rsid w:val="54BF230B"/>
    <w:rsid w:val="54EA6F8C"/>
    <w:rsid w:val="550564FD"/>
    <w:rsid w:val="555F55D3"/>
    <w:rsid w:val="557269AE"/>
    <w:rsid w:val="558D4651"/>
    <w:rsid w:val="55E069DD"/>
    <w:rsid w:val="561635B7"/>
    <w:rsid w:val="5618142A"/>
    <w:rsid w:val="562C2F7E"/>
    <w:rsid w:val="57142982"/>
    <w:rsid w:val="57153701"/>
    <w:rsid w:val="57177F02"/>
    <w:rsid w:val="5756562F"/>
    <w:rsid w:val="576F1DC6"/>
    <w:rsid w:val="576F3D1B"/>
    <w:rsid w:val="577B4A32"/>
    <w:rsid w:val="577F39BE"/>
    <w:rsid w:val="579041C9"/>
    <w:rsid w:val="579F2268"/>
    <w:rsid w:val="57AF5A2D"/>
    <w:rsid w:val="57FB5D50"/>
    <w:rsid w:val="58153286"/>
    <w:rsid w:val="58311772"/>
    <w:rsid w:val="583E32AB"/>
    <w:rsid w:val="5870229A"/>
    <w:rsid w:val="58744FA8"/>
    <w:rsid w:val="58FF07C7"/>
    <w:rsid w:val="59B11053"/>
    <w:rsid w:val="59BB133A"/>
    <w:rsid w:val="5A9A6669"/>
    <w:rsid w:val="5ACE5056"/>
    <w:rsid w:val="5AE86AB0"/>
    <w:rsid w:val="5AFA711E"/>
    <w:rsid w:val="5B0178C7"/>
    <w:rsid w:val="5B9E16C6"/>
    <w:rsid w:val="5BD364E5"/>
    <w:rsid w:val="5BDC19F5"/>
    <w:rsid w:val="5C515F3F"/>
    <w:rsid w:val="5C5D6CA2"/>
    <w:rsid w:val="5CFE7579"/>
    <w:rsid w:val="5D5B73EE"/>
    <w:rsid w:val="5D8B7F79"/>
    <w:rsid w:val="5DF5546F"/>
    <w:rsid w:val="5E086AD1"/>
    <w:rsid w:val="5E174391"/>
    <w:rsid w:val="5E40685E"/>
    <w:rsid w:val="5E7D1D29"/>
    <w:rsid w:val="5E8E6FD6"/>
    <w:rsid w:val="5EA076C0"/>
    <w:rsid w:val="5F7E496F"/>
    <w:rsid w:val="5FBE4A39"/>
    <w:rsid w:val="5FC353A5"/>
    <w:rsid w:val="5FD536B3"/>
    <w:rsid w:val="603950D6"/>
    <w:rsid w:val="6044381A"/>
    <w:rsid w:val="60471B32"/>
    <w:rsid w:val="606D7711"/>
    <w:rsid w:val="60D26297"/>
    <w:rsid w:val="619217FD"/>
    <w:rsid w:val="61AD50AE"/>
    <w:rsid w:val="61C84EF5"/>
    <w:rsid w:val="626351D7"/>
    <w:rsid w:val="628A39FA"/>
    <w:rsid w:val="62A43769"/>
    <w:rsid w:val="62B611F1"/>
    <w:rsid w:val="62C0545C"/>
    <w:rsid w:val="62FA152C"/>
    <w:rsid w:val="6301625D"/>
    <w:rsid w:val="631E1C7A"/>
    <w:rsid w:val="633B0D18"/>
    <w:rsid w:val="633D4B6E"/>
    <w:rsid w:val="63453518"/>
    <w:rsid w:val="63B1399A"/>
    <w:rsid w:val="63D659EB"/>
    <w:rsid w:val="64056A7F"/>
    <w:rsid w:val="641E0DFC"/>
    <w:rsid w:val="642F3009"/>
    <w:rsid w:val="64487C27"/>
    <w:rsid w:val="64625BCF"/>
    <w:rsid w:val="64BE613B"/>
    <w:rsid w:val="64CF659A"/>
    <w:rsid w:val="65471CB1"/>
    <w:rsid w:val="66527100"/>
    <w:rsid w:val="66687C27"/>
    <w:rsid w:val="66AC1A77"/>
    <w:rsid w:val="66F56854"/>
    <w:rsid w:val="67312852"/>
    <w:rsid w:val="67443E93"/>
    <w:rsid w:val="67AF7FBD"/>
    <w:rsid w:val="67C84E74"/>
    <w:rsid w:val="67C92A9B"/>
    <w:rsid w:val="6850354E"/>
    <w:rsid w:val="68DB3760"/>
    <w:rsid w:val="690F1528"/>
    <w:rsid w:val="69627F47"/>
    <w:rsid w:val="69654847"/>
    <w:rsid w:val="69A43688"/>
    <w:rsid w:val="6A3D112E"/>
    <w:rsid w:val="6A470981"/>
    <w:rsid w:val="6A5437CA"/>
    <w:rsid w:val="6A581195"/>
    <w:rsid w:val="6AA840D4"/>
    <w:rsid w:val="6D4B0F4F"/>
    <w:rsid w:val="6DE150DF"/>
    <w:rsid w:val="6E2A092D"/>
    <w:rsid w:val="6E484F4E"/>
    <w:rsid w:val="6E511E4E"/>
    <w:rsid w:val="6E5726B1"/>
    <w:rsid w:val="6E60731F"/>
    <w:rsid w:val="6E8157A9"/>
    <w:rsid w:val="6F437969"/>
    <w:rsid w:val="6FAE5625"/>
    <w:rsid w:val="6FD9075A"/>
    <w:rsid w:val="6FDA07CC"/>
    <w:rsid w:val="70221C74"/>
    <w:rsid w:val="702E7ADD"/>
    <w:rsid w:val="70553A48"/>
    <w:rsid w:val="70787AE6"/>
    <w:rsid w:val="70B052EC"/>
    <w:rsid w:val="712E01DD"/>
    <w:rsid w:val="71B00731"/>
    <w:rsid w:val="71DA41A6"/>
    <w:rsid w:val="71FC3D99"/>
    <w:rsid w:val="720A29C0"/>
    <w:rsid w:val="72700F9E"/>
    <w:rsid w:val="729B3B13"/>
    <w:rsid w:val="72C31E23"/>
    <w:rsid w:val="734C3630"/>
    <w:rsid w:val="737E6DB7"/>
    <w:rsid w:val="739105E7"/>
    <w:rsid w:val="73AA6208"/>
    <w:rsid w:val="73C51294"/>
    <w:rsid w:val="743E555E"/>
    <w:rsid w:val="746F6266"/>
    <w:rsid w:val="74A04134"/>
    <w:rsid w:val="75313507"/>
    <w:rsid w:val="755A0B62"/>
    <w:rsid w:val="758A1640"/>
    <w:rsid w:val="75CA0CC1"/>
    <w:rsid w:val="75ED5D25"/>
    <w:rsid w:val="7605515A"/>
    <w:rsid w:val="763C7396"/>
    <w:rsid w:val="767A22D2"/>
    <w:rsid w:val="76966F18"/>
    <w:rsid w:val="7698346A"/>
    <w:rsid w:val="769A6A08"/>
    <w:rsid w:val="76D31AF0"/>
    <w:rsid w:val="774933D6"/>
    <w:rsid w:val="77702DE3"/>
    <w:rsid w:val="777635BF"/>
    <w:rsid w:val="77A44FB4"/>
    <w:rsid w:val="77CA514A"/>
    <w:rsid w:val="77CD4BBB"/>
    <w:rsid w:val="77E020B6"/>
    <w:rsid w:val="77E834DE"/>
    <w:rsid w:val="78057CA0"/>
    <w:rsid w:val="780A0551"/>
    <w:rsid w:val="78174088"/>
    <w:rsid w:val="785E1CB7"/>
    <w:rsid w:val="785E75C1"/>
    <w:rsid w:val="787D13E9"/>
    <w:rsid w:val="788D60F9"/>
    <w:rsid w:val="79494932"/>
    <w:rsid w:val="79DD1987"/>
    <w:rsid w:val="79EB6508"/>
    <w:rsid w:val="7A0B2638"/>
    <w:rsid w:val="7A8772A3"/>
    <w:rsid w:val="7AAD5B3F"/>
    <w:rsid w:val="7AD65B35"/>
    <w:rsid w:val="7B41716B"/>
    <w:rsid w:val="7B542EFE"/>
    <w:rsid w:val="7BA961EF"/>
    <w:rsid w:val="7BEA18F8"/>
    <w:rsid w:val="7C372C37"/>
    <w:rsid w:val="7C43544C"/>
    <w:rsid w:val="7C611D76"/>
    <w:rsid w:val="7C896BD7"/>
    <w:rsid w:val="7C8B7B63"/>
    <w:rsid w:val="7CAB0325"/>
    <w:rsid w:val="7CF519D5"/>
    <w:rsid w:val="7D5316BF"/>
    <w:rsid w:val="7D7747E1"/>
    <w:rsid w:val="7D8C4BD1"/>
    <w:rsid w:val="7DEE3669"/>
    <w:rsid w:val="7DF05C06"/>
    <w:rsid w:val="7DF75804"/>
    <w:rsid w:val="7E042183"/>
    <w:rsid w:val="7E5A2860"/>
    <w:rsid w:val="7E8E4C02"/>
    <w:rsid w:val="7EAB29C4"/>
    <w:rsid w:val="7EAC5ABD"/>
    <w:rsid w:val="7EBA5F79"/>
    <w:rsid w:val="7EFA53F3"/>
    <w:rsid w:val="7F363F9C"/>
    <w:rsid w:val="7F643651"/>
    <w:rsid w:val="7F7B4BAE"/>
    <w:rsid w:val="7F7D2F3D"/>
    <w:rsid w:val="7FD538C5"/>
    <w:rsid w:val="7FE1BFB7"/>
    <w:rsid w:val="B7FECC2D"/>
    <w:rsid w:val="BF7B38BF"/>
    <w:rsid w:val="DC9B586A"/>
    <w:rsid w:val="DCF83E57"/>
    <w:rsid w:val="DEAFAC5C"/>
    <w:rsid w:val="DEF379FD"/>
    <w:rsid w:val="DF77581D"/>
    <w:rsid w:val="DFEE5D51"/>
    <w:rsid w:val="E5EF8D34"/>
    <w:rsid w:val="EFFD05CF"/>
    <w:rsid w:val="EFFF3A75"/>
    <w:rsid w:val="F5FE39CD"/>
    <w:rsid w:val="FDFFFC44"/>
    <w:rsid w:val="FF5F37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unhideWhenUsed/>
    <w:qFormat/>
    <w:uiPriority w:val="0"/>
    <w:pPr>
      <w:keepNext/>
      <w:keepLines/>
      <w:adjustRightInd w:val="0"/>
      <w:snapToGrid w:val="0"/>
      <w:spacing w:before="50" w:beforeLines="50" w:after="50" w:afterLines="50" w:line="360"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1"/>
    <w:qFormat/>
    <w:uiPriority w:val="99"/>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99"/>
    <w:pPr>
      <w:spacing w:line="360" w:lineRule="exact"/>
    </w:pPr>
    <w:rPr>
      <w:sz w:val="24"/>
    </w:rPr>
  </w:style>
  <w:style w:type="paragraph" w:customStyle="1" w:styleId="9">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11">
    <w:name w:val="Body Text Indent"/>
    <w:basedOn w:val="1"/>
    <w:next w:val="1"/>
    <w:qFormat/>
    <w:uiPriority w:val="99"/>
    <w:pPr>
      <w:spacing w:after="120"/>
      <w:ind w:left="420" w:leftChars="200"/>
    </w:pPr>
  </w:style>
  <w:style w:type="paragraph" w:styleId="12">
    <w:name w:val="Block Text"/>
    <w:basedOn w:val="1"/>
    <w:next w:val="4"/>
    <w:qFormat/>
    <w:uiPriority w:val="99"/>
    <w:pPr>
      <w:adjustRightInd w:val="0"/>
      <w:spacing w:line="300" w:lineRule="auto"/>
      <w:ind w:left="958" w:right="-120" w:rightChars="-120"/>
      <w:jc w:val="left"/>
    </w:pPr>
    <w:rPr>
      <w:rFonts w:ascii="宋体" w:hAnsi="宋体"/>
      <w:sz w:val="28"/>
    </w:rPr>
  </w:style>
  <w:style w:type="paragraph" w:styleId="13">
    <w:name w:val="Plain Text"/>
    <w:basedOn w:val="1"/>
    <w:qFormat/>
    <w:uiPriority w:val="99"/>
    <w:rPr>
      <w:rFonts w:ascii="宋体" w:hAnsi="Courier New"/>
    </w:rPr>
  </w:style>
  <w:style w:type="paragraph" w:styleId="14">
    <w:name w:val="Date"/>
    <w:basedOn w:val="1"/>
    <w:next w:val="1"/>
    <w:qFormat/>
    <w:uiPriority w:val="99"/>
    <w:pPr>
      <w:ind w:left="2500" w:leftChars="2500"/>
    </w:pPr>
    <w:rPr>
      <w:rFonts w:ascii="Calibri" w:hAnsi="Calibri" w:eastAsia="楷体_GB2312"/>
      <w:sz w:val="32"/>
      <w:szCs w:val="22"/>
    </w:rPr>
  </w:style>
  <w:style w:type="paragraph" w:styleId="15">
    <w:name w:val="Balloon Text"/>
    <w:basedOn w:val="1"/>
    <w:link w:val="47"/>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semiHidden/>
    <w:qFormat/>
    <w:uiPriority w:val="0"/>
  </w:style>
  <w:style w:type="paragraph" w:styleId="19">
    <w:name w:val="toc 4"/>
    <w:basedOn w:val="1"/>
    <w:next w:val="1"/>
    <w:qFormat/>
    <w:uiPriority w:val="39"/>
    <w:pPr>
      <w:widowControl/>
      <w:ind w:left="600"/>
      <w:jc w:val="left"/>
    </w:pPr>
    <w:rPr>
      <w:kern w:val="0"/>
      <w:sz w:val="18"/>
      <w:szCs w:val="20"/>
    </w:rPr>
  </w:style>
  <w:style w:type="paragraph" w:styleId="20">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1">
    <w:name w:val="footnote text"/>
    <w:basedOn w:val="1"/>
    <w:semiHidden/>
    <w:unhideWhenUsed/>
    <w:qFormat/>
    <w:uiPriority w:val="99"/>
    <w:pPr>
      <w:snapToGrid w:val="0"/>
      <w:jc w:val="left"/>
    </w:pPr>
    <w:rPr>
      <w:sz w:val="18"/>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link w:val="58"/>
    <w:qFormat/>
    <w:uiPriority w:val="0"/>
    <w:pPr>
      <w:spacing w:before="240" w:after="60"/>
      <w:jc w:val="center"/>
      <w:outlineLvl w:val="0"/>
    </w:pPr>
    <w:rPr>
      <w:rFonts w:ascii="Cambria" w:hAnsi="Cambria"/>
      <w:b/>
      <w:bCs/>
      <w:kern w:val="0"/>
      <w:sz w:val="32"/>
      <w:szCs w:val="32"/>
    </w:rPr>
  </w:style>
  <w:style w:type="paragraph" w:styleId="24">
    <w:name w:val="Body Text First Indent"/>
    <w:basedOn w:val="8"/>
    <w:next w:val="1"/>
    <w:qFormat/>
    <w:uiPriority w:val="99"/>
    <w:pPr>
      <w:ind w:firstLine="420"/>
    </w:pPr>
    <w:rPr>
      <w:sz w:val="21"/>
      <w:szCs w:val="21"/>
    </w:rPr>
  </w:style>
  <w:style w:type="paragraph" w:styleId="25">
    <w:name w:val="Body Text First Indent 2"/>
    <w:basedOn w:val="11"/>
    <w:next w:val="1"/>
    <w:qFormat/>
    <w:uiPriority w:val="0"/>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Emphasis"/>
    <w:qFormat/>
    <w:uiPriority w:val="0"/>
    <w:rPr>
      <w:i/>
    </w:rPr>
  </w:style>
  <w:style w:type="character" w:styleId="31">
    <w:name w:val="annotation reference"/>
    <w:basedOn w:val="28"/>
    <w:qFormat/>
    <w:uiPriority w:val="0"/>
    <w:rPr>
      <w:sz w:val="21"/>
      <w:szCs w:val="21"/>
    </w:rPr>
  </w:style>
  <w:style w:type="character" w:styleId="32">
    <w:name w:val="footnote reference"/>
    <w:basedOn w:val="28"/>
    <w:semiHidden/>
    <w:unhideWhenUsed/>
    <w:qFormat/>
    <w:uiPriority w:val="99"/>
    <w:rPr>
      <w:vertAlign w:val="superscript"/>
    </w:rPr>
  </w:style>
  <w:style w:type="character" w:customStyle="1" w:styleId="33">
    <w:name w:val="NormalCharacter"/>
    <w:qFormat/>
    <w:uiPriority w:val="0"/>
    <w:rPr>
      <w:rFonts w:ascii="Times New Roman" w:hAnsi="Times New Roman" w:eastAsia="宋体" w:cs="Times New Roman"/>
      <w:kern w:val="2"/>
      <w:sz w:val="21"/>
      <w:szCs w:val="24"/>
      <w:lang w:val="en-US" w:eastAsia="zh-CN" w:bidi="ar-SA"/>
    </w:rPr>
  </w:style>
  <w:style w:type="paragraph" w:customStyle="1" w:styleId="34">
    <w:name w:val="表格文字"/>
    <w:basedOn w:val="1"/>
    <w:next w:val="8"/>
    <w:qFormat/>
    <w:uiPriority w:val="99"/>
    <w:pPr>
      <w:adjustRightInd w:val="0"/>
      <w:spacing w:line="420" w:lineRule="atLeast"/>
      <w:jc w:val="left"/>
      <w:textAlignment w:val="baseline"/>
    </w:pPr>
    <w:rPr>
      <w:kern w:val="0"/>
    </w:rPr>
  </w:style>
  <w:style w:type="paragraph" w:customStyle="1" w:styleId="35">
    <w:name w:val="NormalIndent"/>
    <w:basedOn w:val="1"/>
    <w:next w:val="1"/>
    <w:qFormat/>
    <w:uiPriority w:val="0"/>
    <w:pPr>
      <w:ind w:firstLine="420"/>
      <w:textAlignment w:val="baseline"/>
    </w:pPr>
    <w:rPr>
      <w:szCs w:val="20"/>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正文2"/>
    <w:basedOn w:val="1"/>
    <w:qFormat/>
    <w:uiPriority w:val="0"/>
    <w:pPr>
      <w:spacing w:before="156" w:line="360" w:lineRule="auto"/>
      <w:ind w:firstLine="510" w:firstLineChars="200"/>
    </w:pPr>
    <w:rPr>
      <w:sz w:val="24"/>
      <w:szCs w:val="20"/>
    </w:rPr>
  </w:style>
  <w:style w:type="paragraph" w:customStyle="1" w:styleId="38">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列出段落2"/>
    <w:basedOn w:val="1"/>
    <w:qFormat/>
    <w:uiPriority w:val="99"/>
    <w:pPr>
      <w:ind w:firstLine="420" w:firstLineChars="200"/>
    </w:pPr>
    <w:rPr>
      <w:sz w:val="24"/>
    </w:rPr>
  </w:style>
  <w:style w:type="paragraph" w:customStyle="1" w:styleId="46">
    <w:name w:val="zw"/>
    <w:basedOn w:val="1"/>
    <w:qFormat/>
    <w:uiPriority w:val="99"/>
    <w:pPr>
      <w:widowControl/>
      <w:spacing w:before="30"/>
      <w:ind w:left="100" w:right="100"/>
    </w:pPr>
    <w:rPr>
      <w:rFonts w:ascii="方正书宋简体" w:hAnsi="宋体" w:eastAsia="方正书宋简体"/>
      <w:color w:val="000000"/>
      <w:kern w:val="0"/>
      <w:szCs w:val="21"/>
    </w:rPr>
  </w:style>
  <w:style w:type="character" w:customStyle="1" w:styleId="47">
    <w:name w:val="批注框文本 Char"/>
    <w:basedOn w:val="28"/>
    <w:link w:val="15"/>
    <w:qFormat/>
    <w:uiPriority w:val="0"/>
    <w:rPr>
      <w:rFonts w:ascii="Times New Roman" w:hAnsi="Times New Roman" w:eastAsia="宋体" w:cs="Times New Roman"/>
      <w:kern w:val="2"/>
      <w:sz w:val="18"/>
      <w:szCs w:val="18"/>
    </w:rPr>
  </w:style>
  <w:style w:type="character" w:customStyle="1" w:styleId="48">
    <w:name w:val="UserStyle_29"/>
    <w:qFormat/>
    <w:uiPriority w:val="0"/>
    <w:rPr>
      <w:rFonts w:ascii="宋体" w:hAnsi="宋体" w:eastAsia="宋体"/>
      <w:color w:val="000000"/>
      <w:sz w:val="24"/>
      <w:szCs w:val="24"/>
    </w:rPr>
  </w:style>
  <w:style w:type="paragraph" w:customStyle="1" w:styleId="49">
    <w:name w:val="ListNumber"/>
    <w:basedOn w:val="1"/>
    <w:qFormat/>
    <w:uiPriority w:val="0"/>
    <w:pPr>
      <w:numPr>
        <w:ilvl w:val="0"/>
        <w:numId w:val="2"/>
      </w:numPr>
      <w:ind w:firstLine="0"/>
    </w:pPr>
  </w:style>
  <w:style w:type="paragraph" w:customStyle="1" w:styleId="50">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paragraph" w:customStyle="1" w:styleId="51">
    <w:name w:val="UserStyle_31"/>
    <w:basedOn w:val="1"/>
    <w:qFormat/>
    <w:uiPriority w:val="0"/>
    <w:pPr>
      <w:snapToGrid w:val="0"/>
      <w:spacing w:line="300" w:lineRule="auto"/>
      <w:ind w:firstLine="300" w:firstLineChars="300"/>
      <w:textAlignment w:val="baseline"/>
    </w:pPr>
    <w:rPr>
      <w:rFonts w:ascii="Comic Sans MS" w:hAnsi="Comic Sans MS"/>
      <w:sz w:val="30"/>
    </w:rPr>
  </w:style>
  <w:style w:type="paragraph" w:customStyle="1" w:styleId="52">
    <w:name w:val="PlainText"/>
    <w:basedOn w:val="1"/>
    <w:qFormat/>
    <w:uiPriority w:val="0"/>
    <w:pPr>
      <w:textAlignment w:val="baseline"/>
    </w:pPr>
    <w:rPr>
      <w:rFonts w:ascii="宋体" w:hAnsi="Courier New"/>
    </w:rPr>
  </w:style>
  <w:style w:type="paragraph" w:styleId="53">
    <w:name w:val="List Paragraph"/>
    <w:basedOn w:val="1"/>
    <w:qFormat/>
    <w:uiPriority w:val="34"/>
    <w:pPr>
      <w:ind w:firstLine="420" w:firstLineChars="200"/>
    </w:pPr>
  </w:style>
  <w:style w:type="character" w:customStyle="1" w:styleId="54">
    <w:name w:val="标题 1 Char Char"/>
    <w:basedOn w:val="28"/>
    <w:qFormat/>
    <w:uiPriority w:val="99"/>
    <w:rPr>
      <w:rFonts w:eastAsia="宋体" w:cs="Times New Roman"/>
      <w:b/>
      <w:spacing w:val="-2"/>
      <w:sz w:val="24"/>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8">
    <w:name w:val="标题 字符"/>
    <w:link w:val="23"/>
    <w:qFormat/>
    <w:uiPriority w:val="10"/>
    <w:rPr>
      <w:rFonts w:ascii="Cambria" w:hAnsi="Cambria"/>
      <w:b/>
      <w:bCs/>
      <w:kern w:val="0"/>
      <w:sz w:val="32"/>
      <w:szCs w:val="32"/>
    </w:rPr>
  </w:style>
  <w:style w:type="paragraph" w:customStyle="1" w:styleId="59">
    <w:name w:val="Table Text"/>
    <w:basedOn w:val="1"/>
    <w:semiHidden/>
    <w:qFormat/>
    <w:uiPriority w:val="0"/>
    <w:rPr>
      <w:rFonts w:ascii="宋体" w:hAnsi="宋体" w:eastAsia="宋体" w:cs="宋体"/>
      <w:sz w:val="21"/>
      <w:szCs w:val="21"/>
      <w:lang w:val="en-US" w:eastAsia="en-US" w:bidi="ar-SA"/>
    </w:rPr>
  </w:style>
  <w:style w:type="table" w:customStyle="1" w:styleId="6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Company>
  <Pages>87</Pages>
  <Words>17663</Words>
  <Characters>19417</Characters>
  <Lines>245</Lines>
  <Paragraphs>69</Paragraphs>
  <TotalTime>2</TotalTime>
  <ScaleCrop>false</ScaleCrop>
  <LinksUpToDate>false</LinksUpToDate>
  <CharactersWithSpaces>19509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2021-07-16T22:31:00Z</dcterms:created>
  <dc:creator>潘麒锋</dc:creator>
  <cp:lastModifiedBy>dell</cp:lastModifiedBy>
  <dcterms:modified xsi:type="dcterms:W3CDTF">2025-07-04T12:35:30Z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D84431020B6041A8BA1D7F2B55281CB5_13</vt:lpwstr>
  </property>
  <property fmtid="{D5CDD505-2E9C-101B-9397-08002B2CF9AE}" pid="4" name="KSOTemplateDocerSaveRecord">
    <vt:lpwstr>eyJoZGlkIjoiMjE0ZWQyOTk1MmRiMWZhZWM1OGZiNTZlZTY4NzVmZjkifQ==</vt:lpwstr>
  </property>
</Properties>
</file>