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outlineLvl w:val="0"/>
        <w:rPr>
          <w:rFonts w:hint="eastAsia" w:ascii="仿宋" w:hAnsi="仿宋" w:eastAsia="仿宋" w:cs="仿宋"/>
          <w:b w:val="0"/>
          <w:bCs w:val="0"/>
          <w:color w:val="000000"/>
          <w:kern w:val="44"/>
          <w:sz w:val="32"/>
          <w:szCs w:val="44"/>
          <w:lang w:val="en-US" w:eastAsia="zh-CN" w:bidi="ar-SA"/>
        </w:rPr>
      </w:pPr>
      <w:bookmarkStart w:id="0" w:name="_Toc8521"/>
      <w:bookmarkStart w:id="1" w:name="_Toc12932"/>
      <w:r>
        <w:rPr>
          <w:rFonts w:hint="eastAsia" w:ascii="仿宋" w:hAnsi="仿宋" w:eastAsia="仿宋" w:cs="仿宋"/>
          <w:b w:val="0"/>
          <w:bCs w:val="0"/>
          <w:color w:val="000000"/>
          <w:kern w:val="44"/>
          <w:sz w:val="32"/>
          <w:szCs w:val="44"/>
          <w:lang w:val="en-US" w:eastAsia="zh-CN" w:bidi="ar-SA"/>
        </w:rPr>
        <w:t>杭临城际铁路广场站地块开发PPP项目资格预审公告+招标公告</w:t>
      </w:r>
      <w:bookmarkEnd w:id="0"/>
      <w:bookmarkEnd w:id="1"/>
    </w:p>
    <w:p>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杭临城际铁路广场站地块开发PPP项目可行性研究报告已由临安区发展和改革局以《关于杭临城际铁路广场站地块开发项目可行性研究报告的批复》（临发改投〔2018〕068号）批复。根据《中华人民共和国政府采购法》、《中华人民共和国政府采购法实施条例》、《政府和社会资本合作项目政府采购管理办法》、《政府采购货物和服务招标投标管理办法》等有关规定，杭州市临安区交通运输局经临安区人民政府审核同意，委托万邦工程管理咨询有限公司，对杭临城际铁路广场站地块开发PPP项目进行采购，采购形式为公开招标，采用资格预审方式（合格制），</w:t>
      </w:r>
      <w:bookmarkStart w:id="2" w:name="_GoBack"/>
      <w:bookmarkEnd w:id="2"/>
      <w:r>
        <w:rPr>
          <w:rFonts w:hint="eastAsia" w:ascii="仿宋" w:hAnsi="仿宋" w:eastAsia="仿宋" w:cs="仿宋"/>
          <w:color w:val="000000"/>
          <w:sz w:val="24"/>
          <w:szCs w:val="24"/>
          <w:highlight w:val="none"/>
        </w:rPr>
        <w:t>欢迎有兴趣的潜在供应商参加本项目的投标。</w:t>
      </w: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一、</w:t>
      </w:r>
      <w:r>
        <w:rPr>
          <w:rFonts w:hint="eastAsia" w:ascii="仿宋" w:hAnsi="仿宋" w:eastAsia="仿宋" w:cs="仿宋"/>
          <w:b/>
          <w:bCs/>
          <w:color w:val="000000"/>
          <w:sz w:val="24"/>
          <w:szCs w:val="24"/>
          <w:highlight w:val="none"/>
          <w:lang w:val="en-US" w:eastAsia="zh-CN"/>
        </w:rPr>
        <w:t>采购</w:t>
      </w:r>
      <w:r>
        <w:rPr>
          <w:rFonts w:hint="eastAsia" w:ascii="仿宋" w:hAnsi="仿宋" w:eastAsia="仿宋" w:cs="仿宋"/>
          <w:b/>
          <w:bCs/>
          <w:color w:val="000000"/>
          <w:sz w:val="24"/>
          <w:szCs w:val="24"/>
          <w:highlight w:val="none"/>
        </w:rPr>
        <w:t>项目编号：临[2019]307号</w:t>
      </w:r>
    </w:p>
    <w:p>
      <w:pPr>
        <w:spacing w:line="40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w:t>
      </w:r>
      <w:r>
        <w:rPr>
          <w:rFonts w:hint="eastAsia" w:ascii="仿宋" w:hAnsi="仿宋" w:eastAsia="仿宋" w:cs="仿宋"/>
          <w:b/>
          <w:bCs/>
          <w:color w:val="000000"/>
          <w:sz w:val="24"/>
          <w:szCs w:val="24"/>
          <w:highlight w:val="none"/>
          <w:lang w:val="en-US" w:eastAsia="zh-CN"/>
        </w:rPr>
        <w:t>采购</w:t>
      </w:r>
      <w:r>
        <w:rPr>
          <w:rFonts w:hint="eastAsia" w:ascii="仿宋" w:hAnsi="仿宋" w:eastAsia="仿宋" w:cs="仿宋"/>
          <w:b/>
          <w:bCs/>
          <w:color w:val="000000"/>
          <w:sz w:val="24"/>
          <w:szCs w:val="24"/>
          <w:highlight w:val="none"/>
        </w:rPr>
        <w:t>项目概况:</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项目名称：杭临城际铁路广场站地块开发PPP项目</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项目实施机构：杭州市临安区交通运输局</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采购代理机构：万邦工程管理咨询有限公司</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项目性质：基础设施配套项目</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项目位置：位于杭州市临安区，万马路以东，新民街以南，广电路以西，城中街以北，临安人民广场</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建设内容：本工程公园绿地及广场用地（G1/G3），包括：绿化，广场管理及服务用房，广场设备用房、非机动车库、其他（楼梯、疏散通道）等，园路、场地工程、步行天桥、小品、雕塑、景观照明工程等；地下建设内容为社会公共停车库及其他附属用房等。</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投资规模：本项目静态总投资概算约为 117029.63 万元。其中工程费用 82462.22万元，前期费用为 14301.63 万元，工程建设其它费用为 5629.67 万元，预备费为4636.11万元，已发生的前期工程投入10000万元。</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合作期：18年，其中建设期3年，运营期15年。</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运作模式：本项目采取BOT运作模式</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合作范围：社会资本负责项目范围内工程的投融资、施工和运营维护，政府负责项目方案的审查、审批、项目监管及绩效考核。本项目合作期满无偿移交政府。</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资金来源：政府方、中标社会资本</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股权比例：由政府方与中标社会资本方共同出资成立项目公司，注册资本为PPP总投资的25%（约29257万元）。其中政府方占股20%（约5851万元），社会资本方方占股80%（约23406万元）。注册资本于建设期内实缴完成。政府方出资代表不参与项目公司分红。</w:t>
      </w:r>
    </w:p>
    <w:p>
      <w:pPr>
        <w:spacing w:line="40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三、申请人资格要求:</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 申请人需符合《中华人民共和国政府采购法》二十二条对申请人的规定；</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 申请人必须是依照中华人民共和国法律在中国大陆境内注册成立并有效存续的企业法人或企业法人联合体；</w:t>
      </w:r>
    </w:p>
    <w:p>
      <w:pPr>
        <w:spacing w:line="44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3. 申请人具有建设行政主管部门核发的安全生产许可证并具有行业主管部门颁发的建筑工程施工总承包一级及以上资质（联合体负责项目施工的一方满足）；</w:t>
      </w:r>
    </w:p>
    <w:p>
      <w:pPr>
        <w:spacing w:line="44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rPr>
        <w:t>4. 拟</w:t>
      </w:r>
      <w:r>
        <w:rPr>
          <w:rFonts w:hint="eastAsia" w:ascii="仿宋" w:hAnsi="仿宋" w:eastAsia="仿宋" w:cs="仿宋"/>
          <w:bCs/>
          <w:color w:val="000000"/>
          <w:sz w:val="24"/>
          <w:highlight w:val="none"/>
        </w:rPr>
        <w:t>派施工项目负责人须具备建筑工程专业一级注册建造师执业资格；拟派技术负责人具有高级</w:t>
      </w:r>
      <w:r>
        <w:rPr>
          <w:rFonts w:hint="eastAsia" w:ascii="仿宋" w:hAnsi="仿宋" w:eastAsia="仿宋" w:cs="仿宋"/>
          <w:bCs/>
          <w:color w:val="000000"/>
          <w:sz w:val="24"/>
          <w:highlight w:val="none"/>
          <w:lang w:val="en-US" w:eastAsia="zh-CN"/>
        </w:rPr>
        <w:t>及</w:t>
      </w:r>
      <w:r>
        <w:rPr>
          <w:rFonts w:hint="eastAsia" w:ascii="仿宋" w:hAnsi="仿宋" w:eastAsia="仿宋" w:cs="仿宋"/>
          <w:bCs/>
          <w:color w:val="000000"/>
          <w:sz w:val="24"/>
          <w:highlight w:val="none"/>
        </w:rPr>
        <w:t>以上职称；拟派项目组主要人员</w:t>
      </w:r>
      <w:r>
        <w:rPr>
          <w:rFonts w:hint="eastAsia" w:ascii="仿宋" w:hAnsi="仿宋" w:eastAsia="仿宋" w:cs="仿宋"/>
          <w:bCs/>
          <w:color w:val="000000"/>
          <w:sz w:val="24"/>
          <w:highlight w:val="none"/>
          <w:lang w:val="en-US" w:eastAsia="zh-CN"/>
        </w:rPr>
        <w:t>包括</w:t>
      </w:r>
      <w:r>
        <w:rPr>
          <w:rFonts w:hint="eastAsia" w:ascii="仿宋" w:hAnsi="仿宋" w:eastAsia="仿宋" w:cs="仿宋"/>
          <w:bCs/>
          <w:color w:val="000000"/>
          <w:sz w:val="24"/>
          <w:highlight w:val="none"/>
        </w:rPr>
        <w:t>：项目负责人、项目技术负责人、质量负责人、安全负责人、专职安全生产管理人员、安全员、质检员、施工员（联合体负责施工的一方满足）。</w:t>
      </w:r>
    </w:p>
    <w:p>
      <w:pPr>
        <w:spacing w:line="44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rPr>
        <w:t>5.申请人具有较</w:t>
      </w:r>
      <w:r>
        <w:rPr>
          <w:rFonts w:hint="eastAsia" w:ascii="仿宋" w:hAnsi="仿宋" w:eastAsia="仿宋" w:cs="仿宋"/>
          <w:bCs/>
          <w:color w:val="000000"/>
          <w:sz w:val="24"/>
          <w:highlight w:val="none"/>
        </w:rPr>
        <w:t>强的投融资能力，银行授信可用余额不低于</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亿元人民币或提供银行不低于</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亿元人民币的融资意向函。（联合体有融资责任的一方满足）。</w:t>
      </w:r>
    </w:p>
    <w:p>
      <w:pPr>
        <w:spacing w:line="44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6.自2013年1月1日起（时间以PPP项目合同签订时间为准），至少有一个入选全国PPP综合信息平台项目管理库的 PPP 项目业绩（联合体任何一方满足）。</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7. 各级人民政府所属融资平台公司不得单独或与其他申请人组成联合体参加本次资格预审，但对于已经与政府脱钩，建立完善公司治理结构和现代企业制度，实现市场化运营的融资平台公司，在其承担的地方政府债务已纳入政府财政预算、得到妥善处置并明确公告今后不再承担地方政府举债融资职能的前提下，可以参加本次资格预审。</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8. 申请人未被列入失信被执行人名单、重大税收违法案件当事人名单、政府采购严重违法失信行为记录名单，信用信息以信用中国网站（www.creditchina.gov.cn）、中国政府采购网（www.ccgp.gov.cn）开标当天查询为准。</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9. 允许申请人组成联合体进行投标，联合体成员不超过5家。申请人以联合体形式参加投标的，各单位资质要求如下：</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（1）对联合体所有成员：符合上述1、2、7、8项。</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（2）在联合体协议中明确各自的分工，每一个申请人只能参加一个联合体投标，组成联合体参与本项目投标的申请人，不得再以自己名义单独或加入其它联合体参与本项目投标。</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（3）联合体中有同类资质的申请人，按照联合体不同的分工来确定相应的资质等级；联合体多方同时承担相同工作的，应当按照资质等级较低的申请人确定资质等级。</w:t>
      </w:r>
    </w:p>
    <w:p>
      <w:pPr>
        <w:widowControl/>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四、资格审查办法</w:t>
      </w:r>
    </w:p>
    <w:p>
      <w:pPr>
        <w:widowControl/>
        <w:snapToGrid w:val="0"/>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资格审查办法：合格制</w:t>
      </w:r>
    </w:p>
    <w:p>
      <w:pPr>
        <w:widowControl/>
        <w:snapToGrid w:val="0"/>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不限定参与竞争的合格社会资本的数量。</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五、供应商报名时间及获取资格预审文件、采购文件等:</w:t>
      </w: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报名时间：201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lang w:val="en-US" w:eastAsia="zh-CN"/>
        </w:rPr>
        <w:t>10</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lang w:val="en-US" w:eastAsia="zh-CN"/>
        </w:rPr>
        <w:t>19</w:t>
      </w:r>
      <w:r>
        <w:rPr>
          <w:rFonts w:hint="eastAsia" w:ascii="仿宋" w:hAnsi="仿宋" w:eastAsia="仿宋" w:cs="仿宋"/>
          <w:color w:val="000000"/>
          <w:sz w:val="24"/>
          <w:szCs w:val="24"/>
          <w:highlight w:val="none"/>
        </w:rPr>
        <w:t>日至201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lang w:val="en-US" w:eastAsia="zh-CN"/>
        </w:rPr>
        <w:t>10</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lang w:val="en-US" w:eastAsia="zh-CN"/>
        </w:rPr>
        <w:t>27</w:t>
      </w:r>
      <w:r>
        <w:rPr>
          <w:rFonts w:hint="eastAsia" w:ascii="仿宋" w:hAnsi="仿宋" w:eastAsia="仿宋" w:cs="仿宋"/>
          <w:color w:val="000000"/>
          <w:sz w:val="24"/>
          <w:szCs w:val="24"/>
          <w:highlight w:val="none"/>
        </w:rPr>
        <w:t>日（双休、节假日除外），上午8:30至11:30，下午13:30至17:00到杭州市江干区钱潮路636号2幢万邦大楼</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层报名；</w:t>
      </w: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获取资格预审文件、采购文件</w:t>
      </w: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地址：杭州市江干区钱潮路636号2幢万邦大楼</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层；</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六、资格预审申请文件递交截止时间及地点</w:t>
      </w:r>
    </w:p>
    <w:p>
      <w:pPr>
        <w:widowControl/>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截止时间：201</w:t>
      </w:r>
      <w:r>
        <w:rPr>
          <w:rFonts w:hint="eastAsia" w:ascii="仿宋" w:hAnsi="仿宋" w:eastAsia="仿宋" w:cs="仿宋"/>
          <w:color w:val="000000"/>
          <w:kern w:val="0"/>
          <w:sz w:val="24"/>
          <w:szCs w:val="24"/>
          <w:highlight w:val="none"/>
          <w:shd w:val="clear" w:color="auto" w:fill="FFFFFF"/>
          <w:lang w:val="en-US" w:eastAsia="zh-CN"/>
        </w:rPr>
        <w:t>9</w:t>
      </w:r>
      <w:r>
        <w:rPr>
          <w:rFonts w:hint="eastAsia" w:ascii="仿宋" w:hAnsi="仿宋" w:eastAsia="仿宋" w:cs="仿宋"/>
          <w:color w:val="000000"/>
          <w:kern w:val="0"/>
          <w:sz w:val="24"/>
          <w:szCs w:val="24"/>
          <w:highlight w:val="none"/>
          <w:shd w:val="clear" w:color="auto" w:fill="FFFFFF"/>
        </w:rPr>
        <w:t>年</w:t>
      </w:r>
      <w:r>
        <w:rPr>
          <w:rFonts w:hint="eastAsia" w:ascii="仿宋" w:hAnsi="仿宋" w:eastAsia="仿宋" w:cs="仿宋"/>
          <w:color w:val="000000"/>
          <w:kern w:val="0"/>
          <w:sz w:val="24"/>
          <w:szCs w:val="24"/>
          <w:highlight w:val="none"/>
          <w:u w:val="single"/>
          <w:shd w:val="clear" w:color="auto" w:fill="FFFFFF"/>
          <w:lang w:val="en-US" w:eastAsia="zh-CN"/>
        </w:rPr>
        <w:t>11</w:t>
      </w:r>
      <w:r>
        <w:rPr>
          <w:rFonts w:hint="eastAsia" w:ascii="仿宋" w:hAnsi="仿宋" w:eastAsia="仿宋" w:cs="仿宋"/>
          <w:color w:val="000000"/>
          <w:kern w:val="0"/>
          <w:sz w:val="24"/>
          <w:szCs w:val="24"/>
          <w:highlight w:val="none"/>
          <w:shd w:val="clear" w:color="auto" w:fill="FFFFFF"/>
        </w:rPr>
        <w:t>月</w:t>
      </w:r>
      <w:r>
        <w:rPr>
          <w:rFonts w:hint="eastAsia" w:ascii="仿宋" w:hAnsi="仿宋" w:eastAsia="仿宋" w:cs="仿宋"/>
          <w:color w:val="000000"/>
          <w:kern w:val="0"/>
          <w:sz w:val="24"/>
          <w:szCs w:val="24"/>
          <w:highlight w:val="none"/>
          <w:u w:val="single"/>
          <w:shd w:val="clear" w:color="auto" w:fill="FFFFFF"/>
          <w:lang w:val="en-US" w:eastAsia="zh-CN"/>
        </w:rPr>
        <w:t>11</w:t>
      </w:r>
      <w:r>
        <w:rPr>
          <w:rFonts w:hint="eastAsia" w:ascii="仿宋" w:hAnsi="仿宋" w:eastAsia="仿宋" w:cs="仿宋"/>
          <w:color w:val="000000"/>
          <w:kern w:val="0"/>
          <w:sz w:val="24"/>
          <w:szCs w:val="24"/>
          <w:highlight w:val="none"/>
          <w:shd w:val="clear" w:color="auto" w:fill="FFFFFF"/>
        </w:rPr>
        <w:t>日</w:t>
      </w:r>
      <w:r>
        <w:rPr>
          <w:rFonts w:hint="eastAsia" w:ascii="仿宋" w:hAnsi="仿宋" w:eastAsia="仿宋" w:cs="仿宋"/>
          <w:color w:val="000000"/>
          <w:kern w:val="0"/>
          <w:sz w:val="24"/>
          <w:szCs w:val="24"/>
          <w:highlight w:val="none"/>
          <w:shd w:val="clear" w:color="auto" w:fill="FFFFFF"/>
          <w:lang w:val="en-US" w:eastAsia="zh-CN"/>
        </w:rPr>
        <w:t>10</w:t>
      </w:r>
      <w:r>
        <w:rPr>
          <w:rFonts w:hint="eastAsia" w:ascii="仿宋" w:hAnsi="仿宋" w:eastAsia="仿宋" w:cs="仿宋"/>
          <w:color w:val="000000"/>
          <w:kern w:val="0"/>
          <w:sz w:val="24"/>
          <w:szCs w:val="24"/>
          <w:highlight w:val="none"/>
          <w:shd w:val="clear" w:color="auto" w:fill="FFFFFF"/>
        </w:rPr>
        <w:t>时00分前</w:t>
      </w:r>
    </w:p>
    <w:p>
      <w:pPr>
        <w:widowControl/>
        <w:snapToGrid w:val="0"/>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递交地点：地点为杭州市临安区交通运输局二楼会议室（杭州市临安区横潭路88号）。逾期送达或者未送达指定地点的资格预审申请文件，采购人不予受理。</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七、投标文件递交截止时间及地点</w:t>
      </w:r>
    </w:p>
    <w:p>
      <w:pPr>
        <w:widowControl/>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截止时间：201</w:t>
      </w:r>
      <w:r>
        <w:rPr>
          <w:rFonts w:hint="eastAsia" w:ascii="仿宋" w:hAnsi="仿宋" w:eastAsia="仿宋" w:cs="仿宋"/>
          <w:color w:val="000000"/>
          <w:kern w:val="0"/>
          <w:sz w:val="24"/>
          <w:szCs w:val="24"/>
          <w:highlight w:val="none"/>
          <w:shd w:val="clear" w:color="auto" w:fill="FFFFFF"/>
          <w:lang w:val="en-US" w:eastAsia="zh-CN"/>
        </w:rPr>
        <w:t>9</w:t>
      </w:r>
      <w:r>
        <w:rPr>
          <w:rFonts w:hint="eastAsia" w:ascii="仿宋" w:hAnsi="仿宋" w:eastAsia="仿宋" w:cs="仿宋"/>
          <w:color w:val="000000"/>
          <w:kern w:val="0"/>
          <w:sz w:val="24"/>
          <w:szCs w:val="24"/>
          <w:highlight w:val="none"/>
          <w:shd w:val="clear" w:color="auto" w:fill="FFFFFF"/>
        </w:rPr>
        <w:t>年</w:t>
      </w:r>
      <w:r>
        <w:rPr>
          <w:rFonts w:hint="eastAsia" w:ascii="仿宋" w:hAnsi="仿宋" w:eastAsia="仿宋" w:cs="仿宋"/>
          <w:color w:val="000000"/>
          <w:kern w:val="0"/>
          <w:sz w:val="24"/>
          <w:szCs w:val="24"/>
          <w:highlight w:val="none"/>
          <w:u w:val="single"/>
          <w:shd w:val="clear" w:color="auto" w:fill="FFFFFF"/>
          <w:lang w:val="en-US" w:eastAsia="zh-CN"/>
        </w:rPr>
        <w:t>11</w:t>
      </w:r>
      <w:r>
        <w:rPr>
          <w:rFonts w:hint="eastAsia" w:ascii="仿宋" w:hAnsi="仿宋" w:eastAsia="仿宋" w:cs="仿宋"/>
          <w:color w:val="000000"/>
          <w:kern w:val="0"/>
          <w:sz w:val="24"/>
          <w:szCs w:val="24"/>
          <w:highlight w:val="none"/>
          <w:shd w:val="clear" w:color="auto" w:fill="FFFFFF"/>
        </w:rPr>
        <w:t>月</w:t>
      </w:r>
      <w:r>
        <w:rPr>
          <w:rFonts w:hint="eastAsia" w:ascii="仿宋" w:hAnsi="仿宋" w:eastAsia="仿宋" w:cs="仿宋"/>
          <w:color w:val="000000"/>
          <w:kern w:val="0"/>
          <w:sz w:val="24"/>
          <w:szCs w:val="24"/>
          <w:highlight w:val="none"/>
          <w:u w:val="single"/>
          <w:shd w:val="clear" w:color="auto" w:fill="FFFFFF"/>
          <w:lang w:val="en-US" w:eastAsia="zh-CN"/>
        </w:rPr>
        <w:t xml:space="preserve"> 11</w:t>
      </w:r>
      <w:r>
        <w:rPr>
          <w:rFonts w:hint="eastAsia" w:ascii="仿宋" w:hAnsi="仿宋" w:eastAsia="仿宋" w:cs="仿宋"/>
          <w:color w:val="000000"/>
          <w:kern w:val="0"/>
          <w:sz w:val="24"/>
          <w:szCs w:val="24"/>
          <w:highlight w:val="none"/>
          <w:shd w:val="clear" w:color="auto" w:fill="FFFFFF"/>
        </w:rPr>
        <w:t>日14时00分前</w:t>
      </w:r>
    </w:p>
    <w:p>
      <w:pPr>
        <w:widowControl/>
        <w:snapToGrid w:val="0"/>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递交地点：地点为杭州市临安区交通运输局二楼会议室（杭州市临安区横潭路88号）。逾期送达或者未送达指定地点的投标文件，采购人不予受理。</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八、资格预审申请文件开标时间及地点</w:t>
      </w:r>
    </w:p>
    <w:p>
      <w:pPr>
        <w:widowControl/>
        <w:snapToGrid w:val="0"/>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开标时间：201</w:t>
      </w:r>
      <w:r>
        <w:rPr>
          <w:rFonts w:hint="eastAsia" w:ascii="仿宋" w:hAnsi="仿宋" w:eastAsia="仿宋" w:cs="仿宋"/>
          <w:color w:val="000000"/>
          <w:kern w:val="0"/>
          <w:sz w:val="24"/>
          <w:szCs w:val="24"/>
          <w:highlight w:val="none"/>
          <w:shd w:val="clear" w:color="auto" w:fill="FFFFFF"/>
          <w:lang w:val="en-US" w:eastAsia="zh-CN"/>
        </w:rPr>
        <w:t>9</w:t>
      </w:r>
      <w:r>
        <w:rPr>
          <w:rFonts w:hint="eastAsia" w:ascii="仿宋" w:hAnsi="仿宋" w:eastAsia="仿宋" w:cs="仿宋"/>
          <w:color w:val="000000"/>
          <w:kern w:val="0"/>
          <w:sz w:val="24"/>
          <w:szCs w:val="24"/>
          <w:highlight w:val="none"/>
          <w:shd w:val="clear" w:color="auto" w:fill="FFFFFF"/>
        </w:rPr>
        <w:t>年</w:t>
      </w:r>
      <w:r>
        <w:rPr>
          <w:rFonts w:hint="eastAsia" w:ascii="仿宋" w:hAnsi="仿宋" w:eastAsia="仿宋" w:cs="仿宋"/>
          <w:color w:val="000000"/>
          <w:kern w:val="0"/>
          <w:sz w:val="24"/>
          <w:szCs w:val="24"/>
          <w:highlight w:val="none"/>
          <w:u w:val="single"/>
          <w:shd w:val="clear" w:color="auto" w:fill="FFFFFF"/>
          <w:lang w:val="en-US" w:eastAsia="zh-CN"/>
        </w:rPr>
        <w:t>11</w:t>
      </w:r>
      <w:r>
        <w:rPr>
          <w:rFonts w:hint="eastAsia" w:ascii="仿宋" w:hAnsi="仿宋" w:eastAsia="仿宋" w:cs="仿宋"/>
          <w:color w:val="000000"/>
          <w:kern w:val="0"/>
          <w:sz w:val="24"/>
          <w:szCs w:val="24"/>
          <w:highlight w:val="none"/>
          <w:shd w:val="clear" w:color="auto" w:fill="FFFFFF"/>
        </w:rPr>
        <w:t>月</w:t>
      </w:r>
      <w:r>
        <w:rPr>
          <w:rFonts w:hint="eastAsia" w:ascii="仿宋" w:hAnsi="仿宋" w:eastAsia="仿宋" w:cs="仿宋"/>
          <w:color w:val="000000"/>
          <w:kern w:val="0"/>
          <w:sz w:val="24"/>
          <w:szCs w:val="24"/>
          <w:highlight w:val="none"/>
          <w:u w:val="single"/>
          <w:shd w:val="clear" w:color="auto" w:fill="FFFFFF"/>
          <w:lang w:val="en-US" w:eastAsia="zh-CN"/>
        </w:rPr>
        <w:t xml:space="preserve"> 11</w:t>
      </w:r>
      <w:r>
        <w:rPr>
          <w:rFonts w:hint="eastAsia" w:ascii="仿宋" w:hAnsi="仿宋" w:eastAsia="仿宋" w:cs="仿宋"/>
          <w:color w:val="000000"/>
          <w:kern w:val="0"/>
          <w:sz w:val="24"/>
          <w:szCs w:val="24"/>
          <w:highlight w:val="none"/>
          <w:shd w:val="clear" w:color="auto" w:fill="FFFFFF"/>
        </w:rPr>
        <w:t>日</w:t>
      </w:r>
      <w:r>
        <w:rPr>
          <w:rFonts w:hint="eastAsia" w:ascii="仿宋" w:hAnsi="仿宋" w:eastAsia="仿宋" w:cs="仿宋"/>
          <w:color w:val="000000"/>
          <w:kern w:val="0"/>
          <w:sz w:val="24"/>
          <w:szCs w:val="24"/>
          <w:highlight w:val="none"/>
          <w:shd w:val="clear" w:color="auto" w:fill="FFFFFF"/>
          <w:lang w:val="en-US" w:eastAsia="zh-CN"/>
        </w:rPr>
        <w:t>10</w:t>
      </w:r>
      <w:r>
        <w:rPr>
          <w:rFonts w:hint="eastAsia" w:ascii="仿宋" w:hAnsi="仿宋" w:eastAsia="仿宋" w:cs="仿宋"/>
          <w:color w:val="000000"/>
          <w:kern w:val="0"/>
          <w:sz w:val="24"/>
          <w:szCs w:val="24"/>
          <w:highlight w:val="none"/>
          <w:shd w:val="clear" w:color="auto" w:fill="FFFFFF"/>
        </w:rPr>
        <w:t>时00分</w:t>
      </w:r>
    </w:p>
    <w:p>
      <w:pPr>
        <w:widowControl/>
        <w:snapToGrid w:val="0"/>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开标地点：地点为杭州市临安区交通运输局二楼会议室（杭州市临安区横潭路88号）。</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九、投标文件开标时间及地点</w:t>
      </w:r>
    </w:p>
    <w:p>
      <w:pPr>
        <w:widowControl/>
        <w:snapToGrid w:val="0"/>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开标时间：201</w:t>
      </w:r>
      <w:r>
        <w:rPr>
          <w:rFonts w:hint="eastAsia" w:ascii="仿宋" w:hAnsi="仿宋" w:eastAsia="仿宋" w:cs="仿宋"/>
          <w:color w:val="000000"/>
          <w:kern w:val="0"/>
          <w:sz w:val="24"/>
          <w:szCs w:val="24"/>
          <w:highlight w:val="none"/>
          <w:shd w:val="clear" w:color="auto" w:fill="FFFFFF"/>
          <w:lang w:val="en-US" w:eastAsia="zh-CN"/>
        </w:rPr>
        <w:t>9</w:t>
      </w:r>
      <w:r>
        <w:rPr>
          <w:rFonts w:hint="eastAsia" w:ascii="仿宋" w:hAnsi="仿宋" w:eastAsia="仿宋" w:cs="仿宋"/>
          <w:color w:val="000000"/>
          <w:kern w:val="0"/>
          <w:sz w:val="24"/>
          <w:szCs w:val="24"/>
          <w:highlight w:val="none"/>
          <w:shd w:val="clear" w:color="auto" w:fill="FFFFFF"/>
        </w:rPr>
        <w:t>年</w:t>
      </w:r>
      <w:r>
        <w:rPr>
          <w:rFonts w:hint="eastAsia" w:ascii="仿宋" w:hAnsi="仿宋" w:eastAsia="仿宋" w:cs="仿宋"/>
          <w:color w:val="000000"/>
          <w:kern w:val="0"/>
          <w:sz w:val="24"/>
          <w:szCs w:val="24"/>
          <w:highlight w:val="none"/>
          <w:u w:val="single"/>
          <w:shd w:val="clear" w:color="auto" w:fill="FFFFFF"/>
          <w:lang w:val="en-US" w:eastAsia="zh-CN"/>
        </w:rPr>
        <w:t>11</w:t>
      </w:r>
      <w:r>
        <w:rPr>
          <w:rFonts w:hint="eastAsia" w:ascii="仿宋" w:hAnsi="仿宋" w:eastAsia="仿宋" w:cs="仿宋"/>
          <w:color w:val="000000"/>
          <w:kern w:val="0"/>
          <w:sz w:val="24"/>
          <w:szCs w:val="24"/>
          <w:highlight w:val="none"/>
          <w:shd w:val="clear" w:color="auto" w:fill="FFFFFF"/>
        </w:rPr>
        <w:t>月</w:t>
      </w:r>
      <w:r>
        <w:rPr>
          <w:rFonts w:hint="eastAsia" w:ascii="仿宋" w:hAnsi="仿宋" w:eastAsia="仿宋" w:cs="仿宋"/>
          <w:color w:val="000000"/>
          <w:kern w:val="0"/>
          <w:sz w:val="24"/>
          <w:szCs w:val="24"/>
          <w:highlight w:val="none"/>
          <w:u w:val="single"/>
          <w:shd w:val="clear" w:color="auto" w:fill="FFFFFF"/>
          <w:lang w:val="en-US" w:eastAsia="zh-CN"/>
        </w:rPr>
        <w:t xml:space="preserve"> 11</w:t>
      </w:r>
      <w:r>
        <w:rPr>
          <w:rFonts w:hint="eastAsia" w:ascii="仿宋" w:hAnsi="仿宋" w:eastAsia="仿宋" w:cs="仿宋"/>
          <w:color w:val="000000"/>
          <w:kern w:val="0"/>
          <w:sz w:val="24"/>
          <w:szCs w:val="24"/>
          <w:highlight w:val="none"/>
          <w:shd w:val="clear" w:color="auto" w:fill="FFFFFF"/>
        </w:rPr>
        <w:t>日14时00分</w:t>
      </w:r>
    </w:p>
    <w:p>
      <w:pPr>
        <w:widowControl/>
        <w:snapToGrid w:val="0"/>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开标地点：地点为杭州市临安区交通运输局二楼会议室（杭州市临安区横潭路88号）。</w:t>
      </w:r>
    </w:p>
    <w:p>
      <w:pPr>
        <w:pStyle w:val="4"/>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窗体顶端</w:t>
      </w:r>
    </w:p>
    <w:p>
      <w:pPr>
        <w:pStyle w:val="5"/>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窗体底端</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十、发布公告的媒介</w:t>
      </w:r>
    </w:p>
    <w:p>
      <w:pPr>
        <w:widowControl/>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本次资格预审公告、采购公告同时在《中国政府采购网》(www.ccgp.gov.cn)、《浙江省政府采购网》(www.zjzfcg.gov.cn)上发布。</w:t>
      </w:r>
    </w:p>
    <w:p>
      <w:pPr>
        <w:widowControl/>
        <w:numPr>
          <w:ilvl w:val="0"/>
          <w:numId w:val="1"/>
        </w:numPr>
        <w:spacing w:line="400" w:lineRule="exact"/>
        <w:jc w:val="left"/>
        <w:rPr>
          <w:rFonts w:hint="eastAsia" w:ascii="仿宋" w:hAnsi="仿宋" w:eastAsia="仿宋" w:cs="仿宋"/>
          <w:b/>
          <w:bCs/>
          <w:color w:val="000000"/>
          <w:kern w:val="0"/>
          <w:sz w:val="24"/>
          <w:szCs w:val="24"/>
          <w:highlight w:val="none"/>
          <w:shd w:val="clear" w:color="auto" w:fill="FFFFFF"/>
          <w:lang w:val="en-US" w:eastAsia="zh-CN"/>
        </w:rPr>
      </w:pPr>
      <w:r>
        <w:rPr>
          <w:rFonts w:hint="eastAsia" w:ascii="仿宋" w:hAnsi="仿宋" w:eastAsia="仿宋" w:cs="仿宋"/>
          <w:b/>
          <w:bCs/>
          <w:color w:val="000000"/>
          <w:kern w:val="0"/>
          <w:sz w:val="24"/>
          <w:szCs w:val="24"/>
          <w:highlight w:val="none"/>
          <w:shd w:val="clear" w:color="auto" w:fill="FFFFFF"/>
          <w:lang w:val="en-US" w:eastAsia="zh-CN"/>
        </w:rPr>
        <w:t>投资保函：</w:t>
      </w:r>
    </w:p>
    <w:p>
      <w:pPr>
        <w:widowControl/>
        <w:numPr>
          <w:numId w:val="0"/>
        </w:numPr>
        <w:spacing w:line="400" w:lineRule="exact"/>
        <w:ind w:firstLine="480" w:firstLineChars="200"/>
        <w:jc w:val="left"/>
        <w:rPr>
          <w:rFonts w:hint="default" w:ascii="仿宋" w:hAnsi="仿宋" w:eastAsia="仿宋" w:cs="仿宋"/>
          <w:color w:val="000000"/>
          <w:kern w:val="0"/>
          <w:sz w:val="24"/>
          <w:szCs w:val="24"/>
          <w:highlight w:val="none"/>
          <w:shd w:val="clear" w:color="auto" w:fill="FFFFFF"/>
          <w:lang w:val="en-US" w:eastAsia="zh-CN"/>
        </w:rPr>
      </w:pPr>
      <w:r>
        <w:rPr>
          <w:rFonts w:hint="default" w:ascii="仿宋" w:hAnsi="仿宋" w:eastAsia="仿宋" w:cs="仿宋"/>
          <w:color w:val="000000"/>
          <w:kern w:val="0"/>
          <w:sz w:val="24"/>
          <w:szCs w:val="24"/>
          <w:highlight w:val="none"/>
          <w:shd w:val="clear" w:color="auto" w:fill="FFFFFF"/>
          <w:lang w:val="en-US" w:eastAsia="zh-CN"/>
        </w:rPr>
        <w:t>投资保函金额：1000.00万元</w:t>
      </w:r>
    </w:p>
    <w:p>
      <w:pPr>
        <w:widowControl/>
        <w:numPr>
          <w:numId w:val="0"/>
        </w:numPr>
        <w:spacing w:line="400" w:lineRule="exact"/>
        <w:ind w:firstLine="480" w:firstLineChars="200"/>
        <w:jc w:val="left"/>
        <w:rPr>
          <w:rFonts w:hint="default" w:ascii="仿宋" w:hAnsi="仿宋" w:eastAsia="仿宋" w:cs="仿宋"/>
          <w:color w:val="000000"/>
          <w:kern w:val="0"/>
          <w:sz w:val="24"/>
          <w:szCs w:val="24"/>
          <w:highlight w:val="none"/>
          <w:shd w:val="clear" w:color="auto" w:fill="FFFFFF"/>
          <w:lang w:val="en-US" w:eastAsia="zh-CN"/>
        </w:rPr>
      </w:pPr>
      <w:r>
        <w:rPr>
          <w:rFonts w:hint="default" w:ascii="仿宋" w:hAnsi="仿宋" w:eastAsia="仿宋" w:cs="仿宋"/>
          <w:color w:val="000000"/>
          <w:kern w:val="0"/>
          <w:sz w:val="24"/>
          <w:szCs w:val="24"/>
          <w:highlight w:val="none"/>
          <w:shd w:val="clear" w:color="auto" w:fill="FFFFFF"/>
          <w:lang w:val="en-US" w:eastAsia="zh-CN"/>
        </w:rPr>
        <w:t>交付方式：以银行保函形式提交；联合体牵头人在确认谈判备忘录签署后、中标通知书发出之前，根据招标人的通知向招标人提交投资保函。投资保函的担保有效期自中标通知书发出至项目公司或联合体牵头人根据项目合同提交建设履约保函之日止，招标人于建设期履约保函提交后退还投资保函。</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szCs w:val="24"/>
          <w:highlight w:val="none"/>
        </w:rPr>
        <w:t>、其他事项</w:t>
      </w:r>
    </w:p>
    <w:p>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认为资格预审文件、采购文件使自己的权益受到损害的，可以自收到资格预审文件、采购文件之日（发售截止日之后收到资格预审文件、采购文件的，以发售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本项目资格预审文件和采购文件同时发售，资格预审供应商须考虑未能通过资格预审而不能递交投标文件的风险，并承担相应的投标费用。</w:t>
      </w:r>
    </w:p>
    <w:p>
      <w:pPr>
        <w:widowControl/>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、联系方式</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招标人名称：杭州市临安区交通运输局</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地点：杭州市临安区横潭路88号</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联系人：吴先生</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联系电话：0571-61103577 13857155349</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招标代理机构名称：万邦工程管理咨询有限公司</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地点：杭州市江干区钱潮路636号万邦大厦5楼</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联系人：陈先生</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val="en-US" w:eastAsia="zh-CN"/>
        </w:rPr>
        <w:t>15168319453</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传真：0571-85213970</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同级政府采购监管部门：杭州市临安区财政局</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联系人：钱先生</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联系电话：0571-63728425</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地址：杭州市临安区临天路150号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FB33"/>
    <w:multiLevelType w:val="singleLevel"/>
    <w:tmpl w:val="35BBFB33"/>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F1D81"/>
    <w:rsid w:val="30A45F35"/>
    <w:rsid w:val="39A03B5D"/>
    <w:rsid w:val="51B4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28"/>
    <w:next w:val="1"/>
    <w:uiPriority w:val="0"/>
    <w:pPr>
      <w:widowControl w:val="0"/>
      <w:pBdr>
        <w:bottom w:val="single" w:color="auto" w:sz="6" w:space="1"/>
      </w:pBdr>
      <w:jc w:val="center"/>
    </w:pPr>
    <w:rPr>
      <w:rFonts w:hint="default" w:ascii="Arial" w:hAnsi="Times New Roman" w:eastAsia="宋体" w:cs="Arial"/>
      <w:vanish/>
      <w:kern w:val="2"/>
      <w:sz w:val="16"/>
      <w:szCs w:val="16"/>
      <w:lang w:val="en-US" w:eastAsia="zh-CN" w:bidi="ar-SA"/>
    </w:rPr>
  </w:style>
  <w:style w:type="paragraph" w:customStyle="1" w:styleId="5">
    <w:name w:val="_Style 29"/>
    <w:next w:val="1"/>
    <w:uiPriority w:val="0"/>
    <w:pPr>
      <w:widowControl w:val="0"/>
      <w:pBdr>
        <w:top w:val="single" w:color="auto" w:sz="6" w:space="1"/>
      </w:pBdr>
      <w:jc w:val="center"/>
    </w:pPr>
    <w:rPr>
      <w:rFonts w:hint="default" w:ascii="Arial" w:hAnsi="Times New Roman" w:eastAsia="宋体" w:cs="Arial"/>
      <w:vanish/>
      <w:kern w:val="2"/>
      <w:sz w:val="16"/>
      <w:szCs w:val="16"/>
      <w:lang w:val="en-US" w:eastAsia="zh-CN" w:bidi="ar-SA"/>
    </w:rPr>
  </w:style>
  <w:style w:type="paragraph" w:customStyle="1" w:styleId="6">
    <w:name w:val="z-Top of Form1"/>
    <w:next w:val="1"/>
    <w:uiPriority w:val="0"/>
    <w:pPr>
      <w:widowControl w:val="0"/>
      <w:pBdr>
        <w:bottom w:val="single" w:color="auto" w:sz="6" w:space="1"/>
      </w:pBdr>
      <w:jc w:val="center"/>
    </w:pPr>
    <w:rPr>
      <w:rFonts w:hint="default" w:ascii="Arial" w:hAnsi="Times New Roman" w:eastAsia="宋体" w:cs="Arial"/>
      <w:vanish/>
      <w:kern w:val="2"/>
      <w:sz w:val="16"/>
      <w:szCs w:val="1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陈琪</dc:creator>
  <cp:lastModifiedBy>万邦陈琪</cp:lastModifiedBy>
  <dcterms:modified xsi:type="dcterms:W3CDTF">2019-10-19T07:37:57Z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